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AA3DF" w14:textId="77777777" w:rsidR="00BC1364" w:rsidRPr="00707064" w:rsidRDefault="00C67DD2" w:rsidP="00713284">
      <w:pPr>
        <w:spacing w:before="120" w:after="240"/>
        <w:jc w:val="center"/>
        <w:rPr>
          <w:b/>
          <w:i/>
          <w:szCs w:val="24"/>
          <w:highlight w:val="yellow"/>
        </w:rPr>
      </w:pPr>
      <w:r>
        <w:rPr>
          <w:rFonts w:ascii="Arial" w:hAnsi="Arial" w:cs="Arial"/>
          <w:b/>
          <w:noProof/>
          <w:color w:val="000080"/>
          <w:sz w:val="28"/>
          <w:szCs w:val="28"/>
        </w:rPr>
        <w:drawing>
          <wp:inline distT="0" distB="0" distL="0" distR="0" wp14:anchorId="12CBFBFB" wp14:editId="368E947E">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90D4A8C" w14:textId="77777777" w:rsidR="00BC1364" w:rsidRPr="00F715D1" w:rsidRDefault="00F715D1" w:rsidP="00713284">
      <w:pPr>
        <w:pStyle w:val="Title"/>
        <w:tabs>
          <w:tab w:val="left" w:pos="1926"/>
          <w:tab w:val="center" w:pos="4513"/>
        </w:tabs>
        <w:spacing w:before="120"/>
        <w:jc w:val="left"/>
      </w:pPr>
      <w:r>
        <w:tab/>
      </w:r>
      <w:r>
        <w:tab/>
      </w:r>
      <w:r w:rsidR="00BF479B" w:rsidRPr="00F715D1">
        <w:t>Public Summary Document</w:t>
      </w:r>
    </w:p>
    <w:p w14:paraId="3DF1C0F7" w14:textId="18939603" w:rsidR="00BC1364" w:rsidRPr="00F715D1" w:rsidRDefault="00BC1364" w:rsidP="00713284">
      <w:pPr>
        <w:pStyle w:val="Subtitle"/>
        <w:spacing w:before="120"/>
      </w:pPr>
      <w:r w:rsidRPr="00F715D1">
        <w:t xml:space="preserve">Application No. </w:t>
      </w:r>
      <w:r w:rsidR="00712B1D">
        <w:t>15</w:t>
      </w:r>
      <w:r w:rsidR="003B42C4">
        <w:t>91</w:t>
      </w:r>
      <w:r w:rsidR="00424791">
        <w:t xml:space="preserve"> –</w:t>
      </w:r>
      <w:r w:rsidR="00D94B14">
        <w:t xml:space="preserve"> </w:t>
      </w:r>
      <w:r w:rsidR="003B42C4">
        <w:t>Review of im</w:t>
      </w:r>
      <w:r w:rsidR="003823B7">
        <w:t>munoglobulin use for secondary h</w:t>
      </w:r>
      <w:r w:rsidR="003B42C4">
        <w:t>ypogammaglobulinaemia unrelated to haematological malignancies, or post-haemopoietic</w:t>
      </w:r>
      <w:r w:rsidR="003823B7">
        <w:t xml:space="preserve"> s</w:t>
      </w:r>
      <w:r w:rsidR="003B42C4">
        <w:t>tem cell transplant (HSCT)</w:t>
      </w:r>
    </w:p>
    <w:p w14:paraId="7E8490FA" w14:textId="77777777" w:rsidR="00BC1364" w:rsidRPr="00F715D1" w:rsidRDefault="00B35595" w:rsidP="00713284">
      <w:pPr>
        <w:tabs>
          <w:tab w:val="left" w:pos="3686"/>
        </w:tabs>
        <w:spacing w:before="120" w:after="240"/>
        <w:ind w:left="1440" w:hanging="14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3B42C4">
        <w:rPr>
          <w:rFonts w:ascii="Arial" w:hAnsi="Arial" w:cs="Arial"/>
          <w:b/>
          <w:szCs w:val="24"/>
        </w:rPr>
        <w:t>National Blood Authority (NBA)</w:t>
      </w:r>
    </w:p>
    <w:p w14:paraId="3EBAD170" w14:textId="77777777" w:rsidR="00BC1364" w:rsidRPr="00F715D1" w:rsidRDefault="00BC1364" w:rsidP="00713284">
      <w:pPr>
        <w:tabs>
          <w:tab w:val="left" w:pos="3686"/>
        </w:tabs>
        <w:spacing w:before="120"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194A71">
        <w:rPr>
          <w:rFonts w:ascii="Arial" w:hAnsi="Arial" w:cs="Arial"/>
          <w:b/>
          <w:szCs w:val="24"/>
        </w:rPr>
        <w:t>80</w:t>
      </w:r>
      <w:r w:rsidR="00194A71" w:rsidRPr="00194A71">
        <w:rPr>
          <w:rFonts w:ascii="Arial" w:hAnsi="Arial" w:cs="Arial"/>
          <w:b/>
          <w:szCs w:val="24"/>
          <w:vertAlign w:val="superscript"/>
        </w:rPr>
        <w:t>th</w:t>
      </w:r>
      <w:r w:rsidR="00194A71">
        <w:rPr>
          <w:rFonts w:ascii="Arial" w:hAnsi="Arial" w:cs="Arial"/>
          <w:b/>
          <w:szCs w:val="24"/>
        </w:rPr>
        <w:t xml:space="preserve"> </w:t>
      </w:r>
      <w:r w:rsidRPr="00F715D1">
        <w:rPr>
          <w:rFonts w:ascii="Arial" w:hAnsi="Arial" w:cs="Arial"/>
          <w:b/>
          <w:szCs w:val="24"/>
        </w:rPr>
        <w:t xml:space="preserve">Meeting, </w:t>
      </w:r>
      <w:r w:rsidR="00194A71">
        <w:rPr>
          <w:rFonts w:ascii="Arial" w:hAnsi="Arial" w:cs="Arial"/>
          <w:b/>
          <w:szCs w:val="24"/>
        </w:rPr>
        <w:t>26-27 November 2020</w:t>
      </w:r>
    </w:p>
    <w:p w14:paraId="20019107" w14:textId="77777777" w:rsidR="0041184F" w:rsidRPr="00B03EAB" w:rsidRDefault="006A0D97" w:rsidP="00713284">
      <w:pPr>
        <w:spacing w:before="120" w:after="24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77257D20" w14:textId="77777777" w:rsidR="003D7F29" w:rsidRPr="00F715D1" w:rsidRDefault="003D7F29" w:rsidP="00713284">
      <w:pPr>
        <w:pStyle w:val="Heading1"/>
        <w:spacing w:before="120"/>
      </w:pPr>
      <w:r w:rsidRPr="00F715D1">
        <w:t>Purpose of application</w:t>
      </w:r>
      <w:r w:rsidR="00822C7E" w:rsidRPr="00F715D1">
        <w:t xml:space="preserve"> </w:t>
      </w:r>
    </w:p>
    <w:p w14:paraId="743E2EAE" w14:textId="363FC309" w:rsidR="00957BE2" w:rsidRDefault="00957BE2" w:rsidP="00713284">
      <w:pPr>
        <w:spacing w:before="120" w:after="240"/>
      </w:pPr>
      <w:r>
        <w:t>This Post-market Review request</w:t>
      </w:r>
      <w:r w:rsidR="00507163">
        <w:t>ed</w:t>
      </w:r>
      <w:r>
        <w:t xml:space="preserve"> MSAC advice on the Government funded supply of replacement</w:t>
      </w:r>
      <w:r w:rsidR="00552B4A">
        <w:t xml:space="preserve">, </w:t>
      </w:r>
      <w:r>
        <w:t>human gamma immunoglobulin (IgG) therapy under the National Blood Arrangements for the treatment of secondary hypogammaglobulinaemia (SHGG) unrelated to haematological malignancies, or post-haemopoietic stem cell transplant (HSCT) – hereafter referred to as secondary hypogammaglobulinaemia (SHGG). The application (referral) was received by the Department of Health from the National Blood Authority (NBA).</w:t>
      </w:r>
    </w:p>
    <w:p w14:paraId="40AEC542" w14:textId="4662CB10" w:rsidR="00A24D01" w:rsidRPr="00A24D01" w:rsidRDefault="00E977EE" w:rsidP="00713284">
      <w:pPr>
        <w:pStyle w:val="Heading1"/>
        <w:spacing w:before="120"/>
      </w:pPr>
      <w:r w:rsidRPr="00F715D1">
        <w:t>MSAC’s advice to the Minister</w:t>
      </w:r>
    </w:p>
    <w:p w14:paraId="7C047819" w14:textId="56665C4D" w:rsidR="00850661" w:rsidRPr="0061744C" w:rsidRDefault="00A24D01" w:rsidP="00713284">
      <w:pPr>
        <w:pStyle w:val="Default"/>
        <w:spacing w:before="120" w:after="240"/>
        <w:rPr>
          <w:color w:val="44546A"/>
        </w:rPr>
      </w:pPr>
      <w:r w:rsidRPr="00850661">
        <w:rPr>
          <w:color w:val="auto"/>
        </w:rPr>
        <w:t>After considering the available evidence in relation to comparative safety, clinical effectiveness and cost-effectiveness</w:t>
      </w:r>
      <w:r>
        <w:rPr>
          <w:color w:val="auto"/>
        </w:rPr>
        <w:t xml:space="preserve">, </w:t>
      </w:r>
      <w:r w:rsidRPr="0061744C">
        <w:rPr>
          <w:color w:val="auto"/>
        </w:rPr>
        <w:t>MSAC advised</w:t>
      </w:r>
      <w:r w:rsidRPr="0061744C">
        <w:rPr>
          <w:color w:val="44546A"/>
        </w:rPr>
        <w:t xml:space="preserve"> </w:t>
      </w:r>
      <w:r w:rsidRPr="0061744C">
        <w:rPr>
          <w:color w:val="auto"/>
        </w:rPr>
        <w:t>that funding of immunoglobulin (Ig) therapy for the treatment of SHGG should continue</w:t>
      </w:r>
      <w:r w:rsidR="00045481" w:rsidRPr="0061744C">
        <w:rPr>
          <w:color w:val="auto"/>
        </w:rPr>
        <w:t xml:space="preserve">. MSAC considered that </w:t>
      </w:r>
      <w:r w:rsidRPr="0061744C">
        <w:rPr>
          <w:color w:val="auto"/>
        </w:rPr>
        <w:t>potential</w:t>
      </w:r>
      <w:r w:rsidR="00A95587" w:rsidRPr="0061744C">
        <w:rPr>
          <w:color w:val="auto"/>
        </w:rPr>
        <w:t xml:space="preserve"> </w:t>
      </w:r>
      <w:r w:rsidRPr="0061744C">
        <w:rPr>
          <w:color w:val="auto"/>
        </w:rPr>
        <w:t xml:space="preserve">changes </w:t>
      </w:r>
      <w:r w:rsidR="003C77C5" w:rsidRPr="0061744C">
        <w:rPr>
          <w:color w:val="auto"/>
        </w:rPr>
        <w:t xml:space="preserve">to BloodSTAR </w:t>
      </w:r>
      <w:r w:rsidR="00080058" w:rsidRPr="0061744C">
        <w:rPr>
          <w:color w:val="auto"/>
        </w:rPr>
        <w:t xml:space="preserve">are </w:t>
      </w:r>
      <w:r w:rsidRPr="0061744C">
        <w:rPr>
          <w:color w:val="auto"/>
        </w:rPr>
        <w:t>required</w:t>
      </w:r>
      <w:r w:rsidR="00A95587" w:rsidRPr="0061744C">
        <w:rPr>
          <w:color w:val="auto"/>
        </w:rPr>
        <w:t xml:space="preserve"> </w:t>
      </w:r>
      <w:r w:rsidRPr="0061744C">
        <w:rPr>
          <w:color w:val="auto"/>
        </w:rPr>
        <w:t>to</w:t>
      </w:r>
      <w:r w:rsidR="00D666A6" w:rsidRPr="0061744C">
        <w:rPr>
          <w:color w:val="auto"/>
        </w:rPr>
        <w:t xml:space="preserve"> </w:t>
      </w:r>
      <w:r w:rsidRPr="0061744C">
        <w:rPr>
          <w:color w:val="auto"/>
        </w:rPr>
        <w:t>improve data collection</w:t>
      </w:r>
      <w:r w:rsidR="003C77C5" w:rsidRPr="0061744C">
        <w:rPr>
          <w:color w:val="auto"/>
        </w:rPr>
        <w:t xml:space="preserve"> and</w:t>
      </w:r>
      <w:r w:rsidR="00436BB0" w:rsidRPr="0061744C">
        <w:rPr>
          <w:color w:val="auto"/>
        </w:rPr>
        <w:t xml:space="preserve"> reporting, and</w:t>
      </w:r>
      <w:r w:rsidR="003C77C5" w:rsidRPr="0061744C">
        <w:rPr>
          <w:color w:val="auto"/>
        </w:rPr>
        <w:t xml:space="preserve"> that </w:t>
      </w:r>
      <w:r w:rsidRPr="0061744C">
        <w:rPr>
          <w:color w:val="auto"/>
        </w:rPr>
        <w:t>further research</w:t>
      </w:r>
      <w:r w:rsidR="00080058" w:rsidRPr="0061744C">
        <w:rPr>
          <w:color w:val="auto"/>
        </w:rPr>
        <w:t xml:space="preserve"> </w:t>
      </w:r>
      <w:r w:rsidR="00074C22" w:rsidRPr="0061744C">
        <w:rPr>
          <w:color w:val="auto"/>
        </w:rPr>
        <w:t>could</w:t>
      </w:r>
      <w:r w:rsidR="00DA1BAF" w:rsidRPr="0061744C">
        <w:rPr>
          <w:color w:val="auto"/>
        </w:rPr>
        <w:t xml:space="preserve"> </w:t>
      </w:r>
      <w:r w:rsidR="003C77C5" w:rsidRPr="0061744C">
        <w:rPr>
          <w:color w:val="auto"/>
        </w:rPr>
        <w:t xml:space="preserve">be scoped </w:t>
      </w:r>
      <w:r w:rsidR="00080058" w:rsidRPr="0061744C">
        <w:rPr>
          <w:color w:val="auto"/>
        </w:rPr>
        <w:t>to address data gaps</w:t>
      </w:r>
      <w:r w:rsidR="00DA1BAF" w:rsidRPr="0061744C">
        <w:rPr>
          <w:color w:val="auto"/>
        </w:rPr>
        <w:t>.</w:t>
      </w:r>
      <w:r w:rsidR="00A95587" w:rsidRPr="0061744C">
        <w:rPr>
          <w:color w:val="auto"/>
        </w:rPr>
        <w:t xml:space="preserve"> </w:t>
      </w:r>
      <w:r w:rsidR="001C715C" w:rsidRPr="0061744C">
        <w:t>There was</w:t>
      </w:r>
      <w:r w:rsidR="00850661" w:rsidRPr="0061744C">
        <w:t xml:space="preserve"> insufficient evidence to </w:t>
      </w:r>
      <w:r w:rsidRPr="0061744C">
        <w:t>evaluate</w:t>
      </w:r>
      <w:r w:rsidR="00850661" w:rsidRPr="0061744C">
        <w:t xml:space="preserve"> the clinical and cost</w:t>
      </w:r>
      <w:r w:rsidRPr="0061744C">
        <w:t>-</w:t>
      </w:r>
      <w:r w:rsidR="00850661" w:rsidRPr="0061744C">
        <w:t xml:space="preserve">effectiveness of Ig therapy </w:t>
      </w:r>
      <w:r w:rsidRPr="0061744C">
        <w:t>for SHGG</w:t>
      </w:r>
      <w:r w:rsidR="001C715C" w:rsidRPr="0061744C">
        <w:t>; however, MSAC</w:t>
      </w:r>
      <w:r w:rsidR="00850661" w:rsidRPr="0061744C">
        <w:t xml:space="preserve"> noted that Ig is an accepted standard of care</w:t>
      </w:r>
      <w:r w:rsidRPr="0061744C">
        <w:t xml:space="preserve"> in this population and</w:t>
      </w:r>
      <w:r w:rsidR="00850661" w:rsidRPr="0061744C">
        <w:t xml:space="preserve"> stakeholders </w:t>
      </w:r>
      <w:r w:rsidRPr="0061744C">
        <w:t>were highly</w:t>
      </w:r>
      <w:r w:rsidR="00850661" w:rsidRPr="0061744C">
        <w:t xml:space="preserve"> supportive of </w:t>
      </w:r>
      <w:r w:rsidRPr="0061744C">
        <w:t>co</w:t>
      </w:r>
      <w:r w:rsidRPr="0061744C">
        <w:rPr>
          <w:color w:val="auto"/>
        </w:rPr>
        <w:t>ntinued access to Ig therapy</w:t>
      </w:r>
      <w:r w:rsidR="00850661" w:rsidRPr="0061744C">
        <w:rPr>
          <w:color w:val="auto"/>
        </w:rPr>
        <w:t>.</w:t>
      </w:r>
      <w:r w:rsidRPr="0061744C">
        <w:rPr>
          <w:color w:val="auto"/>
        </w:rPr>
        <w:t xml:space="preserve"> </w:t>
      </w:r>
    </w:p>
    <w:p w14:paraId="705CDB4F" w14:textId="445A2F0E" w:rsidR="0039732F" w:rsidRPr="0039732F" w:rsidRDefault="00A24D01" w:rsidP="00713284">
      <w:pPr>
        <w:pStyle w:val="Default"/>
        <w:spacing w:before="120" w:after="240"/>
        <w:rPr>
          <w:color w:val="auto"/>
        </w:rPr>
      </w:pPr>
      <w:r w:rsidRPr="0061744C">
        <w:rPr>
          <w:color w:val="auto"/>
        </w:rPr>
        <w:t xml:space="preserve">MSAC noted Ig use in this small patient population appears to be increasing disproportionately compared with </w:t>
      </w:r>
      <w:r w:rsidR="00436BB0" w:rsidRPr="0061744C">
        <w:rPr>
          <w:color w:val="auto"/>
        </w:rPr>
        <w:t xml:space="preserve">the increase observed for </w:t>
      </w:r>
      <w:r w:rsidR="006D4183" w:rsidRPr="0061744C">
        <w:rPr>
          <w:color w:val="auto"/>
        </w:rPr>
        <w:t>alternative</w:t>
      </w:r>
      <w:r w:rsidR="009E7BA5" w:rsidRPr="0061744C">
        <w:rPr>
          <w:color w:val="auto"/>
        </w:rPr>
        <w:t xml:space="preserve"> Ig </w:t>
      </w:r>
      <w:r w:rsidR="00436BB0" w:rsidRPr="0061744C">
        <w:rPr>
          <w:color w:val="auto"/>
        </w:rPr>
        <w:t>indications</w:t>
      </w:r>
      <w:r w:rsidRPr="0061744C">
        <w:rPr>
          <w:color w:val="auto"/>
        </w:rPr>
        <w:t xml:space="preserve">. </w:t>
      </w:r>
      <w:r w:rsidR="00850661" w:rsidRPr="0061744C">
        <w:rPr>
          <w:color w:val="auto"/>
        </w:rPr>
        <w:t xml:space="preserve">Ig </w:t>
      </w:r>
      <w:r w:rsidRPr="0061744C">
        <w:rPr>
          <w:color w:val="auto"/>
        </w:rPr>
        <w:t xml:space="preserve">product </w:t>
      </w:r>
      <w:r w:rsidR="00850661" w:rsidRPr="0061744C">
        <w:rPr>
          <w:color w:val="auto"/>
        </w:rPr>
        <w:t xml:space="preserve">costs </w:t>
      </w:r>
      <w:r w:rsidR="001B5D42" w:rsidRPr="0061744C">
        <w:rPr>
          <w:color w:val="auto"/>
        </w:rPr>
        <w:t xml:space="preserve">for the base case </w:t>
      </w:r>
      <w:r w:rsidR="00850661" w:rsidRPr="0061744C">
        <w:rPr>
          <w:color w:val="auto"/>
        </w:rPr>
        <w:t>were projected to increase from about $15.3 million in 2018-2019 to about $41.3 million in 2023-2024</w:t>
      </w:r>
      <w:r w:rsidR="001B5D42" w:rsidRPr="0061744C">
        <w:rPr>
          <w:color w:val="auto"/>
        </w:rPr>
        <w:t>.</w:t>
      </w:r>
      <w:r w:rsidR="00A95587" w:rsidRPr="0061744C">
        <w:rPr>
          <w:color w:val="auto"/>
        </w:rPr>
        <w:t xml:space="preserve"> </w:t>
      </w:r>
      <w:r w:rsidR="001B5D42" w:rsidRPr="0061744C">
        <w:rPr>
          <w:color w:val="auto"/>
        </w:rPr>
        <w:t>T</w:t>
      </w:r>
      <w:r w:rsidR="001C715C" w:rsidRPr="0061744C">
        <w:rPr>
          <w:color w:val="auto"/>
        </w:rPr>
        <w:t>he financial</w:t>
      </w:r>
      <w:r w:rsidRPr="0061744C">
        <w:rPr>
          <w:color w:val="auto"/>
        </w:rPr>
        <w:t xml:space="preserve"> </w:t>
      </w:r>
      <w:r w:rsidR="00850661" w:rsidRPr="0061744C">
        <w:rPr>
          <w:color w:val="auto"/>
        </w:rPr>
        <w:t xml:space="preserve">estimates </w:t>
      </w:r>
      <w:r w:rsidR="001C715C" w:rsidRPr="0061744C">
        <w:rPr>
          <w:color w:val="auto"/>
        </w:rPr>
        <w:t>are</w:t>
      </w:r>
      <w:r w:rsidR="00850661" w:rsidRPr="0061744C">
        <w:rPr>
          <w:color w:val="auto"/>
        </w:rPr>
        <w:t xml:space="preserve"> highly uncertain as costs or changes in use </w:t>
      </w:r>
      <w:r w:rsidR="001B5D42" w:rsidRPr="0061744C">
        <w:rPr>
          <w:color w:val="auto"/>
        </w:rPr>
        <w:t xml:space="preserve">are not considered. The </w:t>
      </w:r>
      <w:r w:rsidR="00850661" w:rsidRPr="0061744C">
        <w:rPr>
          <w:color w:val="auto"/>
        </w:rPr>
        <w:t xml:space="preserve">cost of other medical services and </w:t>
      </w:r>
      <w:r w:rsidR="001E3D35" w:rsidRPr="0061744C">
        <w:rPr>
          <w:color w:val="auto"/>
        </w:rPr>
        <w:t xml:space="preserve">the </w:t>
      </w:r>
      <w:r w:rsidR="001C715C" w:rsidRPr="0061744C">
        <w:rPr>
          <w:color w:val="auto"/>
        </w:rPr>
        <w:t xml:space="preserve">rate at which Ig use will continue in this population </w:t>
      </w:r>
      <w:r w:rsidR="001E3D35" w:rsidRPr="0061744C">
        <w:rPr>
          <w:color w:val="auto"/>
        </w:rPr>
        <w:t xml:space="preserve">(overall population and subgroups) </w:t>
      </w:r>
      <w:r w:rsidR="001C715C" w:rsidRPr="0061744C">
        <w:rPr>
          <w:color w:val="auto"/>
        </w:rPr>
        <w:t>is</w:t>
      </w:r>
      <w:r w:rsidR="0039732F" w:rsidRPr="0061744C">
        <w:rPr>
          <w:color w:val="auto"/>
        </w:rPr>
        <w:t xml:space="preserve"> </w:t>
      </w:r>
      <w:r w:rsidR="001B5D42" w:rsidRPr="0061744C">
        <w:rPr>
          <w:color w:val="auto"/>
        </w:rPr>
        <w:t xml:space="preserve">also </w:t>
      </w:r>
      <w:r w:rsidR="0039732F" w:rsidRPr="0061744C">
        <w:rPr>
          <w:color w:val="auto"/>
        </w:rPr>
        <w:t>uncertain.</w:t>
      </w:r>
      <w:r w:rsidR="000F1723" w:rsidRPr="0061744C">
        <w:rPr>
          <w:color w:val="auto"/>
        </w:rPr>
        <w:t xml:space="preserve"> MSAC considered that given the evidence presented in this review, that Ig use for this indication is highly likely to be cost-ineffective.</w:t>
      </w:r>
    </w:p>
    <w:p w14:paraId="6B6F5227" w14:textId="77777777" w:rsidR="005455A7" w:rsidRPr="00B74AAF" w:rsidRDefault="0039732F" w:rsidP="00713284">
      <w:pPr>
        <w:pStyle w:val="Default"/>
        <w:spacing w:before="120" w:after="240"/>
        <w:rPr>
          <w:lang w:val="en-US"/>
        </w:rPr>
      </w:pPr>
      <w:r w:rsidRPr="0039732F">
        <w:rPr>
          <w:color w:val="auto"/>
        </w:rPr>
        <w:lastRenderedPageBreak/>
        <w:t xml:space="preserve">MSAC </w:t>
      </w:r>
      <w:r w:rsidR="00507163">
        <w:rPr>
          <w:color w:val="auto"/>
        </w:rPr>
        <w:t xml:space="preserve">considered data collection could be optimised through BloodSTAR, and </w:t>
      </w:r>
      <w:r w:rsidRPr="0039732F">
        <w:rPr>
          <w:color w:val="auto"/>
        </w:rPr>
        <w:t xml:space="preserve">proposed further work be done to identify areas for </w:t>
      </w:r>
      <w:r w:rsidR="00507163">
        <w:rPr>
          <w:color w:val="auto"/>
        </w:rPr>
        <w:t>improved data collection</w:t>
      </w:r>
      <w:r w:rsidR="00436BB0">
        <w:rPr>
          <w:color w:val="auto"/>
        </w:rPr>
        <w:t xml:space="preserve"> and reporting,</w:t>
      </w:r>
      <w:r w:rsidRPr="0039732F">
        <w:rPr>
          <w:color w:val="auto"/>
        </w:rPr>
        <w:t xml:space="preserve"> or further research</w:t>
      </w:r>
      <w:r w:rsidR="00436BB0">
        <w:rPr>
          <w:color w:val="auto"/>
        </w:rPr>
        <w:t>,</w:t>
      </w:r>
      <w:r w:rsidRPr="0039732F">
        <w:rPr>
          <w:color w:val="auto"/>
        </w:rPr>
        <w:t xml:space="preserve"> which may inform any future evaluations</w:t>
      </w:r>
      <w:r w:rsidRPr="00C2123F">
        <w:rPr>
          <w:lang w:val="en-US"/>
        </w:rPr>
        <w:t xml:space="preserve"> of clinical and cost-effectiveness</w:t>
      </w:r>
      <w:r>
        <w:rPr>
          <w:lang w:val="en-US"/>
        </w:rPr>
        <w:t>.</w:t>
      </w:r>
      <w:r>
        <w:t xml:space="preserve"> This </w:t>
      </w:r>
      <w:r w:rsidRPr="0061744C">
        <w:t xml:space="preserve">could </w:t>
      </w:r>
      <w:r w:rsidR="001B5D42" w:rsidRPr="0061744C">
        <w:t xml:space="preserve">include </w:t>
      </w:r>
      <w:r w:rsidR="00850661" w:rsidRPr="0061744C">
        <w:rPr>
          <w:lang w:val="en-US"/>
        </w:rPr>
        <w:t xml:space="preserve">better defining the eligibility requirements to access Ig therapy </w:t>
      </w:r>
      <w:r w:rsidR="00507163" w:rsidRPr="0061744C">
        <w:rPr>
          <w:lang w:val="en-US"/>
        </w:rPr>
        <w:t xml:space="preserve">and </w:t>
      </w:r>
      <w:r w:rsidR="00850661" w:rsidRPr="0061744C">
        <w:rPr>
          <w:lang w:val="en-US"/>
        </w:rPr>
        <w:t xml:space="preserve">reviewing current dosing recommendations. </w:t>
      </w:r>
      <w:r w:rsidR="006D4183" w:rsidRPr="0061744C">
        <w:rPr>
          <w:lang w:val="en-US"/>
        </w:rPr>
        <w:t>In addition, the use of the ‘</w:t>
      </w:r>
      <w:r w:rsidR="00D34B8A" w:rsidRPr="0061744C">
        <w:rPr>
          <w:lang w:val="en-US"/>
        </w:rPr>
        <w:t>O</w:t>
      </w:r>
      <w:r w:rsidR="006D4183" w:rsidRPr="0061744C">
        <w:rPr>
          <w:lang w:val="en-US"/>
        </w:rPr>
        <w:t xml:space="preserve">ther’ criteria for access requires assessment to ensure that patients are not being prescribed Ig for indications that are otherwise precluded in the Criteria. </w:t>
      </w:r>
      <w:r w:rsidR="00850661" w:rsidRPr="0061744C">
        <w:rPr>
          <w:lang w:val="en-US"/>
        </w:rPr>
        <w:t>MSAC was of a mind to review the application in 12</w:t>
      </w:r>
      <w:r w:rsidR="00E2558F" w:rsidRPr="0061744C">
        <w:rPr>
          <w:lang w:val="en-US"/>
        </w:rPr>
        <w:t> </w:t>
      </w:r>
      <w:r w:rsidR="00850661" w:rsidRPr="0061744C">
        <w:rPr>
          <w:lang w:val="en-US"/>
        </w:rPr>
        <w:t xml:space="preserve">months’ time, should additional data become available to inform the cost-effectiveness of Ig in </w:t>
      </w:r>
      <w:r w:rsidR="00E909E6" w:rsidRPr="0061744C">
        <w:rPr>
          <w:lang w:val="en-US"/>
        </w:rPr>
        <w:t>SHGG</w:t>
      </w:r>
      <w:r w:rsidR="00850661" w:rsidRPr="0061744C">
        <w:rPr>
          <w:lang w:val="en-US"/>
        </w:rPr>
        <w:t>.</w:t>
      </w:r>
    </w:p>
    <w:tbl>
      <w:tblPr>
        <w:tblStyle w:val="TableGrid"/>
        <w:tblW w:w="0" w:type="auto"/>
        <w:tblLook w:val="04A0" w:firstRow="1" w:lastRow="0" w:firstColumn="1" w:lastColumn="0" w:noHBand="0" w:noVBand="1"/>
        <w:tblDescription w:val="Consumer summary of MSAC consideration"/>
      </w:tblPr>
      <w:tblGrid>
        <w:gridCol w:w="9016"/>
      </w:tblGrid>
      <w:tr w:rsidR="005455A7" w:rsidRPr="005455A7" w14:paraId="4BF8C6A1" w14:textId="77777777" w:rsidTr="005455A7">
        <w:trPr>
          <w:tblHeader/>
        </w:trPr>
        <w:tc>
          <w:tcPr>
            <w:tcW w:w="9016" w:type="dxa"/>
          </w:tcPr>
          <w:p w14:paraId="6FCAA3BF" w14:textId="4DFC542B" w:rsidR="005455A7" w:rsidRPr="005455A7" w:rsidRDefault="005455A7" w:rsidP="005455A7">
            <w:pPr>
              <w:pStyle w:val="Default"/>
              <w:spacing w:before="120" w:after="120"/>
              <w:rPr>
                <w:b/>
                <w:lang w:val="en-US"/>
              </w:rPr>
            </w:pPr>
            <w:r w:rsidRPr="005455A7">
              <w:rPr>
                <w:b/>
                <w:lang w:val="en-US"/>
              </w:rPr>
              <w:t>Consumer summary</w:t>
            </w:r>
          </w:p>
        </w:tc>
      </w:tr>
      <w:tr w:rsidR="005455A7" w14:paraId="7FBB2975" w14:textId="77777777" w:rsidTr="005455A7">
        <w:tc>
          <w:tcPr>
            <w:tcW w:w="9016" w:type="dxa"/>
          </w:tcPr>
          <w:p w14:paraId="580AF984" w14:textId="77777777" w:rsidR="005455A7" w:rsidRDefault="005455A7" w:rsidP="005455A7">
            <w:pPr>
              <w:pStyle w:val="Default"/>
              <w:spacing w:before="120" w:after="240"/>
              <w:rPr>
                <w:color w:val="auto"/>
              </w:rPr>
            </w:pPr>
            <w:r w:rsidRPr="008D37EB">
              <w:rPr>
                <w:color w:val="auto"/>
              </w:rPr>
              <w:t xml:space="preserve">The National Blood Authority (NBA) sought advice from MSAC on the government-funded supply of human antibodies (immunoglobulin, or Ig) used to treat </w:t>
            </w:r>
            <w:r w:rsidRPr="00957BE2">
              <w:rPr>
                <w:color w:val="auto"/>
              </w:rPr>
              <w:t>secondary hypogammaglobulinaemia (SHGG).</w:t>
            </w:r>
            <w:r w:rsidRPr="008D37EB">
              <w:rPr>
                <w:color w:val="auto"/>
              </w:rPr>
              <w:t xml:space="preserve"> The NBA is the statutory agency within the Australian Government Health portfolio that manages and coordinates arrangements for the supply of blood and blood products and services on behalf of the Australian Government and state and territory governments. This referral to review the use of Ig in </w:t>
            </w:r>
            <w:r>
              <w:rPr>
                <w:color w:val="auto"/>
              </w:rPr>
              <w:t>SHGG</w:t>
            </w:r>
            <w:r w:rsidRPr="008D37EB">
              <w:rPr>
                <w:color w:val="auto"/>
              </w:rPr>
              <w:t xml:space="preserve"> is included as part of the</w:t>
            </w:r>
            <w:r>
              <w:rPr>
                <w:color w:val="auto"/>
              </w:rPr>
              <w:t xml:space="preserve"> </w:t>
            </w:r>
            <w:r w:rsidRPr="008D37EB">
              <w:rPr>
                <w:color w:val="auto"/>
              </w:rPr>
              <w:t xml:space="preserve"> </w:t>
            </w:r>
            <w:r w:rsidRPr="00FB7B4C">
              <w:rPr>
                <w:color w:val="auto"/>
              </w:rPr>
              <w:t>Ig Reviews, which aim to ensure that government-funded Ig use within Australia is based on evidence of clinical safety, effectiveness and cost-effectiveness.</w:t>
            </w:r>
            <w:r w:rsidRPr="00FB7B4C" w:rsidDel="00367370">
              <w:rPr>
                <w:color w:val="auto"/>
                <w:highlight w:val="lightGray"/>
              </w:rPr>
              <w:t xml:space="preserve"> </w:t>
            </w:r>
          </w:p>
          <w:p w14:paraId="38132781" w14:textId="77777777" w:rsidR="005455A7" w:rsidRDefault="005455A7" w:rsidP="005455A7">
            <w:pPr>
              <w:pStyle w:val="Default"/>
              <w:spacing w:before="120" w:after="240"/>
              <w:rPr>
                <w:color w:val="auto"/>
              </w:rPr>
            </w:pPr>
            <w:r>
              <w:rPr>
                <w:color w:val="auto"/>
              </w:rPr>
              <w:t>Hypogammaglobulinaemia (HGG) weakens</w:t>
            </w:r>
            <w:r w:rsidRPr="004D2C43">
              <w:rPr>
                <w:color w:val="auto"/>
              </w:rPr>
              <w:t xml:space="preserve"> the immune system</w:t>
            </w:r>
            <w:r>
              <w:rPr>
                <w:color w:val="auto"/>
              </w:rPr>
              <w:t xml:space="preserve">. People with HGG do </w:t>
            </w:r>
            <w:r w:rsidRPr="004D2C43">
              <w:rPr>
                <w:color w:val="auto"/>
              </w:rPr>
              <w:t xml:space="preserve">not </w:t>
            </w:r>
            <w:r>
              <w:rPr>
                <w:color w:val="auto"/>
              </w:rPr>
              <w:t xml:space="preserve">have </w:t>
            </w:r>
            <w:r w:rsidRPr="004D2C43">
              <w:rPr>
                <w:color w:val="auto"/>
              </w:rPr>
              <w:t xml:space="preserve">enough </w:t>
            </w:r>
            <w:r>
              <w:rPr>
                <w:color w:val="auto"/>
              </w:rPr>
              <w:t>immunoglobulin (Ig)</w:t>
            </w:r>
            <w:r w:rsidRPr="004D2C43">
              <w:rPr>
                <w:color w:val="auto"/>
              </w:rPr>
              <w:t xml:space="preserve"> in the</w:t>
            </w:r>
            <w:r>
              <w:rPr>
                <w:color w:val="auto"/>
              </w:rPr>
              <w:t>ir</w:t>
            </w:r>
            <w:r w:rsidRPr="004D2C43">
              <w:rPr>
                <w:color w:val="auto"/>
              </w:rPr>
              <w:t xml:space="preserve"> blood</w:t>
            </w:r>
            <w:r>
              <w:rPr>
                <w:color w:val="auto"/>
              </w:rPr>
              <w:t xml:space="preserve">, which increases their </w:t>
            </w:r>
            <w:r w:rsidRPr="004D2C43">
              <w:rPr>
                <w:color w:val="auto"/>
              </w:rPr>
              <w:t>risk of infection</w:t>
            </w:r>
            <w:r>
              <w:rPr>
                <w:color w:val="auto"/>
              </w:rPr>
              <w:t xml:space="preserve"> and complications</w:t>
            </w:r>
            <w:r w:rsidRPr="004D2C43">
              <w:rPr>
                <w:color w:val="auto"/>
              </w:rPr>
              <w:t xml:space="preserve">. </w:t>
            </w:r>
            <w:r>
              <w:rPr>
                <w:color w:val="auto"/>
              </w:rPr>
              <w:t>Secondary HGG can be caused by various conditions such as thymoma (a tumour originating from thymus cells) or by some treatments, such as organ transplant or immunosuppressant therapies such as B-cell depleting therapies (i.e.</w:t>
            </w:r>
            <w:r>
              <w:t xml:space="preserve"> </w:t>
            </w:r>
            <w:r w:rsidRPr="00FB7B4C">
              <w:rPr>
                <w:color w:val="auto"/>
              </w:rPr>
              <w:t>medicines</w:t>
            </w:r>
            <w:r>
              <w:rPr>
                <w:color w:val="auto"/>
              </w:rPr>
              <w:t xml:space="preserve"> or treatments</w:t>
            </w:r>
            <w:r w:rsidRPr="00FB7B4C">
              <w:rPr>
                <w:color w:val="auto"/>
              </w:rPr>
              <w:t xml:space="preserve"> that decrease this type of white blood cell</w:t>
            </w:r>
            <w:r>
              <w:rPr>
                <w:color w:val="auto"/>
              </w:rPr>
              <w:t xml:space="preserve">). Management of the underlying cause of HGG may reverse the condition, but sometimes secondary HGG will persist and patients may require ongoing Ig replacement therapy. </w:t>
            </w:r>
            <w:r>
              <w:t>Ig is a standard treatment for patients with SHGG</w:t>
            </w:r>
            <w:r w:rsidRPr="0016110A">
              <w:rPr>
                <w:color w:val="auto"/>
              </w:rPr>
              <w:t xml:space="preserve"> </w:t>
            </w:r>
            <w:r>
              <w:rPr>
                <w:color w:val="auto"/>
              </w:rPr>
              <w:t>and c</w:t>
            </w:r>
            <w:r w:rsidRPr="0016110A">
              <w:rPr>
                <w:color w:val="auto"/>
              </w:rPr>
              <w:t xml:space="preserve">linicians and consumers </w:t>
            </w:r>
            <w:r>
              <w:rPr>
                <w:color w:val="auto"/>
              </w:rPr>
              <w:t xml:space="preserve">submitted that </w:t>
            </w:r>
            <w:r w:rsidRPr="0016110A">
              <w:rPr>
                <w:color w:val="auto"/>
              </w:rPr>
              <w:t xml:space="preserve">continued access to Ig </w:t>
            </w:r>
            <w:r>
              <w:rPr>
                <w:color w:val="auto"/>
              </w:rPr>
              <w:t>is</w:t>
            </w:r>
            <w:r w:rsidRPr="0016110A">
              <w:rPr>
                <w:color w:val="auto"/>
              </w:rPr>
              <w:t xml:space="preserve"> important</w:t>
            </w:r>
            <w:r>
              <w:rPr>
                <w:color w:val="auto"/>
              </w:rPr>
              <w:t xml:space="preserve">. </w:t>
            </w:r>
          </w:p>
          <w:p w14:paraId="51DF3E94" w14:textId="011F1417" w:rsidR="005455A7" w:rsidRPr="00FD5CE8" w:rsidRDefault="005455A7" w:rsidP="005455A7">
            <w:pPr>
              <w:pStyle w:val="Default"/>
              <w:spacing w:before="120" w:after="240"/>
            </w:pPr>
            <w:r>
              <w:t>MSAC advised that Ig should continue to be available to treat people with SHGG but more evidence is required to confirm that it is clinically effective and cost effective. MSAC also noted that BloodSTAR data (</w:t>
            </w:r>
            <w:hyperlink r:id="rId10" w:tooltip="Link to National Blood Authority web page for Bloodstar" w:history="1">
              <w:r w:rsidRPr="00B43643">
                <w:rPr>
                  <w:rStyle w:val="Hyperlink"/>
                </w:rPr>
                <w:t>https://www.blood.gov.au/bloodstar</w:t>
              </w:r>
            </w:hyperlink>
            <w:r>
              <w:rPr>
                <w:color w:val="1F497D" w:themeColor="text2"/>
              </w:rPr>
              <w:t xml:space="preserve">) </w:t>
            </w:r>
            <w:r>
              <w:t>i.e. data from the national government</w:t>
            </w:r>
            <w:r>
              <w:rPr>
                <w:rFonts w:ascii="Arial" w:hAnsi="Arial" w:cs="Arial"/>
                <w:color w:val="4D5156"/>
                <w:sz w:val="21"/>
                <w:szCs w:val="21"/>
                <w:shd w:val="clear" w:color="auto" w:fill="FFFFFF"/>
              </w:rPr>
              <w:t> </w:t>
            </w:r>
            <w:r w:rsidRPr="00FD5CE8">
              <w:t>online system to manage access to the supply of government funded immunoglobulin products</w:t>
            </w:r>
            <w:r>
              <w:t xml:space="preserve">, could be further developed to inform future decisions about best use of Ig products. </w:t>
            </w:r>
          </w:p>
          <w:p w14:paraId="21E8EC3A" w14:textId="013CF861" w:rsidR="005455A7" w:rsidRPr="00E45464" w:rsidRDefault="005455A7" w:rsidP="005455A7">
            <w:pPr>
              <w:pStyle w:val="Default"/>
              <w:spacing w:before="120" w:after="240"/>
              <w:rPr>
                <w:color w:val="auto"/>
              </w:rPr>
            </w:pPr>
            <w:r w:rsidRPr="0016110A">
              <w:rPr>
                <w:color w:val="auto"/>
              </w:rPr>
              <w:t xml:space="preserve">MSAC noted </w:t>
            </w:r>
            <w:r>
              <w:rPr>
                <w:color w:val="auto"/>
              </w:rPr>
              <w:t xml:space="preserve">that the use of </w:t>
            </w:r>
            <w:r w:rsidRPr="0016110A">
              <w:rPr>
                <w:color w:val="auto"/>
              </w:rPr>
              <w:t xml:space="preserve">Ig </w:t>
            </w:r>
            <w:r>
              <w:rPr>
                <w:color w:val="auto"/>
              </w:rPr>
              <w:t xml:space="preserve">by </w:t>
            </w:r>
            <w:r w:rsidRPr="0016110A">
              <w:rPr>
                <w:color w:val="auto"/>
              </w:rPr>
              <w:t xml:space="preserve">this small patient population appears to be increasing </w:t>
            </w:r>
            <w:r>
              <w:rPr>
                <w:color w:val="auto"/>
              </w:rPr>
              <w:t>at a higher rate</w:t>
            </w:r>
            <w:r w:rsidRPr="0016110A">
              <w:rPr>
                <w:color w:val="auto"/>
              </w:rPr>
              <w:t xml:space="preserve"> compared with</w:t>
            </w:r>
            <w:r>
              <w:rPr>
                <w:color w:val="auto"/>
              </w:rPr>
              <w:t xml:space="preserve"> its use for</w:t>
            </w:r>
            <w:r w:rsidRPr="0016110A">
              <w:rPr>
                <w:color w:val="auto"/>
              </w:rPr>
              <w:t xml:space="preserve"> other conditions. </w:t>
            </w:r>
            <w:r>
              <w:rPr>
                <w:color w:val="auto"/>
              </w:rPr>
              <w:t xml:space="preserve">There is a lack of evidence overall to demonstrate whether </w:t>
            </w:r>
            <w:r w:rsidRPr="00334E45">
              <w:rPr>
                <w:color w:val="auto"/>
              </w:rPr>
              <w:t xml:space="preserve">Ig therapy is only </w:t>
            </w:r>
            <w:r>
              <w:rPr>
                <w:color w:val="auto"/>
              </w:rPr>
              <w:t xml:space="preserve">being </w:t>
            </w:r>
            <w:r w:rsidRPr="00334E45">
              <w:rPr>
                <w:color w:val="auto"/>
              </w:rPr>
              <w:t>prescribed to people who obtain</w:t>
            </w:r>
            <w:r>
              <w:rPr>
                <w:color w:val="auto"/>
              </w:rPr>
              <w:t xml:space="preserve"> clear</w:t>
            </w:r>
            <w:r w:rsidRPr="00334E45">
              <w:rPr>
                <w:color w:val="auto"/>
              </w:rPr>
              <w:t xml:space="preserve"> benefi</w:t>
            </w:r>
            <w:r>
              <w:rPr>
                <w:color w:val="auto"/>
              </w:rPr>
              <w:t xml:space="preserve">t. Cost projections based on current rates of usage of Ig products indicate </w:t>
            </w:r>
            <w:r w:rsidRPr="0039732F">
              <w:rPr>
                <w:color w:val="auto"/>
              </w:rPr>
              <w:t xml:space="preserve">Ig product costs </w:t>
            </w:r>
            <w:r>
              <w:rPr>
                <w:color w:val="auto"/>
              </w:rPr>
              <w:t>could i</w:t>
            </w:r>
            <w:r w:rsidRPr="0039732F">
              <w:rPr>
                <w:color w:val="auto"/>
              </w:rPr>
              <w:t>ncrease from about $15.3 million in 2018-2019 to about $41.3 million in 2023-2024</w:t>
            </w:r>
            <w:r>
              <w:rPr>
                <w:color w:val="auto"/>
              </w:rPr>
              <w:t xml:space="preserve">. MSAC proposed that </w:t>
            </w:r>
            <w:r w:rsidRPr="0039732F">
              <w:rPr>
                <w:color w:val="auto"/>
              </w:rPr>
              <w:t xml:space="preserve">further </w:t>
            </w:r>
            <w:r>
              <w:rPr>
                <w:color w:val="auto"/>
              </w:rPr>
              <w:t xml:space="preserve">research and </w:t>
            </w:r>
            <w:r w:rsidRPr="0039732F">
              <w:rPr>
                <w:color w:val="auto"/>
              </w:rPr>
              <w:t xml:space="preserve">work be done to identify areas for potential </w:t>
            </w:r>
            <w:r>
              <w:rPr>
                <w:color w:val="auto"/>
              </w:rPr>
              <w:t>improvements in data collection to</w:t>
            </w:r>
            <w:r w:rsidRPr="0039732F">
              <w:rPr>
                <w:color w:val="auto"/>
              </w:rPr>
              <w:t xml:space="preserve"> inform any future </w:t>
            </w:r>
            <w:r>
              <w:rPr>
                <w:color w:val="auto"/>
              </w:rPr>
              <w:t xml:space="preserve">cost-effectiveness </w:t>
            </w:r>
            <w:r w:rsidRPr="0039732F">
              <w:rPr>
                <w:color w:val="auto"/>
              </w:rPr>
              <w:t>evaluations</w:t>
            </w:r>
            <w:r>
              <w:rPr>
                <w:color w:val="auto"/>
              </w:rPr>
              <w:t>.</w:t>
            </w:r>
          </w:p>
        </w:tc>
      </w:tr>
    </w:tbl>
    <w:p w14:paraId="0428D60E" w14:textId="77777777" w:rsidR="00E45464" w:rsidRDefault="00E45464" w:rsidP="00E45464">
      <w:bookmarkStart w:id="0" w:name="_Hlk59553193"/>
    </w:p>
    <w:tbl>
      <w:tblPr>
        <w:tblStyle w:val="TableGrid"/>
        <w:tblW w:w="0" w:type="auto"/>
        <w:tblLook w:val="04A0" w:firstRow="1" w:lastRow="0" w:firstColumn="1" w:lastColumn="0" w:noHBand="0" w:noVBand="1"/>
        <w:tblDescription w:val="Consumer summary of MSAC consideration"/>
      </w:tblPr>
      <w:tblGrid>
        <w:gridCol w:w="9016"/>
      </w:tblGrid>
      <w:tr w:rsidR="00E45464" w:rsidRPr="005455A7" w14:paraId="4CB95BA0" w14:textId="77777777" w:rsidTr="004F77D7">
        <w:trPr>
          <w:tblHeader/>
        </w:trPr>
        <w:tc>
          <w:tcPr>
            <w:tcW w:w="9016" w:type="dxa"/>
          </w:tcPr>
          <w:p w14:paraId="359914A2" w14:textId="0F2E603D" w:rsidR="00E45464" w:rsidRPr="00E45464" w:rsidRDefault="00E45464" w:rsidP="00E45464">
            <w:pPr>
              <w:pStyle w:val="Default"/>
              <w:spacing w:before="120" w:after="240"/>
              <w:rPr>
                <w:b/>
                <w:color w:val="auto"/>
              </w:rPr>
            </w:pPr>
            <w:r w:rsidRPr="00C06B0B">
              <w:rPr>
                <w:b/>
                <w:color w:val="auto"/>
              </w:rPr>
              <w:t xml:space="preserve">MSAC’s </w:t>
            </w:r>
            <w:r>
              <w:rPr>
                <w:b/>
                <w:color w:val="auto"/>
              </w:rPr>
              <w:t>advice</w:t>
            </w:r>
            <w:r w:rsidRPr="00C06B0B">
              <w:rPr>
                <w:b/>
                <w:color w:val="auto"/>
              </w:rPr>
              <w:t xml:space="preserve"> to the </w:t>
            </w:r>
            <w:r>
              <w:rPr>
                <w:b/>
                <w:color w:val="auto"/>
              </w:rPr>
              <w:t>National Blood Authority</w:t>
            </w:r>
          </w:p>
        </w:tc>
      </w:tr>
      <w:tr w:rsidR="00E45464" w14:paraId="065AF296" w14:textId="77777777" w:rsidTr="004F77D7">
        <w:tc>
          <w:tcPr>
            <w:tcW w:w="9016" w:type="dxa"/>
          </w:tcPr>
          <w:p w14:paraId="7AE3DAD7" w14:textId="77777777" w:rsidR="00E45464" w:rsidRDefault="00E45464" w:rsidP="004F77D7">
            <w:pPr>
              <w:pStyle w:val="Default"/>
              <w:spacing w:before="120" w:after="240"/>
              <w:rPr>
                <w:color w:val="auto"/>
              </w:rPr>
            </w:pPr>
            <w:r w:rsidRPr="002B3E00">
              <w:rPr>
                <w:color w:val="auto"/>
              </w:rPr>
              <w:t>MSAC advised it support</w:t>
            </w:r>
            <w:r>
              <w:rPr>
                <w:color w:val="auto"/>
              </w:rPr>
              <w:t>s</w:t>
            </w:r>
            <w:r w:rsidRPr="002B3E00">
              <w:rPr>
                <w:color w:val="auto"/>
              </w:rPr>
              <w:t xml:space="preserve"> the continued funding of </w:t>
            </w:r>
            <w:r>
              <w:rPr>
                <w:color w:val="auto"/>
              </w:rPr>
              <w:t>Ig</w:t>
            </w:r>
            <w:r w:rsidRPr="002B3E00">
              <w:rPr>
                <w:color w:val="auto"/>
              </w:rPr>
              <w:t xml:space="preserve"> </w:t>
            </w:r>
            <w:r>
              <w:rPr>
                <w:color w:val="auto"/>
              </w:rPr>
              <w:t xml:space="preserve">for </w:t>
            </w:r>
            <w:r w:rsidRPr="00957BE2">
              <w:rPr>
                <w:color w:val="auto"/>
              </w:rPr>
              <w:t>secondary hypogammaglobulinaemia (SHGG)</w:t>
            </w:r>
            <w:r w:rsidRPr="002B3E00">
              <w:rPr>
                <w:color w:val="auto"/>
              </w:rPr>
              <w:t>, noting Ig use for SH</w:t>
            </w:r>
            <w:r>
              <w:rPr>
                <w:color w:val="auto"/>
              </w:rPr>
              <w:t>G</w:t>
            </w:r>
            <w:r w:rsidRPr="002B3E00">
              <w:rPr>
                <w:color w:val="auto"/>
              </w:rPr>
              <w:t xml:space="preserve">G is an accepted standard of care. </w:t>
            </w:r>
            <w:r>
              <w:rPr>
                <w:color w:val="auto"/>
              </w:rPr>
              <w:t xml:space="preserve">However, </w:t>
            </w:r>
            <w:r w:rsidRPr="002B3E00">
              <w:rPr>
                <w:color w:val="auto"/>
              </w:rPr>
              <w:t>MSAC considered the published evidence and available BloodSTAR data to be insufficient to evaluate clinical effectiveness and cost-effectiveness of Ig therapy for th</w:t>
            </w:r>
            <w:r>
              <w:rPr>
                <w:color w:val="auto"/>
              </w:rPr>
              <w:t>e overall population with SHGG.</w:t>
            </w:r>
          </w:p>
          <w:p w14:paraId="124F533C" w14:textId="77777777" w:rsidR="00E45464" w:rsidRPr="002B3E00" w:rsidRDefault="00E45464" w:rsidP="004F77D7">
            <w:pPr>
              <w:pStyle w:val="Default"/>
              <w:spacing w:before="120" w:after="240"/>
              <w:rPr>
                <w:color w:val="auto"/>
              </w:rPr>
            </w:pPr>
            <w:r w:rsidRPr="002B3E00">
              <w:rPr>
                <w:color w:val="auto"/>
              </w:rPr>
              <w:t xml:space="preserve">MSAC </w:t>
            </w:r>
            <w:r>
              <w:rPr>
                <w:color w:val="auto"/>
              </w:rPr>
              <w:t>was concerned that</w:t>
            </w:r>
            <w:r w:rsidRPr="002B3E00">
              <w:rPr>
                <w:color w:val="auto"/>
              </w:rPr>
              <w:t xml:space="preserve"> Ig use in this small patient population appears to be increasing disproportionately compared </w:t>
            </w:r>
            <w:r w:rsidRPr="00C33DD1">
              <w:rPr>
                <w:color w:val="auto"/>
              </w:rPr>
              <w:t>with the increase</w:t>
            </w:r>
            <w:r>
              <w:rPr>
                <w:color w:val="auto"/>
              </w:rPr>
              <w:t xml:space="preserve"> observed for alternative</w:t>
            </w:r>
            <w:r w:rsidRPr="00C33DD1">
              <w:rPr>
                <w:color w:val="auto"/>
              </w:rPr>
              <w:t xml:space="preserve"> Ig indications</w:t>
            </w:r>
            <w:r>
              <w:rPr>
                <w:color w:val="auto"/>
              </w:rPr>
              <w:t xml:space="preserve"> with very little evidence to support this use. MSAC understood that </w:t>
            </w:r>
            <w:r w:rsidRPr="000F01A3">
              <w:rPr>
                <w:color w:val="auto"/>
              </w:rPr>
              <w:t xml:space="preserve">the increasing use of B cell depleting therapies </w:t>
            </w:r>
            <w:r>
              <w:rPr>
                <w:color w:val="auto"/>
              </w:rPr>
              <w:t>(e.g. rituximab) may</w:t>
            </w:r>
            <w:r w:rsidRPr="000F01A3">
              <w:rPr>
                <w:color w:val="auto"/>
              </w:rPr>
              <w:t xml:space="preserve"> be contributing to the higher growth rate observed for this subgroup</w:t>
            </w:r>
            <w:r>
              <w:rPr>
                <w:color w:val="auto"/>
              </w:rPr>
              <w:t>. MSAC remained concerned that patients classified as having “Other HGG” accounted for the majority of Ig use in the overall SHGG population, with no information collected on the underlying conditions within this subgroup</w:t>
            </w:r>
            <w:r w:rsidRPr="000F01A3">
              <w:rPr>
                <w:color w:val="auto"/>
              </w:rPr>
              <w:t>.</w:t>
            </w:r>
          </w:p>
          <w:p w14:paraId="0838D248" w14:textId="77777777" w:rsidR="00E45464" w:rsidRPr="0061744C" w:rsidRDefault="00E45464" w:rsidP="004F77D7">
            <w:pPr>
              <w:pStyle w:val="Default"/>
              <w:spacing w:before="120" w:after="240"/>
              <w:rPr>
                <w:color w:val="auto"/>
              </w:rPr>
            </w:pPr>
            <w:r>
              <w:rPr>
                <w:color w:val="auto"/>
              </w:rPr>
              <w:t>MSAC accepted that further development of BloodSTAR data may provide more insights</w:t>
            </w:r>
            <w:r>
              <w:t xml:space="preserve"> </w:t>
            </w:r>
            <w:r w:rsidRPr="000277D4">
              <w:rPr>
                <w:color w:val="auto"/>
              </w:rPr>
              <w:t xml:space="preserve">on </w:t>
            </w:r>
            <w:r>
              <w:rPr>
                <w:color w:val="auto"/>
              </w:rPr>
              <w:t xml:space="preserve">treatment </w:t>
            </w:r>
            <w:r w:rsidRPr="000277D4">
              <w:rPr>
                <w:color w:val="auto"/>
              </w:rPr>
              <w:t>duration, trends and growth</w:t>
            </w:r>
            <w:r>
              <w:rPr>
                <w:color w:val="auto"/>
              </w:rPr>
              <w:t>, noting that the Criteria V3 was introduced in October 2018.  MSAC suggested that data collection through BloodSTAR could be improved in various ways. For example</w:t>
            </w:r>
            <w:r w:rsidRPr="0061744C">
              <w:rPr>
                <w:color w:val="auto"/>
              </w:rPr>
              <w:t>, improved granularity of the underlying conditions included in the “Other HGG” subgroup is required to ensure appropriateness of Ig use.</w:t>
            </w:r>
            <w:r w:rsidRPr="0061744C">
              <w:rPr>
                <w:lang w:val="en-US"/>
              </w:rPr>
              <w:t xml:space="preserve"> MSAC also considered that collection of outcome data (pre and post- Ig treatment data) in BloodSTAR, and linkage of BloodSTAR data with other datasets such as registry, hospital, MBS and PBS data could also help address issues relating to poor quality evidence and uncertain outcomes.</w:t>
            </w:r>
          </w:p>
          <w:p w14:paraId="06E7D174" w14:textId="77777777" w:rsidR="00E45464" w:rsidRDefault="00E45464" w:rsidP="004F77D7">
            <w:pPr>
              <w:pStyle w:val="Default"/>
              <w:spacing w:before="120" w:after="240"/>
              <w:rPr>
                <w:lang w:val="en-US"/>
              </w:rPr>
            </w:pPr>
            <w:r w:rsidRPr="0061744C">
              <w:rPr>
                <w:lang w:val="en-US"/>
              </w:rPr>
              <w:t xml:space="preserve">MSAC proposed that a scoping exercise to explore the feasibility of conducting further research be undertaken. </w:t>
            </w:r>
            <w:r w:rsidRPr="0061744C">
              <w:t>This would identify areas for potential research which may inform any future evaluations of clinical and cost-effectiveness and inform the decision whether to make an application to the Medical Research Future Fund (MRFF)</w:t>
            </w:r>
            <w:r>
              <w:t xml:space="preserve"> or research funding available in other ways, including under the national blood arrangements</w:t>
            </w:r>
            <w:r w:rsidRPr="0061744C">
              <w:rPr>
                <w:lang w:val="en-US"/>
              </w:rPr>
              <w:t>.</w:t>
            </w:r>
            <w:r w:rsidRPr="0061744C">
              <w:rPr>
                <w:color w:val="auto"/>
              </w:rPr>
              <w:t xml:space="preserve"> Considerations should include: </w:t>
            </w:r>
            <w:r w:rsidRPr="0061744C">
              <w:rPr>
                <w:lang w:val="en-US"/>
              </w:rPr>
              <w:t>better defining the eligibility requirements to access Ig therapy (thresholds for treatment commencement/continuation such as targeting particular Ig levels), reviewing current dosing recommendations (evaluation of the use of ideal body weight (IBW) as a way to optimise Ig use</w:t>
            </w:r>
            <w:r>
              <w:rPr>
                <w:lang w:val="en-US"/>
              </w:rPr>
              <w:t>)</w:t>
            </w:r>
            <w:r w:rsidRPr="0061744C">
              <w:rPr>
                <w:lang w:val="en-US"/>
              </w:rPr>
              <w:t xml:space="preserve"> or exploring dose-equivalence comparisons between SCIg and IVIg).</w:t>
            </w:r>
          </w:p>
        </w:tc>
      </w:tr>
    </w:tbl>
    <w:p w14:paraId="16DC85BF" w14:textId="2E632FDB" w:rsidR="00550354" w:rsidRPr="00F715D1" w:rsidRDefault="00550354" w:rsidP="005455A7">
      <w:pPr>
        <w:pStyle w:val="Heading1"/>
      </w:pPr>
      <w:r w:rsidRPr="00F715D1">
        <w:t xml:space="preserve">Summary of consideration and rationale for MSAC’s advice </w:t>
      </w:r>
    </w:p>
    <w:bookmarkEnd w:id="0"/>
    <w:p w14:paraId="62DD225D" w14:textId="2CE29277" w:rsidR="00090294" w:rsidRDefault="00C5563A" w:rsidP="00713284">
      <w:pPr>
        <w:spacing w:before="120" w:after="240"/>
        <w:rPr>
          <w:szCs w:val="24"/>
        </w:rPr>
      </w:pPr>
      <w:r w:rsidRPr="00C5563A">
        <w:rPr>
          <w:szCs w:val="24"/>
        </w:rPr>
        <w:t xml:space="preserve">In Australia, Ig </w:t>
      </w:r>
      <w:r w:rsidR="00DF4020">
        <w:rPr>
          <w:szCs w:val="24"/>
        </w:rPr>
        <w:t xml:space="preserve">replacement therapy </w:t>
      </w:r>
      <w:r w:rsidRPr="00C5563A">
        <w:rPr>
          <w:szCs w:val="24"/>
        </w:rPr>
        <w:t xml:space="preserve">for the treatment of </w:t>
      </w:r>
      <w:r w:rsidR="005F24F3">
        <w:rPr>
          <w:szCs w:val="24"/>
        </w:rPr>
        <w:t>secondary hypogammaglobulinaemia (SHGG)</w:t>
      </w:r>
      <w:r w:rsidRPr="00C5563A">
        <w:rPr>
          <w:szCs w:val="24"/>
        </w:rPr>
        <w:t xml:space="preserve"> is </w:t>
      </w:r>
      <w:r w:rsidR="005F24F3">
        <w:rPr>
          <w:szCs w:val="24"/>
        </w:rPr>
        <w:t xml:space="preserve">funded </w:t>
      </w:r>
      <w:r w:rsidR="00090294" w:rsidRPr="00DF4020">
        <w:rPr>
          <w:szCs w:val="24"/>
        </w:rPr>
        <w:t xml:space="preserve">under the </w:t>
      </w:r>
      <w:r w:rsidR="00090294">
        <w:rPr>
          <w:szCs w:val="24"/>
        </w:rPr>
        <w:t>N</w:t>
      </w:r>
      <w:r w:rsidR="00090294" w:rsidRPr="00DF4020">
        <w:rPr>
          <w:szCs w:val="24"/>
        </w:rPr>
        <w:t xml:space="preserve">ational </w:t>
      </w:r>
      <w:r w:rsidR="00090294">
        <w:rPr>
          <w:szCs w:val="24"/>
        </w:rPr>
        <w:t>B</w:t>
      </w:r>
      <w:r w:rsidR="00090294" w:rsidRPr="00DF4020">
        <w:rPr>
          <w:szCs w:val="24"/>
        </w:rPr>
        <w:t xml:space="preserve">lood </w:t>
      </w:r>
      <w:r w:rsidR="00090294">
        <w:rPr>
          <w:szCs w:val="24"/>
        </w:rPr>
        <w:t>S</w:t>
      </w:r>
      <w:r w:rsidR="00090294" w:rsidRPr="00DF4020">
        <w:rPr>
          <w:szCs w:val="24"/>
        </w:rPr>
        <w:t xml:space="preserve">upply </w:t>
      </w:r>
      <w:r w:rsidR="00090294">
        <w:rPr>
          <w:szCs w:val="24"/>
        </w:rPr>
        <w:t>A</w:t>
      </w:r>
      <w:r w:rsidR="00090294" w:rsidRPr="00DF4020">
        <w:rPr>
          <w:szCs w:val="24"/>
        </w:rPr>
        <w:t>rrangements</w:t>
      </w:r>
      <w:r w:rsidR="00090294">
        <w:rPr>
          <w:szCs w:val="24"/>
        </w:rPr>
        <w:t xml:space="preserve"> </w:t>
      </w:r>
      <w:r w:rsidR="005F24F3">
        <w:rPr>
          <w:szCs w:val="24"/>
        </w:rPr>
        <w:t xml:space="preserve">for </w:t>
      </w:r>
      <w:r w:rsidR="00094B73">
        <w:rPr>
          <w:szCs w:val="24"/>
        </w:rPr>
        <w:t>subcutaneous (SC</w:t>
      </w:r>
      <w:r w:rsidR="005F24F3" w:rsidRPr="005F24F3">
        <w:rPr>
          <w:szCs w:val="24"/>
        </w:rPr>
        <w:t>) and intra</w:t>
      </w:r>
      <w:r w:rsidR="00094B73">
        <w:rPr>
          <w:szCs w:val="24"/>
        </w:rPr>
        <w:t>venous (IV</w:t>
      </w:r>
      <w:r w:rsidR="005F24F3" w:rsidRPr="005F24F3">
        <w:rPr>
          <w:szCs w:val="24"/>
        </w:rPr>
        <w:t>) administration</w:t>
      </w:r>
      <w:r w:rsidR="00090294">
        <w:rPr>
          <w:szCs w:val="24"/>
        </w:rPr>
        <w:t>.</w:t>
      </w:r>
      <w:r w:rsidR="005F24F3" w:rsidRPr="005F24F3">
        <w:rPr>
          <w:szCs w:val="24"/>
        </w:rPr>
        <w:t xml:space="preserve"> </w:t>
      </w:r>
      <w:r w:rsidR="00090294">
        <w:rPr>
          <w:szCs w:val="24"/>
        </w:rPr>
        <w:t xml:space="preserve">MSAC noted that Ig therapy is </w:t>
      </w:r>
      <w:r w:rsidR="005F24F3">
        <w:rPr>
          <w:szCs w:val="24"/>
        </w:rPr>
        <w:t>an accepted</w:t>
      </w:r>
      <w:r w:rsidR="00EA251D">
        <w:rPr>
          <w:szCs w:val="24"/>
        </w:rPr>
        <w:t xml:space="preserve"> treatment and </w:t>
      </w:r>
      <w:r w:rsidRPr="00C5563A">
        <w:rPr>
          <w:szCs w:val="24"/>
        </w:rPr>
        <w:t>sta</w:t>
      </w:r>
      <w:bookmarkStart w:id="1" w:name="_GoBack"/>
      <w:bookmarkEnd w:id="1"/>
      <w:r w:rsidRPr="00C5563A">
        <w:rPr>
          <w:szCs w:val="24"/>
        </w:rPr>
        <w:t>nd</w:t>
      </w:r>
      <w:r w:rsidR="005F24F3">
        <w:rPr>
          <w:szCs w:val="24"/>
        </w:rPr>
        <w:t>ard care for patients with SHGG</w:t>
      </w:r>
      <w:r w:rsidR="004A759E">
        <w:rPr>
          <w:szCs w:val="24"/>
        </w:rPr>
        <w:t xml:space="preserve"> </w:t>
      </w:r>
      <w:r w:rsidR="00CC78EB">
        <w:rPr>
          <w:szCs w:val="24"/>
        </w:rPr>
        <w:t>and agreed with the</w:t>
      </w:r>
      <w:r w:rsidR="00EA251D">
        <w:rPr>
          <w:szCs w:val="24"/>
        </w:rPr>
        <w:t xml:space="preserve"> nominated</w:t>
      </w:r>
      <w:r w:rsidR="00CC78EB">
        <w:rPr>
          <w:szCs w:val="24"/>
        </w:rPr>
        <w:t xml:space="preserve"> </w:t>
      </w:r>
      <w:r w:rsidR="00661D92">
        <w:rPr>
          <w:szCs w:val="24"/>
        </w:rPr>
        <w:t>comparator of n</w:t>
      </w:r>
      <w:r w:rsidR="00B35201">
        <w:rPr>
          <w:szCs w:val="24"/>
        </w:rPr>
        <w:t xml:space="preserve">o Ig (with or without antibiotics). </w:t>
      </w:r>
    </w:p>
    <w:p w14:paraId="6F8E1BE3" w14:textId="0C26343B" w:rsidR="00B85084" w:rsidRPr="00B85084" w:rsidRDefault="004A759E" w:rsidP="00713284">
      <w:pPr>
        <w:spacing w:before="120"/>
        <w:rPr>
          <w:szCs w:val="24"/>
        </w:rPr>
      </w:pPr>
      <w:r>
        <w:rPr>
          <w:szCs w:val="24"/>
        </w:rPr>
        <w:t>P</w:t>
      </w:r>
      <w:r w:rsidR="00B85084" w:rsidRPr="00B85084">
        <w:rPr>
          <w:szCs w:val="24"/>
        </w:rPr>
        <w:t xml:space="preserve">atients with </w:t>
      </w:r>
      <w:r w:rsidR="00AD551D">
        <w:rPr>
          <w:szCs w:val="24"/>
        </w:rPr>
        <w:t>SHGG</w:t>
      </w:r>
      <w:r w:rsidR="00B85084" w:rsidRPr="00B85084">
        <w:rPr>
          <w:szCs w:val="24"/>
        </w:rPr>
        <w:t xml:space="preserve"> may be eligible for Ig treatment under the Criteria for the clinical use of immunoglobulin in Australi</w:t>
      </w:r>
      <w:r w:rsidR="00AD551D">
        <w:rPr>
          <w:szCs w:val="24"/>
        </w:rPr>
        <w:t xml:space="preserve">a (version 3) (the Criteria) under the following </w:t>
      </w:r>
      <w:r w:rsidR="00795818">
        <w:rPr>
          <w:szCs w:val="24"/>
        </w:rPr>
        <w:t>specific conditions</w:t>
      </w:r>
      <w:r w:rsidR="00B85084" w:rsidRPr="00B85084">
        <w:rPr>
          <w:szCs w:val="24"/>
        </w:rPr>
        <w:t>:</w:t>
      </w:r>
    </w:p>
    <w:p w14:paraId="355B5674" w14:textId="77777777" w:rsidR="00AD551D" w:rsidRPr="005D6AFA" w:rsidRDefault="00AD551D" w:rsidP="00713284">
      <w:pPr>
        <w:pStyle w:val="ListParagraph"/>
        <w:numPr>
          <w:ilvl w:val="0"/>
          <w:numId w:val="28"/>
        </w:numPr>
        <w:spacing w:before="120" w:after="240"/>
        <w:rPr>
          <w:lang w:val="en-US"/>
        </w:rPr>
      </w:pPr>
      <w:r w:rsidRPr="005D6AFA">
        <w:rPr>
          <w:lang w:val="en-US"/>
        </w:rPr>
        <w:t xml:space="preserve">Hypogammaglobulinaemia following solid organ transplantation </w:t>
      </w:r>
    </w:p>
    <w:p w14:paraId="0C106647" w14:textId="77777777" w:rsidR="00AD551D" w:rsidRPr="005D6AFA" w:rsidRDefault="00AD551D" w:rsidP="00713284">
      <w:pPr>
        <w:pStyle w:val="ListParagraph"/>
        <w:numPr>
          <w:ilvl w:val="0"/>
          <w:numId w:val="28"/>
        </w:numPr>
        <w:spacing w:before="120" w:after="240"/>
        <w:rPr>
          <w:lang w:val="en-US"/>
        </w:rPr>
      </w:pPr>
      <w:r w:rsidRPr="005D6AFA">
        <w:rPr>
          <w:lang w:val="en-US"/>
        </w:rPr>
        <w:t>Hypogammaglobulinaemia following B cell depletion therapy</w:t>
      </w:r>
    </w:p>
    <w:p w14:paraId="4459E938" w14:textId="77777777" w:rsidR="00AD551D" w:rsidRDefault="00AD551D" w:rsidP="00713284">
      <w:pPr>
        <w:pStyle w:val="ListParagraph"/>
        <w:numPr>
          <w:ilvl w:val="0"/>
          <w:numId w:val="28"/>
        </w:numPr>
        <w:spacing w:before="120" w:after="240"/>
        <w:rPr>
          <w:lang w:val="en-US"/>
        </w:rPr>
      </w:pPr>
      <w:r w:rsidRPr="005D6AFA">
        <w:rPr>
          <w:lang w:val="en-US"/>
        </w:rPr>
        <w:t>Thymoma-associated hypogammaglobulinaemia (Goods Syndrome)</w:t>
      </w:r>
    </w:p>
    <w:p w14:paraId="62DE8117" w14:textId="477BF9AB" w:rsidR="00B33BE0" w:rsidRPr="00877AB8" w:rsidRDefault="00AD551D" w:rsidP="00713284">
      <w:pPr>
        <w:pStyle w:val="ListParagraph"/>
        <w:numPr>
          <w:ilvl w:val="0"/>
          <w:numId w:val="28"/>
        </w:numPr>
        <w:spacing w:before="120" w:after="240"/>
        <w:rPr>
          <w:lang w:val="en-US"/>
        </w:rPr>
      </w:pPr>
      <w:r w:rsidRPr="00AD551D">
        <w:rPr>
          <w:lang w:val="en-US"/>
        </w:rPr>
        <w:t>Other Hypogammaglobulinaemia unrelated to haematological malignancies or haemopoietic stem cell transplantation (HSCT).</w:t>
      </w:r>
    </w:p>
    <w:p w14:paraId="7C400469" w14:textId="186F6505" w:rsidR="002A1EE5" w:rsidRPr="002A1EE5" w:rsidRDefault="002A1EE5" w:rsidP="00713284">
      <w:pPr>
        <w:spacing w:before="120" w:after="240"/>
        <w:rPr>
          <w:color w:val="FF0000"/>
          <w:lang w:val="en-US"/>
        </w:rPr>
      </w:pPr>
      <w:r w:rsidRPr="009F3943">
        <w:rPr>
          <w:lang w:val="en-US"/>
        </w:rPr>
        <w:lastRenderedPageBreak/>
        <w:t>MSAC noted that</w:t>
      </w:r>
      <w:r w:rsidR="00EC21D7" w:rsidRPr="009F3943">
        <w:rPr>
          <w:lang w:val="en-US"/>
        </w:rPr>
        <w:t xml:space="preserve"> patients must </w:t>
      </w:r>
      <w:r w:rsidR="00EC21D7" w:rsidRPr="009F3943">
        <w:rPr>
          <w:szCs w:val="24"/>
        </w:rPr>
        <w:t xml:space="preserve">meet the qualifying criteria in order to access Ig therapy for SHGG. For continuation of Ig therapy, an initial review within six months of starting Ig is required, and ongoing reviews by a specialist are required at least annually to assess clinical benefit and whether cessation of Ig therapy should be considered. MSAC noted that documentation of clinical effectiveness (Ig levels and history of infection) is required for continued Ig therapy but thresholds for these measures are not specified. Therefore, the degree of HGG at which a decision </w:t>
      </w:r>
      <w:r w:rsidR="00707F83">
        <w:rPr>
          <w:szCs w:val="24"/>
        </w:rPr>
        <w:t>is</w:t>
      </w:r>
      <w:r w:rsidR="00EC21D7" w:rsidRPr="009F3943">
        <w:rPr>
          <w:szCs w:val="24"/>
        </w:rPr>
        <w:t xml:space="preserve"> made to continue, cease or reduce the dose of Ig are not precisely defined</w:t>
      </w:r>
      <w:r w:rsidR="009F3943" w:rsidRPr="009F3943">
        <w:rPr>
          <w:szCs w:val="24"/>
        </w:rPr>
        <w:t>.</w:t>
      </w:r>
      <w:r w:rsidR="001E5620">
        <w:rPr>
          <w:szCs w:val="24"/>
        </w:rPr>
        <w:t xml:space="preserve"> MSAC noted ESC</w:t>
      </w:r>
      <w:r w:rsidR="004164F9">
        <w:rPr>
          <w:szCs w:val="24"/>
        </w:rPr>
        <w:t xml:space="preserve"> advice</w:t>
      </w:r>
      <w:r w:rsidR="001E5620">
        <w:rPr>
          <w:szCs w:val="24"/>
        </w:rPr>
        <w:t xml:space="preserve"> that </w:t>
      </w:r>
      <w:r w:rsidR="001E5620" w:rsidRPr="0061744C">
        <w:rPr>
          <w:szCs w:val="24"/>
        </w:rPr>
        <w:t>in England and Scotland, Ig use is restricted by the presence of recurrent or severe bacterial infections, and Ig treatment is reserved for patients in whom antibiotic prophylaxis proves to be ineffective.</w:t>
      </w:r>
      <w:r w:rsidR="004164F9" w:rsidRPr="0061744C">
        <w:rPr>
          <w:szCs w:val="24"/>
        </w:rPr>
        <w:t xml:space="preserve"> MSAC </w:t>
      </w:r>
      <w:r w:rsidR="006B6542" w:rsidRPr="0061744C">
        <w:rPr>
          <w:szCs w:val="24"/>
        </w:rPr>
        <w:t xml:space="preserve">also </w:t>
      </w:r>
      <w:r w:rsidR="004164F9" w:rsidRPr="0061744C">
        <w:rPr>
          <w:szCs w:val="24"/>
        </w:rPr>
        <w:t>noted pre-MSAC advice</w:t>
      </w:r>
      <w:r w:rsidR="001E5620" w:rsidRPr="0061744C">
        <w:rPr>
          <w:szCs w:val="24"/>
        </w:rPr>
        <w:t xml:space="preserve"> clarifying that the NHS </w:t>
      </w:r>
      <w:r w:rsidR="00EA251D" w:rsidRPr="0061744C">
        <w:rPr>
          <w:szCs w:val="24"/>
        </w:rPr>
        <w:t>(</w:t>
      </w:r>
      <w:r w:rsidR="001E5620" w:rsidRPr="0061744C">
        <w:rPr>
          <w:szCs w:val="24"/>
        </w:rPr>
        <w:t>England</w:t>
      </w:r>
      <w:r w:rsidR="00EA251D" w:rsidRPr="0061744C">
        <w:rPr>
          <w:szCs w:val="24"/>
        </w:rPr>
        <w:t>)</w:t>
      </w:r>
      <w:r w:rsidR="001E5620" w:rsidRPr="0061744C">
        <w:rPr>
          <w:szCs w:val="24"/>
        </w:rPr>
        <w:t xml:space="preserve"> states that not a</w:t>
      </w:r>
      <w:r w:rsidR="001E5620">
        <w:rPr>
          <w:szCs w:val="24"/>
        </w:rPr>
        <w:t>ll the criteria need to be fulfilled for an individual patient.</w:t>
      </w:r>
    </w:p>
    <w:p w14:paraId="0782C374" w14:textId="375D1553" w:rsidR="00B33BE0" w:rsidRDefault="00C2123F" w:rsidP="00713284">
      <w:pPr>
        <w:spacing w:before="120" w:after="240"/>
        <w:rPr>
          <w:lang w:val="en-US"/>
        </w:rPr>
      </w:pPr>
      <w:r>
        <w:rPr>
          <w:lang w:val="en-US"/>
        </w:rPr>
        <w:t>T</w:t>
      </w:r>
      <w:r w:rsidR="00B33BE0">
        <w:rPr>
          <w:lang w:val="en-US"/>
        </w:rPr>
        <w:t>he evidence</w:t>
      </w:r>
      <w:r w:rsidR="007740BB">
        <w:rPr>
          <w:lang w:val="en-US"/>
        </w:rPr>
        <w:t xml:space="preserve"> included in the contracted assessment report</w:t>
      </w:r>
      <w:r w:rsidR="00B33BE0">
        <w:rPr>
          <w:lang w:val="en-US"/>
        </w:rPr>
        <w:t xml:space="preserve"> consisted of 15 studies, of which three provided comparative evidence (in heart and lung transplant patients</w:t>
      </w:r>
      <w:r w:rsidR="000643A4">
        <w:rPr>
          <w:lang w:val="en-US"/>
        </w:rPr>
        <w:t xml:space="preserve"> only</w:t>
      </w:r>
      <w:r w:rsidR="00B33BE0">
        <w:rPr>
          <w:lang w:val="en-US"/>
        </w:rPr>
        <w:t xml:space="preserve">). MSAC noted that the available </w:t>
      </w:r>
      <w:r w:rsidR="000643A4">
        <w:rPr>
          <w:lang w:val="en-US"/>
        </w:rPr>
        <w:t xml:space="preserve">published </w:t>
      </w:r>
      <w:r w:rsidR="00B33BE0">
        <w:rPr>
          <w:lang w:val="en-US"/>
        </w:rPr>
        <w:t>evidence was of poor quality.</w:t>
      </w:r>
      <w:r w:rsidR="00B33BE0" w:rsidRPr="00B47583">
        <w:rPr>
          <w:szCs w:val="24"/>
        </w:rPr>
        <w:t xml:space="preserve"> No comparative evidence was identified for SHGG following B </w:t>
      </w:r>
      <w:r w:rsidR="00B33BE0">
        <w:rPr>
          <w:szCs w:val="24"/>
        </w:rPr>
        <w:t>cell depletion therapy or Good syndrome</w:t>
      </w:r>
      <w:r w:rsidR="00DA1BAF">
        <w:rPr>
          <w:szCs w:val="24"/>
        </w:rPr>
        <w:t>. A</w:t>
      </w:r>
      <w:r w:rsidR="00B33BE0" w:rsidRPr="00B47583">
        <w:rPr>
          <w:szCs w:val="24"/>
        </w:rPr>
        <w:t xml:space="preserve"> lack of </w:t>
      </w:r>
      <w:r>
        <w:rPr>
          <w:szCs w:val="24"/>
        </w:rPr>
        <w:t>information</w:t>
      </w:r>
      <w:r w:rsidR="00B33BE0">
        <w:rPr>
          <w:szCs w:val="24"/>
        </w:rPr>
        <w:t xml:space="preserve"> </w:t>
      </w:r>
      <w:r w:rsidR="00B33BE0" w:rsidRPr="00B47583">
        <w:rPr>
          <w:szCs w:val="24"/>
        </w:rPr>
        <w:t>o</w:t>
      </w:r>
      <w:r>
        <w:rPr>
          <w:szCs w:val="24"/>
        </w:rPr>
        <w:t>n</w:t>
      </w:r>
      <w:r w:rsidR="00B33BE0" w:rsidRPr="00B47583">
        <w:rPr>
          <w:szCs w:val="24"/>
        </w:rPr>
        <w:t xml:space="preserve"> the underlying conditions for patients classified as having “Other HGG</w:t>
      </w:r>
      <w:r w:rsidR="008922D6">
        <w:rPr>
          <w:szCs w:val="24"/>
        </w:rPr>
        <w:t xml:space="preserve"> unrelated to haematological malignancies </w:t>
      </w:r>
      <w:r w:rsidR="008922D6" w:rsidRPr="00AD551D">
        <w:rPr>
          <w:lang w:val="en-US"/>
        </w:rPr>
        <w:t>or haemopoietic s</w:t>
      </w:r>
      <w:r w:rsidR="008922D6">
        <w:rPr>
          <w:lang w:val="en-US"/>
        </w:rPr>
        <w:t>tem cell transplantation (HSCT)</w:t>
      </w:r>
      <w:r w:rsidR="00B33BE0" w:rsidRPr="00B47583">
        <w:rPr>
          <w:szCs w:val="24"/>
        </w:rPr>
        <w:t>” limited the ability to identify studi</w:t>
      </w:r>
      <w:r w:rsidR="00B33BE0">
        <w:rPr>
          <w:szCs w:val="24"/>
        </w:rPr>
        <w:t>es relevant to this population.</w:t>
      </w:r>
      <w:r w:rsidR="00B33BE0">
        <w:rPr>
          <w:lang w:val="en-US"/>
        </w:rPr>
        <w:t xml:space="preserve"> The remaining 12 cohort studies mostly compared patients with SHGG to patients without SHGG and were determined to be at high or critical risk of bias. </w:t>
      </w:r>
    </w:p>
    <w:p w14:paraId="3E90DC48" w14:textId="158FAE50" w:rsidR="00B33BE0" w:rsidRDefault="000643A4" w:rsidP="00713284">
      <w:pPr>
        <w:spacing w:before="120" w:after="240"/>
        <w:rPr>
          <w:szCs w:val="24"/>
        </w:rPr>
      </w:pPr>
      <w:r>
        <w:rPr>
          <w:lang w:val="en-US"/>
        </w:rPr>
        <w:t>With respect to safety,</w:t>
      </w:r>
      <w:r w:rsidR="00B33BE0">
        <w:rPr>
          <w:lang w:val="en-US"/>
        </w:rPr>
        <w:t xml:space="preserve"> MSAC </w:t>
      </w:r>
      <w:r>
        <w:rPr>
          <w:lang w:val="en-US"/>
        </w:rPr>
        <w:t xml:space="preserve">accepted the conclusion </w:t>
      </w:r>
      <w:r w:rsidR="00B33BE0">
        <w:rPr>
          <w:lang w:val="en-US"/>
        </w:rPr>
        <w:t xml:space="preserve">that Ig therapy </w:t>
      </w:r>
      <w:r>
        <w:rPr>
          <w:lang w:val="en-US"/>
        </w:rPr>
        <w:t>is inferior to</w:t>
      </w:r>
      <w:r w:rsidR="00661D92">
        <w:rPr>
          <w:lang w:val="en-US"/>
        </w:rPr>
        <w:t xml:space="preserve"> n</w:t>
      </w:r>
      <w:r w:rsidR="00B33BE0">
        <w:rPr>
          <w:lang w:val="en-US"/>
        </w:rPr>
        <w:t>o Ig</w:t>
      </w:r>
      <w:r>
        <w:rPr>
          <w:lang w:val="en-US"/>
        </w:rPr>
        <w:t xml:space="preserve"> in patients with SHGG</w:t>
      </w:r>
      <w:r w:rsidR="000F5576">
        <w:rPr>
          <w:lang w:val="en-US"/>
        </w:rPr>
        <w:t>, but is well tolerated</w:t>
      </w:r>
      <w:r w:rsidR="00B33BE0">
        <w:rPr>
          <w:lang w:val="en-US"/>
        </w:rPr>
        <w:t xml:space="preserve">. </w:t>
      </w:r>
      <w:r>
        <w:rPr>
          <w:lang w:val="en-US"/>
        </w:rPr>
        <w:t>Most</w:t>
      </w:r>
      <w:r w:rsidR="00B33BE0">
        <w:rPr>
          <w:lang w:val="en-US"/>
        </w:rPr>
        <w:t xml:space="preserve"> adverse events (AEs) were mild and transient, with the exception of one </w:t>
      </w:r>
      <w:r w:rsidR="00B33BE0" w:rsidRPr="00133DA4">
        <w:rPr>
          <w:szCs w:val="24"/>
        </w:rPr>
        <w:t xml:space="preserve">recorded </w:t>
      </w:r>
      <w:r w:rsidR="00B33BE0">
        <w:rPr>
          <w:szCs w:val="24"/>
        </w:rPr>
        <w:t>case</w:t>
      </w:r>
      <w:r w:rsidR="00B33BE0" w:rsidRPr="00133DA4">
        <w:rPr>
          <w:szCs w:val="24"/>
        </w:rPr>
        <w:t xml:space="preserve"> of transfusion-related acute lung injury (TRALI).</w:t>
      </w:r>
    </w:p>
    <w:p w14:paraId="529BF02E" w14:textId="7C572E84" w:rsidR="00B33BE0" w:rsidRPr="00877AB8" w:rsidRDefault="00B33BE0" w:rsidP="00713284">
      <w:pPr>
        <w:spacing w:before="120" w:after="240"/>
        <w:rPr>
          <w:lang w:val="en-US"/>
        </w:rPr>
      </w:pPr>
      <w:r>
        <w:rPr>
          <w:lang w:val="en-US"/>
        </w:rPr>
        <w:t>MSAC a</w:t>
      </w:r>
      <w:r w:rsidR="000643A4">
        <w:rPr>
          <w:lang w:val="en-US"/>
        </w:rPr>
        <w:t>ccepted</w:t>
      </w:r>
      <w:r>
        <w:rPr>
          <w:lang w:val="en-US"/>
        </w:rPr>
        <w:t xml:space="preserve"> that Ig </w:t>
      </w:r>
      <w:r w:rsidRPr="0082712B">
        <w:rPr>
          <w:lang w:val="en-US"/>
        </w:rPr>
        <w:t xml:space="preserve">relative to </w:t>
      </w:r>
      <w:r w:rsidR="00661D92">
        <w:rPr>
          <w:lang w:val="en-US"/>
        </w:rPr>
        <w:t>n</w:t>
      </w:r>
      <w:r w:rsidRPr="0082712B">
        <w:rPr>
          <w:lang w:val="en-US"/>
        </w:rPr>
        <w:t xml:space="preserve">o Ig in patients with </w:t>
      </w:r>
      <w:r>
        <w:rPr>
          <w:lang w:val="en-US"/>
        </w:rPr>
        <w:t>SH</w:t>
      </w:r>
      <w:r w:rsidRPr="0082712B">
        <w:rPr>
          <w:lang w:val="en-US"/>
        </w:rPr>
        <w:t>GG has uncertain effectiveness</w:t>
      </w:r>
      <w:r w:rsidR="0007598E">
        <w:rPr>
          <w:lang w:val="en-US"/>
        </w:rPr>
        <w:t xml:space="preserve"> based on the available evidence</w:t>
      </w:r>
      <w:r w:rsidRPr="0082712B">
        <w:rPr>
          <w:lang w:val="en-US"/>
        </w:rPr>
        <w:t>.</w:t>
      </w:r>
      <w:r>
        <w:rPr>
          <w:lang w:val="en-US"/>
        </w:rPr>
        <w:t xml:space="preserve"> </w:t>
      </w:r>
      <w:r w:rsidRPr="002F7CE9">
        <w:rPr>
          <w:lang w:val="en-US"/>
        </w:rPr>
        <w:t>M</w:t>
      </w:r>
      <w:r>
        <w:rPr>
          <w:lang w:val="en-US"/>
        </w:rPr>
        <w:t>SAC noted that studies were</w:t>
      </w:r>
      <w:r w:rsidRPr="002F7CE9">
        <w:rPr>
          <w:lang w:val="en-US"/>
        </w:rPr>
        <w:t xml:space="preserve"> small</w:t>
      </w:r>
      <w:r w:rsidR="000643A4">
        <w:rPr>
          <w:lang w:val="en-US"/>
        </w:rPr>
        <w:t xml:space="preserve"> and of poor quality</w:t>
      </w:r>
      <w:r w:rsidRPr="002F7CE9">
        <w:rPr>
          <w:lang w:val="en-US"/>
        </w:rPr>
        <w:t xml:space="preserve"> </w:t>
      </w:r>
      <w:r w:rsidR="000643A4">
        <w:rPr>
          <w:lang w:val="en-US"/>
        </w:rPr>
        <w:t xml:space="preserve">and </w:t>
      </w:r>
      <w:r w:rsidRPr="002F7CE9">
        <w:rPr>
          <w:lang w:val="en-US"/>
        </w:rPr>
        <w:t>outcomes were heterogeneous and p</w:t>
      </w:r>
      <w:r w:rsidR="000643A4">
        <w:rPr>
          <w:lang w:val="en-US"/>
        </w:rPr>
        <w:t>oorly presented in the evidence</w:t>
      </w:r>
      <w:r w:rsidRPr="002F7CE9">
        <w:rPr>
          <w:lang w:val="en-US"/>
        </w:rPr>
        <w:t xml:space="preserve">. However, </w:t>
      </w:r>
      <w:r w:rsidRPr="002F7CE9">
        <w:rPr>
          <w:szCs w:val="24"/>
        </w:rPr>
        <w:t xml:space="preserve">MSAC noted feedback from clinicians and stakeholders which was highly supportive of continuing use and access to Ig therapy. Consumers considered </w:t>
      </w:r>
      <w:r w:rsidRPr="002F7CE9">
        <w:rPr>
          <w:lang w:val="en-US"/>
        </w:rPr>
        <w:t xml:space="preserve">Ig therapy to be essential in the prevention and reduction of life-threatening infections, as well as improving the quality of life </w:t>
      </w:r>
      <w:r w:rsidRPr="000D48C0">
        <w:rPr>
          <w:lang w:val="en-US"/>
        </w:rPr>
        <w:t xml:space="preserve">of patients. </w:t>
      </w:r>
    </w:p>
    <w:p w14:paraId="038D9239" w14:textId="635D5476" w:rsidR="00E57004" w:rsidRPr="004616ED" w:rsidRDefault="003B0F49" w:rsidP="00713284">
      <w:pPr>
        <w:spacing w:before="120" w:after="240"/>
        <w:rPr>
          <w:szCs w:val="24"/>
        </w:rPr>
      </w:pPr>
      <w:r>
        <w:rPr>
          <w:lang w:val="en-US"/>
        </w:rPr>
        <w:t xml:space="preserve">An economic model was not presented in the contracted assessment report, </w:t>
      </w:r>
      <w:r>
        <w:rPr>
          <w:szCs w:val="24"/>
        </w:rPr>
        <w:t>due to</w:t>
      </w:r>
      <w:r w:rsidRPr="003053EF">
        <w:rPr>
          <w:szCs w:val="24"/>
        </w:rPr>
        <w:t xml:space="preserve"> </w:t>
      </w:r>
      <w:r>
        <w:rPr>
          <w:szCs w:val="24"/>
        </w:rPr>
        <w:t xml:space="preserve">there being </w:t>
      </w:r>
      <w:r w:rsidRPr="003053EF">
        <w:rPr>
          <w:szCs w:val="24"/>
        </w:rPr>
        <w:t>insufficient</w:t>
      </w:r>
      <w:r>
        <w:rPr>
          <w:szCs w:val="24"/>
        </w:rPr>
        <w:t xml:space="preserve"> </w:t>
      </w:r>
      <w:r w:rsidRPr="003053EF">
        <w:rPr>
          <w:szCs w:val="24"/>
        </w:rPr>
        <w:t>data</w:t>
      </w:r>
      <w:r>
        <w:rPr>
          <w:szCs w:val="24"/>
        </w:rPr>
        <w:t xml:space="preserve"> to inform a model</w:t>
      </w:r>
      <w:r w:rsidRPr="003053EF">
        <w:rPr>
          <w:szCs w:val="24"/>
        </w:rPr>
        <w:t>.</w:t>
      </w:r>
      <w:r>
        <w:rPr>
          <w:szCs w:val="24"/>
        </w:rPr>
        <w:t xml:space="preserve"> </w:t>
      </w:r>
      <w:r w:rsidRPr="004616ED">
        <w:rPr>
          <w:szCs w:val="24"/>
        </w:rPr>
        <w:t>There was only very low-quality evidence available for patients with HGG following heart and lung transplantation, no quality-of-life outcomes or cost data and no utilities were identified for this population. MSAC noted that this decision was supported by the Ig Review Reference Group</w:t>
      </w:r>
      <w:r w:rsidR="00DA1BAF">
        <w:rPr>
          <w:szCs w:val="24"/>
        </w:rPr>
        <w:t>,</w:t>
      </w:r>
      <w:r w:rsidRPr="004616ED">
        <w:rPr>
          <w:szCs w:val="24"/>
        </w:rPr>
        <w:t xml:space="preserve"> </w:t>
      </w:r>
      <w:r w:rsidR="00D33097">
        <w:rPr>
          <w:szCs w:val="24"/>
        </w:rPr>
        <w:t>which</w:t>
      </w:r>
      <w:r w:rsidRPr="004616ED">
        <w:rPr>
          <w:szCs w:val="24"/>
        </w:rPr>
        <w:t xml:space="preserve"> considered the results of economic modelling would </w:t>
      </w:r>
      <w:r w:rsidR="0064509B">
        <w:rPr>
          <w:szCs w:val="24"/>
        </w:rPr>
        <w:t xml:space="preserve">be highly uncertain, </w:t>
      </w:r>
      <w:r w:rsidR="00A95587">
        <w:rPr>
          <w:szCs w:val="24"/>
        </w:rPr>
        <w:t xml:space="preserve">may be </w:t>
      </w:r>
      <w:r w:rsidR="0064509B">
        <w:rPr>
          <w:szCs w:val="24"/>
        </w:rPr>
        <w:t xml:space="preserve">misleading and </w:t>
      </w:r>
      <w:r w:rsidRPr="004616ED">
        <w:rPr>
          <w:szCs w:val="24"/>
        </w:rPr>
        <w:t>have limited applicability to the population of interest</w:t>
      </w:r>
      <w:r w:rsidR="0064509B">
        <w:rPr>
          <w:szCs w:val="24"/>
        </w:rPr>
        <w:t>,</w:t>
      </w:r>
      <w:r w:rsidR="005577DA">
        <w:rPr>
          <w:szCs w:val="24"/>
        </w:rPr>
        <w:t xml:space="preserve"> considering Ig treatment for ‘HGG following solid organ transplant’ accounts for 24% of all SHGG</w:t>
      </w:r>
      <w:r w:rsidR="00A95587">
        <w:rPr>
          <w:szCs w:val="24"/>
        </w:rPr>
        <w:t>.</w:t>
      </w:r>
      <w:r w:rsidR="00A95587" w:rsidRPr="004616ED">
        <w:rPr>
          <w:szCs w:val="24"/>
        </w:rPr>
        <w:t xml:space="preserve"> </w:t>
      </w:r>
    </w:p>
    <w:p w14:paraId="1F5E96EE" w14:textId="0F92E1A3" w:rsidR="0007598E" w:rsidRPr="004616ED" w:rsidRDefault="0007598E" w:rsidP="00713284">
      <w:pPr>
        <w:spacing w:before="120" w:after="240"/>
        <w:rPr>
          <w:szCs w:val="24"/>
        </w:rPr>
      </w:pPr>
      <w:r w:rsidRPr="004616ED">
        <w:rPr>
          <w:szCs w:val="24"/>
        </w:rPr>
        <w:t xml:space="preserve">MSAC noted that patients receiving Ig for SHGG represents a small population </w:t>
      </w:r>
      <w:r w:rsidRPr="004616ED">
        <w:t xml:space="preserve">(4% of all patients receiving Ig in Australia in 2015/16), but Ig use in this population appears to be growing disproportionately compared with </w:t>
      </w:r>
      <w:r w:rsidR="00C33DD1">
        <w:t>the increase observed for alternative</w:t>
      </w:r>
      <w:r w:rsidR="00C33DD1" w:rsidRPr="0039732F">
        <w:t xml:space="preserve"> </w:t>
      </w:r>
      <w:r w:rsidR="00C33DD1">
        <w:t>Ig indication</w:t>
      </w:r>
      <w:r w:rsidR="00C33DD1" w:rsidRPr="0039732F">
        <w:t>s.</w:t>
      </w:r>
      <w:r w:rsidRPr="004616ED">
        <w:rPr>
          <w:szCs w:val="24"/>
        </w:rPr>
        <w:t xml:space="preserve"> As noted by ESC, </w:t>
      </w:r>
      <w:r w:rsidRPr="004616ED">
        <w:rPr>
          <w:i/>
          <w:szCs w:val="24"/>
        </w:rPr>
        <w:t>the National Report on the Issue and Use of Immunoglobulin in 2017-18 indicated that there has been a greater than 16% increase in Ig supplied for SHGG since 2013/14, compared with an 11% increase over the same period for all medical conditions</w:t>
      </w:r>
      <w:r w:rsidRPr="004616ED">
        <w:rPr>
          <w:szCs w:val="24"/>
        </w:rPr>
        <w:t>. NBA data</w:t>
      </w:r>
      <w:r w:rsidR="002A1EE5">
        <w:rPr>
          <w:szCs w:val="24"/>
        </w:rPr>
        <w:t xml:space="preserve"> indicated that</w:t>
      </w:r>
      <w:r w:rsidRPr="004616ED">
        <w:rPr>
          <w:szCs w:val="24"/>
        </w:rPr>
        <w:t xml:space="preserve">, in the period between June 2014 and March 2020, there was an </w:t>
      </w:r>
      <w:r w:rsidRPr="0061744C">
        <w:rPr>
          <w:szCs w:val="24"/>
        </w:rPr>
        <w:t>annual growth rate of approximately 19.3%, based on the monthly use of Ig (</w:t>
      </w:r>
      <w:r w:rsidRPr="004616ED">
        <w:rPr>
          <w:szCs w:val="24"/>
        </w:rPr>
        <w:t xml:space="preserve">grams) for all SHGG (excl. haem malignancies) (see Figure 6). </w:t>
      </w:r>
    </w:p>
    <w:p w14:paraId="0EA41188" w14:textId="18EAF314" w:rsidR="00E57004" w:rsidRDefault="008922D6" w:rsidP="00713284">
      <w:pPr>
        <w:spacing w:before="120" w:after="240"/>
        <w:rPr>
          <w:lang w:val="en-US"/>
        </w:rPr>
      </w:pPr>
      <w:r w:rsidRPr="004616ED">
        <w:lastRenderedPageBreak/>
        <w:t>D</w:t>
      </w:r>
      <w:r w:rsidR="0007598E" w:rsidRPr="004616ED">
        <w:t xml:space="preserve">ata provided by the NBA were used to estimate Ig </w:t>
      </w:r>
      <w:r w:rsidRPr="004616ED">
        <w:t xml:space="preserve">product </w:t>
      </w:r>
      <w:r w:rsidR="0007598E" w:rsidRPr="004616ED">
        <w:t>projected costs (excluding administration costs) for the treatment of SHGG</w:t>
      </w:r>
      <w:r w:rsidRPr="004616ED">
        <w:t xml:space="preserve"> from 2019-20 to 2023-24</w:t>
      </w:r>
      <w:r w:rsidR="0007598E" w:rsidRPr="004616ED">
        <w:t xml:space="preserve">. </w:t>
      </w:r>
      <w:r w:rsidR="0007598E" w:rsidRPr="004616ED">
        <w:rPr>
          <w:szCs w:val="24"/>
        </w:rPr>
        <w:t xml:space="preserve">An annual growth rate of 22% was applied to the 2018/19 estimates, based on the </w:t>
      </w:r>
      <w:r w:rsidR="0007598E" w:rsidRPr="004616ED">
        <w:t>growth rate of Ig use for SHGG between July 2019-March 2020 when most of the transition from Version 2 to Version 3 of the Criteria had been completed</w:t>
      </w:r>
      <w:r w:rsidR="0007598E" w:rsidRPr="0061744C">
        <w:t xml:space="preserve">. </w:t>
      </w:r>
      <w:r w:rsidR="004616ED" w:rsidRPr="0061744C">
        <w:rPr>
          <w:szCs w:val="24"/>
        </w:rPr>
        <w:t xml:space="preserve">Ig costs </w:t>
      </w:r>
      <w:r w:rsidR="0064509B" w:rsidRPr="0061744C">
        <w:rPr>
          <w:szCs w:val="24"/>
        </w:rPr>
        <w:t xml:space="preserve">for the base case </w:t>
      </w:r>
      <w:r w:rsidR="004616ED" w:rsidRPr="0061744C">
        <w:rPr>
          <w:szCs w:val="24"/>
        </w:rPr>
        <w:t>were projected to increase from about $15.3 million in 2018-2019 to about $41.3 million in 2023-2024</w:t>
      </w:r>
      <w:r w:rsidR="004616ED" w:rsidRPr="0061744C">
        <w:t xml:space="preserve"> </w:t>
      </w:r>
      <w:r w:rsidR="0007598E" w:rsidRPr="0061744C">
        <w:rPr>
          <w:szCs w:val="24"/>
        </w:rPr>
        <w:t>(using a</w:t>
      </w:r>
      <w:r w:rsidRPr="0061744C">
        <w:rPr>
          <w:szCs w:val="24"/>
        </w:rPr>
        <w:t>n Ig</w:t>
      </w:r>
      <w:r w:rsidR="0007598E" w:rsidRPr="0061744C">
        <w:rPr>
          <w:szCs w:val="24"/>
        </w:rPr>
        <w:t xml:space="preserve"> cost per gram of $60.41). These </w:t>
      </w:r>
      <w:r w:rsidR="001833CA" w:rsidRPr="0061744C">
        <w:rPr>
          <w:szCs w:val="24"/>
        </w:rPr>
        <w:t xml:space="preserve">financial </w:t>
      </w:r>
      <w:r w:rsidR="0007598E" w:rsidRPr="0061744C">
        <w:rPr>
          <w:szCs w:val="24"/>
        </w:rPr>
        <w:t xml:space="preserve">estimates were considered </w:t>
      </w:r>
      <w:r w:rsidR="001833CA" w:rsidRPr="0061744C">
        <w:rPr>
          <w:szCs w:val="24"/>
        </w:rPr>
        <w:t xml:space="preserve">highly </w:t>
      </w:r>
      <w:r w:rsidR="0007598E" w:rsidRPr="0061744C">
        <w:rPr>
          <w:szCs w:val="24"/>
        </w:rPr>
        <w:t xml:space="preserve">uncertain </w:t>
      </w:r>
      <w:r w:rsidR="004616ED" w:rsidRPr="0061744C">
        <w:rPr>
          <w:szCs w:val="24"/>
        </w:rPr>
        <w:t>as</w:t>
      </w:r>
      <w:r w:rsidR="003B3C4B" w:rsidRPr="0061744C">
        <w:t xml:space="preserve"> </w:t>
      </w:r>
      <w:r w:rsidR="003B3C4B" w:rsidRPr="0061744C">
        <w:rPr>
          <w:szCs w:val="24"/>
        </w:rPr>
        <w:t>costs or changes in use and cost of other medical services</w:t>
      </w:r>
      <w:r w:rsidR="0064509B" w:rsidRPr="0061744C">
        <w:rPr>
          <w:szCs w:val="24"/>
        </w:rPr>
        <w:t xml:space="preserve"> are not considered. In addition</w:t>
      </w:r>
      <w:r w:rsidR="003B3C4B" w:rsidRPr="0061744C">
        <w:rPr>
          <w:szCs w:val="24"/>
        </w:rPr>
        <w:t>,</w:t>
      </w:r>
      <w:r w:rsidR="0007598E" w:rsidRPr="0061744C">
        <w:rPr>
          <w:szCs w:val="24"/>
        </w:rPr>
        <w:t xml:space="preserve"> t</w:t>
      </w:r>
      <w:r w:rsidR="0007598E" w:rsidRPr="0061744C">
        <w:rPr>
          <w:lang w:val="en-US"/>
        </w:rPr>
        <w:t>he growth rates of Ig use differed greatly across each subgroup</w:t>
      </w:r>
      <w:r w:rsidR="00FD1523" w:rsidRPr="0061744C">
        <w:rPr>
          <w:lang w:val="en-US"/>
        </w:rPr>
        <w:t xml:space="preserve"> during this time</w:t>
      </w:r>
      <w:r w:rsidR="003B3C4B" w:rsidRPr="0061744C">
        <w:rPr>
          <w:lang w:val="en-US"/>
        </w:rPr>
        <w:t xml:space="preserve"> (e.g. a 61.8% growth rate was observed for “HGG following B cell depleting therapies” and 16.7% for “HGG following solid organ transplant” subgroups).</w:t>
      </w:r>
      <w:r w:rsidR="00FD1523" w:rsidRPr="0061744C">
        <w:rPr>
          <w:lang w:val="en-US"/>
        </w:rPr>
        <w:t xml:space="preserve"> </w:t>
      </w:r>
      <w:r w:rsidR="003B3C4B" w:rsidRPr="0061744C">
        <w:rPr>
          <w:lang w:val="en-US"/>
        </w:rPr>
        <w:t>T</w:t>
      </w:r>
      <w:r w:rsidR="00FD1523" w:rsidRPr="0061744C">
        <w:rPr>
          <w:lang w:val="en-US"/>
        </w:rPr>
        <w:t xml:space="preserve">herefore, a sensitivity analysis was performed </w:t>
      </w:r>
      <w:r w:rsidR="004616ED" w:rsidRPr="0061744C">
        <w:rPr>
          <w:lang w:val="en-US"/>
        </w:rPr>
        <w:t>where</w:t>
      </w:r>
      <w:r w:rsidR="00FD1523" w:rsidRPr="0061744C">
        <w:rPr>
          <w:lang w:val="en-US"/>
        </w:rPr>
        <w:t xml:space="preserve"> </w:t>
      </w:r>
      <w:r w:rsidR="003B3C4B" w:rsidRPr="0061744C">
        <w:rPr>
          <w:lang w:val="en-US"/>
        </w:rPr>
        <w:t xml:space="preserve">respective </w:t>
      </w:r>
      <w:r w:rsidR="00FD1523" w:rsidRPr="0061744C">
        <w:rPr>
          <w:lang w:val="en-US"/>
        </w:rPr>
        <w:t xml:space="preserve">growth rates </w:t>
      </w:r>
      <w:r w:rsidR="004616ED" w:rsidRPr="0061744C">
        <w:rPr>
          <w:lang w:val="en-US"/>
        </w:rPr>
        <w:t xml:space="preserve">were applied </w:t>
      </w:r>
      <w:r w:rsidR="003B3C4B" w:rsidRPr="0061744C">
        <w:rPr>
          <w:lang w:val="en-US"/>
        </w:rPr>
        <w:t>to</w:t>
      </w:r>
      <w:r w:rsidR="004616ED" w:rsidRPr="0061744C">
        <w:rPr>
          <w:lang w:val="en-US"/>
        </w:rPr>
        <w:t xml:space="preserve"> each</w:t>
      </w:r>
      <w:r w:rsidR="00FD1523" w:rsidRPr="0061744C">
        <w:rPr>
          <w:lang w:val="en-US"/>
        </w:rPr>
        <w:t xml:space="preserve"> subgroup, rather than using 22%</w:t>
      </w:r>
      <w:r w:rsidR="004616ED" w:rsidRPr="0061744C">
        <w:rPr>
          <w:lang w:val="en-US"/>
        </w:rPr>
        <w:t xml:space="preserve"> </w:t>
      </w:r>
      <w:r w:rsidR="00485B9A" w:rsidRPr="0061744C">
        <w:rPr>
          <w:lang w:val="en-US"/>
        </w:rPr>
        <w:t xml:space="preserve">growth </w:t>
      </w:r>
      <w:r w:rsidR="004616ED" w:rsidRPr="0061744C">
        <w:rPr>
          <w:lang w:val="en-US"/>
        </w:rPr>
        <w:t>as in the base case</w:t>
      </w:r>
      <w:r w:rsidR="00FD1523" w:rsidRPr="0061744C">
        <w:rPr>
          <w:lang w:val="en-US"/>
        </w:rPr>
        <w:t>.</w:t>
      </w:r>
      <w:r w:rsidR="004616ED" w:rsidRPr="0061744C">
        <w:rPr>
          <w:lang w:val="en-US"/>
        </w:rPr>
        <w:t xml:space="preserve"> With respect to the sensitivity analysis, </w:t>
      </w:r>
      <w:r w:rsidR="0007598E" w:rsidRPr="0061744C">
        <w:rPr>
          <w:lang w:val="en-US"/>
        </w:rPr>
        <w:t xml:space="preserve">MSAC agreed with ESC advice that it is </w:t>
      </w:r>
      <w:r w:rsidR="0007598E" w:rsidRPr="0061744C">
        <w:rPr>
          <w:szCs w:val="24"/>
        </w:rPr>
        <w:t>highly uncertain if the recent 61.8% growth rate observed for Ig use in “HGG following B cell depletion therapy” subgroup would continue;</w:t>
      </w:r>
      <w:r w:rsidR="0007598E" w:rsidRPr="0061744C">
        <w:rPr>
          <w:lang w:val="en-US"/>
        </w:rPr>
        <w:t xml:space="preserve"> but considered that the increasing use of B cell depleting therapies </w:t>
      </w:r>
      <w:r w:rsidR="004616ED" w:rsidRPr="0061744C">
        <w:rPr>
          <w:lang w:val="en-US"/>
        </w:rPr>
        <w:t>is</w:t>
      </w:r>
      <w:r w:rsidR="0007598E" w:rsidRPr="0061744C">
        <w:rPr>
          <w:lang w:val="en-US"/>
        </w:rPr>
        <w:t xml:space="preserve"> likely to be contributing to the higher growth rate observed for this subgroup.</w:t>
      </w:r>
      <w:r w:rsidR="0007598E" w:rsidRPr="004616ED">
        <w:rPr>
          <w:lang w:val="en-US"/>
        </w:rPr>
        <w:t xml:space="preserve"> </w:t>
      </w:r>
    </w:p>
    <w:p w14:paraId="60DF24F1" w14:textId="17EB6956" w:rsidR="0064509B" w:rsidRPr="000B6A67" w:rsidRDefault="0064509B" w:rsidP="0064509B">
      <w:pPr>
        <w:pStyle w:val="CommentText"/>
        <w:rPr>
          <w:sz w:val="24"/>
          <w:szCs w:val="24"/>
        </w:rPr>
      </w:pPr>
      <w:r w:rsidRPr="000B6A67">
        <w:rPr>
          <w:sz w:val="24"/>
          <w:szCs w:val="24"/>
        </w:rPr>
        <w:t xml:space="preserve">MSAC noted that the requirement for downstream Ig therapy </w:t>
      </w:r>
      <w:r w:rsidR="000B6A67">
        <w:rPr>
          <w:sz w:val="24"/>
          <w:szCs w:val="24"/>
        </w:rPr>
        <w:t>may not be an i</w:t>
      </w:r>
      <w:r w:rsidRPr="000B6A67">
        <w:rPr>
          <w:sz w:val="24"/>
          <w:szCs w:val="24"/>
        </w:rPr>
        <w:t xml:space="preserve">dentified </w:t>
      </w:r>
      <w:r w:rsidR="000B6A67">
        <w:rPr>
          <w:sz w:val="24"/>
          <w:szCs w:val="24"/>
        </w:rPr>
        <w:t xml:space="preserve">factor </w:t>
      </w:r>
      <w:r w:rsidRPr="000B6A67">
        <w:rPr>
          <w:sz w:val="24"/>
          <w:szCs w:val="24"/>
        </w:rPr>
        <w:t>in the health technology assessment of applications for P</w:t>
      </w:r>
      <w:r w:rsidR="000B6A67">
        <w:rPr>
          <w:sz w:val="24"/>
          <w:szCs w:val="24"/>
        </w:rPr>
        <w:t xml:space="preserve">harmaceutical </w:t>
      </w:r>
      <w:r w:rsidRPr="000B6A67">
        <w:rPr>
          <w:sz w:val="24"/>
          <w:szCs w:val="24"/>
        </w:rPr>
        <w:t>B</w:t>
      </w:r>
      <w:r w:rsidR="000B6A67">
        <w:rPr>
          <w:sz w:val="24"/>
          <w:szCs w:val="24"/>
        </w:rPr>
        <w:t xml:space="preserve">enefits </w:t>
      </w:r>
      <w:r w:rsidRPr="000B6A67">
        <w:rPr>
          <w:sz w:val="24"/>
          <w:szCs w:val="24"/>
        </w:rPr>
        <w:t>S</w:t>
      </w:r>
      <w:r w:rsidR="000B6A67">
        <w:rPr>
          <w:sz w:val="24"/>
          <w:szCs w:val="24"/>
        </w:rPr>
        <w:t xml:space="preserve">cheme </w:t>
      </w:r>
      <w:r w:rsidRPr="000B6A67">
        <w:rPr>
          <w:sz w:val="24"/>
          <w:szCs w:val="24"/>
        </w:rPr>
        <w:t>listing of B cell depleting medicines</w:t>
      </w:r>
      <w:r w:rsidR="000B6A67" w:rsidRPr="000B6A67">
        <w:rPr>
          <w:sz w:val="24"/>
          <w:szCs w:val="24"/>
        </w:rPr>
        <w:t xml:space="preserve">. MSAC considered it </w:t>
      </w:r>
      <w:r w:rsidR="000B6A67">
        <w:rPr>
          <w:sz w:val="24"/>
          <w:szCs w:val="24"/>
        </w:rPr>
        <w:t xml:space="preserve">important </w:t>
      </w:r>
      <w:r w:rsidR="000B6A67" w:rsidRPr="000B6A67">
        <w:rPr>
          <w:sz w:val="24"/>
          <w:szCs w:val="24"/>
        </w:rPr>
        <w:t xml:space="preserve">that the Pharmaceutical Benefits Advisory Committee (PBAC) </w:t>
      </w:r>
      <w:r w:rsidR="000B6A67">
        <w:rPr>
          <w:sz w:val="24"/>
          <w:szCs w:val="24"/>
        </w:rPr>
        <w:t xml:space="preserve">had visibility of this requirement and associated health care costs for potential inclusion </w:t>
      </w:r>
      <w:r w:rsidRPr="000B6A67">
        <w:rPr>
          <w:sz w:val="24"/>
          <w:szCs w:val="24"/>
        </w:rPr>
        <w:t xml:space="preserve">in future </w:t>
      </w:r>
      <w:r w:rsidR="003B7B73" w:rsidRPr="000B6A67">
        <w:rPr>
          <w:sz w:val="24"/>
          <w:szCs w:val="24"/>
        </w:rPr>
        <w:t>cost</w:t>
      </w:r>
      <w:r w:rsidR="003B7B73">
        <w:rPr>
          <w:sz w:val="24"/>
          <w:szCs w:val="24"/>
        </w:rPr>
        <w:t>-</w:t>
      </w:r>
      <w:r w:rsidRPr="000B6A67">
        <w:rPr>
          <w:sz w:val="24"/>
          <w:szCs w:val="24"/>
        </w:rPr>
        <w:t>effectiveness evaluations</w:t>
      </w:r>
      <w:r w:rsidR="00E0484C">
        <w:rPr>
          <w:sz w:val="24"/>
          <w:szCs w:val="24"/>
        </w:rPr>
        <w:t xml:space="preserve"> of these medicines</w:t>
      </w:r>
      <w:r w:rsidR="000B6A67">
        <w:rPr>
          <w:sz w:val="24"/>
          <w:szCs w:val="24"/>
        </w:rPr>
        <w:t>.</w:t>
      </w:r>
      <w:r w:rsidRPr="000B6A67">
        <w:rPr>
          <w:sz w:val="24"/>
          <w:szCs w:val="24"/>
        </w:rPr>
        <w:t xml:space="preserve"> </w:t>
      </w:r>
      <w:r w:rsidR="00222405">
        <w:rPr>
          <w:sz w:val="24"/>
          <w:szCs w:val="24"/>
        </w:rPr>
        <w:t>In addition, off-label, unfunded, use of such therapies in clinical practice may be an additional driver of demand for Ig.</w:t>
      </w:r>
    </w:p>
    <w:p w14:paraId="44B0C03A" w14:textId="2AD6E64E" w:rsidR="00C2123F" w:rsidRPr="00C2123F" w:rsidRDefault="00C2123F" w:rsidP="00713284">
      <w:pPr>
        <w:spacing w:before="120" w:after="240"/>
        <w:rPr>
          <w:szCs w:val="24"/>
        </w:rPr>
      </w:pPr>
      <w:r w:rsidRPr="004616ED">
        <w:rPr>
          <w:szCs w:val="24"/>
        </w:rPr>
        <w:t xml:space="preserve">Overall, MSAC considered the published evidence and available data to be insufficient to make </w:t>
      </w:r>
      <w:r w:rsidR="00E0484C">
        <w:rPr>
          <w:szCs w:val="24"/>
        </w:rPr>
        <w:t xml:space="preserve">an </w:t>
      </w:r>
      <w:r w:rsidR="000B6A67">
        <w:rPr>
          <w:szCs w:val="24"/>
        </w:rPr>
        <w:t xml:space="preserve">assessment of </w:t>
      </w:r>
      <w:r w:rsidRPr="004616ED">
        <w:rPr>
          <w:szCs w:val="24"/>
        </w:rPr>
        <w:t>the relative efficacy and cost-effectiveness of Ig in this population. M</w:t>
      </w:r>
      <w:r w:rsidR="00E57004" w:rsidRPr="004616ED">
        <w:rPr>
          <w:szCs w:val="24"/>
        </w:rPr>
        <w:t xml:space="preserve">SAC </w:t>
      </w:r>
      <w:r w:rsidR="00877AB8" w:rsidRPr="004616ED">
        <w:rPr>
          <w:szCs w:val="24"/>
        </w:rPr>
        <w:t xml:space="preserve">agreed </w:t>
      </w:r>
      <w:r w:rsidR="00E57004" w:rsidRPr="004616ED">
        <w:rPr>
          <w:szCs w:val="24"/>
        </w:rPr>
        <w:t>that the results of any economic model would be highly uncertain</w:t>
      </w:r>
      <w:r w:rsidR="00E0484C">
        <w:rPr>
          <w:szCs w:val="24"/>
        </w:rPr>
        <w:t xml:space="preserve"> given th</w:t>
      </w:r>
      <w:r w:rsidR="00074C22">
        <w:rPr>
          <w:szCs w:val="24"/>
        </w:rPr>
        <w:t xml:space="preserve">is </w:t>
      </w:r>
      <w:r w:rsidR="00E0484C">
        <w:rPr>
          <w:szCs w:val="24"/>
        </w:rPr>
        <w:t xml:space="preserve">lack of </w:t>
      </w:r>
      <w:r w:rsidR="00074C22">
        <w:rPr>
          <w:szCs w:val="24"/>
        </w:rPr>
        <w:t>eviden</w:t>
      </w:r>
      <w:r w:rsidR="00E0484C">
        <w:rPr>
          <w:szCs w:val="24"/>
        </w:rPr>
        <w:t>c</w:t>
      </w:r>
      <w:r w:rsidR="00074C22">
        <w:rPr>
          <w:szCs w:val="24"/>
        </w:rPr>
        <w:t>e and the current price of Ig</w:t>
      </w:r>
      <w:r w:rsidR="008F2FE6">
        <w:rPr>
          <w:szCs w:val="24"/>
        </w:rPr>
        <w:t>.</w:t>
      </w:r>
      <w:r w:rsidR="004616ED" w:rsidRPr="004616ED">
        <w:rPr>
          <w:szCs w:val="24"/>
        </w:rPr>
        <w:t xml:space="preserve"> </w:t>
      </w:r>
      <w:r w:rsidR="00C33DD1" w:rsidRPr="00C33DD1">
        <w:rPr>
          <w:szCs w:val="24"/>
        </w:rPr>
        <w:t>MSAC considered that given the evidence presented in this review, that Ig use for this indication is highly likely to be cost-ineffective.</w:t>
      </w:r>
      <w:r w:rsidR="00C33DD1">
        <w:rPr>
          <w:szCs w:val="24"/>
        </w:rPr>
        <w:t xml:space="preserve"> </w:t>
      </w:r>
      <w:r w:rsidR="004616ED" w:rsidRPr="004616ED">
        <w:rPr>
          <w:szCs w:val="24"/>
        </w:rPr>
        <w:t xml:space="preserve">In particular, </w:t>
      </w:r>
      <w:r w:rsidR="004616ED" w:rsidRPr="004616ED">
        <w:rPr>
          <w:lang w:val="en-US"/>
        </w:rPr>
        <w:t xml:space="preserve">MSAC expressed concern regarding the “Other HGG” subgroup, which accounted for over 50% of Ig use for all SHGG in 2018-19 and for which there is currently no information collected on the underlying conditions of these patients. </w:t>
      </w:r>
    </w:p>
    <w:p w14:paraId="295BEB17" w14:textId="2645B7FD" w:rsidR="008F2FE6" w:rsidRDefault="00C2123F" w:rsidP="004425D6">
      <w:pPr>
        <w:spacing w:before="120" w:after="240"/>
        <w:rPr>
          <w:lang w:val="en-US"/>
        </w:rPr>
      </w:pPr>
      <w:r w:rsidRPr="00C2123F">
        <w:rPr>
          <w:szCs w:val="24"/>
        </w:rPr>
        <w:t xml:space="preserve">MSAC </w:t>
      </w:r>
      <w:r w:rsidR="008F2FE6">
        <w:rPr>
          <w:szCs w:val="24"/>
        </w:rPr>
        <w:t>recommended</w:t>
      </w:r>
      <w:r w:rsidRPr="00C2123F">
        <w:rPr>
          <w:szCs w:val="24"/>
        </w:rPr>
        <w:t xml:space="preserve"> that Ig therapy should continue to be funded for SHGG, with potential changes required</w:t>
      </w:r>
      <w:r w:rsidR="0007598E">
        <w:rPr>
          <w:szCs w:val="24"/>
        </w:rPr>
        <w:t xml:space="preserve"> </w:t>
      </w:r>
      <w:r w:rsidR="001833CA">
        <w:rPr>
          <w:szCs w:val="24"/>
        </w:rPr>
        <w:t>with respect to</w:t>
      </w:r>
      <w:r w:rsidR="0007598E">
        <w:rPr>
          <w:szCs w:val="24"/>
        </w:rPr>
        <w:t xml:space="preserve"> improved data collection and </w:t>
      </w:r>
      <w:r w:rsidR="00074C22">
        <w:rPr>
          <w:szCs w:val="24"/>
        </w:rPr>
        <w:t xml:space="preserve">the scoping of </w:t>
      </w:r>
      <w:r w:rsidR="0007598E">
        <w:rPr>
          <w:szCs w:val="24"/>
        </w:rPr>
        <w:t>further research</w:t>
      </w:r>
      <w:r w:rsidR="00074C22">
        <w:rPr>
          <w:szCs w:val="24"/>
        </w:rPr>
        <w:t xml:space="preserve"> </w:t>
      </w:r>
      <w:r w:rsidR="00074C22">
        <w:t>to address data gaps</w:t>
      </w:r>
      <w:r w:rsidR="003C77C5">
        <w:t>.</w:t>
      </w:r>
      <w:r w:rsidRPr="00C2123F">
        <w:rPr>
          <w:lang w:val="en-US"/>
        </w:rPr>
        <w:t xml:space="preserve"> MSAC </w:t>
      </w:r>
      <w:r w:rsidR="008F2FE6">
        <w:rPr>
          <w:lang w:val="en-US"/>
        </w:rPr>
        <w:t>advised</w:t>
      </w:r>
      <w:r w:rsidRPr="00C2123F">
        <w:rPr>
          <w:lang w:val="en-US"/>
        </w:rPr>
        <w:t xml:space="preserve"> that the “Other HGG” subgroup requires improved granularity </w:t>
      </w:r>
      <w:r w:rsidR="00074C22">
        <w:rPr>
          <w:lang w:val="en-US"/>
        </w:rPr>
        <w:t xml:space="preserve">on </w:t>
      </w:r>
      <w:r w:rsidRPr="00C2123F">
        <w:rPr>
          <w:lang w:val="en-US"/>
        </w:rPr>
        <w:t>the underlying conditions to ensure appropriateness of Ig use. MSAC agreed</w:t>
      </w:r>
      <w:r w:rsidR="0007598E">
        <w:rPr>
          <w:lang w:val="en-US"/>
        </w:rPr>
        <w:t xml:space="preserve"> </w:t>
      </w:r>
      <w:r w:rsidRPr="00C2123F">
        <w:rPr>
          <w:lang w:val="en-US"/>
        </w:rPr>
        <w:t xml:space="preserve">that </w:t>
      </w:r>
      <w:r w:rsidR="001833CA">
        <w:rPr>
          <w:lang w:val="en-US"/>
        </w:rPr>
        <w:t xml:space="preserve">collection of outcome data (pre and post- Ig treatment data) in BloodSTAR, and </w:t>
      </w:r>
      <w:r w:rsidRPr="00C2123F">
        <w:rPr>
          <w:lang w:val="en-US"/>
        </w:rPr>
        <w:t>linkage of BloodSTAR data with other datasets such as registry, hospital</w:t>
      </w:r>
      <w:r w:rsidR="007740BB">
        <w:rPr>
          <w:lang w:val="en-US"/>
        </w:rPr>
        <w:t>, MBS</w:t>
      </w:r>
      <w:r w:rsidRPr="00C2123F">
        <w:rPr>
          <w:lang w:val="en-US"/>
        </w:rPr>
        <w:t xml:space="preserve"> and PBS data</w:t>
      </w:r>
      <w:r w:rsidR="0007598E">
        <w:rPr>
          <w:lang w:val="en-US"/>
        </w:rPr>
        <w:t xml:space="preserve"> could </w:t>
      </w:r>
      <w:r w:rsidR="001833CA">
        <w:rPr>
          <w:lang w:val="en-US"/>
        </w:rPr>
        <w:t xml:space="preserve">also </w:t>
      </w:r>
      <w:r w:rsidR="0007598E">
        <w:rPr>
          <w:lang w:val="en-US"/>
        </w:rPr>
        <w:t>help address issues relating to poor quality evidence and uncertain outcomes</w:t>
      </w:r>
      <w:r w:rsidRPr="00C2123F">
        <w:rPr>
          <w:lang w:val="en-US"/>
        </w:rPr>
        <w:t>.</w:t>
      </w:r>
    </w:p>
    <w:p w14:paraId="5CCE348A" w14:textId="4F77B947" w:rsidR="00F92D84" w:rsidRDefault="000A0F3D" w:rsidP="00713284">
      <w:pPr>
        <w:spacing w:before="120" w:after="240"/>
        <w:rPr>
          <w:lang w:val="en-US"/>
        </w:rPr>
      </w:pPr>
      <w:r w:rsidRPr="00F021CD">
        <w:rPr>
          <w:szCs w:val="24"/>
        </w:rPr>
        <w:t xml:space="preserve">MSAC proposed </w:t>
      </w:r>
      <w:r>
        <w:rPr>
          <w:szCs w:val="24"/>
        </w:rPr>
        <w:t>a scoping exercise to explore the feasibility of conducting furt</w:t>
      </w:r>
      <w:r w:rsidR="00697028">
        <w:rPr>
          <w:szCs w:val="24"/>
        </w:rPr>
        <w:t xml:space="preserve">her research be undertaken. </w:t>
      </w:r>
      <w:r>
        <w:rPr>
          <w:szCs w:val="24"/>
        </w:rPr>
        <w:t xml:space="preserve">This would identify areas for potential research which may inform any future evaluations of clinical and cost-effectiveness and inform the decision whether to make </w:t>
      </w:r>
      <w:r w:rsidRPr="00F021CD">
        <w:rPr>
          <w:szCs w:val="24"/>
        </w:rPr>
        <w:t>an application to the Medical Re</w:t>
      </w:r>
      <w:r>
        <w:rPr>
          <w:szCs w:val="24"/>
        </w:rPr>
        <w:t>search Future Fund (MRFF)</w:t>
      </w:r>
      <w:r w:rsidR="00760F73">
        <w:t xml:space="preserve"> or research funding available in other ways, including under the national blood arrangements</w:t>
      </w:r>
      <w:r>
        <w:rPr>
          <w:szCs w:val="24"/>
        </w:rPr>
        <w:t>.</w:t>
      </w:r>
      <w:r w:rsidR="008F2FE6">
        <w:rPr>
          <w:lang w:val="en-US"/>
        </w:rPr>
        <w:t xml:space="preserve"> </w:t>
      </w:r>
      <w:r w:rsidR="00C2123F" w:rsidRPr="00C2123F">
        <w:rPr>
          <w:lang w:val="en-US"/>
        </w:rPr>
        <w:t xml:space="preserve">MSAC considered this could include </w:t>
      </w:r>
      <w:r w:rsidR="00C2123F" w:rsidRPr="00090294">
        <w:rPr>
          <w:lang w:val="en-US"/>
        </w:rPr>
        <w:t>better defin</w:t>
      </w:r>
      <w:r w:rsidR="00C2123F">
        <w:rPr>
          <w:lang w:val="en-US"/>
        </w:rPr>
        <w:t>ing</w:t>
      </w:r>
      <w:r w:rsidR="00C2123F" w:rsidRPr="00090294">
        <w:rPr>
          <w:lang w:val="en-US"/>
        </w:rPr>
        <w:t xml:space="preserve"> the eligibility </w:t>
      </w:r>
      <w:r w:rsidR="00C2123F">
        <w:rPr>
          <w:lang w:val="en-US"/>
        </w:rPr>
        <w:t>requirements to access Ig therapy (thresholds for treatment commencement/continuation</w:t>
      </w:r>
      <w:r w:rsidR="004425D6">
        <w:rPr>
          <w:lang w:val="en-US"/>
        </w:rPr>
        <w:t>/cessation</w:t>
      </w:r>
      <w:r w:rsidR="002A1EE5">
        <w:rPr>
          <w:lang w:val="en-US"/>
        </w:rPr>
        <w:t xml:space="preserve"> such as targeting particular Ig levels</w:t>
      </w:r>
      <w:r w:rsidR="00C2123F">
        <w:rPr>
          <w:lang w:val="en-US"/>
        </w:rPr>
        <w:t xml:space="preserve">), </w:t>
      </w:r>
      <w:r w:rsidR="001833CA">
        <w:rPr>
          <w:lang w:val="en-US"/>
        </w:rPr>
        <w:t xml:space="preserve">and </w:t>
      </w:r>
      <w:r w:rsidR="00C2123F">
        <w:rPr>
          <w:lang w:val="en-US"/>
        </w:rPr>
        <w:t>reviewing</w:t>
      </w:r>
      <w:r w:rsidR="00C2123F" w:rsidRPr="00090294">
        <w:rPr>
          <w:lang w:val="en-US"/>
        </w:rPr>
        <w:t xml:space="preserve"> </w:t>
      </w:r>
      <w:r w:rsidR="00C2123F" w:rsidRPr="001833CA">
        <w:rPr>
          <w:lang w:val="en-US"/>
        </w:rPr>
        <w:t>current dosing recommendations (including the use of ideal body weight (IBW) as a way to optimise Ig use).</w:t>
      </w:r>
      <w:r w:rsidR="00C2123F" w:rsidRPr="001833CA">
        <w:t xml:space="preserve"> </w:t>
      </w:r>
      <w:r w:rsidR="004616ED" w:rsidRPr="001833CA">
        <w:rPr>
          <w:lang w:val="en-US"/>
        </w:rPr>
        <w:t>MSAC also noted that stakeholders were supportive of SCIg uptake</w:t>
      </w:r>
      <w:r w:rsidR="001833CA" w:rsidRPr="001833CA">
        <w:rPr>
          <w:lang w:val="en-US"/>
        </w:rPr>
        <w:t xml:space="preserve"> which </w:t>
      </w:r>
      <w:r w:rsidR="004616ED" w:rsidRPr="001833CA">
        <w:rPr>
          <w:lang w:val="en-US"/>
        </w:rPr>
        <w:t>may reduce barriers to Ig therapy</w:t>
      </w:r>
      <w:r w:rsidR="004425D6">
        <w:rPr>
          <w:lang w:val="en-US"/>
        </w:rPr>
        <w:t>, and considered</w:t>
      </w:r>
      <w:r w:rsidR="004616ED" w:rsidRPr="001833CA">
        <w:rPr>
          <w:lang w:val="en-US"/>
        </w:rPr>
        <w:t xml:space="preserve"> that further research could </w:t>
      </w:r>
      <w:r w:rsidR="004425D6">
        <w:rPr>
          <w:lang w:val="en-US"/>
        </w:rPr>
        <w:t>explore dose-equivalence comparisons between SCIg and IVIg</w:t>
      </w:r>
      <w:r w:rsidR="004616ED" w:rsidRPr="001833CA">
        <w:rPr>
          <w:lang w:val="en-US"/>
        </w:rPr>
        <w:t>.</w:t>
      </w:r>
      <w:r w:rsidR="001461DF">
        <w:rPr>
          <w:lang w:val="en-US"/>
        </w:rPr>
        <w:t xml:space="preserve"> MSAC was of a mind to review the application in 12 months’ time, should additional data become available to inform the cost-effectiveness of Ig in this population.</w:t>
      </w:r>
    </w:p>
    <w:p w14:paraId="2A10F8A7" w14:textId="77777777" w:rsidR="00BC1364" w:rsidRPr="00F715D1" w:rsidRDefault="00BC1364" w:rsidP="00713284">
      <w:pPr>
        <w:pStyle w:val="Heading1"/>
        <w:spacing w:before="120"/>
      </w:pPr>
      <w:r w:rsidRPr="00F715D1">
        <w:lastRenderedPageBreak/>
        <w:t>Background</w:t>
      </w:r>
    </w:p>
    <w:p w14:paraId="681FF4D5" w14:textId="77777777" w:rsidR="004758FC" w:rsidRDefault="004758FC" w:rsidP="00713284">
      <w:pPr>
        <w:tabs>
          <w:tab w:val="left" w:pos="720"/>
          <w:tab w:val="left" w:pos="1140"/>
        </w:tabs>
        <w:spacing w:before="120" w:after="240"/>
        <w:rPr>
          <w:szCs w:val="24"/>
        </w:rPr>
      </w:pPr>
      <w:r w:rsidRPr="0066027A">
        <w:rPr>
          <w:szCs w:val="24"/>
        </w:rPr>
        <w:t xml:space="preserve">All Australian Governments, through the Jurisdictional Blood Committee (JBC), have agreed </w:t>
      </w:r>
      <w:r w:rsidRPr="00E901D4">
        <w:rPr>
          <w:szCs w:val="24"/>
        </w:rPr>
        <w:t>to conduct robust Health Technology Assessments (HTAs) of immunoglobulin use (Ig Reviews) funded under the National Blood Agreement to ensure government-funded immunoglobulin use is based on strong evidence of clinical</w:t>
      </w:r>
      <w:r>
        <w:rPr>
          <w:szCs w:val="24"/>
        </w:rPr>
        <w:t xml:space="preserve"> effectiveness</w:t>
      </w:r>
      <w:r w:rsidRPr="00E901D4">
        <w:rPr>
          <w:szCs w:val="24"/>
        </w:rPr>
        <w:t xml:space="preserve"> and cost-effectiveness. The National Blood Agreement provides for MSAC to undertake evidence-based evaluation of blood products funded under the national blood supply arrangements at the request of the JBC.</w:t>
      </w:r>
    </w:p>
    <w:p w14:paraId="2D008B3D" w14:textId="77777777" w:rsidR="004758FC" w:rsidRDefault="004758FC" w:rsidP="00713284">
      <w:pPr>
        <w:tabs>
          <w:tab w:val="left" w:pos="720"/>
          <w:tab w:val="left" w:pos="1140"/>
        </w:tabs>
        <w:spacing w:before="120" w:after="240"/>
        <w:rPr>
          <w:szCs w:val="24"/>
        </w:rPr>
      </w:pPr>
      <w:r w:rsidRPr="0066027A">
        <w:rPr>
          <w:szCs w:val="24"/>
        </w:rPr>
        <w:t>The Ig Reviews are supported by a bespoke Reference Group, which oversees and provides advice on evaluation of all Ig HTA review applications. The PICO Confirmations for the Ig Reviews have been considered by the Reference Group instead of the PICO Advisory Sub-committee (PASC). Otherwise, the MSAC evaluation process remains the same as for applications for funding of items on the Medical Benefits Schedule (MBS).</w:t>
      </w:r>
    </w:p>
    <w:p w14:paraId="08EA604E" w14:textId="77777777" w:rsidR="004758FC" w:rsidRPr="0066027A" w:rsidRDefault="004758FC" w:rsidP="00713284">
      <w:pPr>
        <w:tabs>
          <w:tab w:val="left" w:pos="720"/>
          <w:tab w:val="left" w:pos="1140"/>
        </w:tabs>
        <w:spacing w:before="120"/>
        <w:rPr>
          <w:szCs w:val="24"/>
        </w:rPr>
      </w:pPr>
      <w:r w:rsidRPr="0066027A">
        <w:rPr>
          <w:szCs w:val="24"/>
        </w:rPr>
        <w:t>Four reports from the Ig Reviews have been considered by MSAC so far:</w:t>
      </w:r>
    </w:p>
    <w:p w14:paraId="227D4C35" w14:textId="77777777" w:rsidR="004758FC" w:rsidRPr="0066027A" w:rsidRDefault="004758FC" w:rsidP="00713284">
      <w:pPr>
        <w:pStyle w:val="ListParagraph"/>
        <w:numPr>
          <w:ilvl w:val="0"/>
          <w:numId w:val="26"/>
        </w:numPr>
        <w:tabs>
          <w:tab w:val="left" w:pos="720"/>
          <w:tab w:val="left" w:pos="1140"/>
        </w:tabs>
        <w:spacing w:before="120" w:after="240"/>
        <w:rPr>
          <w:szCs w:val="24"/>
        </w:rPr>
      </w:pPr>
      <w:r w:rsidRPr="0066027A">
        <w:rPr>
          <w:szCs w:val="24"/>
        </w:rPr>
        <w:t>Application 1564 – Immunoglobulin for chronic inflammatory demyelinating polyneuropathy</w:t>
      </w:r>
    </w:p>
    <w:p w14:paraId="3BE145C0" w14:textId="77777777" w:rsidR="004758FC" w:rsidRPr="0066027A" w:rsidRDefault="004758FC" w:rsidP="00713284">
      <w:pPr>
        <w:pStyle w:val="ListParagraph"/>
        <w:numPr>
          <w:ilvl w:val="0"/>
          <w:numId w:val="26"/>
        </w:numPr>
        <w:tabs>
          <w:tab w:val="left" w:pos="720"/>
          <w:tab w:val="left" w:pos="1140"/>
        </w:tabs>
        <w:spacing w:before="120" w:after="240"/>
        <w:rPr>
          <w:szCs w:val="24"/>
        </w:rPr>
      </w:pPr>
      <w:r w:rsidRPr="0066027A">
        <w:rPr>
          <w:szCs w:val="24"/>
        </w:rPr>
        <w:t xml:space="preserve">Application 1565 – Immunoglobulin for acquired hypogammaglobulinaemia secondary to haematological malignancies, or post-haemopoietic stem cell transplantation (HSCT) </w:t>
      </w:r>
    </w:p>
    <w:p w14:paraId="4C3DAEF1" w14:textId="77777777" w:rsidR="004758FC" w:rsidRPr="0066027A" w:rsidRDefault="004758FC" w:rsidP="00713284">
      <w:pPr>
        <w:pStyle w:val="ListParagraph"/>
        <w:numPr>
          <w:ilvl w:val="0"/>
          <w:numId w:val="26"/>
        </w:numPr>
        <w:tabs>
          <w:tab w:val="left" w:pos="720"/>
          <w:tab w:val="left" w:pos="1140"/>
        </w:tabs>
        <w:spacing w:before="120" w:after="240"/>
        <w:rPr>
          <w:szCs w:val="24"/>
        </w:rPr>
      </w:pPr>
      <w:r w:rsidRPr="0066027A">
        <w:rPr>
          <w:szCs w:val="24"/>
        </w:rPr>
        <w:t>Application 1566 – Immunoglobulin for myasthenia gravis</w:t>
      </w:r>
    </w:p>
    <w:p w14:paraId="756D255F" w14:textId="77777777" w:rsidR="004758FC" w:rsidRPr="0066027A" w:rsidRDefault="004758FC" w:rsidP="00713284">
      <w:pPr>
        <w:pStyle w:val="ListParagraph"/>
        <w:numPr>
          <w:ilvl w:val="0"/>
          <w:numId w:val="26"/>
        </w:numPr>
        <w:tabs>
          <w:tab w:val="left" w:pos="720"/>
          <w:tab w:val="left" w:pos="1140"/>
        </w:tabs>
        <w:spacing w:before="120" w:after="240"/>
        <w:rPr>
          <w:szCs w:val="24"/>
        </w:rPr>
      </w:pPr>
      <w:r w:rsidRPr="0066027A">
        <w:rPr>
          <w:szCs w:val="24"/>
        </w:rPr>
        <w:t xml:space="preserve">Application 1590 – Immunoglobulin for multifocal motor neuropathy </w:t>
      </w:r>
    </w:p>
    <w:p w14:paraId="773F94D6" w14:textId="77777777" w:rsidR="00BC1364" w:rsidRPr="004758FC" w:rsidRDefault="004758FC" w:rsidP="00713284">
      <w:pPr>
        <w:spacing w:before="120" w:after="240"/>
        <w:rPr>
          <w:szCs w:val="24"/>
        </w:rPr>
      </w:pPr>
      <w:r w:rsidRPr="0066027A">
        <w:rPr>
          <w:szCs w:val="24"/>
        </w:rPr>
        <w:t>Application 1591 and 1592 are the next two reports fro</w:t>
      </w:r>
      <w:r>
        <w:rPr>
          <w:szCs w:val="24"/>
        </w:rPr>
        <w:t>m the Ig Reviews to proceed to MSAC</w:t>
      </w:r>
      <w:r w:rsidRPr="0066027A">
        <w:rPr>
          <w:szCs w:val="24"/>
        </w:rPr>
        <w:t>.</w:t>
      </w:r>
    </w:p>
    <w:p w14:paraId="5D3DC229" w14:textId="77777777" w:rsidR="00BC1364" w:rsidRPr="00F715D1" w:rsidRDefault="00BC1364" w:rsidP="00713284">
      <w:pPr>
        <w:pStyle w:val="Heading1"/>
        <w:spacing w:before="120"/>
      </w:pPr>
      <w:r w:rsidRPr="00F715D1">
        <w:t>Prerequisites to implementation of any funding advice</w:t>
      </w:r>
    </w:p>
    <w:p w14:paraId="1CB5ACB9" w14:textId="52175E2F" w:rsidR="00DD019D" w:rsidRPr="00D80204" w:rsidRDefault="004758FC" w:rsidP="00D80204">
      <w:pPr>
        <w:tabs>
          <w:tab w:val="left" w:pos="720"/>
          <w:tab w:val="left" w:pos="1140"/>
        </w:tabs>
        <w:spacing w:before="120" w:after="240"/>
        <w:rPr>
          <w:szCs w:val="24"/>
        </w:rPr>
      </w:pPr>
      <w:r w:rsidRPr="004758FC">
        <w:rPr>
          <w:szCs w:val="24"/>
        </w:rPr>
        <w:t>All therapeutic products marketed in Australia require listing on the Australian Register of Therapeutic Goods (ARTG). Ig for this indication is already funded by the NBA. The purpose of this application is to consider the clinical effectiveness and cost-effectiveness of these products as currently funded under the Criteria V3</w:t>
      </w:r>
      <w:r>
        <w:rPr>
          <w:szCs w:val="24"/>
        </w:rPr>
        <w:t xml:space="preserve">. </w:t>
      </w:r>
      <w:r w:rsidRPr="004758FC">
        <w:rPr>
          <w:szCs w:val="24"/>
        </w:rPr>
        <w:t xml:space="preserve">Ig products registered by the TGA for the potential treatment of </w:t>
      </w:r>
      <w:r>
        <w:rPr>
          <w:szCs w:val="24"/>
        </w:rPr>
        <w:t>SHGG</w:t>
      </w:r>
      <w:r w:rsidRPr="004758FC">
        <w:rPr>
          <w:szCs w:val="24"/>
        </w:rPr>
        <w:t xml:space="preserve"> in Australia are summarised in Table 1</w:t>
      </w:r>
      <w:r>
        <w:rPr>
          <w:szCs w:val="24"/>
        </w:rPr>
        <w:t xml:space="preserve">. </w:t>
      </w:r>
      <w:r w:rsidRPr="004758FC">
        <w:rPr>
          <w:szCs w:val="24"/>
        </w:rPr>
        <w:t>The wording of the TGA approved indications varies widely between products, though most include wording such as “hypogammaglobulinaemia secondary to underlying disease or treatment” or similar.</w:t>
      </w:r>
      <w:r w:rsidR="00DD019D">
        <w:rPr>
          <w:rFonts w:ascii="Arial Narrow" w:hAnsi="Arial Narrow" w:cs="Arial"/>
          <w:b/>
          <w:bCs/>
          <w:iCs/>
          <w:sz w:val="20"/>
          <w:lang w:eastAsia="en-US"/>
        </w:rPr>
        <w:br w:type="page"/>
      </w:r>
    </w:p>
    <w:p w14:paraId="5348DE9E" w14:textId="6B079395" w:rsidR="004758FC" w:rsidRPr="00EC6723" w:rsidRDefault="00D53CBF" w:rsidP="00EC6723">
      <w:pPr>
        <w:rPr>
          <w:rFonts w:ascii="Arial Narrow" w:hAnsi="Arial Narrow"/>
          <w:b/>
          <w:sz w:val="20"/>
        </w:rPr>
      </w:pPr>
      <w:r w:rsidRPr="00EC6723">
        <w:rPr>
          <w:rFonts w:ascii="Arial Narrow" w:hAnsi="Arial Narrow"/>
          <w:b/>
          <w:sz w:val="20"/>
        </w:rPr>
        <w:lastRenderedPageBreak/>
        <w:t>Table 1</w:t>
      </w:r>
      <w:r w:rsidRPr="00EC6723">
        <w:rPr>
          <w:rFonts w:ascii="Arial Narrow" w:hAnsi="Arial Narrow"/>
          <w:b/>
          <w:sz w:val="20"/>
        </w:rPr>
        <w:tab/>
        <w:t xml:space="preserve"> Ig products registered on the ARTG for use in Australia for secondary hypogammaglobulinaemia </w:t>
      </w:r>
      <w:bookmarkStart w:id="2" w:name="_Toc48218434"/>
      <w:r w:rsidR="004758FC" w:rsidRPr="00EC6723">
        <w:rPr>
          <w:rFonts w:ascii="Arial Narrow" w:hAnsi="Arial Narrow"/>
          <w:b/>
          <w:sz w:val="20"/>
        </w:rPr>
        <w:t xml:space="preserve"> </w:t>
      </w:r>
      <w:bookmarkEnd w:id="2"/>
    </w:p>
    <w:tbl>
      <w:tblPr>
        <w:tblStyle w:val="TableGrid3"/>
        <w:tblW w:w="5000" w:type="pct"/>
        <w:tblLook w:val="04A0" w:firstRow="1" w:lastRow="0" w:firstColumn="1" w:lastColumn="0" w:noHBand="0" w:noVBand="1"/>
        <w:tblDescription w:val="Table 1.  Ig products registered on the ARTG for use in Australia"/>
      </w:tblPr>
      <w:tblGrid>
        <w:gridCol w:w="1696"/>
        <w:gridCol w:w="1560"/>
        <w:gridCol w:w="2126"/>
        <w:gridCol w:w="2550"/>
        <w:gridCol w:w="1084"/>
      </w:tblGrid>
      <w:tr w:rsidR="004758FC" w:rsidRPr="004758FC" w14:paraId="18D733EB" w14:textId="77777777" w:rsidTr="001E7287">
        <w:trPr>
          <w:tblHeader/>
        </w:trPr>
        <w:tc>
          <w:tcPr>
            <w:tcW w:w="941" w:type="pct"/>
            <w:tcBorders>
              <w:top w:val="single" w:sz="4" w:space="0" w:color="auto"/>
              <w:left w:val="single" w:sz="4" w:space="0" w:color="auto"/>
              <w:bottom w:val="single" w:sz="4" w:space="0" w:color="auto"/>
              <w:right w:val="single" w:sz="4" w:space="0" w:color="auto"/>
            </w:tcBorders>
            <w:hideMark/>
          </w:tcPr>
          <w:p w14:paraId="2D912DB0" w14:textId="77777777" w:rsidR="004758FC" w:rsidRPr="004758FC" w:rsidRDefault="004758FC" w:rsidP="007A5D70">
            <w:pPr>
              <w:spacing w:before="120" w:after="120"/>
              <w:contextualSpacing/>
              <w:rPr>
                <w:rFonts w:ascii="Arial Narrow" w:eastAsia="Calibri" w:hAnsi="Arial Narrow"/>
                <w:b/>
                <w:sz w:val="20"/>
              </w:rPr>
            </w:pPr>
            <w:r w:rsidRPr="004758FC">
              <w:rPr>
                <w:rFonts w:ascii="Arial Narrow" w:eastAsia="Calibri" w:hAnsi="Arial Narrow"/>
                <w:b/>
                <w:sz w:val="20"/>
              </w:rPr>
              <w:t xml:space="preserve">Product name </w:t>
            </w:r>
          </w:p>
        </w:tc>
        <w:tc>
          <w:tcPr>
            <w:tcW w:w="865" w:type="pct"/>
            <w:tcBorders>
              <w:top w:val="single" w:sz="4" w:space="0" w:color="auto"/>
              <w:left w:val="single" w:sz="4" w:space="0" w:color="auto"/>
              <w:bottom w:val="single" w:sz="4" w:space="0" w:color="auto"/>
              <w:right w:val="single" w:sz="4" w:space="0" w:color="auto"/>
            </w:tcBorders>
          </w:tcPr>
          <w:p w14:paraId="35928E0F" w14:textId="77777777" w:rsidR="004758FC" w:rsidRPr="004758FC" w:rsidRDefault="004758FC" w:rsidP="007A5D70">
            <w:pPr>
              <w:spacing w:before="120" w:after="120"/>
              <w:contextualSpacing/>
              <w:rPr>
                <w:rFonts w:ascii="Arial Narrow" w:eastAsia="Calibri" w:hAnsi="Arial Narrow"/>
                <w:b/>
                <w:sz w:val="20"/>
              </w:rPr>
            </w:pPr>
            <w:r w:rsidRPr="004758FC">
              <w:rPr>
                <w:rFonts w:ascii="Arial Narrow" w:eastAsia="Calibri" w:hAnsi="Arial Narrow"/>
                <w:b/>
                <w:sz w:val="20"/>
              </w:rPr>
              <w:t>Sponsor</w:t>
            </w:r>
          </w:p>
        </w:tc>
        <w:tc>
          <w:tcPr>
            <w:tcW w:w="1179" w:type="pct"/>
            <w:tcBorders>
              <w:top w:val="single" w:sz="4" w:space="0" w:color="auto"/>
              <w:left w:val="single" w:sz="4" w:space="0" w:color="auto"/>
              <w:bottom w:val="single" w:sz="4" w:space="0" w:color="auto"/>
              <w:right w:val="single" w:sz="4" w:space="0" w:color="auto"/>
            </w:tcBorders>
            <w:hideMark/>
          </w:tcPr>
          <w:p w14:paraId="5260961D" w14:textId="77777777" w:rsidR="004758FC" w:rsidRPr="004758FC" w:rsidRDefault="004758FC" w:rsidP="007A5D70">
            <w:pPr>
              <w:spacing w:before="120" w:after="120"/>
              <w:contextualSpacing/>
              <w:rPr>
                <w:rFonts w:ascii="Arial Narrow" w:eastAsia="Calibri" w:hAnsi="Arial Narrow"/>
                <w:b/>
                <w:sz w:val="20"/>
              </w:rPr>
            </w:pPr>
            <w:r w:rsidRPr="004758FC">
              <w:rPr>
                <w:rFonts w:ascii="Arial Narrow" w:eastAsia="Calibri" w:hAnsi="Arial Narrow"/>
                <w:b/>
                <w:sz w:val="20"/>
              </w:rPr>
              <w:t>Route of Administration</w:t>
            </w:r>
          </w:p>
        </w:tc>
        <w:tc>
          <w:tcPr>
            <w:tcW w:w="1414" w:type="pct"/>
            <w:tcBorders>
              <w:top w:val="single" w:sz="4" w:space="0" w:color="auto"/>
              <w:left w:val="single" w:sz="4" w:space="0" w:color="auto"/>
              <w:bottom w:val="single" w:sz="4" w:space="0" w:color="auto"/>
              <w:right w:val="single" w:sz="4" w:space="0" w:color="auto"/>
            </w:tcBorders>
          </w:tcPr>
          <w:p w14:paraId="5E6BA702" w14:textId="77777777" w:rsidR="004758FC" w:rsidRPr="004758FC" w:rsidRDefault="004758FC" w:rsidP="007A5D70">
            <w:pPr>
              <w:spacing w:before="120" w:after="120"/>
              <w:contextualSpacing/>
              <w:rPr>
                <w:rFonts w:ascii="Arial Narrow" w:eastAsia="Calibri" w:hAnsi="Arial Narrow"/>
                <w:b/>
                <w:sz w:val="20"/>
              </w:rPr>
            </w:pPr>
            <w:r w:rsidRPr="004758FC">
              <w:rPr>
                <w:rFonts w:ascii="Arial Narrow" w:eastAsia="Calibri" w:hAnsi="Arial Narrow"/>
                <w:b/>
                <w:sz w:val="20"/>
              </w:rPr>
              <w:t xml:space="preserve">Strength </w:t>
            </w:r>
          </w:p>
        </w:tc>
        <w:tc>
          <w:tcPr>
            <w:tcW w:w="601" w:type="pct"/>
            <w:tcBorders>
              <w:top w:val="single" w:sz="4" w:space="0" w:color="auto"/>
              <w:left w:val="single" w:sz="4" w:space="0" w:color="auto"/>
              <w:bottom w:val="single" w:sz="4" w:space="0" w:color="auto"/>
              <w:right w:val="single" w:sz="4" w:space="0" w:color="auto"/>
            </w:tcBorders>
            <w:hideMark/>
          </w:tcPr>
          <w:p w14:paraId="62F2D4B6" w14:textId="77777777" w:rsidR="004758FC" w:rsidRPr="004758FC" w:rsidRDefault="004758FC" w:rsidP="007A5D70">
            <w:pPr>
              <w:spacing w:before="120" w:after="120"/>
              <w:contextualSpacing/>
              <w:rPr>
                <w:rFonts w:ascii="Arial Narrow" w:eastAsia="Calibri" w:hAnsi="Arial Narrow"/>
                <w:b/>
                <w:sz w:val="20"/>
              </w:rPr>
            </w:pPr>
            <w:r w:rsidRPr="004758FC">
              <w:rPr>
                <w:rFonts w:ascii="Arial Narrow" w:eastAsia="Calibri" w:hAnsi="Arial Narrow"/>
                <w:b/>
                <w:sz w:val="20"/>
              </w:rPr>
              <w:t xml:space="preserve">*NBA Funded </w:t>
            </w:r>
          </w:p>
        </w:tc>
      </w:tr>
      <w:tr w:rsidR="004758FC" w:rsidRPr="004758FC" w14:paraId="38997C25" w14:textId="77777777" w:rsidTr="001E7287">
        <w:tc>
          <w:tcPr>
            <w:tcW w:w="941" w:type="pct"/>
            <w:tcBorders>
              <w:top w:val="single" w:sz="4" w:space="0" w:color="auto"/>
              <w:left w:val="single" w:sz="4" w:space="0" w:color="auto"/>
              <w:bottom w:val="single" w:sz="4" w:space="0" w:color="auto"/>
              <w:right w:val="single" w:sz="4" w:space="0" w:color="auto"/>
            </w:tcBorders>
            <w:hideMark/>
          </w:tcPr>
          <w:p w14:paraId="12EF8422"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 xml:space="preserve">Privigen </w:t>
            </w:r>
          </w:p>
        </w:tc>
        <w:tc>
          <w:tcPr>
            <w:tcW w:w="865" w:type="pct"/>
            <w:tcBorders>
              <w:top w:val="single" w:sz="4" w:space="0" w:color="auto"/>
              <w:left w:val="single" w:sz="4" w:space="0" w:color="auto"/>
              <w:bottom w:val="single" w:sz="4" w:space="0" w:color="auto"/>
              <w:right w:val="single" w:sz="4" w:space="0" w:color="auto"/>
            </w:tcBorders>
          </w:tcPr>
          <w:p w14:paraId="09ACC3F4"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lang w:val="de-DE"/>
              </w:rPr>
              <w:t>CSL Behring</w:t>
            </w:r>
          </w:p>
        </w:tc>
        <w:tc>
          <w:tcPr>
            <w:tcW w:w="1179" w:type="pct"/>
            <w:tcBorders>
              <w:top w:val="single" w:sz="4" w:space="0" w:color="auto"/>
              <w:left w:val="single" w:sz="4" w:space="0" w:color="auto"/>
              <w:bottom w:val="single" w:sz="4" w:space="0" w:color="auto"/>
              <w:right w:val="single" w:sz="4" w:space="0" w:color="auto"/>
            </w:tcBorders>
            <w:hideMark/>
          </w:tcPr>
          <w:p w14:paraId="43E61293"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IV</w:t>
            </w:r>
          </w:p>
        </w:tc>
        <w:tc>
          <w:tcPr>
            <w:tcW w:w="1414" w:type="pct"/>
            <w:tcBorders>
              <w:top w:val="single" w:sz="4" w:space="0" w:color="auto"/>
              <w:left w:val="single" w:sz="4" w:space="0" w:color="auto"/>
              <w:bottom w:val="single" w:sz="4" w:space="0" w:color="auto"/>
              <w:right w:val="single" w:sz="4" w:space="0" w:color="auto"/>
            </w:tcBorders>
          </w:tcPr>
          <w:p w14:paraId="6C636E50"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5g/50mL to 40g/400mL</w:t>
            </w:r>
          </w:p>
        </w:tc>
        <w:tc>
          <w:tcPr>
            <w:tcW w:w="601" w:type="pct"/>
            <w:tcBorders>
              <w:top w:val="single" w:sz="4" w:space="0" w:color="auto"/>
              <w:left w:val="single" w:sz="4" w:space="0" w:color="auto"/>
              <w:bottom w:val="single" w:sz="4" w:space="0" w:color="auto"/>
              <w:right w:val="single" w:sz="4" w:space="0" w:color="auto"/>
            </w:tcBorders>
            <w:hideMark/>
          </w:tcPr>
          <w:p w14:paraId="3D8BD5E5"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Yes</w:t>
            </w:r>
          </w:p>
        </w:tc>
      </w:tr>
      <w:tr w:rsidR="004758FC" w:rsidRPr="004758FC" w14:paraId="1926AE40" w14:textId="77777777" w:rsidTr="001E7287">
        <w:tc>
          <w:tcPr>
            <w:tcW w:w="941" w:type="pct"/>
            <w:tcBorders>
              <w:top w:val="single" w:sz="4" w:space="0" w:color="auto"/>
              <w:left w:val="single" w:sz="4" w:space="0" w:color="auto"/>
              <w:bottom w:val="single" w:sz="4" w:space="0" w:color="auto"/>
              <w:right w:val="single" w:sz="4" w:space="0" w:color="auto"/>
            </w:tcBorders>
            <w:hideMark/>
          </w:tcPr>
          <w:p w14:paraId="733C7BFE"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 xml:space="preserve">Hizentra </w:t>
            </w:r>
          </w:p>
        </w:tc>
        <w:tc>
          <w:tcPr>
            <w:tcW w:w="865" w:type="pct"/>
            <w:tcBorders>
              <w:top w:val="single" w:sz="4" w:space="0" w:color="auto"/>
              <w:left w:val="single" w:sz="4" w:space="0" w:color="auto"/>
              <w:bottom w:val="single" w:sz="4" w:space="0" w:color="auto"/>
              <w:right w:val="single" w:sz="4" w:space="0" w:color="auto"/>
            </w:tcBorders>
          </w:tcPr>
          <w:p w14:paraId="726DB655"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lang w:val="de-DE"/>
              </w:rPr>
              <w:t>CSL Behring</w:t>
            </w:r>
          </w:p>
        </w:tc>
        <w:tc>
          <w:tcPr>
            <w:tcW w:w="1179" w:type="pct"/>
            <w:tcBorders>
              <w:top w:val="single" w:sz="4" w:space="0" w:color="auto"/>
              <w:left w:val="single" w:sz="4" w:space="0" w:color="auto"/>
              <w:bottom w:val="single" w:sz="4" w:space="0" w:color="auto"/>
              <w:right w:val="single" w:sz="4" w:space="0" w:color="auto"/>
            </w:tcBorders>
            <w:hideMark/>
          </w:tcPr>
          <w:p w14:paraId="75F8CCD8"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SC</w:t>
            </w:r>
          </w:p>
        </w:tc>
        <w:tc>
          <w:tcPr>
            <w:tcW w:w="1414" w:type="pct"/>
            <w:tcBorders>
              <w:top w:val="single" w:sz="4" w:space="0" w:color="auto"/>
              <w:left w:val="single" w:sz="4" w:space="0" w:color="auto"/>
              <w:bottom w:val="single" w:sz="4" w:space="0" w:color="auto"/>
              <w:right w:val="single" w:sz="4" w:space="0" w:color="auto"/>
            </w:tcBorders>
          </w:tcPr>
          <w:p w14:paraId="64D75EF2"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1g/5mL to 10g/50mL</w:t>
            </w:r>
          </w:p>
        </w:tc>
        <w:tc>
          <w:tcPr>
            <w:tcW w:w="601" w:type="pct"/>
            <w:tcBorders>
              <w:top w:val="single" w:sz="4" w:space="0" w:color="auto"/>
              <w:left w:val="single" w:sz="4" w:space="0" w:color="auto"/>
              <w:bottom w:val="single" w:sz="4" w:space="0" w:color="auto"/>
              <w:right w:val="single" w:sz="4" w:space="0" w:color="auto"/>
            </w:tcBorders>
            <w:hideMark/>
          </w:tcPr>
          <w:p w14:paraId="35625A15"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Yes</w:t>
            </w:r>
          </w:p>
        </w:tc>
      </w:tr>
      <w:tr w:rsidR="004758FC" w:rsidRPr="004758FC" w14:paraId="3E4036BB" w14:textId="77777777" w:rsidTr="001E7287">
        <w:tc>
          <w:tcPr>
            <w:tcW w:w="941" w:type="pct"/>
            <w:tcBorders>
              <w:top w:val="single" w:sz="4" w:space="0" w:color="auto"/>
              <w:left w:val="single" w:sz="4" w:space="0" w:color="auto"/>
              <w:bottom w:val="single" w:sz="4" w:space="0" w:color="auto"/>
              <w:right w:val="single" w:sz="4" w:space="0" w:color="auto"/>
            </w:tcBorders>
            <w:hideMark/>
          </w:tcPr>
          <w:p w14:paraId="7BF77FD3"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 xml:space="preserve">Flebogamma 10% </w:t>
            </w:r>
          </w:p>
        </w:tc>
        <w:tc>
          <w:tcPr>
            <w:tcW w:w="865" w:type="pct"/>
            <w:tcBorders>
              <w:top w:val="single" w:sz="4" w:space="0" w:color="auto"/>
              <w:left w:val="single" w:sz="4" w:space="0" w:color="auto"/>
              <w:bottom w:val="single" w:sz="4" w:space="0" w:color="auto"/>
              <w:right w:val="single" w:sz="4" w:space="0" w:color="auto"/>
            </w:tcBorders>
          </w:tcPr>
          <w:p w14:paraId="60EFB2CB"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Grifols</w:t>
            </w:r>
          </w:p>
        </w:tc>
        <w:tc>
          <w:tcPr>
            <w:tcW w:w="1179" w:type="pct"/>
            <w:tcBorders>
              <w:top w:val="single" w:sz="4" w:space="0" w:color="auto"/>
              <w:left w:val="single" w:sz="4" w:space="0" w:color="auto"/>
              <w:bottom w:val="single" w:sz="4" w:space="0" w:color="auto"/>
              <w:right w:val="single" w:sz="4" w:space="0" w:color="auto"/>
            </w:tcBorders>
            <w:hideMark/>
          </w:tcPr>
          <w:p w14:paraId="66AAFA5F"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IV</w:t>
            </w:r>
          </w:p>
        </w:tc>
        <w:tc>
          <w:tcPr>
            <w:tcW w:w="1414" w:type="pct"/>
            <w:tcBorders>
              <w:top w:val="single" w:sz="4" w:space="0" w:color="auto"/>
              <w:left w:val="single" w:sz="4" w:space="0" w:color="auto"/>
              <w:bottom w:val="single" w:sz="4" w:space="0" w:color="auto"/>
              <w:right w:val="single" w:sz="4" w:space="0" w:color="auto"/>
            </w:tcBorders>
          </w:tcPr>
          <w:p w14:paraId="48540C8A"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5g/50mL to 20g/200mL</w:t>
            </w:r>
          </w:p>
        </w:tc>
        <w:tc>
          <w:tcPr>
            <w:tcW w:w="601" w:type="pct"/>
            <w:tcBorders>
              <w:top w:val="single" w:sz="4" w:space="0" w:color="auto"/>
              <w:left w:val="single" w:sz="4" w:space="0" w:color="auto"/>
              <w:bottom w:val="single" w:sz="4" w:space="0" w:color="auto"/>
              <w:right w:val="single" w:sz="4" w:space="0" w:color="auto"/>
            </w:tcBorders>
            <w:hideMark/>
          </w:tcPr>
          <w:p w14:paraId="5B71F7E7"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Yes</w:t>
            </w:r>
          </w:p>
        </w:tc>
      </w:tr>
      <w:tr w:rsidR="004758FC" w:rsidRPr="004758FC" w14:paraId="5B6B6560" w14:textId="77777777" w:rsidTr="001E7287">
        <w:tc>
          <w:tcPr>
            <w:tcW w:w="941" w:type="pct"/>
            <w:tcBorders>
              <w:top w:val="single" w:sz="4" w:space="0" w:color="auto"/>
              <w:left w:val="single" w:sz="4" w:space="0" w:color="auto"/>
              <w:bottom w:val="single" w:sz="4" w:space="0" w:color="auto"/>
              <w:right w:val="single" w:sz="4" w:space="0" w:color="auto"/>
            </w:tcBorders>
            <w:hideMark/>
          </w:tcPr>
          <w:p w14:paraId="4080674B" w14:textId="77777777" w:rsidR="004758FC" w:rsidRPr="004758FC" w:rsidRDefault="004758FC" w:rsidP="007A5D70">
            <w:pPr>
              <w:spacing w:before="120" w:after="120"/>
              <w:contextualSpacing/>
              <w:rPr>
                <w:rFonts w:ascii="Arial Narrow" w:eastAsia="Calibri" w:hAnsi="Arial Narrow"/>
                <w:sz w:val="20"/>
                <w:lang w:val="pt-PT"/>
              </w:rPr>
            </w:pPr>
            <w:r w:rsidRPr="004758FC">
              <w:rPr>
                <w:rFonts w:ascii="Arial Narrow" w:eastAsia="Calibri" w:hAnsi="Arial Narrow"/>
                <w:sz w:val="20"/>
                <w:lang w:val="pt-PT"/>
              </w:rPr>
              <w:t xml:space="preserve">Evogam 16%  </w:t>
            </w:r>
          </w:p>
        </w:tc>
        <w:tc>
          <w:tcPr>
            <w:tcW w:w="865" w:type="pct"/>
            <w:tcBorders>
              <w:top w:val="single" w:sz="4" w:space="0" w:color="auto"/>
              <w:left w:val="single" w:sz="4" w:space="0" w:color="auto"/>
              <w:bottom w:val="single" w:sz="4" w:space="0" w:color="auto"/>
              <w:right w:val="single" w:sz="4" w:space="0" w:color="auto"/>
            </w:tcBorders>
          </w:tcPr>
          <w:p w14:paraId="19078D67"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lang w:val="pt-PT"/>
              </w:rPr>
              <w:t>CSL Behring</w:t>
            </w:r>
          </w:p>
        </w:tc>
        <w:tc>
          <w:tcPr>
            <w:tcW w:w="1179" w:type="pct"/>
            <w:tcBorders>
              <w:top w:val="single" w:sz="4" w:space="0" w:color="auto"/>
              <w:left w:val="single" w:sz="4" w:space="0" w:color="auto"/>
              <w:bottom w:val="single" w:sz="4" w:space="0" w:color="auto"/>
              <w:right w:val="single" w:sz="4" w:space="0" w:color="auto"/>
            </w:tcBorders>
            <w:hideMark/>
          </w:tcPr>
          <w:p w14:paraId="51C86423"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SC</w:t>
            </w:r>
          </w:p>
        </w:tc>
        <w:tc>
          <w:tcPr>
            <w:tcW w:w="1414" w:type="pct"/>
            <w:tcBorders>
              <w:top w:val="single" w:sz="4" w:space="0" w:color="auto"/>
              <w:left w:val="single" w:sz="4" w:space="0" w:color="auto"/>
              <w:bottom w:val="single" w:sz="4" w:space="0" w:color="auto"/>
              <w:right w:val="single" w:sz="4" w:space="0" w:color="auto"/>
            </w:tcBorders>
          </w:tcPr>
          <w:p w14:paraId="0FB663A4"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lang w:val="pt-PT"/>
              </w:rPr>
              <w:t>0.8g/5mL or 3.2g/20mL</w:t>
            </w:r>
          </w:p>
        </w:tc>
        <w:tc>
          <w:tcPr>
            <w:tcW w:w="601" w:type="pct"/>
            <w:tcBorders>
              <w:top w:val="single" w:sz="4" w:space="0" w:color="auto"/>
              <w:left w:val="single" w:sz="4" w:space="0" w:color="auto"/>
              <w:bottom w:val="single" w:sz="4" w:space="0" w:color="auto"/>
              <w:right w:val="single" w:sz="4" w:space="0" w:color="auto"/>
            </w:tcBorders>
            <w:hideMark/>
          </w:tcPr>
          <w:p w14:paraId="631944A5"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Yes</w:t>
            </w:r>
          </w:p>
        </w:tc>
      </w:tr>
      <w:tr w:rsidR="004758FC" w:rsidRPr="004758FC" w14:paraId="45D271AE" w14:textId="77777777" w:rsidTr="001E7287">
        <w:tc>
          <w:tcPr>
            <w:tcW w:w="941" w:type="pct"/>
            <w:tcBorders>
              <w:top w:val="single" w:sz="4" w:space="0" w:color="auto"/>
              <w:left w:val="single" w:sz="4" w:space="0" w:color="auto"/>
              <w:bottom w:val="single" w:sz="4" w:space="0" w:color="auto"/>
              <w:right w:val="single" w:sz="4" w:space="0" w:color="auto"/>
            </w:tcBorders>
            <w:shd w:val="clear" w:color="auto" w:fill="auto"/>
            <w:hideMark/>
          </w:tcPr>
          <w:p w14:paraId="421D023F"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Intragam 10</w:t>
            </w:r>
          </w:p>
        </w:tc>
        <w:tc>
          <w:tcPr>
            <w:tcW w:w="865" w:type="pct"/>
            <w:tcBorders>
              <w:top w:val="single" w:sz="4" w:space="0" w:color="auto"/>
              <w:left w:val="single" w:sz="4" w:space="0" w:color="auto"/>
              <w:bottom w:val="single" w:sz="4" w:space="0" w:color="auto"/>
              <w:right w:val="single" w:sz="4" w:space="0" w:color="auto"/>
            </w:tcBorders>
            <w:shd w:val="clear" w:color="auto" w:fill="auto"/>
          </w:tcPr>
          <w:p w14:paraId="6DEBF3B7"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lang w:val="pt-PT"/>
              </w:rPr>
              <w:t>CSL Behring</w:t>
            </w:r>
          </w:p>
        </w:tc>
        <w:tc>
          <w:tcPr>
            <w:tcW w:w="1179" w:type="pct"/>
            <w:tcBorders>
              <w:top w:val="single" w:sz="4" w:space="0" w:color="auto"/>
              <w:left w:val="single" w:sz="4" w:space="0" w:color="auto"/>
              <w:bottom w:val="single" w:sz="4" w:space="0" w:color="auto"/>
              <w:right w:val="single" w:sz="4" w:space="0" w:color="auto"/>
            </w:tcBorders>
            <w:shd w:val="clear" w:color="auto" w:fill="auto"/>
            <w:hideMark/>
          </w:tcPr>
          <w:p w14:paraId="0FF1A29A"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IV</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43F7AFCF"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2.5g/25mL to 20g/200mL</w:t>
            </w:r>
          </w:p>
        </w:tc>
        <w:tc>
          <w:tcPr>
            <w:tcW w:w="601" w:type="pct"/>
            <w:tcBorders>
              <w:top w:val="single" w:sz="4" w:space="0" w:color="auto"/>
              <w:left w:val="single" w:sz="4" w:space="0" w:color="auto"/>
              <w:bottom w:val="single" w:sz="4" w:space="0" w:color="auto"/>
              <w:right w:val="single" w:sz="4" w:space="0" w:color="auto"/>
            </w:tcBorders>
            <w:hideMark/>
          </w:tcPr>
          <w:p w14:paraId="10206514"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Yes</w:t>
            </w:r>
          </w:p>
        </w:tc>
      </w:tr>
      <w:tr w:rsidR="004758FC" w:rsidRPr="004758FC" w14:paraId="1532C288" w14:textId="77777777" w:rsidTr="001E7287">
        <w:tc>
          <w:tcPr>
            <w:tcW w:w="941" w:type="pct"/>
            <w:tcBorders>
              <w:top w:val="single" w:sz="4" w:space="0" w:color="auto"/>
              <w:left w:val="single" w:sz="4" w:space="0" w:color="auto"/>
              <w:bottom w:val="single" w:sz="4" w:space="0" w:color="auto"/>
              <w:right w:val="single" w:sz="4" w:space="0" w:color="auto"/>
            </w:tcBorders>
            <w:hideMark/>
          </w:tcPr>
          <w:p w14:paraId="355FE9A4"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 xml:space="preserve">Flebogamma 5% </w:t>
            </w:r>
          </w:p>
        </w:tc>
        <w:tc>
          <w:tcPr>
            <w:tcW w:w="865" w:type="pct"/>
            <w:tcBorders>
              <w:top w:val="single" w:sz="4" w:space="0" w:color="auto"/>
              <w:left w:val="single" w:sz="4" w:space="0" w:color="auto"/>
              <w:bottom w:val="single" w:sz="4" w:space="0" w:color="auto"/>
              <w:right w:val="single" w:sz="4" w:space="0" w:color="auto"/>
            </w:tcBorders>
          </w:tcPr>
          <w:p w14:paraId="3B9312B8"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Grifols</w:t>
            </w:r>
          </w:p>
        </w:tc>
        <w:tc>
          <w:tcPr>
            <w:tcW w:w="1179" w:type="pct"/>
            <w:tcBorders>
              <w:top w:val="single" w:sz="4" w:space="0" w:color="auto"/>
              <w:left w:val="single" w:sz="4" w:space="0" w:color="auto"/>
              <w:bottom w:val="single" w:sz="4" w:space="0" w:color="auto"/>
              <w:right w:val="single" w:sz="4" w:space="0" w:color="auto"/>
            </w:tcBorders>
            <w:hideMark/>
          </w:tcPr>
          <w:p w14:paraId="1441E407"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IV</w:t>
            </w:r>
          </w:p>
        </w:tc>
        <w:tc>
          <w:tcPr>
            <w:tcW w:w="1414" w:type="pct"/>
            <w:tcBorders>
              <w:top w:val="single" w:sz="4" w:space="0" w:color="auto"/>
              <w:left w:val="single" w:sz="4" w:space="0" w:color="auto"/>
              <w:bottom w:val="single" w:sz="4" w:space="0" w:color="auto"/>
              <w:right w:val="single" w:sz="4" w:space="0" w:color="auto"/>
            </w:tcBorders>
          </w:tcPr>
          <w:p w14:paraId="3ED5A973"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0.5g/10mL to 20g/400mL</w:t>
            </w:r>
          </w:p>
        </w:tc>
        <w:tc>
          <w:tcPr>
            <w:tcW w:w="601" w:type="pct"/>
            <w:tcBorders>
              <w:top w:val="single" w:sz="4" w:space="0" w:color="auto"/>
              <w:left w:val="single" w:sz="4" w:space="0" w:color="auto"/>
              <w:bottom w:val="single" w:sz="4" w:space="0" w:color="auto"/>
              <w:right w:val="single" w:sz="4" w:space="0" w:color="auto"/>
            </w:tcBorders>
            <w:hideMark/>
          </w:tcPr>
          <w:p w14:paraId="25D27081"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Yes</w:t>
            </w:r>
          </w:p>
        </w:tc>
      </w:tr>
      <w:tr w:rsidR="004758FC" w:rsidRPr="004758FC" w14:paraId="6FC6CDBF" w14:textId="77777777" w:rsidTr="001E7287">
        <w:tc>
          <w:tcPr>
            <w:tcW w:w="941" w:type="pct"/>
            <w:tcBorders>
              <w:top w:val="single" w:sz="4" w:space="0" w:color="auto"/>
              <w:left w:val="single" w:sz="4" w:space="0" w:color="auto"/>
              <w:bottom w:val="single" w:sz="4" w:space="0" w:color="auto"/>
              <w:right w:val="single" w:sz="4" w:space="0" w:color="auto"/>
            </w:tcBorders>
            <w:hideMark/>
          </w:tcPr>
          <w:p w14:paraId="575DA1B0"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Cuvitru 20%</w:t>
            </w:r>
          </w:p>
        </w:tc>
        <w:tc>
          <w:tcPr>
            <w:tcW w:w="865" w:type="pct"/>
            <w:tcBorders>
              <w:top w:val="single" w:sz="4" w:space="0" w:color="auto"/>
              <w:left w:val="single" w:sz="4" w:space="0" w:color="auto"/>
              <w:bottom w:val="single" w:sz="4" w:space="0" w:color="auto"/>
              <w:right w:val="single" w:sz="4" w:space="0" w:color="auto"/>
            </w:tcBorders>
          </w:tcPr>
          <w:p w14:paraId="3E10C550"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Shire</w:t>
            </w:r>
          </w:p>
        </w:tc>
        <w:tc>
          <w:tcPr>
            <w:tcW w:w="1179" w:type="pct"/>
            <w:tcBorders>
              <w:top w:val="single" w:sz="4" w:space="0" w:color="auto"/>
              <w:left w:val="single" w:sz="4" w:space="0" w:color="auto"/>
              <w:bottom w:val="single" w:sz="4" w:space="0" w:color="auto"/>
              <w:right w:val="single" w:sz="4" w:space="0" w:color="auto"/>
            </w:tcBorders>
            <w:hideMark/>
          </w:tcPr>
          <w:p w14:paraId="246E68E1"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SC</w:t>
            </w:r>
          </w:p>
        </w:tc>
        <w:tc>
          <w:tcPr>
            <w:tcW w:w="1414" w:type="pct"/>
            <w:tcBorders>
              <w:top w:val="single" w:sz="4" w:space="0" w:color="auto"/>
              <w:left w:val="single" w:sz="4" w:space="0" w:color="auto"/>
              <w:bottom w:val="single" w:sz="4" w:space="0" w:color="auto"/>
              <w:right w:val="single" w:sz="4" w:space="0" w:color="auto"/>
            </w:tcBorders>
          </w:tcPr>
          <w:p w14:paraId="3ABA38E9"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1g/5mL to 8g/40mL</w:t>
            </w:r>
          </w:p>
        </w:tc>
        <w:tc>
          <w:tcPr>
            <w:tcW w:w="601" w:type="pct"/>
            <w:tcBorders>
              <w:top w:val="single" w:sz="4" w:space="0" w:color="auto"/>
              <w:left w:val="single" w:sz="4" w:space="0" w:color="auto"/>
              <w:bottom w:val="single" w:sz="4" w:space="0" w:color="auto"/>
              <w:right w:val="single" w:sz="4" w:space="0" w:color="auto"/>
            </w:tcBorders>
            <w:hideMark/>
          </w:tcPr>
          <w:p w14:paraId="15260CD4"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No</w:t>
            </w:r>
          </w:p>
        </w:tc>
      </w:tr>
      <w:tr w:rsidR="004758FC" w:rsidRPr="004758FC" w14:paraId="2B0E9AA7" w14:textId="77777777" w:rsidTr="001E7287">
        <w:tc>
          <w:tcPr>
            <w:tcW w:w="941" w:type="pct"/>
            <w:tcBorders>
              <w:top w:val="single" w:sz="4" w:space="0" w:color="auto"/>
              <w:left w:val="single" w:sz="4" w:space="0" w:color="auto"/>
              <w:bottom w:val="single" w:sz="4" w:space="0" w:color="auto"/>
              <w:right w:val="single" w:sz="4" w:space="0" w:color="auto"/>
            </w:tcBorders>
            <w:hideMark/>
          </w:tcPr>
          <w:p w14:paraId="38D00316" w14:textId="77777777" w:rsidR="004758FC" w:rsidRPr="004758FC" w:rsidRDefault="004758FC" w:rsidP="007A5D70">
            <w:pPr>
              <w:spacing w:before="120" w:after="120"/>
              <w:contextualSpacing/>
              <w:rPr>
                <w:rFonts w:ascii="Arial Narrow" w:eastAsia="Calibri" w:hAnsi="Arial Narrow"/>
                <w:sz w:val="20"/>
                <w:lang w:val="pt-PT"/>
              </w:rPr>
            </w:pPr>
            <w:r w:rsidRPr="004758FC">
              <w:rPr>
                <w:rFonts w:ascii="Arial Narrow" w:eastAsia="Calibri" w:hAnsi="Arial Narrow"/>
                <w:sz w:val="20"/>
                <w:lang w:val="pt-PT"/>
              </w:rPr>
              <w:t>Panzyga</w:t>
            </w:r>
          </w:p>
        </w:tc>
        <w:tc>
          <w:tcPr>
            <w:tcW w:w="865" w:type="pct"/>
            <w:tcBorders>
              <w:top w:val="single" w:sz="4" w:space="0" w:color="auto"/>
              <w:left w:val="single" w:sz="4" w:space="0" w:color="auto"/>
              <w:bottom w:val="single" w:sz="4" w:space="0" w:color="auto"/>
              <w:right w:val="single" w:sz="4" w:space="0" w:color="auto"/>
            </w:tcBorders>
          </w:tcPr>
          <w:p w14:paraId="1F132FA5" w14:textId="77777777" w:rsidR="004758FC" w:rsidRPr="004758FC" w:rsidRDefault="004758FC" w:rsidP="007A5D70">
            <w:pPr>
              <w:spacing w:before="120" w:after="120"/>
              <w:contextualSpacing/>
              <w:rPr>
                <w:rFonts w:ascii="Arial Narrow" w:eastAsia="Calibri" w:hAnsi="Arial Narrow"/>
                <w:sz w:val="20"/>
                <w:lang w:val="es-ES"/>
              </w:rPr>
            </w:pPr>
            <w:r w:rsidRPr="004758FC">
              <w:rPr>
                <w:rFonts w:ascii="Arial Narrow" w:eastAsia="Calibri" w:hAnsi="Arial Narrow"/>
                <w:sz w:val="20"/>
                <w:lang w:val="pt-PT"/>
              </w:rPr>
              <w:t>Octaphama</w:t>
            </w:r>
          </w:p>
        </w:tc>
        <w:tc>
          <w:tcPr>
            <w:tcW w:w="1179" w:type="pct"/>
            <w:tcBorders>
              <w:top w:val="single" w:sz="4" w:space="0" w:color="auto"/>
              <w:left w:val="single" w:sz="4" w:space="0" w:color="auto"/>
              <w:bottom w:val="single" w:sz="4" w:space="0" w:color="auto"/>
              <w:right w:val="single" w:sz="4" w:space="0" w:color="auto"/>
            </w:tcBorders>
            <w:hideMark/>
          </w:tcPr>
          <w:p w14:paraId="3E179FD0"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IV</w:t>
            </w:r>
          </w:p>
        </w:tc>
        <w:tc>
          <w:tcPr>
            <w:tcW w:w="1414" w:type="pct"/>
            <w:tcBorders>
              <w:top w:val="single" w:sz="4" w:space="0" w:color="auto"/>
              <w:left w:val="single" w:sz="4" w:space="0" w:color="auto"/>
              <w:bottom w:val="single" w:sz="4" w:space="0" w:color="auto"/>
              <w:right w:val="single" w:sz="4" w:space="0" w:color="auto"/>
            </w:tcBorders>
          </w:tcPr>
          <w:p w14:paraId="2B5AC45B"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1g/10mL to 30g/300mL</w:t>
            </w:r>
          </w:p>
        </w:tc>
        <w:tc>
          <w:tcPr>
            <w:tcW w:w="601" w:type="pct"/>
            <w:tcBorders>
              <w:top w:val="single" w:sz="4" w:space="0" w:color="auto"/>
              <w:left w:val="single" w:sz="4" w:space="0" w:color="auto"/>
              <w:bottom w:val="single" w:sz="4" w:space="0" w:color="auto"/>
              <w:right w:val="single" w:sz="4" w:space="0" w:color="auto"/>
            </w:tcBorders>
            <w:hideMark/>
          </w:tcPr>
          <w:p w14:paraId="542BB013"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No</w:t>
            </w:r>
          </w:p>
        </w:tc>
      </w:tr>
      <w:tr w:rsidR="004758FC" w:rsidRPr="004758FC" w14:paraId="4C703C1E" w14:textId="77777777" w:rsidTr="001E7287">
        <w:tc>
          <w:tcPr>
            <w:tcW w:w="941" w:type="pct"/>
            <w:tcBorders>
              <w:top w:val="single" w:sz="4" w:space="0" w:color="auto"/>
              <w:left w:val="single" w:sz="4" w:space="0" w:color="auto"/>
              <w:bottom w:val="single" w:sz="4" w:space="0" w:color="auto"/>
              <w:right w:val="single" w:sz="4" w:space="0" w:color="auto"/>
            </w:tcBorders>
            <w:hideMark/>
          </w:tcPr>
          <w:p w14:paraId="6A4FB2A9" w14:textId="77777777" w:rsidR="004758FC" w:rsidRPr="004758FC" w:rsidRDefault="004758FC" w:rsidP="007A5D70">
            <w:pPr>
              <w:spacing w:before="120" w:after="120"/>
              <w:contextualSpacing/>
              <w:rPr>
                <w:rFonts w:ascii="Arial Narrow" w:eastAsia="Calibri" w:hAnsi="Arial Narrow"/>
                <w:sz w:val="20"/>
                <w:lang w:val="it-IT"/>
              </w:rPr>
            </w:pPr>
            <w:r w:rsidRPr="004758FC">
              <w:rPr>
                <w:rFonts w:ascii="Arial Narrow" w:eastAsia="Calibri" w:hAnsi="Arial Narrow"/>
                <w:sz w:val="20"/>
                <w:lang w:val="it-IT"/>
              </w:rPr>
              <w:t xml:space="preserve">Gamunex 10% </w:t>
            </w:r>
          </w:p>
        </w:tc>
        <w:tc>
          <w:tcPr>
            <w:tcW w:w="865" w:type="pct"/>
            <w:tcBorders>
              <w:top w:val="single" w:sz="4" w:space="0" w:color="auto"/>
              <w:left w:val="single" w:sz="4" w:space="0" w:color="auto"/>
              <w:bottom w:val="single" w:sz="4" w:space="0" w:color="auto"/>
              <w:right w:val="single" w:sz="4" w:space="0" w:color="auto"/>
            </w:tcBorders>
          </w:tcPr>
          <w:p w14:paraId="0E85EDDE"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lang w:val="it-IT"/>
              </w:rPr>
              <w:t>Grifols</w:t>
            </w:r>
          </w:p>
        </w:tc>
        <w:tc>
          <w:tcPr>
            <w:tcW w:w="1179" w:type="pct"/>
            <w:tcBorders>
              <w:top w:val="single" w:sz="4" w:space="0" w:color="auto"/>
              <w:left w:val="single" w:sz="4" w:space="0" w:color="auto"/>
              <w:bottom w:val="single" w:sz="4" w:space="0" w:color="auto"/>
              <w:right w:val="single" w:sz="4" w:space="0" w:color="auto"/>
            </w:tcBorders>
            <w:hideMark/>
          </w:tcPr>
          <w:p w14:paraId="4303036A"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IV and SC</w:t>
            </w:r>
          </w:p>
        </w:tc>
        <w:tc>
          <w:tcPr>
            <w:tcW w:w="1414" w:type="pct"/>
            <w:tcBorders>
              <w:top w:val="single" w:sz="4" w:space="0" w:color="auto"/>
              <w:left w:val="single" w:sz="4" w:space="0" w:color="auto"/>
              <w:bottom w:val="single" w:sz="4" w:space="0" w:color="auto"/>
              <w:right w:val="single" w:sz="4" w:space="0" w:color="auto"/>
            </w:tcBorders>
          </w:tcPr>
          <w:p w14:paraId="65A6C1F6"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1g/10mL to 20g/200mL</w:t>
            </w:r>
          </w:p>
        </w:tc>
        <w:tc>
          <w:tcPr>
            <w:tcW w:w="601" w:type="pct"/>
            <w:tcBorders>
              <w:top w:val="single" w:sz="4" w:space="0" w:color="auto"/>
              <w:left w:val="single" w:sz="4" w:space="0" w:color="auto"/>
              <w:bottom w:val="single" w:sz="4" w:space="0" w:color="auto"/>
              <w:right w:val="single" w:sz="4" w:space="0" w:color="auto"/>
            </w:tcBorders>
            <w:hideMark/>
          </w:tcPr>
          <w:p w14:paraId="496BED02"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Yes</w:t>
            </w:r>
          </w:p>
        </w:tc>
      </w:tr>
      <w:tr w:rsidR="004758FC" w:rsidRPr="004758FC" w14:paraId="4B09864D" w14:textId="77777777" w:rsidTr="001E7287">
        <w:tc>
          <w:tcPr>
            <w:tcW w:w="941" w:type="pct"/>
            <w:tcBorders>
              <w:top w:val="single" w:sz="4" w:space="0" w:color="auto"/>
              <w:left w:val="single" w:sz="4" w:space="0" w:color="auto"/>
              <w:bottom w:val="single" w:sz="4" w:space="0" w:color="auto"/>
              <w:right w:val="single" w:sz="4" w:space="0" w:color="auto"/>
            </w:tcBorders>
            <w:hideMark/>
          </w:tcPr>
          <w:p w14:paraId="08BF354D" w14:textId="77777777" w:rsidR="004758FC" w:rsidRPr="004758FC" w:rsidRDefault="004758FC" w:rsidP="007A5D70">
            <w:pPr>
              <w:spacing w:before="120" w:after="120"/>
              <w:contextualSpacing/>
              <w:rPr>
                <w:rFonts w:ascii="Arial Narrow" w:eastAsia="Calibri" w:hAnsi="Arial Narrow"/>
                <w:sz w:val="20"/>
                <w:lang w:val="es-ES"/>
              </w:rPr>
            </w:pPr>
            <w:r w:rsidRPr="004758FC">
              <w:rPr>
                <w:rFonts w:ascii="Arial Narrow" w:eastAsia="Calibri" w:hAnsi="Arial Narrow"/>
                <w:sz w:val="20"/>
                <w:lang w:val="es-ES"/>
              </w:rPr>
              <w:t xml:space="preserve">Hyqvia </w:t>
            </w:r>
          </w:p>
        </w:tc>
        <w:tc>
          <w:tcPr>
            <w:tcW w:w="865" w:type="pct"/>
            <w:tcBorders>
              <w:top w:val="single" w:sz="4" w:space="0" w:color="auto"/>
              <w:left w:val="single" w:sz="4" w:space="0" w:color="auto"/>
              <w:bottom w:val="single" w:sz="4" w:space="0" w:color="auto"/>
              <w:right w:val="single" w:sz="4" w:space="0" w:color="auto"/>
            </w:tcBorders>
          </w:tcPr>
          <w:p w14:paraId="2A6C7BC1" w14:textId="77777777" w:rsidR="004758FC" w:rsidRPr="004758FC" w:rsidRDefault="004758FC" w:rsidP="007A5D70">
            <w:pPr>
              <w:spacing w:before="120" w:after="120"/>
              <w:contextualSpacing/>
              <w:rPr>
                <w:rFonts w:ascii="Arial Narrow" w:eastAsia="Calibri" w:hAnsi="Arial Narrow"/>
                <w:sz w:val="20"/>
                <w:lang w:val="es-ES"/>
              </w:rPr>
            </w:pPr>
            <w:r w:rsidRPr="004758FC">
              <w:rPr>
                <w:rFonts w:ascii="Arial Narrow" w:eastAsia="Calibri" w:hAnsi="Arial Narrow"/>
                <w:sz w:val="20"/>
                <w:lang w:val="es-ES"/>
              </w:rPr>
              <w:t>Shire</w:t>
            </w:r>
          </w:p>
        </w:tc>
        <w:tc>
          <w:tcPr>
            <w:tcW w:w="1179" w:type="pct"/>
            <w:tcBorders>
              <w:top w:val="single" w:sz="4" w:space="0" w:color="auto"/>
              <w:left w:val="single" w:sz="4" w:space="0" w:color="auto"/>
              <w:bottom w:val="single" w:sz="4" w:space="0" w:color="auto"/>
              <w:right w:val="single" w:sz="4" w:space="0" w:color="auto"/>
            </w:tcBorders>
            <w:hideMark/>
          </w:tcPr>
          <w:p w14:paraId="1ED4581B"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SC</w:t>
            </w:r>
          </w:p>
        </w:tc>
        <w:tc>
          <w:tcPr>
            <w:tcW w:w="1414" w:type="pct"/>
            <w:tcBorders>
              <w:top w:val="single" w:sz="4" w:space="0" w:color="auto"/>
              <w:left w:val="single" w:sz="4" w:space="0" w:color="auto"/>
              <w:bottom w:val="single" w:sz="4" w:space="0" w:color="auto"/>
              <w:right w:val="single" w:sz="4" w:space="0" w:color="auto"/>
            </w:tcBorders>
          </w:tcPr>
          <w:p w14:paraId="5344D81A"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2.5g/25mL to 30g/300mL</w:t>
            </w:r>
          </w:p>
        </w:tc>
        <w:tc>
          <w:tcPr>
            <w:tcW w:w="601" w:type="pct"/>
            <w:tcBorders>
              <w:top w:val="single" w:sz="4" w:space="0" w:color="auto"/>
              <w:left w:val="single" w:sz="4" w:space="0" w:color="auto"/>
              <w:bottom w:val="single" w:sz="4" w:space="0" w:color="auto"/>
              <w:right w:val="single" w:sz="4" w:space="0" w:color="auto"/>
            </w:tcBorders>
            <w:hideMark/>
          </w:tcPr>
          <w:p w14:paraId="1323448D"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No</w:t>
            </w:r>
          </w:p>
        </w:tc>
      </w:tr>
      <w:tr w:rsidR="004758FC" w:rsidRPr="004758FC" w14:paraId="0539CCCA" w14:textId="77777777" w:rsidTr="001E7287">
        <w:tc>
          <w:tcPr>
            <w:tcW w:w="941" w:type="pct"/>
            <w:tcBorders>
              <w:top w:val="single" w:sz="4" w:space="0" w:color="auto"/>
              <w:left w:val="single" w:sz="4" w:space="0" w:color="auto"/>
              <w:bottom w:val="single" w:sz="4" w:space="0" w:color="auto"/>
              <w:right w:val="single" w:sz="4" w:space="0" w:color="auto"/>
            </w:tcBorders>
            <w:hideMark/>
          </w:tcPr>
          <w:p w14:paraId="477210D6" w14:textId="77777777" w:rsidR="004758FC" w:rsidRPr="004758FC" w:rsidRDefault="004758FC" w:rsidP="007A5D70">
            <w:pPr>
              <w:spacing w:before="120" w:after="120"/>
              <w:contextualSpacing/>
              <w:rPr>
                <w:rFonts w:ascii="Arial Narrow" w:eastAsia="Calibri" w:hAnsi="Arial Narrow"/>
                <w:sz w:val="20"/>
                <w:lang w:val="pt-PT"/>
              </w:rPr>
            </w:pPr>
            <w:r w:rsidRPr="004758FC">
              <w:rPr>
                <w:rFonts w:ascii="Arial Narrow" w:eastAsia="Calibri" w:hAnsi="Arial Narrow"/>
                <w:sz w:val="20"/>
                <w:lang w:val="pt-PT"/>
              </w:rPr>
              <w:t>Intratect</w:t>
            </w:r>
          </w:p>
        </w:tc>
        <w:tc>
          <w:tcPr>
            <w:tcW w:w="865" w:type="pct"/>
            <w:tcBorders>
              <w:top w:val="single" w:sz="4" w:space="0" w:color="auto"/>
              <w:left w:val="single" w:sz="4" w:space="0" w:color="auto"/>
              <w:bottom w:val="single" w:sz="4" w:space="0" w:color="auto"/>
              <w:right w:val="single" w:sz="4" w:space="0" w:color="auto"/>
            </w:tcBorders>
          </w:tcPr>
          <w:p w14:paraId="7DFCCBEA"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lang w:val="pt-PT"/>
              </w:rPr>
              <w:t>Pfizer</w:t>
            </w:r>
          </w:p>
        </w:tc>
        <w:tc>
          <w:tcPr>
            <w:tcW w:w="1179" w:type="pct"/>
            <w:tcBorders>
              <w:top w:val="single" w:sz="4" w:space="0" w:color="auto"/>
              <w:left w:val="single" w:sz="4" w:space="0" w:color="auto"/>
              <w:bottom w:val="single" w:sz="4" w:space="0" w:color="auto"/>
              <w:right w:val="single" w:sz="4" w:space="0" w:color="auto"/>
            </w:tcBorders>
            <w:hideMark/>
          </w:tcPr>
          <w:p w14:paraId="6627B89B"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IV</w:t>
            </w:r>
          </w:p>
        </w:tc>
        <w:tc>
          <w:tcPr>
            <w:tcW w:w="1414" w:type="pct"/>
            <w:tcBorders>
              <w:top w:val="single" w:sz="4" w:space="0" w:color="auto"/>
              <w:left w:val="single" w:sz="4" w:space="0" w:color="auto"/>
              <w:bottom w:val="single" w:sz="4" w:space="0" w:color="auto"/>
              <w:right w:val="single" w:sz="4" w:space="0" w:color="auto"/>
            </w:tcBorders>
          </w:tcPr>
          <w:p w14:paraId="1CE20207"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1g/10mL to 20g/200mL</w:t>
            </w:r>
          </w:p>
        </w:tc>
        <w:tc>
          <w:tcPr>
            <w:tcW w:w="601" w:type="pct"/>
            <w:tcBorders>
              <w:top w:val="single" w:sz="4" w:space="0" w:color="auto"/>
              <w:left w:val="single" w:sz="4" w:space="0" w:color="auto"/>
              <w:bottom w:val="single" w:sz="4" w:space="0" w:color="auto"/>
              <w:right w:val="single" w:sz="4" w:space="0" w:color="auto"/>
            </w:tcBorders>
            <w:hideMark/>
          </w:tcPr>
          <w:p w14:paraId="257499B7"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No</w:t>
            </w:r>
          </w:p>
        </w:tc>
      </w:tr>
      <w:tr w:rsidR="004758FC" w:rsidRPr="004758FC" w14:paraId="348C754A" w14:textId="77777777" w:rsidTr="001E7287">
        <w:tc>
          <w:tcPr>
            <w:tcW w:w="941" w:type="pct"/>
            <w:tcBorders>
              <w:top w:val="single" w:sz="4" w:space="0" w:color="auto"/>
              <w:left w:val="single" w:sz="4" w:space="0" w:color="auto"/>
              <w:bottom w:val="single" w:sz="4" w:space="0" w:color="auto"/>
              <w:right w:val="single" w:sz="4" w:space="0" w:color="auto"/>
            </w:tcBorders>
            <w:hideMark/>
          </w:tcPr>
          <w:p w14:paraId="1572038E" w14:textId="77777777" w:rsidR="004758FC" w:rsidRPr="004758FC" w:rsidRDefault="004758FC" w:rsidP="007A5D70">
            <w:pPr>
              <w:spacing w:before="120" w:after="120"/>
              <w:contextualSpacing/>
              <w:rPr>
                <w:rFonts w:ascii="Arial Narrow" w:eastAsia="Calibri" w:hAnsi="Arial Narrow"/>
                <w:sz w:val="20"/>
                <w:lang w:val="pt-PT"/>
              </w:rPr>
            </w:pPr>
            <w:r w:rsidRPr="004758FC">
              <w:rPr>
                <w:rFonts w:ascii="Arial Narrow" w:eastAsia="Calibri" w:hAnsi="Arial Narrow"/>
                <w:sz w:val="20"/>
                <w:lang w:val="pt-PT"/>
              </w:rPr>
              <w:t xml:space="preserve">Intratect 5%  </w:t>
            </w:r>
          </w:p>
        </w:tc>
        <w:tc>
          <w:tcPr>
            <w:tcW w:w="865" w:type="pct"/>
            <w:tcBorders>
              <w:top w:val="single" w:sz="4" w:space="0" w:color="auto"/>
              <w:left w:val="single" w:sz="4" w:space="0" w:color="auto"/>
              <w:bottom w:val="single" w:sz="4" w:space="0" w:color="auto"/>
              <w:right w:val="single" w:sz="4" w:space="0" w:color="auto"/>
            </w:tcBorders>
          </w:tcPr>
          <w:p w14:paraId="51FF0B78"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lang w:val="pt-PT"/>
              </w:rPr>
              <w:t>Pfizer</w:t>
            </w:r>
          </w:p>
        </w:tc>
        <w:tc>
          <w:tcPr>
            <w:tcW w:w="1179" w:type="pct"/>
            <w:tcBorders>
              <w:top w:val="single" w:sz="4" w:space="0" w:color="auto"/>
              <w:left w:val="single" w:sz="4" w:space="0" w:color="auto"/>
              <w:bottom w:val="single" w:sz="4" w:space="0" w:color="auto"/>
              <w:right w:val="single" w:sz="4" w:space="0" w:color="auto"/>
            </w:tcBorders>
            <w:hideMark/>
          </w:tcPr>
          <w:p w14:paraId="4067CCDE"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IV</w:t>
            </w:r>
          </w:p>
        </w:tc>
        <w:tc>
          <w:tcPr>
            <w:tcW w:w="1414" w:type="pct"/>
            <w:tcBorders>
              <w:top w:val="single" w:sz="4" w:space="0" w:color="auto"/>
              <w:left w:val="single" w:sz="4" w:space="0" w:color="auto"/>
              <w:bottom w:val="single" w:sz="4" w:space="0" w:color="auto"/>
              <w:right w:val="single" w:sz="4" w:space="0" w:color="auto"/>
            </w:tcBorders>
          </w:tcPr>
          <w:p w14:paraId="692B250E"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1g/20mL to 10g/200mL</w:t>
            </w:r>
          </w:p>
        </w:tc>
        <w:tc>
          <w:tcPr>
            <w:tcW w:w="601" w:type="pct"/>
            <w:tcBorders>
              <w:top w:val="single" w:sz="4" w:space="0" w:color="auto"/>
              <w:left w:val="single" w:sz="4" w:space="0" w:color="auto"/>
              <w:bottom w:val="single" w:sz="4" w:space="0" w:color="auto"/>
              <w:right w:val="single" w:sz="4" w:space="0" w:color="auto"/>
            </w:tcBorders>
            <w:hideMark/>
          </w:tcPr>
          <w:p w14:paraId="37398412"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No</w:t>
            </w:r>
          </w:p>
        </w:tc>
      </w:tr>
      <w:tr w:rsidR="004758FC" w:rsidRPr="004758FC" w14:paraId="4C404ADC" w14:textId="77777777" w:rsidTr="001E7287">
        <w:tc>
          <w:tcPr>
            <w:tcW w:w="941" w:type="pct"/>
            <w:tcBorders>
              <w:top w:val="single" w:sz="4" w:space="0" w:color="auto"/>
              <w:left w:val="single" w:sz="4" w:space="0" w:color="auto"/>
              <w:bottom w:val="single" w:sz="4" w:space="0" w:color="auto"/>
              <w:right w:val="single" w:sz="4" w:space="0" w:color="auto"/>
            </w:tcBorders>
            <w:hideMark/>
          </w:tcPr>
          <w:p w14:paraId="0B7C6E0E" w14:textId="77777777" w:rsidR="004758FC" w:rsidRPr="004758FC" w:rsidRDefault="004758FC" w:rsidP="007A5D70">
            <w:pPr>
              <w:spacing w:before="120" w:after="120"/>
              <w:contextualSpacing/>
              <w:rPr>
                <w:rFonts w:ascii="Arial Narrow" w:eastAsia="Calibri" w:hAnsi="Arial Narrow"/>
                <w:sz w:val="20"/>
                <w:lang w:val="es-ES"/>
              </w:rPr>
            </w:pPr>
            <w:r w:rsidRPr="004758FC">
              <w:rPr>
                <w:rFonts w:ascii="Arial Narrow" w:eastAsia="Calibri" w:hAnsi="Arial Narrow"/>
                <w:sz w:val="20"/>
                <w:lang w:val="es-ES"/>
              </w:rPr>
              <w:t xml:space="preserve">Kiovig </w:t>
            </w:r>
          </w:p>
        </w:tc>
        <w:tc>
          <w:tcPr>
            <w:tcW w:w="865" w:type="pct"/>
            <w:tcBorders>
              <w:top w:val="single" w:sz="4" w:space="0" w:color="auto"/>
              <w:left w:val="single" w:sz="4" w:space="0" w:color="auto"/>
              <w:bottom w:val="single" w:sz="4" w:space="0" w:color="auto"/>
              <w:right w:val="single" w:sz="4" w:space="0" w:color="auto"/>
            </w:tcBorders>
          </w:tcPr>
          <w:p w14:paraId="3F96BE37" w14:textId="77777777" w:rsidR="004758FC" w:rsidRPr="004758FC" w:rsidRDefault="004758FC" w:rsidP="007A5D70">
            <w:pPr>
              <w:spacing w:before="120" w:after="120"/>
              <w:contextualSpacing/>
              <w:rPr>
                <w:rFonts w:ascii="Arial Narrow" w:eastAsia="Calibri" w:hAnsi="Arial Narrow"/>
                <w:sz w:val="20"/>
                <w:lang w:val="es-ES"/>
              </w:rPr>
            </w:pPr>
            <w:r w:rsidRPr="004758FC">
              <w:rPr>
                <w:rFonts w:ascii="Arial Narrow" w:eastAsia="Calibri" w:hAnsi="Arial Narrow"/>
                <w:sz w:val="20"/>
                <w:lang w:val="es-ES"/>
              </w:rPr>
              <w:t>Shire</w:t>
            </w:r>
          </w:p>
        </w:tc>
        <w:tc>
          <w:tcPr>
            <w:tcW w:w="1179" w:type="pct"/>
            <w:tcBorders>
              <w:top w:val="single" w:sz="4" w:space="0" w:color="auto"/>
              <w:left w:val="single" w:sz="4" w:space="0" w:color="auto"/>
              <w:bottom w:val="single" w:sz="4" w:space="0" w:color="auto"/>
              <w:right w:val="single" w:sz="4" w:space="0" w:color="auto"/>
            </w:tcBorders>
            <w:hideMark/>
          </w:tcPr>
          <w:p w14:paraId="150C277D"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IV and SC</w:t>
            </w:r>
          </w:p>
        </w:tc>
        <w:tc>
          <w:tcPr>
            <w:tcW w:w="1414" w:type="pct"/>
            <w:tcBorders>
              <w:top w:val="single" w:sz="4" w:space="0" w:color="auto"/>
              <w:left w:val="single" w:sz="4" w:space="0" w:color="auto"/>
              <w:bottom w:val="single" w:sz="4" w:space="0" w:color="auto"/>
              <w:right w:val="single" w:sz="4" w:space="0" w:color="auto"/>
            </w:tcBorders>
          </w:tcPr>
          <w:p w14:paraId="0E53A248"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1g/10mL to 20g/200mL</w:t>
            </w:r>
          </w:p>
        </w:tc>
        <w:tc>
          <w:tcPr>
            <w:tcW w:w="601" w:type="pct"/>
            <w:tcBorders>
              <w:top w:val="single" w:sz="4" w:space="0" w:color="auto"/>
              <w:left w:val="single" w:sz="4" w:space="0" w:color="auto"/>
              <w:bottom w:val="single" w:sz="4" w:space="0" w:color="auto"/>
              <w:right w:val="single" w:sz="4" w:space="0" w:color="auto"/>
            </w:tcBorders>
            <w:hideMark/>
          </w:tcPr>
          <w:p w14:paraId="39855CA7" w14:textId="77777777" w:rsidR="004758FC" w:rsidRPr="004758FC" w:rsidRDefault="004758FC" w:rsidP="007A5D70">
            <w:pPr>
              <w:spacing w:before="120" w:after="120"/>
              <w:contextualSpacing/>
              <w:rPr>
                <w:rFonts w:ascii="Arial Narrow" w:eastAsia="Calibri" w:hAnsi="Arial Narrow"/>
                <w:sz w:val="20"/>
              </w:rPr>
            </w:pPr>
            <w:r w:rsidRPr="004758FC">
              <w:rPr>
                <w:rFonts w:ascii="Arial Narrow" w:eastAsia="Calibri" w:hAnsi="Arial Narrow"/>
                <w:sz w:val="20"/>
              </w:rPr>
              <w:t>No</w:t>
            </w:r>
          </w:p>
        </w:tc>
      </w:tr>
      <w:tr w:rsidR="004758FC" w:rsidRPr="004758FC" w14:paraId="20087D6A" w14:textId="77777777" w:rsidTr="001E7287">
        <w:tc>
          <w:tcPr>
            <w:tcW w:w="941" w:type="pct"/>
            <w:tcBorders>
              <w:top w:val="single" w:sz="4" w:space="0" w:color="auto"/>
              <w:left w:val="single" w:sz="4" w:space="0" w:color="auto"/>
              <w:bottom w:val="single" w:sz="4" w:space="0" w:color="auto"/>
              <w:right w:val="single" w:sz="4" w:space="0" w:color="auto"/>
            </w:tcBorders>
          </w:tcPr>
          <w:p w14:paraId="5984ABBE" w14:textId="77777777" w:rsidR="004758FC" w:rsidRPr="004758FC" w:rsidRDefault="004758FC" w:rsidP="007A5D70">
            <w:pPr>
              <w:spacing w:before="120" w:after="120"/>
              <w:contextualSpacing/>
              <w:rPr>
                <w:rFonts w:ascii="Arial Narrow" w:eastAsia="Calibri" w:hAnsi="Arial Narrow"/>
                <w:iCs/>
                <w:sz w:val="20"/>
                <w:lang w:val="es-ES"/>
              </w:rPr>
            </w:pPr>
            <w:r w:rsidRPr="004758FC">
              <w:rPr>
                <w:rFonts w:ascii="Arial Narrow" w:eastAsia="Calibri" w:hAnsi="Arial Narrow"/>
                <w:iCs/>
                <w:sz w:val="20"/>
                <w:lang w:val="es-ES"/>
              </w:rPr>
              <w:t xml:space="preserve">Octagam** </w:t>
            </w:r>
          </w:p>
        </w:tc>
        <w:tc>
          <w:tcPr>
            <w:tcW w:w="865" w:type="pct"/>
            <w:tcBorders>
              <w:top w:val="single" w:sz="4" w:space="0" w:color="auto"/>
              <w:left w:val="single" w:sz="4" w:space="0" w:color="auto"/>
              <w:bottom w:val="single" w:sz="4" w:space="0" w:color="auto"/>
              <w:right w:val="single" w:sz="4" w:space="0" w:color="auto"/>
            </w:tcBorders>
          </w:tcPr>
          <w:p w14:paraId="51BD7F59" w14:textId="77777777" w:rsidR="004758FC" w:rsidRPr="004758FC" w:rsidRDefault="004758FC" w:rsidP="007A5D70">
            <w:pPr>
              <w:spacing w:before="120" w:after="120"/>
              <w:contextualSpacing/>
              <w:rPr>
                <w:rFonts w:ascii="Arial Narrow" w:eastAsia="Calibri" w:hAnsi="Arial Narrow"/>
                <w:iCs/>
                <w:sz w:val="20"/>
                <w:lang w:val="es-ES"/>
              </w:rPr>
            </w:pPr>
            <w:r w:rsidRPr="004758FC">
              <w:rPr>
                <w:rFonts w:ascii="Arial Narrow" w:eastAsia="Calibri" w:hAnsi="Arial Narrow"/>
                <w:iCs/>
                <w:sz w:val="20"/>
                <w:lang w:val="es-ES"/>
              </w:rPr>
              <w:t>Octapharma</w:t>
            </w:r>
          </w:p>
        </w:tc>
        <w:tc>
          <w:tcPr>
            <w:tcW w:w="1179" w:type="pct"/>
            <w:tcBorders>
              <w:top w:val="single" w:sz="4" w:space="0" w:color="auto"/>
              <w:left w:val="single" w:sz="4" w:space="0" w:color="auto"/>
              <w:bottom w:val="single" w:sz="4" w:space="0" w:color="auto"/>
              <w:right w:val="single" w:sz="4" w:space="0" w:color="auto"/>
            </w:tcBorders>
          </w:tcPr>
          <w:p w14:paraId="6DCB65AD" w14:textId="77777777" w:rsidR="004758FC" w:rsidRPr="004758FC" w:rsidRDefault="004758FC" w:rsidP="007A5D70">
            <w:pPr>
              <w:spacing w:before="120" w:after="120"/>
              <w:contextualSpacing/>
              <w:rPr>
                <w:rFonts w:ascii="Arial Narrow" w:eastAsia="Calibri" w:hAnsi="Arial Narrow"/>
                <w:iCs/>
                <w:sz w:val="20"/>
              </w:rPr>
            </w:pPr>
            <w:r w:rsidRPr="004758FC">
              <w:rPr>
                <w:rFonts w:ascii="Arial Narrow" w:eastAsia="Calibri" w:hAnsi="Arial Narrow"/>
                <w:iCs/>
                <w:sz w:val="20"/>
              </w:rPr>
              <w:t>IV</w:t>
            </w:r>
          </w:p>
        </w:tc>
        <w:tc>
          <w:tcPr>
            <w:tcW w:w="1414" w:type="pct"/>
            <w:tcBorders>
              <w:top w:val="single" w:sz="4" w:space="0" w:color="auto"/>
              <w:left w:val="single" w:sz="4" w:space="0" w:color="auto"/>
              <w:bottom w:val="single" w:sz="4" w:space="0" w:color="auto"/>
              <w:right w:val="single" w:sz="4" w:space="0" w:color="auto"/>
            </w:tcBorders>
          </w:tcPr>
          <w:p w14:paraId="2F0890B7" w14:textId="77777777" w:rsidR="004758FC" w:rsidRPr="004758FC" w:rsidRDefault="004758FC" w:rsidP="007A5D70">
            <w:pPr>
              <w:spacing w:before="120" w:after="120"/>
              <w:contextualSpacing/>
              <w:rPr>
                <w:rFonts w:ascii="Arial Narrow" w:eastAsia="Calibri" w:hAnsi="Arial Narrow"/>
                <w:iCs/>
                <w:sz w:val="20"/>
              </w:rPr>
            </w:pPr>
            <w:r w:rsidRPr="004758FC">
              <w:rPr>
                <w:rFonts w:ascii="Arial Narrow" w:eastAsia="Calibri" w:hAnsi="Arial Narrow"/>
                <w:iCs/>
                <w:sz w:val="20"/>
              </w:rPr>
              <w:t>1g/20mL to 20g/mL</w:t>
            </w:r>
          </w:p>
        </w:tc>
        <w:tc>
          <w:tcPr>
            <w:tcW w:w="601" w:type="pct"/>
            <w:tcBorders>
              <w:top w:val="single" w:sz="4" w:space="0" w:color="auto"/>
              <w:left w:val="single" w:sz="4" w:space="0" w:color="auto"/>
              <w:bottom w:val="single" w:sz="4" w:space="0" w:color="auto"/>
              <w:right w:val="single" w:sz="4" w:space="0" w:color="auto"/>
            </w:tcBorders>
          </w:tcPr>
          <w:p w14:paraId="76A4817D" w14:textId="77777777" w:rsidR="004758FC" w:rsidRPr="004758FC" w:rsidRDefault="004758FC" w:rsidP="007A5D70">
            <w:pPr>
              <w:spacing w:before="120" w:after="120"/>
              <w:contextualSpacing/>
              <w:rPr>
                <w:rFonts w:ascii="Arial Narrow" w:eastAsia="Calibri" w:hAnsi="Arial Narrow"/>
                <w:iCs/>
                <w:sz w:val="20"/>
              </w:rPr>
            </w:pPr>
            <w:r w:rsidRPr="004758FC">
              <w:rPr>
                <w:rFonts w:ascii="Arial Narrow" w:eastAsia="Calibri" w:hAnsi="Arial Narrow"/>
                <w:iCs/>
                <w:sz w:val="20"/>
              </w:rPr>
              <w:t>No</w:t>
            </w:r>
          </w:p>
        </w:tc>
      </w:tr>
      <w:tr w:rsidR="004758FC" w:rsidRPr="004758FC" w14:paraId="0FE350C9" w14:textId="77777777" w:rsidTr="001E7287">
        <w:tc>
          <w:tcPr>
            <w:tcW w:w="941" w:type="pct"/>
            <w:tcBorders>
              <w:top w:val="single" w:sz="4" w:space="0" w:color="auto"/>
              <w:left w:val="single" w:sz="4" w:space="0" w:color="auto"/>
              <w:bottom w:val="single" w:sz="4" w:space="0" w:color="auto"/>
              <w:right w:val="single" w:sz="4" w:space="0" w:color="auto"/>
            </w:tcBorders>
          </w:tcPr>
          <w:p w14:paraId="00C01FA8" w14:textId="77777777" w:rsidR="004758FC" w:rsidRPr="004758FC" w:rsidRDefault="004758FC" w:rsidP="007A5D70">
            <w:pPr>
              <w:spacing w:before="120" w:after="120"/>
              <w:contextualSpacing/>
              <w:rPr>
                <w:rFonts w:ascii="Arial Narrow" w:eastAsia="Calibri" w:hAnsi="Arial Narrow"/>
                <w:iCs/>
                <w:sz w:val="20"/>
                <w:lang w:val="es-ES"/>
              </w:rPr>
            </w:pPr>
            <w:r w:rsidRPr="004758FC">
              <w:rPr>
                <w:rFonts w:ascii="Arial Narrow" w:eastAsia="Calibri" w:hAnsi="Arial Narrow"/>
                <w:iCs/>
                <w:sz w:val="20"/>
                <w:lang w:val="es-ES"/>
              </w:rPr>
              <w:t xml:space="preserve">Gammanorm </w:t>
            </w:r>
          </w:p>
        </w:tc>
        <w:tc>
          <w:tcPr>
            <w:tcW w:w="865" w:type="pct"/>
            <w:tcBorders>
              <w:top w:val="single" w:sz="4" w:space="0" w:color="auto"/>
              <w:left w:val="single" w:sz="4" w:space="0" w:color="auto"/>
              <w:bottom w:val="single" w:sz="4" w:space="0" w:color="auto"/>
              <w:right w:val="single" w:sz="4" w:space="0" w:color="auto"/>
            </w:tcBorders>
          </w:tcPr>
          <w:p w14:paraId="658B22D5" w14:textId="77777777" w:rsidR="004758FC" w:rsidRPr="004758FC" w:rsidRDefault="004758FC" w:rsidP="007A5D70">
            <w:pPr>
              <w:spacing w:before="120" w:after="120"/>
              <w:contextualSpacing/>
              <w:rPr>
                <w:rFonts w:ascii="Arial Narrow" w:eastAsia="Calibri" w:hAnsi="Arial Narrow"/>
                <w:iCs/>
                <w:sz w:val="20"/>
                <w:lang w:val="es-ES"/>
              </w:rPr>
            </w:pPr>
            <w:r w:rsidRPr="004758FC">
              <w:rPr>
                <w:rFonts w:ascii="Arial Narrow" w:eastAsia="Calibri" w:hAnsi="Arial Narrow"/>
                <w:iCs/>
                <w:sz w:val="20"/>
                <w:lang w:val="es-ES"/>
              </w:rPr>
              <w:t>Octapharma</w:t>
            </w:r>
          </w:p>
        </w:tc>
        <w:tc>
          <w:tcPr>
            <w:tcW w:w="1179" w:type="pct"/>
            <w:tcBorders>
              <w:top w:val="single" w:sz="4" w:space="0" w:color="auto"/>
              <w:left w:val="single" w:sz="4" w:space="0" w:color="auto"/>
              <w:bottom w:val="single" w:sz="4" w:space="0" w:color="auto"/>
              <w:right w:val="single" w:sz="4" w:space="0" w:color="auto"/>
            </w:tcBorders>
          </w:tcPr>
          <w:p w14:paraId="25C42511" w14:textId="77777777" w:rsidR="004758FC" w:rsidRPr="004758FC" w:rsidRDefault="004758FC" w:rsidP="007A5D70">
            <w:pPr>
              <w:spacing w:before="120" w:after="120"/>
              <w:contextualSpacing/>
              <w:rPr>
                <w:rFonts w:ascii="Arial Narrow" w:eastAsia="Calibri" w:hAnsi="Arial Narrow"/>
                <w:iCs/>
                <w:sz w:val="20"/>
              </w:rPr>
            </w:pPr>
            <w:r w:rsidRPr="004758FC">
              <w:rPr>
                <w:rFonts w:ascii="Arial Narrow" w:eastAsia="Calibri" w:hAnsi="Arial Narrow"/>
                <w:iCs/>
                <w:sz w:val="20"/>
              </w:rPr>
              <w:t>SC</w:t>
            </w:r>
          </w:p>
        </w:tc>
        <w:tc>
          <w:tcPr>
            <w:tcW w:w="1414" w:type="pct"/>
            <w:tcBorders>
              <w:top w:val="single" w:sz="4" w:space="0" w:color="auto"/>
              <w:left w:val="single" w:sz="4" w:space="0" w:color="auto"/>
              <w:bottom w:val="single" w:sz="4" w:space="0" w:color="auto"/>
              <w:right w:val="single" w:sz="4" w:space="0" w:color="auto"/>
            </w:tcBorders>
          </w:tcPr>
          <w:p w14:paraId="70CEBA64" w14:textId="77777777" w:rsidR="004758FC" w:rsidRPr="004758FC" w:rsidRDefault="004758FC" w:rsidP="007A5D70">
            <w:pPr>
              <w:spacing w:before="120" w:after="120"/>
              <w:contextualSpacing/>
              <w:rPr>
                <w:rFonts w:ascii="Arial Narrow" w:eastAsia="Calibri" w:hAnsi="Arial Narrow"/>
                <w:iCs/>
                <w:sz w:val="20"/>
              </w:rPr>
            </w:pPr>
            <w:r w:rsidRPr="004758FC">
              <w:rPr>
                <w:rFonts w:ascii="Arial Narrow" w:eastAsia="Calibri" w:hAnsi="Arial Narrow"/>
                <w:iCs/>
                <w:sz w:val="20"/>
              </w:rPr>
              <w:t>1.65g/10mL or 3.3g/20mL</w:t>
            </w:r>
          </w:p>
        </w:tc>
        <w:tc>
          <w:tcPr>
            <w:tcW w:w="601" w:type="pct"/>
            <w:tcBorders>
              <w:top w:val="single" w:sz="4" w:space="0" w:color="auto"/>
              <w:left w:val="single" w:sz="4" w:space="0" w:color="auto"/>
              <w:bottom w:val="single" w:sz="4" w:space="0" w:color="auto"/>
              <w:right w:val="single" w:sz="4" w:space="0" w:color="auto"/>
            </w:tcBorders>
          </w:tcPr>
          <w:p w14:paraId="45D17787" w14:textId="77777777" w:rsidR="004758FC" w:rsidRPr="004758FC" w:rsidRDefault="004758FC" w:rsidP="007A5D70">
            <w:pPr>
              <w:spacing w:before="120" w:after="120"/>
              <w:contextualSpacing/>
              <w:rPr>
                <w:rFonts w:ascii="Arial Narrow" w:eastAsia="Calibri" w:hAnsi="Arial Narrow"/>
                <w:iCs/>
                <w:sz w:val="20"/>
              </w:rPr>
            </w:pPr>
            <w:r w:rsidRPr="004758FC">
              <w:rPr>
                <w:rFonts w:ascii="Arial Narrow" w:eastAsia="Calibri" w:hAnsi="Arial Narrow"/>
                <w:iCs/>
                <w:sz w:val="20"/>
              </w:rPr>
              <w:t>No</w:t>
            </w:r>
          </w:p>
        </w:tc>
      </w:tr>
    </w:tbl>
    <w:p w14:paraId="1E9EE139" w14:textId="77777777" w:rsidR="006B1747" w:rsidRDefault="006B1747" w:rsidP="00713284">
      <w:pPr>
        <w:widowControl w:val="0"/>
        <w:rPr>
          <w:rFonts w:ascii="Arial Narrow" w:eastAsia="SimSun" w:hAnsi="Arial Narrow" w:cs="Arial"/>
          <w:snapToGrid w:val="0"/>
          <w:sz w:val="18"/>
          <w:lang w:eastAsia="en-US"/>
        </w:rPr>
      </w:pPr>
      <w:r w:rsidRPr="00FB2764">
        <w:rPr>
          <w:rFonts w:ascii="Arial Narrow" w:eastAsia="SimSun" w:hAnsi="Arial Narrow" w:cs="Arial"/>
          <w:b/>
          <w:snapToGrid w:val="0"/>
          <w:sz w:val="18"/>
          <w:lang w:eastAsia="en-US"/>
        </w:rPr>
        <w:t>Source:</w:t>
      </w:r>
      <w:r w:rsidRPr="00FB2764">
        <w:rPr>
          <w:rFonts w:ascii="Arial Narrow" w:eastAsia="SimSun" w:hAnsi="Arial Narrow" w:cs="Arial"/>
          <w:snapToGrid w:val="0"/>
          <w:sz w:val="18"/>
          <w:lang w:eastAsia="en-US"/>
        </w:rPr>
        <w:t xml:space="preserve"> Th</w:t>
      </w:r>
      <w:r>
        <w:rPr>
          <w:rFonts w:ascii="Arial Narrow" w:eastAsia="SimSun" w:hAnsi="Arial Narrow" w:cs="Arial"/>
          <w:snapToGrid w:val="0"/>
          <w:sz w:val="18"/>
          <w:lang w:eastAsia="en-US"/>
        </w:rPr>
        <w:t>erapeutic Goods Administration</w:t>
      </w:r>
    </w:p>
    <w:p w14:paraId="50331602" w14:textId="77777777" w:rsidR="004758FC" w:rsidRPr="004758FC" w:rsidRDefault="004758FC" w:rsidP="00713284">
      <w:pPr>
        <w:widowControl w:val="0"/>
        <w:rPr>
          <w:rFonts w:ascii="Arial Narrow" w:hAnsi="Arial Narrow" w:cs="Arial"/>
          <w:snapToGrid w:val="0"/>
          <w:sz w:val="16"/>
          <w:lang w:val="fr-FR" w:eastAsia="en-US"/>
        </w:rPr>
      </w:pPr>
      <w:r w:rsidRPr="004758FC">
        <w:rPr>
          <w:rFonts w:ascii="Arial Narrow" w:hAnsi="Arial Narrow" w:cs="Arial"/>
          <w:snapToGrid w:val="0"/>
          <w:sz w:val="16"/>
          <w:lang w:val="fr-FR" w:eastAsia="en-US"/>
        </w:rPr>
        <w:t xml:space="preserve">IV – intravenous, SC – subcutaneous, IM – intramuscular </w:t>
      </w:r>
    </w:p>
    <w:p w14:paraId="52E01D72" w14:textId="77777777" w:rsidR="004758FC" w:rsidRPr="004758FC" w:rsidRDefault="004758FC" w:rsidP="00713284">
      <w:pPr>
        <w:tabs>
          <w:tab w:val="left" w:pos="720"/>
          <w:tab w:val="left" w:pos="1140"/>
        </w:tabs>
        <w:rPr>
          <w:szCs w:val="24"/>
        </w:rPr>
      </w:pPr>
      <w:r w:rsidRPr="004758FC">
        <w:rPr>
          <w:rFonts w:ascii="Calibri" w:hAnsi="Calibri" w:cs="Tahoma"/>
          <w:sz w:val="16"/>
          <w:szCs w:val="22"/>
        </w:rPr>
        <w:t xml:space="preserve">* Indicates that Ig was funded for secondary hypogammaglobulinaemia under the National Blood Arrangements at 6 May 2020. Note that tendering arrangements may change products funded in the future. Refer to the NBA </w:t>
      </w:r>
      <w:hyperlink r:id="rId11" w:history="1">
        <w:r w:rsidRPr="004758FC">
          <w:rPr>
            <w:rFonts w:ascii="Calibri" w:hAnsi="Calibri" w:cs="Tahoma"/>
            <w:color w:val="0000FF"/>
            <w:sz w:val="16"/>
            <w:szCs w:val="22"/>
            <w:u w:val="single"/>
          </w:rPr>
          <w:t>National Product List</w:t>
        </w:r>
      </w:hyperlink>
      <w:r w:rsidRPr="004758FC">
        <w:rPr>
          <w:rFonts w:ascii="Calibri" w:hAnsi="Calibri" w:cs="Tahoma"/>
          <w:sz w:val="16"/>
          <w:szCs w:val="22"/>
        </w:rPr>
        <w:t xml:space="preserve"> for current products, suppliers and prices</w:t>
      </w:r>
    </w:p>
    <w:p w14:paraId="7AD68CA1" w14:textId="77777777" w:rsidR="00BC1364" w:rsidRPr="00F715D1" w:rsidRDefault="00BC1364" w:rsidP="00713284">
      <w:pPr>
        <w:pStyle w:val="Heading1"/>
        <w:spacing w:before="120"/>
      </w:pPr>
      <w:r w:rsidRPr="00F715D1">
        <w:t>Proposal for public funding</w:t>
      </w:r>
    </w:p>
    <w:p w14:paraId="2ABE7980" w14:textId="00CD95CF" w:rsidR="009F3943" w:rsidRPr="009F3943" w:rsidRDefault="009F3943" w:rsidP="00713284">
      <w:pPr>
        <w:spacing w:before="120" w:after="240"/>
        <w:rPr>
          <w:lang w:val="en-US"/>
        </w:rPr>
      </w:pPr>
      <w:r w:rsidRPr="009F3943">
        <w:rPr>
          <w:lang w:val="en-US"/>
        </w:rPr>
        <w:t>Ig therapy for SHGG is currently funded by the NBA under the national blood supply arrangements, but the cost-effectiveness of this use has not been evaluated in Australia. Version 3 of the Criteria categorises Ig use in this population as a “Condition for which Ig has an emerging therapeutic role”, with a ‘Level of evidence’ Category 4A (insufficient data).</w:t>
      </w:r>
    </w:p>
    <w:p w14:paraId="6847F58B" w14:textId="16ABB195" w:rsidR="009F3943" w:rsidRPr="009F3943" w:rsidRDefault="009F3943" w:rsidP="00713284">
      <w:pPr>
        <w:spacing w:before="120" w:after="240"/>
        <w:rPr>
          <w:lang w:val="en-US"/>
        </w:rPr>
      </w:pPr>
      <w:r w:rsidRPr="009F3943">
        <w:rPr>
          <w:lang w:val="en-US"/>
        </w:rPr>
        <w:t xml:space="preserve">Applications for eligible patients to access </w:t>
      </w:r>
      <w:r w:rsidR="006F228A">
        <w:rPr>
          <w:lang w:val="en-US"/>
        </w:rPr>
        <w:t>funded</w:t>
      </w:r>
      <w:r w:rsidR="006F228A" w:rsidRPr="009F3943">
        <w:rPr>
          <w:lang w:val="en-US"/>
        </w:rPr>
        <w:t xml:space="preserve"> </w:t>
      </w:r>
      <w:r w:rsidRPr="009F3943">
        <w:rPr>
          <w:lang w:val="en-US"/>
        </w:rPr>
        <w:t>Ig are made through the BloodSTAR online portal and assessed against the eligibility requirements specified in Version 3 of the Criteria</w:t>
      </w:r>
      <w:r w:rsidRPr="007134B0">
        <w:rPr>
          <w:vertAlign w:val="superscript"/>
        </w:rPr>
        <w:footnoteReference w:id="1"/>
      </w:r>
      <w:r w:rsidRPr="009F3943">
        <w:rPr>
          <w:lang w:val="en-US"/>
        </w:rPr>
        <w:t>. Initial diagnosis must be made by a specialist and patients must meet the qualifying criteria in order to access Ig products. The Criteria, including eligibility criteria are periodically updated and may be refined according to recommendations of the relevant NBA working group and subsequent approval by the JBC.</w:t>
      </w:r>
    </w:p>
    <w:p w14:paraId="74FE53C3" w14:textId="77777777" w:rsidR="00BC1364" w:rsidRPr="00F715D1" w:rsidRDefault="00BC1364" w:rsidP="00713284">
      <w:pPr>
        <w:pStyle w:val="Heading1"/>
        <w:spacing w:before="120"/>
      </w:pPr>
      <w:r w:rsidRPr="00F715D1">
        <w:t xml:space="preserve">Summary of </w:t>
      </w:r>
      <w:r w:rsidR="00C06B0B">
        <w:t>public c</w:t>
      </w:r>
      <w:r w:rsidR="003D7F29" w:rsidRPr="00F715D1">
        <w:t>onsultation</w:t>
      </w:r>
      <w:r w:rsidR="00C06B0B">
        <w:t xml:space="preserve"> f</w:t>
      </w:r>
      <w:r w:rsidRPr="00F715D1">
        <w:t>eedback</w:t>
      </w:r>
      <w:r w:rsidR="00C06B0B">
        <w:t>/c</w:t>
      </w:r>
      <w:r w:rsidR="003D7F29" w:rsidRPr="00F715D1">
        <w:t>onsumer Issues</w:t>
      </w:r>
    </w:p>
    <w:p w14:paraId="46A6BC36" w14:textId="21DC56B6" w:rsidR="00A2755D" w:rsidRDefault="00A2755D" w:rsidP="00713284">
      <w:pPr>
        <w:spacing w:before="120" w:after="240"/>
        <w:rPr>
          <w:lang w:val="en-US"/>
        </w:rPr>
      </w:pPr>
      <w:r>
        <w:rPr>
          <w:lang w:val="en-US"/>
        </w:rPr>
        <w:t xml:space="preserve">In August 2019, </w:t>
      </w:r>
      <w:r w:rsidRPr="00D452A9">
        <w:rPr>
          <w:lang w:val="en-US"/>
        </w:rPr>
        <w:t xml:space="preserve">the Referral was provided to </w:t>
      </w:r>
      <w:r>
        <w:rPr>
          <w:lang w:val="en-US"/>
        </w:rPr>
        <w:t xml:space="preserve">a range of </w:t>
      </w:r>
      <w:r w:rsidRPr="00D452A9">
        <w:rPr>
          <w:lang w:val="en-US"/>
        </w:rPr>
        <w:t>stakeholders nominated by the NBA and Ig Review Reference Group</w:t>
      </w:r>
      <w:r>
        <w:rPr>
          <w:lang w:val="en-US"/>
        </w:rPr>
        <w:t>,</w:t>
      </w:r>
      <w:r w:rsidRPr="00D452A9">
        <w:rPr>
          <w:lang w:val="en-US"/>
        </w:rPr>
        <w:t xml:space="preserve"> </w:t>
      </w:r>
      <w:r>
        <w:rPr>
          <w:lang w:val="en-US"/>
        </w:rPr>
        <w:t>which included clinicians, consumer groups and sponsors of immunoglobulin. In December 2019, the PICO confirmation was released to sponsor companies who were invited</w:t>
      </w:r>
      <w:r w:rsidRPr="00D452A9">
        <w:rPr>
          <w:lang w:val="en-US"/>
        </w:rPr>
        <w:t xml:space="preserve"> to provide</w:t>
      </w:r>
      <w:r>
        <w:rPr>
          <w:lang w:val="en-US"/>
        </w:rPr>
        <w:t xml:space="preserve"> </w:t>
      </w:r>
      <w:r w:rsidRPr="00473B6C">
        <w:rPr>
          <w:lang w:val="en-US"/>
        </w:rPr>
        <w:t>any relevant i</w:t>
      </w:r>
      <w:r>
        <w:rPr>
          <w:lang w:val="en-US"/>
        </w:rPr>
        <w:t>nput to the development of the Contracted A</w:t>
      </w:r>
      <w:r w:rsidRPr="00473B6C">
        <w:rPr>
          <w:lang w:val="en-US"/>
        </w:rPr>
        <w:t>ssessment</w:t>
      </w:r>
      <w:r w:rsidRPr="009B1A22">
        <w:rPr>
          <w:lang w:val="en-US"/>
        </w:rPr>
        <w:t xml:space="preserve">. </w:t>
      </w:r>
      <w:r>
        <w:rPr>
          <w:lang w:val="en-US"/>
        </w:rPr>
        <w:t>F</w:t>
      </w:r>
      <w:r w:rsidRPr="009B1A22">
        <w:rPr>
          <w:lang w:val="en-US"/>
        </w:rPr>
        <w:t>our responses were received</w:t>
      </w:r>
      <w:r>
        <w:rPr>
          <w:lang w:val="en-US"/>
        </w:rPr>
        <w:t>:</w:t>
      </w:r>
      <w:r w:rsidRPr="009B1A22">
        <w:rPr>
          <w:lang w:val="en-US"/>
        </w:rPr>
        <w:t xml:space="preserve"> from clinical groups (1)</w:t>
      </w:r>
      <w:r>
        <w:rPr>
          <w:lang w:val="en-US"/>
        </w:rPr>
        <w:t>;</w:t>
      </w:r>
      <w:r w:rsidRPr="009B1A22">
        <w:rPr>
          <w:lang w:val="en-US"/>
        </w:rPr>
        <w:t xml:space="preserve"> consumer groups (1)</w:t>
      </w:r>
      <w:r>
        <w:rPr>
          <w:lang w:val="en-US"/>
        </w:rPr>
        <w:t>;</w:t>
      </w:r>
      <w:r w:rsidRPr="009B1A22">
        <w:rPr>
          <w:lang w:val="en-US"/>
        </w:rPr>
        <w:t xml:space="preserve"> and sponsor companies (2).</w:t>
      </w:r>
      <w:r>
        <w:rPr>
          <w:lang w:val="en-US"/>
        </w:rPr>
        <w:t xml:space="preserve"> In August 2020,</w:t>
      </w:r>
      <w:r w:rsidRPr="00D452A9">
        <w:rPr>
          <w:lang w:val="en-US"/>
        </w:rPr>
        <w:t xml:space="preserve"> public consultation was undertaken on the Contracted Assessment</w:t>
      </w:r>
      <w:r>
        <w:rPr>
          <w:lang w:val="en-US"/>
        </w:rPr>
        <w:t>.</w:t>
      </w:r>
      <w:r w:rsidRPr="00D452A9">
        <w:rPr>
          <w:lang w:val="en-US"/>
        </w:rPr>
        <w:t xml:space="preserve"> </w:t>
      </w:r>
      <w:r>
        <w:rPr>
          <w:lang w:val="en-US"/>
        </w:rPr>
        <w:t xml:space="preserve">Three responses were received from the following: clinical groups (1); consumer groups (1); and sponsor companies (1). </w:t>
      </w:r>
    </w:p>
    <w:p w14:paraId="65DEC486" w14:textId="0E02855D" w:rsidR="00A2755D" w:rsidRPr="009B1A22" w:rsidRDefault="00A2755D" w:rsidP="00713284">
      <w:pPr>
        <w:spacing w:before="120" w:after="240"/>
        <w:rPr>
          <w:lang w:val="en-US"/>
        </w:rPr>
      </w:pPr>
      <w:r w:rsidRPr="009B1A22">
        <w:rPr>
          <w:lang w:val="en-US"/>
        </w:rPr>
        <w:t>Stakeholders were highly supportive of Ig therapy for secondary HGG unrelated to haematological malignancies, or post haemopoietic stem cell transplant. Ig therapy was considered essential in the prevention and reduction of life-threatening infections, as well as improvement in the quality of life of patients.</w:t>
      </w:r>
    </w:p>
    <w:p w14:paraId="2E2636D3" w14:textId="3C8D3B4B" w:rsidR="00A2755D" w:rsidRDefault="00A2755D" w:rsidP="00713284">
      <w:pPr>
        <w:spacing w:before="120" w:after="240"/>
        <w:rPr>
          <w:lang w:val="en-US"/>
        </w:rPr>
      </w:pPr>
      <w:r w:rsidRPr="009B1A22">
        <w:rPr>
          <w:lang w:val="en-US"/>
        </w:rPr>
        <w:lastRenderedPageBreak/>
        <w:t>Noted disadvantages associated wi</w:t>
      </w:r>
      <w:r w:rsidR="008A3F86">
        <w:rPr>
          <w:lang w:val="en-US"/>
        </w:rPr>
        <w:t>th Ig therapy included:</w:t>
      </w:r>
      <w:r w:rsidRPr="009B1A22">
        <w:rPr>
          <w:lang w:val="en-US"/>
        </w:rPr>
        <w:t xml:space="preserve"> possible adverse events, that it is time consuming for patients to attend hospital regularly to receive infusions, and other out-of-pocket costs (e.g. travel, parking).</w:t>
      </w:r>
      <w:r>
        <w:rPr>
          <w:lang w:val="en-US"/>
        </w:rPr>
        <w:t xml:space="preserve"> However, consumers considered that any side effects of Ig treatment are outweighed by its benefits.</w:t>
      </w:r>
      <w:r w:rsidRPr="00272E7D">
        <w:rPr>
          <w:lang w:val="en-US"/>
        </w:rPr>
        <w:t xml:space="preserve"> </w:t>
      </w:r>
      <w:r>
        <w:rPr>
          <w:lang w:val="en-US"/>
        </w:rPr>
        <w:t>Stakeholders were supportive of SCIg use, noting it may offer better patient tolerability and convenience (reduced need to travel to hospital).</w:t>
      </w:r>
    </w:p>
    <w:p w14:paraId="0B1216F2" w14:textId="77777777" w:rsidR="00BC1364" w:rsidRPr="00A2755D" w:rsidRDefault="00A2755D" w:rsidP="00713284">
      <w:pPr>
        <w:spacing w:before="120" w:after="240"/>
        <w:rPr>
          <w:szCs w:val="24"/>
        </w:rPr>
      </w:pPr>
      <w:r>
        <w:rPr>
          <w:lang w:val="en-US"/>
        </w:rPr>
        <w:t xml:space="preserve">Stakeholders acknowledged that the population includes a heterogeneous group of conditions. </w:t>
      </w:r>
      <w:r w:rsidRPr="0061744C">
        <w:rPr>
          <w:lang w:val="en-US"/>
        </w:rPr>
        <w:t>Due to the heterogeneity of subgroups under this indication, it may be difficult to describe the appropriate comparator/s, and efficacy data (focused</w:t>
      </w:r>
      <w:r>
        <w:rPr>
          <w:lang w:val="en-US"/>
        </w:rPr>
        <w:t xml:space="preserve"> on solid organ transplant patients) may not be applicable to all conditions. </w:t>
      </w:r>
      <w:r w:rsidRPr="009B1A22">
        <w:rPr>
          <w:lang w:val="en-US"/>
        </w:rPr>
        <w:t>One sponsor noted that while it is preferable to correct or remove the underlying cause of secondary HGG, this is not always possible and</w:t>
      </w:r>
      <w:r>
        <w:rPr>
          <w:lang w:val="en-US"/>
        </w:rPr>
        <w:t xml:space="preserve"> ongoing</w:t>
      </w:r>
      <w:r w:rsidRPr="009B1A22">
        <w:rPr>
          <w:lang w:val="en-US"/>
        </w:rPr>
        <w:t xml:space="preserve"> Ig therapy may be required.</w:t>
      </w:r>
    </w:p>
    <w:p w14:paraId="5006F0AB" w14:textId="77777777" w:rsidR="00BC1364" w:rsidRPr="00F715D1" w:rsidRDefault="00BC1364" w:rsidP="00713284">
      <w:pPr>
        <w:pStyle w:val="Heading1"/>
        <w:spacing w:before="120" w:after="0"/>
      </w:pPr>
      <w:r w:rsidRPr="00F715D1">
        <w:t>Proposed intervention’s place in clinical management</w:t>
      </w:r>
    </w:p>
    <w:p w14:paraId="354BB726" w14:textId="77777777" w:rsidR="00CF4E81" w:rsidRDefault="00CF4E81" w:rsidP="00713284">
      <w:pPr>
        <w:spacing w:before="120"/>
        <w:rPr>
          <w:b/>
          <w:szCs w:val="24"/>
        </w:rPr>
      </w:pPr>
      <w:r w:rsidRPr="00CF4E81">
        <w:rPr>
          <w:b/>
          <w:szCs w:val="24"/>
        </w:rPr>
        <w:t>Description of Proposed Intervention</w:t>
      </w:r>
    </w:p>
    <w:p w14:paraId="34BDFD47" w14:textId="765739B1" w:rsidR="00DB4641" w:rsidRPr="00DB4641" w:rsidRDefault="00A84955" w:rsidP="00713284">
      <w:pPr>
        <w:spacing w:before="120" w:after="240"/>
        <w:rPr>
          <w:szCs w:val="24"/>
        </w:rPr>
      </w:pPr>
      <w:r w:rsidRPr="00A84955">
        <w:rPr>
          <w:szCs w:val="24"/>
        </w:rPr>
        <w:t>The intervention is immunoglobulin (Ig) replacement therapy. Ig products are purified from fractionated human donor plasma, and may be administered through intravenous (IV) or subcutaneous (SC) injection (IVIg and SCIg, respectively). Access to government-funded Ig is through the national blood arrangements and determined by the NBA’s Criteria for Clinical Use of Immunoglobul</w:t>
      </w:r>
      <w:r>
        <w:rPr>
          <w:szCs w:val="24"/>
        </w:rPr>
        <w:t>in in Australia (the Criteria).</w:t>
      </w:r>
    </w:p>
    <w:p w14:paraId="77AA69C7" w14:textId="77777777" w:rsidR="00CF4E81" w:rsidRPr="005D6AFA" w:rsidRDefault="00CF4E81" w:rsidP="00713284">
      <w:pPr>
        <w:autoSpaceDE w:val="0"/>
        <w:autoSpaceDN w:val="0"/>
        <w:adjustRightInd w:val="0"/>
        <w:spacing w:before="120"/>
        <w:rPr>
          <w:b/>
        </w:rPr>
      </w:pPr>
      <w:r w:rsidRPr="00CF4E81">
        <w:rPr>
          <w:b/>
        </w:rPr>
        <w:t>Description of Medical Condition(s)</w:t>
      </w:r>
    </w:p>
    <w:p w14:paraId="3B8331B2" w14:textId="77777777" w:rsidR="00A84955" w:rsidRDefault="00A84955" w:rsidP="00713284">
      <w:pPr>
        <w:tabs>
          <w:tab w:val="left" w:pos="720"/>
          <w:tab w:val="left" w:pos="1140"/>
        </w:tabs>
        <w:spacing w:after="240"/>
        <w:rPr>
          <w:szCs w:val="24"/>
        </w:rPr>
      </w:pPr>
      <w:r>
        <w:t>The indication for Ig use for this referral according to Version 3 of the Criteria is ‘</w:t>
      </w:r>
      <w:r w:rsidRPr="00CD4EB4">
        <w:rPr>
          <w:i/>
          <w:szCs w:val="24"/>
        </w:rPr>
        <w:t>replacement therapy for recurrent or severe bacterial infections or disseminated enterovirus infection associated with hypogammaglobulinaemia caused by a recognised disease process or B cell depletion therapy and/or immunosuppressant therapy</w:t>
      </w:r>
      <w:r>
        <w:rPr>
          <w:szCs w:val="24"/>
        </w:rPr>
        <w:t>’.</w:t>
      </w:r>
    </w:p>
    <w:p w14:paraId="33164BA3" w14:textId="77777777" w:rsidR="00A84955" w:rsidRDefault="00A84955" w:rsidP="00713284">
      <w:pPr>
        <w:tabs>
          <w:tab w:val="left" w:pos="720"/>
          <w:tab w:val="left" w:pos="1140"/>
        </w:tabs>
        <w:rPr>
          <w:szCs w:val="24"/>
        </w:rPr>
      </w:pPr>
      <w:r>
        <w:rPr>
          <w:szCs w:val="24"/>
        </w:rPr>
        <w:t>This includes patients with SHGG who are eligible according to Version 3 of the Criteria for the following conditions:</w:t>
      </w:r>
    </w:p>
    <w:p w14:paraId="7960897F" w14:textId="77777777" w:rsidR="00A84955" w:rsidRDefault="00A84955" w:rsidP="00713284">
      <w:pPr>
        <w:pStyle w:val="ListParagraph"/>
        <w:numPr>
          <w:ilvl w:val="0"/>
          <w:numId w:val="27"/>
        </w:numPr>
        <w:tabs>
          <w:tab w:val="left" w:pos="720"/>
          <w:tab w:val="left" w:pos="1140"/>
        </w:tabs>
        <w:spacing w:after="240"/>
        <w:rPr>
          <w:szCs w:val="24"/>
        </w:rPr>
      </w:pPr>
      <w:r w:rsidRPr="00CD4EB4">
        <w:rPr>
          <w:szCs w:val="24"/>
        </w:rPr>
        <w:t>Hy</w:t>
      </w:r>
      <w:r>
        <w:rPr>
          <w:szCs w:val="24"/>
        </w:rPr>
        <w:t>pogammaglobulinaemia following s</w:t>
      </w:r>
      <w:r w:rsidRPr="00CD4EB4">
        <w:rPr>
          <w:szCs w:val="24"/>
        </w:rPr>
        <w:t>olid organ transplantation</w:t>
      </w:r>
      <w:r w:rsidRPr="0088568B">
        <w:rPr>
          <w:szCs w:val="24"/>
        </w:rPr>
        <w:t xml:space="preserve"> </w:t>
      </w:r>
    </w:p>
    <w:p w14:paraId="0787D2D0" w14:textId="77777777" w:rsidR="00A84955" w:rsidRDefault="00A84955" w:rsidP="00713284">
      <w:pPr>
        <w:pStyle w:val="ListParagraph"/>
        <w:numPr>
          <w:ilvl w:val="0"/>
          <w:numId w:val="27"/>
        </w:numPr>
        <w:tabs>
          <w:tab w:val="left" w:pos="720"/>
          <w:tab w:val="left" w:pos="1140"/>
        </w:tabs>
        <w:spacing w:after="240"/>
        <w:rPr>
          <w:szCs w:val="24"/>
        </w:rPr>
      </w:pPr>
      <w:r w:rsidRPr="00CD4EB4">
        <w:rPr>
          <w:szCs w:val="24"/>
        </w:rPr>
        <w:t>Hypogammaglobulinaemia following B cell depletion therapy</w:t>
      </w:r>
    </w:p>
    <w:p w14:paraId="00AF2AD7" w14:textId="77777777" w:rsidR="00A84955" w:rsidRDefault="00A84955" w:rsidP="00713284">
      <w:pPr>
        <w:pStyle w:val="ListParagraph"/>
        <w:numPr>
          <w:ilvl w:val="0"/>
          <w:numId w:val="27"/>
        </w:numPr>
        <w:tabs>
          <w:tab w:val="left" w:pos="720"/>
          <w:tab w:val="left" w:pos="1140"/>
        </w:tabs>
        <w:spacing w:after="240"/>
        <w:rPr>
          <w:szCs w:val="24"/>
        </w:rPr>
      </w:pPr>
      <w:r w:rsidRPr="00CD4EB4">
        <w:rPr>
          <w:szCs w:val="24"/>
        </w:rPr>
        <w:t>Thymoma-associated hypogammaglobulinaemia (Goods Syndrome)</w:t>
      </w:r>
    </w:p>
    <w:p w14:paraId="57B8151A" w14:textId="5E7501BB" w:rsidR="00A84955" w:rsidRPr="00713284" w:rsidRDefault="00A84955" w:rsidP="00713284">
      <w:pPr>
        <w:pStyle w:val="ListParagraph"/>
        <w:numPr>
          <w:ilvl w:val="0"/>
          <w:numId w:val="27"/>
        </w:numPr>
        <w:tabs>
          <w:tab w:val="left" w:pos="720"/>
          <w:tab w:val="left" w:pos="1140"/>
        </w:tabs>
        <w:spacing w:after="240"/>
        <w:rPr>
          <w:szCs w:val="24"/>
        </w:rPr>
      </w:pPr>
      <w:r w:rsidRPr="00CD4EB4">
        <w:rPr>
          <w:szCs w:val="24"/>
        </w:rPr>
        <w:t>Other Hypogammaglobulinaemia unrelated to haematological malignancies or haemopoietic stem cell transplantation (HSCT)</w:t>
      </w:r>
    </w:p>
    <w:p w14:paraId="0621A584" w14:textId="13E0243C" w:rsidR="007134B0" w:rsidRDefault="00A84955" w:rsidP="00D80204">
      <w:pPr>
        <w:spacing w:after="240"/>
        <w:contextualSpacing/>
      </w:pPr>
      <w:r w:rsidRPr="009B1A22">
        <w:t>Figure 1 presen</w:t>
      </w:r>
      <w:r>
        <w:t>ts the proportional use of Ig</w:t>
      </w:r>
      <w:r w:rsidRPr="009B1A22">
        <w:t xml:space="preserve"> in Australia stratified by the underlying cause of </w:t>
      </w:r>
      <w:r>
        <w:t>S</w:t>
      </w:r>
      <w:r w:rsidRPr="009B1A22">
        <w:t>HGG. Note that the data obtained for this chart is based on NBA data collected during the calendar year 2019 - after the Criteria V3 had been implemented; however, some patients continuing treatment in 2019 were still classified according to the Criteria V2</w:t>
      </w:r>
      <w:r w:rsidR="006F228A">
        <w:t xml:space="preserve"> as they had not yet transitioned to V3</w:t>
      </w:r>
      <w:r>
        <w:t>.</w:t>
      </w:r>
      <w:r w:rsidR="007134B0">
        <w:br w:type="page"/>
      </w:r>
    </w:p>
    <w:p w14:paraId="5FE3D2EE" w14:textId="77777777" w:rsidR="00A84955" w:rsidRPr="00EC6723" w:rsidRDefault="00A84955" w:rsidP="00EC6723">
      <w:pPr>
        <w:rPr>
          <w:rFonts w:ascii="Arial Narrow" w:hAnsi="Arial Narrow"/>
          <w:b/>
          <w:sz w:val="20"/>
        </w:rPr>
      </w:pPr>
      <w:r w:rsidRPr="00EC6723">
        <w:rPr>
          <w:rFonts w:ascii="Arial Narrow" w:hAnsi="Arial Narrow"/>
          <w:b/>
          <w:sz w:val="20"/>
        </w:rPr>
        <w:lastRenderedPageBreak/>
        <w:t>Figure 1 Ig-RT use in secondary HGG unrelated to haematological malignancies or HSCT</w:t>
      </w:r>
    </w:p>
    <w:p w14:paraId="5B061CF3" w14:textId="77777777" w:rsidR="00A84955" w:rsidRDefault="00A84955" w:rsidP="00A84955">
      <w:pPr>
        <w:keepNext/>
      </w:pPr>
      <w:r>
        <w:rPr>
          <w:noProof/>
        </w:rPr>
        <w:drawing>
          <wp:inline distT="0" distB="0" distL="0" distR="0" wp14:anchorId="2F218B8C" wp14:editId="34F3519A">
            <wp:extent cx="5346700" cy="3797300"/>
            <wp:effectExtent l="0" t="0" r="6350" b="12700"/>
            <wp:docPr id="3" name="Chart 3" title="Figure 1 Ig-RT use in secondary HGG unrelated to haematological malignancies or HSCT">
              <a:extLst xmlns:a="http://schemas.openxmlformats.org/drawingml/2006/main">
                <a:ext uri="{FF2B5EF4-FFF2-40B4-BE49-F238E27FC236}">
                  <a16:creationId xmlns:a16="http://schemas.microsoft.com/office/drawing/2014/main" id="{F20D58B5-963A-4ABC-92EE-F565DFD9DE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918ED7" w14:textId="4BA6C417" w:rsidR="00A84955" w:rsidRDefault="00A84955" w:rsidP="00A84955">
      <w:pPr>
        <w:pStyle w:val="Tablenotes"/>
        <w:spacing w:after="0"/>
      </w:pPr>
      <w:r>
        <w:t>Source: Contracted Assessment Figure 1</w:t>
      </w:r>
    </w:p>
    <w:p w14:paraId="6FD613BC" w14:textId="6D29AD7E" w:rsidR="005D6AFA" w:rsidRDefault="005D6AFA" w:rsidP="00D80204">
      <w:pPr>
        <w:spacing w:before="240" w:after="120"/>
        <w:rPr>
          <w:lang w:val="en-US"/>
        </w:rPr>
      </w:pPr>
      <w:r w:rsidRPr="005D6AFA">
        <w:rPr>
          <w:lang w:val="en-US"/>
        </w:rPr>
        <w:t>Ig is currently considered ‘standard of care’ for the population of interest and may be giv</w:t>
      </w:r>
      <w:r>
        <w:rPr>
          <w:lang w:val="en-US"/>
        </w:rPr>
        <w:t xml:space="preserve">en with or without antibiotics. </w:t>
      </w:r>
      <w:r w:rsidRPr="005D6AFA">
        <w:rPr>
          <w:lang w:val="en-US"/>
        </w:rPr>
        <w:t>Figure 2 and Figure 3 present the initial and continuing treatment algorithms as indicated in the Criteria V3</w:t>
      </w:r>
      <w:r w:rsidR="00CD67C1">
        <w:rPr>
          <w:lang w:val="en-US"/>
        </w:rPr>
        <w:t>.</w:t>
      </w:r>
      <w:r w:rsidRPr="005D6AFA">
        <w:rPr>
          <w:lang w:val="en-US"/>
        </w:rPr>
        <w:t xml:space="preserve"> </w:t>
      </w:r>
    </w:p>
    <w:p w14:paraId="02C015AD" w14:textId="77777777" w:rsidR="005D6AFA" w:rsidRPr="00CE58D5" w:rsidRDefault="005D6AFA" w:rsidP="00CE58D5">
      <w:pPr>
        <w:spacing w:before="8760"/>
        <w:rPr>
          <w:rFonts w:ascii="Arial Narrow" w:hAnsi="Arial Narrow"/>
          <w:b/>
          <w:sz w:val="20"/>
        </w:rPr>
      </w:pPr>
      <w:r w:rsidRPr="00CE58D5">
        <w:rPr>
          <w:rFonts w:ascii="Arial Narrow" w:hAnsi="Arial Narrow"/>
          <w:b/>
          <w:sz w:val="20"/>
        </w:rPr>
        <w:lastRenderedPageBreak/>
        <w:t>Figure 2 Initial access to Ig for secondary HGG unrelated to haematological malignancies or HSCT, funded under the National Blood Agreement</w:t>
      </w:r>
    </w:p>
    <w:p w14:paraId="1E0C436C" w14:textId="77777777" w:rsidR="005D6AFA" w:rsidRPr="005D6AFA" w:rsidRDefault="005D6AFA" w:rsidP="007A5D70">
      <w:pPr>
        <w:tabs>
          <w:tab w:val="left" w:pos="3828"/>
        </w:tabs>
        <w:spacing w:before="120" w:after="120"/>
      </w:pPr>
      <w:r w:rsidRPr="005D6AFA">
        <w:rPr>
          <w:noProof/>
        </w:rPr>
        <w:object w:dxaOrig="11261" w:dyaOrig="9038" w14:anchorId="73DBD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1 –Initial access to Ig funded under the National Blood Arrangements as per this Referral – Algorithm " style="width:499.9pt;height:410.95pt" o:ole="">
            <v:imagedata r:id="rId13" o:title=""/>
          </v:shape>
          <o:OLEObject Type="Embed" ProgID="VisioViewer.Viewer.1" ShapeID="_x0000_i1025" DrawAspect="Content" ObjectID="_1679987751" r:id="rId14"/>
        </w:object>
      </w:r>
    </w:p>
    <w:p w14:paraId="57835B34" w14:textId="77777777" w:rsidR="005D6AFA" w:rsidRPr="005D6AFA" w:rsidRDefault="005D6AFA" w:rsidP="007A5D70">
      <w:pPr>
        <w:spacing w:before="120" w:after="120"/>
        <w:contextualSpacing/>
        <w:rPr>
          <w:rFonts w:ascii="Arial Narrow" w:eastAsia="Calibri" w:hAnsi="Arial Narrow"/>
          <w:sz w:val="18"/>
          <w:szCs w:val="18"/>
          <w:lang w:eastAsia="en-US"/>
        </w:rPr>
      </w:pPr>
      <w:r w:rsidRPr="005D6AFA">
        <w:rPr>
          <w:rFonts w:ascii="Arial Narrow" w:eastAsia="Calibri" w:hAnsi="Arial Narrow"/>
          <w:sz w:val="18"/>
          <w:szCs w:val="18"/>
          <w:vertAlign w:val="superscript"/>
          <w:lang w:eastAsia="en-US"/>
        </w:rPr>
        <w:t xml:space="preserve">1 </w:t>
      </w:r>
      <w:r w:rsidRPr="005D6AFA">
        <w:rPr>
          <w:rFonts w:ascii="Arial Narrow" w:eastAsia="Calibri" w:hAnsi="Arial Narrow"/>
          <w:sz w:val="18"/>
          <w:szCs w:val="18"/>
          <w:lang w:eastAsia="en-US"/>
        </w:rPr>
        <w:t xml:space="preserve">Diagnosis of bronchiectasis and/or suppurative lung disease must be consistent with the Thoracic Society of Australia and New Zealand (Chang et al 2014). </w:t>
      </w:r>
    </w:p>
    <w:p w14:paraId="654EC9FB" w14:textId="77777777" w:rsidR="005D6AFA" w:rsidRPr="005D6AFA" w:rsidRDefault="005D6AFA" w:rsidP="007A5D70">
      <w:pPr>
        <w:spacing w:before="120" w:after="120"/>
        <w:contextualSpacing/>
        <w:rPr>
          <w:rFonts w:ascii="Arial Narrow" w:eastAsia="Calibri" w:hAnsi="Arial Narrow"/>
          <w:sz w:val="18"/>
          <w:szCs w:val="18"/>
          <w:lang w:eastAsia="en-US"/>
        </w:rPr>
      </w:pPr>
      <w:r w:rsidRPr="005D6AFA">
        <w:rPr>
          <w:rFonts w:ascii="Arial Narrow" w:eastAsia="Calibri" w:hAnsi="Arial Narrow"/>
          <w:sz w:val="18"/>
          <w:szCs w:val="18"/>
          <w:vertAlign w:val="superscript"/>
          <w:lang w:eastAsia="en-US"/>
        </w:rPr>
        <w:t>2</w:t>
      </w:r>
      <w:r w:rsidRPr="005D6AFA">
        <w:rPr>
          <w:rFonts w:ascii="Arial Narrow" w:eastAsia="Calibri" w:hAnsi="Arial Narrow"/>
          <w:sz w:val="18"/>
          <w:szCs w:val="18"/>
          <w:lang w:eastAsia="en-US"/>
        </w:rPr>
        <w:t xml:space="preserve"> Serum Ig levels should be measured on two separate occasions, at least one hour apart and at least one sample taken when the patient does not have an active infection.</w:t>
      </w:r>
    </w:p>
    <w:p w14:paraId="1AA79833" w14:textId="77777777" w:rsidR="005D6AFA" w:rsidRPr="005D6AFA" w:rsidRDefault="005D6AFA" w:rsidP="007A5D70">
      <w:pPr>
        <w:spacing w:before="120" w:after="120"/>
        <w:contextualSpacing/>
        <w:rPr>
          <w:rFonts w:ascii="Arial Narrow" w:eastAsia="Calibri" w:hAnsi="Arial Narrow"/>
          <w:sz w:val="18"/>
          <w:szCs w:val="18"/>
          <w:lang w:eastAsia="en-US"/>
        </w:rPr>
      </w:pPr>
      <w:r w:rsidRPr="005D6AFA">
        <w:rPr>
          <w:rFonts w:ascii="Arial Narrow" w:eastAsia="Calibri" w:hAnsi="Arial Narrow"/>
          <w:sz w:val="18"/>
          <w:szCs w:val="18"/>
          <w:vertAlign w:val="superscript"/>
          <w:lang w:eastAsia="en-US"/>
        </w:rPr>
        <w:t>3</w:t>
      </w:r>
      <w:r w:rsidRPr="005D6AFA">
        <w:rPr>
          <w:rFonts w:ascii="Arial Narrow" w:eastAsia="Calibri" w:hAnsi="Arial Narrow"/>
          <w:sz w:val="18"/>
          <w:szCs w:val="18"/>
          <w:lang w:eastAsia="en-US"/>
        </w:rPr>
        <w:t xml:space="preserve"> Reference range should be age related.</w:t>
      </w:r>
    </w:p>
    <w:p w14:paraId="07CAE27A" w14:textId="108FCE0D" w:rsidR="005D6AFA" w:rsidRPr="00D80204" w:rsidRDefault="005D6AFA" w:rsidP="00D80204">
      <w:pPr>
        <w:spacing w:before="120" w:after="120"/>
        <w:contextualSpacing/>
        <w:rPr>
          <w:rFonts w:ascii="Arial Narrow" w:eastAsia="Calibri" w:hAnsi="Arial Narrow"/>
          <w:sz w:val="18"/>
          <w:szCs w:val="18"/>
          <w:lang w:eastAsia="en-US"/>
        </w:rPr>
      </w:pPr>
      <w:r w:rsidRPr="005D6AFA">
        <w:rPr>
          <w:rFonts w:ascii="Arial Narrow" w:eastAsia="Calibri" w:hAnsi="Arial Narrow"/>
          <w:sz w:val="18"/>
          <w:szCs w:val="18"/>
          <w:lang w:eastAsia="en-US"/>
        </w:rPr>
        <w:t xml:space="preserve">Source: Contracted Assessment Figure 3 &amp; Ratified PICO 1591 </w:t>
      </w:r>
    </w:p>
    <w:p w14:paraId="0D5F23F6" w14:textId="77777777" w:rsidR="005D6AFA" w:rsidRPr="00D44C6D" w:rsidRDefault="005D6AFA" w:rsidP="00D44C6D">
      <w:pPr>
        <w:keepNext/>
        <w:keepLines/>
        <w:rPr>
          <w:rFonts w:ascii="Arial Narrow" w:hAnsi="Arial Narrow"/>
          <w:b/>
          <w:sz w:val="20"/>
        </w:rPr>
      </w:pPr>
      <w:r w:rsidRPr="00D44C6D">
        <w:rPr>
          <w:rFonts w:ascii="Arial Narrow" w:hAnsi="Arial Narrow"/>
          <w:b/>
          <w:sz w:val="20"/>
        </w:rPr>
        <w:lastRenderedPageBreak/>
        <w:t xml:space="preserve">Figure 3 Continuing access to Ig for secondary HGG unrelated to haematological malignancies or HSCT, funded under the National Blood Agreement </w:t>
      </w:r>
    </w:p>
    <w:p w14:paraId="15F34C57" w14:textId="77777777" w:rsidR="005D6AFA" w:rsidRPr="005D6AFA" w:rsidRDefault="005D6AFA" w:rsidP="00D44C6D">
      <w:pPr>
        <w:keepNext/>
        <w:keepLines/>
        <w:spacing w:before="120" w:after="120"/>
        <w:rPr>
          <w:rFonts w:ascii="Arial Narrow" w:hAnsi="Arial Narrow"/>
          <w:color w:val="000000"/>
          <w:sz w:val="18"/>
          <w:szCs w:val="18"/>
        </w:rPr>
      </w:pPr>
      <w:r w:rsidRPr="005D6AFA">
        <w:rPr>
          <w:rFonts w:ascii="Arial Narrow" w:hAnsi="Arial Narrow"/>
          <w:noProof/>
          <w:color w:val="000000"/>
          <w:sz w:val="18"/>
          <w:szCs w:val="18"/>
        </w:rPr>
        <w:drawing>
          <wp:inline distT="0" distB="0" distL="0" distR="0" wp14:anchorId="25593ADA" wp14:editId="6B338A39">
            <wp:extent cx="5733415" cy="4223585"/>
            <wp:effectExtent l="0" t="0" r="635" b="0"/>
            <wp:docPr id="10" name="Picture 10" title="Figure 4 Continuing access to Ig for secondary HGG unrelated to haematological malignancies or HSCT, funded under the National Blood Agre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3415" cy="4223585"/>
                    </a:xfrm>
                    <a:prstGeom prst="rect">
                      <a:avLst/>
                    </a:prstGeom>
                    <a:noFill/>
                    <a:ln>
                      <a:noFill/>
                    </a:ln>
                  </pic:spPr>
                </pic:pic>
              </a:graphicData>
            </a:graphic>
          </wp:inline>
        </w:drawing>
      </w:r>
    </w:p>
    <w:p w14:paraId="31C47362" w14:textId="77777777" w:rsidR="005D6AFA" w:rsidRPr="005D6AFA" w:rsidRDefault="005D6AFA" w:rsidP="007A5D70">
      <w:pPr>
        <w:spacing w:before="120" w:after="120"/>
        <w:contextualSpacing/>
        <w:rPr>
          <w:rFonts w:ascii="Arial Narrow" w:eastAsia="Calibri" w:hAnsi="Arial Narrow"/>
          <w:sz w:val="18"/>
          <w:szCs w:val="18"/>
          <w:lang w:eastAsia="en-US"/>
        </w:rPr>
      </w:pPr>
      <w:r w:rsidRPr="005D6AFA">
        <w:rPr>
          <w:rFonts w:ascii="Arial Narrow" w:eastAsia="Calibri" w:hAnsi="Arial Narrow"/>
          <w:sz w:val="18"/>
          <w:szCs w:val="18"/>
          <w:vertAlign w:val="superscript"/>
          <w:lang w:eastAsia="en-US"/>
        </w:rPr>
        <w:t xml:space="preserve">1 </w:t>
      </w:r>
      <w:r w:rsidRPr="005D6AFA">
        <w:rPr>
          <w:rFonts w:ascii="Arial Narrow" w:eastAsia="Calibri" w:hAnsi="Arial Narrow"/>
          <w:sz w:val="18"/>
          <w:szCs w:val="18"/>
          <w:lang w:eastAsia="en-US"/>
        </w:rPr>
        <w:t xml:space="preserve">If serum IgM and IgA levels are trending upwards and near normal, Ig is also likely to be trending towards normality. This may suggest recovery of the immune system and a trial-off Ig therapy might be considered. </w:t>
      </w:r>
    </w:p>
    <w:p w14:paraId="588B3EE8" w14:textId="77777777" w:rsidR="005D6AFA" w:rsidRPr="005D6AFA" w:rsidRDefault="005D6AFA" w:rsidP="007A5D70">
      <w:pPr>
        <w:spacing w:before="120" w:after="120"/>
        <w:contextualSpacing/>
        <w:rPr>
          <w:rFonts w:ascii="Arial Narrow" w:eastAsia="Calibri" w:hAnsi="Arial Narrow"/>
          <w:sz w:val="18"/>
          <w:szCs w:val="18"/>
          <w:lang w:eastAsia="en-US"/>
        </w:rPr>
      </w:pPr>
      <w:r w:rsidRPr="005D6AFA">
        <w:rPr>
          <w:rFonts w:ascii="Arial Narrow" w:eastAsia="Calibri" w:hAnsi="Arial Narrow"/>
          <w:sz w:val="18"/>
          <w:szCs w:val="18"/>
          <w:vertAlign w:val="superscript"/>
          <w:lang w:eastAsia="en-US"/>
        </w:rPr>
        <w:t>2</w:t>
      </w:r>
      <w:r w:rsidRPr="005D6AFA">
        <w:rPr>
          <w:rFonts w:ascii="Arial Narrow" w:eastAsia="Calibri" w:hAnsi="Arial Narrow"/>
          <w:sz w:val="18"/>
          <w:szCs w:val="18"/>
          <w:lang w:eastAsia="en-US"/>
        </w:rPr>
        <w:t xml:space="preserve"> Contraindication reasons for a trial-off Ig therapy include neutropenia, immunosuppressant medication, active bronchiectasis and/or suppurative lung disease or severe HGG persists where no significant improvement has occurred in the underlying condition.</w:t>
      </w:r>
    </w:p>
    <w:p w14:paraId="70F92EFB" w14:textId="77777777" w:rsidR="005D6AFA" w:rsidRPr="005D6AFA" w:rsidRDefault="005D6AFA" w:rsidP="007A5D70">
      <w:pPr>
        <w:spacing w:before="120" w:after="120"/>
        <w:contextualSpacing/>
        <w:rPr>
          <w:rFonts w:ascii="Arial Narrow" w:eastAsia="Calibri" w:hAnsi="Arial Narrow"/>
          <w:sz w:val="18"/>
          <w:szCs w:val="18"/>
          <w:lang w:eastAsia="en-US"/>
        </w:rPr>
      </w:pPr>
      <w:r w:rsidRPr="005D6AFA">
        <w:rPr>
          <w:rFonts w:ascii="Arial Narrow" w:eastAsia="Calibri" w:hAnsi="Arial Narrow"/>
          <w:sz w:val="18"/>
          <w:szCs w:val="18"/>
          <w:vertAlign w:val="superscript"/>
          <w:lang w:eastAsia="en-US"/>
        </w:rPr>
        <w:t>3</w:t>
      </w:r>
      <w:r w:rsidRPr="005D6AFA">
        <w:rPr>
          <w:rFonts w:ascii="Arial Narrow" w:eastAsia="Calibri" w:hAnsi="Arial Narrow"/>
          <w:sz w:val="18"/>
          <w:szCs w:val="18"/>
          <w:lang w:eastAsia="en-US"/>
        </w:rPr>
        <w:t xml:space="preserve"> Ig therapy should be extended as required to enable cessation of therapy in September/October, with repeat clinical and/or immunological evaluation before re-commencement of therapy.</w:t>
      </w:r>
    </w:p>
    <w:p w14:paraId="228C582F" w14:textId="77777777" w:rsidR="005D6AFA" w:rsidRPr="005D6AFA" w:rsidRDefault="005D6AFA" w:rsidP="007A5D70">
      <w:pPr>
        <w:spacing w:before="120" w:after="120"/>
        <w:contextualSpacing/>
        <w:rPr>
          <w:rFonts w:ascii="Arial Narrow" w:eastAsia="Calibri" w:hAnsi="Arial Narrow"/>
          <w:sz w:val="18"/>
          <w:szCs w:val="18"/>
          <w:lang w:eastAsia="en-US"/>
        </w:rPr>
      </w:pPr>
      <w:r w:rsidRPr="005D6AFA">
        <w:rPr>
          <w:rFonts w:ascii="Arial Narrow" w:eastAsia="Calibri" w:hAnsi="Arial Narrow"/>
          <w:sz w:val="18"/>
          <w:szCs w:val="18"/>
          <w:lang w:eastAsia="en-US"/>
        </w:rPr>
        <w:t>Source: Contracted Assessment Figure 4 &amp; Ratified PICO 1591</w:t>
      </w:r>
    </w:p>
    <w:p w14:paraId="7D1FC66E" w14:textId="77777777" w:rsidR="00BC1364" w:rsidRPr="00F715D1" w:rsidRDefault="00BC1364" w:rsidP="00713284">
      <w:pPr>
        <w:pStyle w:val="Heading1"/>
        <w:spacing w:before="120"/>
      </w:pPr>
      <w:r w:rsidRPr="00F715D1">
        <w:t xml:space="preserve">Comparator </w:t>
      </w:r>
    </w:p>
    <w:p w14:paraId="470C757A" w14:textId="77777777" w:rsidR="00DB5833" w:rsidRPr="005D6AFA" w:rsidRDefault="005D6AFA" w:rsidP="00713284">
      <w:pPr>
        <w:tabs>
          <w:tab w:val="num" w:pos="426"/>
        </w:tabs>
        <w:spacing w:before="120" w:after="240"/>
      </w:pPr>
      <w:r w:rsidRPr="005D6AFA">
        <w:t>Noting that this is a heterogeneous patient group, the comparator to Ig therapy for SHGG is ‘no Ig’. Best practice standard of care for specific conditions within SHGG may or may not include antibiotic treatment, prophylactic antibiotics or thymectomy.</w:t>
      </w:r>
    </w:p>
    <w:p w14:paraId="4403AB8D" w14:textId="77777777" w:rsidR="00BC1364" w:rsidRPr="00F715D1" w:rsidRDefault="00BC1364" w:rsidP="00713284">
      <w:pPr>
        <w:pStyle w:val="Heading1"/>
        <w:spacing w:before="120"/>
      </w:pPr>
      <w:r w:rsidRPr="00F715D1">
        <w:t>Comparative safety</w:t>
      </w:r>
    </w:p>
    <w:p w14:paraId="5BD91F15" w14:textId="77777777" w:rsidR="00540BF3" w:rsidRDefault="00540BF3" w:rsidP="00713284">
      <w:pPr>
        <w:spacing w:before="120" w:after="240"/>
        <w:rPr>
          <w:szCs w:val="24"/>
        </w:rPr>
      </w:pPr>
      <w:r>
        <w:rPr>
          <w:szCs w:val="24"/>
        </w:rPr>
        <w:t xml:space="preserve">One randomised controlled trial (RCT) (Lederer et al. 2014) and two prospective studies </w:t>
      </w:r>
      <w:r w:rsidRPr="00133DA4">
        <w:rPr>
          <w:szCs w:val="24"/>
        </w:rPr>
        <w:t>(Sarmiento et al. 2016; Shankar et al. 2013)</w:t>
      </w:r>
      <w:r>
        <w:rPr>
          <w:szCs w:val="24"/>
        </w:rPr>
        <w:t xml:space="preserve"> were identified in the literature review of Ig use for SHGG.</w:t>
      </w:r>
    </w:p>
    <w:p w14:paraId="59E58A1C" w14:textId="1635ED7B" w:rsidR="00540BF3" w:rsidRDefault="00540BF3" w:rsidP="00713284">
      <w:pPr>
        <w:spacing w:before="120" w:after="240"/>
        <w:rPr>
          <w:szCs w:val="24"/>
        </w:rPr>
      </w:pPr>
      <w:r>
        <w:rPr>
          <w:szCs w:val="24"/>
        </w:rPr>
        <w:t>Of these, o</w:t>
      </w:r>
      <w:r w:rsidRPr="004F484A">
        <w:rPr>
          <w:szCs w:val="24"/>
        </w:rPr>
        <w:t xml:space="preserve">nly Lederer 2014 reported comparative evidence in patients </w:t>
      </w:r>
      <w:r>
        <w:rPr>
          <w:szCs w:val="24"/>
        </w:rPr>
        <w:t xml:space="preserve">(with SHGG post lung transplant) </w:t>
      </w:r>
      <w:r w:rsidRPr="004F484A">
        <w:rPr>
          <w:szCs w:val="24"/>
        </w:rPr>
        <w:t>treated with IVIG vs. placebo</w:t>
      </w:r>
      <w:r>
        <w:rPr>
          <w:szCs w:val="24"/>
        </w:rPr>
        <w:t>, finding no</w:t>
      </w:r>
      <w:r w:rsidRPr="004F484A">
        <w:rPr>
          <w:szCs w:val="24"/>
        </w:rPr>
        <w:t xml:space="preserve"> significant differences in </w:t>
      </w:r>
      <w:r>
        <w:rPr>
          <w:szCs w:val="24"/>
        </w:rPr>
        <w:t>adverse events (</w:t>
      </w:r>
      <w:r w:rsidRPr="004F484A">
        <w:rPr>
          <w:szCs w:val="24"/>
        </w:rPr>
        <w:t>AEs</w:t>
      </w:r>
      <w:r>
        <w:rPr>
          <w:szCs w:val="24"/>
        </w:rPr>
        <w:t>)</w:t>
      </w:r>
      <w:r w:rsidRPr="004F484A">
        <w:rPr>
          <w:szCs w:val="24"/>
        </w:rPr>
        <w:t xml:space="preserve"> between the two treatment groups. However, this study included a very short treatment period and follow up (12 weeks) and small number of patients (n=11), and therefore was not powered to detect small or moderate differences in AEs.</w:t>
      </w:r>
    </w:p>
    <w:p w14:paraId="7C27637B" w14:textId="490DE5CE" w:rsidR="00540BF3" w:rsidRDefault="00540BF3" w:rsidP="00713284">
      <w:pPr>
        <w:spacing w:before="120" w:after="240"/>
        <w:rPr>
          <w:szCs w:val="24"/>
        </w:rPr>
      </w:pPr>
      <w:r w:rsidRPr="004F484A">
        <w:rPr>
          <w:szCs w:val="24"/>
        </w:rPr>
        <w:lastRenderedPageBreak/>
        <w:t xml:space="preserve">Sarmiento 2016 </w:t>
      </w:r>
      <w:r w:rsidRPr="00694AA7">
        <w:rPr>
          <w:szCs w:val="24"/>
        </w:rPr>
        <w:t xml:space="preserve">reported a high number of severe AEs </w:t>
      </w:r>
      <w:r>
        <w:rPr>
          <w:szCs w:val="24"/>
        </w:rPr>
        <w:t xml:space="preserve">in patients (with SHGG post-heart transplant) receiving </w:t>
      </w:r>
      <w:r w:rsidRPr="00694AA7">
        <w:rPr>
          <w:szCs w:val="24"/>
        </w:rPr>
        <w:t>treatment with IVI</w:t>
      </w:r>
      <w:r>
        <w:rPr>
          <w:szCs w:val="24"/>
        </w:rPr>
        <w:t>g</w:t>
      </w:r>
      <w:r w:rsidRPr="00694AA7">
        <w:rPr>
          <w:szCs w:val="24"/>
        </w:rPr>
        <w:t xml:space="preserve"> </w:t>
      </w:r>
      <w:r>
        <w:rPr>
          <w:szCs w:val="24"/>
        </w:rPr>
        <w:t xml:space="preserve">over four months </w:t>
      </w:r>
      <w:r w:rsidRPr="00694AA7">
        <w:rPr>
          <w:szCs w:val="24"/>
        </w:rPr>
        <w:t xml:space="preserve">(66%), but AEs in the control group were not reported. </w:t>
      </w:r>
      <w:r>
        <w:rPr>
          <w:szCs w:val="24"/>
        </w:rPr>
        <w:t>Therefore, it is unclear if the AEs are associated with IVI</w:t>
      </w:r>
      <w:r w:rsidR="008774AB">
        <w:rPr>
          <w:szCs w:val="24"/>
        </w:rPr>
        <w:t xml:space="preserve">g or the underlying condition. </w:t>
      </w:r>
    </w:p>
    <w:p w14:paraId="0E20588D" w14:textId="77777777" w:rsidR="00DB5833" w:rsidRPr="00540BF3" w:rsidRDefault="00540BF3" w:rsidP="00713284">
      <w:pPr>
        <w:spacing w:before="120" w:after="240"/>
        <w:rPr>
          <w:szCs w:val="24"/>
        </w:rPr>
      </w:pPr>
      <w:r w:rsidRPr="00133DA4">
        <w:rPr>
          <w:szCs w:val="24"/>
        </w:rPr>
        <w:t>Overall</w:t>
      </w:r>
      <w:r>
        <w:rPr>
          <w:szCs w:val="24"/>
        </w:rPr>
        <w:t>,</w:t>
      </w:r>
      <w:r w:rsidRPr="00694AA7">
        <w:t xml:space="preserve"> </w:t>
      </w:r>
      <w:r w:rsidRPr="00DD019D">
        <w:rPr>
          <w:szCs w:val="24"/>
        </w:rPr>
        <w:t>the safety profile of Ig was considered to be inferior versus no Ig</w:t>
      </w:r>
      <w:r>
        <w:rPr>
          <w:szCs w:val="24"/>
        </w:rPr>
        <w:t>, although</w:t>
      </w:r>
      <w:r w:rsidRPr="00133DA4">
        <w:rPr>
          <w:szCs w:val="24"/>
        </w:rPr>
        <w:t xml:space="preserve"> Ig was well tolerated with few infusion-related adverse events (AEs were mainly mild and transient) with the exception of one recorded incident of transfusion-related acute lung injury (TRALI) in Shankar 2013.</w:t>
      </w:r>
    </w:p>
    <w:p w14:paraId="09F1DE3C" w14:textId="77777777" w:rsidR="00BC1364" w:rsidRPr="00F715D1" w:rsidRDefault="00BC1364" w:rsidP="00713284">
      <w:pPr>
        <w:pStyle w:val="Heading1"/>
        <w:spacing w:before="120"/>
      </w:pPr>
      <w:r w:rsidRPr="00F715D1">
        <w:t>Comparative effectiveness</w:t>
      </w:r>
    </w:p>
    <w:p w14:paraId="2DB836D5" w14:textId="0EC34CBA" w:rsidR="00540BF3" w:rsidRDefault="00DD019D" w:rsidP="00713284">
      <w:pPr>
        <w:tabs>
          <w:tab w:val="left" w:pos="720"/>
          <w:tab w:val="left" w:pos="1140"/>
        </w:tabs>
        <w:spacing w:before="120" w:after="240"/>
        <w:rPr>
          <w:szCs w:val="24"/>
        </w:rPr>
      </w:pPr>
      <w:r>
        <w:rPr>
          <w:szCs w:val="24"/>
        </w:rPr>
        <w:t>The DCAR suggested</w:t>
      </w:r>
      <w:r w:rsidR="00540BF3">
        <w:rPr>
          <w:szCs w:val="24"/>
        </w:rPr>
        <w:t xml:space="preserve"> that</w:t>
      </w:r>
      <w:r w:rsidR="00540BF3" w:rsidRPr="00093932">
        <w:rPr>
          <w:szCs w:val="24"/>
        </w:rPr>
        <w:t xml:space="preserve"> relative to no Ig in patients with secondary HGG unrelated to haematolog</w:t>
      </w:r>
      <w:r w:rsidR="00540BF3">
        <w:rPr>
          <w:szCs w:val="24"/>
        </w:rPr>
        <w:t xml:space="preserve">ical malignancies or HSCT, </w:t>
      </w:r>
      <w:r w:rsidR="00540BF3" w:rsidRPr="00DD019D">
        <w:rPr>
          <w:szCs w:val="24"/>
        </w:rPr>
        <w:t>Ig has uncertain effectiveness</w:t>
      </w:r>
      <w:r w:rsidR="00540BF3" w:rsidRPr="00093932">
        <w:rPr>
          <w:szCs w:val="24"/>
        </w:rPr>
        <w:t>.</w:t>
      </w:r>
    </w:p>
    <w:p w14:paraId="4EFD4E2E" w14:textId="3611DCFD" w:rsidR="00540BF3" w:rsidRDefault="00540BF3" w:rsidP="00713284">
      <w:pPr>
        <w:tabs>
          <w:tab w:val="left" w:pos="720"/>
          <w:tab w:val="left" w:pos="1140"/>
        </w:tabs>
        <w:spacing w:before="120"/>
        <w:rPr>
          <w:szCs w:val="24"/>
        </w:rPr>
      </w:pPr>
      <w:r w:rsidRPr="00466E39">
        <w:rPr>
          <w:szCs w:val="24"/>
        </w:rPr>
        <w:t xml:space="preserve">The summary of key findings is shown in </w:t>
      </w:r>
      <w:r w:rsidR="004B63A7">
        <w:rPr>
          <w:szCs w:val="24"/>
        </w:rPr>
        <w:t>Table 2</w:t>
      </w:r>
      <w:r>
        <w:rPr>
          <w:szCs w:val="24"/>
        </w:rPr>
        <w:t>. One RCT (Lederer 2014), and two cohort studies (Sarmiento 2016, Lichvar 2018)</w:t>
      </w:r>
      <w:r w:rsidRPr="00C407CF">
        <w:rPr>
          <w:szCs w:val="24"/>
        </w:rPr>
        <w:t xml:space="preserve"> presented </w:t>
      </w:r>
      <w:r>
        <w:rPr>
          <w:szCs w:val="24"/>
        </w:rPr>
        <w:t xml:space="preserve">comparative </w:t>
      </w:r>
      <w:r w:rsidRPr="00C407CF">
        <w:rPr>
          <w:szCs w:val="24"/>
        </w:rPr>
        <w:t xml:space="preserve">evidence of Ig vs. no Ig in </w:t>
      </w:r>
      <w:r>
        <w:rPr>
          <w:szCs w:val="24"/>
        </w:rPr>
        <w:t xml:space="preserve">patients with SHGG. These </w:t>
      </w:r>
      <w:r w:rsidRPr="006E6628">
        <w:rPr>
          <w:szCs w:val="24"/>
        </w:rPr>
        <w:t xml:space="preserve">studies included patients who developed </w:t>
      </w:r>
      <w:r>
        <w:rPr>
          <w:szCs w:val="24"/>
        </w:rPr>
        <w:t>S</w:t>
      </w:r>
      <w:r w:rsidRPr="006E6628">
        <w:rPr>
          <w:szCs w:val="24"/>
        </w:rPr>
        <w:t>HGG afte</w:t>
      </w:r>
      <w:r>
        <w:rPr>
          <w:szCs w:val="24"/>
        </w:rPr>
        <w:t xml:space="preserve">r heart or lung transplantation, </w:t>
      </w:r>
      <w:r w:rsidRPr="006E6628">
        <w:rPr>
          <w:szCs w:val="24"/>
        </w:rPr>
        <w:t xml:space="preserve">which </w:t>
      </w:r>
      <w:r>
        <w:rPr>
          <w:szCs w:val="24"/>
        </w:rPr>
        <w:t>represents approximately 24% of Ig use (grams) in all patients accessing Ig for S</w:t>
      </w:r>
      <w:r w:rsidRPr="006E6628">
        <w:rPr>
          <w:szCs w:val="24"/>
        </w:rPr>
        <w:t>HGG</w:t>
      </w:r>
      <w:r>
        <w:rPr>
          <w:szCs w:val="24"/>
        </w:rPr>
        <w:t>. T</w:t>
      </w:r>
      <w:r w:rsidRPr="00C407CF">
        <w:rPr>
          <w:szCs w:val="24"/>
        </w:rPr>
        <w:t>he</w:t>
      </w:r>
      <w:r>
        <w:rPr>
          <w:szCs w:val="24"/>
        </w:rPr>
        <w:t>se studies provided insufficient information on the mean/median doses, initiation, duration and discontinuation of Ig therapy given, and antibiotic use was not adequately described. The q</w:t>
      </w:r>
      <w:r w:rsidRPr="00C407CF">
        <w:rPr>
          <w:szCs w:val="24"/>
        </w:rPr>
        <w:t xml:space="preserve">uality of the available evidence was very low for all the effectiveness </w:t>
      </w:r>
      <w:r>
        <w:rPr>
          <w:szCs w:val="24"/>
        </w:rPr>
        <w:t>outcomes; therefore, the HTA evaluators considered</w:t>
      </w:r>
      <w:r w:rsidRPr="00C407CF">
        <w:rPr>
          <w:szCs w:val="24"/>
        </w:rPr>
        <w:t xml:space="preserve"> </w:t>
      </w:r>
      <w:r>
        <w:rPr>
          <w:szCs w:val="24"/>
        </w:rPr>
        <w:t xml:space="preserve">the effectiveness of Ig </w:t>
      </w:r>
      <w:r w:rsidRPr="00C407CF">
        <w:rPr>
          <w:szCs w:val="24"/>
        </w:rPr>
        <w:t>in this population</w:t>
      </w:r>
      <w:r>
        <w:rPr>
          <w:szCs w:val="24"/>
        </w:rPr>
        <w:t xml:space="preserve"> to be </w:t>
      </w:r>
      <w:r w:rsidRPr="00847A16">
        <w:rPr>
          <w:szCs w:val="24"/>
        </w:rPr>
        <w:t>very uncertain. Twelve cohort studies were also included as supportive non-comparative evidence. Most of these studies aimed to compare outcomes of patients with HGG and without HGG</w:t>
      </w:r>
      <w:r>
        <w:rPr>
          <w:szCs w:val="24"/>
        </w:rPr>
        <w:t xml:space="preserve"> (outside the scope of this review)</w:t>
      </w:r>
      <w:r w:rsidRPr="00847A16">
        <w:rPr>
          <w:szCs w:val="24"/>
        </w:rPr>
        <w:t xml:space="preserve">, rather than evaluating the effectiveness of Ig therapy in patients with HGG. Only data relevant to the population of interest was extracted to provide </w:t>
      </w:r>
      <w:r>
        <w:rPr>
          <w:szCs w:val="24"/>
        </w:rPr>
        <w:t xml:space="preserve">information on </w:t>
      </w:r>
      <w:r w:rsidRPr="00847A16">
        <w:rPr>
          <w:szCs w:val="24"/>
        </w:rPr>
        <w:t xml:space="preserve">whether patients with HGG may benefit from Ig therapy. All of the supportive studies were considered to be at serious or critical risk of bias. </w:t>
      </w:r>
    </w:p>
    <w:p w14:paraId="66AD12D3" w14:textId="77777777" w:rsidR="00540BF3" w:rsidRPr="00750835" w:rsidRDefault="00540BF3" w:rsidP="00713284">
      <w:pPr>
        <w:tabs>
          <w:tab w:val="left" w:pos="720"/>
          <w:tab w:val="left" w:pos="1140"/>
        </w:tabs>
        <w:spacing w:before="120"/>
        <w:rPr>
          <w:szCs w:val="24"/>
          <w:u w:val="single"/>
        </w:rPr>
      </w:pPr>
      <w:r w:rsidRPr="00750835">
        <w:rPr>
          <w:szCs w:val="24"/>
          <w:u w:val="single"/>
        </w:rPr>
        <w:t>Infections</w:t>
      </w:r>
    </w:p>
    <w:p w14:paraId="69C54518" w14:textId="38D53465" w:rsidR="00540BF3" w:rsidRDefault="00540BF3" w:rsidP="00713284">
      <w:pPr>
        <w:tabs>
          <w:tab w:val="left" w:pos="720"/>
          <w:tab w:val="left" w:pos="1140"/>
        </w:tabs>
        <w:spacing w:before="120"/>
        <w:rPr>
          <w:szCs w:val="24"/>
        </w:rPr>
      </w:pPr>
      <w:r>
        <w:rPr>
          <w:szCs w:val="24"/>
        </w:rPr>
        <w:t>O</w:t>
      </w:r>
      <w:r w:rsidRPr="0017212A">
        <w:rPr>
          <w:szCs w:val="24"/>
        </w:rPr>
        <w:t>ne study (Sarmiento 2016</w:t>
      </w:r>
      <w:r>
        <w:rPr>
          <w:szCs w:val="24"/>
        </w:rPr>
        <w:t>, n=25</w:t>
      </w:r>
      <w:r w:rsidRPr="0017212A">
        <w:rPr>
          <w:szCs w:val="24"/>
        </w:rPr>
        <w:t xml:space="preserve">) </w:t>
      </w:r>
      <w:r>
        <w:rPr>
          <w:szCs w:val="24"/>
        </w:rPr>
        <w:t>in</w:t>
      </w:r>
      <w:r w:rsidRPr="0017212A">
        <w:rPr>
          <w:szCs w:val="24"/>
        </w:rPr>
        <w:t xml:space="preserve"> heart transplant patients, found significantly lower rates of severe infections in patients with </w:t>
      </w:r>
      <w:r>
        <w:rPr>
          <w:szCs w:val="24"/>
        </w:rPr>
        <w:t>S</w:t>
      </w:r>
      <w:r w:rsidRPr="0017212A">
        <w:rPr>
          <w:szCs w:val="24"/>
        </w:rPr>
        <w:t>HGG treated with IVI</w:t>
      </w:r>
      <w:r>
        <w:rPr>
          <w:szCs w:val="24"/>
        </w:rPr>
        <w:t>g</w:t>
      </w:r>
      <w:r w:rsidRPr="0017212A">
        <w:rPr>
          <w:szCs w:val="24"/>
        </w:rPr>
        <w:t xml:space="preserve"> compared to those who did not receive IVI</w:t>
      </w:r>
      <w:r>
        <w:rPr>
          <w:szCs w:val="24"/>
        </w:rPr>
        <w:t>g</w:t>
      </w:r>
      <w:r w:rsidRPr="0017212A">
        <w:rPr>
          <w:szCs w:val="24"/>
        </w:rPr>
        <w:t xml:space="preserve"> (25.0% vs. 76.9%</w:t>
      </w:r>
      <w:r>
        <w:rPr>
          <w:szCs w:val="24"/>
        </w:rPr>
        <w:t>;</w:t>
      </w:r>
      <w:r w:rsidRPr="00456095">
        <w:t xml:space="preserve"> </w:t>
      </w:r>
      <w:r w:rsidRPr="00456095">
        <w:rPr>
          <w:szCs w:val="24"/>
        </w:rPr>
        <w:t>RR 0.33 (0.12, 0.91)</w:t>
      </w:r>
      <w:r w:rsidRPr="0017212A">
        <w:rPr>
          <w:szCs w:val="24"/>
        </w:rPr>
        <w:t>)</w:t>
      </w:r>
      <w:r>
        <w:rPr>
          <w:szCs w:val="24"/>
        </w:rPr>
        <w:t>.</w:t>
      </w:r>
      <w:r w:rsidRPr="0017212A">
        <w:rPr>
          <w:szCs w:val="24"/>
        </w:rPr>
        <w:t xml:space="preserve"> </w:t>
      </w:r>
      <w:r>
        <w:rPr>
          <w:szCs w:val="24"/>
        </w:rPr>
        <w:t xml:space="preserve">A severe infection was defined as </w:t>
      </w:r>
      <w:r w:rsidRPr="00456095">
        <w:rPr>
          <w:szCs w:val="24"/>
        </w:rPr>
        <w:t>any infection requiring at least one dose of IV antimicrobial therapy (catheter-related infections and surgical wound infections were excluded)</w:t>
      </w:r>
      <w:r>
        <w:rPr>
          <w:szCs w:val="24"/>
        </w:rPr>
        <w:t xml:space="preserve">. </w:t>
      </w:r>
      <w:r w:rsidRPr="0017212A">
        <w:rPr>
          <w:szCs w:val="24"/>
        </w:rPr>
        <w:t xml:space="preserve">There were no significant differences in </w:t>
      </w:r>
      <w:r>
        <w:rPr>
          <w:szCs w:val="24"/>
        </w:rPr>
        <w:t xml:space="preserve">the other studies </w:t>
      </w:r>
      <w:r w:rsidRPr="0017212A">
        <w:rPr>
          <w:szCs w:val="24"/>
        </w:rPr>
        <w:t>comparing Ig to no Ig for the other infection outcomes reporte</w:t>
      </w:r>
      <w:r>
        <w:rPr>
          <w:szCs w:val="24"/>
        </w:rPr>
        <w:t>d.</w:t>
      </w:r>
    </w:p>
    <w:p w14:paraId="4FF895B1" w14:textId="77777777" w:rsidR="00540BF3" w:rsidRPr="00750835" w:rsidRDefault="00540BF3" w:rsidP="00713284">
      <w:pPr>
        <w:tabs>
          <w:tab w:val="left" w:pos="720"/>
          <w:tab w:val="left" w:pos="1140"/>
        </w:tabs>
        <w:spacing w:before="120"/>
        <w:rPr>
          <w:szCs w:val="24"/>
          <w:u w:val="single"/>
        </w:rPr>
      </w:pPr>
      <w:r w:rsidRPr="00750835">
        <w:rPr>
          <w:szCs w:val="24"/>
          <w:u w:val="single"/>
        </w:rPr>
        <w:t>Transplant rejection</w:t>
      </w:r>
    </w:p>
    <w:p w14:paraId="4A5584B1" w14:textId="14F74547" w:rsidR="00540BF3" w:rsidRDefault="00540BF3" w:rsidP="00713284">
      <w:pPr>
        <w:tabs>
          <w:tab w:val="left" w:pos="720"/>
          <w:tab w:val="left" w:pos="1140"/>
        </w:tabs>
        <w:spacing w:before="120"/>
        <w:rPr>
          <w:szCs w:val="24"/>
        </w:rPr>
      </w:pPr>
      <w:r>
        <w:rPr>
          <w:szCs w:val="24"/>
        </w:rPr>
        <w:t>T</w:t>
      </w:r>
      <w:r w:rsidRPr="0017212A">
        <w:rPr>
          <w:szCs w:val="24"/>
        </w:rPr>
        <w:t>here were no significant differences between treatment groups for the outco</w:t>
      </w:r>
      <w:r>
        <w:rPr>
          <w:szCs w:val="24"/>
        </w:rPr>
        <w:t>me of acute rejection</w:t>
      </w:r>
      <w:r w:rsidRPr="0017212A">
        <w:rPr>
          <w:szCs w:val="24"/>
        </w:rPr>
        <w:t xml:space="preserve">. </w:t>
      </w:r>
      <w:r>
        <w:rPr>
          <w:szCs w:val="24"/>
        </w:rPr>
        <w:t>Ho</w:t>
      </w:r>
      <w:r w:rsidR="00911464">
        <w:rPr>
          <w:szCs w:val="24"/>
        </w:rPr>
        <w:t>wever, there was</w:t>
      </w:r>
      <w:r>
        <w:rPr>
          <w:szCs w:val="24"/>
        </w:rPr>
        <w:t xml:space="preserve"> </w:t>
      </w:r>
      <w:r w:rsidRPr="00750835">
        <w:rPr>
          <w:szCs w:val="24"/>
        </w:rPr>
        <w:t>significantly lower grade 2 C</w:t>
      </w:r>
      <w:r>
        <w:rPr>
          <w:szCs w:val="24"/>
        </w:rPr>
        <w:t xml:space="preserve">hronic </w:t>
      </w:r>
      <w:r w:rsidRPr="00750835">
        <w:rPr>
          <w:szCs w:val="24"/>
        </w:rPr>
        <w:t>L</w:t>
      </w:r>
      <w:r>
        <w:rPr>
          <w:szCs w:val="24"/>
        </w:rPr>
        <w:t xml:space="preserve">ung </w:t>
      </w:r>
      <w:r w:rsidRPr="00750835">
        <w:rPr>
          <w:szCs w:val="24"/>
        </w:rPr>
        <w:t>A</w:t>
      </w:r>
      <w:r>
        <w:rPr>
          <w:szCs w:val="24"/>
        </w:rPr>
        <w:t xml:space="preserve">llograft </w:t>
      </w:r>
      <w:r w:rsidRPr="00750835">
        <w:rPr>
          <w:szCs w:val="24"/>
        </w:rPr>
        <w:t>D</w:t>
      </w:r>
      <w:r>
        <w:rPr>
          <w:szCs w:val="24"/>
        </w:rPr>
        <w:t>ysfunction (CLAD)</w:t>
      </w:r>
      <w:r w:rsidRPr="00750835">
        <w:rPr>
          <w:szCs w:val="24"/>
        </w:rPr>
        <w:t xml:space="preserve"> at 5 years in patients treated with on-demand IVI</w:t>
      </w:r>
      <w:r>
        <w:rPr>
          <w:szCs w:val="24"/>
        </w:rPr>
        <w:t>g</w:t>
      </w:r>
      <w:r w:rsidRPr="00750835">
        <w:rPr>
          <w:szCs w:val="24"/>
        </w:rPr>
        <w:t xml:space="preserve"> compared to no IVI</w:t>
      </w:r>
      <w:r>
        <w:rPr>
          <w:szCs w:val="24"/>
        </w:rPr>
        <w:t>g</w:t>
      </w:r>
      <w:r w:rsidRPr="00750835">
        <w:rPr>
          <w:szCs w:val="24"/>
        </w:rPr>
        <w:t xml:space="preserve"> </w:t>
      </w:r>
      <w:r>
        <w:rPr>
          <w:szCs w:val="24"/>
        </w:rPr>
        <w:t>(</w:t>
      </w:r>
      <w:r w:rsidRPr="00367F7D">
        <w:rPr>
          <w:szCs w:val="24"/>
        </w:rPr>
        <w:t>RR 0.51 (0.28, 0.94)</w:t>
      </w:r>
      <w:r>
        <w:rPr>
          <w:szCs w:val="24"/>
        </w:rPr>
        <w:t>)</w:t>
      </w:r>
      <w:r w:rsidRPr="00750835">
        <w:rPr>
          <w:szCs w:val="24"/>
        </w:rPr>
        <w:t>(Lichvar et al. 2018)</w:t>
      </w:r>
      <w:r w:rsidRPr="00A77A91">
        <w:rPr>
          <w:szCs w:val="24"/>
        </w:rPr>
        <w:t xml:space="preserve">, but there were no significant differences in grade 3 CLAD rates. </w:t>
      </w:r>
    </w:p>
    <w:p w14:paraId="4DD05676" w14:textId="77777777" w:rsidR="00540BF3" w:rsidRPr="0063001B" w:rsidRDefault="00540BF3" w:rsidP="00713284">
      <w:pPr>
        <w:tabs>
          <w:tab w:val="left" w:pos="720"/>
          <w:tab w:val="left" w:pos="1140"/>
        </w:tabs>
        <w:spacing w:before="120"/>
        <w:rPr>
          <w:szCs w:val="24"/>
          <w:u w:val="single"/>
        </w:rPr>
      </w:pPr>
      <w:r w:rsidRPr="0063001B">
        <w:rPr>
          <w:szCs w:val="24"/>
          <w:u w:val="single"/>
        </w:rPr>
        <w:t>Survival Outcomes</w:t>
      </w:r>
    </w:p>
    <w:p w14:paraId="4C91D6BE" w14:textId="77777777" w:rsidR="00540BF3" w:rsidRDefault="00540BF3" w:rsidP="00713284">
      <w:pPr>
        <w:tabs>
          <w:tab w:val="left" w:pos="720"/>
          <w:tab w:val="left" w:pos="1140"/>
        </w:tabs>
        <w:spacing w:before="120"/>
        <w:rPr>
          <w:szCs w:val="24"/>
        </w:rPr>
      </w:pPr>
      <w:r w:rsidRPr="00750835">
        <w:rPr>
          <w:szCs w:val="24"/>
        </w:rPr>
        <w:t>In the study</w:t>
      </w:r>
      <w:r>
        <w:rPr>
          <w:szCs w:val="24"/>
        </w:rPr>
        <w:t xml:space="preserve"> by Lichvar (2018)</w:t>
      </w:r>
      <w:r w:rsidRPr="00750835">
        <w:rPr>
          <w:szCs w:val="24"/>
        </w:rPr>
        <w:t xml:space="preserve">, 1-year, 2-year and 5-year survival was significantly worse in HGG patients treated with Ig than in HGG patients </w:t>
      </w:r>
      <w:r>
        <w:rPr>
          <w:szCs w:val="24"/>
        </w:rPr>
        <w:t>receiving no</w:t>
      </w:r>
      <w:r w:rsidRPr="00750835">
        <w:rPr>
          <w:szCs w:val="24"/>
        </w:rPr>
        <w:t xml:space="preserve"> Ig. However, HGG patients </w:t>
      </w:r>
      <w:r>
        <w:rPr>
          <w:szCs w:val="24"/>
        </w:rPr>
        <w:t>in the</w:t>
      </w:r>
      <w:r w:rsidRPr="00750835">
        <w:rPr>
          <w:szCs w:val="24"/>
        </w:rPr>
        <w:t xml:space="preserve"> Ig</w:t>
      </w:r>
      <w:r>
        <w:rPr>
          <w:szCs w:val="24"/>
        </w:rPr>
        <w:t>-treated group</w:t>
      </w:r>
      <w:r w:rsidRPr="00750835">
        <w:rPr>
          <w:szCs w:val="24"/>
        </w:rPr>
        <w:t xml:space="preserve"> had more severe HGG at baseline and </w:t>
      </w:r>
      <w:r>
        <w:rPr>
          <w:szCs w:val="24"/>
        </w:rPr>
        <w:t>more underwent</w:t>
      </w:r>
      <w:r w:rsidRPr="00750835">
        <w:rPr>
          <w:szCs w:val="24"/>
        </w:rPr>
        <w:t xml:space="preserve"> bilateral lung transplants than those who did not receive Ig, which could have biased sur</w:t>
      </w:r>
      <w:r>
        <w:rPr>
          <w:szCs w:val="24"/>
        </w:rPr>
        <w:t>vival outcomes against the Ig</w:t>
      </w:r>
      <w:r w:rsidRPr="00750835">
        <w:rPr>
          <w:szCs w:val="24"/>
        </w:rPr>
        <w:t xml:space="preserve"> group.</w:t>
      </w:r>
    </w:p>
    <w:p w14:paraId="0CE4B698" w14:textId="2EC70DE0" w:rsidR="00540BF3" w:rsidRPr="00713284" w:rsidRDefault="00540BF3" w:rsidP="00713284">
      <w:pPr>
        <w:tabs>
          <w:tab w:val="left" w:pos="720"/>
          <w:tab w:val="left" w:pos="1140"/>
        </w:tabs>
        <w:spacing w:before="120"/>
        <w:rPr>
          <w:szCs w:val="24"/>
        </w:rPr>
      </w:pPr>
      <w:r w:rsidRPr="0017212A">
        <w:rPr>
          <w:szCs w:val="24"/>
        </w:rPr>
        <w:t>In Claustre et al. 2015</w:t>
      </w:r>
      <w:r>
        <w:rPr>
          <w:szCs w:val="24"/>
        </w:rPr>
        <w:t xml:space="preserve">, one of </w:t>
      </w:r>
      <w:r w:rsidRPr="0017212A">
        <w:rPr>
          <w:szCs w:val="24"/>
        </w:rPr>
        <w:t xml:space="preserve">the supportive studies, 5-year survival </w:t>
      </w:r>
      <w:r>
        <w:rPr>
          <w:szCs w:val="24"/>
        </w:rPr>
        <w:t xml:space="preserve">in IVIg-treated lung transplant patients with HGG </w:t>
      </w:r>
      <w:r w:rsidRPr="0017212A">
        <w:rPr>
          <w:szCs w:val="24"/>
        </w:rPr>
        <w:t>was higher than that reported by Lichvar 2018 (65% vs. 56.0%). Lichvar 2018 reported a long</w:t>
      </w:r>
      <w:r>
        <w:rPr>
          <w:szCs w:val="24"/>
        </w:rPr>
        <w:t>er time from transplant to Ig</w:t>
      </w:r>
      <w:r w:rsidRPr="0017212A">
        <w:rPr>
          <w:szCs w:val="24"/>
        </w:rPr>
        <w:t xml:space="preserve"> initiation and shorter duration of Ig</w:t>
      </w:r>
      <w:r>
        <w:rPr>
          <w:szCs w:val="24"/>
        </w:rPr>
        <w:t xml:space="preserve"> therapy</w:t>
      </w:r>
      <w:r w:rsidRPr="0017212A">
        <w:rPr>
          <w:szCs w:val="24"/>
        </w:rPr>
        <w:t xml:space="preserve"> than in Claustre 2015, which could have also had an impact on poorer outcomes. </w:t>
      </w:r>
    </w:p>
    <w:p w14:paraId="3D3D9087" w14:textId="77777777" w:rsidR="00540BF3" w:rsidRPr="00750835" w:rsidRDefault="00540BF3" w:rsidP="00713284">
      <w:pPr>
        <w:tabs>
          <w:tab w:val="left" w:pos="720"/>
          <w:tab w:val="left" w:pos="1140"/>
        </w:tabs>
        <w:spacing w:before="120"/>
        <w:rPr>
          <w:szCs w:val="24"/>
          <w:u w:val="single"/>
        </w:rPr>
      </w:pPr>
      <w:r w:rsidRPr="00750835">
        <w:rPr>
          <w:szCs w:val="24"/>
          <w:u w:val="single"/>
        </w:rPr>
        <w:lastRenderedPageBreak/>
        <w:t>Hospitalisations</w:t>
      </w:r>
    </w:p>
    <w:p w14:paraId="72E420F9" w14:textId="78EDAFF8" w:rsidR="002E3471" w:rsidRPr="00DD019D" w:rsidRDefault="00540BF3" w:rsidP="00DD019D">
      <w:pPr>
        <w:spacing w:before="120"/>
        <w:rPr>
          <w:szCs w:val="24"/>
        </w:rPr>
      </w:pPr>
      <w:r>
        <w:rPr>
          <w:szCs w:val="24"/>
        </w:rPr>
        <w:t>With regard to</w:t>
      </w:r>
      <w:r w:rsidRPr="0017212A">
        <w:rPr>
          <w:szCs w:val="24"/>
        </w:rPr>
        <w:t xml:space="preserve"> hospitalisations, Sarmiento 2016 indicated a trend towards increased number of readmissions in heart transplant patients not treated with IVI</w:t>
      </w:r>
      <w:r>
        <w:rPr>
          <w:szCs w:val="24"/>
        </w:rPr>
        <w:t>g</w:t>
      </w:r>
      <w:r w:rsidRPr="0017212A">
        <w:rPr>
          <w:szCs w:val="24"/>
        </w:rPr>
        <w:t xml:space="preserve">, whereas Lederer 2014 found no significant differences </w:t>
      </w:r>
      <w:r>
        <w:rPr>
          <w:szCs w:val="24"/>
        </w:rPr>
        <w:t xml:space="preserve">for </w:t>
      </w:r>
      <w:r w:rsidRPr="0017212A">
        <w:rPr>
          <w:szCs w:val="24"/>
        </w:rPr>
        <w:t>hospitalisations</w:t>
      </w:r>
      <w:r>
        <w:rPr>
          <w:szCs w:val="24"/>
        </w:rPr>
        <w:t xml:space="preserve"> for patients treated with Ig versus no Ig</w:t>
      </w:r>
      <w:r w:rsidRPr="0017212A">
        <w:rPr>
          <w:szCs w:val="24"/>
        </w:rPr>
        <w:t xml:space="preserve">. However, both studies included a very small number of patients and hospitalisations, </w:t>
      </w:r>
      <w:r>
        <w:rPr>
          <w:szCs w:val="24"/>
        </w:rPr>
        <w:t>so results should be interpreted with caution</w:t>
      </w:r>
      <w:r w:rsidRPr="0017212A">
        <w:rPr>
          <w:szCs w:val="24"/>
        </w:rPr>
        <w:t>.</w:t>
      </w:r>
      <w:r w:rsidR="002E3471">
        <w:rPr>
          <w:b/>
          <w:szCs w:val="24"/>
        </w:rPr>
        <w:br w:type="page"/>
      </w:r>
    </w:p>
    <w:p w14:paraId="34D1E2CC" w14:textId="77777777" w:rsidR="0027733B" w:rsidRDefault="0027733B" w:rsidP="007A5D70">
      <w:pPr>
        <w:spacing w:before="120" w:after="120"/>
        <w:rPr>
          <w:b/>
          <w:szCs w:val="24"/>
        </w:rPr>
        <w:sectPr w:rsidR="0027733B" w:rsidSect="00271F18">
          <w:footerReference w:type="default" r:id="rId16"/>
          <w:pgSz w:w="11906" w:h="16838"/>
          <w:pgMar w:top="1134" w:right="1440" w:bottom="426" w:left="1440" w:header="708" w:footer="708" w:gutter="0"/>
          <w:cols w:space="708"/>
          <w:docGrid w:linePitch="360"/>
        </w:sectPr>
      </w:pPr>
    </w:p>
    <w:p w14:paraId="72F68D24" w14:textId="77777777" w:rsidR="004B63A7" w:rsidRPr="00D44C6D" w:rsidRDefault="004B63A7" w:rsidP="00D44C6D">
      <w:pPr>
        <w:rPr>
          <w:rFonts w:ascii="Arial Narrow" w:hAnsi="Arial Narrow"/>
          <w:b/>
          <w:sz w:val="20"/>
        </w:rPr>
      </w:pPr>
      <w:bookmarkStart w:id="3" w:name="_Ref39675506"/>
      <w:bookmarkStart w:id="4" w:name="_Toc48218432"/>
      <w:r w:rsidRPr="00D44C6D">
        <w:rPr>
          <w:rFonts w:ascii="Arial Narrow" w:hAnsi="Arial Narrow"/>
          <w:b/>
          <w:sz w:val="20"/>
        </w:rPr>
        <w:lastRenderedPageBreak/>
        <w:t xml:space="preserve">Table </w:t>
      </w:r>
      <w:bookmarkEnd w:id="3"/>
      <w:r w:rsidRPr="00D44C6D">
        <w:rPr>
          <w:rFonts w:ascii="Arial Narrow" w:hAnsi="Arial Narrow"/>
          <w:b/>
          <w:sz w:val="20"/>
        </w:rPr>
        <w:t>2</w:t>
      </w:r>
      <w:r w:rsidRPr="00D44C6D">
        <w:rPr>
          <w:rFonts w:ascii="Arial Narrow" w:hAnsi="Arial Narrow"/>
          <w:b/>
          <w:sz w:val="20"/>
        </w:rPr>
        <w:tab/>
        <w:t xml:space="preserve"> Clinical benefits of Ig-RT, relative to no-Ig-RT, and as measured by the </w:t>
      </w:r>
      <w:r w:rsidRPr="00D44C6D">
        <w:rPr>
          <w:rFonts w:ascii="Arial Narrow" w:hAnsi="Arial Narrow"/>
          <w:b/>
          <w:sz w:val="20"/>
          <w:u w:val="single"/>
        </w:rPr>
        <w:t>critical</w:t>
      </w:r>
      <w:r w:rsidRPr="00D44C6D">
        <w:rPr>
          <w:rFonts w:ascii="Arial Narrow" w:hAnsi="Arial Narrow"/>
          <w:b/>
          <w:sz w:val="20"/>
        </w:rPr>
        <w:t xml:space="preserve"> patient-relevant outcomes in the key studies</w:t>
      </w:r>
      <w:bookmarkEnd w:id="4"/>
      <w:r w:rsidRPr="00D44C6D">
        <w:rPr>
          <w:rFonts w:ascii="Arial Narrow" w:hAnsi="Arial Narrow"/>
          <w:b/>
          <w:sz w:val="20"/>
        </w:rPr>
        <w:t xml:space="preserve"> </w:t>
      </w:r>
    </w:p>
    <w:tbl>
      <w:tblPr>
        <w:tblStyle w:val="TableGrid1"/>
        <w:tblW w:w="5000" w:type="pct"/>
        <w:tblLook w:val="04A0" w:firstRow="1" w:lastRow="0" w:firstColumn="1" w:lastColumn="0" w:noHBand="0" w:noVBand="1"/>
        <w:tblCaption w:val="Table 16 Results of the key patient-relevant outcome across the studies"/>
        <w:tblDescription w:val="This table provides a summary of the findings in each study for the key patient-relevant outcome. Results for the intervention and comparator arms of each study are provided, along with an indication of the absolute difference and relative difference in results between the study arms. If the results across studies are meta-analysed, the results are also given."/>
      </w:tblPr>
      <w:tblGrid>
        <w:gridCol w:w="1524"/>
        <w:gridCol w:w="1695"/>
        <w:gridCol w:w="1142"/>
        <w:gridCol w:w="2235"/>
        <w:gridCol w:w="2000"/>
        <w:gridCol w:w="1948"/>
        <w:gridCol w:w="2171"/>
        <w:gridCol w:w="1270"/>
        <w:gridCol w:w="1283"/>
      </w:tblGrid>
      <w:tr w:rsidR="00A84955" w:rsidRPr="005841DD" w14:paraId="29A2A493" w14:textId="77777777" w:rsidTr="001B34DD">
        <w:trPr>
          <w:cnfStyle w:val="100000000000" w:firstRow="1" w:lastRow="0" w:firstColumn="0" w:lastColumn="0" w:oddVBand="0" w:evenVBand="0" w:oddHBand="0" w:evenHBand="0" w:firstRowFirstColumn="0" w:firstRowLastColumn="0" w:lastRowFirstColumn="0" w:lastRowLastColumn="0"/>
          <w:tblHeader/>
        </w:trPr>
        <w:tc>
          <w:tcPr>
            <w:tcW w:w="499" w:type="pct"/>
            <w:vAlign w:val="center"/>
          </w:tcPr>
          <w:p w14:paraId="310156C4" w14:textId="77777777" w:rsidR="00A84955" w:rsidRPr="003A3BDC" w:rsidRDefault="00A84955" w:rsidP="001B34DD">
            <w:pPr>
              <w:pStyle w:val="Tabletext"/>
              <w:rPr>
                <w:b/>
                <w:snapToGrid w:val="0"/>
              </w:rPr>
            </w:pPr>
            <w:r w:rsidRPr="003A3BDC">
              <w:rPr>
                <w:b/>
                <w:snapToGrid w:val="0"/>
              </w:rPr>
              <w:t>Study ID</w:t>
            </w:r>
          </w:p>
        </w:tc>
        <w:tc>
          <w:tcPr>
            <w:tcW w:w="555" w:type="pct"/>
            <w:vAlign w:val="center"/>
          </w:tcPr>
          <w:p w14:paraId="1B6A59AC" w14:textId="77777777" w:rsidR="00A84955" w:rsidRPr="003A3BDC" w:rsidRDefault="00A84955" w:rsidP="001B34DD">
            <w:pPr>
              <w:pStyle w:val="Tabletext"/>
              <w:rPr>
                <w:b/>
                <w:snapToGrid w:val="0"/>
              </w:rPr>
            </w:pPr>
            <w:r w:rsidRPr="003A3BDC">
              <w:rPr>
                <w:b/>
                <w:snapToGrid w:val="0"/>
              </w:rPr>
              <w:t>Cause of secondary HGG</w:t>
            </w:r>
          </w:p>
        </w:tc>
        <w:tc>
          <w:tcPr>
            <w:tcW w:w="374" w:type="pct"/>
            <w:vAlign w:val="center"/>
          </w:tcPr>
          <w:p w14:paraId="59FEE55D" w14:textId="77777777" w:rsidR="00A84955" w:rsidRPr="003A3BDC" w:rsidRDefault="00A84955" w:rsidP="001B34DD">
            <w:pPr>
              <w:pStyle w:val="Tabletext"/>
              <w:rPr>
                <w:b/>
                <w:snapToGrid w:val="0"/>
              </w:rPr>
            </w:pPr>
            <w:r w:rsidRPr="003A3BDC">
              <w:rPr>
                <w:b/>
                <w:snapToGrid w:val="0"/>
              </w:rPr>
              <w:t>Risk of bias</w:t>
            </w:r>
          </w:p>
        </w:tc>
        <w:tc>
          <w:tcPr>
            <w:tcW w:w="732" w:type="pct"/>
            <w:vAlign w:val="center"/>
          </w:tcPr>
          <w:p w14:paraId="22B1FE5F" w14:textId="77777777" w:rsidR="00A84955" w:rsidRPr="003A3BDC" w:rsidRDefault="00A84955" w:rsidP="001B34DD">
            <w:pPr>
              <w:pStyle w:val="Tabletext"/>
              <w:rPr>
                <w:b/>
                <w:snapToGrid w:val="0"/>
                <w:u w:val="single"/>
              </w:rPr>
            </w:pPr>
            <w:r w:rsidRPr="003A3BDC">
              <w:rPr>
                <w:b/>
                <w:snapToGrid w:val="0"/>
                <w:u w:val="single"/>
              </w:rPr>
              <w:t>Ig-RT</w:t>
            </w:r>
          </w:p>
          <w:p w14:paraId="21785755" w14:textId="77777777" w:rsidR="00A84955" w:rsidRPr="003A3BDC" w:rsidRDefault="00A84955" w:rsidP="001B34DD">
            <w:pPr>
              <w:pStyle w:val="Tabletext"/>
              <w:rPr>
                <w:b/>
                <w:snapToGrid w:val="0"/>
              </w:rPr>
            </w:pPr>
            <w:r w:rsidRPr="003A3BDC">
              <w:rPr>
                <w:b/>
                <w:snapToGrid w:val="0"/>
              </w:rPr>
              <w:t>n with event/N (%)</w:t>
            </w:r>
          </w:p>
        </w:tc>
        <w:tc>
          <w:tcPr>
            <w:tcW w:w="655" w:type="pct"/>
            <w:vAlign w:val="center"/>
          </w:tcPr>
          <w:p w14:paraId="20BB2309" w14:textId="77777777" w:rsidR="00A84955" w:rsidRPr="003A3BDC" w:rsidRDefault="00A84955" w:rsidP="001B34DD">
            <w:pPr>
              <w:pStyle w:val="Tabletext"/>
              <w:rPr>
                <w:b/>
                <w:snapToGrid w:val="0"/>
                <w:u w:val="single"/>
                <w:lang w:val="pt-PT"/>
              </w:rPr>
            </w:pPr>
            <w:r w:rsidRPr="003A3BDC">
              <w:rPr>
                <w:b/>
                <w:snapToGrid w:val="0"/>
                <w:u w:val="single"/>
                <w:lang w:val="pt-PT"/>
              </w:rPr>
              <w:t>No Ig-RT</w:t>
            </w:r>
          </w:p>
          <w:p w14:paraId="463BCADD" w14:textId="77777777" w:rsidR="00A84955" w:rsidRPr="003A3BDC" w:rsidRDefault="00A84955" w:rsidP="001B34DD">
            <w:pPr>
              <w:pStyle w:val="Tabletext"/>
              <w:rPr>
                <w:b/>
                <w:snapToGrid w:val="0"/>
                <w:lang w:val="pt-PT"/>
              </w:rPr>
            </w:pPr>
            <w:r w:rsidRPr="003A3BDC">
              <w:rPr>
                <w:b/>
                <w:snapToGrid w:val="0"/>
                <w:lang w:val="pt-PT"/>
              </w:rPr>
              <w:t>n with event/N (%)</w:t>
            </w:r>
          </w:p>
        </w:tc>
        <w:tc>
          <w:tcPr>
            <w:tcW w:w="638" w:type="pct"/>
            <w:vAlign w:val="center"/>
          </w:tcPr>
          <w:p w14:paraId="7EE25BC5" w14:textId="77777777" w:rsidR="00A84955" w:rsidRPr="003A3BDC" w:rsidRDefault="00A84955" w:rsidP="001B34DD">
            <w:pPr>
              <w:pStyle w:val="Tabletext"/>
              <w:rPr>
                <w:b/>
                <w:snapToGrid w:val="0"/>
                <w:lang w:val="it-IT"/>
              </w:rPr>
            </w:pPr>
            <w:r w:rsidRPr="003A3BDC">
              <w:rPr>
                <w:b/>
                <w:snapToGrid w:val="0"/>
              </w:rPr>
              <w:t>Absolute difference (RD 95% CI)</w:t>
            </w:r>
          </w:p>
        </w:tc>
        <w:tc>
          <w:tcPr>
            <w:tcW w:w="711" w:type="pct"/>
            <w:vAlign w:val="center"/>
          </w:tcPr>
          <w:p w14:paraId="4CE78C74" w14:textId="77777777" w:rsidR="00A84955" w:rsidRPr="003A3BDC" w:rsidRDefault="00A84955" w:rsidP="001B34DD">
            <w:pPr>
              <w:pStyle w:val="Tabletext"/>
              <w:rPr>
                <w:b/>
                <w:snapToGrid w:val="0"/>
                <w:lang w:val="it-IT"/>
              </w:rPr>
            </w:pPr>
            <w:r w:rsidRPr="003A3BDC">
              <w:rPr>
                <w:b/>
                <w:snapToGrid w:val="0"/>
                <w:lang w:val="it-IT"/>
              </w:rPr>
              <w:t>Relative difference</w:t>
            </w:r>
          </w:p>
          <w:p w14:paraId="6A040997" w14:textId="77777777" w:rsidR="00A84955" w:rsidRPr="003A3BDC" w:rsidRDefault="00A84955" w:rsidP="001B34DD">
            <w:pPr>
              <w:pStyle w:val="Tabletext"/>
              <w:rPr>
                <w:b/>
                <w:snapToGrid w:val="0"/>
                <w:lang w:val="it-IT"/>
              </w:rPr>
            </w:pPr>
            <w:r w:rsidRPr="003A3BDC">
              <w:rPr>
                <w:b/>
                <w:snapToGrid w:val="0"/>
                <w:lang w:val="it-IT"/>
              </w:rPr>
              <w:t>OR/RR (95%CI)</w:t>
            </w:r>
          </w:p>
        </w:tc>
        <w:tc>
          <w:tcPr>
            <w:tcW w:w="416" w:type="pct"/>
            <w:vAlign w:val="center"/>
          </w:tcPr>
          <w:p w14:paraId="37F0E2B0" w14:textId="77777777" w:rsidR="00A84955" w:rsidRPr="003A3BDC" w:rsidRDefault="00A84955" w:rsidP="001B34DD">
            <w:pPr>
              <w:pStyle w:val="Tabletext"/>
              <w:rPr>
                <w:b/>
                <w:snapToGrid w:val="0"/>
                <w:lang w:val="it-IT"/>
              </w:rPr>
            </w:pPr>
            <w:r w:rsidRPr="003A3BDC">
              <w:rPr>
                <w:b/>
                <w:snapToGrid w:val="0"/>
                <w:lang w:val="it-IT"/>
              </w:rPr>
              <w:t>Follow up</w:t>
            </w:r>
          </w:p>
        </w:tc>
        <w:tc>
          <w:tcPr>
            <w:tcW w:w="420" w:type="pct"/>
            <w:vAlign w:val="center"/>
          </w:tcPr>
          <w:p w14:paraId="2F3544F1" w14:textId="77777777" w:rsidR="00A84955" w:rsidRPr="003A3BDC" w:rsidRDefault="00A84955" w:rsidP="001B34DD">
            <w:pPr>
              <w:pStyle w:val="Tabletext"/>
              <w:rPr>
                <w:b/>
                <w:snapToGrid w:val="0"/>
                <w:lang w:val="it-IT"/>
              </w:rPr>
            </w:pPr>
            <w:r w:rsidRPr="003A3BDC">
              <w:rPr>
                <w:b/>
                <w:snapToGrid w:val="0"/>
                <w:lang w:val="it-IT"/>
              </w:rPr>
              <w:t>Quality of evidence (GRADE)</w:t>
            </w:r>
          </w:p>
        </w:tc>
      </w:tr>
      <w:tr w:rsidR="00A84955" w:rsidRPr="00C14A8C" w14:paraId="3FAA4E57" w14:textId="77777777" w:rsidTr="001B34DD">
        <w:tc>
          <w:tcPr>
            <w:tcW w:w="5000" w:type="pct"/>
            <w:gridSpan w:val="9"/>
            <w:vAlign w:val="center"/>
          </w:tcPr>
          <w:p w14:paraId="5F9058C4" w14:textId="77777777" w:rsidR="00A84955" w:rsidRDefault="00A84955" w:rsidP="001B34DD">
            <w:pPr>
              <w:pStyle w:val="Tabletext"/>
              <w:rPr>
                <w:b/>
                <w:bCs/>
              </w:rPr>
            </w:pPr>
            <w:r>
              <w:rPr>
                <w:b/>
                <w:bCs/>
              </w:rPr>
              <w:t>Any infections</w:t>
            </w:r>
          </w:p>
        </w:tc>
      </w:tr>
      <w:tr w:rsidR="00A84955" w:rsidRPr="005E03AC" w14:paraId="60F3CABF" w14:textId="77777777" w:rsidTr="001B34DD">
        <w:tc>
          <w:tcPr>
            <w:tcW w:w="499" w:type="pct"/>
            <w:vAlign w:val="center"/>
          </w:tcPr>
          <w:p w14:paraId="038C321B" w14:textId="77777777" w:rsidR="00A84955" w:rsidRPr="005E03AC" w:rsidRDefault="00A84955" w:rsidP="001B34DD">
            <w:pPr>
              <w:pStyle w:val="Tabletext"/>
              <w:rPr>
                <w:snapToGrid w:val="0"/>
              </w:rPr>
            </w:pPr>
            <w:r>
              <w:t>Lederer 2014</w:t>
            </w:r>
          </w:p>
        </w:tc>
        <w:tc>
          <w:tcPr>
            <w:tcW w:w="555" w:type="pct"/>
            <w:vAlign w:val="center"/>
          </w:tcPr>
          <w:p w14:paraId="346AE8C3" w14:textId="77777777" w:rsidR="00A84955" w:rsidRDefault="00A84955" w:rsidP="001B34DD">
            <w:pPr>
              <w:pStyle w:val="Tabletext"/>
              <w:rPr>
                <w:snapToGrid w:val="0"/>
              </w:rPr>
            </w:pPr>
            <w:r>
              <w:t>Lung transplant</w:t>
            </w:r>
          </w:p>
        </w:tc>
        <w:tc>
          <w:tcPr>
            <w:tcW w:w="374" w:type="pct"/>
            <w:vAlign w:val="center"/>
          </w:tcPr>
          <w:p w14:paraId="0470481A" w14:textId="77777777" w:rsidR="00A84955" w:rsidRPr="005E03AC" w:rsidRDefault="00A84955" w:rsidP="001B34DD">
            <w:pPr>
              <w:pStyle w:val="Tabletext"/>
              <w:rPr>
                <w:snapToGrid w:val="0"/>
              </w:rPr>
            </w:pPr>
            <w:r>
              <w:rPr>
                <w:snapToGrid w:val="0"/>
              </w:rPr>
              <w:t>Moderate</w:t>
            </w:r>
          </w:p>
        </w:tc>
        <w:tc>
          <w:tcPr>
            <w:tcW w:w="732" w:type="pct"/>
            <w:vAlign w:val="center"/>
          </w:tcPr>
          <w:p w14:paraId="628AB6F4" w14:textId="77777777" w:rsidR="00A84955" w:rsidRPr="005E03AC" w:rsidRDefault="00A84955" w:rsidP="001B34DD">
            <w:pPr>
              <w:pStyle w:val="Tabletext"/>
              <w:rPr>
                <w:snapToGrid w:val="0"/>
              </w:rPr>
            </w:pPr>
            <w:r>
              <w:rPr>
                <w:snapToGrid w:val="0"/>
              </w:rPr>
              <w:t>7/11 (63.6)</w:t>
            </w:r>
          </w:p>
        </w:tc>
        <w:tc>
          <w:tcPr>
            <w:tcW w:w="655" w:type="pct"/>
            <w:vAlign w:val="center"/>
          </w:tcPr>
          <w:p w14:paraId="7E99A09A" w14:textId="77777777" w:rsidR="00A84955" w:rsidRPr="005E03AC" w:rsidRDefault="00A84955" w:rsidP="001B34DD">
            <w:pPr>
              <w:pStyle w:val="Tabletext"/>
              <w:rPr>
                <w:snapToGrid w:val="0"/>
              </w:rPr>
            </w:pPr>
            <w:r>
              <w:rPr>
                <w:snapToGrid w:val="0"/>
              </w:rPr>
              <w:t>3/11 (27.3)</w:t>
            </w:r>
          </w:p>
        </w:tc>
        <w:tc>
          <w:tcPr>
            <w:tcW w:w="638" w:type="pct"/>
            <w:vAlign w:val="center"/>
          </w:tcPr>
          <w:p w14:paraId="66B33EB6" w14:textId="77777777" w:rsidR="00A84955" w:rsidRPr="00A336E3" w:rsidRDefault="00A84955" w:rsidP="001B34DD">
            <w:pPr>
              <w:pStyle w:val="Tabletext"/>
              <w:rPr>
                <w:snapToGrid w:val="0"/>
              </w:rPr>
            </w:pPr>
            <w:r w:rsidRPr="00A336E3">
              <w:rPr>
                <w:snapToGrid w:val="0"/>
              </w:rPr>
              <w:t>0.36 (-0.02, 0.75)</w:t>
            </w:r>
          </w:p>
        </w:tc>
        <w:tc>
          <w:tcPr>
            <w:tcW w:w="711" w:type="pct"/>
            <w:vAlign w:val="center"/>
          </w:tcPr>
          <w:p w14:paraId="0579B53F" w14:textId="77777777" w:rsidR="00A84955" w:rsidRPr="005E03AC" w:rsidRDefault="00A84955" w:rsidP="001B34DD">
            <w:pPr>
              <w:pStyle w:val="Tabletext"/>
              <w:rPr>
                <w:snapToGrid w:val="0"/>
              </w:rPr>
            </w:pPr>
            <w:r>
              <w:rPr>
                <w:snapToGrid w:val="0"/>
              </w:rPr>
              <w:t>OR 2.7 (0.95, 7.6)</w:t>
            </w:r>
          </w:p>
        </w:tc>
        <w:tc>
          <w:tcPr>
            <w:tcW w:w="416" w:type="pct"/>
            <w:vAlign w:val="center"/>
          </w:tcPr>
          <w:p w14:paraId="292ADF4C" w14:textId="77777777" w:rsidR="00A84955" w:rsidRDefault="00A84955" w:rsidP="001B34DD">
            <w:pPr>
              <w:pStyle w:val="Tabletext"/>
              <w:rPr>
                <w:snapToGrid w:val="0"/>
              </w:rPr>
            </w:pPr>
            <w:r>
              <w:rPr>
                <w:snapToGrid w:val="0"/>
              </w:rPr>
              <w:t>12w (2.7m)</w:t>
            </w:r>
          </w:p>
        </w:tc>
        <w:tc>
          <w:tcPr>
            <w:tcW w:w="420" w:type="pct"/>
            <w:vMerge w:val="restart"/>
            <w:vAlign w:val="center"/>
          </w:tcPr>
          <w:p w14:paraId="6CC51CEE" w14:textId="77777777" w:rsidR="00A84955" w:rsidRDefault="00A84955" w:rsidP="001B34DD">
            <w:pPr>
              <w:pStyle w:val="Tabletext"/>
              <w:rPr>
                <w:snapToGrid w:val="0"/>
              </w:rPr>
            </w:pPr>
            <w:r>
              <w:rPr>
                <w:rFonts w:ascii="Cambria Math" w:hAnsi="Cambria Math"/>
                <w:color w:val="00B050"/>
              </w:rPr>
              <w:t>⨁</w:t>
            </w:r>
            <w:r w:rsidRPr="00D4733A">
              <w:rPr>
                <w:rFonts w:ascii="Cambria Math" w:hAnsi="Cambria Math" w:cs="Cambria Math"/>
                <w:color w:val="C00000"/>
              </w:rPr>
              <w:t>⨀⨀⨀</w:t>
            </w:r>
          </w:p>
        </w:tc>
      </w:tr>
      <w:tr w:rsidR="00A84955" w:rsidRPr="005E03AC" w14:paraId="7B9B0F9C" w14:textId="77777777" w:rsidTr="001B34DD">
        <w:tc>
          <w:tcPr>
            <w:tcW w:w="499" w:type="pct"/>
            <w:vAlign w:val="center"/>
          </w:tcPr>
          <w:p w14:paraId="03B5FDFF" w14:textId="77777777" w:rsidR="00A84955" w:rsidRPr="005E03AC" w:rsidRDefault="00A84955" w:rsidP="001B34DD">
            <w:pPr>
              <w:pStyle w:val="Tabletext"/>
              <w:rPr>
                <w:snapToGrid w:val="0"/>
              </w:rPr>
            </w:pPr>
            <w:r>
              <w:t>Lichvar 2018</w:t>
            </w:r>
            <w:r w:rsidRPr="00C17143">
              <w:rPr>
                <w:vertAlign w:val="superscript"/>
              </w:rPr>
              <w:t xml:space="preserve"> </w:t>
            </w:r>
          </w:p>
        </w:tc>
        <w:tc>
          <w:tcPr>
            <w:tcW w:w="555" w:type="pct"/>
            <w:vAlign w:val="center"/>
          </w:tcPr>
          <w:p w14:paraId="77DDD5BB" w14:textId="77777777" w:rsidR="00A84955" w:rsidRDefault="00A84955" w:rsidP="001B34DD">
            <w:pPr>
              <w:pStyle w:val="Tabletext"/>
              <w:rPr>
                <w:snapToGrid w:val="0"/>
              </w:rPr>
            </w:pPr>
            <w:r>
              <w:t>Lung transplant</w:t>
            </w:r>
          </w:p>
        </w:tc>
        <w:tc>
          <w:tcPr>
            <w:tcW w:w="374" w:type="pct"/>
            <w:vAlign w:val="center"/>
          </w:tcPr>
          <w:p w14:paraId="145D6CAF" w14:textId="77777777" w:rsidR="00A84955" w:rsidRPr="005E03AC" w:rsidRDefault="00A84955" w:rsidP="001B34DD">
            <w:pPr>
              <w:pStyle w:val="Tabletext"/>
              <w:rPr>
                <w:snapToGrid w:val="0"/>
              </w:rPr>
            </w:pPr>
            <w:r>
              <w:rPr>
                <w:snapToGrid w:val="0"/>
              </w:rPr>
              <w:t>Serious</w:t>
            </w:r>
          </w:p>
        </w:tc>
        <w:tc>
          <w:tcPr>
            <w:tcW w:w="732" w:type="pct"/>
            <w:vAlign w:val="center"/>
          </w:tcPr>
          <w:p w14:paraId="5F1F31E4" w14:textId="77777777" w:rsidR="00A84955" w:rsidRPr="005E03AC" w:rsidRDefault="00A84955" w:rsidP="001B34DD">
            <w:pPr>
              <w:pStyle w:val="Tabletext"/>
              <w:rPr>
                <w:snapToGrid w:val="0"/>
              </w:rPr>
            </w:pPr>
            <w:r>
              <w:rPr>
                <w:snapToGrid w:val="0"/>
              </w:rPr>
              <w:t>139/216 (64.3)</w:t>
            </w:r>
          </w:p>
        </w:tc>
        <w:tc>
          <w:tcPr>
            <w:tcW w:w="655" w:type="pct"/>
            <w:vAlign w:val="center"/>
          </w:tcPr>
          <w:p w14:paraId="4AC9DA22" w14:textId="77777777" w:rsidR="00A84955" w:rsidRPr="005E03AC" w:rsidRDefault="00A84955" w:rsidP="001B34DD">
            <w:pPr>
              <w:pStyle w:val="Tabletext"/>
              <w:rPr>
                <w:snapToGrid w:val="0"/>
              </w:rPr>
            </w:pPr>
            <w:r>
              <w:rPr>
                <w:snapToGrid w:val="0"/>
              </w:rPr>
              <w:t>139/192 (72.4)</w:t>
            </w:r>
          </w:p>
        </w:tc>
        <w:tc>
          <w:tcPr>
            <w:tcW w:w="638" w:type="pct"/>
            <w:vAlign w:val="center"/>
          </w:tcPr>
          <w:p w14:paraId="3CC2302E" w14:textId="77777777" w:rsidR="00A84955" w:rsidRPr="00D6110B" w:rsidRDefault="00A84955" w:rsidP="001B34DD">
            <w:pPr>
              <w:pStyle w:val="Tabletext"/>
              <w:rPr>
                <w:snapToGrid w:val="0"/>
              </w:rPr>
            </w:pPr>
            <w:r>
              <w:rPr>
                <w:snapToGrid w:val="0"/>
              </w:rPr>
              <w:t xml:space="preserve"> </w:t>
            </w:r>
            <w:r w:rsidRPr="00A336E3">
              <w:rPr>
                <w:snapToGrid w:val="0"/>
              </w:rPr>
              <w:t xml:space="preserve">-0.08 </w:t>
            </w:r>
            <w:r>
              <w:rPr>
                <w:snapToGrid w:val="0"/>
              </w:rPr>
              <w:t>(</w:t>
            </w:r>
            <w:r w:rsidRPr="00A336E3">
              <w:rPr>
                <w:snapToGrid w:val="0"/>
              </w:rPr>
              <w:t>-0.17, 0.01</w:t>
            </w:r>
            <w:r>
              <w:rPr>
                <w:snapToGrid w:val="0"/>
              </w:rPr>
              <w:t>)</w:t>
            </w:r>
          </w:p>
        </w:tc>
        <w:tc>
          <w:tcPr>
            <w:tcW w:w="711" w:type="pct"/>
            <w:vAlign w:val="center"/>
          </w:tcPr>
          <w:p w14:paraId="00BF28C9" w14:textId="77777777" w:rsidR="00A84955" w:rsidRPr="00D6110B" w:rsidRDefault="00A84955" w:rsidP="001B34DD">
            <w:pPr>
              <w:pStyle w:val="Tabletext"/>
              <w:rPr>
                <w:snapToGrid w:val="0"/>
              </w:rPr>
            </w:pPr>
            <w:r w:rsidRPr="00D6110B">
              <w:rPr>
                <w:snapToGrid w:val="0"/>
              </w:rPr>
              <w:t>OR 0.69 (0.45, 1.05)</w:t>
            </w:r>
          </w:p>
          <w:p w14:paraId="408C52DA" w14:textId="77777777" w:rsidR="00A84955" w:rsidRPr="00B50D97" w:rsidRDefault="00A84955" w:rsidP="001B34DD">
            <w:pPr>
              <w:pStyle w:val="Tabletext"/>
              <w:rPr>
                <w:snapToGrid w:val="0"/>
              </w:rPr>
            </w:pPr>
            <w:r w:rsidRPr="00D6110B">
              <w:rPr>
                <w:snapToGrid w:val="0"/>
              </w:rPr>
              <w:t>RR 0.</w:t>
            </w:r>
            <w:r w:rsidRPr="00B50D97">
              <w:rPr>
                <w:snapToGrid w:val="0"/>
              </w:rPr>
              <w:t xml:space="preserve">89 </w:t>
            </w:r>
            <w:r>
              <w:rPr>
                <w:snapToGrid w:val="0"/>
              </w:rPr>
              <w:t>(</w:t>
            </w:r>
            <w:r w:rsidRPr="00B50D97">
              <w:rPr>
                <w:snapToGrid w:val="0"/>
              </w:rPr>
              <w:t>0.78, 1.01</w:t>
            </w:r>
            <w:r>
              <w:rPr>
                <w:snapToGrid w:val="0"/>
              </w:rPr>
              <w:t>)</w:t>
            </w:r>
          </w:p>
        </w:tc>
        <w:tc>
          <w:tcPr>
            <w:tcW w:w="416" w:type="pct"/>
            <w:vAlign w:val="center"/>
          </w:tcPr>
          <w:p w14:paraId="62535900" w14:textId="77777777" w:rsidR="00A84955" w:rsidRPr="001322D7" w:rsidRDefault="00A84955" w:rsidP="001B34DD">
            <w:pPr>
              <w:pStyle w:val="Tabletext"/>
              <w:rPr>
                <w:snapToGrid w:val="0"/>
              </w:rPr>
            </w:pPr>
            <w:r>
              <w:rPr>
                <w:snapToGrid w:val="0"/>
              </w:rPr>
              <w:t>5y</w:t>
            </w:r>
          </w:p>
        </w:tc>
        <w:tc>
          <w:tcPr>
            <w:tcW w:w="420" w:type="pct"/>
            <w:vMerge/>
            <w:vAlign w:val="center"/>
          </w:tcPr>
          <w:p w14:paraId="328A3835" w14:textId="77777777" w:rsidR="00A84955" w:rsidRDefault="00A84955" w:rsidP="001B34DD">
            <w:pPr>
              <w:pStyle w:val="Tabletext"/>
              <w:rPr>
                <w:snapToGrid w:val="0"/>
              </w:rPr>
            </w:pPr>
          </w:p>
        </w:tc>
      </w:tr>
      <w:tr w:rsidR="00A84955" w:rsidRPr="00C14A8C" w14:paraId="12F0474C" w14:textId="77777777" w:rsidTr="001B34DD">
        <w:tc>
          <w:tcPr>
            <w:tcW w:w="5000" w:type="pct"/>
            <w:gridSpan w:val="9"/>
            <w:vAlign w:val="center"/>
          </w:tcPr>
          <w:p w14:paraId="06B2C305" w14:textId="77777777" w:rsidR="00A84955" w:rsidRPr="00C14A8C" w:rsidRDefault="00A84955" w:rsidP="001B34DD">
            <w:pPr>
              <w:pStyle w:val="Tabletext"/>
              <w:rPr>
                <w:b/>
                <w:bCs/>
                <w:snapToGrid w:val="0"/>
              </w:rPr>
            </w:pPr>
            <w:r w:rsidRPr="00C14A8C">
              <w:rPr>
                <w:b/>
                <w:bCs/>
                <w:snapToGrid w:val="0"/>
              </w:rPr>
              <w:t>Severe infections</w:t>
            </w:r>
            <w:r w:rsidRPr="00C17143">
              <w:rPr>
                <w:b/>
                <w:bCs/>
                <w:snapToGrid w:val="0"/>
                <w:vertAlign w:val="superscript"/>
              </w:rPr>
              <w:t>c</w:t>
            </w:r>
          </w:p>
        </w:tc>
      </w:tr>
      <w:tr w:rsidR="00A84955" w:rsidRPr="005E03AC" w14:paraId="513BEC39" w14:textId="77777777" w:rsidTr="001B34DD">
        <w:tc>
          <w:tcPr>
            <w:tcW w:w="499" w:type="pct"/>
            <w:vAlign w:val="center"/>
          </w:tcPr>
          <w:p w14:paraId="26EBF618" w14:textId="77777777" w:rsidR="00A84955" w:rsidRPr="005E03AC" w:rsidRDefault="00A84955" w:rsidP="001B34DD">
            <w:pPr>
              <w:pStyle w:val="Tabletext"/>
              <w:rPr>
                <w:snapToGrid w:val="0"/>
              </w:rPr>
            </w:pPr>
            <w:r w:rsidRPr="00ED3FEC">
              <w:rPr>
                <w:snapToGrid w:val="0"/>
              </w:rPr>
              <w:t>Sarmiento 2016</w:t>
            </w:r>
          </w:p>
        </w:tc>
        <w:tc>
          <w:tcPr>
            <w:tcW w:w="555" w:type="pct"/>
            <w:vAlign w:val="center"/>
          </w:tcPr>
          <w:p w14:paraId="454CB522" w14:textId="77777777" w:rsidR="00A84955" w:rsidRDefault="00A84955" w:rsidP="001B34DD">
            <w:pPr>
              <w:pStyle w:val="Tabletext"/>
              <w:rPr>
                <w:snapToGrid w:val="0"/>
              </w:rPr>
            </w:pPr>
            <w:r>
              <w:rPr>
                <w:snapToGrid w:val="0"/>
              </w:rPr>
              <w:t>Heart transplant</w:t>
            </w:r>
          </w:p>
        </w:tc>
        <w:tc>
          <w:tcPr>
            <w:tcW w:w="374" w:type="pct"/>
            <w:vAlign w:val="center"/>
          </w:tcPr>
          <w:p w14:paraId="2ACDBEF5" w14:textId="77777777" w:rsidR="00A84955" w:rsidRPr="005E03AC" w:rsidRDefault="00A84955" w:rsidP="001B34DD">
            <w:pPr>
              <w:pStyle w:val="Tabletext"/>
              <w:rPr>
                <w:snapToGrid w:val="0"/>
              </w:rPr>
            </w:pPr>
            <w:r>
              <w:rPr>
                <w:snapToGrid w:val="0"/>
              </w:rPr>
              <w:t>Serious</w:t>
            </w:r>
          </w:p>
        </w:tc>
        <w:tc>
          <w:tcPr>
            <w:tcW w:w="732" w:type="pct"/>
            <w:vAlign w:val="center"/>
          </w:tcPr>
          <w:p w14:paraId="32237C2B" w14:textId="77777777" w:rsidR="00A84955" w:rsidRPr="005E03AC" w:rsidRDefault="00A84955" w:rsidP="001B34DD">
            <w:pPr>
              <w:pStyle w:val="Tabletext"/>
              <w:rPr>
                <w:snapToGrid w:val="0"/>
              </w:rPr>
            </w:pPr>
            <w:r>
              <w:rPr>
                <w:snapToGrid w:val="0"/>
              </w:rPr>
              <w:t>3/12 (25.0)</w:t>
            </w:r>
          </w:p>
        </w:tc>
        <w:tc>
          <w:tcPr>
            <w:tcW w:w="655" w:type="pct"/>
            <w:vAlign w:val="center"/>
          </w:tcPr>
          <w:p w14:paraId="165F5C2F" w14:textId="77777777" w:rsidR="00A84955" w:rsidRPr="005E03AC" w:rsidRDefault="00A84955" w:rsidP="001B34DD">
            <w:pPr>
              <w:pStyle w:val="Tabletext"/>
              <w:rPr>
                <w:snapToGrid w:val="0"/>
              </w:rPr>
            </w:pPr>
            <w:r>
              <w:rPr>
                <w:snapToGrid w:val="0"/>
              </w:rPr>
              <w:t>10/13 (76.9)</w:t>
            </w:r>
          </w:p>
        </w:tc>
        <w:tc>
          <w:tcPr>
            <w:tcW w:w="638" w:type="pct"/>
            <w:vAlign w:val="center"/>
          </w:tcPr>
          <w:p w14:paraId="63603364" w14:textId="77777777" w:rsidR="00A84955" w:rsidRPr="00A336E3" w:rsidRDefault="00A84955" w:rsidP="001B34DD">
            <w:pPr>
              <w:pStyle w:val="Tabletext"/>
              <w:rPr>
                <w:b/>
                <w:bCs/>
                <w:snapToGrid w:val="0"/>
              </w:rPr>
            </w:pPr>
            <w:r w:rsidRPr="00A336E3">
              <w:rPr>
                <w:b/>
                <w:bCs/>
                <w:snapToGrid w:val="0"/>
              </w:rPr>
              <w:t>-0.52 (-0.85, -0.18)</w:t>
            </w:r>
          </w:p>
        </w:tc>
        <w:tc>
          <w:tcPr>
            <w:tcW w:w="711" w:type="pct"/>
            <w:vAlign w:val="center"/>
          </w:tcPr>
          <w:p w14:paraId="7CA065A1" w14:textId="77777777" w:rsidR="00A84955" w:rsidRPr="00D6110B" w:rsidRDefault="00A84955" w:rsidP="001B34DD">
            <w:pPr>
              <w:pStyle w:val="Tabletext"/>
              <w:rPr>
                <w:b/>
                <w:bCs/>
                <w:snapToGrid w:val="0"/>
              </w:rPr>
            </w:pPr>
            <w:r w:rsidRPr="00D6110B">
              <w:rPr>
                <w:b/>
                <w:bCs/>
                <w:snapToGrid w:val="0"/>
              </w:rPr>
              <w:t xml:space="preserve">RR 0.33 (0.12, </w:t>
            </w:r>
            <w:r w:rsidRPr="004C6634">
              <w:rPr>
                <w:b/>
                <w:bCs/>
                <w:snapToGrid w:val="0"/>
                <w:shd w:val="clear" w:color="auto" w:fill="FFFFFF" w:themeFill="background1"/>
              </w:rPr>
              <w:t>0.91)</w:t>
            </w:r>
          </w:p>
        </w:tc>
        <w:tc>
          <w:tcPr>
            <w:tcW w:w="416" w:type="pct"/>
            <w:vAlign w:val="center"/>
          </w:tcPr>
          <w:p w14:paraId="3067DDAE" w14:textId="77777777" w:rsidR="00A84955" w:rsidRPr="001322D7" w:rsidRDefault="00A84955" w:rsidP="001B34DD">
            <w:pPr>
              <w:pStyle w:val="Tabletext"/>
              <w:rPr>
                <w:bCs/>
                <w:snapToGrid w:val="0"/>
              </w:rPr>
            </w:pPr>
            <w:r w:rsidRPr="001322D7">
              <w:rPr>
                <w:bCs/>
                <w:snapToGrid w:val="0"/>
              </w:rPr>
              <w:t>6</w:t>
            </w:r>
            <w:r>
              <w:rPr>
                <w:bCs/>
                <w:snapToGrid w:val="0"/>
              </w:rPr>
              <w:t>m</w:t>
            </w:r>
          </w:p>
        </w:tc>
        <w:tc>
          <w:tcPr>
            <w:tcW w:w="420" w:type="pct"/>
            <w:vAlign w:val="center"/>
          </w:tcPr>
          <w:p w14:paraId="1BB0305C" w14:textId="77777777" w:rsidR="00A84955" w:rsidRPr="001322D7" w:rsidRDefault="00A84955" w:rsidP="001B34DD">
            <w:pPr>
              <w:pStyle w:val="Tabletext"/>
              <w:rPr>
                <w:bCs/>
                <w:snapToGrid w:val="0"/>
              </w:rPr>
            </w:pPr>
            <w:r>
              <w:rPr>
                <w:rFonts w:ascii="Cambria Math" w:hAnsi="Cambria Math"/>
                <w:color w:val="00B050"/>
              </w:rPr>
              <w:t>⨁</w:t>
            </w:r>
            <w:r w:rsidRPr="00D4733A">
              <w:rPr>
                <w:rFonts w:ascii="Cambria Math" w:hAnsi="Cambria Math" w:cs="Cambria Math"/>
                <w:color w:val="C00000"/>
              </w:rPr>
              <w:t>⨀⨀⨀</w:t>
            </w:r>
          </w:p>
        </w:tc>
      </w:tr>
      <w:tr w:rsidR="00A84955" w:rsidRPr="005E03AC" w14:paraId="38E7A272" w14:textId="77777777" w:rsidTr="001B34DD">
        <w:tc>
          <w:tcPr>
            <w:tcW w:w="5000" w:type="pct"/>
            <w:gridSpan w:val="9"/>
            <w:vAlign w:val="center"/>
          </w:tcPr>
          <w:p w14:paraId="02E22665" w14:textId="77777777" w:rsidR="00A84955" w:rsidRPr="00A952AC" w:rsidRDefault="00A84955" w:rsidP="001B34DD">
            <w:pPr>
              <w:pStyle w:val="Tabletext"/>
              <w:rPr>
                <w:b/>
                <w:snapToGrid w:val="0"/>
              </w:rPr>
            </w:pPr>
            <w:r w:rsidRPr="00A952AC">
              <w:rPr>
                <w:b/>
                <w:snapToGrid w:val="0"/>
              </w:rPr>
              <w:t>CMV disease</w:t>
            </w:r>
          </w:p>
        </w:tc>
      </w:tr>
      <w:tr w:rsidR="00A84955" w:rsidRPr="005E03AC" w14:paraId="4533492C" w14:textId="77777777" w:rsidTr="001B34DD">
        <w:tc>
          <w:tcPr>
            <w:tcW w:w="499" w:type="pct"/>
            <w:vAlign w:val="center"/>
          </w:tcPr>
          <w:p w14:paraId="294FBA45" w14:textId="77777777" w:rsidR="00A84955" w:rsidRPr="00ED3FEC" w:rsidRDefault="00A84955" w:rsidP="001B34DD">
            <w:pPr>
              <w:pStyle w:val="Tabletext"/>
              <w:rPr>
                <w:snapToGrid w:val="0"/>
              </w:rPr>
            </w:pPr>
            <w:r>
              <w:rPr>
                <w:snapToGrid w:val="0"/>
              </w:rPr>
              <w:t>Sarmiento 2016</w:t>
            </w:r>
          </w:p>
        </w:tc>
        <w:tc>
          <w:tcPr>
            <w:tcW w:w="555" w:type="pct"/>
            <w:vAlign w:val="center"/>
          </w:tcPr>
          <w:p w14:paraId="72A9C527" w14:textId="77777777" w:rsidR="00A84955" w:rsidRDefault="00A84955" w:rsidP="001B34DD">
            <w:pPr>
              <w:pStyle w:val="Tabletext"/>
              <w:rPr>
                <w:snapToGrid w:val="0"/>
              </w:rPr>
            </w:pPr>
            <w:r>
              <w:rPr>
                <w:snapToGrid w:val="0"/>
              </w:rPr>
              <w:t>Heart transplant</w:t>
            </w:r>
          </w:p>
        </w:tc>
        <w:tc>
          <w:tcPr>
            <w:tcW w:w="374" w:type="pct"/>
            <w:vAlign w:val="center"/>
          </w:tcPr>
          <w:p w14:paraId="75FD4C12" w14:textId="77777777" w:rsidR="00A84955" w:rsidRDefault="00A84955" w:rsidP="001B34DD">
            <w:pPr>
              <w:pStyle w:val="Tabletext"/>
              <w:rPr>
                <w:snapToGrid w:val="0"/>
              </w:rPr>
            </w:pPr>
            <w:r>
              <w:rPr>
                <w:snapToGrid w:val="0"/>
              </w:rPr>
              <w:t>Serious</w:t>
            </w:r>
          </w:p>
        </w:tc>
        <w:tc>
          <w:tcPr>
            <w:tcW w:w="732" w:type="pct"/>
            <w:vAlign w:val="center"/>
          </w:tcPr>
          <w:p w14:paraId="115C45C1" w14:textId="77777777" w:rsidR="00A84955" w:rsidRDefault="00A84955" w:rsidP="001B34DD">
            <w:pPr>
              <w:pStyle w:val="Tabletext"/>
              <w:rPr>
                <w:snapToGrid w:val="0"/>
              </w:rPr>
            </w:pPr>
            <w:r>
              <w:rPr>
                <w:snapToGrid w:val="0"/>
              </w:rPr>
              <w:t>0/12 (0)</w:t>
            </w:r>
          </w:p>
        </w:tc>
        <w:tc>
          <w:tcPr>
            <w:tcW w:w="655" w:type="pct"/>
            <w:vAlign w:val="center"/>
          </w:tcPr>
          <w:p w14:paraId="1BECB04B" w14:textId="77777777" w:rsidR="00A84955" w:rsidRDefault="00A84955" w:rsidP="001B34DD">
            <w:pPr>
              <w:pStyle w:val="Tabletext"/>
              <w:rPr>
                <w:snapToGrid w:val="0"/>
              </w:rPr>
            </w:pPr>
            <w:r>
              <w:rPr>
                <w:snapToGrid w:val="0"/>
              </w:rPr>
              <w:t>5/13 (38.5)</w:t>
            </w:r>
          </w:p>
        </w:tc>
        <w:tc>
          <w:tcPr>
            <w:tcW w:w="638" w:type="pct"/>
            <w:vAlign w:val="center"/>
          </w:tcPr>
          <w:p w14:paraId="6233E30B" w14:textId="77777777" w:rsidR="00A84955" w:rsidRPr="007E3CD2" w:rsidRDefault="00A84955" w:rsidP="001B34DD">
            <w:pPr>
              <w:pStyle w:val="Tabletext"/>
              <w:rPr>
                <w:b/>
                <w:bCs/>
                <w:snapToGrid w:val="0"/>
              </w:rPr>
            </w:pPr>
            <w:r w:rsidRPr="007E3CD2">
              <w:rPr>
                <w:b/>
                <w:bCs/>
                <w:snapToGrid w:val="0"/>
              </w:rPr>
              <w:t xml:space="preserve"> -0.38 (-0.66, -0.11)</w:t>
            </w:r>
          </w:p>
        </w:tc>
        <w:tc>
          <w:tcPr>
            <w:tcW w:w="711" w:type="pct"/>
            <w:vAlign w:val="center"/>
          </w:tcPr>
          <w:p w14:paraId="7B9A06DE" w14:textId="77777777" w:rsidR="00A84955" w:rsidRPr="004E7F0A" w:rsidRDefault="00A84955" w:rsidP="001B34DD">
            <w:pPr>
              <w:pStyle w:val="Tabletext"/>
              <w:rPr>
                <w:snapToGrid w:val="0"/>
              </w:rPr>
            </w:pPr>
            <w:r w:rsidRPr="004E7F0A">
              <w:rPr>
                <w:snapToGrid w:val="0"/>
              </w:rPr>
              <w:t>RR 0.10 (0.01, 1.60)</w:t>
            </w:r>
          </w:p>
        </w:tc>
        <w:tc>
          <w:tcPr>
            <w:tcW w:w="416" w:type="pct"/>
            <w:vAlign w:val="center"/>
          </w:tcPr>
          <w:p w14:paraId="5F0665BD" w14:textId="77777777" w:rsidR="00A84955" w:rsidRDefault="00A84955" w:rsidP="001B34DD">
            <w:pPr>
              <w:pStyle w:val="Tabletext"/>
              <w:rPr>
                <w:snapToGrid w:val="0"/>
              </w:rPr>
            </w:pPr>
            <w:r>
              <w:rPr>
                <w:snapToGrid w:val="0"/>
              </w:rPr>
              <w:t>6m</w:t>
            </w:r>
          </w:p>
        </w:tc>
        <w:tc>
          <w:tcPr>
            <w:tcW w:w="420" w:type="pct"/>
            <w:vAlign w:val="center"/>
          </w:tcPr>
          <w:p w14:paraId="1379DD81" w14:textId="77777777" w:rsidR="00A84955" w:rsidRDefault="00A84955" w:rsidP="001B34DD">
            <w:pPr>
              <w:pStyle w:val="Tabletext"/>
              <w:rPr>
                <w:snapToGrid w:val="0"/>
              </w:rPr>
            </w:pPr>
            <w:r>
              <w:rPr>
                <w:rFonts w:ascii="Cambria Math" w:hAnsi="Cambria Math"/>
                <w:color w:val="00B050"/>
              </w:rPr>
              <w:t>⨁</w:t>
            </w:r>
            <w:r w:rsidRPr="00D4733A">
              <w:rPr>
                <w:rFonts w:ascii="Cambria Math" w:hAnsi="Cambria Math" w:cs="Cambria Math"/>
                <w:color w:val="C00000"/>
              </w:rPr>
              <w:t>⨀⨀⨀</w:t>
            </w:r>
          </w:p>
        </w:tc>
      </w:tr>
      <w:tr w:rsidR="00A84955" w:rsidRPr="005E03AC" w14:paraId="7EF0A432" w14:textId="77777777" w:rsidTr="001B34DD">
        <w:tc>
          <w:tcPr>
            <w:tcW w:w="4580" w:type="pct"/>
            <w:gridSpan w:val="8"/>
            <w:vAlign w:val="center"/>
          </w:tcPr>
          <w:p w14:paraId="5B8AF65F" w14:textId="77777777" w:rsidR="00A84955" w:rsidRPr="002B48DD" w:rsidRDefault="00A84955" w:rsidP="001B34DD">
            <w:pPr>
              <w:pStyle w:val="Tabletext"/>
              <w:rPr>
                <w:b/>
                <w:bCs/>
                <w:snapToGrid w:val="0"/>
              </w:rPr>
            </w:pPr>
            <w:r w:rsidRPr="002B48DD">
              <w:rPr>
                <w:b/>
                <w:bCs/>
                <w:snapToGrid w:val="0"/>
              </w:rPr>
              <w:t>Viral infection</w:t>
            </w:r>
          </w:p>
        </w:tc>
        <w:tc>
          <w:tcPr>
            <w:tcW w:w="420" w:type="pct"/>
            <w:vAlign w:val="center"/>
          </w:tcPr>
          <w:p w14:paraId="7D1A8F19" w14:textId="77777777" w:rsidR="00A84955" w:rsidRPr="002B48DD" w:rsidRDefault="00A84955" w:rsidP="001B34DD">
            <w:pPr>
              <w:pStyle w:val="Tabletext"/>
              <w:rPr>
                <w:b/>
                <w:bCs/>
                <w:snapToGrid w:val="0"/>
              </w:rPr>
            </w:pPr>
          </w:p>
        </w:tc>
      </w:tr>
      <w:tr w:rsidR="00A84955" w:rsidRPr="005E03AC" w14:paraId="35238F31" w14:textId="77777777" w:rsidTr="001B34DD">
        <w:tc>
          <w:tcPr>
            <w:tcW w:w="499" w:type="pct"/>
            <w:vAlign w:val="center"/>
          </w:tcPr>
          <w:p w14:paraId="70D80494" w14:textId="77777777" w:rsidR="00A84955" w:rsidRDefault="00A84955" w:rsidP="001B34DD">
            <w:pPr>
              <w:pStyle w:val="Tabletext"/>
              <w:rPr>
                <w:snapToGrid w:val="0"/>
              </w:rPr>
            </w:pPr>
            <w:r>
              <w:rPr>
                <w:snapToGrid w:val="0"/>
              </w:rPr>
              <w:t>Lederer 2014</w:t>
            </w:r>
          </w:p>
        </w:tc>
        <w:tc>
          <w:tcPr>
            <w:tcW w:w="555" w:type="pct"/>
            <w:vAlign w:val="center"/>
          </w:tcPr>
          <w:p w14:paraId="2A3489B1" w14:textId="77777777" w:rsidR="00A84955" w:rsidRDefault="00A84955" w:rsidP="001B34DD">
            <w:pPr>
              <w:pStyle w:val="Tabletext"/>
              <w:rPr>
                <w:snapToGrid w:val="0"/>
              </w:rPr>
            </w:pPr>
            <w:r>
              <w:t>Lung transplant</w:t>
            </w:r>
          </w:p>
        </w:tc>
        <w:tc>
          <w:tcPr>
            <w:tcW w:w="374" w:type="pct"/>
            <w:vAlign w:val="center"/>
          </w:tcPr>
          <w:p w14:paraId="3C9322BE" w14:textId="77777777" w:rsidR="00A84955" w:rsidRDefault="00A84955" w:rsidP="001B34DD">
            <w:pPr>
              <w:pStyle w:val="Tabletext"/>
              <w:rPr>
                <w:snapToGrid w:val="0"/>
              </w:rPr>
            </w:pPr>
            <w:r>
              <w:rPr>
                <w:snapToGrid w:val="0"/>
              </w:rPr>
              <w:t>Moderate</w:t>
            </w:r>
          </w:p>
        </w:tc>
        <w:tc>
          <w:tcPr>
            <w:tcW w:w="732" w:type="pct"/>
            <w:vAlign w:val="center"/>
          </w:tcPr>
          <w:p w14:paraId="73A8ABE3" w14:textId="77777777" w:rsidR="00A84955" w:rsidRDefault="00A84955" w:rsidP="001B34DD">
            <w:pPr>
              <w:pStyle w:val="Tabletext"/>
              <w:rPr>
                <w:snapToGrid w:val="0"/>
              </w:rPr>
            </w:pPr>
            <w:r>
              <w:rPr>
                <w:snapToGrid w:val="0"/>
              </w:rPr>
              <w:t>2/11 (18.2)</w:t>
            </w:r>
          </w:p>
        </w:tc>
        <w:tc>
          <w:tcPr>
            <w:tcW w:w="655" w:type="pct"/>
            <w:vAlign w:val="center"/>
          </w:tcPr>
          <w:p w14:paraId="28D70DA4" w14:textId="77777777" w:rsidR="00A84955" w:rsidRDefault="00A84955" w:rsidP="001B34DD">
            <w:pPr>
              <w:pStyle w:val="Tabletext"/>
              <w:rPr>
                <w:snapToGrid w:val="0"/>
              </w:rPr>
            </w:pPr>
            <w:r>
              <w:rPr>
                <w:snapToGrid w:val="0"/>
              </w:rPr>
              <w:t>2/11 (18.2)</w:t>
            </w:r>
          </w:p>
        </w:tc>
        <w:tc>
          <w:tcPr>
            <w:tcW w:w="638" w:type="pct"/>
            <w:vAlign w:val="center"/>
          </w:tcPr>
          <w:p w14:paraId="5D330EE3" w14:textId="77777777" w:rsidR="00A84955" w:rsidRDefault="00A84955" w:rsidP="001B34DD">
            <w:pPr>
              <w:pStyle w:val="Tabletext"/>
              <w:rPr>
                <w:snapToGrid w:val="0"/>
              </w:rPr>
            </w:pPr>
            <w:r w:rsidRPr="00E21813">
              <w:rPr>
                <w:snapToGrid w:val="0"/>
              </w:rPr>
              <w:t xml:space="preserve">0.00 </w:t>
            </w:r>
            <w:r>
              <w:rPr>
                <w:snapToGrid w:val="0"/>
              </w:rPr>
              <w:t>(</w:t>
            </w:r>
            <w:r w:rsidRPr="00E21813">
              <w:rPr>
                <w:snapToGrid w:val="0"/>
              </w:rPr>
              <w:t>-0.32, 0.32</w:t>
            </w:r>
            <w:r>
              <w:rPr>
                <w:snapToGrid w:val="0"/>
              </w:rPr>
              <w:t>)</w:t>
            </w:r>
          </w:p>
        </w:tc>
        <w:tc>
          <w:tcPr>
            <w:tcW w:w="711" w:type="pct"/>
            <w:vAlign w:val="center"/>
          </w:tcPr>
          <w:p w14:paraId="0ACF1128" w14:textId="77777777" w:rsidR="00A84955" w:rsidRPr="004E7F0A" w:rsidRDefault="00A84955" w:rsidP="001B34DD">
            <w:pPr>
              <w:pStyle w:val="Tabletext"/>
              <w:rPr>
                <w:snapToGrid w:val="0"/>
              </w:rPr>
            </w:pPr>
            <w:r>
              <w:rPr>
                <w:snapToGrid w:val="0"/>
              </w:rPr>
              <w:t>OR 0.8 (0.1, 5.9)</w:t>
            </w:r>
          </w:p>
        </w:tc>
        <w:tc>
          <w:tcPr>
            <w:tcW w:w="416" w:type="pct"/>
            <w:vAlign w:val="center"/>
          </w:tcPr>
          <w:p w14:paraId="44D1D438" w14:textId="77777777" w:rsidR="00A84955" w:rsidRDefault="00A84955" w:rsidP="001B34DD">
            <w:pPr>
              <w:pStyle w:val="Tabletext"/>
              <w:rPr>
                <w:snapToGrid w:val="0"/>
              </w:rPr>
            </w:pPr>
            <w:r>
              <w:rPr>
                <w:snapToGrid w:val="0"/>
              </w:rPr>
              <w:t>12w (2.7m)</w:t>
            </w:r>
          </w:p>
        </w:tc>
        <w:tc>
          <w:tcPr>
            <w:tcW w:w="420" w:type="pct"/>
            <w:vAlign w:val="center"/>
          </w:tcPr>
          <w:p w14:paraId="40C73406" w14:textId="77777777" w:rsidR="00A84955" w:rsidRDefault="00A84955" w:rsidP="001B34DD">
            <w:pPr>
              <w:pStyle w:val="Tabletext"/>
              <w:rPr>
                <w:snapToGrid w:val="0"/>
              </w:rPr>
            </w:pPr>
            <w:r>
              <w:rPr>
                <w:rFonts w:ascii="Cambria Math" w:hAnsi="Cambria Math"/>
                <w:color w:val="00B050"/>
              </w:rPr>
              <w:t>⨁</w:t>
            </w:r>
            <w:r w:rsidRPr="00D4733A">
              <w:rPr>
                <w:rFonts w:ascii="Cambria Math" w:hAnsi="Cambria Math" w:cs="Cambria Math"/>
                <w:color w:val="C00000"/>
              </w:rPr>
              <w:t>⨀⨀⨀</w:t>
            </w:r>
          </w:p>
        </w:tc>
      </w:tr>
      <w:tr w:rsidR="00A84955" w:rsidRPr="005E03AC" w14:paraId="172C0833" w14:textId="77777777" w:rsidTr="001B34DD">
        <w:tc>
          <w:tcPr>
            <w:tcW w:w="5000" w:type="pct"/>
            <w:gridSpan w:val="9"/>
            <w:vAlign w:val="center"/>
          </w:tcPr>
          <w:p w14:paraId="30390971" w14:textId="77777777" w:rsidR="00A84955" w:rsidRPr="00062A20" w:rsidRDefault="00A84955" w:rsidP="001B34DD">
            <w:pPr>
              <w:pStyle w:val="Tabletext"/>
              <w:rPr>
                <w:b/>
                <w:snapToGrid w:val="0"/>
              </w:rPr>
            </w:pPr>
            <w:r w:rsidRPr="00062A20">
              <w:rPr>
                <w:b/>
                <w:snapToGrid w:val="0"/>
              </w:rPr>
              <w:t xml:space="preserve">Bacterial infection </w:t>
            </w:r>
          </w:p>
        </w:tc>
      </w:tr>
      <w:tr w:rsidR="00A84955" w:rsidRPr="005E03AC" w14:paraId="0576F953" w14:textId="77777777" w:rsidTr="001B34DD">
        <w:tc>
          <w:tcPr>
            <w:tcW w:w="499" w:type="pct"/>
            <w:vAlign w:val="center"/>
          </w:tcPr>
          <w:p w14:paraId="0F433F55" w14:textId="77777777" w:rsidR="00A84955" w:rsidRDefault="00A84955" w:rsidP="001B34DD">
            <w:pPr>
              <w:pStyle w:val="Tabletext"/>
              <w:rPr>
                <w:snapToGrid w:val="0"/>
              </w:rPr>
            </w:pPr>
            <w:r>
              <w:rPr>
                <w:snapToGrid w:val="0"/>
              </w:rPr>
              <w:t>Lederer 2014</w:t>
            </w:r>
          </w:p>
        </w:tc>
        <w:tc>
          <w:tcPr>
            <w:tcW w:w="555" w:type="pct"/>
            <w:vAlign w:val="center"/>
          </w:tcPr>
          <w:p w14:paraId="21E15934" w14:textId="77777777" w:rsidR="00A84955" w:rsidRDefault="00A84955" w:rsidP="001B34DD">
            <w:pPr>
              <w:pStyle w:val="Tabletext"/>
              <w:rPr>
                <w:snapToGrid w:val="0"/>
              </w:rPr>
            </w:pPr>
            <w:r>
              <w:rPr>
                <w:snapToGrid w:val="0"/>
              </w:rPr>
              <w:t>Lung transplant</w:t>
            </w:r>
          </w:p>
        </w:tc>
        <w:tc>
          <w:tcPr>
            <w:tcW w:w="374" w:type="pct"/>
            <w:vAlign w:val="center"/>
          </w:tcPr>
          <w:p w14:paraId="5D27D1A4" w14:textId="77777777" w:rsidR="00A84955" w:rsidRDefault="00A84955" w:rsidP="001B34DD">
            <w:pPr>
              <w:pStyle w:val="Tabletext"/>
              <w:rPr>
                <w:snapToGrid w:val="0"/>
              </w:rPr>
            </w:pPr>
            <w:r>
              <w:rPr>
                <w:snapToGrid w:val="0"/>
              </w:rPr>
              <w:t>Moderate</w:t>
            </w:r>
          </w:p>
        </w:tc>
        <w:tc>
          <w:tcPr>
            <w:tcW w:w="732" w:type="pct"/>
            <w:vAlign w:val="center"/>
          </w:tcPr>
          <w:p w14:paraId="5BA271CB" w14:textId="77777777" w:rsidR="00A84955" w:rsidRDefault="00A84955" w:rsidP="001B34DD">
            <w:pPr>
              <w:pStyle w:val="Tabletext"/>
              <w:rPr>
                <w:snapToGrid w:val="0"/>
              </w:rPr>
            </w:pPr>
            <w:r>
              <w:rPr>
                <w:snapToGrid w:val="0"/>
              </w:rPr>
              <w:t>3/11 (27.3)</w:t>
            </w:r>
          </w:p>
        </w:tc>
        <w:tc>
          <w:tcPr>
            <w:tcW w:w="655" w:type="pct"/>
            <w:vAlign w:val="center"/>
          </w:tcPr>
          <w:p w14:paraId="01F46433" w14:textId="77777777" w:rsidR="00A84955" w:rsidRDefault="00A84955" w:rsidP="001B34DD">
            <w:pPr>
              <w:pStyle w:val="Tabletext"/>
              <w:rPr>
                <w:snapToGrid w:val="0"/>
              </w:rPr>
            </w:pPr>
            <w:r>
              <w:rPr>
                <w:snapToGrid w:val="0"/>
              </w:rPr>
              <w:t>1/11 (9.1)</w:t>
            </w:r>
          </w:p>
        </w:tc>
        <w:tc>
          <w:tcPr>
            <w:tcW w:w="638" w:type="pct"/>
            <w:vAlign w:val="center"/>
          </w:tcPr>
          <w:p w14:paraId="17B497C6" w14:textId="77777777" w:rsidR="00A84955" w:rsidRPr="0067642A" w:rsidRDefault="00A84955" w:rsidP="001B34DD">
            <w:pPr>
              <w:pStyle w:val="Tabletext"/>
              <w:rPr>
                <w:snapToGrid w:val="0"/>
              </w:rPr>
            </w:pPr>
            <w:r w:rsidRPr="0067642A">
              <w:rPr>
                <w:snapToGrid w:val="0"/>
              </w:rPr>
              <w:t>0.18 (-0.13, 0.50)</w:t>
            </w:r>
          </w:p>
        </w:tc>
        <w:tc>
          <w:tcPr>
            <w:tcW w:w="711" w:type="pct"/>
            <w:vAlign w:val="center"/>
          </w:tcPr>
          <w:p w14:paraId="062F56F6" w14:textId="77777777" w:rsidR="00A84955" w:rsidRPr="0014046B" w:rsidRDefault="00A84955" w:rsidP="001B34DD">
            <w:pPr>
              <w:pStyle w:val="Tabletext"/>
              <w:rPr>
                <w:snapToGrid w:val="0"/>
              </w:rPr>
            </w:pPr>
            <w:r>
              <w:rPr>
                <w:snapToGrid w:val="0"/>
              </w:rPr>
              <w:t xml:space="preserve">OR 3.5 (0.4-27.6) </w:t>
            </w:r>
          </w:p>
        </w:tc>
        <w:tc>
          <w:tcPr>
            <w:tcW w:w="416" w:type="pct"/>
            <w:vAlign w:val="center"/>
          </w:tcPr>
          <w:p w14:paraId="6127BF2E" w14:textId="77777777" w:rsidR="00A84955" w:rsidRDefault="00A84955" w:rsidP="001B34DD">
            <w:pPr>
              <w:pStyle w:val="Tabletext"/>
              <w:rPr>
                <w:snapToGrid w:val="0"/>
              </w:rPr>
            </w:pPr>
            <w:r>
              <w:rPr>
                <w:snapToGrid w:val="0"/>
              </w:rPr>
              <w:t>12w (2.7m)</w:t>
            </w:r>
          </w:p>
        </w:tc>
        <w:tc>
          <w:tcPr>
            <w:tcW w:w="420" w:type="pct"/>
            <w:vMerge w:val="restart"/>
            <w:vAlign w:val="center"/>
          </w:tcPr>
          <w:p w14:paraId="4CDE412B" w14:textId="77777777" w:rsidR="00A84955" w:rsidRDefault="00A84955" w:rsidP="001B34DD">
            <w:pPr>
              <w:pStyle w:val="Tabletext"/>
              <w:rPr>
                <w:snapToGrid w:val="0"/>
              </w:rPr>
            </w:pPr>
            <w:r>
              <w:rPr>
                <w:rFonts w:ascii="Cambria Math" w:hAnsi="Cambria Math"/>
                <w:color w:val="00B050"/>
              </w:rPr>
              <w:t>⨁</w:t>
            </w:r>
            <w:r w:rsidRPr="00D4733A">
              <w:rPr>
                <w:rFonts w:ascii="Cambria Math" w:hAnsi="Cambria Math" w:cs="Cambria Math"/>
                <w:color w:val="C00000"/>
              </w:rPr>
              <w:t>⨀⨀⨀</w:t>
            </w:r>
          </w:p>
        </w:tc>
      </w:tr>
      <w:tr w:rsidR="00A84955" w:rsidRPr="005E03AC" w14:paraId="4D41DF9E" w14:textId="77777777" w:rsidTr="001B34DD">
        <w:tc>
          <w:tcPr>
            <w:tcW w:w="499" w:type="pct"/>
            <w:vAlign w:val="center"/>
          </w:tcPr>
          <w:p w14:paraId="40478B71" w14:textId="77777777" w:rsidR="00A84955" w:rsidRDefault="00A84955" w:rsidP="001B34DD">
            <w:pPr>
              <w:pStyle w:val="Tabletext"/>
              <w:rPr>
                <w:snapToGrid w:val="0"/>
              </w:rPr>
            </w:pPr>
            <w:r>
              <w:rPr>
                <w:snapToGrid w:val="0"/>
              </w:rPr>
              <w:t>Sarmiento 2016</w:t>
            </w:r>
          </w:p>
        </w:tc>
        <w:tc>
          <w:tcPr>
            <w:tcW w:w="555" w:type="pct"/>
            <w:vAlign w:val="center"/>
          </w:tcPr>
          <w:p w14:paraId="13BD40ED" w14:textId="77777777" w:rsidR="00A84955" w:rsidRDefault="00A84955" w:rsidP="001B34DD">
            <w:pPr>
              <w:pStyle w:val="Tabletext"/>
              <w:rPr>
                <w:snapToGrid w:val="0"/>
              </w:rPr>
            </w:pPr>
            <w:r>
              <w:rPr>
                <w:snapToGrid w:val="0"/>
              </w:rPr>
              <w:t>Heart transplant</w:t>
            </w:r>
          </w:p>
        </w:tc>
        <w:tc>
          <w:tcPr>
            <w:tcW w:w="374" w:type="pct"/>
            <w:vAlign w:val="center"/>
          </w:tcPr>
          <w:p w14:paraId="5E707387" w14:textId="77777777" w:rsidR="00A84955" w:rsidRDefault="00A84955" w:rsidP="001B34DD">
            <w:pPr>
              <w:pStyle w:val="Tabletext"/>
              <w:rPr>
                <w:snapToGrid w:val="0"/>
              </w:rPr>
            </w:pPr>
            <w:r>
              <w:rPr>
                <w:snapToGrid w:val="0"/>
              </w:rPr>
              <w:t>Serious</w:t>
            </w:r>
          </w:p>
        </w:tc>
        <w:tc>
          <w:tcPr>
            <w:tcW w:w="732" w:type="pct"/>
            <w:vAlign w:val="center"/>
          </w:tcPr>
          <w:p w14:paraId="1B0CDB0F" w14:textId="77777777" w:rsidR="00A84955" w:rsidRDefault="00A84955" w:rsidP="001B34DD">
            <w:pPr>
              <w:pStyle w:val="Tabletext"/>
              <w:rPr>
                <w:snapToGrid w:val="0"/>
              </w:rPr>
            </w:pPr>
            <w:r>
              <w:rPr>
                <w:snapToGrid w:val="0"/>
              </w:rPr>
              <w:t>3/12 (25)</w:t>
            </w:r>
          </w:p>
        </w:tc>
        <w:tc>
          <w:tcPr>
            <w:tcW w:w="655" w:type="pct"/>
            <w:vAlign w:val="center"/>
          </w:tcPr>
          <w:p w14:paraId="573CA032" w14:textId="77777777" w:rsidR="00A84955" w:rsidRDefault="00A84955" w:rsidP="001B34DD">
            <w:pPr>
              <w:pStyle w:val="Tabletext"/>
              <w:rPr>
                <w:snapToGrid w:val="0"/>
              </w:rPr>
            </w:pPr>
            <w:r>
              <w:rPr>
                <w:snapToGrid w:val="0"/>
              </w:rPr>
              <w:t>9/13 (69.2)</w:t>
            </w:r>
          </w:p>
        </w:tc>
        <w:tc>
          <w:tcPr>
            <w:tcW w:w="638" w:type="pct"/>
            <w:vAlign w:val="center"/>
          </w:tcPr>
          <w:p w14:paraId="4BDA7E85" w14:textId="77777777" w:rsidR="00A84955" w:rsidRPr="0000418B" w:rsidRDefault="00A84955" w:rsidP="001B34DD">
            <w:pPr>
              <w:pStyle w:val="Tabletext"/>
              <w:rPr>
                <w:snapToGrid w:val="0"/>
              </w:rPr>
            </w:pPr>
            <w:r w:rsidRPr="00024B1F">
              <w:rPr>
                <w:b/>
                <w:bCs/>
                <w:snapToGrid w:val="0"/>
              </w:rPr>
              <w:t>-0.44 (-0.79, -0.09)</w:t>
            </w:r>
          </w:p>
        </w:tc>
        <w:tc>
          <w:tcPr>
            <w:tcW w:w="711" w:type="pct"/>
            <w:vAlign w:val="center"/>
          </w:tcPr>
          <w:p w14:paraId="1834A4C9" w14:textId="77777777" w:rsidR="00A84955" w:rsidRPr="0000418B" w:rsidRDefault="00A84955" w:rsidP="001B34DD">
            <w:pPr>
              <w:pStyle w:val="Tabletext"/>
              <w:rPr>
                <w:snapToGrid w:val="0"/>
              </w:rPr>
            </w:pPr>
            <w:r>
              <w:rPr>
                <w:snapToGrid w:val="0"/>
              </w:rPr>
              <w:t xml:space="preserve">RR </w:t>
            </w:r>
            <w:r w:rsidRPr="00370561">
              <w:rPr>
                <w:snapToGrid w:val="0"/>
              </w:rPr>
              <w:t xml:space="preserve">0.36 </w:t>
            </w:r>
            <w:r>
              <w:rPr>
                <w:snapToGrid w:val="0"/>
              </w:rPr>
              <w:t>(</w:t>
            </w:r>
            <w:r w:rsidRPr="00370561">
              <w:rPr>
                <w:snapToGrid w:val="0"/>
              </w:rPr>
              <w:t>0.13, 1.03</w:t>
            </w:r>
            <w:r>
              <w:rPr>
                <w:snapToGrid w:val="0"/>
              </w:rPr>
              <w:t>)</w:t>
            </w:r>
          </w:p>
        </w:tc>
        <w:tc>
          <w:tcPr>
            <w:tcW w:w="416" w:type="pct"/>
            <w:vAlign w:val="center"/>
          </w:tcPr>
          <w:p w14:paraId="36A27F26" w14:textId="77777777" w:rsidR="00A84955" w:rsidRPr="001322D7" w:rsidRDefault="00A84955" w:rsidP="001B34DD">
            <w:pPr>
              <w:pStyle w:val="Tabletext"/>
              <w:rPr>
                <w:snapToGrid w:val="0"/>
              </w:rPr>
            </w:pPr>
            <w:r>
              <w:rPr>
                <w:snapToGrid w:val="0"/>
              </w:rPr>
              <w:t>6m</w:t>
            </w:r>
          </w:p>
        </w:tc>
        <w:tc>
          <w:tcPr>
            <w:tcW w:w="420" w:type="pct"/>
            <w:vMerge/>
            <w:vAlign w:val="center"/>
          </w:tcPr>
          <w:p w14:paraId="12F49D43" w14:textId="77777777" w:rsidR="00A84955" w:rsidRDefault="00A84955" w:rsidP="001B34DD">
            <w:pPr>
              <w:pStyle w:val="Tabletext"/>
              <w:rPr>
                <w:snapToGrid w:val="0"/>
              </w:rPr>
            </w:pPr>
          </w:p>
        </w:tc>
      </w:tr>
      <w:tr w:rsidR="00A84955" w:rsidRPr="00192CC0" w14:paraId="0E3BDDC9" w14:textId="77777777" w:rsidTr="001B34DD">
        <w:tc>
          <w:tcPr>
            <w:tcW w:w="5000" w:type="pct"/>
            <w:gridSpan w:val="9"/>
            <w:vAlign w:val="center"/>
          </w:tcPr>
          <w:p w14:paraId="732C86CA" w14:textId="77777777" w:rsidR="00A84955" w:rsidRPr="00192CC0" w:rsidRDefault="00A84955" w:rsidP="001B34DD">
            <w:pPr>
              <w:pStyle w:val="Tabletext"/>
              <w:rPr>
                <w:b/>
                <w:bCs/>
                <w:snapToGrid w:val="0"/>
              </w:rPr>
            </w:pPr>
            <w:r w:rsidRPr="00192CC0">
              <w:rPr>
                <w:b/>
                <w:bCs/>
                <w:snapToGrid w:val="0"/>
              </w:rPr>
              <w:t>Acute transplant rejection</w:t>
            </w:r>
          </w:p>
        </w:tc>
      </w:tr>
      <w:tr w:rsidR="00A84955" w:rsidRPr="005E03AC" w14:paraId="10811DB5" w14:textId="77777777" w:rsidTr="001B34DD">
        <w:tc>
          <w:tcPr>
            <w:tcW w:w="499" w:type="pct"/>
            <w:vAlign w:val="center"/>
          </w:tcPr>
          <w:p w14:paraId="29B818CD" w14:textId="77777777" w:rsidR="00A84955" w:rsidRDefault="00A84955" w:rsidP="001B34DD">
            <w:pPr>
              <w:pStyle w:val="Tabletext"/>
              <w:rPr>
                <w:snapToGrid w:val="0"/>
              </w:rPr>
            </w:pPr>
            <w:r>
              <w:rPr>
                <w:rFonts w:cs="Calibri"/>
                <w:color w:val="000000"/>
              </w:rPr>
              <w:t>Lederer 2014</w:t>
            </w:r>
          </w:p>
        </w:tc>
        <w:tc>
          <w:tcPr>
            <w:tcW w:w="555" w:type="pct"/>
            <w:vAlign w:val="center"/>
          </w:tcPr>
          <w:p w14:paraId="169C2D78" w14:textId="77777777" w:rsidR="00A84955" w:rsidRDefault="00A84955" w:rsidP="001B34DD">
            <w:pPr>
              <w:pStyle w:val="Tabletext"/>
              <w:rPr>
                <w:snapToGrid w:val="0"/>
              </w:rPr>
            </w:pPr>
            <w:r>
              <w:t>Lung transplant</w:t>
            </w:r>
          </w:p>
        </w:tc>
        <w:tc>
          <w:tcPr>
            <w:tcW w:w="374" w:type="pct"/>
            <w:vAlign w:val="center"/>
          </w:tcPr>
          <w:p w14:paraId="00890287" w14:textId="77777777" w:rsidR="00A84955" w:rsidRDefault="00A84955" w:rsidP="001B34DD">
            <w:pPr>
              <w:pStyle w:val="Tabletext"/>
              <w:rPr>
                <w:snapToGrid w:val="0"/>
              </w:rPr>
            </w:pPr>
            <w:r>
              <w:rPr>
                <w:rFonts w:cs="Calibri"/>
                <w:color w:val="000000"/>
              </w:rPr>
              <w:t>Moderate</w:t>
            </w:r>
          </w:p>
        </w:tc>
        <w:tc>
          <w:tcPr>
            <w:tcW w:w="732" w:type="pct"/>
            <w:vAlign w:val="center"/>
          </w:tcPr>
          <w:p w14:paraId="2332B5C8" w14:textId="77777777" w:rsidR="00A84955" w:rsidRDefault="00A84955" w:rsidP="001B34DD">
            <w:pPr>
              <w:pStyle w:val="Tabletext"/>
              <w:rPr>
                <w:snapToGrid w:val="0"/>
              </w:rPr>
            </w:pPr>
            <w:r>
              <w:rPr>
                <w:rFonts w:cs="Calibri"/>
                <w:color w:val="000000"/>
              </w:rPr>
              <w:t>0/11 (0)</w:t>
            </w:r>
          </w:p>
        </w:tc>
        <w:tc>
          <w:tcPr>
            <w:tcW w:w="655" w:type="pct"/>
            <w:vAlign w:val="center"/>
          </w:tcPr>
          <w:p w14:paraId="6B749119" w14:textId="77777777" w:rsidR="00A84955" w:rsidRDefault="00A84955" w:rsidP="001B34DD">
            <w:pPr>
              <w:pStyle w:val="Tabletext"/>
              <w:rPr>
                <w:snapToGrid w:val="0"/>
              </w:rPr>
            </w:pPr>
            <w:r w:rsidRPr="00262DF5">
              <w:rPr>
                <w:rFonts w:cs="Calibri"/>
                <w:color w:val="000000"/>
              </w:rPr>
              <w:t>0</w:t>
            </w:r>
            <w:r>
              <w:rPr>
                <w:rFonts w:cs="Calibri"/>
                <w:color w:val="000000"/>
              </w:rPr>
              <w:t>/11 (0)</w:t>
            </w:r>
          </w:p>
        </w:tc>
        <w:tc>
          <w:tcPr>
            <w:tcW w:w="638" w:type="pct"/>
            <w:vAlign w:val="center"/>
          </w:tcPr>
          <w:p w14:paraId="71EF5072" w14:textId="77777777" w:rsidR="00A84955" w:rsidRPr="00024B1F" w:rsidRDefault="00A84955" w:rsidP="001B34DD">
            <w:pPr>
              <w:pStyle w:val="Tabletext"/>
              <w:rPr>
                <w:b/>
                <w:bCs/>
                <w:snapToGrid w:val="0"/>
              </w:rPr>
            </w:pPr>
            <w:r>
              <w:rPr>
                <w:snapToGrid w:val="0"/>
              </w:rPr>
              <w:t>NA</w:t>
            </w:r>
          </w:p>
        </w:tc>
        <w:tc>
          <w:tcPr>
            <w:tcW w:w="711" w:type="pct"/>
            <w:vAlign w:val="center"/>
          </w:tcPr>
          <w:p w14:paraId="04EE1E47" w14:textId="77777777" w:rsidR="00A84955" w:rsidRDefault="00A84955" w:rsidP="001B34DD">
            <w:pPr>
              <w:pStyle w:val="Tabletext"/>
              <w:rPr>
                <w:snapToGrid w:val="0"/>
              </w:rPr>
            </w:pPr>
            <w:r w:rsidRPr="00262DF5">
              <w:rPr>
                <w:snapToGrid w:val="0"/>
              </w:rPr>
              <w:t>NA</w:t>
            </w:r>
          </w:p>
        </w:tc>
        <w:tc>
          <w:tcPr>
            <w:tcW w:w="416" w:type="pct"/>
            <w:vAlign w:val="center"/>
          </w:tcPr>
          <w:p w14:paraId="3E0C3CD2" w14:textId="77777777" w:rsidR="00A84955" w:rsidRDefault="00A84955" w:rsidP="001B34DD">
            <w:pPr>
              <w:pStyle w:val="Tabletext"/>
              <w:rPr>
                <w:snapToGrid w:val="0"/>
              </w:rPr>
            </w:pPr>
            <w:r>
              <w:rPr>
                <w:snapToGrid w:val="0"/>
              </w:rPr>
              <w:t>12w (2.7m)</w:t>
            </w:r>
          </w:p>
        </w:tc>
        <w:tc>
          <w:tcPr>
            <w:tcW w:w="420" w:type="pct"/>
          </w:tcPr>
          <w:p w14:paraId="76861283" w14:textId="77777777" w:rsidR="00A84955" w:rsidRDefault="00A84955" w:rsidP="001B34DD">
            <w:pPr>
              <w:pStyle w:val="Tabletext"/>
              <w:rPr>
                <w:snapToGrid w:val="0"/>
              </w:rPr>
            </w:pPr>
            <w:r w:rsidRPr="00D06A7A">
              <w:rPr>
                <w:rFonts w:ascii="Cambria Math" w:hAnsi="Cambria Math"/>
                <w:color w:val="00B050"/>
              </w:rPr>
              <w:t>⨁</w:t>
            </w:r>
            <w:r w:rsidRPr="00D06A7A">
              <w:rPr>
                <w:rFonts w:ascii="Cambria Math" w:hAnsi="Cambria Math" w:cs="Cambria Math"/>
                <w:color w:val="C00000"/>
              </w:rPr>
              <w:t>⨀⨀⨀</w:t>
            </w:r>
          </w:p>
        </w:tc>
      </w:tr>
      <w:tr w:rsidR="00A84955" w:rsidRPr="005E03AC" w14:paraId="35DE616C" w14:textId="77777777" w:rsidTr="001B34DD">
        <w:tc>
          <w:tcPr>
            <w:tcW w:w="499" w:type="pct"/>
            <w:vAlign w:val="center"/>
          </w:tcPr>
          <w:p w14:paraId="445D74CE" w14:textId="77777777" w:rsidR="00A84955" w:rsidRDefault="00A84955" w:rsidP="001B34DD">
            <w:pPr>
              <w:pStyle w:val="Tabletext"/>
              <w:rPr>
                <w:snapToGrid w:val="0"/>
              </w:rPr>
            </w:pPr>
            <w:r w:rsidRPr="00ED3FEC">
              <w:rPr>
                <w:snapToGrid w:val="0"/>
              </w:rPr>
              <w:t>Sarmiento 2016</w:t>
            </w:r>
          </w:p>
        </w:tc>
        <w:tc>
          <w:tcPr>
            <w:tcW w:w="555" w:type="pct"/>
            <w:vAlign w:val="center"/>
          </w:tcPr>
          <w:p w14:paraId="5056EAB0" w14:textId="77777777" w:rsidR="00A84955" w:rsidRDefault="00A84955" w:rsidP="001B34DD">
            <w:pPr>
              <w:pStyle w:val="Tabletext"/>
              <w:rPr>
                <w:snapToGrid w:val="0"/>
              </w:rPr>
            </w:pPr>
            <w:r>
              <w:rPr>
                <w:snapToGrid w:val="0"/>
              </w:rPr>
              <w:t>Heart transplant</w:t>
            </w:r>
          </w:p>
        </w:tc>
        <w:tc>
          <w:tcPr>
            <w:tcW w:w="374" w:type="pct"/>
            <w:vAlign w:val="center"/>
          </w:tcPr>
          <w:p w14:paraId="31763256" w14:textId="77777777" w:rsidR="00A84955" w:rsidRDefault="00A84955" w:rsidP="001B34DD">
            <w:pPr>
              <w:pStyle w:val="Tabletext"/>
              <w:rPr>
                <w:snapToGrid w:val="0"/>
              </w:rPr>
            </w:pPr>
            <w:r>
              <w:rPr>
                <w:rFonts w:cs="Calibri"/>
                <w:color w:val="000000"/>
              </w:rPr>
              <w:t>Serious</w:t>
            </w:r>
          </w:p>
        </w:tc>
        <w:tc>
          <w:tcPr>
            <w:tcW w:w="732" w:type="pct"/>
            <w:vAlign w:val="center"/>
          </w:tcPr>
          <w:p w14:paraId="1E75E343" w14:textId="77777777" w:rsidR="00A84955" w:rsidRDefault="00A84955" w:rsidP="001B34DD">
            <w:pPr>
              <w:pStyle w:val="Tabletext"/>
              <w:rPr>
                <w:snapToGrid w:val="0"/>
              </w:rPr>
            </w:pPr>
            <w:r>
              <w:rPr>
                <w:rFonts w:cs="Calibri"/>
                <w:color w:val="000000"/>
              </w:rPr>
              <w:t>1/12 (8.3)</w:t>
            </w:r>
          </w:p>
        </w:tc>
        <w:tc>
          <w:tcPr>
            <w:tcW w:w="655" w:type="pct"/>
            <w:vAlign w:val="center"/>
          </w:tcPr>
          <w:p w14:paraId="2B9C48E6" w14:textId="77777777" w:rsidR="00A84955" w:rsidRDefault="00A84955" w:rsidP="001B34DD">
            <w:pPr>
              <w:pStyle w:val="Tabletext"/>
              <w:rPr>
                <w:snapToGrid w:val="0"/>
              </w:rPr>
            </w:pPr>
            <w:r>
              <w:rPr>
                <w:rFonts w:cs="Calibri"/>
                <w:color w:val="000000"/>
              </w:rPr>
              <w:t>1/13 (7.7)</w:t>
            </w:r>
          </w:p>
        </w:tc>
        <w:tc>
          <w:tcPr>
            <w:tcW w:w="638" w:type="pct"/>
            <w:vAlign w:val="center"/>
          </w:tcPr>
          <w:p w14:paraId="25A564F1" w14:textId="77777777" w:rsidR="00A84955" w:rsidRPr="00024B1F" w:rsidRDefault="00A84955" w:rsidP="001B34DD">
            <w:pPr>
              <w:pStyle w:val="Tabletext"/>
              <w:rPr>
                <w:b/>
                <w:bCs/>
                <w:snapToGrid w:val="0"/>
              </w:rPr>
            </w:pPr>
            <w:r w:rsidRPr="00310271">
              <w:rPr>
                <w:rFonts w:cs="Calibri"/>
                <w:color w:val="000000"/>
              </w:rPr>
              <w:t xml:space="preserve">0.01 </w:t>
            </w:r>
            <w:r>
              <w:rPr>
                <w:rFonts w:cs="Calibri"/>
                <w:color w:val="000000"/>
              </w:rPr>
              <w:t>(</w:t>
            </w:r>
            <w:r w:rsidRPr="00310271">
              <w:rPr>
                <w:rFonts w:cs="Calibri"/>
                <w:color w:val="000000"/>
              </w:rPr>
              <w:t>-0.21, 0.22</w:t>
            </w:r>
            <w:r>
              <w:rPr>
                <w:rFonts w:cs="Calibri"/>
                <w:color w:val="000000"/>
              </w:rPr>
              <w:t>)</w:t>
            </w:r>
          </w:p>
        </w:tc>
        <w:tc>
          <w:tcPr>
            <w:tcW w:w="711" w:type="pct"/>
            <w:vAlign w:val="center"/>
          </w:tcPr>
          <w:p w14:paraId="551E2CAB" w14:textId="77777777" w:rsidR="00A84955" w:rsidRDefault="00A84955" w:rsidP="001B34DD">
            <w:pPr>
              <w:pStyle w:val="Tabletext"/>
              <w:rPr>
                <w:snapToGrid w:val="0"/>
              </w:rPr>
            </w:pPr>
            <w:r w:rsidRPr="004056C2">
              <w:rPr>
                <w:rFonts w:cs="Calibri"/>
                <w:color w:val="000000"/>
              </w:rPr>
              <w:t>RR 1.08 (0.08, 15.46)</w:t>
            </w:r>
          </w:p>
        </w:tc>
        <w:tc>
          <w:tcPr>
            <w:tcW w:w="416" w:type="pct"/>
            <w:vAlign w:val="center"/>
          </w:tcPr>
          <w:p w14:paraId="01A48207" w14:textId="77777777" w:rsidR="00A84955" w:rsidRDefault="00A84955" w:rsidP="001B34DD">
            <w:pPr>
              <w:pStyle w:val="Tabletext"/>
              <w:rPr>
                <w:snapToGrid w:val="0"/>
              </w:rPr>
            </w:pPr>
            <w:r>
              <w:rPr>
                <w:rFonts w:cs="Calibri"/>
                <w:color w:val="000000"/>
              </w:rPr>
              <w:t>6m</w:t>
            </w:r>
          </w:p>
        </w:tc>
        <w:tc>
          <w:tcPr>
            <w:tcW w:w="420" w:type="pct"/>
          </w:tcPr>
          <w:p w14:paraId="1F1CFB38" w14:textId="77777777" w:rsidR="00A84955" w:rsidRDefault="00A84955" w:rsidP="001B34DD">
            <w:pPr>
              <w:pStyle w:val="Tabletext"/>
              <w:rPr>
                <w:snapToGrid w:val="0"/>
              </w:rPr>
            </w:pPr>
            <w:r w:rsidRPr="00D06A7A">
              <w:rPr>
                <w:rFonts w:ascii="Cambria Math" w:hAnsi="Cambria Math"/>
                <w:color w:val="00B050"/>
              </w:rPr>
              <w:t>⨁</w:t>
            </w:r>
            <w:r w:rsidRPr="00D06A7A">
              <w:rPr>
                <w:rFonts w:ascii="Cambria Math" w:hAnsi="Cambria Math" w:cs="Cambria Math"/>
                <w:color w:val="C00000"/>
              </w:rPr>
              <w:t>⨀⨀⨀</w:t>
            </w:r>
          </w:p>
        </w:tc>
      </w:tr>
      <w:tr w:rsidR="00A84955" w:rsidRPr="005E03AC" w14:paraId="19AF4521" w14:textId="77777777" w:rsidTr="001B34DD">
        <w:tc>
          <w:tcPr>
            <w:tcW w:w="5000" w:type="pct"/>
            <w:gridSpan w:val="9"/>
            <w:vAlign w:val="center"/>
          </w:tcPr>
          <w:p w14:paraId="2F4C358E" w14:textId="77777777" w:rsidR="00A84955" w:rsidRPr="00D06A7A" w:rsidRDefault="00A84955" w:rsidP="001B34DD">
            <w:pPr>
              <w:pStyle w:val="Tabletext"/>
              <w:rPr>
                <w:rFonts w:ascii="Cambria Math" w:hAnsi="Cambria Math"/>
                <w:color w:val="00B050"/>
              </w:rPr>
            </w:pPr>
            <w:r w:rsidRPr="003E4C6B">
              <w:rPr>
                <w:b/>
                <w:snapToGrid w:val="0"/>
              </w:rPr>
              <w:t>A-grade rejection score*</w:t>
            </w:r>
            <w:r>
              <w:rPr>
                <w:b/>
                <w:snapToGrid w:val="0"/>
              </w:rPr>
              <w:t>, m</w:t>
            </w:r>
            <w:r w:rsidRPr="003E4C6B">
              <w:rPr>
                <w:rFonts w:cs="Calibri"/>
                <w:b/>
                <w:color w:val="000000"/>
              </w:rPr>
              <w:t>edian (IQR)</w:t>
            </w:r>
          </w:p>
        </w:tc>
      </w:tr>
      <w:tr w:rsidR="00A84955" w:rsidRPr="005E03AC" w14:paraId="726A88FC" w14:textId="77777777" w:rsidTr="001B34DD">
        <w:tc>
          <w:tcPr>
            <w:tcW w:w="499" w:type="pct"/>
            <w:vMerge w:val="restart"/>
            <w:vAlign w:val="center"/>
          </w:tcPr>
          <w:p w14:paraId="73FBD3D5" w14:textId="77777777" w:rsidR="00A84955" w:rsidRPr="00ED3FEC" w:rsidRDefault="00A84955" w:rsidP="001B34DD">
            <w:pPr>
              <w:pStyle w:val="Tabletext"/>
              <w:rPr>
                <w:snapToGrid w:val="0"/>
              </w:rPr>
            </w:pPr>
            <w:r>
              <w:rPr>
                <w:snapToGrid w:val="0"/>
              </w:rPr>
              <w:t>Lichvar 2018</w:t>
            </w:r>
          </w:p>
        </w:tc>
        <w:tc>
          <w:tcPr>
            <w:tcW w:w="555" w:type="pct"/>
            <w:vMerge w:val="restart"/>
            <w:vAlign w:val="center"/>
          </w:tcPr>
          <w:p w14:paraId="1EFA9235" w14:textId="77777777" w:rsidR="00A84955" w:rsidRDefault="00A84955" w:rsidP="001B34DD">
            <w:pPr>
              <w:pStyle w:val="Tabletext"/>
              <w:rPr>
                <w:snapToGrid w:val="0"/>
              </w:rPr>
            </w:pPr>
            <w:r>
              <w:t>Lung transplant</w:t>
            </w:r>
          </w:p>
        </w:tc>
        <w:tc>
          <w:tcPr>
            <w:tcW w:w="374" w:type="pct"/>
            <w:vMerge w:val="restart"/>
            <w:vAlign w:val="center"/>
          </w:tcPr>
          <w:p w14:paraId="0DC7D09A" w14:textId="77777777" w:rsidR="00A84955" w:rsidRDefault="00A84955" w:rsidP="001B34DD">
            <w:pPr>
              <w:pStyle w:val="Tabletext"/>
              <w:rPr>
                <w:rFonts w:cs="Calibri"/>
                <w:color w:val="000000"/>
              </w:rPr>
            </w:pPr>
            <w:r>
              <w:rPr>
                <w:rFonts w:cs="Calibri"/>
                <w:color w:val="000000"/>
              </w:rPr>
              <w:t>Serious</w:t>
            </w:r>
          </w:p>
        </w:tc>
        <w:tc>
          <w:tcPr>
            <w:tcW w:w="732" w:type="pct"/>
            <w:vAlign w:val="center"/>
          </w:tcPr>
          <w:p w14:paraId="459A5326" w14:textId="77777777" w:rsidR="00A84955" w:rsidRDefault="00A84955" w:rsidP="001B34DD">
            <w:pPr>
              <w:pStyle w:val="Tabletext"/>
              <w:rPr>
                <w:rFonts w:cs="Calibri"/>
                <w:color w:val="000000"/>
              </w:rPr>
            </w:pPr>
            <w:r>
              <w:rPr>
                <w:rFonts w:cs="Calibri"/>
                <w:color w:val="000000"/>
              </w:rPr>
              <w:t>0.50 (0.33-1.00)</w:t>
            </w:r>
          </w:p>
        </w:tc>
        <w:tc>
          <w:tcPr>
            <w:tcW w:w="655" w:type="pct"/>
            <w:vAlign w:val="center"/>
          </w:tcPr>
          <w:p w14:paraId="4C74C347" w14:textId="77777777" w:rsidR="00A84955" w:rsidRDefault="00A84955" w:rsidP="001B34DD">
            <w:pPr>
              <w:pStyle w:val="Tabletext"/>
              <w:rPr>
                <w:rFonts w:cs="Calibri"/>
                <w:color w:val="000000"/>
              </w:rPr>
            </w:pPr>
            <w:r>
              <w:rPr>
                <w:rFonts w:cs="Calibri"/>
                <w:color w:val="000000"/>
              </w:rPr>
              <w:t>0.50 (0.33-0.75)</w:t>
            </w:r>
          </w:p>
        </w:tc>
        <w:tc>
          <w:tcPr>
            <w:tcW w:w="638" w:type="pct"/>
          </w:tcPr>
          <w:p w14:paraId="367458E7" w14:textId="77777777" w:rsidR="00A84955" w:rsidRPr="00310271" w:rsidRDefault="00A84955" w:rsidP="001B34DD">
            <w:pPr>
              <w:pStyle w:val="Tabletext"/>
              <w:rPr>
                <w:rFonts w:cs="Calibri"/>
                <w:color w:val="000000"/>
              </w:rPr>
            </w:pPr>
            <w:r w:rsidRPr="00525105">
              <w:rPr>
                <w:rFonts w:cs="Calibri"/>
                <w:color w:val="000000"/>
              </w:rPr>
              <w:t>NR</w:t>
            </w:r>
          </w:p>
        </w:tc>
        <w:tc>
          <w:tcPr>
            <w:tcW w:w="711" w:type="pct"/>
          </w:tcPr>
          <w:p w14:paraId="28837527" w14:textId="77777777" w:rsidR="00A84955" w:rsidRPr="004056C2" w:rsidRDefault="00A84955" w:rsidP="001B34DD">
            <w:pPr>
              <w:pStyle w:val="Tabletext"/>
              <w:rPr>
                <w:rFonts w:cs="Calibri"/>
                <w:color w:val="000000"/>
              </w:rPr>
            </w:pPr>
            <w:r w:rsidRPr="00B74DE6">
              <w:rPr>
                <w:rFonts w:cs="Calibri"/>
                <w:color w:val="000000"/>
              </w:rPr>
              <w:t>NR</w:t>
            </w:r>
          </w:p>
        </w:tc>
        <w:tc>
          <w:tcPr>
            <w:tcW w:w="416" w:type="pct"/>
            <w:vAlign w:val="center"/>
          </w:tcPr>
          <w:p w14:paraId="56322DD6" w14:textId="77777777" w:rsidR="00A84955" w:rsidRDefault="00A84955" w:rsidP="001B34DD">
            <w:pPr>
              <w:pStyle w:val="Tabletext"/>
              <w:rPr>
                <w:rFonts w:cs="Calibri"/>
                <w:color w:val="000000"/>
              </w:rPr>
            </w:pPr>
            <w:r>
              <w:rPr>
                <w:rFonts w:cs="Calibri"/>
                <w:color w:val="000000"/>
              </w:rPr>
              <w:t>1y</w:t>
            </w:r>
          </w:p>
        </w:tc>
        <w:tc>
          <w:tcPr>
            <w:tcW w:w="420" w:type="pct"/>
          </w:tcPr>
          <w:p w14:paraId="5E154E52" w14:textId="77777777" w:rsidR="00A84955" w:rsidRPr="00D06A7A" w:rsidRDefault="00A84955" w:rsidP="001B34DD">
            <w:pPr>
              <w:pStyle w:val="Tabletext"/>
              <w:rPr>
                <w:rFonts w:ascii="Cambria Math" w:hAnsi="Cambria Math"/>
                <w:color w:val="00B050"/>
              </w:rPr>
            </w:pPr>
            <w:r w:rsidRPr="00D06A7A">
              <w:rPr>
                <w:rFonts w:ascii="Cambria Math" w:hAnsi="Cambria Math"/>
                <w:color w:val="00B050"/>
              </w:rPr>
              <w:t>⨁</w:t>
            </w:r>
            <w:r w:rsidRPr="00D06A7A">
              <w:rPr>
                <w:rFonts w:ascii="Cambria Math" w:hAnsi="Cambria Math" w:cs="Cambria Math"/>
                <w:color w:val="C00000"/>
              </w:rPr>
              <w:t>⨀⨀⨀</w:t>
            </w:r>
          </w:p>
        </w:tc>
      </w:tr>
      <w:tr w:rsidR="00A84955" w:rsidRPr="005E03AC" w14:paraId="7046EA35" w14:textId="77777777" w:rsidTr="001B34DD">
        <w:tc>
          <w:tcPr>
            <w:tcW w:w="499" w:type="pct"/>
            <w:vMerge/>
            <w:vAlign w:val="center"/>
          </w:tcPr>
          <w:p w14:paraId="7C162CA5" w14:textId="77777777" w:rsidR="00A84955" w:rsidRPr="00ED3FEC" w:rsidRDefault="00A84955" w:rsidP="001B34DD">
            <w:pPr>
              <w:pStyle w:val="Tabletext"/>
              <w:rPr>
                <w:snapToGrid w:val="0"/>
              </w:rPr>
            </w:pPr>
          </w:p>
        </w:tc>
        <w:tc>
          <w:tcPr>
            <w:tcW w:w="555" w:type="pct"/>
            <w:vMerge/>
            <w:vAlign w:val="center"/>
          </w:tcPr>
          <w:p w14:paraId="79BBB4F1" w14:textId="77777777" w:rsidR="00A84955" w:rsidRDefault="00A84955" w:rsidP="001B34DD">
            <w:pPr>
              <w:pStyle w:val="Tabletext"/>
              <w:rPr>
                <w:snapToGrid w:val="0"/>
              </w:rPr>
            </w:pPr>
          </w:p>
        </w:tc>
        <w:tc>
          <w:tcPr>
            <w:tcW w:w="374" w:type="pct"/>
            <w:vMerge/>
            <w:vAlign w:val="center"/>
          </w:tcPr>
          <w:p w14:paraId="31197D42" w14:textId="77777777" w:rsidR="00A84955" w:rsidRDefault="00A84955" w:rsidP="001B34DD">
            <w:pPr>
              <w:pStyle w:val="Tabletext"/>
              <w:rPr>
                <w:rFonts w:cs="Calibri"/>
                <w:color w:val="000000"/>
              </w:rPr>
            </w:pPr>
          </w:p>
        </w:tc>
        <w:tc>
          <w:tcPr>
            <w:tcW w:w="732" w:type="pct"/>
            <w:vAlign w:val="center"/>
          </w:tcPr>
          <w:p w14:paraId="39E7229F" w14:textId="77777777" w:rsidR="00A84955" w:rsidRDefault="00A84955" w:rsidP="001B34DD">
            <w:pPr>
              <w:pStyle w:val="Tabletext"/>
              <w:rPr>
                <w:rFonts w:cs="Calibri"/>
                <w:color w:val="000000"/>
              </w:rPr>
            </w:pPr>
            <w:r>
              <w:rPr>
                <w:rFonts w:cs="Calibri"/>
                <w:color w:val="000000"/>
              </w:rPr>
              <w:t>0.50 (0.29-0.83)</w:t>
            </w:r>
          </w:p>
        </w:tc>
        <w:tc>
          <w:tcPr>
            <w:tcW w:w="655" w:type="pct"/>
            <w:vAlign w:val="center"/>
          </w:tcPr>
          <w:p w14:paraId="7327F8D6" w14:textId="77777777" w:rsidR="00A84955" w:rsidRDefault="00A84955" w:rsidP="001B34DD">
            <w:pPr>
              <w:pStyle w:val="Tabletext"/>
              <w:rPr>
                <w:rFonts w:cs="Calibri"/>
                <w:color w:val="000000"/>
              </w:rPr>
            </w:pPr>
            <w:r>
              <w:rPr>
                <w:rFonts w:cs="Calibri"/>
                <w:color w:val="000000"/>
              </w:rPr>
              <w:t>0.50 (0.33-0.75)</w:t>
            </w:r>
          </w:p>
        </w:tc>
        <w:tc>
          <w:tcPr>
            <w:tcW w:w="638" w:type="pct"/>
          </w:tcPr>
          <w:p w14:paraId="5F822A18" w14:textId="77777777" w:rsidR="00A84955" w:rsidRPr="00310271" w:rsidRDefault="00A84955" w:rsidP="001B34DD">
            <w:pPr>
              <w:pStyle w:val="Tabletext"/>
              <w:rPr>
                <w:rFonts w:cs="Calibri"/>
                <w:color w:val="000000"/>
              </w:rPr>
            </w:pPr>
            <w:r w:rsidRPr="00525105">
              <w:rPr>
                <w:rFonts w:cs="Calibri"/>
                <w:color w:val="000000"/>
              </w:rPr>
              <w:t>NR</w:t>
            </w:r>
          </w:p>
        </w:tc>
        <w:tc>
          <w:tcPr>
            <w:tcW w:w="711" w:type="pct"/>
          </w:tcPr>
          <w:p w14:paraId="1F95BA68" w14:textId="77777777" w:rsidR="00A84955" w:rsidRPr="004056C2" w:rsidRDefault="00A84955" w:rsidP="001B34DD">
            <w:pPr>
              <w:pStyle w:val="Tabletext"/>
              <w:rPr>
                <w:rFonts w:cs="Calibri"/>
                <w:color w:val="000000"/>
              </w:rPr>
            </w:pPr>
            <w:r w:rsidRPr="00B74DE6">
              <w:rPr>
                <w:rFonts w:cs="Calibri"/>
                <w:color w:val="000000"/>
              </w:rPr>
              <w:t>NR</w:t>
            </w:r>
          </w:p>
        </w:tc>
        <w:tc>
          <w:tcPr>
            <w:tcW w:w="416" w:type="pct"/>
            <w:vAlign w:val="center"/>
          </w:tcPr>
          <w:p w14:paraId="4E1CD988" w14:textId="77777777" w:rsidR="00A84955" w:rsidRDefault="00A84955" w:rsidP="001B34DD">
            <w:pPr>
              <w:pStyle w:val="Tabletext"/>
              <w:rPr>
                <w:rFonts w:cs="Calibri"/>
                <w:color w:val="000000"/>
              </w:rPr>
            </w:pPr>
            <w:r>
              <w:rPr>
                <w:rFonts w:cs="Calibri"/>
                <w:color w:val="000000"/>
              </w:rPr>
              <w:t>2y</w:t>
            </w:r>
          </w:p>
        </w:tc>
        <w:tc>
          <w:tcPr>
            <w:tcW w:w="420" w:type="pct"/>
          </w:tcPr>
          <w:p w14:paraId="43D2279F" w14:textId="77777777" w:rsidR="00A84955" w:rsidRPr="00D06A7A" w:rsidRDefault="00A84955" w:rsidP="001B34DD">
            <w:pPr>
              <w:pStyle w:val="Tabletext"/>
              <w:rPr>
                <w:rFonts w:ascii="Cambria Math" w:hAnsi="Cambria Math"/>
                <w:color w:val="00B050"/>
              </w:rPr>
            </w:pPr>
            <w:r w:rsidRPr="00D06A7A">
              <w:rPr>
                <w:rFonts w:ascii="Cambria Math" w:hAnsi="Cambria Math"/>
                <w:color w:val="00B050"/>
              </w:rPr>
              <w:t>⨁</w:t>
            </w:r>
            <w:r w:rsidRPr="00D06A7A">
              <w:rPr>
                <w:rFonts w:ascii="Cambria Math" w:hAnsi="Cambria Math" w:cs="Cambria Math"/>
                <w:color w:val="C00000"/>
              </w:rPr>
              <w:t>⨀⨀⨀</w:t>
            </w:r>
          </w:p>
        </w:tc>
      </w:tr>
      <w:tr w:rsidR="00A84955" w:rsidRPr="005E03AC" w14:paraId="2892010F" w14:textId="77777777" w:rsidTr="001B34DD">
        <w:tc>
          <w:tcPr>
            <w:tcW w:w="499" w:type="pct"/>
            <w:vMerge/>
            <w:vAlign w:val="center"/>
          </w:tcPr>
          <w:p w14:paraId="6B93DF39" w14:textId="77777777" w:rsidR="00A84955" w:rsidRPr="00ED3FEC" w:rsidRDefault="00A84955" w:rsidP="001B34DD">
            <w:pPr>
              <w:pStyle w:val="Tabletext"/>
              <w:rPr>
                <w:snapToGrid w:val="0"/>
              </w:rPr>
            </w:pPr>
          </w:p>
        </w:tc>
        <w:tc>
          <w:tcPr>
            <w:tcW w:w="555" w:type="pct"/>
            <w:vMerge/>
            <w:vAlign w:val="center"/>
          </w:tcPr>
          <w:p w14:paraId="22E7842C" w14:textId="77777777" w:rsidR="00A84955" w:rsidRDefault="00A84955" w:rsidP="001B34DD">
            <w:pPr>
              <w:pStyle w:val="Tabletext"/>
              <w:rPr>
                <w:snapToGrid w:val="0"/>
              </w:rPr>
            </w:pPr>
          </w:p>
        </w:tc>
        <w:tc>
          <w:tcPr>
            <w:tcW w:w="374" w:type="pct"/>
            <w:vMerge/>
            <w:vAlign w:val="center"/>
          </w:tcPr>
          <w:p w14:paraId="26C64635" w14:textId="77777777" w:rsidR="00A84955" w:rsidRDefault="00A84955" w:rsidP="001B34DD">
            <w:pPr>
              <w:pStyle w:val="Tabletext"/>
              <w:rPr>
                <w:rFonts w:cs="Calibri"/>
                <w:color w:val="000000"/>
              </w:rPr>
            </w:pPr>
          </w:p>
        </w:tc>
        <w:tc>
          <w:tcPr>
            <w:tcW w:w="732" w:type="pct"/>
            <w:vAlign w:val="center"/>
          </w:tcPr>
          <w:p w14:paraId="1F8017E7" w14:textId="77777777" w:rsidR="00A84955" w:rsidRDefault="00A84955" w:rsidP="001B34DD">
            <w:pPr>
              <w:pStyle w:val="Tabletext"/>
              <w:rPr>
                <w:rFonts w:cs="Calibri"/>
                <w:color w:val="000000"/>
              </w:rPr>
            </w:pPr>
            <w:r>
              <w:rPr>
                <w:rFonts w:cs="Calibri"/>
                <w:color w:val="000000"/>
              </w:rPr>
              <w:t>0.50 (0.30-0.83)</w:t>
            </w:r>
          </w:p>
        </w:tc>
        <w:tc>
          <w:tcPr>
            <w:tcW w:w="655" w:type="pct"/>
            <w:vAlign w:val="center"/>
          </w:tcPr>
          <w:p w14:paraId="1021B8AF" w14:textId="77777777" w:rsidR="00A84955" w:rsidRDefault="00A84955" w:rsidP="001B34DD">
            <w:pPr>
              <w:pStyle w:val="Tabletext"/>
              <w:rPr>
                <w:rFonts w:cs="Calibri"/>
                <w:color w:val="000000"/>
              </w:rPr>
            </w:pPr>
            <w:r>
              <w:rPr>
                <w:rFonts w:cs="Calibri"/>
                <w:color w:val="000000"/>
              </w:rPr>
              <w:t>0.38 (0.25-0.60)</w:t>
            </w:r>
          </w:p>
        </w:tc>
        <w:tc>
          <w:tcPr>
            <w:tcW w:w="638" w:type="pct"/>
          </w:tcPr>
          <w:p w14:paraId="78B6DB27" w14:textId="77777777" w:rsidR="00A84955" w:rsidRPr="00310271" w:rsidRDefault="00A84955" w:rsidP="001B34DD">
            <w:pPr>
              <w:pStyle w:val="Tabletext"/>
              <w:rPr>
                <w:rFonts w:cs="Calibri"/>
                <w:color w:val="000000"/>
              </w:rPr>
            </w:pPr>
            <w:r w:rsidRPr="00525105">
              <w:rPr>
                <w:rFonts w:cs="Calibri"/>
                <w:color w:val="000000"/>
              </w:rPr>
              <w:t>NR</w:t>
            </w:r>
          </w:p>
        </w:tc>
        <w:tc>
          <w:tcPr>
            <w:tcW w:w="711" w:type="pct"/>
          </w:tcPr>
          <w:p w14:paraId="1A024F3F" w14:textId="77777777" w:rsidR="00A84955" w:rsidRPr="004056C2" w:rsidRDefault="00A84955" w:rsidP="001B34DD">
            <w:pPr>
              <w:pStyle w:val="Tabletext"/>
              <w:rPr>
                <w:rFonts w:cs="Calibri"/>
                <w:color w:val="000000"/>
              </w:rPr>
            </w:pPr>
            <w:r w:rsidRPr="00B74DE6">
              <w:rPr>
                <w:rFonts w:cs="Calibri"/>
                <w:color w:val="000000"/>
              </w:rPr>
              <w:t>NR</w:t>
            </w:r>
          </w:p>
        </w:tc>
        <w:tc>
          <w:tcPr>
            <w:tcW w:w="416" w:type="pct"/>
            <w:vAlign w:val="center"/>
          </w:tcPr>
          <w:p w14:paraId="65A6E2E6" w14:textId="77777777" w:rsidR="00A84955" w:rsidRDefault="00A84955" w:rsidP="001B34DD">
            <w:pPr>
              <w:pStyle w:val="Tabletext"/>
              <w:rPr>
                <w:rFonts w:cs="Calibri"/>
                <w:color w:val="000000"/>
              </w:rPr>
            </w:pPr>
            <w:r>
              <w:rPr>
                <w:rFonts w:cs="Calibri"/>
                <w:color w:val="000000"/>
              </w:rPr>
              <w:t>5y</w:t>
            </w:r>
          </w:p>
        </w:tc>
        <w:tc>
          <w:tcPr>
            <w:tcW w:w="420" w:type="pct"/>
          </w:tcPr>
          <w:p w14:paraId="4E5B888A" w14:textId="77777777" w:rsidR="00A84955" w:rsidRPr="00D06A7A" w:rsidRDefault="00A84955" w:rsidP="001B34DD">
            <w:pPr>
              <w:pStyle w:val="Tabletext"/>
              <w:rPr>
                <w:rFonts w:ascii="Cambria Math" w:hAnsi="Cambria Math"/>
                <w:color w:val="00B050"/>
              </w:rPr>
            </w:pPr>
            <w:r w:rsidRPr="00D06A7A">
              <w:rPr>
                <w:rFonts w:ascii="Cambria Math" w:hAnsi="Cambria Math"/>
                <w:color w:val="00B050"/>
              </w:rPr>
              <w:t>⨁</w:t>
            </w:r>
            <w:r w:rsidRPr="00D06A7A">
              <w:rPr>
                <w:rFonts w:ascii="Cambria Math" w:hAnsi="Cambria Math" w:cs="Cambria Math"/>
                <w:color w:val="C00000"/>
              </w:rPr>
              <w:t>⨀⨀⨀</w:t>
            </w:r>
          </w:p>
        </w:tc>
      </w:tr>
      <w:tr w:rsidR="00A84955" w:rsidRPr="00C606B0" w14:paraId="0D121B74" w14:textId="77777777" w:rsidTr="001B34DD">
        <w:tc>
          <w:tcPr>
            <w:tcW w:w="5000" w:type="pct"/>
            <w:gridSpan w:val="9"/>
          </w:tcPr>
          <w:p w14:paraId="043F57A6" w14:textId="77777777" w:rsidR="00A84955" w:rsidRPr="00C606B0" w:rsidRDefault="00A84955" w:rsidP="001B34DD">
            <w:pPr>
              <w:pStyle w:val="Tabletext"/>
              <w:rPr>
                <w:b/>
                <w:bCs/>
                <w:snapToGrid w:val="0"/>
              </w:rPr>
            </w:pPr>
            <w:r w:rsidRPr="00C606B0">
              <w:rPr>
                <w:b/>
                <w:bCs/>
                <w:snapToGrid w:val="0"/>
              </w:rPr>
              <w:t>Overall survival</w:t>
            </w:r>
          </w:p>
        </w:tc>
      </w:tr>
      <w:tr w:rsidR="00A84955" w:rsidRPr="005E03AC" w14:paraId="3BCCEF90" w14:textId="77777777" w:rsidTr="001B34DD">
        <w:tc>
          <w:tcPr>
            <w:tcW w:w="499" w:type="pct"/>
            <w:vMerge w:val="restart"/>
            <w:vAlign w:val="center"/>
          </w:tcPr>
          <w:p w14:paraId="0AB3E1B3" w14:textId="77777777" w:rsidR="00A84955" w:rsidRDefault="00A84955" w:rsidP="001B34DD">
            <w:pPr>
              <w:pStyle w:val="Tabletext"/>
              <w:rPr>
                <w:snapToGrid w:val="0"/>
              </w:rPr>
            </w:pPr>
            <w:r>
              <w:t>Lichvar 2018</w:t>
            </w:r>
          </w:p>
        </w:tc>
        <w:tc>
          <w:tcPr>
            <w:tcW w:w="555" w:type="pct"/>
            <w:vMerge w:val="restart"/>
            <w:vAlign w:val="center"/>
          </w:tcPr>
          <w:p w14:paraId="31E6381D" w14:textId="77777777" w:rsidR="00A84955" w:rsidRDefault="00A84955" w:rsidP="001B34DD">
            <w:pPr>
              <w:pStyle w:val="Tabletext"/>
              <w:rPr>
                <w:snapToGrid w:val="0"/>
              </w:rPr>
            </w:pPr>
            <w:r>
              <w:t>Lung transplant</w:t>
            </w:r>
          </w:p>
        </w:tc>
        <w:tc>
          <w:tcPr>
            <w:tcW w:w="374" w:type="pct"/>
            <w:vMerge w:val="restart"/>
            <w:vAlign w:val="center"/>
          </w:tcPr>
          <w:p w14:paraId="68039131" w14:textId="77777777" w:rsidR="00A84955" w:rsidRDefault="00A84955" w:rsidP="001B34DD">
            <w:pPr>
              <w:pStyle w:val="Tabletext"/>
              <w:rPr>
                <w:snapToGrid w:val="0"/>
              </w:rPr>
            </w:pPr>
            <w:r>
              <w:rPr>
                <w:rFonts w:cs="Calibri"/>
                <w:color w:val="000000"/>
              </w:rPr>
              <w:t>Serious</w:t>
            </w:r>
          </w:p>
        </w:tc>
        <w:tc>
          <w:tcPr>
            <w:tcW w:w="732" w:type="pct"/>
            <w:vAlign w:val="center"/>
          </w:tcPr>
          <w:p w14:paraId="6BE5EAC7" w14:textId="77777777" w:rsidR="00A84955" w:rsidRDefault="00A84955" w:rsidP="001B34DD">
            <w:pPr>
              <w:pStyle w:val="Tabletext"/>
              <w:rPr>
                <w:snapToGrid w:val="0"/>
              </w:rPr>
            </w:pPr>
            <w:r>
              <w:rPr>
                <w:rFonts w:cs="Calibri"/>
                <w:color w:val="000000"/>
              </w:rPr>
              <w:t>75.0</w:t>
            </w:r>
          </w:p>
        </w:tc>
        <w:tc>
          <w:tcPr>
            <w:tcW w:w="655" w:type="pct"/>
            <w:vAlign w:val="center"/>
          </w:tcPr>
          <w:p w14:paraId="6E6CB64C" w14:textId="77777777" w:rsidR="00A84955" w:rsidRDefault="00A84955" w:rsidP="001B34DD">
            <w:pPr>
              <w:pStyle w:val="Tabletext"/>
              <w:rPr>
                <w:snapToGrid w:val="0"/>
              </w:rPr>
            </w:pPr>
            <w:r>
              <w:rPr>
                <w:rFonts w:cs="Calibri"/>
                <w:color w:val="000000"/>
              </w:rPr>
              <w:t>88.0</w:t>
            </w:r>
          </w:p>
        </w:tc>
        <w:tc>
          <w:tcPr>
            <w:tcW w:w="638" w:type="pct"/>
            <w:vAlign w:val="center"/>
          </w:tcPr>
          <w:p w14:paraId="5B9A71ED" w14:textId="77777777" w:rsidR="00A84955" w:rsidRPr="00024B1F" w:rsidRDefault="00A84955" w:rsidP="001B34DD">
            <w:pPr>
              <w:pStyle w:val="Tabletext"/>
              <w:rPr>
                <w:b/>
                <w:bCs/>
                <w:snapToGrid w:val="0"/>
              </w:rPr>
            </w:pPr>
            <w:r w:rsidRPr="00351012">
              <w:rPr>
                <w:rFonts w:cs="Calibri"/>
                <w:color w:val="000000"/>
              </w:rPr>
              <w:t>13</w:t>
            </w:r>
          </w:p>
        </w:tc>
        <w:tc>
          <w:tcPr>
            <w:tcW w:w="711" w:type="pct"/>
            <w:vAlign w:val="center"/>
          </w:tcPr>
          <w:p w14:paraId="4F1175BA" w14:textId="77777777" w:rsidR="00A84955" w:rsidRDefault="00A84955" w:rsidP="001B34DD">
            <w:pPr>
              <w:pStyle w:val="Tabletext"/>
              <w:rPr>
                <w:snapToGrid w:val="0"/>
              </w:rPr>
            </w:pPr>
            <w:r>
              <w:rPr>
                <w:rFonts w:cs="Calibri"/>
                <w:color w:val="000000"/>
              </w:rPr>
              <w:t>P=0.006</w:t>
            </w:r>
          </w:p>
        </w:tc>
        <w:tc>
          <w:tcPr>
            <w:tcW w:w="416" w:type="pct"/>
            <w:vAlign w:val="center"/>
          </w:tcPr>
          <w:p w14:paraId="6BDE383C" w14:textId="77777777" w:rsidR="00A84955" w:rsidRDefault="00A84955" w:rsidP="001B34DD">
            <w:pPr>
              <w:pStyle w:val="Tabletext"/>
              <w:rPr>
                <w:snapToGrid w:val="0"/>
              </w:rPr>
            </w:pPr>
            <w:r>
              <w:rPr>
                <w:snapToGrid w:val="0"/>
              </w:rPr>
              <w:t>1y</w:t>
            </w:r>
          </w:p>
        </w:tc>
        <w:tc>
          <w:tcPr>
            <w:tcW w:w="420" w:type="pct"/>
          </w:tcPr>
          <w:p w14:paraId="47204391" w14:textId="77777777" w:rsidR="00A84955" w:rsidRDefault="00A84955" w:rsidP="001B34DD">
            <w:pPr>
              <w:pStyle w:val="Tabletext"/>
              <w:rPr>
                <w:snapToGrid w:val="0"/>
              </w:rPr>
            </w:pPr>
            <w:r w:rsidRPr="00917C93">
              <w:rPr>
                <w:rFonts w:ascii="Cambria Math" w:hAnsi="Cambria Math"/>
                <w:color w:val="00B050"/>
              </w:rPr>
              <w:t>⨁</w:t>
            </w:r>
            <w:r w:rsidRPr="00917C93">
              <w:rPr>
                <w:rFonts w:ascii="Cambria Math" w:hAnsi="Cambria Math" w:cs="Cambria Math"/>
                <w:color w:val="C00000"/>
              </w:rPr>
              <w:t>⨀⨀⨀</w:t>
            </w:r>
          </w:p>
        </w:tc>
      </w:tr>
      <w:tr w:rsidR="00A84955" w:rsidRPr="005E03AC" w14:paraId="5E72F64F" w14:textId="77777777" w:rsidTr="001B34DD">
        <w:tc>
          <w:tcPr>
            <w:tcW w:w="499" w:type="pct"/>
            <w:vMerge/>
          </w:tcPr>
          <w:p w14:paraId="400F31A4" w14:textId="77777777" w:rsidR="00A84955" w:rsidRDefault="00A84955" w:rsidP="001B34DD">
            <w:pPr>
              <w:pStyle w:val="Tabletext"/>
              <w:rPr>
                <w:snapToGrid w:val="0"/>
              </w:rPr>
            </w:pPr>
          </w:p>
        </w:tc>
        <w:tc>
          <w:tcPr>
            <w:tcW w:w="555" w:type="pct"/>
            <w:vMerge/>
          </w:tcPr>
          <w:p w14:paraId="21F0419D" w14:textId="77777777" w:rsidR="00A84955" w:rsidRDefault="00A84955" w:rsidP="001B34DD">
            <w:pPr>
              <w:pStyle w:val="Tabletext"/>
              <w:rPr>
                <w:snapToGrid w:val="0"/>
              </w:rPr>
            </w:pPr>
          </w:p>
        </w:tc>
        <w:tc>
          <w:tcPr>
            <w:tcW w:w="374" w:type="pct"/>
            <w:vMerge/>
          </w:tcPr>
          <w:p w14:paraId="1911E021" w14:textId="77777777" w:rsidR="00A84955" w:rsidRDefault="00A84955" w:rsidP="001B34DD">
            <w:pPr>
              <w:pStyle w:val="Tabletext"/>
              <w:rPr>
                <w:snapToGrid w:val="0"/>
              </w:rPr>
            </w:pPr>
          </w:p>
        </w:tc>
        <w:tc>
          <w:tcPr>
            <w:tcW w:w="732" w:type="pct"/>
          </w:tcPr>
          <w:p w14:paraId="5DD01F63" w14:textId="77777777" w:rsidR="00A84955" w:rsidRDefault="00A84955" w:rsidP="001B34DD">
            <w:pPr>
              <w:pStyle w:val="Tabletext"/>
              <w:rPr>
                <w:snapToGrid w:val="0"/>
              </w:rPr>
            </w:pPr>
            <w:r>
              <w:rPr>
                <w:rFonts w:cs="Calibri"/>
                <w:color w:val="000000"/>
              </w:rPr>
              <w:t>64.8</w:t>
            </w:r>
          </w:p>
        </w:tc>
        <w:tc>
          <w:tcPr>
            <w:tcW w:w="655" w:type="pct"/>
          </w:tcPr>
          <w:p w14:paraId="14510B29" w14:textId="77777777" w:rsidR="00A84955" w:rsidRDefault="00A84955" w:rsidP="001B34DD">
            <w:pPr>
              <w:pStyle w:val="Tabletext"/>
              <w:rPr>
                <w:snapToGrid w:val="0"/>
              </w:rPr>
            </w:pPr>
            <w:r>
              <w:rPr>
                <w:rFonts w:cs="Calibri"/>
                <w:color w:val="000000"/>
              </w:rPr>
              <w:t>81.3</w:t>
            </w:r>
          </w:p>
        </w:tc>
        <w:tc>
          <w:tcPr>
            <w:tcW w:w="638" w:type="pct"/>
          </w:tcPr>
          <w:p w14:paraId="0425D07B" w14:textId="77777777" w:rsidR="00A84955" w:rsidRPr="00024B1F" w:rsidRDefault="00A84955" w:rsidP="001B34DD">
            <w:pPr>
              <w:pStyle w:val="Tabletext"/>
              <w:rPr>
                <w:b/>
                <w:bCs/>
                <w:snapToGrid w:val="0"/>
              </w:rPr>
            </w:pPr>
            <w:r>
              <w:rPr>
                <w:rFonts w:cs="Calibri"/>
                <w:color w:val="000000"/>
              </w:rPr>
              <w:t>16.5</w:t>
            </w:r>
          </w:p>
        </w:tc>
        <w:tc>
          <w:tcPr>
            <w:tcW w:w="711" w:type="pct"/>
          </w:tcPr>
          <w:p w14:paraId="39BBB515" w14:textId="77777777" w:rsidR="00A84955" w:rsidRDefault="00A84955" w:rsidP="001B34DD">
            <w:pPr>
              <w:pStyle w:val="Tabletext"/>
              <w:rPr>
                <w:snapToGrid w:val="0"/>
              </w:rPr>
            </w:pPr>
            <w:r>
              <w:rPr>
                <w:rFonts w:cs="Calibri"/>
                <w:color w:val="000000"/>
              </w:rPr>
              <w:t>p&lt;0.001</w:t>
            </w:r>
          </w:p>
        </w:tc>
        <w:tc>
          <w:tcPr>
            <w:tcW w:w="416" w:type="pct"/>
          </w:tcPr>
          <w:p w14:paraId="711EBB85" w14:textId="77777777" w:rsidR="00A84955" w:rsidRDefault="00A84955" w:rsidP="001B34DD">
            <w:pPr>
              <w:pStyle w:val="Tabletext"/>
              <w:rPr>
                <w:snapToGrid w:val="0"/>
              </w:rPr>
            </w:pPr>
            <w:r>
              <w:rPr>
                <w:snapToGrid w:val="0"/>
              </w:rPr>
              <w:t>2y</w:t>
            </w:r>
          </w:p>
        </w:tc>
        <w:tc>
          <w:tcPr>
            <w:tcW w:w="420" w:type="pct"/>
          </w:tcPr>
          <w:p w14:paraId="430CD5CD" w14:textId="77777777" w:rsidR="00A84955" w:rsidRDefault="00A84955" w:rsidP="001B34DD">
            <w:pPr>
              <w:pStyle w:val="Tabletext"/>
              <w:rPr>
                <w:snapToGrid w:val="0"/>
              </w:rPr>
            </w:pPr>
            <w:r w:rsidRPr="00917C93">
              <w:rPr>
                <w:rFonts w:ascii="Cambria Math" w:hAnsi="Cambria Math"/>
                <w:color w:val="00B050"/>
              </w:rPr>
              <w:t>⨁</w:t>
            </w:r>
            <w:r w:rsidRPr="00917C93">
              <w:rPr>
                <w:rFonts w:ascii="Cambria Math" w:hAnsi="Cambria Math" w:cs="Cambria Math"/>
                <w:color w:val="C00000"/>
              </w:rPr>
              <w:t>⨀⨀⨀</w:t>
            </w:r>
          </w:p>
        </w:tc>
      </w:tr>
      <w:tr w:rsidR="00A84955" w:rsidRPr="005E03AC" w14:paraId="49539BD1" w14:textId="77777777" w:rsidTr="001B34DD">
        <w:tc>
          <w:tcPr>
            <w:tcW w:w="499" w:type="pct"/>
            <w:vMerge/>
            <w:vAlign w:val="center"/>
          </w:tcPr>
          <w:p w14:paraId="7B60108F" w14:textId="77777777" w:rsidR="00A84955" w:rsidRDefault="00A84955" w:rsidP="001B34DD">
            <w:pPr>
              <w:pStyle w:val="Tabletext"/>
              <w:rPr>
                <w:snapToGrid w:val="0"/>
              </w:rPr>
            </w:pPr>
          </w:p>
        </w:tc>
        <w:tc>
          <w:tcPr>
            <w:tcW w:w="555" w:type="pct"/>
            <w:vMerge/>
          </w:tcPr>
          <w:p w14:paraId="2F683250" w14:textId="77777777" w:rsidR="00A84955" w:rsidRDefault="00A84955" w:rsidP="001B34DD">
            <w:pPr>
              <w:pStyle w:val="Tabletext"/>
              <w:rPr>
                <w:snapToGrid w:val="0"/>
              </w:rPr>
            </w:pPr>
          </w:p>
        </w:tc>
        <w:tc>
          <w:tcPr>
            <w:tcW w:w="374" w:type="pct"/>
            <w:vMerge/>
          </w:tcPr>
          <w:p w14:paraId="4B5F0459" w14:textId="77777777" w:rsidR="00A84955" w:rsidRDefault="00A84955" w:rsidP="001B34DD">
            <w:pPr>
              <w:pStyle w:val="Tabletext"/>
              <w:rPr>
                <w:snapToGrid w:val="0"/>
              </w:rPr>
            </w:pPr>
          </w:p>
        </w:tc>
        <w:tc>
          <w:tcPr>
            <w:tcW w:w="732" w:type="pct"/>
          </w:tcPr>
          <w:p w14:paraId="1736A9A5" w14:textId="77777777" w:rsidR="00A84955" w:rsidRDefault="00A84955" w:rsidP="001B34DD">
            <w:pPr>
              <w:pStyle w:val="Tabletext"/>
              <w:rPr>
                <w:snapToGrid w:val="0"/>
              </w:rPr>
            </w:pPr>
            <w:r>
              <w:rPr>
                <w:rFonts w:cs="Calibri"/>
                <w:color w:val="000000"/>
              </w:rPr>
              <w:t>56.0</w:t>
            </w:r>
          </w:p>
        </w:tc>
        <w:tc>
          <w:tcPr>
            <w:tcW w:w="655" w:type="pct"/>
          </w:tcPr>
          <w:p w14:paraId="2716D438" w14:textId="77777777" w:rsidR="00A84955" w:rsidRDefault="00A84955" w:rsidP="001B34DD">
            <w:pPr>
              <w:pStyle w:val="Tabletext"/>
              <w:rPr>
                <w:snapToGrid w:val="0"/>
              </w:rPr>
            </w:pPr>
            <w:r>
              <w:rPr>
                <w:rFonts w:cs="Calibri"/>
                <w:color w:val="000000"/>
              </w:rPr>
              <w:t>67.2</w:t>
            </w:r>
          </w:p>
        </w:tc>
        <w:tc>
          <w:tcPr>
            <w:tcW w:w="638" w:type="pct"/>
          </w:tcPr>
          <w:p w14:paraId="31D82171" w14:textId="77777777" w:rsidR="00A84955" w:rsidRPr="00024B1F" w:rsidRDefault="00A84955" w:rsidP="001B34DD">
            <w:pPr>
              <w:pStyle w:val="Tabletext"/>
              <w:rPr>
                <w:b/>
                <w:bCs/>
                <w:snapToGrid w:val="0"/>
              </w:rPr>
            </w:pPr>
            <w:r>
              <w:rPr>
                <w:rFonts w:cs="Calibri"/>
                <w:color w:val="000000"/>
              </w:rPr>
              <w:t>11.2</w:t>
            </w:r>
          </w:p>
        </w:tc>
        <w:tc>
          <w:tcPr>
            <w:tcW w:w="711" w:type="pct"/>
          </w:tcPr>
          <w:p w14:paraId="4B87AF43" w14:textId="77777777" w:rsidR="00A84955" w:rsidRDefault="00A84955" w:rsidP="001B34DD">
            <w:pPr>
              <w:pStyle w:val="Tabletext"/>
              <w:rPr>
                <w:snapToGrid w:val="0"/>
              </w:rPr>
            </w:pPr>
            <w:r>
              <w:rPr>
                <w:rFonts w:cs="Calibri"/>
                <w:color w:val="000000"/>
              </w:rPr>
              <w:t>P=0.006</w:t>
            </w:r>
          </w:p>
        </w:tc>
        <w:tc>
          <w:tcPr>
            <w:tcW w:w="416" w:type="pct"/>
            <w:vAlign w:val="center"/>
          </w:tcPr>
          <w:p w14:paraId="2F5B748F" w14:textId="77777777" w:rsidR="00A84955" w:rsidRDefault="00A84955" w:rsidP="001B34DD">
            <w:pPr>
              <w:pStyle w:val="Tabletext"/>
              <w:rPr>
                <w:snapToGrid w:val="0"/>
              </w:rPr>
            </w:pPr>
            <w:r>
              <w:rPr>
                <w:snapToGrid w:val="0"/>
              </w:rPr>
              <w:t>5y</w:t>
            </w:r>
          </w:p>
        </w:tc>
        <w:tc>
          <w:tcPr>
            <w:tcW w:w="420" w:type="pct"/>
          </w:tcPr>
          <w:p w14:paraId="629355E8" w14:textId="77777777" w:rsidR="00A84955" w:rsidRDefault="00A84955" w:rsidP="001B34DD">
            <w:pPr>
              <w:pStyle w:val="Tabletext"/>
              <w:rPr>
                <w:snapToGrid w:val="0"/>
              </w:rPr>
            </w:pPr>
            <w:r w:rsidRPr="00917C93">
              <w:rPr>
                <w:rFonts w:ascii="Cambria Math" w:hAnsi="Cambria Math"/>
                <w:color w:val="00B050"/>
              </w:rPr>
              <w:t>⨁</w:t>
            </w:r>
            <w:r w:rsidRPr="00917C93">
              <w:rPr>
                <w:rFonts w:ascii="Cambria Math" w:hAnsi="Cambria Math" w:cs="Cambria Math"/>
                <w:color w:val="C00000"/>
              </w:rPr>
              <w:t>⨀⨀⨀</w:t>
            </w:r>
          </w:p>
        </w:tc>
      </w:tr>
      <w:tr w:rsidR="00A84955" w:rsidRPr="00E300A6" w14:paraId="7BB6AB56" w14:textId="77777777" w:rsidTr="001B34DD">
        <w:tc>
          <w:tcPr>
            <w:tcW w:w="5000" w:type="pct"/>
            <w:gridSpan w:val="9"/>
            <w:vAlign w:val="center"/>
          </w:tcPr>
          <w:p w14:paraId="278D8867" w14:textId="77777777" w:rsidR="00A84955" w:rsidRPr="00E300A6" w:rsidRDefault="00A84955" w:rsidP="001B34DD">
            <w:pPr>
              <w:pStyle w:val="Tabletext"/>
              <w:rPr>
                <w:b/>
                <w:bCs/>
                <w:snapToGrid w:val="0"/>
              </w:rPr>
            </w:pPr>
            <w:r w:rsidRPr="00E300A6">
              <w:rPr>
                <w:b/>
                <w:bCs/>
                <w:snapToGrid w:val="0"/>
              </w:rPr>
              <w:t>Mortality rate</w:t>
            </w:r>
          </w:p>
        </w:tc>
      </w:tr>
      <w:tr w:rsidR="00A84955" w:rsidRPr="005E03AC" w14:paraId="631ACD76" w14:textId="77777777" w:rsidTr="001B34DD">
        <w:tc>
          <w:tcPr>
            <w:tcW w:w="499" w:type="pct"/>
            <w:vAlign w:val="center"/>
          </w:tcPr>
          <w:p w14:paraId="29D7ECDE" w14:textId="77777777" w:rsidR="00A84955" w:rsidRDefault="00A84955" w:rsidP="001B34DD">
            <w:pPr>
              <w:pStyle w:val="Tabletext"/>
              <w:rPr>
                <w:snapToGrid w:val="0"/>
              </w:rPr>
            </w:pPr>
            <w:r w:rsidRPr="00ED3FEC">
              <w:rPr>
                <w:snapToGrid w:val="0"/>
              </w:rPr>
              <w:t>Sarmiento 2016</w:t>
            </w:r>
          </w:p>
        </w:tc>
        <w:tc>
          <w:tcPr>
            <w:tcW w:w="555" w:type="pct"/>
            <w:vAlign w:val="center"/>
          </w:tcPr>
          <w:p w14:paraId="5BA6C668" w14:textId="77777777" w:rsidR="00A84955" w:rsidRDefault="00A84955" w:rsidP="001B34DD">
            <w:pPr>
              <w:pStyle w:val="Tabletext"/>
              <w:rPr>
                <w:snapToGrid w:val="0"/>
              </w:rPr>
            </w:pPr>
            <w:r>
              <w:rPr>
                <w:snapToGrid w:val="0"/>
              </w:rPr>
              <w:t>Heart transplant</w:t>
            </w:r>
          </w:p>
        </w:tc>
        <w:tc>
          <w:tcPr>
            <w:tcW w:w="374" w:type="pct"/>
            <w:vAlign w:val="center"/>
          </w:tcPr>
          <w:p w14:paraId="281661BE" w14:textId="77777777" w:rsidR="00A84955" w:rsidRDefault="00A84955" w:rsidP="001B34DD">
            <w:pPr>
              <w:pStyle w:val="Tabletext"/>
              <w:rPr>
                <w:snapToGrid w:val="0"/>
              </w:rPr>
            </w:pPr>
            <w:r>
              <w:rPr>
                <w:rFonts w:cs="Calibri"/>
                <w:color w:val="000000"/>
              </w:rPr>
              <w:t>Serious</w:t>
            </w:r>
          </w:p>
        </w:tc>
        <w:tc>
          <w:tcPr>
            <w:tcW w:w="732" w:type="pct"/>
            <w:vAlign w:val="center"/>
          </w:tcPr>
          <w:p w14:paraId="7DB08751" w14:textId="77777777" w:rsidR="00A84955" w:rsidRDefault="00A84955" w:rsidP="001B34DD">
            <w:pPr>
              <w:pStyle w:val="Tabletext"/>
              <w:rPr>
                <w:rFonts w:cs="Calibri"/>
                <w:color w:val="000000"/>
              </w:rPr>
            </w:pPr>
            <w:r>
              <w:rPr>
                <w:rFonts w:cs="Calibri"/>
                <w:color w:val="000000"/>
              </w:rPr>
              <w:t>3/11 (25)</w:t>
            </w:r>
          </w:p>
        </w:tc>
        <w:tc>
          <w:tcPr>
            <w:tcW w:w="655" w:type="pct"/>
            <w:vAlign w:val="center"/>
          </w:tcPr>
          <w:p w14:paraId="784431B2" w14:textId="77777777" w:rsidR="00A84955" w:rsidRDefault="00A84955" w:rsidP="001B34DD">
            <w:pPr>
              <w:pStyle w:val="Tabletext"/>
              <w:rPr>
                <w:rFonts w:cs="Calibri"/>
                <w:color w:val="000000"/>
              </w:rPr>
            </w:pPr>
            <w:r>
              <w:rPr>
                <w:rFonts w:cs="Calibri"/>
                <w:color w:val="000000"/>
              </w:rPr>
              <w:t>3/12 (23)</w:t>
            </w:r>
          </w:p>
        </w:tc>
        <w:tc>
          <w:tcPr>
            <w:tcW w:w="638" w:type="pct"/>
            <w:vAlign w:val="center"/>
          </w:tcPr>
          <w:p w14:paraId="6B3382DB" w14:textId="77777777" w:rsidR="00A84955" w:rsidRDefault="00A84955" w:rsidP="001B34DD">
            <w:pPr>
              <w:pStyle w:val="Tabletext"/>
              <w:rPr>
                <w:rFonts w:cs="Calibri"/>
                <w:color w:val="000000"/>
              </w:rPr>
            </w:pPr>
            <w:r w:rsidRPr="008C2844">
              <w:rPr>
                <w:rFonts w:cs="Calibri"/>
                <w:color w:val="000000"/>
              </w:rPr>
              <w:t xml:space="preserve">-0.01 </w:t>
            </w:r>
            <w:r>
              <w:rPr>
                <w:rFonts w:cs="Calibri"/>
                <w:color w:val="000000"/>
              </w:rPr>
              <w:t>(</w:t>
            </w:r>
            <w:r w:rsidRPr="008C2844">
              <w:rPr>
                <w:rFonts w:cs="Calibri"/>
                <w:color w:val="000000"/>
              </w:rPr>
              <w:t>-0.20, 0.18</w:t>
            </w:r>
            <w:r>
              <w:rPr>
                <w:rFonts w:cs="Calibri"/>
                <w:color w:val="000000"/>
              </w:rPr>
              <w:t>)</w:t>
            </w:r>
          </w:p>
        </w:tc>
        <w:tc>
          <w:tcPr>
            <w:tcW w:w="711" w:type="pct"/>
            <w:vAlign w:val="center"/>
          </w:tcPr>
          <w:p w14:paraId="322FFBE1" w14:textId="77777777" w:rsidR="00A84955" w:rsidRDefault="00A84955" w:rsidP="001B34DD">
            <w:pPr>
              <w:pStyle w:val="Tabletext"/>
              <w:rPr>
                <w:rFonts w:cs="Calibri"/>
                <w:color w:val="000000"/>
              </w:rPr>
            </w:pPr>
            <w:r w:rsidRPr="00FA6636">
              <w:rPr>
                <w:rFonts w:cs="Calibri"/>
                <w:color w:val="000000"/>
              </w:rPr>
              <w:t>RR 0.92 (0.21, 4.11)</w:t>
            </w:r>
            <w:r>
              <w:rPr>
                <w:rFonts w:cs="Calibri"/>
                <w:color w:val="000000"/>
              </w:rPr>
              <w:t>, p=0.91</w:t>
            </w:r>
          </w:p>
        </w:tc>
        <w:tc>
          <w:tcPr>
            <w:tcW w:w="416" w:type="pct"/>
            <w:vAlign w:val="center"/>
          </w:tcPr>
          <w:p w14:paraId="75DEA500" w14:textId="77777777" w:rsidR="00A84955" w:rsidRDefault="00A84955" w:rsidP="001B34DD">
            <w:pPr>
              <w:pStyle w:val="Tabletext"/>
              <w:rPr>
                <w:snapToGrid w:val="0"/>
              </w:rPr>
            </w:pPr>
            <w:r>
              <w:rPr>
                <w:snapToGrid w:val="0"/>
              </w:rPr>
              <w:t>6m</w:t>
            </w:r>
          </w:p>
        </w:tc>
        <w:tc>
          <w:tcPr>
            <w:tcW w:w="420" w:type="pct"/>
            <w:vAlign w:val="center"/>
          </w:tcPr>
          <w:p w14:paraId="796CEF07" w14:textId="77777777" w:rsidR="00A84955" w:rsidRPr="00917C93" w:rsidRDefault="00A84955" w:rsidP="001B34DD">
            <w:pPr>
              <w:pStyle w:val="Tabletext"/>
              <w:rPr>
                <w:rFonts w:ascii="Cambria Math" w:hAnsi="Cambria Math"/>
                <w:color w:val="00B050"/>
              </w:rPr>
            </w:pPr>
            <w:r w:rsidRPr="00917C93">
              <w:rPr>
                <w:rFonts w:ascii="Cambria Math" w:hAnsi="Cambria Math"/>
                <w:color w:val="00B050"/>
              </w:rPr>
              <w:t>⨁</w:t>
            </w:r>
            <w:r w:rsidRPr="00917C93">
              <w:rPr>
                <w:rFonts w:ascii="Cambria Math" w:hAnsi="Cambria Math" w:cs="Cambria Math"/>
                <w:color w:val="C00000"/>
              </w:rPr>
              <w:t>⨀⨀⨀</w:t>
            </w:r>
          </w:p>
        </w:tc>
      </w:tr>
      <w:tr w:rsidR="00A84955" w:rsidRPr="00192CC0" w14:paraId="0C852F64" w14:textId="77777777" w:rsidTr="001B34DD">
        <w:tc>
          <w:tcPr>
            <w:tcW w:w="5000" w:type="pct"/>
            <w:gridSpan w:val="9"/>
            <w:vAlign w:val="center"/>
          </w:tcPr>
          <w:p w14:paraId="164913B1" w14:textId="77777777" w:rsidR="00A84955" w:rsidRPr="00192CC0" w:rsidRDefault="00A84955" w:rsidP="001B34DD">
            <w:pPr>
              <w:pStyle w:val="Tabletext"/>
              <w:rPr>
                <w:b/>
                <w:bCs/>
              </w:rPr>
            </w:pPr>
            <w:r w:rsidRPr="00192CC0">
              <w:rPr>
                <w:b/>
                <w:bCs/>
              </w:rPr>
              <w:t>Hospitalisation during the treatment period</w:t>
            </w:r>
          </w:p>
        </w:tc>
      </w:tr>
      <w:tr w:rsidR="00A84955" w:rsidRPr="005E03AC" w14:paraId="6FB25D5B" w14:textId="77777777" w:rsidTr="001B34DD">
        <w:tc>
          <w:tcPr>
            <w:tcW w:w="499" w:type="pct"/>
            <w:vAlign w:val="center"/>
          </w:tcPr>
          <w:p w14:paraId="6C77CABE" w14:textId="77777777" w:rsidR="00A84955" w:rsidRDefault="00A84955" w:rsidP="001B34DD">
            <w:pPr>
              <w:pStyle w:val="Tabletext"/>
              <w:rPr>
                <w:snapToGrid w:val="0"/>
              </w:rPr>
            </w:pPr>
            <w:r>
              <w:rPr>
                <w:rFonts w:cs="Calibri"/>
                <w:color w:val="000000"/>
              </w:rPr>
              <w:t>Lederer 2014</w:t>
            </w:r>
          </w:p>
        </w:tc>
        <w:tc>
          <w:tcPr>
            <w:tcW w:w="555" w:type="pct"/>
            <w:vAlign w:val="center"/>
          </w:tcPr>
          <w:p w14:paraId="4AA9DCCD" w14:textId="77777777" w:rsidR="00A84955" w:rsidRDefault="00A84955" w:rsidP="001B34DD">
            <w:pPr>
              <w:pStyle w:val="Tabletext"/>
              <w:rPr>
                <w:snapToGrid w:val="0"/>
              </w:rPr>
            </w:pPr>
            <w:r>
              <w:t>Lung transplant</w:t>
            </w:r>
          </w:p>
        </w:tc>
        <w:tc>
          <w:tcPr>
            <w:tcW w:w="374" w:type="pct"/>
            <w:vAlign w:val="center"/>
          </w:tcPr>
          <w:p w14:paraId="71886F06" w14:textId="77777777" w:rsidR="00A84955" w:rsidRDefault="00A84955" w:rsidP="001B34DD">
            <w:pPr>
              <w:pStyle w:val="Tabletext"/>
              <w:rPr>
                <w:snapToGrid w:val="0"/>
              </w:rPr>
            </w:pPr>
            <w:r>
              <w:rPr>
                <w:rFonts w:cs="Calibri"/>
                <w:color w:val="000000"/>
              </w:rPr>
              <w:t>Moderate</w:t>
            </w:r>
          </w:p>
        </w:tc>
        <w:tc>
          <w:tcPr>
            <w:tcW w:w="732" w:type="pct"/>
            <w:vAlign w:val="center"/>
          </w:tcPr>
          <w:p w14:paraId="1A182F1F" w14:textId="77777777" w:rsidR="00A84955" w:rsidRDefault="00A84955" w:rsidP="001B34DD">
            <w:pPr>
              <w:pStyle w:val="Tabletext"/>
              <w:rPr>
                <w:rFonts w:cs="Calibri"/>
                <w:color w:val="000000"/>
              </w:rPr>
            </w:pPr>
            <w:r>
              <w:rPr>
                <w:rFonts w:cs="Calibri"/>
                <w:color w:val="000000"/>
              </w:rPr>
              <w:t>3/11 (27.3)</w:t>
            </w:r>
          </w:p>
        </w:tc>
        <w:tc>
          <w:tcPr>
            <w:tcW w:w="655" w:type="pct"/>
            <w:vAlign w:val="center"/>
          </w:tcPr>
          <w:p w14:paraId="2CD46824" w14:textId="77777777" w:rsidR="00A84955" w:rsidRDefault="00A84955" w:rsidP="001B34DD">
            <w:pPr>
              <w:pStyle w:val="Tabletext"/>
              <w:rPr>
                <w:rFonts w:cs="Calibri"/>
                <w:color w:val="000000"/>
              </w:rPr>
            </w:pPr>
            <w:r>
              <w:rPr>
                <w:rFonts w:cs="Calibri"/>
                <w:color w:val="000000"/>
              </w:rPr>
              <w:t>1/11 (9.1)</w:t>
            </w:r>
          </w:p>
        </w:tc>
        <w:tc>
          <w:tcPr>
            <w:tcW w:w="638" w:type="pct"/>
            <w:vAlign w:val="center"/>
          </w:tcPr>
          <w:p w14:paraId="6BAC098A" w14:textId="77777777" w:rsidR="00A84955" w:rsidRDefault="00A84955" w:rsidP="001B34DD">
            <w:pPr>
              <w:pStyle w:val="Tabletext"/>
              <w:rPr>
                <w:rFonts w:cs="Calibri"/>
                <w:color w:val="000000"/>
              </w:rPr>
            </w:pPr>
            <w:r w:rsidRPr="00744154">
              <w:rPr>
                <w:rFonts w:cs="Calibri"/>
                <w:color w:val="000000"/>
              </w:rPr>
              <w:t>0.18 (-0.13, 0.50)</w:t>
            </w:r>
          </w:p>
        </w:tc>
        <w:tc>
          <w:tcPr>
            <w:tcW w:w="711" w:type="pct"/>
            <w:vAlign w:val="center"/>
          </w:tcPr>
          <w:p w14:paraId="41F6D284" w14:textId="77777777" w:rsidR="00A84955" w:rsidRDefault="00A84955" w:rsidP="001B34DD">
            <w:pPr>
              <w:pStyle w:val="Tabletext"/>
              <w:rPr>
                <w:rFonts w:cs="Calibri"/>
                <w:color w:val="000000"/>
              </w:rPr>
            </w:pPr>
            <w:r>
              <w:rPr>
                <w:rFonts w:cs="Calibri"/>
                <w:color w:val="000000"/>
              </w:rPr>
              <w:t>OR 3.5 (0.2, 51.2)</w:t>
            </w:r>
          </w:p>
        </w:tc>
        <w:tc>
          <w:tcPr>
            <w:tcW w:w="416" w:type="pct"/>
            <w:vAlign w:val="center"/>
          </w:tcPr>
          <w:p w14:paraId="34F6F4A2" w14:textId="77777777" w:rsidR="00A84955" w:rsidRDefault="00A84955" w:rsidP="001B34DD">
            <w:pPr>
              <w:pStyle w:val="Tabletext"/>
              <w:rPr>
                <w:snapToGrid w:val="0"/>
              </w:rPr>
            </w:pPr>
            <w:r>
              <w:rPr>
                <w:snapToGrid w:val="0"/>
              </w:rPr>
              <w:t>12w (2.7m)</w:t>
            </w:r>
          </w:p>
        </w:tc>
        <w:tc>
          <w:tcPr>
            <w:tcW w:w="420" w:type="pct"/>
            <w:vAlign w:val="center"/>
          </w:tcPr>
          <w:p w14:paraId="0113CD29" w14:textId="77777777" w:rsidR="00A84955" w:rsidRPr="00917C93" w:rsidRDefault="00A84955" w:rsidP="001B34DD">
            <w:pPr>
              <w:pStyle w:val="Tabletext"/>
              <w:rPr>
                <w:rFonts w:ascii="Cambria Math" w:hAnsi="Cambria Math"/>
                <w:color w:val="00B050"/>
              </w:rPr>
            </w:pPr>
            <w:r w:rsidRPr="00917C93">
              <w:rPr>
                <w:rFonts w:ascii="Cambria Math" w:hAnsi="Cambria Math"/>
                <w:color w:val="00B050"/>
              </w:rPr>
              <w:t>⨁</w:t>
            </w:r>
            <w:r w:rsidRPr="00917C93">
              <w:rPr>
                <w:rFonts w:ascii="Cambria Math" w:hAnsi="Cambria Math" w:cs="Cambria Math"/>
                <w:color w:val="C00000"/>
              </w:rPr>
              <w:t>⨀⨀⨀</w:t>
            </w:r>
          </w:p>
        </w:tc>
      </w:tr>
      <w:tr w:rsidR="00A84955" w:rsidRPr="00192CC0" w14:paraId="2BCCCD83" w14:textId="77777777" w:rsidTr="001B34DD">
        <w:tc>
          <w:tcPr>
            <w:tcW w:w="5000" w:type="pct"/>
            <w:gridSpan w:val="9"/>
            <w:vAlign w:val="center"/>
          </w:tcPr>
          <w:p w14:paraId="28B4667F" w14:textId="77777777" w:rsidR="00A84955" w:rsidRPr="00192CC0" w:rsidRDefault="00A84955" w:rsidP="001B34DD">
            <w:pPr>
              <w:pStyle w:val="Tabletext"/>
              <w:rPr>
                <w:b/>
                <w:bCs/>
              </w:rPr>
            </w:pPr>
            <w:r w:rsidRPr="00192CC0">
              <w:rPr>
                <w:b/>
                <w:bCs/>
              </w:rPr>
              <w:t xml:space="preserve">Hospitalisation </w:t>
            </w:r>
            <w:r>
              <w:rPr>
                <w:b/>
                <w:bCs/>
              </w:rPr>
              <w:t>readmission after discharge (due to infection)</w:t>
            </w:r>
          </w:p>
        </w:tc>
      </w:tr>
      <w:tr w:rsidR="00A84955" w:rsidRPr="005E03AC" w14:paraId="68B7C479" w14:textId="77777777" w:rsidTr="001B34DD">
        <w:tc>
          <w:tcPr>
            <w:tcW w:w="499" w:type="pct"/>
            <w:vAlign w:val="center"/>
          </w:tcPr>
          <w:p w14:paraId="6AF4D6FB" w14:textId="77777777" w:rsidR="00A84955" w:rsidRDefault="00A84955" w:rsidP="001B34DD">
            <w:pPr>
              <w:pStyle w:val="Tabletext"/>
              <w:rPr>
                <w:snapToGrid w:val="0"/>
              </w:rPr>
            </w:pPr>
            <w:r w:rsidRPr="00ED3FEC">
              <w:rPr>
                <w:snapToGrid w:val="0"/>
              </w:rPr>
              <w:t>Sarmiento 2016</w:t>
            </w:r>
          </w:p>
        </w:tc>
        <w:tc>
          <w:tcPr>
            <w:tcW w:w="555" w:type="pct"/>
            <w:vAlign w:val="center"/>
          </w:tcPr>
          <w:p w14:paraId="4DE84475" w14:textId="77777777" w:rsidR="00A84955" w:rsidRDefault="00A84955" w:rsidP="001B34DD">
            <w:pPr>
              <w:pStyle w:val="Tabletext"/>
              <w:rPr>
                <w:snapToGrid w:val="0"/>
              </w:rPr>
            </w:pPr>
            <w:r>
              <w:rPr>
                <w:snapToGrid w:val="0"/>
              </w:rPr>
              <w:t>Heart transplant</w:t>
            </w:r>
          </w:p>
        </w:tc>
        <w:tc>
          <w:tcPr>
            <w:tcW w:w="374" w:type="pct"/>
            <w:vAlign w:val="center"/>
          </w:tcPr>
          <w:p w14:paraId="62971E49" w14:textId="77777777" w:rsidR="00A84955" w:rsidRDefault="00A84955" w:rsidP="001B34DD">
            <w:pPr>
              <w:pStyle w:val="Tabletext"/>
              <w:rPr>
                <w:snapToGrid w:val="0"/>
              </w:rPr>
            </w:pPr>
            <w:r>
              <w:rPr>
                <w:rFonts w:cs="Calibri"/>
                <w:color w:val="000000"/>
              </w:rPr>
              <w:t>Serious</w:t>
            </w:r>
          </w:p>
        </w:tc>
        <w:tc>
          <w:tcPr>
            <w:tcW w:w="732" w:type="pct"/>
            <w:vAlign w:val="center"/>
          </w:tcPr>
          <w:p w14:paraId="5A71B1EE" w14:textId="77777777" w:rsidR="00A84955" w:rsidRDefault="00A84955" w:rsidP="001B34DD">
            <w:pPr>
              <w:pStyle w:val="Tabletext"/>
              <w:rPr>
                <w:rFonts w:cs="Calibri"/>
                <w:color w:val="000000"/>
              </w:rPr>
            </w:pPr>
            <w:r>
              <w:rPr>
                <w:rFonts w:cs="Calibri"/>
                <w:color w:val="000000"/>
              </w:rPr>
              <w:t>32 (16-200)</w:t>
            </w:r>
          </w:p>
        </w:tc>
        <w:tc>
          <w:tcPr>
            <w:tcW w:w="655" w:type="pct"/>
            <w:vAlign w:val="center"/>
          </w:tcPr>
          <w:p w14:paraId="56C3E860" w14:textId="77777777" w:rsidR="00A84955" w:rsidRDefault="00A84955" w:rsidP="001B34DD">
            <w:pPr>
              <w:pStyle w:val="Tabletext"/>
              <w:rPr>
                <w:rFonts w:cs="Calibri"/>
                <w:color w:val="000000"/>
              </w:rPr>
            </w:pPr>
            <w:r>
              <w:rPr>
                <w:rFonts w:cs="Calibri"/>
                <w:color w:val="000000"/>
              </w:rPr>
              <w:t>48 (12-191)</w:t>
            </w:r>
          </w:p>
        </w:tc>
        <w:tc>
          <w:tcPr>
            <w:tcW w:w="638" w:type="pct"/>
            <w:vAlign w:val="center"/>
          </w:tcPr>
          <w:p w14:paraId="34B6A0D0" w14:textId="77777777" w:rsidR="00A84955" w:rsidRDefault="00A84955" w:rsidP="001B34DD">
            <w:pPr>
              <w:pStyle w:val="Tabletext"/>
              <w:rPr>
                <w:rFonts w:cs="Calibri"/>
                <w:color w:val="000000"/>
              </w:rPr>
            </w:pPr>
            <w:r w:rsidRPr="00744154">
              <w:rPr>
                <w:rFonts w:cs="Calibri"/>
                <w:color w:val="000000"/>
              </w:rPr>
              <w:t xml:space="preserve">16 </w:t>
            </w:r>
          </w:p>
        </w:tc>
        <w:tc>
          <w:tcPr>
            <w:tcW w:w="711" w:type="pct"/>
            <w:vAlign w:val="center"/>
          </w:tcPr>
          <w:p w14:paraId="5D4421A7" w14:textId="77777777" w:rsidR="00A84955" w:rsidRDefault="00A84955" w:rsidP="001B34DD">
            <w:pPr>
              <w:pStyle w:val="Tabletext"/>
              <w:rPr>
                <w:rFonts w:cs="Calibri"/>
                <w:color w:val="000000"/>
              </w:rPr>
            </w:pPr>
            <w:r>
              <w:rPr>
                <w:rFonts w:cs="Calibri"/>
                <w:color w:val="000000"/>
              </w:rPr>
              <w:t>p=0.57</w:t>
            </w:r>
          </w:p>
        </w:tc>
        <w:tc>
          <w:tcPr>
            <w:tcW w:w="416" w:type="pct"/>
            <w:vAlign w:val="center"/>
          </w:tcPr>
          <w:p w14:paraId="19CBF88F" w14:textId="77777777" w:rsidR="00A84955" w:rsidRDefault="00A84955" w:rsidP="001B34DD">
            <w:pPr>
              <w:pStyle w:val="Tabletext"/>
              <w:rPr>
                <w:snapToGrid w:val="0"/>
              </w:rPr>
            </w:pPr>
            <w:r>
              <w:rPr>
                <w:rFonts w:cs="Calibri"/>
                <w:color w:val="000000"/>
              </w:rPr>
              <w:t>6m</w:t>
            </w:r>
          </w:p>
        </w:tc>
        <w:tc>
          <w:tcPr>
            <w:tcW w:w="420" w:type="pct"/>
            <w:vAlign w:val="center"/>
          </w:tcPr>
          <w:p w14:paraId="410B4736" w14:textId="77777777" w:rsidR="00A84955" w:rsidRPr="00917C93" w:rsidRDefault="00A84955" w:rsidP="001B34DD">
            <w:pPr>
              <w:pStyle w:val="Tabletext"/>
              <w:rPr>
                <w:rFonts w:ascii="Cambria Math" w:hAnsi="Cambria Math"/>
                <w:color w:val="00B050"/>
              </w:rPr>
            </w:pPr>
            <w:r w:rsidRPr="00917C93">
              <w:rPr>
                <w:rFonts w:ascii="Cambria Math" w:hAnsi="Cambria Math"/>
                <w:color w:val="00B050"/>
              </w:rPr>
              <w:t>⨁</w:t>
            </w:r>
            <w:r w:rsidRPr="00917C93">
              <w:rPr>
                <w:rFonts w:ascii="Cambria Math" w:hAnsi="Cambria Math" w:cs="Cambria Math"/>
                <w:color w:val="C00000"/>
              </w:rPr>
              <w:t>⨀⨀⨀</w:t>
            </w:r>
          </w:p>
        </w:tc>
      </w:tr>
    </w:tbl>
    <w:p w14:paraId="4D3079B6" w14:textId="1637C185" w:rsidR="00D34B8A" w:rsidRDefault="00D34B8A" w:rsidP="00A84955">
      <w:pPr>
        <w:pStyle w:val="Tablenotes"/>
        <w:spacing w:after="0"/>
      </w:pPr>
      <w:r w:rsidRPr="00D34B8A">
        <w:t xml:space="preserve">Source: Contracted Assessment </w:t>
      </w:r>
      <w:r>
        <w:t>Table 1</w:t>
      </w:r>
    </w:p>
    <w:p w14:paraId="6CF93856" w14:textId="53570A3C" w:rsidR="00A84955" w:rsidRDefault="00A84955" w:rsidP="00A84955">
      <w:pPr>
        <w:pStyle w:val="Tablenotes"/>
        <w:spacing w:after="0"/>
      </w:pPr>
      <w:r>
        <w:t>Abbreviations: CMV=cytomegalovirus, HGG=hypogammaglobulinaemia, Ig-RT=immunoglobulin G replacement therapy, m=months, OR=odds ratio, RD=risk difference, RR=relative risk, w=weeks, y=years</w:t>
      </w:r>
    </w:p>
    <w:p w14:paraId="2FF3280A" w14:textId="77777777" w:rsidR="00A84955" w:rsidRDefault="00A84955" w:rsidP="00A84955">
      <w:pPr>
        <w:pStyle w:val="Tablenotes"/>
        <w:spacing w:after="0"/>
      </w:pPr>
      <w:r w:rsidRPr="003E4C6B">
        <w:t>*</w:t>
      </w:r>
      <w:r>
        <w:t xml:space="preserve"> Defined as rejection requiring intensified immunosuppression</w:t>
      </w:r>
    </w:p>
    <w:p w14:paraId="1E53D795" w14:textId="77777777" w:rsidR="00A84955" w:rsidRDefault="00A84955" w:rsidP="00A84955">
      <w:pPr>
        <w:pStyle w:val="Tablenotes"/>
      </w:pPr>
      <w:r w:rsidRPr="00E10B76">
        <w:t>GRADE Working Group grades of evidence</w:t>
      </w:r>
      <w:r>
        <w:t xml:space="preserve"> (Guyatt et al., 2013)</w:t>
      </w:r>
      <w:r w:rsidRPr="00E10B76">
        <w:br/>
      </w:r>
      <w:r w:rsidRPr="00D4733A">
        <w:rPr>
          <w:rFonts w:ascii="Cambria Math" w:hAnsi="Cambria Math"/>
          <w:color w:val="00B050"/>
        </w:rPr>
        <w:t>⨁⨁⨁⨁</w:t>
      </w:r>
      <w:r>
        <w:rPr>
          <w:rFonts w:ascii="Cambria Math" w:hAnsi="Cambria Math"/>
          <w:color w:val="00B050"/>
        </w:rPr>
        <w:t xml:space="preserve"> </w:t>
      </w:r>
      <w:r w:rsidRPr="00E10B76">
        <w:rPr>
          <w:b/>
          <w:bCs/>
        </w:rPr>
        <w:t>High quality:</w:t>
      </w:r>
      <w:r w:rsidRPr="00E10B76">
        <w:t xml:space="preserve"> </w:t>
      </w:r>
      <w:r>
        <w:t>We are very confident that the true effect lies close to that of the estimate of effect.</w:t>
      </w:r>
      <w:r w:rsidRPr="00E10B76">
        <w:t xml:space="preserve"> </w:t>
      </w:r>
      <w:r w:rsidRPr="00E10B76">
        <w:br/>
      </w:r>
      <w:r w:rsidRPr="00D4733A">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Moderate quality:</w:t>
      </w:r>
      <w:r w:rsidRPr="00E10B76">
        <w:t xml:space="preserve"> </w:t>
      </w:r>
      <w:r>
        <w:t xml:space="preserve">We are moderately confident in the effect estimate: The true effect is likely to be close to the estimate of the effect, but there is a possibility that it is substantially different. </w:t>
      </w:r>
      <w:r w:rsidRPr="00E10B76">
        <w:br/>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Low quality:</w:t>
      </w:r>
      <w:r w:rsidRPr="00E10B76">
        <w:t xml:space="preserve"> </w:t>
      </w:r>
      <w:r>
        <w:t>Our confidence in the effect estimate is limited: The true effect may be substantially different from the estimate of the effect.</w:t>
      </w:r>
      <w:r w:rsidRPr="00E10B76">
        <w:br/>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Very low quality:</w:t>
      </w:r>
      <w:r w:rsidRPr="00E10B76">
        <w:t xml:space="preserve"> </w:t>
      </w:r>
      <w:r>
        <w:t>We have very little confidence in the effect estimate: The true effect is likely to be substantially different from the estimate of effect.</w:t>
      </w:r>
    </w:p>
    <w:p w14:paraId="2D37F403" w14:textId="56C3CFA2" w:rsidR="0027733B" w:rsidRDefault="0027733B" w:rsidP="007A5D70">
      <w:pPr>
        <w:spacing w:before="120" w:after="120"/>
        <w:rPr>
          <w:b/>
          <w:szCs w:val="24"/>
        </w:rPr>
      </w:pPr>
      <w:r>
        <w:rPr>
          <w:b/>
          <w:szCs w:val="24"/>
        </w:rPr>
        <w:br w:type="page"/>
      </w:r>
    </w:p>
    <w:p w14:paraId="5698E1F1" w14:textId="77777777" w:rsidR="00DC2EEC" w:rsidRDefault="00DC2EEC" w:rsidP="007A5D70">
      <w:pPr>
        <w:tabs>
          <w:tab w:val="left" w:pos="720"/>
          <w:tab w:val="left" w:pos="1140"/>
        </w:tabs>
        <w:spacing w:before="120" w:after="120"/>
        <w:rPr>
          <w:b/>
          <w:szCs w:val="24"/>
        </w:rPr>
        <w:sectPr w:rsidR="00DC2EEC" w:rsidSect="0027733B">
          <w:pgSz w:w="16838" w:h="11906" w:orient="landscape"/>
          <w:pgMar w:top="1440" w:right="1134" w:bottom="1440" w:left="426" w:header="708" w:footer="708" w:gutter="0"/>
          <w:cols w:space="708"/>
          <w:docGrid w:linePitch="360"/>
        </w:sectPr>
      </w:pPr>
    </w:p>
    <w:p w14:paraId="7E58B39B" w14:textId="77777777" w:rsidR="00BC1364" w:rsidRPr="00F715D1" w:rsidRDefault="00BC1364" w:rsidP="00713284">
      <w:pPr>
        <w:pStyle w:val="Heading1"/>
        <w:spacing w:before="120"/>
      </w:pPr>
      <w:r w:rsidRPr="00F715D1">
        <w:lastRenderedPageBreak/>
        <w:t>Economic evaluation</w:t>
      </w:r>
    </w:p>
    <w:p w14:paraId="67803744" w14:textId="2461C22D" w:rsidR="001E7287" w:rsidRPr="001408D2" w:rsidRDefault="001E7287" w:rsidP="00713284">
      <w:pPr>
        <w:tabs>
          <w:tab w:val="left" w:pos="720"/>
        </w:tabs>
        <w:spacing w:after="240"/>
        <w:rPr>
          <w:szCs w:val="24"/>
          <w:rtl/>
        </w:rPr>
      </w:pPr>
      <w:r>
        <w:rPr>
          <w:szCs w:val="24"/>
        </w:rPr>
        <w:t>An economic evaluation was not presented in this contracted assessment report due to</w:t>
      </w:r>
      <w:r w:rsidRPr="003053EF">
        <w:rPr>
          <w:szCs w:val="24"/>
        </w:rPr>
        <w:t xml:space="preserve"> </w:t>
      </w:r>
      <w:r>
        <w:rPr>
          <w:szCs w:val="24"/>
        </w:rPr>
        <w:t xml:space="preserve">there being </w:t>
      </w:r>
      <w:r w:rsidRPr="003053EF">
        <w:rPr>
          <w:szCs w:val="24"/>
        </w:rPr>
        <w:t>insufficient</w:t>
      </w:r>
      <w:r>
        <w:rPr>
          <w:szCs w:val="24"/>
        </w:rPr>
        <w:t xml:space="preserve"> </w:t>
      </w:r>
      <w:r w:rsidRPr="003053EF">
        <w:rPr>
          <w:szCs w:val="24"/>
        </w:rPr>
        <w:t>data</w:t>
      </w:r>
      <w:r>
        <w:rPr>
          <w:szCs w:val="24"/>
        </w:rPr>
        <w:t xml:space="preserve"> to inform a model</w:t>
      </w:r>
      <w:r w:rsidRPr="003053EF">
        <w:rPr>
          <w:szCs w:val="24"/>
        </w:rPr>
        <w:t xml:space="preserve">. </w:t>
      </w:r>
      <w:r>
        <w:rPr>
          <w:szCs w:val="24"/>
        </w:rPr>
        <w:t>O</w:t>
      </w:r>
      <w:r w:rsidRPr="003053EF">
        <w:rPr>
          <w:szCs w:val="24"/>
        </w:rPr>
        <w:t xml:space="preserve">nly very low-quality evidence was available for patients with </w:t>
      </w:r>
      <w:r>
        <w:rPr>
          <w:szCs w:val="24"/>
        </w:rPr>
        <w:t>S</w:t>
      </w:r>
      <w:r w:rsidRPr="003053EF">
        <w:rPr>
          <w:szCs w:val="24"/>
        </w:rPr>
        <w:t>HGG following heart and lung transplantation</w:t>
      </w:r>
      <w:r>
        <w:rPr>
          <w:szCs w:val="24"/>
        </w:rPr>
        <w:t xml:space="preserve">, and no suitable data was identified for other SHGG subpopulations, </w:t>
      </w:r>
      <w:r w:rsidRPr="003053EF">
        <w:rPr>
          <w:szCs w:val="24"/>
        </w:rPr>
        <w:t>leading to a conclusion o</w:t>
      </w:r>
      <w:r>
        <w:rPr>
          <w:szCs w:val="24"/>
        </w:rPr>
        <w:t>f uncertain effectiveness of Ig for these conditions</w:t>
      </w:r>
      <w:r w:rsidRPr="003053EF">
        <w:rPr>
          <w:szCs w:val="24"/>
        </w:rPr>
        <w:t xml:space="preserve">. No studies reported quality of life outcomes or cost data, and no further cost information or utilities were identified in the </w:t>
      </w:r>
      <w:r>
        <w:rPr>
          <w:szCs w:val="24"/>
        </w:rPr>
        <w:t xml:space="preserve">searches for </w:t>
      </w:r>
      <w:r w:rsidRPr="003053EF">
        <w:rPr>
          <w:szCs w:val="24"/>
        </w:rPr>
        <w:t>economic</w:t>
      </w:r>
      <w:r>
        <w:rPr>
          <w:szCs w:val="24"/>
        </w:rPr>
        <w:t xml:space="preserve"> data.</w:t>
      </w:r>
      <w:r w:rsidRPr="003053EF">
        <w:rPr>
          <w:szCs w:val="24"/>
        </w:rPr>
        <w:t xml:space="preserve"> </w:t>
      </w:r>
    </w:p>
    <w:p w14:paraId="54BB063A" w14:textId="145EBEA5" w:rsidR="001E7287" w:rsidRDefault="001E7287" w:rsidP="00713284">
      <w:pPr>
        <w:bidi/>
        <w:spacing w:after="240"/>
        <w:jc w:val="right"/>
      </w:pPr>
      <w:r w:rsidRPr="001408D2">
        <w:rPr>
          <w:szCs w:val="24"/>
        </w:rPr>
        <w:t xml:space="preserve">A </w:t>
      </w:r>
      <w:r>
        <w:rPr>
          <w:szCs w:val="24"/>
        </w:rPr>
        <w:t xml:space="preserve">potential simplified </w:t>
      </w:r>
      <w:r w:rsidRPr="001408D2">
        <w:rPr>
          <w:szCs w:val="24"/>
        </w:rPr>
        <w:t>model structure</w:t>
      </w:r>
      <w:r>
        <w:rPr>
          <w:szCs w:val="24"/>
        </w:rPr>
        <w:t xml:space="preserve"> for the solid organ transplant subpopulation (representing approximately 24% of Ig use in the SHGG population of interest)</w:t>
      </w:r>
      <w:r w:rsidRPr="001408D2">
        <w:rPr>
          <w:szCs w:val="24"/>
        </w:rPr>
        <w:t xml:space="preserve"> is discussed in Section D.3 of the </w:t>
      </w:r>
      <w:r>
        <w:rPr>
          <w:szCs w:val="24"/>
        </w:rPr>
        <w:t>assessment report</w:t>
      </w:r>
      <w:r w:rsidRPr="001408D2">
        <w:rPr>
          <w:szCs w:val="24"/>
        </w:rPr>
        <w:t>, but it was not possib</w:t>
      </w:r>
      <w:r>
        <w:t>le to populate the model due to lack of reliable inputs.</w:t>
      </w:r>
      <w:r w:rsidRPr="002F6416">
        <w:t xml:space="preserve"> </w:t>
      </w:r>
      <w:r>
        <w:t>O</w:t>
      </w:r>
      <w:r w:rsidRPr="002F6416">
        <w:t xml:space="preserve">utside of the solid organ transplant group, information </w:t>
      </w:r>
      <w:r>
        <w:t>wa</w:t>
      </w:r>
      <w:r w:rsidRPr="002F6416">
        <w:t xml:space="preserve">s lacking on the other three subpopulations of patients with </w:t>
      </w:r>
      <w:r>
        <w:t>S</w:t>
      </w:r>
      <w:r w:rsidRPr="002F6416">
        <w:t>HGG (i.e. Good syndrome, HGG following B cell depletion</w:t>
      </w:r>
      <w:r>
        <w:t xml:space="preserve"> therapy, and o</w:t>
      </w:r>
      <w:r w:rsidRPr="002F6416">
        <w:t xml:space="preserve">ther </w:t>
      </w:r>
      <w:r>
        <w:t>S</w:t>
      </w:r>
      <w:r w:rsidRPr="002F6416">
        <w:t>HGG unrelated to haematological malignancies or HSCT).</w:t>
      </w:r>
    </w:p>
    <w:p w14:paraId="25EAB5B0" w14:textId="77777777" w:rsidR="001E7287" w:rsidRPr="00D44C6D" w:rsidRDefault="001E7287" w:rsidP="00D44C6D">
      <w:pPr>
        <w:rPr>
          <w:rFonts w:ascii="Arial Narrow" w:hAnsi="Arial Narrow"/>
          <w:b/>
          <w:sz w:val="20"/>
        </w:rPr>
      </w:pPr>
      <w:r w:rsidRPr="00D44C6D">
        <w:rPr>
          <w:rFonts w:ascii="Arial Narrow" w:hAnsi="Arial Narrow"/>
          <w:b/>
          <w:sz w:val="20"/>
        </w:rPr>
        <w:t>Figure 4 Proposed Simplified Economic Evaluation Model for solid organ transplant patients only</w:t>
      </w:r>
    </w:p>
    <w:p w14:paraId="3848F9E1" w14:textId="77777777" w:rsidR="001E7287" w:rsidRDefault="001E7287" w:rsidP="007A5D70">
      <w:pPr>
        <w:keepNext/>
        <w:spacing w:before="120" w:after="120" w:line="360" w:lineRule="auto"/>
      </w:pPr>
      <w:r w:rsidRPr="00D2652A">
        <w:rPr>
          <w:noProof/>
        </w:rPr>
        <w:drawing>
          <wp:inline distT="0" distB="0" distL="0" distR="0" wp14:anchorId="22FD687E" wp14:editId="6E9E6FD4">
            <wp:extent cx="3476625" cy="3952512"/>
            <wp:effectExtent l="0" t="0" r="0" b="0"/>
            <wp:docPr id="1" name="Picture 1" descr="\\ad.monash.edu\home\User080\mwoo0011\Documents\MSAC\Model_Final.tif" title="Figure 6 Proposed Simplified Economic Evaluation Model for solid organ transplant patient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onash.edu\home\User080\mwoo0011\Documents\MSAC\Model_Final.t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4673" cy="3961662"/>
                    </a:xfrm>
                    <a:prstGeom prst="rect">
                      <a:avLst/>
                    </a:prstGeom>
                    <a:noFill/>
                    <a:ln>
                      <a:noFill/>
                    </a:ln>
                  </pic:spPr>
                </pic:pic>
              </a:graphicData>
            </a:graphic>
          </wp:inline>
        </w:drawing>
      </w:r>
    </w:p>
    <w:p w14:paraId="62A6F784" w14:textId="77777777" w:rsidR="001E7287" w:rsidRPr="00433CB2" w:rsidRDefault="001E7287" w:rsidP="00713284">
      <w:pPr>
        <w:spacing w:after="120"/>
        <w:rPr>
          <w:rFonts w:ascii="Arial Narrow" w:hAnsi="Arial Narrow"/>
          <w:lang w:eastAsia="en-US"/>
        </w:rPr>
      </w:pPr>
      <w:r w:rsidRPr="00433CB2">
        <w:rPr>
          <w:rFonts w:ascii="Arial Narrow" w:hAnsi="Arial Narrow"/>
          <w:sz w:val="18"/>
          <w:szCs w:val="18"/>
        </w:rPr>
        <w:t>Source: Contracted Assessment Figure 6</w:t>
      </w:r>
    </w:p>
    <w:p w14:paraId="268D205C" w14:textId="17FE67D9" w:rsidR="001E7287" w:rsidRDefault="001E7287" w:rsidP="00DD019D">
      <w:pPr>
        <w:bidi/>
        <w:spacing w:before="120" w:after="120"/>
        <w:jc w:val="right"/>
        <w:rPr>
          <w:rtl/>
        </w:rPr>
      </w:pPr>
      <w:r>
        <w:t>Section D.4 and D.5 of the assessment report describe the data gaps and inputs required to populate an economic model. Broadly, the identified data gaps for a simplified economic model included; transition probabilities, utilities for all health states, and healthcare</w:t>
      </w:r>
      <w:r w:rsidR="00D80204">
        <w:t xml:space="preserve"> </w:t>
      </w:r>
      <w:r>
        <w:t>utilisation and cost information</w:t>
      </w:r>
      <w:r w:rsidR="00E235DD">
        <w:t xml:space="preserve"> (see Table 3</w:t>
      </w:r>
      <w:r w:rsidR="00DD019D">
        <w:t>).</w:t>
      </w:r>
      <w:r>
        <w:rPr>
          <w:rtl/>
        </w:rPr>
        <w:br w:type="page"/>
      </w:r>
    </w:p>
    <w:p w14:paraId="3B140DA7" w14:textId="692627A6" w:rsidR="001E7287" w:rsidRPr="00D44C6D" w:rsidRDefault="00E235DD" w:rsidP="00D44C6D">
      <w:pPr>
        <w:rPr>
          <w:rFonts w:ascii="Arial Narrow" w:hAnsi="Arial Narrow"/>
          <w:b/>
          <w:sz w:val="20"/>
        </w:rPr>
      </w:pPr>
      <w:r w:rsidRPr="00D44C6D">
        <w:rPr>
          <w:rFonts w:ascii="Arial Narrow" w:hAnsi="Arial Narrow"/>
          <w:b/>
          <w:sz w:val="20"/>
        </w:rPr>
        <w:lastRenderedPageBreak/>
        <w:t>Table 3</w:t>
      </w:r>
      <w:r w:rsidR="001E7287" w:rsidRPr="00D44C6D">
        <w:rPr>
          <w:rFonts w:ascii="Arial Narrow" w:hAnsi="Arial Narrow"/>
          <w:b/>
          <w:sz w:val="20"/>
        </w:rPr>
        <w:tab/>
        <w:t xml:space="preserve"> Healthcare utilisation and Cost Data Gaps</w:t>
      </w:r>
    </w:p>
    <w:tbl>
      <w:tblPr>
        <w:tblStyle w:val="TableGrid1"/>
        <w:tblpPr w:leftFromText="180" w:rightFromText="180" w:vertAnchor="text" w:horzAnchor="margin" w:tblpY="86"/>
        <w:tblW w:w="0" w:type="auto"/>
        <w:tblLook w:val="04A0" w:firstRow="1" w:lastRow="0" w:firstColumn="1" w:lastColumn="0" w:noHBand="0" w:noVBand="1"/>
        <w:tblCaption w:val="Table 34: Healthcare utilisation and Cost Data Gaps"/>
      </w:tblPr>
      <w:tblGrid>
        <w:gridCol w:w="4508"/>
        <w:gridCol w:w="4508"/>
      </w:tblGrid>
      <w:tr w:rsidR="00670F87" w14:paraId="55F714E8" w14:textId="77777777" w:rsidTr="001B34DD">
        <w:trPr>
          <w:cnfStyle w:val="100000000000" w:firstRow="1" w:lastRow="0" w:firstColumn="0" w:lastColumn="0" w:oddVBand="0" w:evenVBand="0" w:oddHBand="0" w:evenHBand="0" w:firstRowFirstColumn="0" w:firstRowLastColumn="0" w:lastRowFirstColumn="0" w:lastRowLastColumn="0"/>
          <w:tblHeader/>
        </w:trPr>
        <w:tc>
          <w:tcPr>
            <w:tcW w:w="4508" w:type="dxa"/>
          </w:tcPr>
          <w:p w14:paraId="51421C85" w14:textId="77777777" w:rsidR="00670F87" w:rsidRPr="00745497" w:rsidRDefault="00670F87" w:rsidP="001B34DD">
            <w:pPr>
              <w:pStyle w:val="Tabletext"/>
              <w:rPr>
                <w:b/>
              </w:rPr>
            </w:pPr>
            <w:r w:rsidRPr="00745497">
              <w:rPr>
                <w:b/>
              </w:rPr>
              <w:t>Other Inputs</w:t>
            </w:r>
          </w:p>
        </w:tc>
        <w:tc>
          <w:tcPr>
            <w:tcW w:w="4508" w:type="dxa"/>
          </w:tcPr>
          <w:p w14:paraId="704D0649" w14:textId="77777777" w:rsidR="00670F87" w:rsidRPr="00745497" w:rsidRDefault="00670F87" w:rsidP="001B34DD">
            <w:pPr>
              <w:pStyle w:val="Tabletext"/>
              <w:rPr>
                <w:b/>
              </w:rPr>
            </w:pPr>
            <w:r w:rsidRPr="00745497">
              <w:rPr>
                <w:b/>
              </w:rPr>
              <w:t>Healthcare utilisation</w:t>
            </w:r>
          </w:p>
        </w:tc>
      </w:tr>
      <w:tr w:rsidR="00670F87" w14:paraId="6F1F26F7" w14:textId="77777777" w:rsidTr="001B34DD">
        <w:tc>
          <w:tcPr>
            <w:tcW w:w="4508" w:type="dxa"/>
          </w:tcPr>
          <w:p w14:paraId="02E9E1D3" w14:textId="77777777" w:rsidR="00670F87" w:rsidRDefault="00670F87" w:rsidP="001B34DD">
            <w:pPr>
              <w:pStyle w:val="Tabletext"/>
            </w:pPr>
            <w:r>
              <w:t>Duration of treatment (for each subpopulation of interest)</w:t>
            </w:r>
          </w:p>
          <w:p w14:paraId="61891173" w14:textId="77777777" w:rsidR="00670F87" w:rsidRDefault="00670F87" w:rsidP="001B34DD">
            <w:pPr>
              <w:pStyle w:val="Tabletext"/>
            </w:pPr>
            <w:r>
              <w:t>Trends in patient count for different subpopulations</w:t>
            </w:r>
          </w:p>
          <w:p w14:paraId="626F52A7" w14:textId="77777777" w:rsidR="00670F87" w:rsidRDefault="00670F87" w:rsidP="001B34DD">
            <w:pPr>
              <w:pStyle w:val="Tabletext"/>
            </w:pPr>
            <w:r>
              <w:t>Growth in Ig use by subpopulation</w:t>
            </w:r>
          </w:p>
          <w:p w14:paraId="63C2B465" w14:textId="77777777" w:rsidR="00670F87" w:rsidRDefault="00670F87" w:rsidP="001B34DD">
            <w:pPr>
              <w:pStyle w:val="Tabletext"/>
            </w:pPr>
            <w:r>
              <w:t xml:space="preserve">Trends in number of treatment episodes by subpopulation </w:t>
            </w:r>
          </w:p>
          <w:p w14:paraId="3F8F7DD4" w14:textId="77777777" w:rsidR="00670F87" w:rsidRDefault="00670F87" w:rsidP="001B34DD">
            <w:pPr>
              <w:pStyle w:val="Tabletext"/>
            </w:pPr>
            <w:r>
              <w:t xml:space="preserve">Up to date data on Ig usage per patient </w:t>
            </w:r>
          </w:p>
          <w:p w14:paraId="7EDB0082" w14:textId="77777777" w:rsidR="00670F87" w:rsidRDefault="00670F87" w:rsidP="001B34DD">
            <w:pPr>
              <w:pStyle w:val="Tabletext"/>
            </w:pPr>
            <w:r>
              <w:t>Concomitant medication use (e.g. antibiotic use)</w:t>
            </w:r>
          </w:p>
          <w:p w14:paraId="32AF7AE8" w14:textId="77777777" w:rsidR="00670F87" w:rsidRDefault="00670F87" w:rsidP="001B34DD">
            <w:pPr>
              <w:pStyle w:val="Tabletext"/>
            </w:pPr>
          </w:p>
        </w:tc>
        <w:tc>
          <w:tcPr>
            <w:tcW w:w="4508" w:type="dxa"/>
          </w:tcPr>
          <w:p w14:paraId="110ADD8B" w14:textId="77777777" w:rsidR="00670F87" w:rsidRPr="00315E9C" w:rsidRDefault="00670F87" w:rsidP="001B34DD">
            <w:pPr>
              <w:pStyle w:val="Tabletext"/>
            </w:pPr>
            <w:r w:rsidRPr="00315E9C">
              <w:t>Antibiotic use</w:t>
            </w:r>
          </w:p>
          <w:p w14:paraId="68E1C701" w14:textId="77777777" w:rsidR="00670F87" w:rsidRPr="00315E9C" w:rsidRDefault="00670F87" w:rsidP="001B34DD">
            <w:pPr>
              <w:pStyle w:val="Tabletext"/>
            </w:pPr>
            <w:r w:rsidRPr="00315E9C">
              <w:t>Infusion equipment,</w:t>
            </w:r>
          </w:p>
          <w:p w14:paraId="389C6354" w14:textId="77777777" w:rsidR="00670F87" w:rsidRPr="00315E9C" w:rsidRDefault="00670F87" w:rsidP="001B34DD">
            <w:pPr>
              <w:pStyle w:val="Tabletext"/>
            </w:pPr>
            <w:r w:rsidRPr="00315E9C">
              <w:t xml:space="preserve">Administrative and clinician time (e.g. resources associated with requesting, and authorising, access to Ig), </w:t>
            </w:r>
          </w:p>
          <w:p w14:paraId="629B71EB" w14:textId="77777777" w:rsidR="00670F87" w:rsidRPr="00315E9C" w:rsidRDefault="00670F87" w:rsidP="001B34DD">
            <w:pPr>
              <w:pStyle w:val="Tabletext"/>
            </w:pPr>
            <w:r w:rsidRPr="00315E9C">
              <w:t>Nursing time (for initiation and monitoring if IVI</w:t>
            </w:r>
            <w:r>
              <w:t>G</w:t>
            </w:r>
            <w:r w:rsidRPr="00315E9C">
              <w:t>)</w:t>
            </w:r>
          </w:p>
          <w:p w14:paraId="006E2D80" w14:textId="77777777" w:rsidR="00670F87" w:rsidRPr="00315E9C" w:rsidRDefault="00670F87" w:rsidP="001B34DD">
            <w:pPr>
              <w:pStyle w:val="Tabletext"/>
            </w:pPr>
            <w:r w:rsidRPr="00315E9C">
              <w:t>Hospitalisation (including length of stay)</w:t>
            </w:r>
          </w:p>
          <w:p w14:paraId="1DD434E9" w14:textId="77777777" w:rsidR="00670F87" w:rsidRPr="00315E9C" w:rsidRDefault="00670F87" w:rsidP="001B34DD">
            <w:pPr>
              <w:pStyle w:val="Tabletext"/>
            </w:pPr>
            <w:r w:rsidRPr="00315E9C">
              <w:t>ICU admission (including length of stay)</w:t>
            </w:r>
          </w:p>
          <w:p w14:paraId="70FE84F7" w14:textId="77777777" w:rsidR="00670F87" w:rsidRPr="00315E9C" w:rsidRDefault="00670F87" w:rsidP="001B34DD">
            <w:pPr>
              <w:pStyle w:val="Tabletext"/>
            </w:pPr>
            <w:r w:rsidRPr="00315E9C">
              <w:t>Management of adverse events</w:t>
            </w:r>
          </w:p>
          <w:p w14:paraId="6F3FF785" w14:textId="77777777" w:rsidR="00670F87" w:rsidRPr="00315E9C" w:rsidRDefault="00670F87" w:rsidP="001B34DD">
            <w:pPr>
              <w:pStyle w:val="Tabletext"/>
            </w:pPr>
            <w:r w:rsidRPr="00315E9C">
              <w:t>Training of patient or carer to provide infusions (SCI</w:t>
            </w:r>
            <w:r>
              <w:t xml:space="preserve">G </w:t>
            </w:r>
            <w:r w:rsidRPr="00315E9C">
              <w:t xml:space="preserve">only), </w:t>
            </w:r>
          </w:p>
          <w:p w14:paraId="04078E40" w14:textId="77777777" w:rsidR="00670F87" w:rsidRDefault="00670F87" w:rsidP="001B34DD">
            <w:pPr>
              <w:pStyle w:val="Tabletext"/>
            </w:pPr>
            <w:r w:rsidRPr="00315E9C">
              <w:t>Product dispensing and disposal of any unused product</w:t>
            </w:r>
          </w:p>
          <w:p w14:paraId="30E8D424" w14:textId="77777777" w:rsidR="00670F87" w:rsidRPr="00D92D27" w:rsidRDefault="00670F87" w:rsidP="001B34DD">
            <w:pPr>
              <w:pStyle w:val="Tabletext"/>
            </w:pPr>
            <w:r w:rsidRPr="00D92D27">
              <w:t>Follow-up and/or monitoring visits</w:t>
            </w:r>
          </w:p>
        </w:tc>
      </w:tr>
    </w:tbl>
    <w:p w14:paraId="79C1840D" w14:textId="77777777" w:rsidR="00BC1364" w:rsidRPr="00F715D1" w:rsidRDefault="00BC1364" w:rsidP="007A5D70">
      <w:pPr>
        <w:pStyle w:val="Heading1"/>
        <w:spacing w:before="120" w:after="120"/>
      </w:pPr>
      <w:r w:rsidRPr="00F715D1">
        <w:t>Financial/budgetary impacts</w:t>
      </w:r>
    </w:p>
    <w:p w14:paraId="2BD4937A" w14:textId="50AA159F" w:rsidR="00AC25C9" w:rsidRPr="007A5D70" w:rsidRDefault="00AC25C9" w:rsidP="00713284">
      <w:pPr>
        <w:tabs>
          <w:tab w:val="left" w:pos="720"/>
          <w:tab w:val="left" w:pos="1140"/>
        </w:tabs>
        <w:spacing w:before="120" w:after="240"/>
      </w:pPr>
      <w:r w:rsidRPr="00DA3C6E">
        <w:t xml:space="preserve">The financial implications and predicted use of Ig in patients with </w:t>
      </w:r>
      <w:r>
        <w:t>SHGG</w:t>
      </w:r>
      <w:r w:rsidRPr="00DA3C6E">
        <w:t xml:space="preserve"> were estimated for a 5-year period </w:t>
      </w:r>
      <w:r>
        <w:t>from</w:t>
      </w:r>
      <w:r w:rsidRPr="00DA3C6E">
        <w:t xml:space="preserve"> 2019</w:t>
      </w:r>
      <w:r>
        <w:t>-20</w:t>
      </w:r>
      <w:r w:rsidRPr="00DA3C6E">
        <w:t xml:space="preserve"> to 202</w:t>
      </w:r>
      <w:r>
        <w:t>3-2</w:t>
      </w:r>
      <w:r w:rsidRPr="00DA3C6E">
        <w:t>4</w:t>
      </w:r>
      <w:r>
        <w:t xml:space="preserve">, using a </w:t>
      </w:r>
      <w:r w:rsidRPr="00DA3C6E">
        <w:t>market-based approach</w:t>
      </w:r>
      <w:r>
        <w:t xml:space="preserve">. </w:t>
      </w:r>
    </w:p>
    <w:p w14:paraId="152A75AE" w14:textId="77777777" w:rsidR="00AC25C9" w:rsidRPr="00E642B6" w:rsidRDefault="00AC25C9" w:rsidP="00713284">
      <w:pPr>
        <w:tabs>
          <w:tab w:val="left" w:pos="720"/>
          <w:tab w:val="left" w:pos="1140"/>
        </w:tabs>
        <w:spacing w:before="120"/>
        <w:rPr>
          <w:szCs w:val="24"/>
        </w:rPr>
      </w:pPr>
      <w:r w:rsidRPr="00E642B6">
        <w:rPr>
          <w:szCs w:val="24"/>
        </w:rPr>
        <w:t xml:space="preserve">The cost per gram of Ig used in the base case analysis is $60.41. This cost was provided by the </w:t>
      </w:r>
      <w:r>
        <w:rPr>
          <w:szCs w:val="24"/>
        </w:rPr>
        <w:t>NBA</w:t>
      </w:r>
      <w:r w:rsidRPr="00E642B6">
        <w:rPr>
          <w:szCs w:val="24"/>
        </w:rPr>
        <w:t xml:space="preserve"> to inform the economic and financial analyses and had been estimated retrospectively based on the reported total domestic product cost in 2017/18 ($195 million) minus domestic SCIg product costs ($4 million) in that same year, divided by the number of IVIg domestic grams issued (3,161,673) as published in the National Report on the Issues and Use</w:t>
      </w:r>
      <w:r>
        <w:rPr>
          <w:szCs w:val="24"/>
        </w:rPr>
        <w:t xml:space="preserve"> of Ig in 2017/18 (NBA 2019b). </w:t>
      </w:r>
      <w:r w:rsidRPr="00E642B6">
        <w:rPr>
          <w:szCs w:val="24"/>
        </w:rPr>
        <w:t>Additional estimates are presented assuming:</w:t>
      </w:r>
    </w:p>
    <w:p w14:paraId="18F15D32" w14:textId="77777777" w:rsidR="00AC25C9" w:rsidRPr="003F54AF" w:rsidRDefault="00AC25C9" w:rsidP="00713284">
      <w:pPr>
        <w:pStyle w:val="ListParagraph"/>
        <w:numPr>
          <w:ilvl w:val="0"/>
          <w:numId w:val="29"/>
        </w:numPr>
        <w:tabs>
          <w:tab w:val="left" w:pos="720"/>
          <w:tab w:val="left" w:pos="1140"/>
        </w:tabs>
        <w:spacing w:before="120" w:after="240"/>
        <w:rPr>
          <w:szCs w:val="24"/>
        </w:rPr>
      </w:pPr>
      <w:r w:rsidRPr="003F54AF">
        <w:rPr>
          <w:szCs w:val="24"/>
        </w:rPr>
        <w:t>The highest (maximum) cost of Ig (i.e. domestic IVIg, including the cost of plasma fractionation), $140.18 per gram</w:t>
      </w:r>
    </w:p>
    <w:p w14:paraId="7E90F77D" w14:textId="77777777" w:rsidR="00AC25C9" w:rsidRPr="003F54AF" w:rsidRDefault="00AC25C9" w:rsidP="00713284">
      <w:pPr>
        <w:pStyle w:val="ListParagraph"/>
        <w:numPr>
          <w:ilvl w:val="0"/>
          <w:numId w:val="29"/>
        </w:numPr>
        <w:tabs>
          <w:tab w:val="left" w:pos="720"/>
          <w:tab w:val="left" w:pos="1140"/>
        </w:tabs>
        <w:spacing w:before="120" w:after="240"/>
        <w:rPr>
          <w:szCs w:val="24"/>
        </w:rPr>
      </w:pPr>
      <w:r w:rsidRPr="003F54AF">
        <w:rPr>
          <w:szCs w:val="24"/>
        </w:rPr>
        <w:t>The lowest (minimum) cost of Ig (i.e. imported IVIg), $44.94 per gram</w:t>
      </w:r>
    </w:p>
    <w:p w14:paraId="5B830C3B" w14:textId="250D1B10" w:rsidR="00AC25C9" w:rsidRPr="007A5D70" w:rsidRDefault="00AC25C9" w:rsidP="00713284">
      <w:pPr>
        <w:pStyle w:val="ListParagraph"/>
        <w:numPr>
          <w:ilvl w:val="0"/>
          <w:numId w:val="29"/>
        </w:numPr>
        <w:tabs>
          <w:tab w:val="left" w:pos="720"/>
          <w:tab w:val="left" w:pos="1140"/>
        </w:tabs>
        <w:spacing w:before="120" w:after="240"/>
        <w:rPr>
          <w:szCs w:val="24"/>
        </w:rPr>
      </w:pPr>
      <w:r w:rsidRPr="003F54AF">
        <w:rPr>
          <w:szCs w:val="24"/>
        </w:rPr>
        <w:t>The weighted average cost of Ig across all indications, $94.51 per gram</w:t>
      </w:r>
    </w:p>
    <w:p w14:paraId="39A59517" w14:textId="46888686" w:rsidR="00AC25C9" w:rsidRPr="00433CB2" w:rsidRDefault="00AC25C9" w:rsidP="00713284">
      <w:pPr>
        <w:tabs>
          <w:tab w:val="left" w:pos="720"/>
          <w:tab w:val="left" w:pos="1140"/>
        </w:tabs>
        <w:spacing w:before="120" w:after="240"/>
        <w:rPr>
          <w:szCs w:val="24"/>
        </w:rPr>
      </w:pPr>
      <w:r>
        <w:rPr>
          <w:szCs w:val="24"/>
        </w:rPr>
        <w:t>In the base case,</w:t>
      </w:r>
      <w:r w:rsidRPr="00E642B6">
        <w:rPr>
          <w:szCs w:val="24"/>
        </w:rPr>
        <w:t xml:space="preserve"> Ig costs </w:t>
      </w:r>
      <w:r>
        <w:rPr>
          <w:szCs w:val="24"/>
        </w:rPr>
        <w:t xml:space="preserve">are projected to </w:t>
      </w:r>
      <w:r w:rsidRPr="00E642B6">
        <w:rPr>
          <w:szCs w:val="24"/>
        </w:rPr>
        <w:t xml:space="preserve">increase from about $15.3 million in 2018-2019 to about $41.3 </w:t>
      </w:r>
      <w:r w:rsidRPr="00433CB2">
        <w:rPr>
          <w:szCs w:val="24"/>
        </w:rPr>
        <w:t xml:space="preserve">million in 2023-2024. Over five years (2019-2020 to 2023-2024), the projected costs of Ig in this population are estimated to be $144,245,943.  </w:t>
      </w:r>
    </w:p>
    <w:p w14:paraId="205574C4" w14:textId="4EE7B637" w:rsidR="00AC25C9" w:rsidRPr="003F54AF" w:rsidRDefault="00AC25C9" w:rsidP="007A5D70">
      <w:pPr>
        <w:keepNext/>
        <w:spacing w:before="120" w:after="120"/>
        <w:rPr>
          <w:rFonts w:ascii="Arial Narrow" w:hAnsi="Arial Narrow" w:cs="Tahoma"/>
          <w:b/>
          <w:bCs/>
          <w:sz w:val="20"/>
          <w:szCs w:val="22"/>
        </w:rPr>
      </w:pPr>
      <w:bookmarkStart w:id="5" w:name="_Ref39595769"/>
      <w:bookmarkStart w:id="6" w:name="_Toc48218433"/>
      <w:r w:rsidRPr="00433CB2">
        <w:rPr>
          <w:rFonts w:ascii="Arial Narrow" w:hAnsi="Arial Narrow" w:cs="Tahoma"/>
          <w:b/>
          <w:bCs/>
          <w:sz w:val="20"/>
          <w:szCs w:val="22"/>
        </w:rPr>
        <w:t xml:space="preserve">Table </w:t>
      </w:r>
      <w:bookmarkEnd w:id="5"/>
      <w:r>
        <w:rPr>
          <w:rFonts w:ascii="Arial Narrow" w:hAnsi="Arial Narrow" w:cs="Tahoma"/>
          <w:b/>
          <w:bCs/>
          <w:sz w:val="20"/>
          <w:szCs w:val="22"/>
        </w:rPr>
        <w:t>4</w:t>
      </w:r>
      <w:r w:rsidRPr="00433CB2">
        <w:rPr>
          <w:rFonts w:ascii="Arial Narrow" w:hAnsi="Arial Narrow" w:cs="Tahoma"/>
          <w:b/>
          <w:bCs/>
          <w:sz w:val="20"/>
          <w:szCs w:val="22"/>
        </w:rPr>
        <w:t xml:space="preserve"> Ig use projected costs</w:t>
      </w:r>
      <w:bookmarkEnd w:id="6"/>
      <w:r w:rsidRPr="003F54AF">
        <w:rPr>
          <w:rFonts w:ascii="Arial Narrow" w:hAnsi="Arial Narrow" w:cs="Tahoma"/>
          <w:b/>
          <w:bCs/>
          <w:sz w:val="20"/>
          <w:szCs w:val="22"/>
        </w:rPr>
        <w:t xml:space="preserve"> </w:t>
      </w:r>
    </w:p>
    <w:tbl>
      <w:tblPr>
        <w:tblStyle w:val="TableGrid1"/>
        <w:tblW w:w="5000" w:type="pct"/>
        <w:tblLayout w:type="fixed"/>
        <w:tblLook w:val="04A0" w:firstRow="1" w:lastRow="0" w:firstColumn="1" w:lastColumn="0" w:noHBand="0" w:noVBand="1"/>
        <w:tblDescription w:val="Ig use projected costs "/>
      </w:tblPr>
      <w:tblGrid>
        <w:gridCol w:w="1169"/>
        <w:gridCol w:w="1308"/>
        <w:gridCol w:w="1307"/>
        <w:gridCol w:w="1307"/>
        <w:gridCol w:w="1307"/>
        <w:gridCol w:w="1307"/>
        <w:gridCol w:w="1311"/>
      </w:tblGrid>
      <w:tr w:rsidR="00A84955" w:rsidRPr="003F54AF" w14:paraId="04B36663" w14:textId="77777777" w:rsidTr="00D44C6D">
        <w:trPr>
          <w:cnfStyle w:val="100000000000" w:firstRow="1" w:lastRow="0" w:firstColumn="0" w:lastColumn="0" w:oddVBand="0" w:evenVBand="0" w:oddHBand="0" w:evenHBand="0" w:firstRowFirstColumn="0" w:firstRowLastColumn="0" w:lastRowFirstColumn="0" w:lastRowLastColumn="0"/>
          <w:trHeight w:val="300"/>
          <w:tblHeader/>
        </w:trPr>
        <w:tc>
          <w:tcPr>
            <w:tcW w:w="648" w:type="pct"/>
          </w:tcPr>
          <w:p w14:paraId="6BB4917D" w14:textId="77777777" w:rsidR="00A84955" w:rsidRPr="003F54AF" w:rsidRDefault="00A84955" w:rsidP="001B34DD">
            <w:pPr>
              <w:keepNext/>
              <w:rPr>
                <w:rFonts w:ascii="Arial Narrow" w:hAnsi="Arial Narrow" w:cs="Tahoma"/>
                <w:b/>
                <w:sz w:val="20"/>
              </w:rPr>
            </w:pPr>
            <w:r w:rsidRPr="003F54AF">
              <w:rPr>
                <w:rFonts w:ascii="Arial Narrow" w:hAnsi="Arial Narrow" w:cs="Tahoma"/>
                <w:b/>
                <w:sz w:val="20"/>
              </w:rPr>
              <w:t>Assumed cost/gram</w:t>
            </w:r>
          </w:p>
        </w:tc>
        <w:tc>
          <w:tcPr>
            <w:tcW w:w="725" w:type="pct"/>
            <w:noWrap/>
            <w:hideMark/>
          </w:tcPr>
          <w:p w14:paraId="093E5330" w14:textId="77777777" w:rsidR="00A84955" w:rsidRPr="003F54AF" w:rsidRDefault="00A84955" w:rsidP="001B34DD">
            <w:pPr>
              <w:keepNext/>
              <w:rPr>
                <w:rFonts w:ascii="Arial Narrow" w:hAnsi="Arial Narrow" w:cs="Tahoma"/>
                <w:b/>
                <w:sz w:val="20"/>
              </w:rPr>
            </w:pPr>
            <w:r w:rsidRPr="003F54AF">
              <w:rPr>
                <w:rFonts w:ascii="Arial Narrow" w:hAnsi="Arial Narrow" w:cs="Tahoma"/>
                <w:b/>
                <w:sz w:val="20"/>
              </w:rPr>
              <w:t>2018 - 2019</w:t>
            </w:r>
            <w:r w:rsidRPr="003F54AF">
              <w:rPr>
                <w:rFonts w:ascii="Arial Narrow" w:hAnsi="Arial Narrow" w:cs="Tahoma"/>
                <w:b/>
                <w:sz w:val="20"/>
                <w:vertAlign w:val="superscript"/>
              </w:rPr>
              <w:t>a</w:t>
            </w:r>
          </w:p>
        </w:tc>
        <w:tc>
          <w:tcPr>
            <w:tcW w:w="725" w:type="pct"/>
            <w:noWrap/>
            <w:hideMark/>
          </w:tcPr>
          <w:p w14:paraId="370A05C5" w14:textId="77777777" w:rsidR="00A84955" w:rsidRPr="003F54AF" w:rsidRDefault="00A84955" w:rsidP="001B34DD">
            <w:pPr>
              <w:keepNext/>
              <w:rPr>
                <w:rFonts w:ascii="Arial Narrow" w:hAnsi="Arial Narrow" w:cs="Tahoma"/>
                <w:b/>
                <w:sz w:val="20"/>
              </w:rPr>
            </w:pPr>
            <w:r w:rsidRPr="003F54AF">
              <w:rPr>
                <w:rFonts w:ascii="Arial Narrow" w:hAnsi="Arial Narrow" w:cs="Tahoma"/>
                <w:b/>
                <w:sz w:val="20"/>
              </w:rPr>
              <w:t>2019 - 2020</w:t>
            </w:r>
          </w:p>
        </w:tc>
        <w:tc>
          <w:tcPr>
            <w:tcW w:w="725" w:type="pct"/>
            <w:noWrap/>
            <w:hideMark/>
          </w:tcPr>
          <w:p w14:paraId="168C2C4A" w14:textId="77777777" w:rsidR="00A84955" w:rsidRPr="003F54AF" w:rsidRDefault="00A84955" w:rsidP="001B34DD">
            <w:pPr>
              <w:keepNext/>
              <w:rPr>
                <w:rFonts w:ascii="Arial Narrow" w:hAnsi="Arial Narrow" w:cs="Tahoma"/>
                <w:b/>
                <w:sz w:val="20"/>
              </w:rPr>
            </w:pPr>
            <w:r w:rsidRPr="003F54AF">
              <w:rPr>
                <w:rFonts w:ascii="Arial Narrow" w:hAnsi="Arial Narrow" w:cs="Tahoma"/>
                <w:b/>
                <w:sz w:val="20"/>
              </w:rPr>
              <w:t>2020-2021</w:t>
            </w:r>
          </w:p>
        </w:tc>
        <w:tc>
          <w:tcPr>
            <w:tcW w:w="725" w:type="pct"/>
            <w:noWrap/>
            <w:hideMark/>
          </w:tcPr>
          <w:p w14:paraId="1A8BBE92" w14:textId="77777777" w:rsidR="00A84955" w:rsidRPr="003F54AF" w:rsidRDefault="00A84955" w:rsidP="001B34DD">
            <w:pPr>
              <w:keepNext/>
              <w:rPr>
                <w:rFonts w:ascii="Arial Narrow" w:hAnsi="Arial Narrow" w:cs="Tahoma"/>
                <w:b/>
                <w:sz w:val="20"/>
              </w:rPr>
            </w:pPr>
            <w:r w:rsidRPr="003F54AF">
              <w:rPr>
                <w:rFonts w:ascii="Arial Narrow" w:hAnsi="Arial Narrow" w:cs="Tahoma"/>
                <w:b/>
                <w:sz w:val="20"/>
              </w:rPr>
              <w:t>2021 - 2022</w:t>
            </w:r>
          </w:p>
        </w:tc>
        <w:tc>
          <w:tcPr>
            <w:tcW w:w="725" w:type="pct"/>
            <w:noWrap/>
            <w:hideMark/>
          </w:tcPr>
          <w:p w14:paraId="7E1A968A" w14:textId="77777777" w:rsidR="00A84955" w:rsidRPr="003F54AF" w:rsidRDefault="00A84955" w:rsidP="001B34DD">
            <w:pPr>
              <w:keepNext/>
              <w:rPr>
                <w:rFonts w:ascii="Arial Narrow" w:hAnsi="Arial Narrow" w:cs="Tahoma"/>
                <w:b/>
                <w:sz w:val="20"/>
              </w:rPr>
            </w:pPr>
            <w:r w:rsidRPr="003F54AF">
              <w:rPr>
                <w:rFonts w:ascii="Arial Narrow" w:hAnsi="Arial Narrow" w:cs="Tahoma"/>
                <w:b/>
                <w:sz w:val="20"/>
              </w:rPr>
              <w:t>2022 - 2023</w:t>
            </w:r>
          </w:p>
        </w:tc>
        <w:tc>
          <w:tcPr>
            <w:tcW w:w="727" w:type="pct"/>
            <w:noWrap/>
            <w:hideMark/>
          </w:tcPr>
          <w:p w14:paraId="5D0E327A" w14:textId="77777777" w:rsidR="00A84955" w:rsidRPr="003F54AF" w:rsidRDefault="00A84955" w:rsidP="001B34DD">
            <w:pPr>
              <w:keepNext/>
              <w:rPr>
                <w:rFonts w:ascii="Arial Narrow" w:hAnsi="Arial Narrow" w:cs="Tahoma"/>
                <w:b/>
                <w:sz w:val="20"/>
              </w:rPr>
            </w:pPr>
            <w:r w:rsidRPr="003F54AF">
              <w:rPr>
                <w:rFonts w:ascii="Arial Narrow" w:hAnsi="Arial Narrow" w:cs="Tahoma"/>
                <w:b/>
                <w:sz w:val="20"/>
              </w:rPr>
              <w:t>2023 - 2024</w:t>
            </w:r>
          </w:p>
        </w:tc>
      </w:tr>
      <w:tr w:rsidR="00A84955" w:rsidRPr="003F54AF" w14:paraId="75FC2B3E" w14:textId="77777777" w:rsidTr="00D44C6D">
        <w:trPr>
          <w:trHeight w:val="300"/>
        </w:trPr>
        <w:tc>
          <w:tcPr>
            <w:tcW w:w="648" w:type="pct"/>
          </w:tcPr>
          <w:p w14:paraId="716BA54D" w14:textId="77777777" w:rsidR="00A84955" w:rsidRPr="003F54AF" w:rsidRDefault="00A84955" w:rsidP="001B34DD">
            <w:pPr>
              <w:rPr>
                <w:rFonts w:cs="Tahoma"/>
                <w:sz w:val="20"/>
              </w:rPr>
            </w:pPr>
            <w:r w:rsidRPr="003F54AF">
              <w:rPr>
                <w:rFonts w:cs="Tahoma"/>
                <w:sz w:val="20"/>
              </w:rPr>
              <w:t>Base</w:t>
            </w:r>
          </w:p>
          <w:p w14:paraId="49B163CC" w14:textId="77777777" w:rsidR="00A84955" w:rsidRPr="003F54AF" w:rsidRDefault="00A84955" w:rsidP="001B34DD">
            <w:pPr>
              <w:rPr>
                <w:rFonts w:cs="Tahoma"/>
                <w:sz w:val="20"/>
              </w:rPr>
            </w:pPr>
            <w:r w:rsidRPr="003F54AF">
              <w:rPr>
                <w:rFonts w:cs="Tahoma"/>
                <w:sz w:val="20"/>
              </w:rPr>
              <w:t>$60.41/g</w:t>
            </w:r>
          </w:p>
        </w:tc>
        <w:tc>
          <w:tcPr>
            <w:tcW w:w="725" w:type="pct"/>
            <w:noWrap/>
          </w:tcPr>
          <w:p w14:paraId="354E6772" w14:textId="77777777" w:rsidR="00A84955" w:rsidRPr="003F54AF" w:rsidRDefault="00A84955" w:rsidP="001B34DD">
            <w:pPr>
              <w:rPr>
                <w:rFonts w:cs="Tahoma"/>
                <w:sz w:val="20"/>
              </w:rPr>
            </w:pPr>
            <w:r w:rsidRPr="003F54AF">
              <w:rPr>
                <w:rFonts w:cs="Tahoma"/>
                <w:sz w:val="20"/>
              </w:rPr>
              <w:t>$15,276,583</w:t>
            </w:r>
          </w:p>
        </w:tc>
        <w:tc>
          <w:tcPr>
            <w:tcW w:w="725" w:type="pct"/>
            <w:noWrap/>
          </w:tcPr>
          <w:p w14:paraId="1BE34E31" w14:textId="77777777" w:rsidR="00A84955" w:rsidRPr="003F54AF" w:rsidRDefault="00A84955" w:rsidP="001B34DD">
            <w:pPr>
              <w:rPr>
                <w:rFonts w:cs="Tahoma"/>
                <w:sz w:val="20"/>
              </w:rPr>
            </w:pPr>
            <w:r w:rsidRPr="003F54AF">
              <w:rPr>
                <w:rFonts w:cs="Tahoma"/>
                <w:sz w:val="20"/>
              </w:rPr>
              <w:t>$18,637,432</w:t>
            </w:r>
          </w:p>
        </w:tc>
        <w:tc>
          <w:tcPr>
            <w:tcW w:w="725" w:type="pct"/>
            <w:noWrap/>
          </w:tcPr>
          <w:p w14:paraId="7A3B761A" w14:textId="77777777" w:rsidR="00A84955" w:rsidRPr="003F54AF" w:rsidRDefault="00A84955" w:rsidP="001B34DD">
            <w:pPr>
              <w:rPr>
                <w:rFonts w:cs="Tahoma"/>
                <w:sz w:val="20"/>
              </w:rPr>
            </w:pPr>
            <w:r w:rsidRPr="003F54AF">
              <w:rPr>
                <w:rFonts w:cs="Tahoma"/>
                <w:sz w:val="20"/>
              </w:rPr>
              <w:t>$22,737,667</w:t>
            </w:r>
          </w:p>
        </w:tc>
        <w:tc>
          <w:tcPr>
            <w:tcW w:w="725" w:type="pct"/>
            <w:noWrap/>
          </w:tcPr>
          <w:p w14:paraId="562ECE83" w14:textId="77777777" w:rsidR="00A84955" w:rsidRPr="003F54AF" w:rsidRDefault="00A84955" w:rsidP="001B34DD">
            <w:pPr>
              <w:rPr>
                <w:rFonts w:cs="Tahoma"/>
                <w:sz w:val="20"/>
              </w:rPr>
            </w:pPr>
            <w:r w:rsidRPr="003F54AF">
              <w:rPr>
                <w:rFonts w:cs="Tahoma"/>
                <w:sz w:val="20"/>
              </w:rPr>
              <w:t>$27,739,954</w:t>
            </w:r>
          </w:p>
        </w:tc>
        <w:tc>
          <w:tcPr>
            <w:tcW w:w="725" w:type="pct"/>
            <w:noWrap/>
          </w:tcPr>
          <w:p w14:paraId="5CB55639" w14:textId="77777777" w:rsidR="00A84955" w:rsidRPr="003F54AF" w:rsidRDefault="00A84955" w:rsidP="001B34DD">
            <w:pPr>
              <w:rPr>
                <w:rFonts w:cs="Tahoma"/>
                <w:sz w:val="20"/>
              </w:rPr>
            </w:pPr>
            <w:r w:rsidRPr="003F54AF">
              <w:rPr>
                <w:rFonts w:cs="Tahoma"/>
                <w:sz w:val="20"/>
              </w:rPr>
              <w:t>$33,842,743</w:t>
            </w:r>
          </w:p>
        </w:tc>
        <w:tc>
          <w:tcPr>
            <w:tcW w:w="727" w:type="pct"/>
            <w:noWrap/>
          </w:tcPr>
          <w:p w14:paraId="33B9B25B" w14:textId="77777777" w:rsidR="00A84955" w:rsidRPr="003F54AF" w:rsidRDefault="00A84955" w:rsidP="001B34DD">
            <w:pPr>
              <w:rPr>
                <w:rFonts w:cs="Tahoma"/>
                <w:sz w:val="20"/>
              </w:rPr>
            </w:pPr>
            <w:r w:rsidRPr="003F54AF">
              <w:rPr>
                <w:rFonts w:cs="Tahoma"/>
                <w:sz w:val="20"/>
              </w:rPr>
              <w:t xml:space="preserve"> $41,288,147</w:t>
            </w:r>
          </w:p>
        </w:tc>
      </w:tr>
      <w:tr w:rsidR="00A84955" w:rsidRPr="003F54AF" w14:paraId="32F98EB9" w14:textId="77777777" w:rsidTr="00D44C6D">
        <w:trPr>
          <w:trHeight w:val="290"/>
        </w:trPr>
        <w:tc>
          <w:tcPr>
            <w:tcW w:w="648" w:type="pct"/>
            <w:noWrap/>
            <w:hideMark/>
          </w:tcPr>
          <w:p w14:paraId="6613CFB9" w14:textId="77777777" w:rsidR="00A84955" w:rsidRPr="003F54AF" w:rsidRDefault="00A84955" w:rsidP="001B34DD">
            <w:pPr>
              <w:rPr>
                <w:rFonts w:cs="Tahoma"/>
                <w:sz w:val="20"/>
              </w:rPr>
            </w:pPr>
            <w:r w:rsidRPr="003F54AF">
              <w:rPr>
                <w:rFonts w:cs="Tahoma"/>
                <w:sz w:val="20"/>
              </w:rPr>
              <w:t xml:space="preserve">Minimum  </w:t>
            </w:r>
          </w:p>
          <w:p w14:paraId="2114E31F" w14:textId="77777777" w:rsidR="00A84955" w:rsidRPr="003F54AF" w:rsidRDefault="00A84955" w:rsidP="001B34DD">
            <w:pPr>
              <w:rPr>
                <w:rFonts w:cs="Tahoma"/>
                <w:sz w:val="20"/>
              </w:rPr>
            </w:pPr>
            <w:r w:rsidRPr="003F54AF">
              <w:rPr>
                <w:rFonts w:cs="Tahoma"/>
                <w:sz w:val="20"/>
              </w:rPr>
              <w:t>$44.94/g</w:t>
            </w:r>
          </w:p>
        </w:tc>
        <w:tc>
          <w:tcPr>
            <w:tcW w:w="725" w:type="pct"/>
            <w:noWrap/>
            <w:hideMark/>
          </w:tcPr>
          <w:p w14:paraId="3959D9DA" w14:textId="77777777" w:rsidR="00A84955" w:rsidRPr="003F54AF" w:rsidRDefault="00A84955" w:rsidP="001B34DD">
            <w:pPr>
              <w:rPr>
                <w:rFonts w:cs="Tahoma"/>
                <w:sz w:val="20"/>
              </w:rPr>
            </w:pPr>
            <w:r w:rsidRPr="003F54AF">
              <w:rPr>
                <w:rFonts w:cs="Tahoma"/>
                <w:sz w:val="20"/>
              </w:rPr>
              <w:t xml:space="preserve"> $11,364,504 </w:t>
            </w:r>
          </w:p>
        </w:tc>
        <w:tc>
          <w:tcPr>
            <w:tcW w:w="725" w:type="pct"/>
            <w:noWrap/>
            <w:hideMark/>
          </w:tcPr>
          <w:p w14:paraId="470765DF" w14:textId="77777777" w:rsidR="00A84955" w:rsidRPr="003F54AF" w:rsidRDefault="00A84955" w:rsidP="001B34DD">
            <w:pPr>
              <w:rPr>
                <w:rFonts w:cs="Tahoma"/>
                <w:sz w:val="20"/>
              </w:rPr>
            </w:pPr>
            <w:r w:rsidRPr="003F54AF">
              <w:rPr>
                <w:rFonts w:cs="Tahoma"/>
                <w:sz w:val="20"/>
              </w:rPr>
              <w:t xml:space="preserve"> $13,864,694 </w:t>
            </w:r>
          </w:p>
        </w:tc>
        <w:tc>
          <w:tcPr>
            <w:tcW w:w="725" w:type="pct"/>
            <w:noWrap/>
            <w:hideMark/>
          </w:tcPr>
          <w:p w14:paraId="01DC0883" w14:textId="77777777" w:rsidR="00A84955" w:rsidRPr="003F54AF" w:rsidRDefault="00A84955" w:rsidP="001B34DD">
            <w:pPr>
              <w:rPr>
                <w:rFonts w:cs="Tahoma"/>
                <w:sz w:val="20"/>
              </w:rPr>
            </w:pPr>
            <w:r w:rsidRPr="003F54AF">
              <w:rPr>
                <w:rFonts w:cs="Tahoma"/>
                <w:sz w:val="20"/>
              </w:rPr>
              <w:t xml:space="preserve"> $16,914,927 </w:t>
            </w:r>
          </w:p>
        </w:tc>
        <w:tc>
          <w:tcPr>
            <w:tcW w:w="725" w:type="pct"/>
            <w:noWrap/>
            <w:hideMark/>
          </w:tcPr>
          <w:p w14:paraId="713F3DAA" w14:textId="77777777" w:rsidR="00A84955" w:rsidRPr="003F54AF" w:rsidRDefault="00A84955" w:rsidP="001B34DD">
            <w:pPr>
              <w:rPr>
                <w:rFonts w:cs="Tahoma"/>
                <w:sz w:val="20"/>
              </w:rPr>
            </w:pPr>
            <w:r w:rsidRPr="003F54AF">
              <w:rPr>
                <w:rFonts w:cs="Tahoma"/>
                <w:sz w:val="20"/>
              </w:rPr>
              <w:t xml:space="preserve"> $20,636,211 </w:t>
            </w:r>
          </w:p>
        </w:tc>
        <w:tc>
          <w:tcPr>
            <w:tcW w:w="725" w:type="pct"/>
            <w:noWrap/>
            <w:hideMark/>
          </w:tcPr>
          <w:p w14:paraId="222D85D1" w14:textId="77777777" w:rsidR="00A84955" w:rsidRPr="003F54AF" w:rsidRDefault="00A84955" w:rsidP="001B34DD">
            <w:pPr>
              <w:rPr>
                <w:rFonts w:cs="Tahoma"/>
                <w:sz w:val="20"/>
              </w:rPr>
            </w:pPr>
            <w:r w:rsidRPr="003F54AF">
              <w:rPr>
                <w:rFonts w:cs="Tahoma"/>
                <w:sz w:val="20"/>
              </w:rPr>
              <w:t xml:space="preserve"> $25,176,178 </w:t>
            </w:r>
          </w:p>
        </w:tc>
        <w:tc>
          <w:tcPr>
            <w:tcW w:w="727" w:type="pct"/>
            <w:noWrap/>
            <w:hideMark/>
          </w:tcPr>
          <w:p w14:paraId="4773726D" w14:textId="77777777" w:rsidR="00A84955" w:rsidRPr="003F54AF" w:rsidRDefault="00A84955" w:rsidP="001B34DD">
            <w:pPr>
              <w:rPr>
                <w:rFonts w:cs="Tahoma"/>
                <w:sz w:val="20"/>
              </w:rPr>
            </w:pPr>
            <w:r w:rsidRPr="003F54AF">
              <w:rPr>
                <w:rFonts w:cs="Tahoma"/>
                <w:sz w:val="20"/>
              </w:rPr>
              <w:t xml:space="preserve"> $30,714,937 </w:t>
            </w:r>
          </w:p>
        </w:tc>
      </w:tr>
      <w:tr w:rsidR="00A84955" w:rsidRPr="003F54AF" w14:paraId="59218861" w14:textId="77777777" w:rsidTr="00D44C6D">
        <w:trPr>
          <w:trHeight w:val="290"/>
        </w:trPr>
        <w:tc>
          <w:tcPr>
            <w:tcW w:w="648" w:type="pct"/>
            <w:noWrap/>
            <w:hideMark/>
          </w:tcPr>
          <w:p w14:paraId="2AE521DB" w14:textId="77777777" w:rsidR="00A84955" w:rsidRPr="003F54AF" w:rsidRDefault="00A84955" w:rsidP="001B34DD">
            <w:pPr>
              <w:rPr>
                <w:rFonts w:cs="Tahoma"/>
                <w:sz w:val="20"/>
              </w:rPr>
            </w:pPr>
            <w:r w:rsidRPr="003F54AF">
              <w:rPr>
                <w:rFonts w:cs="Tahoma"/>
                <w:sz w:val="20"/>
              </w:rPr>
              <w:t>Weighted Average</w:t>
            </w:r>
          </w:p>
          <w:p w14:paraId="33508F73" w14:textId="77777777" w:rsidR="00A84955" w:rsidRPr="003F54AF" w:rsidRDefault="00A84955" w:rsidP="001B34DD">
            <w:pPr>
              <w:rPr>
                <w:rFonts w:cs="Tahoma"/>
                <w:sz w:val="20"/>
              </w:rPr>
            </w:pPr>
            <w:r w:rsidRPr="003F54AF">
              <w:rPr>
                <w:rFonts w:cs="Tahoma"/>
                <w:sz w:val="20"/>
              </w:rPr>
              <w:t xml:space="preserve">$94.51/g </w:t>
            </w:r>
          </w:p>
        </w:tc>
        <w:tc>
          <w:tcPr>
            <w:tcW w:w="725" w:type="pct"/>
            <w:noWrap/>
            <w:hideMark/>
          </w:tcPr>
          <w:p w14:paraId="349BEDCB" w14:textId="77777777" w:rsidR="00A84955" w:rsidRPr="003F54AF" w:rsidRDefault="00A84955" w:rsidP="001B34DD">
            <w:pPr>
              <w:rPr>
                <w:rFonts w:cs="Tahoma"/>
                <w:sz w:val="20"/>
              </w:rPr>
            </w:pPr>
            <w:r w:rsidRPr="003F54AF">
              <w:rPr>
                <w:rFonts w:cs="Tahoma"/>
                <w:sz w:val="20"/>
              </w:rPr>
              <w:t xml:space="preserve"> $23,899,849 </w:t>
            </w:r>
          </w:p>
        </w:tc>
        <w:tc>
          <w:tcPr>
            <w:tcW w:w="725" w:type="pct"/>
            <w:noWrap/>
            <w:hideMark/>
          </w:tcPr>
          <w:p w14:paraId="5CFE555E" w14:textId="77777777" w:rsidR="00A84955" w:rsidRPr="003F54AF" w:rsidRDefault="00A84955" w:rsidP="001B34DD">
            <w:pPr>
              <w:rPr>
                <w:rFonts w:cs="Tahoma"/>
                <w:sz w:val="20"/>
              </w:rPr>
            </w:pPr>
            <w:r w:rsidRPr="003F54AF">
              <w:rPr>
                <w:rFonts w:cs="Tahoma"/>
                <w:sz w:val="20"/>
              </w:rPr>
              <w:t xml:space="preserve"> $29,157,816 </w:t>
            </w:r>
          </w:p>
        </w:tc>
        <w:tc>
          <w:tcPr>
            <w:tcW w:w="725" w:type="pct"/>
            <w:noWrap/>
            <w:hideMark/>
          </w:tcPr>
          <w:p w14:paraId="241DE213" w14:textId="77777777" w:rsidR="00A84955" w:rsidRPr="003F54AF" w:rsidRDefault="00A84955" w:rsidP="001B34DD">
            <w:pPr>
              <w:rPr>
                <w:rFonts w:cs="Tahoma"/>
                <w:sz w:val="20"/>
              </w:rPr>
            </w:pPr>
            <w:r w:rsidRPr="003F54AF">
              <w:rPr>
                <w:rFonts w:cs="Tahoma"/>
                <w:sz w:val="20"/>
              </w:rPr>
              <w:t xml:space="preserve"> $35,572,536 </w:t>
            </w:r>
          </w:p>
        </w:tc>
        <w:tc>
          <w:tcPr>
            <w:tcW w:w="725" w:type="pct"/>
            <w:noWrap/>
            <w:hideMark/>
          </w:tcPr>
          <w:p w14:paraId="2976AE19" w14:textId="77777777" w:rsidR="00A84955" w:rsidRPr="003F54AF" w:rsidRDefault="00A84955" w:rsidP="001B34DD">
            <w:pPr>
              <w:rPr>
                <w:rFonts w:cs="Tahoma"/>
                <w:sz w:val="20"/>
              </w:rPr>
            </w:pPr>
            <w:r w:rsidRPr="003F54AF">
              <w:rPr>
                <w:rFonts w:cs="Tahoma"/>
                <w:sz w:val="20"/>
              </w:rPr>
              <w:t xml:space="preserve"> $43,398,494 </w:t>
            </w:r>
          </w:p>
        </w:tc>
        <w:tc>
          <w:tcPr>
            <w:tcW w:w="725" w:type="pct"/>
            <w:noWrap/>
            <w:hideMark/>
          </w:tcPr>
          <w:p w14:paraId="4901BB97" w14:textId="77777777" w:rsidR="00A84955" w:rsidRPr="003F54AF" w:rsidRDefault="00A84955" w:rsidP="001B34DD">
            <w:pPr>
              <w:rPr>
                <w:rFonts w:cs="Tahoma"/>
                <w:sz w:val="20"/>
              </w:rPr>
            </w:pPr>
            <w:r w:rsidRPr="003F54AF">
              <w:rPr>
                <w:rFonts w:cs="Tahoma"/>
                <w:sz w:val="20"/>
              </w:rPr>
              <w:t xml:space="preserve"> $52,946,163 </w:t>
            </w:r>
          </w:p>
        </w:tc>
        <w:tc>
          <w:tcPr>
            <w:tcW w:w="727" w:type="pct"/>
            <w:noWrap/>
            <w:hideMark/>
          </w:tcPr>
          <w:p w14:paraId="628666C5" w14:textId="77777777" w:rsidR="00A84955" w:rsidRPr="003F54AF" w:rsidRDefault="00A84955" w:rsidP="001B34DD">
            <w:pPr>
              <w:rPr>
                <w:rFonts w:cs="Tahoma"/>
                <w:sz w:val="20"/>
              </w:rPr>
            </w:pPr>
            <w:r w:rsidRPr="003F54AF">
              <w:rPr>
                <w:rFonts w:cs="Tahoma"/>
                <w:sz w:val="20"/>
              </w:rPr>
              <w:t xml:space="preserve"> $64,594,318 </w:t>
            </w:r>
          </w:p>
        </w:tc>
      </w:tr>
      <w:tr w:rsidR="00A84955" w:rsidRPr="003F54AF" w14:paraId="3A979FB1" w14:textId="77777777" w:rsidTr="00D44C6D">
        <w:trPr>
          <w:trHeight w:val="290"/>
        </w:trPr>
        <w:tc>
          <w:tcPr>
            <w:tcW w:w="648" w:type="pct"/>
            <w:noWrap/>
            <w:hideMark/>
          </w:tcPr>
          <w:p w14:paraId="7679D1E5" w14:textId="77777777" w:rsidR="00A84955" w:rsidRPr="003F54AF" w:rsidRDefault="00A84955" w:rsidP="001B34DD">
            <w:pPr>
              <w:rPr>
                <w:rFonts w:cs="Tahoma"/>
                <w:sz w:val="20"/>
              </w:rPr>
            </w:pPr>
            <w:r w:rsidRPr="003F54AF">
              <w:rPr>
                <w:rFonts w:cs="Tahoma"/>
                <w:sz w:val="20"/>
              </w:rPr>
              <w:t>Maximum</w:t>
            </w:r>
          </w:p>
          <w:p w14:paraId="3A76242B" w14:textId="77777777" w:rsidR="00A84955" w:rsidRPr="003F54AF" w:rsidRDefault="00A84955" w:rsidP="001B34DD">
            <w:pPr>
              <w:rPr>
                <w:rFonts w:cs="Tahoma"/>
                <w:sz w:val="20"/>
              </w:rPr>
            </w:pPr>
            <w:r w:rsidRPr="003F54AF">
              <w:rPr>
                <w:rFonts w:cs="Tahoma"/>
                <w:sz w:val="20"/>
              </w:rPr>
              <w:t>$140.18/g</w:t>
            </w:r>
          </w:p>
        </w:tc>
        <w:tc>
          <w:tcPr>
            <w:tcW w:w="725" w:type="pct"/>
            <w:noWrap/>
            <w:hideMark/>
          </w:tcPr>
          <w:p w14:paraId="615667B3" w14:textId="77777777" w:rsidR="00A84955" w:rsidRPr="003F54AF" w:rsidRDefault="00A84955" w:rsidP="001B34DD">
            <w:pPr>
              <w:rPr>
                <w:rFonts w:cs="Tahoma"/>
                <w:sz w:val="20"/>
              </w:rPr>
            </w:pPr>
            <w:r w:rsidRPr="003F54AF">
              <w:rPr>
                <w:rFonts w:cs="Tahoma"/>
                <w:sz w:val="20"/>
              </w:rPr>
              <w:t xml:space="preserve"> $35,448,957 </w:t>
            </w:r>
          </w:p>
        </w:tc>
        <w:tc>
          <w:tcPr>
            <w:tcW w:w="725" w:type="pct"/>
            <w:noWrap/>
            <w:hideMark/>
          </w:tcPr>
          <w:p w14:paraId="4AD53550" w14:textId="77777777" w:rsidR="00A84955" w:rsidRPr="003F54AF" w:rsidRDefault="00A84955" w:rsidP="001B34DD">
            <w:pPr>
              <w:rPr>
                <w:rFonts w:cs="Tahoma"/>
                <w:sz w:val="20"/>
              </w:rPr>
            </w:pPr>
            <w:r w:rsidRPr="003F54AF">
              <w:rPr>
                <w:rFonts w:cs="Tahoma"/>
                <w:sz w:val="20"/>
              </w:rPr>
              <w:t xml:space="preserve"> $43,247,727 </w:t>
            </w:r>
          </w:p>
        </w:tc>
        <w:tc>
          <w:tcPr>
            <w:tcW w:w="725" w:type="pct"/>
            <w:noWrap/>
            <w:hideMark/>
          </w:tcPr>
          <w:p w14:paraId="706B1E7E" w14:textId="77777777" w:rsidR="00A84955" w:rsidRPr="003F54AF" w:rsidRDefault="00A84955" w:rsidP="001B34DD">
            <w:pPr>
              <w:rPr>
                <w:rFonts w:cs="Tahoma"/>
                <w:sz w:val="20"/>
              </w:rPr>
            </w:pPr>
            <w:r w:rsidRPr="003F54AF">
              <w:rPr>
                <w:rFonts w:cs="Tahoma"/>
                <w:sz w:val="20"/>
              </w:rPr>
              <w:t xml:space="preserve"> $52,762,227 </w:t>
            </w:r>
          </w:p>
        </w:tc>
        <w:tc>
          <w:tcPr>
            <w:tcW w:w="725" w:type="pct"/>
            <w:noWrap/>
            <w:hideMark/>
          </w:tcPr>
          <w:p w14:paraId="587DBF35" w14:textId="77777777" w:rsidR="00A84955" w:rsidRPr="003F54AF" w:rsidRDefault="00A84955" w:rsidP="001B34DD">
            <w:pPr>
              <w:rPr>
                <w:rFonts w:cs="Tahoma"/>
                <w:sz w:val="20"/>
              </w:rPr>
            </w:pPr>
            <w:r w:rsidRPr="003F54AF">
              <w:rPr>
                <w:rFonts w:cs="Tahoma"/>
                <w:sz w:val="20"/>
              </w:rPr>
              <w:t xml:space="preserve"> $64,369,917 </w:t>
            </w:r>
          </w:p>
        </w:tc>
        <w:tc>
          <w:tcPr>
            <w:tcW w:w="725" w:type="pct"/>
            <w:noWrap/>
            <w:hideMark/>
          </w:tcPr>
          <w:p w14:paraId="6B1D42C5" w14:textId="77777777" w:rsidR="00A84955" w:rsidRPr="003F54AF" w:rsidRDefault="00A84955" w:rsidP="001B34DD">
            <w:pPr>
              <w:rPr>
                <w:rFonts w:cs="Tahoma"/>
                <w:sz w:val="20"/>
              </w:rPr>
            </w:pPr>
            <w:r w:rsidRPr="003F54AF">
              <w:rPr>
                <w:rFonts w:cs="Tahoma"/>
                <w:sz w:val="20"/>
              </w:rPr>
              <w:t xml:space="preserve"> $78,531,299 </w:t>
            </w:r>
          </w:p>
        </w:tc>
        <w:tc>
          <w:tcPr>
            <w:tcW w:w="727" w:type="pct"/>
            <w:noWrap/>
            <w:hideMark/>
          </w:tcPr>
          <w:p w14:paraId="5C977CB2" w14:textId="77777777" w:rsidR="00A84955" w:rsidRPr="003F54AF" w:rsidRDefault="00A84955" w:rsidP="001B34DD">
            <w:pPr>
              <w:rPr>
                <w:rFonts w:cs="Tahoma"/>
                <w:sz w:val="20"/>
              </w:rPr>
            </w:pPr>
            <w:r w:rsidRPr="003F54AF">
              <w:rPr>
                <w:rFonts w:cs="Tahoma"/>
                <w:sz w:val="20"/>
              </w:rPr>
              <w:t xml:space="preserve"> $95,808,185 </w:t>
            </w:r>
          </w:p>
        </w:tc>
      </w:tr>
    </w:tbl>
    <w:p w14:paraId="65D619C6" w14:textId="77777777" w:rsidR="00A84955" w:rsidRPr="003F54AF" w:rsidRDefault="00A84955" w:rsidP="00A84955">
      <w:pPr>
        <w:widowControl w:val="0"/>
        <w:rPr>
          <w:rFonts w:ascii="Arial Narrow" w:hAnsi="Arial Narrow" w:cs="Arial"/>
          <w:snapToGrid w:val="0"/>
          <w:sz w:val="18"/>
          <w:shd w:val="clear" w:color="auto" w:fill="FFFFFF"/>
          <w:lang w:eastAsia="en-US"/>
        </w:rPr>
      </w:pPr>
      <w:r w:rsidRPr="003F54AF">
        <w:rPr>
          <w:rFonts w:ascii="Arial Narrow" w:hAnsi="Arial Narrow" w:cs="Arial"/>
          <w:snapToGrid w:val="0"/>
          <w:sz w:val="18"/>
          <w:shd w:val="clear" w:color="auto" w:fill="FFFFFF"/>
          <w:lang w:eastAsia="en-US"/>
        </w:rPr>
        <w:t xml:space="preserve">Source: </w:t>
      </w:r>
      <w:r>
        <w:rPr>
          <w:rFonts w:ascii="Arial Narrow" w:hAnsi="Arial Narrow" w:cs="Arial"/>
          <w:snapToGrid w:val="0"/>
          <w:sz w:val="18"/>
          <w:shd w:val="clear" w:color="auto" w:fill="FFFFFF"/>
          <w:lang w:eastAsia="en-US"/>
        </w:rPr>
        <w:t xml:space="preserve">Contracted Assessment, Table 2 </w:t>
      </w:r>
      <w:r w:rsidRPr="003F54AF">
        <w:rPr>
          <w:rFonts w:ascii="Arial Narrow" w:hAnsi="Arial Narrow" w:cs="Arial"/>
          <w:snapToGrid w:val="0"/>
          <w:sz w:val="18"/>
          <w:shd w:val="clear" w:color="auto" w:fill="FFFFFF"/>
          <w:lang w:eastAsia="en-US"/>
        </w:rPr>
        <w:fldChar w:fldCharType="begin"/>
      </w:r>
      <w:r w:rsidRPr="003F54AF">
        <w:rPr>
          <w:rFonts w:ascii="Arial Narrow" w:hAnsi="Arial Narrow" w:cs="Arial"/>
          <w:snapToGrid w:val="0"/>
          <w:sz w:val="18"/>
          <w:shd w:val="clear" w:color="auto" w:fill="FFFFFF"/>
          <w:lang w:eastAsia="en-US"/>
        </w:rPr>
        <w:instrText xml:space="preserve"> ADDIN EN.CITE &lt;EndNote&gt;&lt;Cite&gt;&lt;Author&gt;NBA&lt;/Author&gt;&lt;Year&gt;2020&lt;/Year&gt;&lt;RecNum&gt;5329&lt;/RecNum&gt;&lt;DisplayText&gt;(NBA 2020b)&lt;/DisplayText&gt;&lt;record&gt;&lt;rec-number&gt;5329&lt;/rec-number&gt;&lt;foreign-keys&gt;&lt;key app="EN" db-id="5vferztvefe5dtexpzpp5xsg0dx5d5vp0dst" timestamp="1596766321"&gt;5329&lt;/key&gt;&lt;/foreign-keys&gt;&lt;ref-type name="Report"&gt;27&lt;/ref-type&gt;&lt;contributors&gt;&lt;authors&gt;&lt;author&gt;NBA&lt;/author&gt;&lt;/authors&gt;&lt;/contributors&gt;&lt;titles&gt;&lt;title&gt;Ig use monthly data&lt;/title&gt;&lt;/titles&gt;&lt;dates&gt;&lt;year&gt;2020&lt;/year&gt;&lt;/dates&gt;&lt;urls&gt;&lt;/urls&gt;&lt;/record&gt;&lt;/Cite&gt;&lt;/EndNote&gt;</w:instrText>
      </w:r>
      <w:r w:rsidRPr="003F54AF">
        <w:rPr>
          <w:rFonts w:ascii="Arial Narrow" w:hAnsi="Arial Narrow" w:cs="Arial"/>
          <w:snapToGrid w:val="0"/>
          <w:sz w:val="18"/>
          <w:shd w:val="clear" w:color="auto" w:fill="FFFFFF"/>
          <w:lang w:eastAsia="en-US"/>
        </w:rPr>
        <w:fldChar w:fldCharType="separate"/>
      </w:r>
      <w:r w:rsidRPr="003F54AF">
        <w:rPr>
          <w:rFonts w:ascii="Arial Narrow" w:hAnsi="Arial Narrow" w:cs="Arial"/>
          <w:noProof/>
          <w:snapToGrid w:val="0"/>
          <w:sz w:val="18"/>
          <w:shd w:val="clear" w:color="auto" w:fill="FFFFFF"/>
          <w:lang w:eastAsia="en-US"/>
        </w:rPr>
        <w:t>(</w:t>
      </w:r>
      <w:hyperlink w:anchor="_ENREF_22" w:tooltip="NBA, 2020 #5329" w:history="1">
        <w:r w:rsidRPr="003F54AF">
          <w:rPr>
            <w:rFonts w:ascii="Arial Narrow" w:hAnsi="Arial Narrow" w:cs="Arial"/>
            <w:noProof/>
            <w:snapToGrid w:val="0"/>
            <w:sz w:val="18"/>
            <w:shd w:val="clear" w:color="auto" w:fill="FFFFFF"/>
            <w:lang w:eastAsia="en-US"/>
          </w:rPr>
          <w:t>NBA 2020b</w:t>
        </w:r>
      </w:hyperlink>
      <w:r w:rsidRPr="003F54AF">
        <w:rPr>
          <w:rFonts w:ascii="Arial Narrow" w:hAnsi="Arial Narrow" w:cs="Arial"/>
          <w:noProof/>
          <w:snapToGrid w:val="0"/>
          <w:sz w:val="18"/>
          <w:shd w:val="clear" w:color="auto" w:fill="FFFFFF"/>
          <w:lang w:eastAsia="en-US"/>
        </w:rPr>
        <w:t>)</w:t>
      </w:r>
      <w:r w:rsidRPr="003F54AF">
        <w:rPr>
          <w:rFonts w:ascii="Arial Narrow" w:hAnsi="Arial Narrow" w:cs="Arial"/>
          <w:snapToGrid w:val="0"/>
          <w:sz w:val="18"/>
          <w:shd w:val="clear" w:color="auto" w:fill="FFFFFF"/>
          <w:lang w:eastAsia="en-US"/>
        </w:rPr>
        <w:fldChar w:fldCharType="end"/>
      </w:r>
    </w:p>
    <w:p w14:paraId="61A79DEA" w14:textId="77777777" w:rsidR="00A84955" w:rsidRPr="003F54AF" w:rsidRDefault="00A84955" w:rsidP="00A84955">
      <w:pPr>
        <w:widowControl w:val="0"/>
        <w:rPr>
          <w:rFonts w:ascii="Arial Narrow" w:hAnsi="Arial Narrow" w:cs="Arial"/>
          <w:snapToGrid w:val="0"/>
          <w:sz w:val="18"/>
          <w:shd w:val="clear" w:color="auto" w:fill="FFFFFF"/>
          <w:lang w:eastAsia="en-US"/>
        </w:rPr>
      </w:pPr>
      <w:r w:rsidRPr="003F54AF">
        <w:rPr>
          <w:rFonts w:ascii="Arial Narrow" w:hAnsi="Arial Narrow" w:cs="Arial"/>
          <w:snapToGrid w:val="0"/>
          <w:sz w:val="18"/>
          <w:shd w:val="clear" w:color="auto" w:fill="FFFFFF"/>
          <w:lang w:eastAsia="en-US"/>
        </w:rPr>
        <w:t xml:space="preserve">IVIG: intravenous immunoglobulin, SCIG: subcutaneous immunoglobulin, HGG: hypogammaglobulinaemia, HM: haematological malignancies, HSCT: haemopoietic stem cell transplantation </w:t>
      </w:r>
    </w:p>
    <w:p w14:paraId="766203CE" w14:textId="77777777" w:rsidR="00A84955" w:rsidRPr="003F54AF" w:rsidRDefault="00A84955" w:rsidP="00A84955">
      <w:pPr>
        <w:widowControl w:val="0"/>
        <w:jc w:val="both"/>
        <w:rPr>
          <w:rFonts w:ascii="Arial Narrow" w:hAnsi="Arial Narrow" w:cs="Arial"/>
          <w:snapToGrid w:val="0"/>
          <w:sz w:val="18"/>
          <w:lang w:eastAsia="en-US"/>
        </w:rPr>
      </w:pPr>
      <w:r w:rsidRPr="003F54AF">
        <w:rPr>
          <w:rFonts w:ascii="Arial Narrow" w:hAnsi="Arial Narrow" w:cs="Arial"/>
          <w:snapToGrid w:val="0"/>
          <w:sz w:val="18"/>
          <w:lang w:eastAsia="en-US"/>
        </w:rPr>
        <w:t xml:space="preserve">*All Secondary HGG (excluding haematological malignancies) includes all the subgroup of patients. Note that due to the very different growth rates within subpopulations and the limited data available to estimate these trends we do not break down the extrapolation into subpopulations.  </w:t>
      </w:r>
    </w:p>
    <w:p w14:paraId="2938E1F6" w14:textId="77777777" w:rsidR="00A84955" w:rsidRPr="003F54AF" w:rsidRDefault="00A84955" w:rsidP="00A84955">
      <w:pPr>
        <w:widowControl w:val="0"/>
        <w:jc w:val="both"/>
        <w:rPr>
          <w:rFonts w:ascii="Arial Narrow" w:hAnsi="Arial Narrow" w:cs="Arial"/>
          <w:snapToGrid w:val="0"/>
          <w:sz w:val="18"/>
          <w:lang w:eastAsia="en-US"/>
        </w:rPr>
      </w:pPr>
      <w:r w:rsidRPr="003F54AF">
        <w:rPr>
          <w:rFonts w:ascii="Arial Narrow" w:hAnsi="Arial Narrow" w:cs="Arial"/>
          <w:snapToGrid w:val="0"/>
          <w:sz w:val="18"/>
          <w:lang w:eastAsia="en-US"/>
        </w:rPr>
        <w:t>** Based on actual use.</w:t>
      </w:r>
    </w:p>
    <w:p w14:paraId="7C4DC28A" w14:textId="77777777" w:rsidR="00AC25C9" w:rsidRDefault="00AC25C9" w:rsidP="00713284">
      <w:pPr>
        <w:tabs>
          <w:tab w:val="left" w:pos="720"/>
          <w:tab w:val="left" w:pos="1140"/>
        </w:tabs>
        <w:spacing w:before="120" w:after="240"/>
      </w:pPr>
      <w:r>
        <w:lastRenderedPageBreak/>
        <w:t>These projected costs consider the Ig product only (excluding administration costs). The estimates do not consider costs or changes in use and cost of other medical services, as there was insufficient information to make such predictions; therefore the financial implications are highly uncertain. T</w:t>
      </w:r>
      <w:r w:rsidRPr="003F54AF">
        <w:t>reatment patterns may differ in each of the four subpopulations included (e.g. patients undergoing solid organ transplantati</w:t>
      </w:r>
      <w:r>
        <w:t>on might only receive Ig</w:t>
      </w:r>
      <w:r w:rsidRPr="003F54AF">
        <w:t xml:space="preserve"> for a more limited period of time </w:t>
      </w:r>
      <w:r>
        <w:t>compared with</w:t>
      </w:r>
      <w:r w:rsidRPr="003F54AF">
        <w:t xml:space="preserve"> those with Good syndrome or B-cell depletion therapy</w:t>
      </w:r>
      <w:r>
        <w:t>, for which treatment might be lifelong</w:t>
      </w:r>
      <w:r w:rsidRPr="003F54AF">
        <w:t xml:space="preserve">). </w:t>
      </w:r>
    </w:p>
    <w:p w14:paraId="4E2D329A" w14:textId="77777777" w:rsidR="00AC25C9" w:rsidRDefault="00AC25C9" w:rsidP="00713284">
      <w:pPr>
        <w:tabs>
          <w:tab w:val="left" w:pos="720"/>
          <w:tab w:val="left" w:pos="1140"/>
        </w:tabs>
        <w:spacing w:before="120" w:after="240"/>
      </w:pPr>
      <w:r>
        <w:t>Where new B-cell depleting therapies are considered for government reimbursement, the impact of the additional cost of Ig therapy must be included in any assessment of cost-effectiveness.</w:t>
      </w:r>
    </w:p>
    <w:p w14:paraId="57E9616B" w14:textId="60AE71F8" w:rsidR="00AC25C9" w:rsidRPr="00713284" w:rsidRDefault="00AC25C9" w:rsidP="00713284">
      <w:pPr>
        <w:tabs>
          <w:tab w:val="left" w:pos="720"/>
          <w:tab w:val="left" w:pos="1140"/>
        </w:tabs>
        <w:spacing w:before="120" w:after="240"/>
      </w:pPr>
      <w:r>
        <w:t>The cumulative need for Ig following organ transplant is likely to be proportional to the number of transplants occurring. Between 2009 and 2019, there was an increase in transplantation of 81%, but the rate of increase has plateaued- see Figure 5.</w:t>
      </w:r>
    </w:p>
    <w:p w14:paraId="2F4B210F" w14:textId="73AAF48C" w:rsidR="00AC25C9" w:rsidRPr="00D44C6D" w:rsidRDefault="00AC25C9" w:rsidP="00D44C6D">
      <w:pPr>
        <w:rPr>
          <w:rFonts w:ascii="Arial Narrow" w:hAnsi="Arial Narrow"/>
          <w:b/>
          <w:sz w:val="20"/>
        </w:rPr>
      </w:pPr>
      <w:r w:rsidRPr="00D44C6D">
        <w:rPr>
          <w:rFonts w:ascii="Arial Narrow" w:hAnsi="Arial Narrow"/>
          <w:b/>
          <w:sz w:val="20"/>
        </w:rPr>
        <w:t xml:space="preserve">Figure 5 Deceased organ and transplant recipients 2009-2019 (source </w:t>
      </w:r>
      <w:hyperlink r:id="rId18" w:tooltip="Link to Transplant Australia webpage - statistics" w:history="1">
        <w:r w:rsidRPr="00D44C6D">
          <w:rPr>
            <w:rStyle w:val="Hyperlink"/>
            <w:rFonts w:ascii="Arial Narrow" w:hAnsi="Arial Narrow"/>
            <w:b/>
            <w:sz w:val="20"/>
          </w:rPr>
          <w:t>https://transplant.org.au/statistics/</w:t>
        </w:r>
      </w:hyperlink>
      <w:r w:rsidRPr="00D44C6D">
        <w:rPr>
          <w:rFonts w:ascii="Arial Narrow" w:hAnsi="Arial Narrow"/>
          <w:b/>
          <w:sz w:val="20"/>
        </w:rPr>
        <w:t>)</w:t>
      </w:r>
    </w:p>
    <w:p w14:paraId="70401875" w14:textId="77777777" w:rsidR="00AC25C9" w:rsidRPr="001415C4" w:rsidRDefault="00AC25C9" w:rsidP="007A5D70">
      <w:pPr>
        <w:tabs>
          <w:tab w:val="left" w:pos="720"/>
          <w:tab w:val="left" w:pos="1140"/>
        </w:tabs>
        <w:spacing w:before="120" w:after="120"/>
        <w:rPr>
          <w:rFonts w:ascii="Arial Narrow" w:hAnsi="Arial Narrow"/>
          <w:sz w:val="20"/>
        </w:rPr>
      </w:pPr>
    </w:p>
    <w:p w14:paraId="65F742CD" w14:textId="77777777" w:rsidR="00AC25C9" w:rsidRDefault="00AC25C9" w:rsidP="007A5D70">
      <w:pPr>
        <w:tabs>
          <w:tab w:val="left" w:pos="720"/>
          <w:tab w:val="left" w:pos="1140"/>
        </w:tabs>
        <w:spacing w:before="120" w:after="120"/>
      </w:pPr>
      <w:r>
        <w:rPr>
          <w:noProof/>
        </w:rPr>
        <w:drawing>
          <wp:inline distT="0" distB="0" distL="0" distR="0" wp14:anchorId="05E41140" wp14:editId="3497897E">
            <wp:extent cx="5730875" cy="2871470"/>
            <wp:effectExtent l="0" t="0" r="3175" b="5080"/>
            <wp:docPr id="4" name="Picture 4" descr="Graph of deceased organ and transplant recipients 2009-20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0875" cy="2871470"/>
                    </a:xfrm>
                    <a:prstGeom prst="rect">
                      <a:avLst/>
                    </a:prstGeom>
                    <a:noFill/>
                  </pic:spPr>
                </pic:pic>
              </a:graphicData>
            </a:graphic>
          </wp:inline>
        </w:drawing>
      </w:r>
    </w:p>
    <w:p w14:paraId="1A5D16B5" w14:textId="65C0DCD3" w:rsidR="00AC25C9" w:rsidRDefault="00AC25C9" w:rsidP="00CD0E82">
      <w:pPr>
        <w:tabs>
          <w:tab w:val="left" w:pos="720"/>
          <w:tab w:val="left" w:pos="1140"/>
        </w:tabs>
        <w:spacing w:before="240" w:after="240"/>
      </w:pPr>
      <w:r w:rsidRPr="003F54AF">
        <w:t xml:space="preserve">The subgroup of patients classified as “Other” by the Criteria </w:t>
      </w:r>
      <w:r>
        <w:t>V</w:t>
      </w:r>
      <w:r w:rsidRPr="003F54AF">
        <w:t xml:space="preserve">3 had the highest use of Ig </w:t>
      </w:r>
      <w:r>
        <w:t xml:space="preserve">(52%) </w:t>
      </w:r>
      <w:r w:rsidRPr="003F54AF">
        <w:t xml:space="preserve">in the population of </w:t>
      </w:r>
      <w:r>
        <w:t>S</w:t>
      </w:r>
      <w:r w:rsidRPr="003F54AF">
        <w:t xml:space="preserve">HGG. The lack of knowledge of the underlying conditions in this patient subgroup </w:t>
      </w:r>
      <w:r>
        <w:t>means that the treatment needs of these patients and the associated costs could not be predicted.</w:t>
      </w:r>
      <w:r w:rsidRPr="00A778EA">
        <w:t xml:space="preserve"> Furthermor</w:t>
      </w:r>
      <w:r w:rsidRPr="0061744C">
        <w:t>e, it would be critical to identify the diagnoses in this ‘Other’ group to ensure that this classification is not being used to circumvent the restriction on conditions for which Ig are ‘not supported’ per the Criteria.</w:t>
      </w:r>
    </w:p>
    <w:p w14:paraId="3DCAC98E" w14:textId="320DBEBF" w:rsidR="00A64958" w:rsidRDefault="00AC25C9" w:rsidP="00713284">
      <w:pPr>
        <w:tabs>
          <w:tab w:val="left" w:pos="720"/>
          <w:tab w:val="left" w:pos="1140"/>
        </w:tabs>
        <w:spacing w:before="120" w:after="240"/>
      </w:pPr>
      <w:r w:rsidRPr="00A774EF">
        <w:t xml:space="preserve">From June 2014 to March 2020 there </w:t>
      </w:r>
      <w:r>
        <w:t>was</w:t>
      </w:r>
      <w:r w:rsidRPr="00A774EF">
        <w:t xml:space="preserve"> an annual growth rate of approximately 19.3%, based on the monthly use of Ig (grams) for all </w:t>
      </w:r>
      <w:r>
        <w:t>S</w:t>
      </w:r>
      <w:r w:rsidR="00DD019D">
        <w:t xml:space="preserve">HGG (excl. haem malignancies). </w:t>
      </w:r>
      <w:r>
        <w:t>A 22% annual growth in Ig use was applied</w:t>
      </w:r>
      <w:r w:rsidRPr="00A36C6D">
        <w:t xml:space="preserve"> to the 2018/19 estimates</w:t>
      </w:r>
      <w:r w:rsidR="00A64958">
        <w:t xml:space="preserve"> for the financial implications</w:t>
      </w:r>
      <w:r>
        <w:t xml:space="preserve">, based on the growth rate of Ig use for SHGG between July 2019-March </w:t>
      </w:r>
      <w:r w:rsidRPr="00A774EF">
        <w:t>2020</w:t>
      </w:r>
      <w:r w:rsidR="00A64958">
        <w:t xml:space="preserve"> when most </w:t>
      </w:r>
      <w:r w:rsidRPr="00A774EF">
        <w:t xml:space="preserve">of the transition from Version 2 to Version 3 of the Criteria had been completed (Figure </w:t>
      </w:r>
      <w:r w:rsidR="00090294">
        <w:t>6</w:t>
      </w:r>
      <w:r w:rsidRPr="00A774EF">
        <w:t xml:space="preserve">). </w:t>
      </w:r>
      <w:r w:rsidR="00A64958" w:rsidRPr="00A774EF">
        <w:t>This is highly uncertain as growth rates in Ig use by subgroups differed greatly over these nine months.</w:t>
      </w:r>
      <w:r w:rsidR="00A64958">
        <w:t xml:space="preserve"> Therefore, a sensitivity analysis was also presented, extrapolating each subpopulation by their corresponding recent growth rate.</w:t>
      </w:r>
      <w:r w:rsidR="00A64958" w:rsidRPr="00A64958">
        <w:rPr>
          <w:szCs w:val="24"/>
        </w:rPr>
        <w:t xml:space="preserve"> </w:t>
      </w:r>
      <w:r w:rsidR="009C7930">
        <w:rPr>
          <w:szCs w:val="24"/>
        </w:rPr>
        <w:t>In particular, t</w:t>
      </w:r>
      <w:r w:rsidR="00A64958">
        <w:rPr>
          <w:szCs w:val="24"/>
        </w:rPr>
        <w:t>he assessment report noted t</w:t>
      </w:r>
      <w:r w:rsidR="00A64958" w:rsidRPr="00A774EF">
        <w:rPr>
          <w:szCs w:val="24"/>
        </w:rPr>
        <w:t xml:space="preserve">he recent increasing use of </w:t>
      </w:r>
      <w:r w:rsidR="00A64958" w:rsidRPr="00A774EF">
        <w:rPr>
          <w:szCs w:val="24"/>
        </w:rPr>
        <w:lastRenderedPageBreak/>
        <w:t>Ig related to B cell depletion therapy, which if this continues, may put considerable pressure on Ig budgets</w:t>
      </w:r>
      <w:r w:rsidR="00A64958">
        <w:rPr>
          <w:szCs w:val="24"/>
        </w:rPr>
        <w:t xml:space="preserve"> in the future</w:t>
      </w:r>
      <w:r w:rsidR="00A64958" w:rsidRPr="00A774EF">
        <w:rPr>
          <w:szCs w:val="24"/>
        </w:rPr>
        <w:t>.</w:t>
      </w:r>
    </w:p>
    <w:p w14:paraId="1E3FB128" w14:textId="77777777" w:rsidR="00AC25C9" w:rsidRPr="00D44C6D" w:rsidRDefault="00AC25C9" w:rsidP="00D44C6D">
      <w:pPr>
        <w:rPr>
          <w:rFonts w:ascii="Arial Narrow" w:hAnsi="Arial Narrow"/>
          <w:b/>
          <w:sz w:val="20"/>
        </w:rPr>
      </w:pPr>
      <w:r w:rsidRPr="00D44C6D">
        <w:rPr>
          <w:rFonts w:ascii="Arial Narrow" w:hAnsi="Arial Narrow"/>
          <w:b/>
          <w:sz w:val="20"/>
        </w:rPr>
        <w:t>Figure 6 Monthly recorded Ig use (IVIG and SCIG) under each criterion and by subpopulation in V3</w:t>
      </w:r>
    </w:p>
    <w:p w14:paraId="0C7C0FA5" w14:textId="77777777" w:rsidR="00AC25C9" w:rsidRPr="00592C75" w:rsidRDefault="00AC25C9" w:rsidP="007A5D70">
      <w:pPr>
        <w:keepNext/>
        <w:spacing w:before="120" w:after="120" w:line="312" w:lineRule="auto"/>
        <w:rPr>
          <w:rFonts w:ascii="Calibri" w:hAnsi="Calibri" w:cs="Tahoma"/>
          <w:sz w:val="22"/>
          <w:szCs w:val="22"/>
        </w:rPr>
      </w:pPr>
      <w:r w:rsidRPr="00592C75">
        <w:rPr>
          <w:rFonts w:ascii="Calibri" w:hAnsi="Calibri" w:cs="Tahoma"/>
          <w:noProof/>
          <w:sz w:val="22"/>
          <w:szCs w:val="22"/>
        </w:rPr>
        <w:drawing>
          <wp:inline distT="0" distB="0" distL="0" distR="0" wp14:anchorId="732931BA" wp14:editId="0E65AB81">
            <wp:extent cx="5665276" cy="2847975"/>
            <wp:effectExtent l="0" t="0" r="0" b="0"/>
            <wp:docPr id="8" name="Picture 8" title="Figure 7. Monthly recorded Ig use (IVIG and SCIG) under each criterion and by subpopulation in 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82159" cy="2856462"/>
                    </a:xfrm>
                    <a:prstGeom prst="rect">
                      <a:avLst/>
                    </a:prstGeom>
                    <a:noFill/>
                  </pic:spPr>
                </pic:pic>
              </a:graphicData>
            </a:graphic>
          </wp:inline>
        </w:drawing>
      </w:r>
      <w:r w:rsidRPr="00592C75">
        <w:rPr>
          <w:rFonts w:ascii="Calibri" w:hAnsi="Calibri" w:cs="Tahoma"/>
          <w:sz w:val="22"/>
          <w:szCs w:val="22"/>
        </w:rPr>
        <w:t xml:space="preserve"> </w:t>
      </w:r>
    </w:p>
    <w:p w14:paraId="3B21F3B2" w14:textId="12E938FE" w:rsidR="00BC1364" w:rsidRPr="00AC25C9" w:rsidRDefault="00AC25C9" w:rsidP="00DD019D">
      <w:pPr>
        <w:spacing w:before="120" w:after="240"/>
        <w:rPr>
          <w:rFonts w:ascii="Arial Narrow" w:hAnsi="Arial Narrow"/>
          <w:lang w:eastAsia="en-US"/>
        </w:rPr>
      </w:pPr>
      <w:bookmarkStart w:id="7" w:name="_Ref47694029"/>
      <w:bookmarkStart w:id="8" w:name="_Toc48218488"/>
      <w:r w:rsidRPr="00433CB2">
        <w:rPr>
          <w:rFonts w:ascii="Arial Narrow" w:hAnsi="Arial Narrow"/>
          <w:sz w:val="18"/>
          <w:szCs w:val="18"/>
        </w:rPr>
        <w:t xml:space="preserve">Source: Contracted Assessment Figure </w:t>
      </w:r>
      <w:r>
        <w:rPr>
          <w:rFonts w:ascii="Arial Narrow" w:hAnsi="Arial Narrow"/>
          <w:sz w:val="18"/>
          <w:szCs w:val="18"/>
        </w:rPr>
        <w:t>7</w:t>
      </w:r>
      <w:r w:rsidRPr="00592C75">
        <w:rPr>
          <w:rFonts w:ascii="Arial Narrow" w:hAnsi="Arial Narrow" w:cs="Arial"/>
          <w:noProof/>
          <w:snapToGrid w:val="0"/>
          <w:sz w:val="18"/>
          <w:lang w:eastAsia="en-US"/>
        </w:rPr>
        <w:t>(</w:t>
      </w:r>
      <w:hyperlink w:anchor="_ENREF_22" w:tooltip="NBA, 2020 #5329" w:history="1">
        <w:r w:rsidRPr="00592C75">
          <w:rPr>
            <w:rFonts w:ascii="Arial Narrow" w:hAnsi="Arial Narrow" w:cs="Arial"/>
            <w:noProof/>
            <w:snapToGrid w:val="0"/>
            <w:sz w:val="18"/>
            <w:lang w:eastAsia="en-US"/>
          </w:rPr>
          <w:t>NBA 2020b</w:t>
        </w:r>
      </w:hyperlink>
      <w:r>
        <w:rPr>
          <w:rFonts w:ascii="Arial Narrow" w:hAnsi="Arial Narrow" w:cs="Arial"/>
          <w:noProof/>
          <w:snapToGrid w:val="0"/>
          <w:sz w:val="18"/>
          <w:lang w:eastAsia="en-US"/>
        </w:rPr>
        <w:t>)</w:t>
      </w:r>
      <w:bookmarkEnd w:id="7"/>
      <w:bookmarkEnd w:id="8"/>
    </w:p>
    <w:p w14:paraId="208ECD81" w14:textId="77777777" w:rsidR="006A0D97" w:rsidRPr="00F715D1" w:rsidRDefault="006A0D97" w:rsidP="007A5D70">
      <w:pPr>
        <w:pStyle w:val="Heading1"/>
        <w:spacing w:before="120" w:after="120"/>
      </w:pPr>
      <w:r w:rsidRPr="00F715D1">
        <w:lastRenderedPageBreak/>
        <w:t>Key issues from ESC for MSAC</w:t>
      </w:r>
    </w:p>
    <w:tbl>
      <w:tblPr>
        <w:tblStyle w:val="TableGrid2"/>
        <w:tblW w:w="0" w:type="auto"/>
        <w:tblLook w:val="04A0" w:firstRow="1" w:lastRow="0" w:firstColumn="1" w:lastColumn="0" w:noHBand="0" w:noVBand="1"/>
        <w:tblDescription w:val="Key issues from ESC for MSAC consideration"/>
      </w:tblPr>
      <w:tblGrid>
        <w:gridCol w:w="3397"/>
        <w:gridCol w:w="5619"/>
      </w:tblGrid>
      <w:tr w:rsidR="00214904" w:rsidRPr="00214904" w14:paraId="01273768" w14:textId="77777777" w:rsidTr="00EC6723">
        <w:trPr>
          <w:trHeight w:val="523"/>
          <w:tblHeader/>
        </w:trPr>
        <w:tc>
          <w:tcPr>
            <w:tcW w:w="3397" w:type="dxa"/>
            <w:vAlign w:val="center"/>
          </w:tcPr>
          <w:p w14:paraId="54E0193F" w14:textId="77777777" w:rsidR="00214904" w:rsidRPr="00214904" w:rsidRDefault="00214904" w:rsidP="007A5D70">
            <w:pPr>
              <w:tabs>
                <w:tab w:val="left" w:pos="2265"/>
                <w:tab w:val="left" w:pos="3420"/>
                <w:tab w:val="left" w:pos="4320"/>
              </w:tabs>
              <w:spacing w:before="120" w:after="120"/>
              <w:rPr>
                <w:b/>
                <w:sz w:val="22"/>
                <w:szCs w:val="22"/>
              </w:rPr>
            </w:pPr>
            <w:r w:rsidRPr="00214904">
              <w:rPr>
                <w:rFonts w:ascii="Arial Narrow" w:hAnsi="Arial Narrow"/>
                <w:b/>
                <w:sz w:val="22"/>
                <w:szCs w:val="22"/>
              </w:rPr>
              <w:t>ESC key issue</w:t>
            </w:r>
          </w:p>
        </w:tc>
        <w:tc>
          <w:tcPr>
            <w:tcW w:w="5619" w:type="dxa"/>
            <w:vAlign w:val="center"/>
          </w:tcPr>
          <w:p w14:paraId="34357070" w14:textId="77777777" w:rsidR="00214904" w:rsidRPr="00214904" w:rsidRDefault="00214904" w:rsidP="007A5D70">
            <w:pPr>
              <w:tabs>
                <w:tab w:val="left" w:pos="2265"/>
                <w:tab w:val="left" w:pos="3420"/>
                <w:tab w:val="left" w:pos="4320"/>
              </w:tabs>
              <w:spacing w:before="120" w:after="120"/>
              <w:rPr>
                <w:b/>
                <w:sz w:val="22"/>
                <w:szCs w:val="22"/>
              </w:rPr>
            </w:pPr>
            <w:r w:rsidRPr="00214904">
              <w:rPr>
                <w:rFonts w:ascii="Arial Narrow" w:hAnsi="Arial Narrow"/>
                <w:b/>
                <w:sz w:val="22"/>
                <w:szCs w:val="22"/>
              </w:rPr>
              <w:t>ESC advice to MSAC</w:t>
            </w:r>
          </w:p>
        </w:tc>
      </w:tr>
      <w:tr w:rsidR="00214904" w:rsidRPr="00214904" w14:paraId="43C6F24D" w14:textId="77777777" w:rsidTr="00EC6723">
        <w:trPr>
          <w:tblHeader/>
        </w:trPr>
        <w:tc>
          <w:tcPr>
            <w:tcW w:w="3397" w:type="dxa"/>
          </w:tcPr>
          <w:p w14:paraId="58854588" w14:textId="77777777" w:rsidR="00214904" w:rsidRPr="00214904" w:rsidRDefault="00214904" w:rsidP="007A5D70">
            <w:pPr>
              <w:tabs>
                <w:tab w:val="left" w:pos="2265"/>
                <w:tab w:val="left" w:pos="3420"/>
                <w:tab w:val="left" w:pos="4320"/>
              </w:tabs>
              <w:spacing w:before="120" w:after="120"/>
              <w:rPr>
                <w:rFonts w:ascii="Arial Narrow" w:hAnsi="Arial Narrow"/>
                <w:sz w:val="22"/>
              </w:rPr>
            </w:pPr>
            <w:r w:rsidRPr="00214904">
              <w:rPr>
                <w:rFonts w:ascii="Arial Narrow" w:hAnsi="Arial Narrow"/>
                <w:sz w:val="22"/>
              </w:rPr>
              <w:t>Details of the “Other hypogammaglobulinaemia (HGG)” subgroup</w:t>
            </w:r>
          </w:p>
        </w:tc>
        <w:tc>
          <w:tcPr>
            <w:tcW w:w="5619" w:type="dxa"/>
          </w:tcPr>
          <w:p w14:paraId="0BC94774" w14:textId="77777777" w:rsidR="00214904" w:rsidRPr="00214904" w:rsidRDefault="00214904" w:rsidP="007A5D70">
            <w:pPr>
              <w:tabs>
                <w:tab w:val="left" w:pos="2265"/>
                <w:tab w:val="left" w:pos="3420"/>
                <w:tab w:val="left" w:pos="4320"/>
              </w:tabs>
              <w:spacing w:before="120" w:after="120"/>
              <w:rPr>
                <w:rFonts w:ascii="Arial Narrow" w:hAnsi="Arial Narrow"/>
                <w:sz w:val="22"/>
              </w:rPr>
            </w:pPr>
            <w:r w:rsidRPr="00214904">
              <w:rPr>
                <w:rFonts w:ascii="Arial Narrow" w:hAnsi="Arial Narrow"/>
                <w:sz w:val="22"/>
              </w:rPr>
              <w:t xml:space="preserve">The “Other HGG” subgroup represented the majority of Ig use for all secondary hypogammaglobulinaemia (SHGG) in the 2019 calendar year. Data collection for this currently un-defined subgroup is required to understand the clinical diagnoses and outcomes for this population. </w:t>
            </w:r>
            <w:r w:rsidRPr="004A627C">
              <w:rPr>
                <w:rFonts w:ascii="Arial Narrow" w:hAnsi="Arial Narrow"/>
                <w:sz w:val="22"/>
              </w:rPr>
              <w:t>More knowledge of the diagnoses in this subgroup will allow a better understanding of the applicability of Ig treatment for these patients and the associated costs.</w:t>
            </w:r>
            <w:r w:rsidRPr="00214904">
              <w:rPr>
                <w:rFonts w:ascii="Arial Narrow" w:hAnsi="Arial Narrow"/>
                <w:sz w:val="22"/>
              </w:rPr>
              <w:t xml:space="preserve"> </w:t>
            </w:r>
          </w:p>
        </w:tc>
      </w:tr>
      <w:tr w:rsidR="00214904" w:rsidRPr="00214904" w14:paraId="4917CCC6" w14:textId="77777777" w:rsidTr="00EC6723">
        <w:trPr>
          <w:tblHeader/>
        </w:trPr>
        <w:tc>
          <w:tcPr>
            <w:tcW w:w="3397" w:type="dxa"/>
          </w:tcPr>
          <w:p w14:paraId="424A408D" w14:textId="77777777" w:rsidR="00214904" w:rsidRPr="00214904" w:rsidRDefault="00214904" w:rsidP="007A5D70">
            <w:pPr>
              <w:tabs>
                <w:tab w:val="left" w:pos="2265"/>
                <w:tab w:val="left" w:pos="3420"/>
                <w:tab w:val="left" w:pos="4320"/>
              </w:tabs>
              <w:spacing w:before="120" w:after="120"/>
              <w:rPr>
                <w:rFonts w:ascii="Arial Narrow" w:hAnsi="Arial Narrow"/>
                <w:sz w:val="22"/>
              </w:rPr>
            </w:pPr>
            <w:r w:rsidRPr="00214904">
              <w:rPr>
                <w:rFonts w:ascii="Arial Narrow" w:hAnsi="Arial Narrow"/>
                <w:sz w:val="22"/>
                <w:szCs w:val="22"/>
              </w:rPr>
              <w:t>Consider data linkage to address issues relating to poor quality evidence and uncertain outcomes.</w:t>
            </w:r>
            <w:r w:rsidRPr="00214904">
              <w:rPr>
                <w:rFonts w:ascii="Arial Narrow" w:hAnsi="Arial Narrow"/>
                <w:sz w:val="22"/>
              </w:rPr>
              <w:t xml:space="preserve"> </w:t>
            </w:r>
          </w:p>
        </w:tc>
        <w:tc>
          <w:tcPr>
            <w:tcW w:w="5619" w:type="dxa"/>
          </w:tcPr>
          <w:p w14:paraId="359B2D20" w14:textId="77777777" w:rsidR="00214904" w:rsidRPr="00214904" w:rsidRDefault="00214904" w:rsidP="007A5D70">
            <w:pPr>
              <w:tabs>
                <w:tab w:val="left" w:pos="2265"/>
                <w:tab w:val="left" w:pos="3420"/>
                <w:tab w:val="left" w:pos="4320"/>
              </w:tabs>
              <w:spacing w:before="120" w:after="120"/>
              <w:rPr>
                <w:rFonts w:ascii="Arial Narrow" w:hAnsi="Arial Narrow"/>
                <w:sz w:val="22"/>
              </w:rPr>
            </w:pPr>
            <w:r w:rsidRPr="00214904">
              <w:rPr>
                <w:rFonts w:ascii="Arial Narrow" w:hAnsi="Arial Narrow"/>
                <w:sz w:val="22"/>
              </w:rPr>
              <w:t>ESC noted it is unlikely that high quality randomised controlled trial (RCT) or more comparative clinical trial evidence of clinical effectiveness will be forthcoming given this practice is now the standard of care in patients with SHGG.</w:t>
            </w:r>
          </w:p>
          <w:p w14:paraId="1D1EFE8B" w14:textId="77777777" w:rsidR="00214904" w:rsidRPr="00214904" w:rsidRDefault="00214904" w:rsidP="007A5D70">
            <w:pPr>
              <w:tabs>
                <w:tab w:val="left" w:pos="2265"/>
                <w:tab w:val="left" w:pos="3420"/>
                <w:tab w:val="left" w:pos="4320"/>
              </w:tabs>
              <w:spacing w:before="120" w:after="120"/>
              <w:rPr>
                <w:rFonts w:ascii="Arial Narrow" w:hAnsi="Arial Narrow"/>
                <w:sz w:val="22"/>
              </w:rPr>
            </w:pPr>
            <w:r w:rsidRPr="00214904">
              <w:rPr>
                <w:rFonts w:ascii="Arial Narrow" w:hAnsi="Arial Narrow"/>
                <w:sz w:val="22"/>
              </w:rPr>
              <w:t>ESC supports the consideration of linked data, e.g. linking of patient-level data on Ig use (from BloodSTAR) to hospitalisation, on- &amp; off-label B-cell depleting therapy, Medicare and mortality data to allow a better understanding of the healthcare use and outcomes in this population.</w:t>
            </w:r>
          </w:p>
        </w:tc>
      </w:tr>
      <w:tr w:rsidR="00214904" w:rsidRPr="00214904" w14:paraId="0A353015" w14:textId="77777777" w:rsidTr="00EC6723">
        <w:trPr>
          <w:tblHeader/>
        </w:trPr>
        <w:tc>
          <w:tcPr>
            <w:tcW w:w="3397" w:type="dxa"/>
          </w:tcPr>
          <w:p w14:paraId="31179D33" w14:textId="77777777" w:rsidR="00214904" w:rsidRPr="00214904" w:rsidRDefault="00214904" w:rsidP="007A5D70">
            <w:pPr>
              <w:tabs>
                <w:tab w:val="left" w:pos="2265"/>
                <w:tab w:val="left" w:pos="3420"/>
                <w:tab w:val="left" w:pos="4320"/>
              </w:tabs>
              <w:spacing w:before="120" w:after="120"/>
              <w:rPr>
                <w:rFonts w:ascii="Arial Narrow" w:hAnsi="Arial Narrow"/>
                <w:sz w:val="22"/>
              </w:rPr>
            </w:pPr>
            <w:r w:rsidRPr="00214904">
              <w:rPr>
                <w:rFonts w:ascii="Arial Narrow" w:hAnsi="Arial Narrow"/>
                <w:sz w:val="22"/>
              </w:rPr>
              <w:t>BloodSTAR collection of more detailed data</w:t>
            </w:r>
          </w:p>
        </w:tc>
        <w:tc>
          <w:tcPr>
            <w:tcW w:w="5619" w:type="dxa"/>
          </w:tcPr>
          <w:p w14:paraId="71F67C20" w14:textId="2DD9228E" w:rsidR="00214904" w:rsidRPr="00214904" w:rsidRDefault="00214904" w:rsidP="007A5D70">
            <w:pPr>
              <w:tabs>
                <w:tab w:val="left" w:pos="2265"/>
                <w:tab w:val="left" w:pos="3420"/>
                <w:tab w:val="left" w:pos="4320"/>
              </w:tabs>
              <w:spacing w:before="120" w:after="120"/>
              <w:rPr>
                <w:rFonts w:ascii="Arial Narrow" w:hAnsi="Arial Narrow"/>
                <w:sz w:val="22"/>
              </w:rPr>
            </w:pPr>
            <w:r w:rsidRPr="00214904">
              <w:rPr>
                <w:rFonts w:ascii="Arial Narrow" w:hAnsi="Arial Narrow"/>
                <w:sz w:val="22"/>
              </w:rPr>
              <w:t xml:space="preserve">It may be appropriate for BloodSTAR to collect more detailed data for Ig-treated patients as is done in other countries. </w:t>
            </w:r>
          </w:p>
          <w:p w14:paraId="1804C639" w14:textId="77777777" w:rsidR="00214904" w:rsidRPr="00214904" w:rsidRDefault="00214904" w:rsidP="007A5D70">
            <w:pPr>
              <w:tabs>
                <w:tab w:val="left" w:pos="2265"/>
                <w:tab w:val="left" w:pos="3420"/>
                <w:tab w:val="left" w:pos="4320"/>
              </w:tabs>
              <w:spacing w:before="120" w:after="120"/>
              <w:rPr>
                <w:rFonts w:ascii="Arial Narrow" w:hAnsi="Arial Narrow"/>
                <w:sz w:val="22"/>
              </w:rPr>
            </w:pPr>
            <w:r w:rsidRPr="00214904">
              <w:rPr>
                <w:rFonts w:ascii="Arial Narrow" w:hAnsi="Arial Narrow"/>
                <w:sz w:val="22"/>
              </w:rPr>
              <w:t>Analysis of on-treatment data (treatment cycles) or linkage of BloodSTAR data to PBS/hospitalisation data may help to estimate administration costs.</w:t>
            </w:r>
          </w:p>
        </w:tc>
      </w:tr>
      <w:tr w:rsidR="00214904" w:rsidRPr="00214904" w14:paraId="5DF91B0F" w14:textId="77777777" w:rsidTr="00EC6723">
        <w:trPr>
          <w:tblHeader/>
        </w:trPr>
        <w:tc>
          <w:tcPr>
            <w:tcW w:w="3397" w:type="dxa"/>
          </w:tcPr>
          <w:p w14:paraId="35825206" w14:textId="77777777" w:rsidR="00214904" w:rsidRPr="00214904" w:rsidRDefault="00214904" w:rsidP="007A5D70">
            <w:pPr>
              <w:tabs>
                <w:tab w:val="left" w:pos="2265"/>
                <w:tab w:val="left" w:pos="3420"/>
                <w:tab w:val="left" w:pos="4320"/>
              </w:tabs>
              <w:spacing w:before="120" w:after="120"/>
              <w:rPr>
                <w:rFonts w:ascii="Arial Narrow" w:hAnsi="Arial Narrow"/>
                <w:sz w:val="22"/>
              </w:rPr>
            </w:pPr>
            <w:r w:rsidRPr="00214904">
              <w:rPr>
                <w:rFonts w:ascii="Arial Narrow" w:hAnsi="Arial Narrow"/>
                <w:sz w:val="22"/>
              </w:rPr>
              <w:t>Ideal body weight (IBW) as a means to calculate immunoglobulin (Ig) dose</w:t>
            </w:r>
          </w:p>
        </w:tc>
        <w:tc>
          <w:tcPr>
            <w:tcW w:w="5619" w:type="dxa"/>
          </w:tcPr>
          <w:p w14:paraId="63917317" w14:textId="77777777" w:rsidR="00214904" w:rsidRPr="00214904" w:rsidRDefault="00214904" w:rsidP="007A5D70">
            <w:pPr>
              <w:tabs>
                <w:tab w:val="left" w:pos="2265"/>
                <w:tab w:val="left" w:pos="3420"/>
                <w:tab w:val="left" w:pos="4320"/>
              </w:tabs>
              <w:spacing w:before="120" w:after="120"/>
              <w:rPr>
                <w:rFonts w:ascii="Arial Narrow" w:hAnsi="Arial Narrow"/>
                <w:sz w:val="22"/>
              </w:rPr>
            </w:pPr>
            <w:r w:rsidRPr="00214904">
              <w:rPr>
                <w:rFonts w:ascii="Arial Narrow" w:hAnsi="Arial Narrow"/>
                <w:sz w:val="22"/>
              </w:rPr>
              <w:t xml:space="preserve">ESC considered that standardising the use of IBW results in an appropriately lower dose given to a patient if they are above their ‘ideal’ weight, thereby optimising Ig use. This approach is already available on the BloodSTAR website, but adherence to this dosing calculation is not monitored, and outcomes are not reported separately based on the bodyweight used. More evidence is sought on using this calculation. </w:t>
            </w:r>
          </w:p>
        </w:tc>
      </w:tr>
      <w:tr w:rsidR="00214904" w:rsidRPr="00214904" w14:paraId="478C90DE" w14:textId="77777777" w:rsidTr="00EC6723">
        <w:trPr>
          <w:tblHeader/>
        </w:trPr>
        <w:tc>
          <w:tcPr>
            <w:tcW w:w="3397" w:type="dxa"/>
          </w:tcPr>
          <w:p w14:paraId="38900942" w14:textId="77777777" w:rsidR="00214904" w:rsidRPr="00214904" w:rsidRDefault="00214904" w:rsidP="007A5D70">
            <w:pPr>
              <w:tabs>
                <w:tab w:val="left" w:pos="2265"/>
                <w:tab w:val="left" w:pos="3420"/>
                <w:tab w:val="left" w:pos="4320"/>
              </w:tabs>
              <w:spacing w:before="120" w:after="120"/>
              <w:rPr>
                <w:rFonts w:ascii="Arial Narrow" w:hAnsi="Arial Narrow"/>
                <w:sz w:val="22"/>
              </w:rPr>
            </w:pPr>
            <w:r w:rsidRPr="00214904">
              <w:rPr>
                <w:rFonts w:ascii="Arial Narrow" w:hAnsi="Arial Narrow"/>
                <w:sz w:val="22"/>
              </w:rPr>
              <w:t xml:space="preserve">The impact of other therapies on future Ig use (e.g. B-cell depleting therapies) </w:t>
            </w:r>
          </w:p>
        </w:tc>
        <w:tc>
          <w:tcPr>
            <w:tcW w:w="5619" w:type="dxa"/>
          </w:tcPr>
          <w:p w14:paraId="08BFF7A8" w14:textId="77777777" w:rsidR="00214904" w:rsidRPr="00214904" w:rsidRDefault="00214904" w:rsidP="007A5D70">
            <w:pPr>
              <w:tabs>
                <w:tab w:val="left" w:pos="2265"/>
                <w:tab w:val="left" w:pos="3420"/>
                <w:tab w:val="left" w:pos="4320"/>
              </w:tabs>
              <w:spacing w:before="120" w:after="120"/>
              <w:rPr>
                <w:rFonts w:ascii="Arial Narrow" w:hAnsi="Arial Narrow"/>
                <w:sz w:val="22"/>
              </w:rPr>
            </w:pPr>
            <w:r w:rsidRPr="004A627C">
              <w:rPr>
                <w:rFonts w:ascii="Arial Narrow" w:hAnsi="Arial Narrow"/>
                <w:sz w:val="22"/>
              </w:rPr>
              <w:t>Consider the impact of new therapies, or new indications of existing therapies, which lead to the increase in use of Ig. A</w:t>
            </w:r>
            <w:r w:rsidRPr="00214904">
              <w:rPr>
                <w:rFonts w:ascii="Arial Narrow" w:hAnsi="Arial Narrow"/>
                <w:sz w:val="22"/>
              </w:rPr>
              <w:t>re these therapies still cost-effective, given the need for further treatments in the future (e.g. Ig therapy) and is this considered in the financial impact?</w:t>
            </w:r>
          </w:p>
        </w:tc>
      </w:tr>
    </w:tbl>
    <w:p w14:paraId="2BEB2429" w14:textId="5501B155" w:rsidR="006A0D97" w:rsidRDefault="00F56D7F" w:rsidP="00DD019D">
      <w:pPr>
        <w:spacing w:before="240" w:after="120"/>
        <w:rPr>
          <w:b/>
        </w:rPr>
      </w:pPr>
      <w:r w:rsidRPr="00F56D7F">
        <w:rPr>
          <w:b/>
        </w:rPr>
        <w:t>ESC discussion</w:t>
      </w:r>
    </w:p>
    <w:p w14:paraId="641DF912" w14:textId="630E3328" w:rsidR="00670F87" w:rsidRPr="00CD0E82" w:rsidRDefault="00670F87" w:rsidP="00670F87">
      <w:pPr>
        <w:tabs>
          <w:tab w:val="left" w:pos="2265"/>
          <w:tab w:val="left" w:pos="3420"/>
          <w:tab w:val="left" w:pos="4320"/>
        </w:tabs>
        <w:rPr>
          <w:b/>
        </w:rPr>
      </w:pPr>
      <w:r>
        <w:rPr>
          <w:szCs w:val="24"/>
        </w:rPr>
        <w:t>Application 1591 requests MSAC advice o</w:t>
      </w:r>
      <w:r w:rsidR="00D77218">
        <w:rPr>
          <w:szCs w:val="24"/>
        </w:rPr>
        <w:t>n the supply of Ig</w:t>
      </w:r>
      <w:r>
        <w:rPr>
          <w:szCs w:val="24"/>
        </w:rPr>
        <w:t xml:space="preserve"> therapy under the national blood arrangements for the treatment </w:t>
      </w:r>
      <w:r w:rsidR="00E13F05">
        <w:rPr>
          <w:szCs w:val="24"/>
        </w:rPr>
        <w:t xml:space="preserve">of </w:t>
      </w:r>
      <w:r>
        <w:rPr>
          <w:szCs w:val="24"/>
        </w:rPr>
        <w:t xml:space="preserve">secondary hypogammaglobulinaemia </w:t>
      </w:r>
      <w:r w:rsidRPr="00472CEF">
        <w:rPr>
          <w:szCs w:val="24"/>
        </w:rPr>
        <w:t>unrelated to haematologica</w:t>
      </w:r>
      <w:r w:rsidR="00D77218">
        <w:rPr>
          <w:szCs w:val="24"/>
        </w:rPr>
        <w:t>l malignancies, or post-</w:t>
      </w:r>
      <w:r>
        <w:rPr>
          <w:szCs w:val="24"/>
        </w:rPr>
        <w:t>HSCT, her</w:t>
      </w:r>
      <w:r w:rsidR="00D77218">
        <w:rPr>
          <w:szCs w:val="24"/>
        </w:rPr>
        <w:t>eafter referred to as SHGG</w:t>
      </w:r>
      <w:r w:rsidRPr="00401C12">
        <w:rPr>
          <w:szCs w:val="24"/>
        </w:rPr>
        <w:t>. In line with the PICO confirmation, the DCAR reviews the available evidence on safety and clinical effectiveness of Ig replacement therapy in this population.</w:t>
      </w:r>
      <w:r w:rsidRPr="00401C12">
        <w:t xml:space="preserve"> MSAC is asked to consider the evidence </w:t>
      </w:r>
      <w:r>
        <w:rPr>
          <w:szCs w:val="24"/>
        </w:rPr>
        <w:t>presented</w:t>
      </w:r>
      <w:r w:rsidRPr="00401C12">
        <w:rPr>
          <w:szCs w:val="24"/>
        </w:rPr>
        <w:t>, and provide advice on a range of strategies to manage the cost-effectiveness of Ig use in this population.</w:t>
      </w:r>
    </w:p>
    <w:p w14:paraId="457E8E87" w14:textId="2B178A93" w:rsidR="00670F87" w:rsidRDefault="00670F87" w:rsidP="00CD0E82">
      <w:pPr>
        <w:tabs>
          <w:tab w:val="left" w:pos="2265"/>
          <w:tab w:val="left" w:pos="3420"/>
          <w:tab w:val="left" w:pos="4320"/>
        </w:tabs>
        <w:spacing w:before="240"/>
        <w:rPr>
          <w:szCs w:val="24"/>
        </w:rPr>
      </w:pPr>
      <w:r w:rsidRPr="00A05DD4">
        <w:rPr>
          <w:szCs w:val="24"/>
        </w:rPr>
        <w:lastRenderedPageBreak/>
        <w:t xml:space="preserve">The clinical criteria for subsidised access to IVIg for </w:t>
      </w:r>
      <w:r>
        <w:rPr>
          <w:szCs w:val="24"/>
        </w:rPr>
        <w:t>SHGG</w:t>
      </w:r>
      <w:r w:rsidRPr="00A05DD4">
        <w:rPr>
          <w:szCs w:val="24"/>
        </w:rPr>
        <w:t xml:space="preserve"> is set out under version 3 of the </w:t>
      </w:r>
      <w:r w:rsidRPr="006619E7">
        <w:rPr>
          <w:i/>
          <w:szCs w:val="24"/>
        </w:rPr>
        <w:t>Criteria for the clinical use of immunoglobulin in Australia</w:t>
      </w:r>
      <w:r w:rsidRPr="003C7185">
        <w:rPr>
          <w:rStyle w:val="FootnoteReference"/>
          <w:szCs w:val="24"/>
        </w:rPr>
        <w:footnoteReference w:id="2"/>
      </w:r>
      <w:r>
        <w:rPr>
          <w:i/>
          <w:szCs w:val="24"/>
        </w:rPr>
        <w:t xml:space="preserve"> </w:t>
      </w:r>
      <w:r w:rsidRPr="006619E7">
        <w:rPr>
          <w:szCs w:val="24"/>
        </w:rPr>
        <w:t>(the Criteria)</w:t>
      </w:r>
      <w:r w:rsidRPr="00A05DD4">
        <w:rPr>
          <w:szCs w:val="24"/>
        </w:rPr>
        <w:t xml:space="preserve">. </w:t>
      </w:r>
      <w:r>
        <w:rPr>
          <w:szCs w:val="24"/>
        </w:rPr>
        <w:t xml:space="preserve">There are currently four </w:t>
      </w:r>
      <w:r w:rsidR="0053423F">
        <w:rPr>
          <w:szCs w:val="24"/>
        </w:rPr>
        <w:t xml:space="preserve">specific </w:t>
      </w:r>
      <w:r>
        <w:rPr>
          <w:szCs w:val="24"/>
        </w:rPr>
        <w:t xml:space="preserve">conditions for which patients </w:t>
      </w:r>
      <w:r w:rsidRPr="00A05DD4">
        <w:rPr>
          <w:szCs w:val="24"/>
        </w:rPr>
        <w:t xml:space="preserve">with </w:t>
      </w:r>
      <w:r>
        <w:rPr>
          <w:szCs w:val="24"/>
        </w:rPr>
        <w:t>SHGG</w:t>
      </w:r>
      <w:r w:rsidRPr="00A05DD4">
        <w:rPr>
          <w:szCs w:val="24"/>
        </w:rPr>
        <w:t xml:space="preserve"> may be eligible for Ig therapy according to the Criteria</w:t>
      </w:r>
      <w:r>
        <w:rPr>
          <w:szCs w:val="24"/>
        </w:rPr>
        <w:t>. ESC noted that in the 2019 calendar year,</w:t>
      </w:r>
      <w:r w:rsidRPr="00A05DD4">
        <w:t xml:space="preserve"> </w:t>
      </w:r>
      <w:r>
        <w:rPr>
          <w:szCs w:val="24"/>
        </w:rPr>
        <w:t>the majority (52%) of Ig use for SHGG was for patients in the subgroup ‘</w:t>
      </w:r>
      <w:r w:rsidRPr="00A05DD4">
        <w:rPr>
          <w:szCs w:val="24"/>
        </w:rPr>
        <w:t xml:space="preserve">Other </w:t>
      </w:r>
      <w:r>
        <w:rPr>
          <w:szCs w:val="24"/>
        </w:rPr>
        <w:t>HGG</w:t>
      </w:r>
      <w:r w:rsidRPr="00A05DD4">
        <w:rPr>
          <w:szCs w:val="24"/>
        </w:rPr>
        <w:t xml:space="preserve"> unrelated to haematological malignancies or haemopoietic stem cell transplantation (HSCT)</w:t>
      </w:r>
      <w:r>
        <w:rPr>
          <w:szCs w:val="24"/>
        </w:rPr>
        <w:t>’. The remaining sub-conditions are:</w:t>
      </w:r>
      <w:r w:rsidRPr="00401C12">
        <w:t xml:space="preserve"> </w:t>
      </w:r>
      <w:r w:rsidRPr="00401C12">
        <w:rPr>
          <w:szCs w:val="24"/>
        </w:rPr>
        <w:t>HGG followin</w:t>
      </w:r>
      <w:r>
        <w:rPr>
          <w:szCs w:val="24"/>
        </w:rPr>
        <w:t xml:space="preserve">g solid organ transplantation (24%), </w:t>
      </w:r>
      <w:r w:rsidRPr="00401C12">
        <w:rPr>
          <w:szCs w:val="24"/>
        </w:rPr>
        <w:t xml:space="preserve">HGG following B </w:t>
      </w:r>
      <w:r>
        <w:rPr>
          <w:szCs w:val="24"/>
        </w:rPr>
        <w:t xml:space="preserve">cell depletion therapy (22%) and </w:t>
      </w:r>
      <w:r w:rsidRPr="00401C12">
        <w:rPr>
          <w:szCs w:val="24"/>
        </w:rPr>
        <w:t>thymoma</w:t>
      </w:r>
      <w:r>
        <w:rPr>
          <w:szCs w:val="24"/>
        </w:rPr>
        <w:t>-associated HGG</w:t>
      </w:r>
      <w:r w:rsidRPr="00401C12">
        <w:rPr>
          <w:szCs w:val="24"/>
        </w:rPr>
        <w:t xml:space="preserve"> (Goods Syndrome) (1%)</w:t>
      </w:r>
      <w:r>
        <w:rPr>
          <w:szCs w:val="24"/>
        </w:rPr>
        <w:t xml:space="preserve">. </w:t>
      </w:r>
    </w:p>
    <w:p w14:paraId="232E9C33" w14:textId="77777777" w:rsidR="00670F87" w:rsidRDefault="00670F87" w:rsidP="00CD0E82">
      <w:pPr>
        <w:tabs>
          <w:tab w:val="left" w:pos="2265"/>
          <w:tab w:val="left" w:pos="3420"/>
          <w:tab w:val="left" w:pos="4320"/>
        </w:tabs>
        <w:spacing w:before="240"/>
        <w:rPr>
          <w:szCs w:val="24"/>
        </w:rPr>
      </w:pPr>
      <w:r>
        <w:rPr>
          <w:szCs w:val="24"/>
        </w:rPr>
        <w:t>ESC noted that despite the poor quality of evidence, Ig therapy is considered the standard of care in patients with SHGG and therefore it is unlikely that additional</w:t>
      </w:r>
      <w:r w:rsidRPr="007B13BE">
        <w:rPr>
          <w:szCs w:val="24"/>
        </w:rPr>
        <w:t xml:space="preserve"> clinical trial evidence will be forthcoming. A comparison of international </w:t>
      </w:r>
      <w:r>
        <w:rPr>
          <w:szCs w:val="24"/>
        </w:rPr>
        <w:t xml:space="preserve">clinical </w:t>
      </w:r>
      <w:r w:rsidRPr="007B13BE">
        <w:rPr>
          <w:szCs w:val="24"/>
        </w:rPr>
        <w:t>guidelines presented in the DCAR</w:t>
      </w:r>
      <w:r>
        <w:rPr>
          <w:szCs w:val="24"/>
        </w:rPr>
        <w:t xml:space="preserve"> noted that</w:t>
      </w:r>
      <w:r w:rsidRPr="007B13BE">
        <w:rPr>
          <w:szCs w:val="24"/>
        </w:rPr>
        <w:t xml:space="preserve"> recommendations are largely based on expert opinion given the paucity of evidence in this population. ESC noted that some </w:t>
      </w:r>
      <w:r>
        <w:rPr>
          <w:szCs w:val="24"/>
        </w:rPr>
        <w:t xml:space="preserve">comparable </w:t>
      </w:r>
      <w:r w:rsidRPr="007B13BE">
        <w:rPr>
          <w:szCs w:val="24"/>
        </w:rPr>
        <w:t xml:space="preserve">guidelines are more stringent than others, for example, in England and Scotland, Ig use is restricted by the presence of recurrent or severe bacterial infections, and Ig treatment is reserved for those patients in whom antibiotic prophylaxis proves to be ineffective. In addition, there is a </w:t>
      </w:r>
      <w:r w:rsidRPr="00B66F61">
        <w:rPr>
          <w:szCs w:val="24"/>
        </w:rPr>
        <w:t xml:space="preserve">requirement to record the number of infections and days in hospital pre‐treatment and 6-monthly thereafter. ESC noted that utilisation of Ig in Australia appears to be higher than other countries, although the reasons for this </w:t>
      </w:r>
      <w:r>
        <w:rPr>
          <w:szCs w:val="24"/>
        </w:rPr>
        <w:t>are</w:t>
      </w:r>
      <w:r w:rsidRPr="00B66F61">
        <w:rPr>
          <w:szCs w:val="24"/>
        </w:rPr>
        <w:t xml:space="preserve"> not yet clear.</w:t>
      </w:r>
      <w:r>
        <w:rPr>
          <w:szCs w:val="24"/>
        </w:rPr>
        <w:t xml:space="preserve"> </w:t>
      </w:r>
    </w:p>
    <w:p w14:paraId="656FBA45" w14:textId="7F1CA2C3" w:rsidR="00670F87" w:rsidRDefault="00670F87" w:rsidP="00CD0E82">
      <w:pPr>
        <w:tabs>
          <w:tab w:val="left" w:pos="2265"/>
          <w:tab w:val="left" w:pos="3420"/>
          <w:tab w:val="left" w:pos="4320"/>
        </w:tabs>
        <w:spacing w:before="240"/>
        <w:rPr>
          <w:szCs w:val="24"/>
        </w:rPr>
      </w:pPr>
      <w:r>
        <w:rPr>
          <w:szCs w:val="24"/>
        </w:rPr>
        <w:t>The Criteria Version 3 requires patients to meet the qualifying criteria in order to access Ig therapy for SHGG. For continuation of Ig therapy, an initial review within six months of starting Ig is required, and ongoing reviews by a specialist are required at least annually to assess clinical benefit and whether cessation of Ig therapy should be considered.</w:t>
      </w:r>
      <w:r w:rsidRPr="000F38DC">
        <w:t xml:space="preserve"> </w:t>
      </w:r>
      <w:r>
        <w:rPr>
          <w:szCs w:val="24"/>
        </w:rPr>
        <w:t>The Criteria states that i</w:t>
      </w:r>
      <w:r w:rsidRPr="000F38DC">
        <w:rPr>
          <w:szCs w:val="24"/>
        </w:rPr>
        <w:t xml:space="preserve">f serum IgM and IgA levels are trending upwards and near normal, this may suggest recovery of the immune system and a trial </w:t>
      </w:r>
      <w:r>
        <w:rPr>
          <w:szCs w:val="24"/>
        </w:rPr>
        <w:t xml:space="preserve">off Ig therapy </w:t>
      </w:r>
      <w:r w:rsidRPr="000F38DC">
        <w:rPr>
          <w:szCs w:val="24"/>
        </w:rPr>
        <w:t>might be con</w:t>
      </w:r>
      <w:r>
        <w:rPr>
          <w:szCs w:val="24"/>
        </w:rPr>
        <w:t>sidered if the patient is well. ESC noted that the degree of HGG at which a decision would be made to continue, cease or reduce the dose of Ig, requires clinical judgement and are not precisely defined, but there is potential to do so. With regards to dosing, ESC noted that the BloodSTAR dose calculator provides an option to dose Ig according to ideal body weight (IBW) which results in a lower dose given to a patient compared to using the actual bodyweight (used only if the patient is overweight). ESC considered that more  evidence is required to establish whether dosing according to IBW  results in non-inferior outcomes, and that this information could be obtained prospectively</w:t>
      </w:r>
      <w:r w:rsidR="006E4891">
        <w:rPr>
          <w:szCs w:val="24"/>
        </w:rPr>
        <w:t xml:space="preserve"> in the form of a pragmatic trial where data is collected in BloodSTAR</w:t>
      </w:r>
      <w:r>
        <w:rPr>
          <w:szCs w:val="24"/>
        </w:rPr>
        <w:t>.</w:t>
      </w:r>
    </w:p>
    <w:p w14:paraId="0A49DAE3" w14:textId="77777777" w:rsidR="00670F87" w:rsidRDefault="00670F87" w:rsidP="00CD0E82">
      <w:pPr>
        <w:tabs>
          <w:tab w:val="left" w:pos="2265"/>
          <w:tab w:val="left" w:pos="3420"/>
          <w:tab w:val="left" w:pos="4320"/>
        </w:tabs>
        <w:spacing w:before="240"/>
        <w:rPr>
          <w:szCs w:val="24"/>
        </w:rPr>
      </w:pPr>
      <w:r>
        <w:rPr>
          <w:szCs w:val="24"/>
        </w:rPr>
        <w:t>There are indications for the use of Ig in solid organ transplantation to prevent or treat antibody-mediated rejection, or desensitisation to improve the likelihood of transplantation, that are separate from the indication to treat secondary hypogammaglobulinaemia addressed herein.</w:t>
      </w:r>
    </w:p>
    <w:p w14:paraId="29C03A0B" w14:textId="3DAC7FC5" w:rsidR="00670F87" w:rsidRDefault="00670F87" w:rsidP="00CD0E82">
      <w:pPr>
        <w:tabs>
          <w:tab w:val="left" w:pos="2265"/>
          <w:tab w:val="left" w:pos="3420"/>
          <w:tab w:val="left" w:pos="4320"/>
        </w:tabs>
        <w:spacing w:before="240"/>
        <w:rPr>
          <w:szCs w:val="24"/>
        </w:rPr>
      </w:pPr>
      <w:r>
        <w:rPr>
          <w:szCs w:val="24"/>
        </w:rPr>
        <w:t xml:space="preserve">Fifteen studies were included in the clinical effectiveness review, with only three of these studies providing comparative evidence for Ig versus No Ig. Based on the evidence presented, </w:t>
      </w:r>
      <w:r w:rsidRPr="0023650B">
        <w:rPr>
          <w:szCs w:val="24"/>
        </w:rPr>
        <w:t xml:space="preserve">ESC agreed that Ig has uncertain effectiveness relative to no Ig in patients with SHGG unrelated to haematological malignancies or HSCT. </w:t>
      </w:r>
      <w:r>
        <w:rPr>
          <w:szCs w:val="24"/>
        </w:rPr>
        <w:t>The studies that provided</w:t>
      </w:r>
      <w:r w:rsidRPr="0023650B">
        <w:rPr>
          <w:szCs w:val="24"/>
        </w:rPr>
        <w:t xml:space="preserve"> comparative evidence</w:t>
      </w:r>
      <w:r w:rsidRPr="0023650B">
        <w:t xml:space="preserve"> </w:t>
      </w:r>
      <w:r>
        <w:rPr>
          <w:szCs w:val="24"/>
        </w:rPr>
        <w:t>(o</w:t>
      </w:r>
      <w:r w:rsidRPr="0023650B">
        <w:rPr>
          <w:szCs w:val="24"/>
        </w:rPr>
        <w:t>ne RCT and two cohort studies</w:t>
      </w:r>
      <w:r>
        <w:rPr>
          <w:szCs w:val="24"/>
        </w:rPr>
        <w:t xml:space="preserve">) </w:t>
      </w:r>
      <w:r w:rsidRPr="0023650B">
        <w:rPr>
          <w:szCs w:val="24"/>
        </w:rPr>
        <w:t xml:space="preserve">of Ig </w:t>
      </w:r>
      <w:r>
        <w:rPr>
          <w:szCs w:val="24"/>
        </w:rPr>
        <w:t>vs. N</w:t>
      </w:r>
      <w:r w:rsidRPr="0023650B">
        <w:rPr>
          <w:szCs w:val="24"/>
        </w:rPr>
        <w:t xml:space="preserve">o Ig in patients with SHGG included heart and lung transplant patients which accounts for approximately 24% of Ig use for SHGG. </w:t>
      </w:r>
      <w:r>
        <w:rPr>
          <w:szCs w:val="24"/>
        </w:rPr>
        <w:t xml:space="preserve">ESC noted that owing to the heterogeneous population and paucity of available evidence, only some of the SHGG sub-groups for which Ig therapy is subsidised, were presented. No comparative evidence was identified for SHGG following B cell depletion or Good syndrome, and the lack of details of the underlying conditions for </w:t>
      </w:r>
      <w:r w:rsidRPr="00E07E79">
        <w:rPr>
          <w:szCs w:val="24"/>
        </w:rPr>
        <w:t>patients classified as having “Other HGG unrelated to haematological malignancies or HSCT”</w:t>
      </w:r>
      <w:r>
        <w:rPr>
          <w:szCs w:val="24"/>
        </w:rPr>
        <w:t xml:space="preserve"> limited the ability to identify studies relevant to this population. ESC noted that the outcomes of interest such as infection </w:t>
      </w:r>
      <w:r>
        <w:rPr>
          <w:szCs w:val="24"/>
        </w:rPr>
        <w:lastRenderedPageBreak/>
        <w:t xml:space="preserve">rates, hospitalisations and survival, were not adequately presented in the studies, and overall the quality of the trials were poor (mostly small, non-randomised and with a high risk of bias). </w:t>
      </w:r>
    </w:p>
    <w:p w14:paraId="0E04FC30" w14:textId="6A253487" w:rsidR="00670F87" w:rsidRPr="0023650B" w:rsidRDefault="00670F87" w:rsidP="00CD0E82">
      <w:pPr>
        <w:tabs>
          <w:tab w:val="left" w:pos="2265"/>
          <w:tab w:val="left" w:pos="3420"/>
          <w:tab w:val="left" w:pos="4320"/>
        </w:tabs>
        <w:spacing w:before="240"/>
        <w:rPr>
          <w:szCs w:val="24"/>
        </w:rPr>
      </w:pPr>
      <w:r w:rsidRPr="0023650B">
        <w:rPr>
          <w:szCs w:val="24"/>
        </w:rPr>
        <w:t>Overall, ESC agreed that the safety of Ig is inferior to</w:t>
      </w:r>
      <w:r w:rsidR="00D77218">
        <w:rPr>
          <w:szCs w:val="24"/>
        </w:rPr>
        <w:t xml:space="preserve"> n</w:t>
      </w:r>
      <w:r w:rsidRPr="0023650B">
        <w:rPr>
          <w:szCs w:val="24"/>
        </w:rPr>
        <w:t xml:space="preserve">o Ig because infusion events associated with Ig therapy would not be experienced </w:t>
      </w:r>
      <w:r>
        <w:rPr>
          <w:szCs w:val="24"/>
        </w:rPr>
        <w:t>with</w:t>
      </w:r>
      <w:r w:rsidRPr="0023650B">
        <w:rPr>
          <w:szCs w:val="24"/>
        </w:rPr>
        <w:t xml:space="preserve"> the comparator. ESC considered Ig to be generally well tolerated, and adverse events (AEs) were usually mild and transient, with the exception of one recorded incidence of </w:t>
      </w:r>
      <w:r>
        <w:rPr>
          <w:szCs w:val="24"/>
        </w:rPr>
        <w:t>tra</w:t>
      </w:r>
      <w:r w:rsidRPr="0023650B">
        <w:rPr>
          <w:szCs w:val="24"/>
        </w:rPr>
        <w:t>n</w:t>
      </w:r>
      <w:r>
        <w:rPr>
          <w:szCs w:val="24"/>
        </w:rPr>
        <w:t>s</w:t>
      </w:r>
      <w:r w:rsidRPr="0023650B">
        <w:rPr>
          <w:szCs w:val="24"/>
        </w:rPr>
        <w:t>fusion-related acute lung injury (TRALI).</w:t>
      </w:r>
    </w:p>
    <w:p w14:paraId="17DBC255" w14:textId="74DD3586" w:rsidR="00670F87" w:rsidRDefault="00670F87" w:rsidP="00CD0E82">
      <w:pPr>
        <w:tabs>
          <w:tab w:val="left" w:pos="2265"/>
          <w:tab w:val="left" w:pos="3420"/>
          <w:tab w:val="left" w:pos="4320"/>
        </w:tabs>
        <w:spacing w:before="240"/>
        <w:rPr>
          <w:szCs w:val="24"/>
        </w:rPr>
      </w:pPr>
      <w:r>
        <w:rPr>
          <w:szCs w:val="24"/>
        </w:rPr>
        <w:t xml:space="preserve">ESC noted that an economic evaluation was </w:t>
      </w:r>
      <w:r w:rsidRPr="003C2B50">
        <w:rPr>
          <w:szCs w:val="24"/>
        </w:rPr>
        <w:t>not presented in th</w:t>
      </w:r>
      <w:r>
        <w:rPr>
          <w:szCs w:val="24"/>
        </w:rPr>
        <w:t>e</w:t>
      </w:r>
      <w:r w:rsidRPr="003C2B50">
        <w:rPr>
          <w:szCs w:val="24"/>
        </w:rPr>
        <w:t xml:space="preserve"> contracted assessment report due to there being insufficient data to inform a </w:t>
      </w:r>
      <w:r w:rsidRPr="008A761F">
        <w:rPr>
          <w:szCs w:val="24"/>
        </w:rPr>
        <w:t>model. None of the studies reported quality of life (QoL) outcomes or cost data, and no further cost information or utilities were identified in the economic search. ESC considered that QoL data would be difficult to collect and that potential future models may consider cost per effect (e.g. reduced AEs, or reduced hospital admissions). ESC agreed that any economic evaluation model would require additional data but noted that since the clinical effectiveness is inconclusive, this would be based on expert opinion. Furthermore, ESC considered the lack of information associated with the “Other HGG” group to be substantial and requiring attention. ESC agreed that collection of data in</w:t>
      </w:r>
      <w:r>
        <w:rPr>
          <w:szCs w:val="24"/>
        </w:rPr>
        <w:t xml:space="preserve"> this</w:t>
      </w:r>
      <w:r w:rsidRPr="009E1D7C">
        <w:rPr>
          <w:szCs w:val="24"/>
        </w:rPr>
        <w:t xml:space="preserve"> subgroup is required to understand the clinical characteristics and outcomes in this population. More knowledge of the underlying conditions in this subgroup will allow a better understanding of the treatment needs of these patients and the associated costs.</w:t>
      </w:r>
      <w:r>
        <w:rPr>
          <w:szCs w:val="24"/>
        </w:rPr>
        <w:t xml:space="preserve"> In addition, characterisation of the conditions in this ‘Other HGG’ group should be identified, to ensure that this indication is not being used to circumvent contraindicated uses.</w:t>
      </w:r>
    </w:p>
    <w:p w14:paraId="71AC3781" w14:textId="6BCC8176" w:rsidR="00670F87" w:rsidRPr="008F0165" w:rsidRDefault="00670F87" w:rsidP="00CD0E82">
      <w:pPr>
        <w:tabs>
          <w:tab w:val="left" w:pos="2265"/>
          <w:tab w:val="left" w:pos="3420"/>
          <w:tab w:val="left" w:pos="4320"/>
        </w:tabs>
        <w:spacing w:before="240"/>
        <w:rPr>
          <w:szCs w:val="24"/>
        </w:rPr>
      </w:pPr>
      <w:r>
        <w:rPr>
          <w:szCs w:val="24"/>
        </w:rPr>
        <w:t>Regarding the financial impacts, ESC considered that the assumptions in growth (22%) applied to Ig usage in this population appeared reasonable. The total Ig product costs are projected to increase from $15.3 million in 2018-19 to approximately $</w:t>
      </w:r>
      <w:r w:rsidRPr="00D1051C">
        <w:rPr>
          <w:szCs w:val="24"/>
        </w:rPr>
        <w:t>41.3 million in 2023-2024</w:t>
      </w:r>
      <w:r>
        <w:rPr>
          <w:szCs w:val="24"/>
        </w:rPr>
        <w:t>. However, ESC noted that the projected costs are uncertain as it was not possible to calculate the cost offsets associated with the</w:t>
      </w:r>
      <w:r w:rsidRPr="001E6926">
        <w:rPr>
          <w:szCs w:val="24"/>
        </w:rPr>
        <w:t xml:space="preserve"> changes in use and cost</w:t>
      </w:r>
      <w:r>
        <w:rPr>
          <w:szCs w:val="24"/>
        </w:rPr>
        <w:t>s</w:t>
      </w:r>
      <w:r w:rsidRPr="001E6926">
        <w:rPr>
          <w:szCs w:val="24"/>
        </w:rPr>
        <w:t xml:space="preserve"> of other medical services</w:t>
      </w:r>
      <w:r>
        <w:rPr>
          <w:szCs w:val="24"/>
        </w:rPr>
        <w:t>. ESC also noted the sensitivity analysis presented in the DCAR, which was extrapolated</w:t>
      </w:r>
      <w:r w:rsidRPr="00D1051C">
        <w:rPr>
          <w:szCs w:val="24"/>
        </w:rPr>
        <w:t xml:space="preserve"> using recent (July 2019 to March 2020)</w:t>
      </w:r>
      <w:r>
        <w:rPr>
          <w:szCs w:val="24"/>
        </w:rPr>
        <w:t xml:space="preserve"> growth rates by each subpopulation, instead of the</w:t>
      </w:r>
      <w:r w:rsidRPr="00D1051C">
        <w:rPr>
          <w:szCs w:val="24"/>
        </w:rPr>
        <w:t xml:space="preserve"> 22</w:t>
      </w:r>
      <w:r>
        <w:rPr>
          <w:szCs w:val="24"/>
        </w:rPr>
        <w:t>% growth rate for all SHGG used in the base case. ESC noted that it is highly uncertain if the recent 61.8% growth rate observed for Ig use in SHGG following B cell depleting therapies would continue, or at what time point this would plateau, impacting these projections. The incidence of solid organ transplantation has stabilised over the last 5 years, and is unlikely to be a source of growth in demand for Ig.</w:t>
      </w:r>
    </w:p>
    <w:p w14:paraId="2E22063D" w14:textId="05F1BE55" w:rsidR="00670F87" w:rsidRPr="00074C30" w:rsidRDefault="00670F87" w:rsidP="00CD0E82">
      <w:pPr>
        <w:tabs>
          <w:tab w:val="left" w:pos="2265"/>
          <w:tab w:val="left" w:pos="3420"/>
          <w:tab w:val="left" w:pos="4320"/>
        </w:tabs>
        <w:spacing w:before="240"/>
        <w:rPr>
          <w:szCs w:val="24"/>
        </w:rPr>
      </w:pPr>
      <w:r>
        <w:rPr>
          <w:szCs w:val="24"/>
        </w:rPr>
        <w:t xml:space="preserve">ESC noted consultation feedback indicating that consumers were very supportive of Ig therapy. Perceived benefits included the </w:t>
      </w:r>
      <w:r w:rsidRPr="00074C30">
        <w:rPr>
          <w:szCs w:val="24"/>
        </w:rPr>
        <w:t>prevention of life threatening infections and improvements in QoL. Disadvantages included the cost of travelling to and attending hospital for infusions, loss of work time, and other out-of-pocket expenses such as parking fees.</w:t>
      </w:r>
    </w:p>
    <w:p w14:paraId="033F7794" w14:textId="4A4E5A1A" w:rsidR="00670F87" w:rsidRPr="00074C30" w:rsidRDefault="00670F87" w:rsidP="00CD0E82">
      <w:pPr>
        <w:tabs>
          <w:tab w:val="left" w:pos="2265"/>
          <w:tab w:val="left" w:pos="3420"/>
          <w:tab w:val="left" w:pos="4320"/>
        </w:tabs>
        <w:spacing w:before="240" w:after="240"/>
        <w:rPr>
          <w:szCs w:val="24"/>
          <w:highlight w:val="yellow"/>
        </w:rPr>
      </w:pPr>
      <w:r w:rsidRPr="00074C30">
        <w:rPr>
          <w:szCs w:val="24"/>
        </w:rPr>
        <w:t xml:space="preserve">ESC agreed with the considerations for future research discussed in the DCAR, particularly linking of patient-level data on Ig use (from BloodSTAR) to hospitalisation, </w:t>
      </w:r>
      <w:r>
        <w:rPr>
          <w:szCs w:val="24"/>
        </w:rPr>
        <w:t>PBS</w:t>
      </w:r>
      <w:r w:rsidRPr="00074C30">
        <w:rPr>
          <w:szCs w:val="24"/>
        </w:rPr>
        <w:t>, Medicare and mortality data to allow a better understanding of the healthcare use and outcomes in this population. The National Report on the Issue</w:t>
      </w:r>
      <w:r w:rsidRPr="00BB355B">
        <w:rPr>
          <w:szCs w:val="24"/>
        </w:rPr>
        <w:t xml:space="preserve"> and Use of Immunoglobulin</w:t>
      </w:r>
      <w:r>
        <w:rPr>
          <w:szCs w:val="24"/>
        </w:rPr>
        <w:t xml:space="preserve"> in 2017-18 indicated that</w:t>
      </w:r>
      <w:r w:rsidRPr="00400C00">
        <w:rPr>
          <w:szCs w:val="24"/>
        </w:rPr>
        <w:t xml:space="preserve"> </w:t>
      </w:r>
      <w:r w:rsidRPr="00BB355B">
        <w:rPr>
          <w:szCs w:val="24"/>
        </w:rPr>
        <w:t xml:space="preserve">there has been a greater than 16% increase in Ig supplied for </w:t>
      </w:r>
      <w:r>
        <w:rPr>
          <w:szCs w:val="24"/>
        </w:rPr>
        <w:t>SHGG</w:t>
      </w:r>
      <w:r w:rsidRPr="00BB355B">
        <w:rPr>
          <w:szCs w:val="24"/>
        </w:rPr>
        <w:t xml:space="preserve"> since 2013/14, compared with an 11% increase over the same period for all medical conditions. </w:t>
      </w:r>
      <w:r>
        <w:rPr>
          <w:szCs w:val="24"/>
        </w:rPr>
        <w:t xml:space="preserve">ESC considered that a possible reason for this higher growth could be the increasing number of B cell depleting therapies used in the treatment of non-malignant diseases which can result in hypogammaglobulinaemia, and may require patients to be treated with Ig replacement therapy. ESC considered that the current and future use of B cell depleting therapies should consider whether there are implications for the use of Ig and if these are accounted for in future projections. </w:t>
      </w:r>
    </w:p>
    <w:p w14:paraId="76D7071E" w14:textId="77777777" w:rsidR="00D90A38" w:rsidRPr="00F715D1" w:rsidRDefault="00BC1364" w:rsidP="00D77218">
      <w:pPr>
        <w:pStyle w:val="Heading1"/>
        <w:spacing w:before="0" w:after="120"/>
      </w:pPr>
      <w:r w:rsidRPr="00F715D1">
        <w:lastRenderedPageBreak/>
        <w:t>Other significant factors</w:t>
      </w:r>
    </w:p>
    <w:p w14:paraId="3238FC04" w14:textId="0789BF29" w:rsidR="00BC1364" w:rsidRPr="00D77218" w:rsidRDefault="00BC1364" w:rsidP="007A5D70">
      <w:pPr>
        <w:spacing w:before="120" w:after="120"/>
        <w:rPr>
          <w:szCs w:val="24"/>
        </w:rPr>
      </w:pPr>
      <w:r w:rsidRPr="00D77218">
        <w:rPr>
          <w:szCs w:val="24"/>
        </w:rPr>
        <w:t>Nil</w:t>
      </w:r>
    </w:p>
    <w:p w14:paraId="4F28F181" w14:textId="77777777" w:rsidR="00BC1364" w:rsidRPr="00F715D1" w:rsidRDefault="00C06B0B" w:rsidP="007A5D70">
      <w:pPr>
        <w:pStyle w:val="Heading1"/>
        <w:spacing w:before="120" w:after="120"/>
      </w:pPr>
      <w:r>
        <w:t>Applicant</w:t>
      </w:r>
      <w:r w:rsidR="00BC1364" w:rsidRPr="00F715D1">
        <w:t xml:space="preserve"> comments on MSAC’s </w:t>
      </w:r>
      <w:r w:rsidR="00DA56AA" w:rsidRPr="00F715D1">
        <w:t>Public Summary Document</w:t>
      </w:r>
    </w:p>
    <w:p w14:paraId="385A3156" w14:textId="44A2771E" w:rsidR="00375FA0" w:rsidRPr="005A4362" w:rsidRDefault="00375FA0" w:rsidP="00375FA0">
      <w:pPr>
        <w:spacing w:after="240"/>
        <w:rPr>
          <w:color w:val="00B0F0"/>
          <w:szCs w:val="24"/>
        </w:rPr>
      </w:pPr>
      <w:r>
        <w:t>The National Blood Authority appreciates MSAC’s recommendations and will consider and discuss with experts the suggestion of undertaking a scoping exercise to explore the feasibility of conducting further research. The NBA has previously been in contact with the MRFF to discuss the possibility of further funding for Ig research. The ability of BloodSTAR, or other sources</w:t>
      </w:r>
      <w:r w:rsidRPr="00A020B7">
        <w:rPr>
          <w:color w:val="1F497D"/>
        </w:rPr>
        <w:t>,</w:t>
      </w:r>
      <w:r>
        <w:t xml:space="preserve"> to capture more detailed outcomes in this group will be considered, with a view to providing a balance between the capture of enough information to inform future criteria and burden on prescribers. The NBA will also follow its existing processes to </w:t>
      </w:r>
      <w:r w:rsidR="000C0D04">
        <w:t>consider a</w:t>
      </w:r>
      <w:r>
        <w:t xml:space="preserve"> requirement to provide further information in BloodSTAR for the ‘other’ subgroup. The NBA notes MSAC</w:t>
      </w:r>
      <w:r w:rsidR="00D33BC2">
        <w:t>’</w:t>
      </w:r>
      <w:r>
        <w:t>s intention to review the applica</w:t>
      </w:r>
      <w:r w:rsidR="004E6B38">
        <w:t>tion again in 12 </w:t>
      </w:r>
      <w:r>
        <w:t xml:space="preserve">months with updated data. Prescriber compliance to the V3 Criteria will continue to be monitored through the Ig Governance Program. This review followed the transition from Version 2 to Version 3 of the Criteria for Clinical Use of Immunoglobulin in Australia. The Criteria will continue to be reviewed on both a reactive and proactive basis, based on available evidence and clinical expert advice, to ensure the supply of Ig continues for those patients who benefit from it the most. </w:t>
      </w:r>
      <w:r w:rsidR="009E47E9">
        <w:t xml:space="preserve">This will include thresholds for continuing use, and dosing. </w:t>
      </w:r>
      <w:r>
        <w:t>Furthermore, the NBA plans to continue to undertake and support research into the effectiveness and utilisation of Ig, of which these recommendations will assist to prioritise. The NBA negotiates prices of Ig through tendering processes and will continue to strive to achieve the best prices for governments within existing limitations.</w:t>
      </w:r>
    </w:p>
    <w:p w14:paraId="6ED841E0" w14:textId="77777777" w:rsidR="00BC1364" w:rsidRPr="00F715D1" w:rsidRDefault="00271F18" w:rsidP="007A5D70">
      <w:pPr>
        <w:pStyle w:val="Heading1"/>
        <w:spacing w:before="120" w:after="120"/>
      </w:pPr>
      <w:r w:rsidRPr="00F715D1">
        <w:t>Further information on MSAC</w:t>
      </w:r>
    </w:p>
    <w:p w14:paraId="79642AD4" w14:textId="77777777" w:rsidR="00BC1364" w:rsidRPr="00F715D1" w:rsidRDefault="00271F18" w:rsidP="007A5D70">
      <w:pPr>
        <w:spacing w:before="120" w:after="12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21" w:tooltip="Link to Medical Services Advisory Committee website" w:history="1">
        <w:r w:rsidR="00BC2667" w:rsidRPr="00F715D1">
          <w:rPr>
            <w:rStyle w:val="Hyperlink"/>
            <w:szCs w:val="24"/>
          </w:rPr>
          <w:t>visit the MSAC website</w:t>
        </w:r>
      </w:hyperlink>
    </w:p>
    <w:sectPr w:rsidR="00BC1364" w:rsidRPr="00F715D1" w:rsidSect="00DC2EEC">
      <w:pgSz w:w="11906" w:h="16838"/>
      <w:pgMar w:top="1134" w:right="1440" w:bottom="42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D836F" w16cex:dateUtc="2020-12-22T22:20:00Z"/>
  <w16cex:commentExtensible w16cex:durableId="2392BD12" w16cex:dateUtc="2020-12-26T21:28:00Z"/>
  <w16cex:commentExtensible w16cex:durableId="2392BB84" w16cex:dateUtc="2020-12-26T21:21:00Z"/>
  <w16cex:commentExtensible w16cex:durableId="2392BCB3" w16cex:dateUtc="2020-12-26T2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750313" w16cid:durableId="238D836F"/>
  <w16cid:commentId w16cid:paraId="6A3EF5A7" w16cid:durableId="2392BD12"/>
  <w16cid:commentId w16cid:paraId="6E5B001E" w16cid:durableId="2392BB84"/>
  <w16cid:commentId w16cid:paraId="2A3266CD" w16cid:durableId="2392BCB3"/>
  <w16cid:commentId w16cid:paraId="4186E15B" w16cid:durableId="238CB5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DCCAB" w14:textId="77777777" w:rsidR="00EC6723" w:rsidRDefault="00EC6723" w:rsidP="00065623">
      <w:r>
        <w:separator/>
      </w:r>
    </w:p>
  </w:endnote>
  <w:endnote w:type="continuationSeparator" w:id="0">
    <w:p w14:paraId="3A6BF855" w14:textId="77777777" w:rsidR="00EC6723" w:rsidRDefault="00EC6723"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umanist521BT-Roman">
    <w:panose1 w:val="00000000000000000000"/>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7542073B" w14:textId="386C83F2" w:rsidR="00EC6723" w:rsidRDefault="00EC6723">
        <w:pPr>
          <w:pStyle w:val="Footer"/>
          <w:jc w:val="right"/>
        </w:pPr>
        <w:r>
          <w:fldChar w:fldCharType="begin"/>
        </w:r>
        <w:r>
          <w:instrText xml:space="preserve"> PAGE   \* MERGEFORMAT </w:instrText>
        </w:r>
        <w:r>
          <w:fldChar w:fldCharType="separate"/>
        </w:r>
        <w:r w:rsidR="00E45464">
          <w:rPr>
            <w:noProof/>
          </w:rPr>
          <w:t>3</w:t>
        </w:r>
        <w:r>
          <w:rPr>
            <w:noProof/>
          </w:rPr>
          <w:fldChar w:fldCharType="end"/>
        </w:r>
      </w:p>
    </w:sdtContent>
  </w:sdt>
  <w:p w14:paraId="011C67BC" w14:textId="77777777" w:rsidR="00EC6723" w:rsidRDefault="00EC6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579D1" w14:textId="77777777" w:rsidR="00EC6723" w:rsidRDefault="00EC6723" w:rsidP="00065623">
      <w:r>
        <w:separator/>
      </w:r>
    </w:p>
  </w:footnote>
  <w:footnote w:type="continuationSeparator" w:id="0">
    <w:p w14:paraId="6D571B6C" w14:textId="77777777" w:rsidR="00EC6723" w:rsidRDefault="00EC6723" w:rsidP="00065623">
      <w:r>
        <w:continuationSeparator/>
      </w:r>
    </w:p>
  </w:footnote>
  <w:footnote w:id="1">
    <w:p w14:paraId="2BA3D1BB" w14:textId="77777777" w:rsidR="00EC6723" w:rsidRDefault="00EC6723" w:rsidP="009F3943">
      <w:pPr>
        <w:pStyle w:val="FootnoteText"/>
      </w:pPr>
      <w:r>
        <w:rPr>
          <w:rStyle w:val="FootnoteReference"/>
        </w:rPr>
        <w:footnoteRef/>
      </w:r>
      <w:r>
        <w:t xml:space="preserve"> National Blood Authority, the Criteria (V3) and eligibility for </w:t>
      </w:r>
      <w:hyperlink r:id="rId1" w:history="1">
        <w:r w:rsidRPr="00555C8B">
          <w:rPr>
            <w:rStyle w:val="Hyperlink"/>
            <w:i/>
          </w:rPr>
          <w:t>Secondary hypogammaglobulinaemia unrelated to Haematological malignancy or haemopoeitic stem cell transplant (HSCT)</w:t>
        </w:r>
      </w:hyperlink>
    </w:p>
  </w:footnote>
  <w:footnote w:id="2">
    <w:p w14:paraId="34DB144D" w14:textId="77777777" w:rsidR="00EC6723" w:rsidRDefault="00EC6723" w:rsidP="00670F87">
      <w:pPr>
        <w:pStyle w:val="FootnoteText"/>
        <w:rPr>
          <w:rFonts w:ascii="Calibri" w:hAnsi="Calibri"/>
        </w:rPr>
      </w:pPr>
      <w:r>
        <w:rPr>
          <w:rStyle w:val="FootnoteReference"/>
        </w:rPr>
        <w:footnoteRef/>
      </w:r>
      <w:r>
        <w:t xml:space="preserve"> </w:t>
      </w:r>
      <w:r w:rsidRPr="00D771DB">
        <w:t xml:space="preserve">National Blood Authority, 2018, </w:t>
      </w:r>
      <w:hyperlink r:id="rId2" w:history="1">
        <w:r w:rsidRPr="00D771DB">
          <w:rPr>
            <w:rStyle w:val="Hyperlink"/>
            <w:rFonts w:eastAsiaTheme="majorEastAsia"/>
            <w:i/>
          </w:rPr>
          <w:t>Criteria for the clinical use of immunoglobulin in Australia</w:t>
        </w:r>
      </w:hyperlink>
      <w:r w:rsidRPr="00D771DB">
        <w:rPr>
          <w:i/>
        </w:rPr>
        <w:t xml:space="preserve"> (</w:t>
      </w:r>
      <w:r w:rsidRPr="00D771DB">
        <w:t>version 3).</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E7449"/>
    <w:multiLevelType w:val="hybridMultilevel"/>
    <w:tmpl w:val="99C4A0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E76417"/>
    <w:multiLevelType w:val="hybridMultilevel"/>
    <w:tmpl w:val="30324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FB9158C"/>
    <w:multiLevelType w:val="hybridMultilevel"/>
    <w:tmpl w:val="C07C0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26747D"/>
    <w:multiLevelType w:val="hybridMultilevel"/>
    <w:tmpl w:val="410E1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2"/>
  </w:num>
  <w:num w:numId="4">
    <w:abstractNumId w:val="17"/>
  </w:num>
  <w:num w:numId="5">
    <w:abstractNumId w:val="10"/>
  </w:num>
  <w:num w:numId="6">
    <w:abstractNumId w:val="15"/>
  </w:num>
  <w:num w:numId="7">
    <w:abstractNumId w:val="22"/>
  </w:num>
  <w:num w:numId="8">
    <w:abstractNumId w:val="11"/>
  </w:num>
  <w:num w:numId="9">
    <w:abstractNumId w:val="28"/>
  </w:num>
  <w:num w:numId="10">
    <w:abstractNumId w:val="0"/>
  </w:num>
  <w:num w:numId="11">
    <w:abstractNumId w:val="19"/>
  </w:num>
  <w:num w:numId="12">
    <w:abstractNumId w:val="23"/>
  </w:num>
  <w:num w:numId="13">
    <w:abstractNumId w:val="5"/>
  </w:num>
  <w:num w:numId="14">
    <w:abstractNumId w:val="27"/>
  </w:num>
  <w:num w:numId="15">
    <w:abstractNumId w:val="18"/>
  </w:num>
  <w:num w:numId="16">
    <w:abstractNumId w:val="24"/>
  </w:num>
  <w:num w:numId="17">
    <w:abstractNumId w:val="12"/>
  </w:num>
  <w:num w:numId="18">
    <w:abstractNumId w:val="13"/>
  </w:num>
  <w:num w:numId="19">
    <w:abstractNumId w:val="26"/>
  </w:num>
  <w:num w:numId="20">
    <w:abstractNumId w:val="25"/>
  </w:num>
  <w:num w:numId="21">
    <w:abstractNumId w:val="4"/>
  </w:num>
  <w:num w:numId="22">
    <w:abstractNumId w:val="9"/>
  </w:num>
  <w:num w:numId="23">
    <w:abstractNumId w:val="3"/>
  </w:num>
  <w:num w:numId="24">
    <w:abstractNumId w:val="8"/>
  </w:num>
  <w:num w:numId="25">
    <w:abstractNumId w:val="6"/>
  </w:num>
  <w:num w:numId="26">
    <w:abstractNumId w:val="20"/>
  </w:num>
  <w:num w:numId="27">
    <w:abstractNumId w:val="1"/>
  </w:num>
  <w:num w:numId="28">
    <w:abstractNumId w:val="2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es-ES" w:vendorID="64" w:dllVersion="6" w:nlCheck="1" w:checkStyle="0"/>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fr-FR" w:vendorID="64" w:dllVersion="131078" w:nlCheck="1" w:checkStyle="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1A36"/>
    <w:rsid w:val="0001311B"/>
    <w:rsid w:val="000227BC"/>
    <w:rsid w:val="000277D4"/>
    <w:rsid w:val="000317F2"/>
    <w:rsid w:val="00045481"/>
    <w:rsid w:val="00047606"/>
    <w:rsid w:val="000643A4"/>
    <w:rsid w:val="00065623"/>
    <w:rsid w:val="00074C22"/>
    <w:rsid w:val="000756B9"/>
    <w:rsid w:val="0007598E"/>
    <w:rsid w:val="00080058"/>
    <w:rsid w:val="00090294"/>
    <w:rsid w:val="00094B73"/>
    <w:rsid w:val="00096B67"/>
    <w:rsid w:val="00096DAF"/>
    <w:rsid w:val="000A0F3D"/>
    <w:rsid w:val="000A1A16"/>
    <w:rsid w:val="000B6A67"/>
    <w:rsid w:val="000C0D04"/>
    <w:rsid w:val="000C2F47"/>
    <w:rsid w:val="000D2B9A"/>
    <w:rsid w:val="000D48C0"/>
    <w:rsid w:val="000D6C00"/>
    <w:rsid w:val="000E0C39"/>
    <w:rsid w:val="000E1B63"/>
    <w:rsid w:val="000E4E04"/>
    <w:rsid w:val="000F01A3"/>
    <w:rsid w:val="000F14B4"/>
    <w:rsid w:val="000F1723"/>
    <w:rsid w:val="000F5576"/>
    <w:rsid w:val="000F75DF"/>
    <w:rsid w:val="001023DC"/>
    <w:rsid w:val="001328FA"/>
    <w:rsid w:val="00134528"/>
    <w:rsid w:val="001461DF"/>
    <w:rsid w:val="00147AAF"/>
    <w:rsid w:val="001552C0"/>
    <w:rsid w:val="0016110A"/>
    <w:rsid w:val="001640B1"/>
    <w:rsid w:val="001833CA"/>
    <w:rsid w:val="001842B7"/>
    <w:rsid w:val="0018435E"/>
    <w:rsid w:val="00194A71"/>
    <w:rsid w:val="001B34DD"/>
    <w:rsid w:val="001B5D42"/>
    <w:rsid w:val="001C715C"/>
    <w:rsid w:val="001C7279"/>
    <w:rsid w:val="001D7ADA"/>
    <w:rsid w:val="001E3D35"/>
    <w:rsid w:val="001E3F42"/>
    <w:rsid w:val="001E5620"/>
    <w:rsid w:val="001E7287"/>
    <w:rsid w:val="002041A1"/>
    <w:rsid w:val="002054F0"/>
    <w:rsid w:val="00207E8B"/>
    <w:rsid w:val="00214904"/>
    <w:rsid w:val="0022169D"/>
    <w:rsid w:val="00222405"/>
    <w:rsid w:val="00222DAE"/>
    <w:rsid w:val="00225285"/>
    <w:rsid w:val="00230D6B"/>
    <w:rsid w:val="00232068"/>
    <w:rsid w:val="002330F2"/>
    <w:rsid w:val="00243656"/>
    <w:rsid w:val="00243D9E"/>
    <w:rsid w:val="00253B66"/>
    <w:rsid w:val="00255E54"/>
    <w:rsid w:val="00261DF1"/>
    <w:rsid w:val="0026655D"/>
    <w:rsid w:val="00271F18"/>
    <w:rsid w:val="00273D39"/>
    <w:rsid w:val="0027733B"/>
    <w:rsid w:val="0028237B"/>
    <w:rsid w:val="00282779"/>
    <w:rsid w:val="0028334D"/>
    <w:rsid w:val="002964A8"/>
    <w:rsid w:val="002A1EE5"/>
    <w:rsid w:val="002A5B50"/>
    <w:rsid w:val="002B3E00"/>
    <w:rsid w:val="002B7FFA"/>
    <w:rsid w:val="002C2BCF"/>
    <w:rsid w:val="002D054A"/>
    <w:rsid w:val="002D1173"/>
    <w:rsid w:val="002E3471"/>
    <w:rsid w:val="002E4C2F"/>
    <w:rsid w:val="002F279D"/>
    <w:rsid w:val="002F3DCC"/>
    <w:rsid w:val="002F43B8"/>
    <w:rsid w:val="002F7CE9"/>
    <w:rsid w:val="00301704"/>
    <w:rsid w:val="00332C76"/>
    <w:rsid w:val="00334E45"/>
    <w:rsid w:val="00336856"/>
    <w:rsid w:val="0034554D"/>
    <w:rsid w:val="00351B11"/>
    <w:rsid w:val="00352224"/>
    <w:rsid w:val="003671E6"/>
    <w:rsid w:val="00367370"/>
    <w:rsid w:val="003724D2"/>
    <w:rsid w:val="00375FA0"/>
    <w:rsid w:val="003823B7"/>
    <w:rsid w:val="00384272"/>
    <w:rsid w:val="00386D67"/>
    <w:rsid w:val="003945B8"/>
    <w:rsid w:val="0039732F"/>
    <w:rsid w:val="003974A4"/>
    <w:rsid w:val="003B0F49"/>
    <w:rsid w:val="003B3C4B"/>
    <w:rsid w:val="003B42C4"/>
    <w:rsid w:val="003B7B73"/>
    <w:rsid w:val="003C77C5"/>
    <w:rsid w:val="003D7F29"/>
    <w:rsid w:val="003E70F4"/>
    <w:rsid w:val="00405A6B"/>
    <w:rsid w:val="00407B1F"/>
    <w:rsid w:val="0041062E"/>
    <w:rsid w:val="0041184F"/>
    <w:rsid w:val="00414C57"/>
    <w:rsid w:val="004164F9"/>
    <w:rsid w:val="0041758C"/>
    <w:rsid w:val="00424791"/>
    <w:rsid w:val="00436BB0"/>
    <w:rsid w:val="004425D6"/>
    <w:rsid w:val="004539DE"/>
    <w:rsid w:val="004616ED"/>
    <w:rsid w:val="00463665"/>
    <w:rsid w:val="00470A32"/>
    <w:rsid w:val="004742B1"/>
    <w:rsid w:val="004758FC"/>
    <w:rsid w:val="00482D59"/>
    <w:rsid w:val="00485B9A"/>
    <w:rsid w:val="004A2CF1"/>
    <w:rsid w:val="004A627C"/>
    <w:rsid w:val="004A759E"/>
    <w:rsid w:val="004A7E0B"/>
    <w:rsid w:val="004B0133"/>
    <w:rsid w:val="004B63A7"/>
    <w:rsid w:val="004C3035"/>
    <w:rsid w:val="004C307F"/>
    <w:rsid w:val="004D2C43"/>
    <w:rsid w:val="004E4BA8"/>
    <w:rsid w:val="004E6B38"/>
    <w:rsid w:val="004F340F"/>
    <w:rsid w:val="004F7B7C"/>
    <w:rsid w:val="00507163"/>
    <w:rsid w:val="0052243D"/>
    <w:rsid w:val="00532435"/>
    <w:rsid w:val="0053423F"/>
    <w:rsid w:val="00540BF3"/>
    <w:rsid w:val="005455A7"/>
    <w:rsid w:val="00550354"/>
    <w:rsid w:val="00552B4A"/>
    <w:rsid w:val="00557029"/>
    <w:rsid w:val="005577DA"/>
    <w:rsid w:val="00571236"/>
    <w:rsid w:val="005779D3"/>
    <w:rsid w:val="005953A1"/>
    <w:rsid w:val="005A4362"/>
    <w:rsid w:val="005A4EB1"/>
    <w:rsid w:val="005B515E"/>
    <w:rsid w:val="005B5434"/>
    <w:rsid w:val="005B724A"/>
    <w:rsid w:val="005D0332"/>
    <w:rsid w:val="005D0D8C"/>
    <w:rsid w:val="005D6AFA"/>
    <w:rsid w:val="005F042D"/>
    <w:rsid w:val="005F24F3"/>
    <w:rsid w:val="006025EC"/>
    <w:rsid w:val="0060619D"/>
    <w:rsid w:val="00611FD9"/>
    <w:rsid w:val="0061744C"/>
    <w:rsid w:val="00640A46"/>
    <w:rsid w:val="0064509B"/>
    <w:rsid w:val="00661D92"/>
    <w:rsid w:val="00664EC8"/>
    <w:rsid w:val="00670F87"/>
    <w:rsid w:val="006776AE"/>
    <w:rsid w:val="00693132"/>
    <w:rsid w:val="00697028"/>
    <w:rsid w:val="006A0D97"/>
    <w:rsid w:val="006A4C95"/>
    <w:rsid w:val="006B1747"/>
    <w:rsid w:val="006B1F86"/>
    <w:rsid w:val="006B6542"/>
    <w:rsid w:val="006C0A91"/>
    <w:rsid w:val="006D4183"/>
    <w:rsid w:val="006E4891"/>
    <w:rsid w:val="006F228A"/>
    <w:rsid w:val="006F77E5"/>
    <w:rsid w:val="00700612"/>
    <w:rsid w:val="007054BB"/>
    <w:rsid w:val="00707064"/>
    <w:rsid w:val="00707C01"/>
    <w:rsid w:val="00707F83"/>
    <w:rsid w:val="00712B1D"/>
    <w:rsid w:val="00713284"/>
    <w:rsid w:val="007134B0"/>
    <w:rsid w:val="00724C12"/>
    <w:rsid w:val="00730683"/>
    <w:rsid w:val="00746968"/>
    <w:rsid w:val="00747FFA"/>
    <w:rsid w:val="0075261F"/>
    <w:rsid w:val="0075468E"/>
    <w:rsid w:val="00757056"/>
    <w:rsid w:val="00757328"/>
    <w:rsid w:val="00760F73"/>
    <w:rsid w:val="007665D8"/>
    <w:rsid w:val="00766E36"/>
    <w:rsid w:val="007740BB"/>
    <w:rsid w:val="007744ED"/>
    <w:rsid w:val="007765F4"/>
    <w:rsid w:val="00776633"/>
    <w:rsid w:val="00784D53"/>
    <w:rsid w:val="00793F12"/>
    <w:rsid w:val="00795818"/>
    <w:rsid w:val="00797797"/>
    <w:rsid w:val="007A3B87"/>
    <w:rsid w:val="007A5D70"/>
    <w:rsid w:val="007A63C9"/>
    <w:rsid w:val="007B32D1"/>
    <w:rsid w:val="007B7095"/>
    <w:rsid w:val="007D24E1"/>
    <w:rsid w:val="007D51E9"/>
    <w:rsid w:val="007D6288"/>
    <w:rsid w:val="007D63F2"/>
    <w:rsid w:val="007F4CE9"/>
    <w:rsid w:val="007F4E20"/>
    <w:rsid w:val="00801313"/>
    <w:rsid w:val="00822C7E"/>
    <w:rsid w:val="0082712B"/>
    <w:rsid w:val="008319DF"/>
    <w:rsid w:val="0084429C"/>
    <w:rsid w:val="00847060"/>
    <w:rsid w:val="00847A36"/>
    <w:rsid w:val="00850661"/>
    <w:rsid w:val="00853A94"/>
    <w:rsid w:val="00856A33"/>
    <w:rsid w:val="0087527B"/>
    <w:rsid w:val="008766FA"/>
    <w:rsid w:val="008774AB"/>
    <w:rsid w:val="00877AB8"/>
    <w:rsid w:val="008922D6"/>
    <w:rsid w:val="00892620"/>
    <w:rsid w:val="008A3F86"/>
    <w:rsid w:val="008C778E"/>
    <w:rsid w:val="008C7D37"/>
    <w:rsid w:val="008D5885"/>
    <w:rsid w:val="008F2FE6"/>
    <w:rsid w:val="00911464"/>
    <w:rsid w:val="00923FA2"/>
    <w:rsid w:val="0093346D"/>
    <w:rsid w:val="009453A6"/>
    <w:rsid w:val="00957BE2"/>
    <w:rsid w:val="0096060D"/>
    <w:rsid w:val="00974A50"/>
    <w:rsid w:val="0097585A"/>
    <w:rsid w:val="009924B0"/>
    <w:rsid w:val="009942C9"/>
    <w:rsid w:val="00994A23"/>
    <w:rsid w:val="009B35C4"/>
    <w:rsid w:val="009C596F"/>
    <w:rsid w:val="009C630A"/>
    <w:rsid w:val="009C7930"/>
    <w:rsid w:val="009E0D98"/>
    <w:rsid w:val="009E47E9"/>
    <w:rsid w:val="009E7BA5"/>
    <w:rsid w:val="009F3943"/>
    <w:rsid w:val="00A068A1"/>
    <w:rsid w:val="00A1207D"/>
    <w:rsid w:val="00A12FD8"/>
    <w:rsid w:val="00A24D01"/>
    <w:rsid w:val="00A2755D"/>
    <w:rsid w:val="00A346FC"/>
    <w:rsid w:val="00A46D77"/>
    <w:rsid w:val="00A62AC3"/>
    <w:rsid w:val="00A6376C"/>
    <w:rsid w:val="00A64958"/>
    <w:rsid w:val="00A723D1"/>
    <w:rsid w:val="00A846F2"/>
    <w:rsid w:val="00A84955"/>
    <w:rsid w:val="00A84F93"/>
    <w:rsid w:val="00A95587"/>
    <w:rsid w:val="00AB1AC5"/>
    <w:rsid w:val="00AB3BFC"/>
    <w:rsid w:val="00AC23C5"/>
    <w:rsid w:val="00AC25C9"/>
    <w:rsid w:val="00AC4F2E"/>
    <w:rsid w:val="00AD0C37"/>
    <w:rsid w:val="00AD385F"/>
    <w:rsid w:val="00AD42B7"/>
    <w:rsid w:val="00AD551D"/>
    <w:rsid w:val="00AE6E2A"/>
    <w:rsid w:val="00AF4529"/>
    <w:rsid w:val="00B03EAB"/>
    <w:rsid w:val="00B26649"/>
    <w:rsid w:val="00B31E9C"/>
    <w:rsid w:val="00B33BE0"/>
    <w:rsid w:val="00B34344"/>
    <w:rsid w:val="00B35201"/>
    <w:rsid w:val="00B35595"/>
    <w:rsid w:val="00B42D91"/>
    <w:rsid w:val="00B47583"/>
    <w:rsid w:val="00B51C6D"/>
    <w:rsid w:val="00B74AAF"/>
    <w:rsid w:val="00B83DD2"/>
    <w:rsid w:val="00B85084"/>
    <w:rsid w:val="00B86D64"/>
    <w:rsid w:val="00BA4AC5"/>
    <w:rsid w:val="00BC1364"/>
    <w:rsid w:val="00BC2667"/>
    <w:rsid w:val="00BC47C9"/>
    <w:rsid w:val="00BC7DE9"/>
    <w:rsid w:val="00BF479B"/>
    <w:rsid w:val="00C02577"/>
    <w:rsid w:val="00C05D97"/>
    <w:rsid w:val="00C06B0B"/>
    <w:rsid w:val="00C204FB"/>
    <w:rsid w:val="00C20BEE"/>
    <w:rsid w:val="00C2123F"/>
    <w:rsid w:val="00C2158D"/>
    <w:rsid w:val="00C33DD1"/>
    <w:rsid w:val="00C45DC6"/>
    <w:rsid w:val="00C5563A"/>
    <w:rsid w:val="00C67DD2"/>
    <w:rsid w:val="00C70B86"/>
    <w:rsid w:val="00C725CB"/>
    <w:rsid w:val="00C76F5C"/>
    <w:rsid w:val="00C83331"/>
    <w:rsid w:val="00C96BAD"/>
    <w:rsid w:val="00CA0888"/>
    <w:rsid w:val="00CA1B2E"/>
    <w:rsid w:val="00CA2923"/>
    <w:rsid w:val="00CA3085"/>
    <w:rsid w:val="00CA6944"/>
    <w:rsid w:val="00CB0F8E"/>
    <w:rsid w:val="00CB7E7D"/>
    <w:rsid w:val="00CC2911"/>
    <w:rsid w:val="00CC78EB"/>
    <w:rsid w:val="00CD0E82"/>
    <w:rsid w:val="00CD67C1"/>
    <w:rsid w:val="00CE58D5"/>
    <w:rsid w:val="00CF0C6D"/>
    <w:rsid w:val="00CF4E81"/>
    <w:rsid w:val="00CF7307"/>
    <w:rsid w:val="00CF7C68"/>
    <w:rsid w:val="00D057C9"/>
    <w:rsid w:val="00D124FA"/>
    <w:rsid w:val="00D263F1"/>
    <w:rsid w:val="00D33097"/>
    <w:rsid w:val="00D33BC2"/>
    <w:rsid w:val="00D340DE"/>
    <w:rsid w:val="00D34B8A"/>
    <w:rsid w:val="00D44C6D"/>
    <w:rsid w:val="00D50802"/>
    <w:rsid w:val="00D53CBF"/>
    <w:rsid w:val="00D55723"/>
    <w:rsid w:val="00D62153"/>
    <w:rsid w:val="00D62FAD"/>
    <w:rsid w:val="00D64355"/>
    <w:rsid w:val="00D666A6"/>
    <w:rsid w:val="00D70450"/>
    <w:rsid w:val="00D75C5F"/>
    <w:rsid w:val="00D77218"/>
    <w:rsid w:val="00D80204"/>
    <w:rsid w:val="00D81F96"/>
    <w:rsid w:val="00D83BFD"/>
    <w:rsid w:val="00D90A38"/>
    <w:rsid w:val="00D94B14"/>
    <w:rsid w:val="00D95739"/>
    <w:rsid w:val="00DA0515"/>
    <w:rsid w:val="00DA171E"/>
    <w:rsid w:val="00DA1BAF"/>
    <w:rsid w:val="00DA56AA"/>
    <w:rsid w:val="00DA7A07"/>
    <w:rsid w:val="00DB4641"/>
    <w:rsid w:val="00DB5833"/>
    <w:rsid w:val="00DC2EEC"/>
    <w:rsid w:val="00DC3B24"/>
    <w:rsid w:val="00DD019D"/>
    <w:rsid w:val="00DD2858"/>
    <w:rsid w:val="00DD36A9"/>
    <w:rsid w:val="00DF4020"/>
    <w:rsid w:val="00DF489D"/>
    <w:rsid w:val="00E0301E"/>
    <w:rsid w:val="00E03E33"/>
    <w:rsid w:val="00E0484C"/>
    <w:rsid w:val="00E059E0"/>
    <w:rsid w:val="00E112D6"/>
    <w:rsid w:val="00E13F05"/>
    <w:rsid w:val="00E1490A"/>
    <w:rsid w:val="00E235DD"/>
    <w:rsid w:val="00E2558F"/>
    <w:rsid w:val="00E3642A"/>
    <w:rsid w:val="00E415C4"/>
    <w:rsid w:val="00E45464"/>
    <w:rsid w:val="00E50016"/>
    <w:rsid w:val="00E50EAA"/>
    <w:rsid w:val="00E57004"/>
    <w:rsid w:val="00E606C6"/>
    <w:rsid w:val="00E60F1E"/>
    <w:rsid w:val="00E656D6"/>
    <w:rsid w:val="00E8497F"/>
    <w:rsid w:val="00E9047C"/>
    <w:rsid w:val="00E909E6"/>
    <w:rsid w:val="00E977EE"/>
    <w:rsid w:val="00EA251D"/>
    <w:rsid w:val="00EA2F24"/>
    <w:rsid w:val="00EA5C0E"/>
    <w:rsid w:val="00EA67A2"/>
    <w:rsid w:val="00EA772A"/>
    <w:rsid w:val="00EB630F"/>
    <w:rsid w:val="00EB6B6F"/>
    <w:rsid w:val="00EC21D7"/>
    <w:rsid w:val="00EC4F98"/>
    <w:rsid w:val="00EC6723"/>
    <w:rsid w:val="00F06339"/>
    <w:rsid w:val="00F11E63"/>
    <w:rsid w:val="00F12F02"/>
    <w:rsid w:val="00F15FA1"/>
    <w:rsid w:val="00F32E0D"/>
    <w:rsid w:val="00F32FFE"/>
    <w:rsid w:val="00F35134"/>
    <w:rsid w:val="00F37B9C"/>
    <w:rsid w:val="00F41812"/>
    <w:rsid w:val="00F448FE"/>
    <w:rsid w:val="00F45E06"/>
    <w:rsid w:val="00F53620"/>
    <w:rsid w:val="00F56D7F"/>
    <w:rsid w:val="00F715D1"/>
    <w:rsid w:val="00F72715"/>
    <w:rsid w:val="00F73333"/>
    <w:rsid w:val="00F749A8"/>
    <w:rsid w:val="00F878CB"/>
    <w:rsid w:val="00F92D84"/>
    <w:rsid w:val="00F95D8F"/>
    <w:rsid w:val="00FB350A"/>
    <w:rsid w:val="00FB461B"/>
    <w:rsid w:val="00FB4C5D"/>
    <w:rsid w:val="00FB7B4C"/>
    <w:rsid w:val="00FD0063"/>
    <w:rsid w:val="00FD1523"/>
    <w:rsid w:val="00FD26CE"/>
    <w:rsid w:val="00FD5CE8"/>
    <w:rsid w:val="00FD6A7C"/>
    <w:rsid w:val="00FE1C3F"/>
    <w:rsid w:val="00FE52FE"/>
    <w:rsid w:val="00FE731D"/>
    <w:rsid w:val="00FF1DB3"/>
    <w:rsid w:val="00FF4C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44C6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locked/>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rFonts w:cs="Times New Roman"/>
      <w:vertAlign w:val="superscript"/>
    </w:rPr>
  </w:style>
  <w:style w:type="paragraph" w:styleId="ListParagraph">
    <w:name w:val="List Paragraph"/>
    <w:aliases w:val="Styl moj,Akapit z listą1,Akapit z listą11,Recommendation,List Paragraph1,List Paragraph11,L,Bullet point,Bullet table"/>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758FC"/>
    <w:rPr>
      <w:rFonts w:cs="Arial"/>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B63A7"/>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521BT-Roman" w:hAnsi="Humanist521BT-Roman"/>
        <w:b w:val="0"/>
        <w:sz w:val="20"/>
      </w:rPr>
    </w:tblStylePr>
  </w:style>
  <w:style w:type="paragraph" w:customStyle="1" w:styleId="Tabletext">
    <w:name w:val="Table text"/>
    <w:basedOn w:val="Normal"/>
    <w:link w:val="TabletextChar"/>
    <w:qFormat/>
    <w:rsid w:val="001E7287"/>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
    <w:rsid w:val="001E7287"/>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locked/>
    <w:rsid w:val="001E7287"/>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1E7287"/>
    <w:rPr>
      <w:rFonts w:ascii="Arial Narrow" w:eastAsia="Times New Roman" w:hAnsi="Arial Narrow" w:cs="Arial"/>
      <w:b/>
      <w:bCs/>
      <w:iCs/>
      <w:sz w:val="20"/>
      <w:szCs w:val="20"/>
      <w:lang w:eastAsia="en-US"/>
    </w:rPr>
  </w:style>
  <w:style w:type="character" w:customStyle="1" w:styleId="ListParagraphChar">
    <w:name w:val="List Paragraph Char"/>
    <w:aliases w:val="Styl moj Char,Akapit z listą1 Char,Akapit z listą11 Char,Recommendation Char,List Paragraph1 Char,List Paragraph11 Char,L Char,Bullet point Char,Bullet table Char"/>
    <w:link w:val="ListParagraph"/>
    <w:uiPriority w:val="34"/>
    <w:rsid w:val="00AC25C9"/>
    <w:rPr>
      <w:rFonts w:eastAsia="Times New Roman"/>
      <w:sz w:val="24"/>
      <w:szCs w:val="20"/>
    </w:rPr>
  </w:style>
  <w:style w:type="table" w:customStyle="1" w:styleId="TableGrid2">
    <w:name w:val="Table Grid2"/>
    <w:basedOn w:val="TableNormal"/>
    <w:next w:val="TableGrid"/>
    <w:uiPriority w:val="39"/>
    <w:rsid w:val="00214904"/>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notes"/>
    <w:basedOn w:val="Normal"/>
    <w:link w:val="TablenotesChar"/>
    <w:autoRedefine/>
    <w:qFormat/>
    <w:rsid w:val="00A84955"/>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A84955"/>
    <w:rPr>
      <w:rFonts w:ascii="Arial Narrow" w:eastAsia="Times New Roman" w:hAnsi="Arial Narrow" w:cs="Arial"/>
      <w:snapToGrid w:val="0"/>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66634">
      <w:bodyDiv w:val="1"/>
      <w:marLeft w:val="0"/>
      <w:marRight w:val="0"/>
      <w:marTop w:val="0"/>
      <w:marBottom w:val="0"/>
      <w:divBdr>
        <w:top w:val="none" w:sz="0" w:space="0" w:color="auto"/>
        <w:left w:val="none" w:sz="0" w:space="0" w:color="auto"/>
        <w:bottom w:val="none" w:sz="0" w:space="0" w:color="auto"/>
        <w:right w:val="none" w:sz="0" w:space="0" w:color="auto"/>
      </w:divBdr>
      <w:divsChild>
        <w:div w:id="286088529">
          <w:marLeft w:val="547"/>
          <w:marRight w:val="0"/>
          <w:marTop w:val="77"/>
          <w:marBottom w:val="0"/>
          <w:divBdr>
            <w:top w:val="none" w:sz="0" w:space="0" w:color="auto"/>
            <w:left w:val="none" w:sz="0" w:space="0" w:color="auto"/>
            <w:bottom w:val="none" w:sz="0" w:space="0" w:color="auto"/>
            <w:right w:val="none" w:sz="0" w:space="0" w:color="auto"/>
          </w:divBdr>
        </w:div>
      </w:divsChild>
    </w:div>
    <w:div w:id="443617963">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422067117">
      <w:bodyDiv w:val="1"/>
      <w:marLeft w:val="0"/>
      <w:marRight w:val="0"/>
      <w:marTop w:val="0"/>
      <w:marBottom w:val="0"/>
      <w:divBdr>
        <w:top w:val="none" w:sz="0" w:space="0" w:color="auto"/>
        <w:left w:val="none" w:sz="0" w:space="0" w:color="auto"/>
        <w:bottom w:val="none" w:sz="0" w:space="0" w:color="auto"/>
        <w:right w:val="none" w:sz="0" w:space="0" w:color="auto"/>
      </w:divBdr>
      <w:divsChild>
        <w:div w:id="1020278653">
          <w:marLeft w:val="547"/>
          <w:marRight w:val="0"/>
          <w:marTop w:val="110"/>
          <w:marBottom w:val="0"/>
          <w:divBdr>
            <w:top w:val="none" w:sz="0" w:space="0" w:color="auto"/>
            <w:left w:val="none" w:sz="0" w:space="0" w:color="auto"/>
            <w:bottom w:val="none" w:sz="0" w:space="0" w:color="auto"/>
            <w:right w:val="none" w:sz="0" w:space="0" w:color="auto"/>
          </w:divBdr>
        </w:div>
      </w:divsChild>
    </w:div>
    <w:div w:id="1636837397">
      <w:bodyDiv w:val="1"/>
      <w:marLeft w:val="0"/>
      <w:marRight w:val="0"/>
      <w:marTop w:val="0"/>
      <w:marBottom w:val="0"/>
      <w:divBdr>
        <w:top w:val="none" w:sz="0" w:space="0" w:color="auto"/>
        <w:left w:val="none" w:sz="0" w:space="0" w:color="auto"/>
        <w:bottom w:val="none" w:sz="0" w:space="0" w:color="auto"/>
        <w:right w:val="none" w:sz="0" w:space="0" w:color="auto"/>
      </w:divBdr>
    </w:div>
    <w:div w:id="165186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hyperlink" Target="https://transplant.org.au/statistics/" TargetMode="External"/><Relationship Id="rId3" Type="http://schemas.openxmlformats.org/officeDocument/2006/relationships/styles" Target="styles.xml"/><Relationship Id="rId21" Type="http://schemas.openxmlformats.org/officeDocument/2006/relationships/hyperlink" Target="http://www.msac.gov.au/"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4.tif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ood.gov.au/national-product-list"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https://www.blood.gov.au/bloodstar" TargetMode="External"/><Relationship Id="rId19" Type="http://schemas.openxmlformats.org/officeDocument/2006/relationships/image" Target="media/image5.png"/><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lood.gov.au/igcriteria-version3" TargetMode="External"/><Relationship Id="rId1" Type="http://schemas.openxmlformats.org/officeDocument/2006/relationships/hyperlink" Target="https://www.criteria.blood.gov.au/MedicalCondition/View/262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ara-\Desktop\Monash\Assessment%201591\Secondary%20hypogammaglobulinaemia%20data%20calendar%20year%202019_SC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79D6-4A9B-A0CE-F0B132240364}"/>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79D6-4A9B-A0CE-F0B132240364}"/>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79D6-4A9B-A0CE-F0B132240364}"/>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79D6-4A9B-A0CE-F0B132240364}"/>
              </c:ext>
            </c:extLst>
          </c:dPt>
          <c:dLbls>
            <c:dLbl>
              <c:idx val="0"/>
              <c:layout>
                <c:manualLayout>
                  <c:x val="4.538976377952756E-2"/>
                  <c:y val="0.1042151501895596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9D6-4A9B-A0CE-F0B132240364}"/>
                </c:ext>
              </c:extLst>
            </c:dLbl>
            <c:dLbl>
              <c:idx val="1"/>
              <c:layout>
                <c:manualLayout>
                  <c:x val="1.6745625546806649E-2"/>
                  <c:y val="1.145523476232137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9D6-4A9B-A0CE-F0B132240364}"/>
                </c:ext>
              </c:extLst>
            </c:dLbl>
            <c:dLbl>
              <c:idx val="2"/>
              <c:layout>
                <c:manualLayout>
                  <c:x val="-2.7165354330708661E-2"/>
                  <c:y val="-2.00882181393992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9D6-4A9B-A0CE-F0B1322403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'Report 1 - 2019'!$D$15:$D$18</c:f>
              <c:strCache>
                <c:ptCount val="4"/>
                <c:pt idx="0">
                  <c:v>B-cell depletion</c:v>
                </c:pt>
                <c:pt idx="1">
                  <c:v>Solid organ transplant</c:v>
                </c:pt>
                <c:pt idx="2">
                  <c:v>Other</c:v>
                </c:pt>
                <c:pt idx="3">
                  <c:v>Good syndrome</c:v>
                </c:pt>
              </c:strCache>
            </c:strRef>
          </c:cat>
          <c:val>
            <c:numRef>
              <c:f>'Report 1 - 2019'!$E$15:$E$18</c:f>
              <c:numCache>
                <c:formatCode>0%</c:formatCode>
                <c:ptCount val="4"/>
                <c:pt idx="0">
                  <c:v>0.22035247579994466</c:v>
                </c:pt>
                <c:pt idx="1">
                  <c:v>0.24386319271959994</c:v>
                </c:pt>
                <c:pt idx="2">
                  <c:v>0.52366600108968642</c:v>
                </c:pt>
                <c:pt idx="3">
                  <c:v>1.2118330390768952E-2</c:v>
                </c:pt>
              </c:numCache>
            </c:numRef>
          </c:val>
          <c:extLst>
            <c:ext xmlns:c16="http://schemas.microsoft.com/office/drawing/2014/chart" uri="{C3380CC4-5D6E-409C-BE32-E72D297353CC}">
              <c16:uniqueId val="{00000008-79D6-4A9B-A0CE-F0B13224036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1FB26-6E42-4D44-BC0F-68C90B56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8582</Words>
  <Characters>49189</Characters>
  <Application>Microsoft Office Word</Application>
  <DocSecurity>4</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2021-04-15T00:29:00Z</dcterms:created>
  <dcterms:modified xsi:type="dcterms:W3CDTF">2021-04-15T00:29:00Z</dcterms:modified>
</cp:coreProperties>
</file>