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FED6D" w14:textId="0EFE6BF6" w:rsidR="00FE03FE" w:rsidRPr="00EE61CE" w:rsidRDefault="00EE61CE" w:rsidP="00EE61CE">
      <w:pPr>
        <w:pStyle w:val="Heading1"/>
        <w:numPr>
          <w:ilvl w:val="0"/>
          <w:numId w:val="0"/>
        </w:numPr>
        <w:pBdr>
          <w:bottom w:val="none" w:sz="0" w:space="0" w:color="auto"/>
        </w:pBdr>
        <w:spacing w:before="0" w:after="360"/>
        <w:ind w:left="788"/>
        <w:jc w:val="center"/>
        <w:rPr>
          <w:rFonts w:ascii="Arial" w:hAnsi="Arial" w:cs="Arial"/>
          <w:b/>
          <w:bCs/>
          <w:color w:val="000080"/>
          <w:sz w:val="36"/>
          <w:szCs w:val="36"/>
        </w:rPr>
      </w:pPr>
      <w:r>
        <w:rPr>
          <w:rFonts w:ascii="Arial" w:hAnsi="Arial" w:cs="Arial"/>
          <w:b/>
          <w:bCs/>
          <w:color w:val="000080"/>
          <w:sz w:val="36"/>
          <w:szCs w:val="36"/>
        </w:rPr>
        <w:t>Medical Services Advisory Committee (MSAC)</w:t>
      </w:r>
      <w:r>
        <w:rPr>
          <w:rFonts w:ascii="Arial" w:hAnsi="Arial" w:cs="Arial"/>
          <w:b/>
          <w:bCs/>
          <w:color w:val="000080"/>
          <w:sz w:val="36"/>
          <w:szCs w:val="36"/>
        </w:rPr>
        <w:br/>
      </w:r>
      <w:r w:rsidRPr="00F76D74">
        <w:rPr>
          <w:rFonts w:ascii="Arial" w:hAnsi="Arial" w:cs="Arial"/>
          <w:b/>
          <w:bCs/>
          <w:color w:val="000080"/>
          <w:sz w:val="36"/>
          <w:szCs w:val="36"/>
        </w:rPr>
        <w:t>Public Summary Document</w:t>
      </w:r>
    </w:p>
    <w:p w14:paraId="6F844703" w14:textId="243DF1AB" w:rsidR="00FE03FE" w:rsidRPr="005040A4" w:rsidRDefault="00FE03FE" w:rsidP="00132CF9">
      <w:pPr>
        <w:jc w:val="center"/>
        <w:rPr>
          <w:rFonts w:ascii="Arial" w:hAnsi="Arial" w:cs="Arial"/>
          <w:b/>
          <w:bCs/>
          <w:i/>
          <w:iCs/>
          <w:color w:val="000080"/>
          <w:sz w:val="28"/>
          <w:szCs w:val="28"/>
        </w:rPr>
      </w:pPr>
      <w:r w:rsidRPr="0044058B">
        <w:rPr>
          <w:rFonts w:ascii="Arial" w:eastAsia="Times New Roman" w:hAnsi="Arial" w:cs="Arial"/>
          <w:b/>
          <w:bCs/>
          <w:i/>
          <w:color w:val="000080"/>
          <w:sz w:val="28"/>
          <w:szCs w:val="28"/>
          <w:lang w:eastAsia="en-AU"/>
        </w:rPr>
        <w:t xml:space="preserve">Application No. </w:t>
      </w:r>
      <w:r w:rsidR="00132CF9" w:rsidRPr="005040A4">
        <w:rPr>
          <w:rFonts w:ascii="Arial" w:eastAsia="Times New Roman" w:hAnsi="Arial" w:cs="Arial"/>
          <w:b/>
          <w:bCs/>
          <w:i/>
          <w:color w:val="000080"/>
          <w:sz w:val="28"/>
          <w:szCs w:val="28"/>
          <w:lang w:eastAsia="en-AU"/>
        </w:rPr>
        <w:t>1741</w:t>
      </w:r>
      <w:r w:rsidRPr="005040A4">
        <w:rPr>
          <w:rFonts w:ascii="Arial" w:eastAsia="Times New Roman" w:hAnsi="Arial" w:cs="Arial"/>
          <w:b/>
          <w:bCs/>
          <w:i/>
          <w:color w:val="000080"/>
          <w:sz w:val="28"/>
          <w:szCs w:val="28"/>
          <w:lang w:eastAsia="en-AU"/>
        </w:rPr>
        <w:t xml:space="preserve"> – </w:t>
      </w:r>
      <w:r w:rsidR="00132CF9" w:rsidRPr="005040A4">
        <w:rPr>
          <w:rFonts w:ascii="Arial" w:hAnsi="Arial" w:cs="Arial"/>
          <w:b/>
          <w:bCs/>
          <w:i/>
          <w:iCs/>
          <w:color w:val="000080"/>
          <w:sz w:val="28"/>
          <w:szCs w:val="28"/>
        </w:rPr>
        <w:t xml:space="preserve">Continuous nerve blockade using a </w:t>
      </w:r>
      <w:r w:rsidR="00DB73D3">
        <w:rPr>
          <w:rFonts w:ascii="Arial" w:hAnsi="Arial" w:cs="Arial"/>
          <w:b/>
          <w:bCs/>
          <w:i/>
          <w:iCs/>
          <w:color w:val="000080"/>
          <w:sz w:val="28"/>
          <w:szCs w:val="28"/>
        </w:rPr>
        <w:br/>
      </w:r>
      <w:r w:rsidR="00132CF9" w:rsidRPr="005040A4">
        <w:rPr>
          <w:rFonts w:ascii="Arial" w:hAnsi="Arial" w:cs="Arial"/>
          <w:b/>
          <w:bCs/>
          <w:i/>
          <w:iCs/>
          <w:color w:val="000080"/>
          <w:sz w:val="28"/>
          <w:szCs w:val="28"/>
        </w:rPr>
        <w:t>catheter technique</w:t>
      </w:r>
    </w:p>
    <w:p w14:paraId="40A524D1" w14:textId="191B730E" w:rsidR="00FE03FE" w:rsidRPr="005040A4" w:rsidRDefault="00FE03FE" w:rsidP="00FE03FE">
      <w:pPr>
        <w:tabs>
          <w:tab w:val="left" w:pos="3686"/>
        </w:tabs>
        <w:spacing w:before="120" w:line="256" w:lineRule="auto"/>
        <w:rPr>
          <w:rFonts w:ascii="Arial" w:eastAsia="Calibri" w:hAnsi="Arial" w:cs="Arial"/>
          <w:b/>
        </w:rPr>
      </w:pPr>
      <w:r w:rsidRPr="391D4006">
        <w:rPr>
          <w:rFonts w:ascii="Arial" w:eastAsia="Calibri" w:hAnsi="Arial" w:cs="Arial"/>
          <w:b/>
        </w:rPr>
        <w:t>Applicant:</w:t>
      </w:r>
      <w:r>
        <w:tab/>
      </w:r>
      <w:r w:rsidR="00132CF9" w:rsidRPr="391D4006">
        <w:rPr>
          <w:rFonts w:ascii="Arial" w:eastAsia="Calibri" w:hAnsi="Arial" w:cs="Arial"/>
          <w:b/>
        </w:rPr>
        <w:t xml:space="preserve">Australian Society of </w:t>
      </w:r>
      <w:r w:rsidR="00132CF9" w:rsidRPr="0308E6E8">
        <w:rPr>
          <w:rFonts w:ascii="Arial" w:eastAsia="Calibri" w:hAnsi="Arial" w:cs="Arial"/>
          <w:b/>
          <w:bCs/>
        </w:rPr>
        <w:t>Anaesthetists</w:t>
      </w:r>
    </w:p>
    <w:p w14:paraId="1A8240F7" w14:textId="42CE6AAC" w:rsidR="00FE03FE" w:rsidRDefault="00FE03FE" w:rsidP="00FE03FE">
      <w:pPr>
        <w:tabs>
          <w:tab w:val="left" w:pos="3686"/>
        </w:tabs>
        <w:spacing w:before="120" w:after="360" w:line="259" w:lineRule="auto"/>
        <w:rPr>
          <w:rFonts w:ascii="Arial" w:eastAsia="Calibri" w:hAnsi="Arial" w:cs="Arial"/>
          <w:b/>
          <w:szCs w:val="24"/>
        </w:rPr>
      </w:pPr>
      <w:r w:rsidRPr="005040A4">
        <w:rPr>
          <w:rFonts w:ascii="Arial" w:eastAsia="Calibri" w:hAnsi="Arial" w:cs="Arial"/>
          <w:b/>
          <w:szCs w:val="24"/>
        </w:rPr>
        <w:t xml:space="preserve">Date of </w:t>
      </w:r>
      <w:r w:rsidR="00EE61CE">
        <w:rPr>
          <w:rFonts w:ascii="Arial" w:eastAsia="Calibri" w:hAnsi="Arial" w:cs="Arial"/>
          <w:b/>
          <w:szCs w:val="24"/>
        </w:rPr>
        <w:t>MSAC</w:t>
      </w:r>
      <w:r w:rsidRPr="005040A4">
        <w:rPr>
          <w:rFonts w:ascii="Arial" w:eastAsia="Calibri" w:hAnsi="Arial" w:cs="Arial"/>
          <w:b/>
          <w:szCs w:val="24"/>
        </w:rPr>
        <w:t xml:space="preserve"> consideration:</w:t>
      </w:r>
      <w:r w:rsidRPr="005040A4">
        <w:rPr>
          <w:rFonts w:ascii="Arial" w:eastAsia="Calibri" w:hAnsi="Arial" w:cs="Arial"/>
          <w:b/>
          <w:szCs w:val="24"/>
        </w:rPr>
        <w:tab/>
      </w:r>
      <w:r w:rsidR="00EE61CE">
        <w:rPr>
          <w:rFonts w:ascii="Arial" w:eastAsia="Calibri" w:hAnsi="Arial" w:cs="Arial"/>
          <w:b/>
          <w:szCs w:val="24"/>
        </w:rPr>
        <w:t>4-5 April</w:t>
      </w:r>
      <w:r w:rsidR="00132CF9" w:rsidRPr="005040A4">
        <w:rPr>
          <w:rFonts w:ascii="Arial" w:eastAsia="Calibri" w:hAnsi="Arial" w:cs="Arial"/>
          <w:b/>
          <w:szCs w:val="24"/>
        </w:rPr>
        <w:t xml:space="preserve"> 2024</w:t>
      </w:r>
    </w:p>
    <w:p w14:paraId="412C8C0E" w14:textId="77777777" w:rsidR="00EE61CE" w:rsidRPr="00741EEA" w:rsidRDefault="00EE61CE" w:rsidP="00EE61CE">
      <w:pPr>
        <w:rPr>
          <w:rFonts w:ascii="Franklin Gothic Book" w:hAnsi="Franklin Gothic Book"/>
          <w:color w:val="0000FF"/>
          <w:szCs w:val="24"/>
          <w:u w:val="single"/>
        </w:rPr>
      </w:pPr>
      <w:r w:rsidRPr="00741EEA">
        <w:rPr>
          <w:rFonts w:ascii="Franklin Gothic Book" w:hAnsi="Franklin Gothic Book"/>
          <w:szCs w:val="24"/>
        </w:rPr>
        <w:t xml:space="preserve">Context for decision: MSAC makes its advice in accordance with its Terms of Reference, </w:t>
      </w:r>
      <w:hyperlink r:id="rId8" w:tooltip="Link to Medical Services Advisory Committee website" w:history="1">
        <w:r w:rsidRPr="00741EEA">
          <w:rPr>
            <w:rStyle w:val="Hyperlink"/>
            <w:rFonts w:ascii="Franklin Gothic Book" w:hAnsi="Franklin Gothic Book"/>
            <w:szCs w:val="24"/>
          </w:rPr>
          <w:t>visit the MSAC website</w:t>
        </w:r>
      </w:hyperlink>
    </w:p>
    <w:p w14:paraId="4A5F73A0" w14:textId="77777777" w:rsidR="005D5985" w:rsidRPr="00306E38" w:rsidRDefault="005D5985" w:rsidP="005D5985">
      <w:pPr>
        <w:pStyle w:val="Heading2"/>
        <w:numPr>
          <w:ilvl w:val="0"/>
          <w:numId w:val="24"/>
        </w:numPr>
        <w:ind w:left="578" w:hanging="578"/>
      </w:pPr>
      <w:bookmarkStart w:id="0" w:name="_Toc150966048"/>
      <w:bookmarkStart w:id="1" w:name="_Toc153401624"/>
      <w:r w:rsidRPr="00306E38">
        <w:t xml:space="preserve">Purpose </w:t>
      </w:r>
      <w:r w:rsidRPr="00306E38">
        <w:rPr>
          <w:szCs w:val="32"/>
        </w:rPr>
        <w:t>of</w:t>
      </w:r>
      <w:r w:rsidRPr="00306E38">
        <w:t xml:space="preserve"> application</w:t>
      </w:r>
      <w:bookmarkEnd w:id="0"/>
      <w:bookmarkEnd w:id="1"/>
    </w:p>
    <w:p w14:paraId="4AE3A082" w14:textId="3F6833EE" w:rsidR="005D5985" w:rsidRDefault="005D5985" w:rsidP="124150B8">
      <w:pPr>
        <w:rPr>
          <w:rFonts w:ascii="Franklin Gothic Book" w:hAnsi="Franklin Gothic Book"/>
        </w:rPr>
      </w:pPr>
      <w:bookmarkStart w:id="2" w:name="_Hlk69734469"/>
      <w:r w:rsidRPr="124150B8">
        <w:rPr>
          <w:rFonts w:ascii="Franklin Gothic Book" w:hAnsi="Franklin Gothic Book"/>
        </w:rPr>
        <w:t xml:space="preserve">An application requesting Medicare Benefits Schedule (MBS) listing of continuous peripheral nerve block </w:t>
      </w:r>
      <w:r w:rsidR="00EC11D6" w:rsidRPr="124150B8">
        <w:rPr>
          <w:rFonts w:ascii="Franklin Gothic Book" w:hAnsi="Franklin Gothic Book"/>
        </w:rPr>
        <w:t xml:space="preserve">(CNB) </w:t>
      </w:r>
      <w:r w:rsidRPr="124150B8">
        <w:rPr>
          <w:rFonts w:ascii="Franklin Gothic Book" w:hAnsi="Franklin Gothic Book"/>
        </w:rPr>
        <w:t>for moderate to severe pain after surgery was received from the Australian Society of Anaesthetists by the Department of Health and Aged Care.</w:t>
      </w:r>
    </w:p>
    <w:p w14:paraId="4B600ABD" w14:textId="77777777" w:rsidR="00EE61CE" w:rsidRDefault="00EE61CE" w:rsidP="00EE61CE">
      <w:pPr>
        <w:pStyle w:val="Heading2"/>
        <w:numPr>
          <w:ilvl w:val="0"/>
          <w:numId w:val="0"/>
        </w:numPr>
      </w:pPr>
      <w:r>
        <w:t>2.</w:t>
      </w:r>
      <w:r>
        <w:tab/>
        <w:t>MSAC’s advice to the Minister</w:t>
      </w:r>
    </w:p>
    <w:p w14:paraId="2B1DB911" w14:textId="1FD34869" w:rsidR="00296466" w:rsidRDefault="00296466" w:rsidP="00296466">
      <w:pPr>
        <w:rPr>
          <w:rFonts w:ascii="Franklin Gothic Book" w:hAnsi="Franklin Gothic Book"/>
        </w:rPr>
      </w:pPr>
      <w:r w:rsidRPr="00614D01">
        <w:rPr>
          <w:rFonts w:ascii="Franklin Gothic Book" w:hAnsi="Franklin Gothic Book"/>
        </w:rPr>
        <w:t xml:space="preserve">After considering the strength of the available evidence in relation to comparative safety, clinical effectiveness, </w:t>
      </w:r>
      <w:r w:rsidR="004E65D7" w:rsidRPr="00614D01">
        <w:rPr>
          <w:rFonts w:ascii="Franklin Gothic Book" w:hAnsi="Franklin Gothic Book"/>
        </w:rPr>
        <w:t>cost-effectiveness,</w:t>
      </w:r>
      <w:r w:rsidRPr="00614D01">
        <w:rPr>
          <w:rFonts w:ascii="Franklin Gothic Book" w:hAnsi="Franklin Gothic Book"/>
        </w:rPr>
        <w:t xml:space="preserve"> and total cost, </w:t>
      </w:r>
      <w:r w:rsidR="00EC11D6" w:rsidRPr="00EC11D6">
        <w:rPr>
          <w:rFonts w:ascii="Franklin Gothic Book" w:hAnsi="Franklin Gothic Book"/>
        </w:rPr>
        <w:t>MSAC supported the creation of a new MBS item for CNB for the management of moderate to severe post-operative pain. MSAC considered that despite the limited and uncertain evidence there was probably a small but important benefit compared to single nerve block (SNB) or systemic opioids. There may potentially be other downstream benefits, including reducing opioid use. MSAC considered the economic evaluation made it difficult to assess relativities as it described the cost per pain unit on a visual analogue scale, but was unlikely to be improved due to the limited data and on balance was sufficient for decision-making. The financial impact to the MBS was modest although the extent of substitution of CNBs for current SNBs was uncertain. Utilisation should be monitored two years post implementation. MSAC considered that no evidence was presented regarding non-operative use of CNB, and therefore it could not advise on extending the supported service to include this indication. MSAC considered the appropriate fee should be set at 4 basic units based on other relative value guide services with comparable complexity.</w:t>
      </w:r>
    </w:p>
    <w:p w14:paraId="00A7E7C4" w14:textId="77777777" w:rsidR="000B2954" w:rsidRPr="00614D01" w:rsidRDefault="000B2954" w:rsidP="000B2954">
      <w:pPr>
        <w:rPr>
          <w:rFonts w:ascii="Franklin Gothic Book" w:hAnsi="Franklin Gothic Book"/>
          <w:iCs/>
        </w:rPr>
      </w:pPr>
      <w:r>
        <w:rPr>
          <w:rFonts w:ascii="Franklin Gothic Book" w:hAnsi="Franklin Gothic Book"/>
          <w:iCs/>
        </w:rPr>
        <w:t>MSAC’s supported</w:t>
      </w:r>
      <w:r w:rsidRPr="00614D01">
        <w:rPr>
          <w:rFonts w:ascii="Franklin Gothic Book" w:hAnsi="Franklin Gothic Book"/>
          <w:iCs/>
        </w:rPr>
        <w:t xml:space="preserve"> item descriptor is </w:t>
      </w:r>
      <w:r>
        <w:rPr>
          <w:rFonts w:ascii="Franklin Gothic Book" w:hAnsi="Franklin Gothic Book"/>
          <w:iCs/>
        </w:rPr>
        <w:t>provided below (</w:t>
      </w:r>
      <w:r>
        <w:rPr>
          <w:rFonts w:ascii="Franklin Gothic Book" w:hAnsi="Franklin Gothic Book"/>
          <w:iCs/>
        </w:rPr>
        <w:fldChar w:fldCharType="begin"/>
      </w:r>
      <w:r>
        <w:rPr>
          <w:rFonts w:ascii="Franklin Gothic Book" w:hAnsi="Franklin Gothic Book"/>
          <w:iCs/>
        </w:rPr>
        <w:instrText xml:space="preserve"> REF _Ref164168987  \* MERGEFORMAT </w:instrText>
      </w:r>
      <w:r>
        <w:rPr>
          <w:rFonts w:ascii="Franklin Gothic Book" w:hAnsi="Franklin Gothic Book"/>
          <w:iCs/>
        </w:rPr>
        <w:fldChar w:fldCharType="separate"/>
      </w:r>
      <w:r w:rsidRPr="00F927CF">
        <w:rPr>
          <w:rFonts w:ascii="Franklin Gothic Book" w:hAnsi="Franklin Gothic Book"/>
          <w:iCs/>
        </w:rPr>
        <w:t>Table 1</w:t>
      </w:r>
      <w:r>
        <w:rPr>
          <w:rFonts w:ascii="Franklin Gothic Book" w:hAnsi="Franklin Gothic Book"/>
          <w:iCs/>
        </w:rPr>
        <w:fldChar w:fldCharType="end"/>
      </w:r>
      <w:r>
        <w:rPr>
          <w:rFonts w:ascii="Franklin Gothic Book" w:hAnsi="Franklin Gothic Book"/>
          <w:iCs/>
        </w:rPr>
        <w:t>)</w:t>
      </w:r>
      <w:r w:rsidRPr="00614D01">
        <w:rPr>
          <w:rFonts w:ascii="Franklin Gothic Book" w:hAnsi="Franklin Gothic Book"/>
          <w:iCs/>
        </w:rPr>
        <w:t>.</w:t>
      </w:r>
    </w:p>
    <w:p w14:paraId="4472F24A" w14:textId="77777777" w:rsidR="000B2954" w:rsidRDefault="000B2954" w:rsidP="00AF3704">
      <w:pPr>
        <w:pStyle w:val="Caption"/>
        <w:spacing w:before="240"/>
        <w:ind w:left="992" w:hanging="992"/>
      </w:pPr>
      <w:r>
        <w:t xml:space="preserve">Table </w:t>
      </w:r>
      <w:bookmarkStart w:id="3" w:name="_Ref164168987"/>
      <w:r>
        <w:fldChar w:fldCharType="begin"/>
      </w:r>
      <w:r>
        <w:instrText xml:space="preserve"> SEQ Table \* ARABIC </w:instrText>
      </w:r>
      <w:r>
        <w:fldChar w:fldCharType="separate"/>
      </w:r>
      <w:r>
        <w:rPr>
          <w:noProof/>
        </w:rPr>
        <w:t>1</w:t>
      </w:r>
      <w:r>
        <w:fldChar w:fldCharType="end"/>
      </w:r>
      <w:bookmarkEnd w:id="3"/>
      <w:r>
        <w:tab/>
        <w:t>MSAC’s supported MBS item descriptor</w:t>
      </w:r>
    </w:p>
    <w:tbl>
      <w:tblPr>
        <w:tblStyle w:val="TableGrid"/>
        <w:tblpPr w:leftFromText="180" w:rightFromText="180" w:vertAnchor="text" w:horzAnchor="margin" w:tblpY="49"/>
        <w:tblW w:w="5000" w:type="pct"/>
        <w:tblLook w:val="04A0" w:firstRow="1" w:lastRow="0" w:firstColumn="1" w:lastColumn="0" w:noHBand="0" w:noVBand="1"/>
        <w:tblCaption w:val="Proposed item descriptor for diagnostic testing"/>
        <w:tblDescription w:val="Proposed item descriptor for diagnostic testing"/>
      </w:tblPr>
      <w:tblGrid>
        <w:gridCol w:w="9016"/>
      </w:tblGrid>
      <w:tr w:rsidR="000B2954" w14:paraId="1B9BD4F0" w14:textId="77777777">
        <w:trPr>
          <w:cantSplit/>
          <w:trHeight w:val="350"/>
          <w:tblHeader/>
        </w:trPr>
        <w:tc>
          <w:tcPr>
            <w:tcW w:w="5000" w:type="pct"/>
            <w:tcBorders>
              <w:top w:val="single" w:sz="4" w:space="0" w:color="auto"/>
              <w:left w:val="single" w:sz="4" w:space="0" w:color="auto"/>
              <w:bottom w:val="single" w:sz="4" w:space="0" w:color="auto"/>
              <w:right w:val="single" w:sz="4" w:space="0" w:color="auto"/>
            </w:tcBorders>
            <w:hideMark/>
          </w:tcPr>
          <w:p w14:paraId="08C5E18C" w14:textId="77777777" w:rsidR="000B2954" w:rsidRDefault="000B2954">
            <w:pPr>
              <w:pStyle w:val="TableText"/>
              <w:jc w:val="right"/>
              <w:rPr>
                <w:szCs w:val="20"/>
              </w:rPr>
            </w:pPr>
            <w:r>
              <w:t xml:space="preserve">Category 3 – </w:t>
            </w:r>
            <w:r>
              <w:rPr>
                <w:szCs w:val="20"/>
              </w:rPr>
              <w:t>THERAPEUTIC PROCEDURES</w:t>
            </w:r>
          </w:p>
          <w:p w14:paraId="2A6A5C93" w14:textId="77777777" w:rsidR="000B2954" w:rsidRDefault="000B2954">
            <w:pPr>
              <w:spacing w:before="40" w:after="40"/>
              <w:jc w:val="right"/>
              <w:rPr>
                <w:rFonts w:ascii="Arial Narrow" w:hAnsi="Arial Narrow"/>
                <w:sz w:val="20"/>
                <w:szCs w:val="20"/>
              </w:rPr>
            </w:pPr>
            <w:r>
              <w:rPr>
                <w:rFonts w:ascii="Arial Narrow" w:hAnsi="Arial Narrow"/>
                <w:sz w:val="20"/>
                <w:szCs w:val="20"/>
              </w:rPr>
              <w:t>Group T10 – Relative Value Guide For Anaesthesia – Medicare Benefits Are Only Payable For Anaesthesia Performed In Association With An Eligible Service</w:t>
            </w:r>
          </w:p>
          <w:p w14:paraId="4D6E4D64" w14:textId="77777777" w:rsidR="000B2954" w:rsidRDefault="000B2954">
            <w:pPr>
              <w:pStyle w:val="TableText"/>
              <w:jc w:val="right"/>
            </w:pPr>
            <w:r>
              <w:rPr>
                <w:szCs w:val="20"/>
              </w:rPr>
              <w:t>Subgroup 19 – Therapeutic And Diagnostic Services</w:t>
            </w:r>
          </w:p>
        </w:tc>
      </w:tr>
      <w:tr w:rsidR="000B2954" w14:paraId="5C238537" w14:textId="77777777">
        <w:trPr>
          <w:cantSplit/>
          <w:tblHeader/>
        </w:trPr>
        <w:tc>
          <w:tcPr>
            <w:tcW w:w="5000" w:type="pct"/>
            <w:tcBorders>
              <w:top w:val="single" w:sz="4" w:space="0" w:color="auto"/>
              <w:left w:val="single" w:sz="4" w:space="0" w:color="auto"/>
              <w:bottom w:val="single" w:sz="4" w:space="0" w:color="auto"/>
              <w:right w:val="single" w:sz="4" w:space="0" w:color="auto"/>
            </w:tcBorders>
            <w:hideMark/>
          </w:tcPr>
          <w:p w14:paraId="4444CC56" w14:textId="77777777" w:rsidR="000B2954" w:rsidRDefault="000B2954">
            <w:pPr>
              <w:spacing w:after="120"/>
              <w:rPr>
                <w:szCs w:val="20"/>
                <w:lang w:val="en-US" w:eastAsia="ja-JP"/>
              </w:rPr>
            </w:pPr>
            <w:r>
              <w:rPr>
                <w:rFonts w:ascii="Arial Narrow" w:hAnsi="Arial Narrow"/>
                <w:sz w:val="20"/>
                <w:szCs w:val="20"/>
                <w:lang w:val="en-US" w:eastAsia="ja-JP"/>
              </w:rPr>
              <w:t>MBS item AAAA</w:t>
            </w:r>
          </w:p>
          <w:p w14:paraId="1E5FCE38" w14:textId="77777777" w:rsidR="000B2954" w:rsidRDefault="000B2954">
            <w:pPr>
              <w:spacing w:after="120"/>
              <w:rPr>
                <w:rFonts w:ascii="Arial Narrow" w:hAnsi="Arial Narrow"/>
                <w:sz w:val="20"/>
                <w:szCs w:val="20"/>
              </w:rPr>
            </w:pPr>
            <w:r>
              <w:rPr>
                <w:rFonts w:ascii="Arial Narrow" w:hAnsi="Arial Narrow"/>
                <w:sz w:val="20"/>
                <w:szCs w:val="20"/>
              </w:rPr>
              <w:t xml:space="preserve">Perioperative introduction of a plexus or nerve block to a </w:t>
            </w:r>
            <w:r w:rsidRPr="008E617D">
              <w:rPr>
                <w:rFonts w:ascii="Arial Narrow" w:hAnsi="Arial Narrow"/>
                <w:sz w:val="20"/>
                <w:szCs w:val="20"/>
              </w:rPr>
              <w:t>peripheral</w:t>
            </w:r>
            <w:r>
              <w:rPr>
                <w:rFonts w:ascii="Arial Narrow" w:hAnsi="Arial Narrow"/>
                <w:sz w:val="20"/>
                <w:szCs w:val="20"/>
              </w:rPr>
              <w:t xml:space="preserve"> nerve, using an </w:t>
            </w:r>
            <w:r w:rsidRPr="008E617D">
              <w:rPr>
                <w:rFonts w:ascii="Arial Narrow" w:hAnsi="Arial Narrow"/>
                <w:sz w:val="20"/>
                <w:szCs w:val="20"/>
              </w:rPr>
              <w:t xml:space="preserve">in situ </w:t>
            </w:r>
            <w:r>
              <w:rPr>
                <w:rFonts w:ascii="Arial Narrow" w:hAnsi="Arial Narrow"/>
                <w:sz w:val="20"/>
                <w:szCs w:val="20"/>
              </w:rPr>
              <w:t>catheter in association with anaesthesia and surgery, for post operative pain management (4 basic units).</w:t>
            </w:r>
          </w:p>
          <w:p w14:paraId="5C76FF0D" w14:textId="77777777" w:rsidR="000B2954" w:rsidRDefault="000B2954">
            <w:pPr>
              <w:spacing w:after="120"/>
              <w:rPr>
                <w:rFonts w:ascii="Arial Narrow" w:hAnsi="Arial Narrow"/>
                <w:sz w:val="20"/>
                <w:szCs w:val="20"/>
              </w:rPr>
            </w:pPr>
            <w:r>
              <w:rPr>
                <w:rFonts w:ascii="Arial Narrow" w:hAnsi="Arial Narrow"/>
                <w:sz w:val="20"/>
                <w:szCs w:val="20"/>
              </w:rPr>
              <w:t xml:space="preserve">(See para TN.10.17 of explanatory </w:t>
            </w:r>
            <w:r w:rsidRPr="008E617D">
              <w:rPr>
                <w:rFonts w:ascii="Arial Narrow" w:hAnsi="Arial Narrow"/>
                <w:sz w:val="20"/>
                <w:szCs w:val="20"/>
              </w:rPr>
              <w:t>note</w:t>
            </w:r>
            <w:r w:rsidRPr="00210D50">
              <w:rPr>
                <w:rFonts w:ascii="Arial Narrow" w:hAnsi="Arial Narrow"/>
                <w:sz w:val="20"/>
                <w:szCs w:val="20"/>
              </w:rPr>
              <w:t>s</w:t>
            </w:r>
            <w:r>
              <w:rPr>
                <w:rFonts w:ascii="Arial Narrow" w:hAnsi="Arial Narrow"/>
                <w:sz w:val="20"/>
                <w:szCs w:val="20"/>
              </w:rPr>
              <w:t xml:space="preserve"> to this Category)</w:t>
            </w:r>
          </w:p>
        </w:tc>
      </w:tr>
      <w:tr w:rsidR="000B2954" w14:paraId="60F1FF56" w14:textId="77777777">
        <w:trPr>
          <w:cantSplit/>
          <w:trHeight w:val="223"/>
          <w:tblHeader/>
        </w:trPr>
        <w:tc>
          <w:tcPr>
            <w:tcW w:w="5000" w:type="pct"/>
            <w:tcBorders>
              <w:top w:val="single" w:sz="4" w:space="0" w:color="auto"/>
              <w:left w:val="single" w:sz="4" w:space="0" w:color="auto"/>
              <w:bottom w:val="single" w:sz="4" w:space="0" w:color="auto"/>
              <w:right w:val="single" w:sz="4" w:space="0" w:color="auto"/>
            </w:tcBorders>
            <w:hideMark/>
          </w:tcPr>
          <w:p w14:paraId="59BA739C" w14:textId="2A9B9C8B" w:rsidR="000B2954" w:rsidRDefault="000B2954">
            <w:pPr>
              <w:pStyle w:val="TableText"/>
            </w:pPr>
            <w:r>
              <w:rPr>
                <w:b/>
                <w:bCs/>
              </w:rPr>
              <w:t>Fee:</w:t>
            </w:r>
            <w:r>
              <w:t xml:space="preserve"> $8</w:t>
            </w:r>
            <w:r w:rsidR="00365EED">
              <w:t>7.20</w:t>
            </w:r>
            <w:r>
              <w:t xml:space="preserve">   </w:t>
            </w:r>
            <w:r>
              <w:rPr>
                <w:b/>
                <w:bCs/>
              </w:rPr>
              <w:t>Benefit:</w:t>
            </w:r>
            <w:r>
              <w:t xml:space="preserve"> 75% = $6</w:t>
            </w:r>
            <w:r w:rsidR="00B413BB">
              <w:t>5.40</w:t>
            </w:r>
          </w:p>
        </w:tc>
      </w:tr>
    </w:tbl>
    <w:p w14:paraId="021D132E" w14:textId="162520C3" w:rsidR="003D7221" w:rsidRPr="000B2954" w:rsidRDefault="000B2954" w:rsidP="00296466">
      <w:pPr>
        <w:rPr>
          <w:rFonts w:ascii="Arial Narrow" w:hAnsi="Arial Narrow"/>
          <w:iCs/>
          <w:sz w:val="18"/>
          <w:szCs w:val="18"/>
        </w:rPr>
      </w:pPr>
      <w:r w:rsidRPr="008E617D">
        <w:rPr>
          <w:rFonts w:ascii="Arial Narrow" w:hAnsi="Arial Narrow"/>
          <w:iCs/>
          <w:sz w:val="18"/>
          <w:szCs w:val="18"/>
        </w:rPr>
        <w:t>Note: 75% benefit is payable for treatment of hospital inpatients</w:t>
      </w:r>
      <w:r w:rsidR="008C06C5">
        <w:rPr>
          <w:rFonts w:ascii="Arial Narrow" w:hAnsi="Arial Narrow"/>
          <w:iCs/>
          <w:sz w:val="18"/>
          <w:szCs w:val="18"/>
        </w:rPr>
        <w:t xml:space="preserve">. </w:t>
      </w:r>
      <w:r w:rsidR="00DE4F18">
        <w:rPr>
          <w:rFonts w:ascii="Arial Narrow" w:hAnsi="Arial Narrow"/>
          <w:iCs/>
          <w:sz w:val="18"/>
          <w:szCs w:val="18"/>
        </w:rPr>
        <w:t>$87.20</w:t>
      </w:r>
      <w:r w:rsidR="00FD0980">
        <w:rPr>
          <w:rFonts w:ascii="Arial Narrow" w:hAnsi="Arial Narrow"/>
          <w:iCs/>
          <w:sz w:val="18"/>
          <w:szCs w:val="18"/>
        </w:rPr>
        <w:t xml:space="preserve"> </w:t>
      </w:r>
      <w:r w:rsidR="00A41E55">
        <w:rPr>
          <w:rFonts w:ascii="Arial Narrow" w:hAnsi="Arial Narrow"/>
          <w:iCs/>
          <w:sz w:val="18"/>
          <w:szCs w:val="18"/>
        </w:rPr>
        <w:t>represents</w:t>
      </w:r>
      <w:r w:rsidR="00FD0980">
        <w:rPr>
          <w:rFonts w:ascii="Arial Narrow" w:hAnsi="Arial Narrow"/>
          <w:iCs/>
          <w:sz w:val="18"/>
          <w:szCs w:val="18"/>
        </w:rPr>
        <w:t xml:space="preserve"> 4 units as at </w:t>
      </w:r>
      <w:r w:rsidR="00367B69">
        <w:rPr>
          <w:rFonts w:ascii="Arial Narrow" w:hAnsi="Arial Narrow"/>
          <w:iCs/>
          <w:sz w:val="18"/>
          <w:szCs w:val="18"/>
        </w:rPr>
        <w:t>1 November 2023</w:t>
      </w:r>
      <w:r w:rsidR="00FD0980">
        <w:rPr>
          <w:rFonts w:ascii="Arial Narrow" w:hAnsi="Arial Narrow"/>
          <w:iCs/>
          <w:sz w:val="18"/>
          <w:szCs w:val="18"/>
        </w:rPr>
        <w:t>.</w:t>
      </w:r>
    </w:p>
    <w:tbl>
      <w:tblPr>
        <w:tblStyle w:val="TableGrid"/>
        <w:tblW w:w="0" w:type="auto"/>
        <w:tblLook w:val="04A0" w:firstRow="1" w:lastRow="0" w:firstColumn="1" w:lastColumn="0" w:noHBand="0" w:noVBand="1"/>
        <w:tblDescription w:val="Consumer summary of MSAC consideration"/>
      </w:tblPr>
      <w:tblGrid>
        <w:gridCol w:w="9016"/>
      </w:tblGrid>
      <w:tr w:rsidR="00746DD1" w14:paraId="4B36ECA2" w14:textId="77777777" w:rsidTr="4E45DAD9">
        <w:trPr>
          <w:tblHeader/>
        </w:trPr>
        <w:tc>
          <w:tcPr>
            <w:tcW w:w="9016" w:type="dxa"/>
            <w:tcBorders>
              <w:top w:val="single" w:sz="4" w:space="0" w:color="auto"/>
              <w:left w:val="single" w:sz="4" w:space="0" w:color="auto"/>
              <w:bottom w:val="single" w:sz="4" w:space="0" w:color="auto"/>
              <w:right w:val="single" w:sz="4" w:space="0" w:color="auto"/>
            </w:tcBorders>
            <w:hideMark/>
          </w:tcPr>
          <w:p w14:paraId="72874A36" w14:textId="77777777" w:rsidR="00746DD1" w:rsidRDefault="00746DD1" w:rsidP="00D26786">
            <w:pPr>
              <w:pStyle w:val="Heading3"/>
              <w:numPr>
                <w:ilvl w:val="0"/>
                <w:numId w:val="0"/>
              </w:numPr>
              <w:spacing w:before="120" w:after="120"/>
              <w:rPr>
                <w:rFonts w:eastAsiaTheme="minorHAnsi" w:cstheme="minorBidi"/>
                <w:iCs/>
              </w:rPr>
            </w:pPr>
            <w:r>
              <w:lastRenderedPageBreak/>
              <w:t>Consumer summary</w:t>
            </w:r>
          </w:p>
        </w:tc>
      </w:tr>
      <w:tr w:rsidR="00746DD1" w14:paraId="67DB3730" w14:textId="77777777" w:rsidTr="4E45DAD9">
        <w:tc>
          <w:tcPr>
            <w:tcW w:w="9016" w:type="dxa"/>
            <w:tcBorders>
              <w:top w:val="single" w:sz="4" w:space="0" w:color="auto"/>
              <w:left w:val="single" w:sz="4" w:space="0" w:color="auto"/>
              <w:bottom w:val="single" w:sz="4" w:space="0" w:color="auto"/>
              <w:right w:val="single" w:sz="4" w:space="0" w:color="auto"/>
            </w:tcBorders>
            <w:hideMark/>
          </w:tcPr>
          <w:p w14:paraId="1520D5CD" w14:textId="35412E25" w:rsidR="00746DD1" w:rsidRDefault="00746DD1">
            <w:pPr>
              <w:spacing w:after="0"/>
              <w:rPr>
                <w:rFonts w:ascii="Franklin Gothic Book" w:hAnsi="Franklin Gothic Book"/>
              </w:rPr>
            </w:pPr>
            <w:r w:rsidRPr="00614D01">
              <w:rPr>
                <w:rFonts w:ascii="Franklin Gothic Book" w:hAnsi="Franklin Gothic Book"/>
              </w:rPr>
              <w:t xml:space="preserve">This </w:t>
            </w:r>
            <w:r w:rsidR="00F32875">
              <w:rPr>
                <w:rFonts w:ascii="Franklin Gothic Book" w:hAnsi="Franklin Gothic Book"/>
              </w:rPr>
              <w:t>wa</w:t>
            </w:r>
            <w:r w:rsidRPr="00614D01">
              <w:rPr>
                <w:rFonts w:ascii="Franklin Gothic Book" w:hAnsi="Franklin Gothic Book"/>
              </w:rPr>
              <w:t>s an application from the Australian Society of Anaesthetists requesting Medicare Benefits Schedule (MBS) listing of continuous peripheral nerve block for moderate to severe pain after surgery.</w:t>
            </w:r>
          </w:p>
          <w:p w14:paraId="27B6CFDF" w14:textId="7A63642D" w:rsidR="00746DD1" w:rsidRDefault="00090605" w:rsidP="00D26786">
            <w:pPr>
              <w:spacing w:before="240" w:after="0"/>
              <w:rPr>
                <w:rFonts w:ascii="Franklin Gothic Book" w:hAnsi="Franklin Gothic Book"/>
              </w:rPr>
            </w:pPr>
            <w:r>
              <w:rPr>
                <w:rFonts w:ascii="Franklin Gothic Book" w:hAnsi="Franklin Gothic Book"/>
              </w:rPr>
              <w:t xml:space="preserve">Nerves </w:t>
            </w:r>
            <w:r w:rsidR="00546CF7">
              <w:rPr>
                <w:rFonts w:ascii="Franklin Gothic Book" w:hAnsi="Franklin Gothic Book"/>
              </w:rPr>
              <w:t>are like the electrical wires of the body</w:t>
            </w:r>
            <w:r w:rsidR="00F6556D">
              <w:rPr>
                <w:rFonts w:ascii="Franklin Gothic Book" w:hAnsi="Franklin Gothic Book"/>
              </w:rPr>
              <w:t>, passing</w:t>
            </w:r>
            <w:r w:rsidR="00546CF7">
              <w:rPr>
                <w:rFonts w:ascii="Franklin Gothic Book" w:hAnsi="Franklin Gothic Book"/>
              </w:rPr>
              <w:t xml:space="preserve"> signals </w:t>
            </w:r>
            <w:r w:rsidR="00AE0E16">
              <w:rPr>
                <w:rFonts w:ascii="Franklin Gothic Book" w:hAnsi="Franklin Gothic Book"/>
              </w:rPr>
              <w:t>and information</w:t>
            </w:r>
            <w:r w:rsidR="00546CF7">
              <w:rPr>
                <w:rFonts w:ascii="Franklin Gothic Book" w:hAnsi="Franklin Gothic Book"/>
              </w:rPr>
              <w:t xml:space="preserve"> </w:t>
            </w:r>
            <w:r w:rsidR="00F6556D">
              <w:rPr>
                <w:rFonts w:ascii="Franklin Gothic Book" w:hAnsi="Franklin Gothic Book"/>
              </w:rPr>
              <w:t xml:space="preserve">(such as </w:t>
            </w:r>
            <w:r w:rsidR="00546CF7">
              <w:rPr>
                <w:rFonts w:ascii="Franklin Gothic Book" w:hAnsi="Franklin Gothic Book"/>
              </w:rPr>
              <w:t>pain</w:t>
            </w:r>
            <w:r w:rsidR="00D93F3A">
              <w:rPr>
                <w:rFonts w:ascii="Franklin Gothic Book" w:hAnsi="Franklin Gothic Book"/>
              </w:rPr>
              <w:t xml:space="preserve"> or</w:t>
            </w:r>
            <w:r w:rsidR="00990DC0">
              <w:rPr>
                <w:rFonts w:ascii="Franklin Gothic Book" w:hAnsi="Franklin Gothic Book"/>
              </w:rPr>
              <w:t xml:space="preserve"> temperature</w:t>
            </w:r>
            <w:r w:rsidR="00F6556D">
              <w:rPr>
                <w:rFonts w:ascii="Franklin Gothic Book" w:hAnsi="Franklin Gothic Book"/>
              </w:rPr>
              <w:t>)</w:t>
            </w:r>
            <w:r w:rsidR="0071552D">
              <w:rPr>
                <w:rFonts w:ascii="Franklin Gothic Book" w:hAnsi="Franklin Gothic Book"/>
              </w:rPr>
              <w:t xml:space="preserve"> from </w:t>
            </w:r>
            <w:r w:rsidR="00F6556D">
              <w:rPr>
                <w:rFonts w:ascii="Franklin Gothic Book" w:hAnsi="Franklin Gothic Book"/>
              </w:rPr>
              <w:t xml:space="preserve">the body </w:t>
            </w:r>
            <w:r w:rsidR="00867B65">
              <w:rPr>
                <w:rFonts w:ascii="Franklin Gothic Book" w:hAnsi="Franklin Gothic Book"/>
              </w:rPr>
              <w:t>to the brain</w:t>
            </w:r>
            <w:r w:rsidR="001F2759">
              <w:rPr>
                <w:rFonts w:ascii="Franklin Gothic Book" w:hAnsi="Franklin Gothic Book"/>
              </w:rPr>
              <w:t xml:space="preserve">, where the </w:t>
            </w:r>
            <w:r w:rsidR="00612562">
              <w:rPr>
                <w:rFonts w:ascii="Franklin Gothic Book" w:hAnsi="Franklin Gothic Book"/>
              </w:rPr>
              <w:t>information is</w:t>
            </w:r>
            <w:r w:rsidR="001F2759">
              <w:rPr>
                <w:rFonts w:ascii="Franklin Gothic Book" w:hAnsi="Franklin Gothic Book"/>
              </w:rPr>
              <w:t xml:space="preserve"> </w:t>
            </w:r>
            <w:r w:rsidR="00C70225">
              <w:rPr>
                <w:rFonts w:ascii="Franklin Gothic Book" w:hAnsi="Franklin Gothic Book"/>
              </w:rPr>
              <w:t>interpreted</w:t>
            </w:r>
            <w:r w:rsidR="005B4B51">
              <w:rPr>
                <w:rFonts w:ascii="Franklin Gothic Book" w:hAnsi="Franklin Gothic Book"/>
              </w:rPr>
              <w:t xml:space="preserve"> and </w:t>
            </w:r>
            <w:r w:rsidR="00C70225">
              <w:rPr>
                <w:rFonts w:ascii="Franklin Gothic Book" w:hAnsi="Franklin Gothic Book"/>
              </w:rPr>
              <w:t>felt</w:t>
            </w:r>
            <w:r w:rsidR="00CA204A">
              <w:rPr>
                <w:rFonts w:ascii="Franklin Gothic Book" w:hAnsi="Franklin Gothic Book"/>
              </w:rPr>
              <w:t xml:space="preserve"> by </w:t>
            </w:r>
            <w:r w:rsidR="00C70225">
              <w:rPr>
                <w:rFonts w:ascii="Franklin Gothic Book" w:hAnsi="Franklin Gothic Book"/>
              </w:rPr>
              <w:t>the</w:t>
            </w:r>
            <w:r w:rsidR="00CA204A">
              <w:rPr>
                <w:rFonts w:ascii="Franklin Gothic Book" w:hAnsi="Franklin Gothic Book"/>
              </w:rPr>
              <w:t xml:space="preserve"> person</w:t>
            </w:r>
            <w:r w:rsidR="00546CF7">
              <w:rPr>
                <w:rFonts w:ascii="Franklin Gothic Book" w:hAnsi="Franklin Gothic Book"/>
              </w:rPr>
              <w:t>.</w:t>
            </w:r>
            <w:r w:rsidR="00746DD1" w:rsidRPr="00614D01">
              <w:rPr>
                <w:rFonts w:ascii="Franklin Gothic Book" w:hAnsi="Franklin Gothic Book"/>
              </w:rPr>
              <w:t xml:space="preserve"> </w:t>
            </w:r>
            <w:r w:rsidR="00F32875">
              <w:rPr>
                <w:rFonts w:ascii="Franklin Gothic Book" w:hAnsi="Franklin Gothic Book"/>
              </w:rPr>
              <w:t xml:space="preserve">A nerve block is </w:t>
            </w:r>
            <w:r w:rsidR="00FD53EC">
              <w:rPr>
                <w:rFonts w:ascii="Franklin Gothic Book" w:hAnsi="Franklin Gothic Book"/>
              </w:rPr>
              <w:t xml:space="preserve">a procedure </w:t>
            </w:r>
            <w:r w:rsidR="00987AD0">
              <w:rPr>
                <w:rFonts w:ascii="Franklin Gothic Book" w:hAnsi="Franklin Gothic Book"/>
              </w:rPr>
              <w:t xml:space="preserve">to relieve </w:t>
            </w:r>
            <w:r w:rsidR="00ED789C">
              <w:rPr>
                <w:rFonts w:ascii="Franklin Gothic Book" w:hAnsi="Franklin Gothic Book"/>
              </w:rPr>
              <w:t xml:space="preserve">pain </w:t>
            </w:r>
            <w:r w:rsidR="002A751B">
              <w:rPr>
                <w:rFonts w:ascii="Franklin Gothic Book" w:hAnsi="Franklin Gothic Book"/>
              </w:rPr>
              <w:t>and</w:t>
            </w:r>
            <w:r w:rsidR="0071148E">
              <w:rPr>
                <w:rFonts w:ascii="Franklin Gothic Book" w:hAnsi="Franklin Gothic Book"/>
              </w:rPr>
              <w:t xml:space="preserve"> </w:t>
            </w:r>
            <w:r w:rsidR="002D3699">
              <w:rPr>
                <w:rFonts w:ascii="Franklin Gothic Book" w:hAnsi="Franklin Gothic Book"/>
              </w:rPr>
              <w:t xml:space="preserve">involves </w:t>
            </w:r>
            <w:r w:rsidR="00746DD1" w:rsidRPr="00614D01">
              <w:rPr>
                <w:rFonts w:ascii="Franklin Gothic Book" w:hAnsi="Franklin Gothic Book"/>
              </w:rPr>
              <w:t>medicine</w:t>
            </w:r>
            <w:r w:rsidR="00D27D2A">
              <w:rPr>
                <w:rFonts w:ascii="Franklin Gothic Book" w:hAnsi="Franklin Gothic Book"/>
              </w:rPr>
              <w:t xml:space="preserve"> such as a local anaesthetic</w:t>
            </w:r>
            <w:r w:rsidR="00746DD1" w:rsidRPr="00614D01">
              <w:rPr>
                <w:rFonts w:ascii="Franklin Gothic Book" w:hAnsi="Franklin Gothic Book"/>
              </w:rPr>
              <w:t xml:space="preserve"> </w:t>
            </w:r>
            <w:r w:rsidR="00041A67">
              <w:rPr>
                <w:rFonts w:ascii="Franklin Gothic Book" w:hAnsi="Franklin Gothic Book"/>
              </w:rPr>
              <w:t>being</w:t>
            </w:r>
            <w:r w:rsidR="00D5675F">
              <w:rPr>
                <w:rFonts w:ascii="Franklin Gothic Book" w:hAnsi="Franklin Gothic Book"/>
              </w:rPr>
              <w:t xml:space="preserve"> injected </w:t>
            </w:r>
            <w:r w:rsidR="00041A67">
              <w:rPr>
                <w:rFonts w:ascii="Franklin Gothic Book" w:hAnsi="Franklin Gothic Book"/>
              </w:rPr>
              <w:t xml:space="preserve">around a nerve to </w:t>
            </w:r>
            <w:r w:rsidR="00805098">
              <w:rPr>
                <w:rFonts w:ascii="Franklin Gothic Book" w:hAnsi="Franklin Gothic Book"/>
              </w:rPr>
              <w:t>prevent</w:t>
            </w:r>
            <w:r w:rsidR="00746DD1" w:rsidRPr="00614D01">
              <w:rPr>
                <w:rFonts w:ascii="Franklin Gothic Book" w:hAnsi="Franklin Gothic Book"/>
              </w:rPr>
              <w:t xml:space="preserve"> pain </w:t>
            </w:r>
            <w:r w:rsidR="00B31BC4">
              <w:rPr>
                <w:rFonts w:ascii="Franklin Gothic Book" w:hAnsi="Franklin Gothic Book"/>
              </w:rPr>
              <w:t>signals</w:t>
            </w:r>
            <w:r w:rsidR="00746DD1" w:rsidRPr="00614D01">
              <w:rPr>
                <w:rFonts w:ascii="Franklin Gothic Book" w:hAnsi="Franklin Gothic Book"/>
              </w:rPr>
              <w:t xml:space="preserve"> from</w:t>
            </w:r>
            <w:r w:rsidR="00BB4D8D">
              <w:rPr>
                <w:rFonts w:ascii="Franklin Gothic Book" w:hAnsi="Franklin Gothic Book"/>
              </w:rPr>
              <w:t xml:space="preserve"> </w:t>
            </w:r>
            <w:r w:rsidR="006D1E7B">
              <w:rPr>
                <w:rFonts w:ascii="Franklin Gothic Book" w:hAnsi="Franklin Gothic Book"/>
              </w:rPr>
              <w:t>reaching the brain</w:t>
            </w:r>
            <w:r w:rsidR="00E111A2">
              <w:rPr>
                <w:rFonts w:ascii="Franklin Gothic Book" w:hAnsi="Franklin Gothic Book"/>
              </w:rPr>
              <w:t xml:space="preserve"> and </w:t>
            </w:r>
            <w:r w:rsidR="00A94F4B">
              <w:rPr>
                <w:rFonts w:ascii="Franklin Gothic Book" w:hAnsi="Franklin Gothic Book"/>
              </w:rPr>
              <w:t>stop a person feeling pain</w:t>
            </w:r>
            <w:r w:rsidR="00C82D98">
              <w:rPr>
                <w:rFonts w:ascii="Franklin Gothic Book" w:hAnsi="Franklin Gothic Book"/>
              </w:rPr>
              <w:t>.</w:t>
            </w:r>
            <w:r w:rsidR="00746DD1" w:rsidRPr="00614D01">
              <w:rPr>
                <w:rFonts w:ascii="Franklin Gothic Book" w:hAnsi="Franklin Gothic Book"/>
              </w:rPr>
              <w:t xml:space="preserve"> </w:t>
            </w:r>
            <w:r w:rsidR="00C5105C">
              <w:rPr>
                <w:rFonts w:ascii="Franklin Gothic Book" w:hAnsi="Franklin Gothic Book"/>
              </w:rPr>
              <w:t xml:space="preserve">This leads to </w:t>
            </w:r>
            <w:r w:rsidR="00746DD1" w:rsidRPr="00614D01">
              <w:rPr>
                <w:rFonts w:ascii="Franklin Gothic Book" w:hAnsi="Franklin Gothic Book"/>
              </w:rPr>
              <w:t xml:space="preserve">numbing </w:t>
            </w:r>
            <w:r w:rsidR="00C5105C">
              <w:rPr>
                <w:rFonts w:ascii="Franklin Gothic Book" w:hAnsi="Franklin Gothic Book"/>
              </w:rPr>
              <w:t>of</w:t>
            </w:r>
            <w:r w:rsidR="0037751C">
              <w:rPr>
                <w:rFonts w:ascii="Franklin Gothic Book" w:hAnsi="Franklin Gothic Book"/>
              </w:rPr>
              <w:t xml:space="preserve"> </w:t>
            </w:r>
            <w:r w:rsidR="00746DD1" w:rsidRPr="00614D01">
              <w:rPr>
                <w:rFonts w:ascii="Franklin Gothic Book" w:hAnsi="Franklin Gothic Book"/>
              </w:rPr>
              <w:t xml:space="preserve">specific areas of the body. Nerve blocks can </w:t>
            </w:r>
            <w:r w:rsidR="00195E22">
              <w:rPr>
                <w:rFonts w:ascii="Franklin Gothic Book" w:hAnsi="Franklin Gothic Book"/>
              </w:rPr>
              <w:t>last for a short amount of time</w:t>
            </w:r>
            <w:r w:rsidR="00746DD1" w:rsidRPr="00614D01">
              <w:rPr>
                <w:rFonts w:ascii="Franklin Gothic Book" w:hAnsi="Franklin Gothic Book"/>
              </w:rPr>
              <w:t xml:space="preserve"> (such as a single-injection nerve block) or </w:t>
            </w:r>
            <w:r w:rsidR="00195E22">
              <w:rPr>
                <w:rFonts w:ascii="Franklin Gothic Book" w:hAnsi="Franklin Gothic Book"/>
              </w:rPr>
              <w:t xml:space="preserve">be </w:t>
            </w:r>
            <w:r w:rsidR="00746DD1" w:rsidRPr="00614D01">
              <w:rPr>
                <w:rFonts w:ascii="Franklin Gothic Book" w:hAnsi="Franklin Gothic Book"/>
              </w:rPr>
              <w:t>longer lasting. Th</w:t>
            </w:r>
            <w:r w:rsidR="00F32875">
              <w:rPr>
                <w:rFonts w:ascii="Franklin Gothic Book" w:hAnsi="Franklin Gothic Book"/>
              </w:rPr>
              <w:t xml:space="preserve">is application proposed </w:t>
            </w:r>
            <w:r w:rsidR="00E14400">
              <w:rPr>
                <w:rFonts w:ascii="Franklin Gothic Book" w:hAnsi="Franklin Gothic Book"/>
              </w:rPr>
              <w:t xml:space="preserve">MBS funding of a </w:t>
            </w:r>
            <w:r w:rsidR="00746DD1" w:rsidRPr="00614D01">
              <w:rPr>
                <w:rFonts w:ascii="Franklin Gothic Book" w:hAnsi="Franklin Gothic Book"/>
              </w:rPr>
              <w:t>continuous peripheral nerve block,</w:t>
            </w:r>
            <w:r w:rsidR="00746DD1">
              <w:rPr>
                <w:rFonts w:ascii="Franklin Gothic Book" w:hAnsi="Franklin Gothic Book"/>
              </w:rPr>
              <w:t xml:space="preserve"> </w:t>
            </w:r>
            <w:r w:rsidR="00E14400">
              <w:rPr>
                <w:rFonts w:ascii="Franklin Gothic Book" w:hAnsi="Franklin Gothic Book"/>
              </w:rPr>
              <w:t xml:space="preserve">which is </w:t>
            </w:r>
            <w:r w:rsidR="00746DD1" w:rsidRPr="00614D01">
              <w:rPr>
                <w:rFonts w:ascii="Franklin Gothic Book" w:hAnsi="Franklin Gothic Book"/>
              </w:rPr>
              <w:t>used for long</w:t>
            </w:r>
            <w:r w:rsidR="003D29C0">
              <w:rPr>
                <w:rFonts w:ascii="Franklin Gothic Book" w:hAnsi="Franklin Gothic Book"/>
              </w:rPr>
              <w:t>er</w:t>
            </w:r>
            <w:r w:rsidR="00746DD1" w:rsidRPr="00614D01">
              <w:rPr>
                <w:rFonts w:ascii="Franklin Gothic Book" w:hAnsi="Franklin Gothic Book"/>
              </w:rPr>
              <w:t xml:space="preserve">-lasting pain relief. </w:t>
            </w:r>
            <w:r w:rsidR="00F32875">
              <w:rPr>
                <w:rFonts w:ascii="Franklin Gothic Book" w:hAnsi="Franklin Gothic Book"/>
              </w:rPr>
              <w:t>“</w:t>
            </w:r>
            <w:r w:rsidR="009F394A">
              <w:rPr>
                <w:rFonts w:ascii="Franklin Gothic Book" w:hAnsi="Franklin Gothic Book"/>
              </w:rPr>
              <w:t>P</w:t>
            </w:r>
            <w:r w:rsidR="00746DD1" w:rsidRPr="00614D01">
              <w:rPr>
                <w:rFonts w:ascii="Franklin Gothic Book" w:hAnsi="Franklin Gothic Book"/>
              </w:rPr>
              <w:t>eripheral</w:t>
            </w:r>
            <w:r w:rsidR="00F32875">
              <w:rPr>
                <w:rFonts w:ascii="Franklin Gothic Book" w:hAnsi="Franklin Gothic Book"/>
              </w:rPr>
              <w:t>”</w:t>
            </w:r>
            <w:r w:rsidR="00746DD1" w:rsidRPr="00614D01">
              <w:rPr>
                <w:rFonts w:ascii="Franklin Gothic Book" w:hAnsi="Franklin Gothic Book"/>
              </w:rPr>
              <w:t xml:space="preserve"> </w:t>
            </w:r>
            <w:r w:rsidR="00F32875">
              <w:rPr>
                <w:rFonts w:ascii="Franklin Gothic Book" w:hAnsi="Franklin Gothic Book"/>
              </w:rPr>
              <w:t>means it is for nerves</w:t>
            </w:r>
            <w:r w:rsidR="00746DD1" w:rsidRPr="00614D01">
              <w:rPr>
                <w:rFonts w:ascii="Franklin Gothic Book" w:hAnsi="Franklin Gothic Book"/>
              </w:rPr>
              <w:t xml:space="preserve"> located outside </w:t>
            </w:r>
            <w:r w:rsidR="009F47A5">
              <w:rPr>
                <w:rFonts w:ascii="Franklin Gothic Book" w:hAnsi="Franklin Gothic Book"/>
              </w:rPr>
              <w:t xml:space="preserve">of </w:t>
            </w:r>
            <w:r w:rsidR="00746DD1" w:rsidRPr="00614D01">
              <w:rPr>
                <w:rFonts w:ascii="Franklin Gothic Book" w:hAnsi="Franklin Gothic Book"/>
              </w:rPr>
              <w:t>the brain and spinal cord</w:t>
            </w:r>
            <w:r w:rsidR="00F32875">
              <w:rPr>
                <w:rFonts w:ascii="Franklin Gothic Book" w:hAnsi="Franklin Gothic Book"/>
              </w:rPr>
              <w:t xml:space="preserve">, </w:t>
            </w:r>
            <w:r w:rsidR="009F394A">
              <w:rPr>
                <w:rFonts w:ascii="Franklin Gothic Book" w:hAnsi="Franklin Gothic Book"/>
              </w:rPr>
              <w:t>such as</w:t>
            </w:r>
            <w:r w:rsidR="00F32875">
              <w:rPr>
                <w:rFonts w:ascii="Franklin Gothic Book" w:hAnsi="Franklin Gothic Book"/>
              </w:rPr>
              <w:t xml:space="preserve"> in </w:t>
            </w:r>
            <w:r w:rsidR="00E14400">
              <w:rPr>
                <w:rFonts w:ascii="Franklin Gothic Book" w:hAnsi="Franklin Gothic Book"/>
              </w:rPr>
              <w:t>the</w:t>
            </w:r>
            <w:r w:rsidR="00F32875">
              <w:rPr>
                <w:rFonts w:ascii="Franklin Gothic Book" w:hAnsi="Franklin Gothic Book"/>
              </w:rPr>
              <w:t xml:space="preserve"> arm or leg</w:t>
            </w:r>
            <w:r w:rsidR="00746DD1" w:rsidRPr="00614D01">
              <w:rPr>
                <w:rFonts w:ascii="Franklin Gothic Book" w:hAnsi="Franklin Gothic Book"/>
              </w:rPr>
              <w:t>.</w:t>
            </w:r>
          </w:p>
          <w:p w14:paraId="2B5172E8" w14:textId="75141649" w:rsidR="00746DD1" w:rsidRDefault="00746DD1" w:rsidP="00D26786">
            <w:pPr>
              <w:spacing w:before="240" w:after="0"/>
              <w:rPr>
                <w:rFonts w:ascii="Franklin Gothic Book" w:hAnsi="Franklin Gothic Book"/>
              </w:rPr>
            </w:pPr>
            <w:r w:rsidRPr="4E45DAD9">
              <w:rPr>
                <w:rFonts w:ascii="Franklin Gothic Book" w:hAnsi="Franklin Gothic Book"/>
              </w:rPr>
              <w:t xml:space="preserve">Continuous peripheral nerve block involves the insertion of a catheter (a thin, flexible tube) next to the target nerve, which is then used to deliver a continuous flow of pain medication to the affected nerve. </w:t>
            </w:r>
            <w:r w:rsidR="00CF6729" w:rsidRPr="4E45DAD9">
              <w:rPr>
                <w:rFonts w:ascii="Franklin Gothic Book" w:hAnsi="Franklin Gothic Book"/>
              </w:rPr>
              <w:t>Continuous nerve block was proposed as</w:t>
            </w:r>
            <w:r w:rsidRPr="4E45DAD9">
              <w:rPr>
                <w:rFonts w:ascii="Franklin Gothic Book" w:hAnsi="Franklin Gothic Book"/>
              </w:rPr>
              <w:t xml:space="preserve"> an alternative to </w:t>
            </w:r>
            <w:r w:rsidR="00CF6729" w:rsidRPr="4E45DAD9">
              <w:rPr>
                <w:rFonts w:ascii="Franklin Gothic Book" w:hAnsi="Franklin Gothic Book"/>
              </w:rPr>
              <w:t>current approaches such as a single</w:t>
            </w:r>
            <w:r w:rsidR="007E2115">
              <w:rPr>
                <w:rFonts w:ascii="Franklin Gothic Book" w:hAnsi="Franklin Gothic Book"/>
              </w:rPr>
              <w:t xml:space="preserve"> injection</w:t>
            </w:r>
            <w:r w:rsidR="00CF6729" w:rsidRPr="4E45DAD9">
              <w:rPr>
                <w:rFonts w:ascii="Franklin Gothic Book" w:hAnsi="Franklin Gothic Book"/>
              </w:rPr>
              <w:t xml:space="preserve"> nerve block or opioid medication</w:t>
            </w:r>
            <w:r w:rsidR="0037751C" w:rsidRPr="4E45DAD9">
              <w:rPr>
                <w:rFonts w:ascii="Franklin Gothic Book" w:hAnsi="Franklin Gothic Book"/>
              </w:rPr>
              <w:t xml:space="preserve"> such as morphine</w:t>
            </w:r>
            <w:r w:rsidR="00CF6729" w:rsidRPr="4E45DAD9">
              <w:rPr>
                <w:rFonts w:ascii="Franklin Gothic Book" w:hAnsi="Franklin Gothic Book"/>
              </w:rPr>
              <w:t xml:space="preserve">. </w:t>
            </w:r>
            <w:r w:rsidRPr="4E45DAD9">
              <w:rPr>
                <w:rFonts w:ascii="Franklin Gothic Book" w:hAnsi="Franklin Gothic Book"/>
              </w:rPr>
              <w:t xml:space="preserve">This application </w:t>
            </w:r>
            <w:r w:rsidR="00D31C8E" w:rsidRPr="4E45DAD9">
              <w:rPr>
                <w:rFonts w:ascii="Franklin Gothic Book" w:hAnsi="Franklin Gothic Book"/>
              </w:rPr>
              <w:t>wa</w:t>
            </w:r>
            <w:r w:rsidRPr="4E45DAD9">
              <w:rPr>
                <w:rFonts w:ascii="Franklin Gothic Book" w:hAnsi="Franklin Gothic Book"/>
              </w:rPr>
              <w:t xml:space="preserve">s for the use of a continuous peripheral nerve block </w:t>
            </w:r>
            <w:r w:rsidR="00D31C8E" w:rsidRPr="4E45DAD9">
              <w:rPr>
                <w:rFonts w:ascii="Franklin Gothic Book" w:hAnsi="Franklin Gothic Book"/>
              </w:rPr>
              <w:t>around</w:t>
            </w:r>
            <w:r w:rsidRPr="4E45DAD9">
              <w:rPr>
                <w:rFonts w:ascii="Franklin Gothic Book" w:hAnsi="Franklin Gothic Book"/>
              </w:rPr>
              <w:t xml:space="preserve"> the time of surgery (perioperatively) to relieve pain </w:t>
            </w:r>
            <w:r w:rsidR="6CFC455E" w:rsidRPr="4E45DAD9">
              <w:rPr>
                <w:rFonts w:ascii="Franklin Gothic Book" w:hAnsi="Franklin Gothic Book"/>
              </w:rPr>
              <w:t xml:space="preserve">following </w:t>
            </w:r>
            <w:r w:rsidR="00D31C8E" w:rsidRPr="4E45DAD9">
              <w:rPr>
                <w:rFonts w:ascii="Franklin Gothic Book" w:hAnsi="Franklin Gothic Book"/>
              </w:rPr>
              <w:t xml:space="preserve">the </w:t>
            </w:r>
            <w:r w:rsidRPr="4E45DAD9">
              <w:rPr>
                <w:rFonts w:ascii="Franklin Gothic Book" w:hAnsi="Franklin Gothic Book"/>
              </w:rPr>
              <w:t>surgery</w:t>
            </w:r>
            <w:r w:rsidR="005B3C80" w:rsidRPr="4E45DAD9">
              <w:rPr>
                <w:rFonts w:ascii="Franklin Gothic Book" w:hAnsi="Franklin Gothic Book"/>
              </w:rPr>
              <w:t>.</w:t>
            </w:r>
          </w:p>
          <w:p w14:paraId="08D7EE3C" w14:textId="121F9E12" w:rsidR="00CF6729" w:rsidRDefault="00746DD1" w:rsidP="00D26786">
            <w:pPr>
              <w:spacing w:before="240" w:after="0"/>
              <w:rPr>
                <w:rFonts w:ascii="Franklin Gothic Book" w:hAnsi="Franklin Gothic Book"/>
              </w:rPr>
            </w:pPr>
            <w:r w:rsidRPr="00614D01">
              <w:rPr>
                <w:rFonts w:ascii="Franklin Gothic Book" w:hAnsi="Franklin Gothic Book"/>
              </w:rPr>
              <w:t xml:space="preserve">MSAC considered that, despite the limited and uncertain evidence, continuous nerve block appeared to provide a small but clinically important </w:t>
            </w:r>
            <w:r w:rsidR="00D4676D">
              <w:rPr>
                <w:rFonts w:ascii="Franklin Gothic Book" w:hAnsi="Franklin Gothic Book"/>
              </w:rPr>
              <w:t>improvement in pain relief, compared to current options</w:t>
            </w:r>
            <w:r w:rsidRPr="00614D01">
              <w:rPr>
                <w:rFonts w:ascii="Franklin Gothic Book" w:hAnsi="Franklin Gothic Book"/>
              </w:rPr>
              <w:t xml:space="preserve">. MSAC also recognised that continuous nerve block may reduce the need for </w:t>
            </w:r>
            <w:r w:rsidR="00675D31">
              <w:rPr>
                <w:rFonts w:ascii="Franklin Gothic Book" w:hAnsi="Franklin Gothic Book"/>
              </w:rPr>
              <w:t xml:space="preserve">people to take </w:t>
            </w:r>
            <w:r w:rsidRPr="00614D01">
              <w:rPr>
                <w:rFonts w:ascii="Franklin Gothic Book" w:hAnsi="Franklin Gothic Book"/>
              </w:rPr>
              <w:t>opioid</w:t>
            </w:r>
            <w:r w:rsidR="00675D31">
              <w:rPr>
                <w:rFonts w:ascii="Franklin Gothic Book" w:hAnsi="Franklin Gothic Book"/>
              </w:rPr>
              <w:t xml:space="preserve"> medication for their pain</w:t>
            </w:r>
            <w:r w:rsidRPr="00614D01">
              <w:rPr>
                <w:rFonts w:ascii="Franklin Gothic Book" w:hAnsi="Franklin Gothic Book"/>
              </w:rPr>
              <w:t>, which it considered to be of high importance</w:t>
            </w:r>
            <w:r w:rsidR="00CA204A">
              <w:rPr>
                <w:rFonts w:ascii="Franklin Gothic Book" w:hAnsi="Franklin Gothic Book"/>
              </w:rPr>
              <w:t xml:space="preserve"> because long-term use of opioids can lead to addiction in some people.</w:t>
            </w:r>
          </w:p>
          <w:p w14:paraId="7D9EAEA4" w14:textId="0F8639CD" w:rsidR="001F4DE6" w:rsidRDefault="00167EA3" w:rsidP="00D26786">
            <w:pPr>
              <w:spacing w:before="240" w:after="0"/>
              <w:rPr>
                <w:rFonts w:ascii="Franklin Gothic Book" w:hAnsi="Franklin Gothic Book"/>
              </w:rPr>
            </w:pPr>
            <w:r w:rsidRPr="00614D01">
              <w:rPr>
                <w:rFonts w:ascii="Franklin Gothic Book" w:hAnsi="Franklin Gothic Book"/>
              </w:rPr>
              <w:t xml:space="preserve">MSAC </w:t>
            </w:r>
            <w:r>
              <w:rPr>
                <w:rFonts w:ascii="Franklin Gothic Book" w:hAnsi="Franklin Gothic Book"/>
              </w:rPr>
              <w:t>advised</w:t>
            </w:r>
            <w:r w:rsidRPr="00614D01">
              <w:rPr>
                <w:rFonts w:ascii="Franklin Gothic Book" w:hAnsi="Franklin Gothic Book"/>
              </w:rPr>
              <w:t xml:space="preserve"> that continuous nerve block should </w:t>
            </w:r>
            <w:r>
              <w:rPr>
                <w:rFonts w:ascii="Franklin Gothic Book" w:hAnsi="Franklin Gothic Book"/>
              </w:rPr>
              <w:t>have</w:t>
            </w:r>
            <w:r w:rsidRPr="00614D01">
              <w:rPr>
                <w:rFonts w:ascii="Franklin Gothic Book" w:hAnsi="Franklin Gothic Book"/>
              </w:rPr>
              <w:t xml:space="preserve"> a slightly higher fee</w:t>
            </w:r>
            <w:r>
              <w:rPr>
                <w:rFonts w:ascii="Franklin Gothic Book" w:hAnsi="Franklin Gothic Book"/>
              </w:rPr>
              <w:t xml:space="preserve"> </w:t>
            </w:r>
            <w:r w:rsidR="00CA204A">
              <w:rPr>
                <w:rFonts w:ascii="Franklin Gothic Book" w:hAnsi="Franklin Gothic Book"/>
              </w:rPr>
              <w:t>than single-injection nerve block</w:t>
            </w:r>
            <w:r w:rsidR="0041798E">
              <w:rPr>
                <w:rFonts w:ascii="Franklin Gothic Book" w:hAnsi="Franklin Gothic Book"/>
              </w:rPr>
              <w:t>,</w:t>
            </w:r>
            <w:r>
              <w:rPr>
                <w:rFonts w:ascii="Franklin Gothic Book" w:hAnsi="Franklin Gothic Book"/>
              </w:rPr>
              <w:t xml:space="preserve"> </w:t>
            </w:r>
            <w:r w:rsidR="00022A5F" w:rsidRPr="00022A5F">
              <w:rPr>
                <w:rFonts w:ascii="Franklin Gothic Book" w:hAnsi="Franklin Gothic Book"/>
              </w:rPr>
              <w:t>aligning it</w:t>
            </w:r>
            <w:r w:rsidR="00C14E9C">
              <w:rPr>
                <w:rFonts w:ascii="Franklin Gothic Book" w:hAnsi="Franklin Gothic Book"/>
              </w:rPr>
              <w:t>s cost</w:t>
            </w:r>
            <w:r w:rsidR="00022A5F" w:rsidRPr="00022A5F">
              <w:rPr>
                <w:rFonts w:ascii="Franklin Gothic Book" w:hAnsi="Franklin Gothic Book"/>
              </w:rPr>
              <w:t xml:space="preserve"> with </w:t>
            </w:r>
            <w:r>
              <w:rPr>
                <w:rFonts w:ascii="Franklin Gothic Book" w:hAnsi="Franklin Gothic Book"/>
              </w:rPr>
              <w:t>similar medical procedures</w:t>
            </w:r>
            <w:r w:rsidR="00CA204A">
              <w:rPr>
                <w:rFonts w:ascii="Franklin Gothic Book" w:hAnsi="Franklin Gothic Book"/>
              </w:rPr>
              <w:t>.</w:t>
            </w:r>
            <w:r>
              <w:rPr>
                <w:rFonts w:ascii="Franklin Gothic Book" w:hAnsi="Franklin Gothic Book"/>
              </w:rPr>
              <w:t xml:space="preserve"> </w:t>
            </w:r>
            <w:r w:rsidR="00CA204A">
              <w:rPr>
                <w:rFonts w:ascii="Franklin Gothic Book" w:hAnsi="Franklin Gothic Book"/>
              </w:rPr>
              <w:t xml:space="preserve">MSAC </w:t>
            </w:r>
            <w:r>
              <w:rPr>
                <w:rFonts w:ascii="Franklin Gothic Book" w:hAnsi="Franklin Gothic Book"/>
              </w:rPr>
              <w:t xml:space="preserve">considered that </w:t>
            </w:r>
            <w:r w:rsidR="00CA204A">
              <w:rPr>
                <w:rFonts w:ascii="Franklin Gothic Book" w:hAnsi="Franklin Gothic Book"/>
              </w:rPr>
              <w:t xml:space="preserve">continuous nerve block </w:t>
            </w:r>
            <w:r w:rsidRPr="00614D01">
              <w:rPr>
                <w:rFonts w:ascii="Franklin Gothic Book" w:hAnsi="Franklin Gothic Book"/>
              </w:rPr>
              <w:t>was a slightly more complex procedure than single-injection nerve block.</w:t>
            </w:r>
            <w:r>
              <w:rPr>
                <w:rFonts w:ascii="Franklin Gothic Book" w:hAnsi="Franklin Gothic Book"/>
              </w:rPr>
              <w:t xml:space="preserve"> </w:t>
            </w:r>
            <w:r w:rsidR="00CF6729">
              <w:rPr>
                <w:rFonts w:ascii="Franklin Gothic Book" w:hAnsi="Franklin Gothic Book"/>
              </w:rPr>
              <w:t xml:space="preserve">While the </w:t>
            </w:r>
            <w:r w:rsidR="00F66EF6">
              <w:rPr>
                <w:rFonts w:ascii="Franklin Gothic Book" w:hAnsi="Franklin Gothic Book"/>
              </w:rPr>
              <w:t xml:space="preserve">economic </w:t>
            </w:r>
            <w:r w:rsidR="00CF6729">
              <w:rPr>
                <w:rFonts w:ascii="Franklin Gothic Book" w:hAnsi="Franklin Gothic Book"/>
              </w:rPr>
              <w:t xml:space="preserve">assessment was </w:t>
            </w:r>
            <w:r w:rsidR="00F66EF6">
              <w:rPr>
                <w:rFonts w:ascii="Franklin Gothic Book" w:hAnsi="Franklin Gothic Book"/>
              </w:rPr>
              <w:t>done in a way that made it hard to measure the value for money,</w:t>
            </w:r>
            <w:r w:rsidR="00746DD1" w:rsidRPr="00614D01">
              <w:rPr>
                <w:rFonts w:ascii="Franklin Gothic Book" w:hAnsi="Franklin Gothic Book"/>
              </w:rPr>
              <w:t xml:space="preserve"> MSAC considered that the </w:t>
            </w:r>
            <w:r w:rsidR="00F66EF6">
              <w:rPr>
                <w:rFonts w:ascii="Franklin Gothic Book" w:hAnsi="Franklin Gothic Book"/>
              </w:rPr>
              <w:t>value for money was acceptable</w:t>
            </w:r>
            <w:r w:rsidR="00746DD1" w:rsidRPr="00614D01">
              <w:rPr>
                <w:rFonts w:ascii="Franklin Gothic Book" w:hAnsi="Franklin Gothic Book"/>
              </w:rPr>
              <w:t xml:space="preserve">. </w:t>
            </w:r>
            <w:r w:rsidR="00CA204A">
              <w:rPr>
                <w:rFonts w:ascii="Franklin Gothic Book" w:hAnsi="Franklin Gothic Book"/>
              </w:rPr>
              <w:t xml:space="preserve">It is likely that </w:t>
            </w:r>
            <w:r w:rsidR="006C4BDB">
              <w:rPr>
                <w:rFonts w:ascii="Franklin Gothic Book" w:hAnsi="Franklin Gothic Book"/>
              </w:rPr>
              <w:t xml:space="preserve">many patients who would have had single-injection nerve blocks would have </w:t>
            </w:r>
            <w:r w:rsidR="001F4DE6">
              <w:rPr>
                <w:rFonts w:ascii="Franklin Gothic Book" w:hAnsi="Franklin Gothic Book"/>
              </w:rPr>
              <w:t xml:space="preserve">continuous nerve blocks </w:t>
            </w:r>
            <w:r w:rsidR="001049D0">
              <w:rPr>
                <w:rFonts w:ascii="Franklin Gothic Book" w:hAnsi="Franklin Gothic Book"/>
              </w:rPr>
              <w:t>instead</w:t>
            </w:r>
            <w:r w:rsidR="001F4DE6">
              <w:rPr>
                <w:rFonts w:ascii="Franklin Gothic Book" w:hAnsi="Franklin Gothic Book"/>
              </w:rPr>
              <w:t>,</w:t>
            </w:r>
            <w:r w:rsidR="00AF72F5">
              <w:rPr>
                <w:rFonts w:ascii="Franklin Gothic Book" w:hAnsi="Franklin Gothic Book"/>
              </w:rPr>
              <w:t xml:space="preserve"> </w:t>
            </w:r>
            <w:r w:rsidR="0089438E">
              <w:rPr>
                <w:rFonts w:ascii="Franklin Gothic Book" w:hAnsi="Franklin Gothic Book"/>
              </w:rPr>
              <w:t>but</w:t>
            </w:r>
            <w:r w:rsidR="00C27E00">
              <w:rPr>
                <w:rFonts w:ascii="Franklin Gothic Book" w:hAnsi="Franklin Gothic Book"/>
              </w:rPr>
              <w:t xml:space="preserve"> MSAC considered that</w:t>
            </w:r>
            <w:r w:rsidR="0089438E">
              <w:rPr>
                <w:rFonts w:ascii="Franklin Gothic Book" w:hAnsi="Franklin Gothic Book"/>
              </w:rPr>
              <w:t xml:space="preserve"> </w:t>
            </w:r>
            <w:r w:rsidR="00022A5F" w:rsidRPr="00022A5F">
              <w:rPr>
                <w:rFonts w:ascii="Franklin Gothic Book" w:hAnsi="Franklin Gothic Book"/>
              </w:rPr>
              <w:t>the amount of substitution was uncertain</w:t>
            </w:r>
            <w:r w:rsidR="00AF72F5">
              <w:rPr>
                <w:rFonts w:ascii="Franklin Gothic Book" w:hAnsi="Franklin Gothic Book"/>
              </w:rPr>
              <w:t xml:space="preserve">. This </w:t>
            </w:r>
            <w:r w:rsidR="001F4DE6">
              <w:rPr>
                <w:rFonts w:ascii="Franklin Gothic Book" w:hAnsi="Franklin Gothic Book"/>
              </w:rPr>
              <w:t xml:space="preserve">made the overall cost to the MBS </w:t>
            </w:r>
            <w:r w:rsidR="004119DA">
              <w:rPr>
                <w:rFonts w:ascii="Franklin Gothic Book" w:hAnsi="Franklin Gothic Book"/>
              </w:rPr>
              <w:t xml:space="preserve">a little </w:t>
            </w:r>
            <w:r w:rsidR="001F4DE6">
              <w:rPr>
                <w:rFonts w:ascii="Franklin Gothic Book" w:hAnsi="Franklin Gothic Book"/>
              </w:rPr>
              <w:t xml:space="preserve">uncertain, </w:t>
            </w:r>
            <w:r w:rsidR="004119DA">
              <w:rPr>
                <w:rFonts w:ascii="Franklin Gothic Book" w:hAnsi="Franklin Gothic Book"/>
              </w:rPr>
              <w:t>however</w:t>
            </w:r>
            <w:r w:rsidR="001F4DE6">
              <w:rPr>
                <w:rFonts w:ascii="Franklin Gothic Book" w:hAnsi="Franklin Gothic Book"/>
              </w:rPr>
              <w:t xml:space="preserve"> MSAC</w:t>
            </w:r>
            <w:r w:rsidR="00AF72F5">
              <w:rPr>
                <w:rFonts w:ascii="Franklin Gothic Book" w:hAnsi="Franklin Gothic Book"/>
              </w:rPr>
              <w:t xml:space="preserve"> advised the financial cost was </w:t>
            </w:r>
            <w:r w:rsidR="0089438E">
              <w:rPr>
                <w:rFonts w:ascii="Franklin Gothic Book" w:hAnsi="Franklin Gothic Book"/>
              </w:rPr>
              <w:t xml:space="preserve">modest and </w:t>
            </w:r>
            <w:r w:rsidR="00AF72F5">
              <w:rPr>
                <w:rFonts w:ascii="Franklin Gothic Book" w:hAnsi="Franklin Gothic Book"/>
              </w:rPr>
              <w:t>acceptable</w:t>
            </w:r>
            <w:r w:rsidR="0089438E">
              <w:rPr>
                <w:rFonts w:ascii="Franklin Gothic Book" w:hAnsi="Franklin Gothic Book"/>
              </w:rPr>
              <w:t>,</w:t>
            </w:r>
            <w:r w:rsidR="003738F1">
              <w:rPr>
                <w:rFonts w:ascii="Franklin Gothic Book" w:hAnsi="Franklin Gothic Book"/>
              </w:rPr>
              <w:t xml:space="preserve"> and use should be monitored</w:t>
            </w:r>
            <w:r w:rsidR="00AF72F5">
              <w:rPr>
                <w:rFonts w:ascii="Franklin Gothic Book" w:hAnsi="Franklin Gothic Book"/>
              </w:rPr>
              <w:t>.</w:t>
            </w:r>
          </w:p>
          <w:p w14:paraId="6EB20066" w14:textId="5434AC4E" w:rsidR="00746DD1" w:rsidRPr="00614D01" w:rsidRDefault="00623EC8" w:rsidP="009C0719">
            <w:pPr>
              <w:spacing w:before="240" w:after="0"/>
              <w:rPr>
                <w:rFonts w:ascii="Franklin Gothic Book" w:hAnsi="Franklin Gothic Book"/>
              </w:rPr>
            </w:pPr>
            <w:r>
              <w:rPr>
                <w:rFonts w:ascii="Franklin Gothic Book" w:hAnsi="Franklin Gothic Book"/>
              </w:rPr>
              <w:t xml:space="preserve">No evidence was presented </w:t>
            </w:r>
            <w:r w:rsidR="009939CA">
              <w:rPr>
                <w:rFonts w:ascii="Franklin Gothic Book" w:hAnsi="Franklin Gothic Book"/>
              </w:rPr>
              <w:t>on</w:t>
            </w:r>
            <w:r>
              <w:rPr>
                <w:rFonts w:ascii="Franklin Gothic Book" w:hAnsi="Franklin Gothic Book"/>
              </w:rPr>
              <w:t xml:space="preserve"> the use of continuous nerve block </w:t>
            </w:r>
            <w:r w:rsidR="0049517B">
              <w:rPr>
                <w:rFonts w:ascii="Franklin Gothic Book" w:hAnsi="Franklin Gothic Book"/>
              </w:rPr>
              <w:t xml:space="preserve">in situations other than surgery (such as </w:t>
            </w:r>
            <w:r w:rsidR="00031F91">
              <w:rPr>
                <w:rFonts w:ascii="Franklin Gothic Book" w:hAnsi="Franklin Gothic Book"/>
              </w:rPr>
              <w:t>injury</w:t>
            </w:r>
            <w:r w:rsidR="0049517B">
              <w:rPr>
                <w:rFonts w:ascii="Franklin Gothic Book" w:hAnsi="Franklin Gothic Book"/>
              </w:rPr>
              <w:t xml:space="preserve">), so MSAC could not </w:t>
            </w:r>
            <w:r w:rsidR="003738F1">
              <w:rPr>
                <w:rFonts w:ascii="Franklin Gothic Book" w:hAnsi="Franklin Gothic Book"/>
              </w:rPr>
              <w:t>advise on</w:t>
            </w:r>
            <w:r w:rsidR="0049517B">
              <w:rPr>
                <w:rFonts w:ascii="Franklin Gothic Book" w:hAnsi="Franklin Gothic Book"/>
              </w:rPr>
              <w:t xml:space="preserve"> non-surgical use.</w:t>
            </w:r>
          </w:p>
          <w:p w14:paraId="3DC64C41" w14:textId="4AB599D1" w:rsidR="00746DD1" w:rsidRDefault="00746DD1" w:rsidP="00851D1F">
            <w:pPr>
              <w:pStyle w:val="Heading3"/>
              <w:numPr>
                <w:ilvl w:val="0"/>
                <w:numId w:val="0"/>
              </w:numPr>
            </w:pPr>
            <w:r>
              <w:t>MSAC’s advice to the Commonwealth Minister for Health and Aged Care</w:t>
            </w:r>
          </w:p>
          <w:p w14:paraId="7B68358C" w14:textId="77777777" w:rsidR="00746DD1" w:rsidRPr="00614D01" w:rsidRDefault="00746DD1">
            <w:pPr>
              <w:spacing w:after="0"/>
              <w:rPr>
                <w:rFonts w:ascii="Franklin Gothic Book" w:hAnsi="Franklin Gothic Book"/>
              </w:rPr>
            </w:pPr>
            <w:r w:rsidRPr="00614D01">
              <w:rPr>
                <w:rFonts w:ascii="Franklin Gothic Book" w:hAnsi="Franklin Gothic Book"/>
              </w:rPr>
              <w:t>MSAC supported public funding of continuous peripheral nerve block for management of moderate to severe pain after surgery. Despite the limited evidence, MSAC considered that continuous nerve block provides a small benefit over alternative procedures and is likely good value for money. MSAC recommended that use of the service be reviewed after two years.</w:t>
            </w:r>
          </w:p>
        </w:tc>
      </w:tr>
    </w:tbl>
    <w:p w14:paraId="70113C82" w14:textId="77777777" w:rsidR="00950329" w:rsidRDefault="00950329" w:rsidP="00EE61CE">
      <w:pPr>
        <w:rPr>
          <w:iCs/>
        </w:rPr>
      </w:pPr>
    </w:p>
    <w:p w14:paraId="4516BCAC" w14:textId="77777777" w:rsidR="00EE61CE" w:rsidRDefault="00EE61CE" w:rsidP="00EE61CE">
      <w:pPr>
        <w:pStyle w:val="Heading2"/>
        <w:numPr>
          <w:ilvl w:val="1"/>
          <w:numId w:val="0"/>
        </w:numPr>
      </w:pPr>
      <w:r>
        <w:lastRenderedPageBreak/>
        <w:t>3.</w:t>
      </w:r>
      <w:r>
        <w:tab/>
        <w:t>Summary of consideration and rationale for MSAC’s advice</w:t>
      </w:r>
    </w:p>
    <w:p w14:paraId="12B100A9" w14:textId="77777777" w:rsidR="00661AE4" w:rsidRPr="00614D01" w:rsidRDefault="00661AE4" w:rsidP="00661AE4">
      <w:pPr>
        <w:rPr>
          <w:rFonts w:ascii="Franklin Gothic Book" w:hAnsi="Franklin Gothic Book"/>
        </w:rPr>
      </w:pPr>
      <w:r w:rsidRPr="00614D01">
        <w:rPr>
          <w:rFonts w:ascii="Franklin Gothic Book" w:hAnsi="Franklin Gothic Book"/>
        </w:rPr>
        <w:t xml:space="preserve">MSAC noted that this application from the Australian Society of Anaesthetists was requesting Medicare Benefits Schedule (MBS) listing of continuous peripheral nerve block (CNB) for moderate to severe pain after limb or trunk surgery. </w:t>
      </w:r>
    </w:p>
    <w:p w14:paraId="2B731256" w14:textId="530FB125" w:rsidR="00661AE4" w:rsidRPr="00614D01" w:rsidRDefault="00661AE4" w:rsidP="00661AE4">
      <w:pPr>
        <w:rPr>
          <w:rFonts w:ascii="Franklin Gothic Book" w:hAnsi="Franklin Gothic Book"/>
        </w:rPr>
      </w:pPr>
      <w:r w:rsidRPr="00614D01">
        <w:rPr>
          <w:rFonts w:ascii="Franklin Gothic Book" w:hAnsi="Franklin Gothic Book"/>
        </w:rPr>
        <w:t xml:space="preserve">MSAC recalled that, at its meeting in April 2017, it had considered </w:t>
      </w:r>
      <w:r w:rsidR="001C7713" w:rsidRPr="00F927CF">
        <w:t>application 1308</w:t>
      </w:r>
      <w:r w:rsidR="001C7713" w:rsidRPr="00F927CF">
        <w:rPr>
          <w:vertAlign w:val="superscript"/>
        </w:rPr>
        <w:footnoteReference w:id="2"/>
      </w:r>
      <w:r w:rsidRPr="00F927CF">
        <w:rPr>
          <w:rFonts w:ascii="Franklin Gothic Book" w:hAnsi="Franklin Gothic Book"/>
          <w:vertAlign w:val="superscript"/>
        </w:rPr>
        <w:t xml:space="preserve"> </w:t>
      </w:r>
      <w:r w:rsidRPr="00614D01">
        <w:rPr>
          <w:rFonts w:ascii="Franklin Gothic Book" w:hAnsi="Franklin Gothic Book"/>
        </w:rPr>
        <w:t xml:space="preserve">for local anaesthetic nerve blockade for surgical analgesia. </w:t>
      </w:r>
      <w:r w:rsidRPr="43C11E29">
        <w:rPr>
          <w:rFonts w:ascii="Franklin Gothic Book" w:hAnsi="Franklin Gothic Book"/>
        </w:rPr>
        <w:t xml:space="preserve">MSAC </w:t>
      </w:r>
      <w:r w:rsidR="00B02DB4" w:rsidRPr="43C11E29">
        <w:rPr>
          <w:rFonts w:ascii="Franklin Gothic Book" w:hAnsi="Franklin Gothic Book"/>
        </w:rPr>
        <w:t>recalled it ha</w:t>
      </w:r>
      <w:r w:rsidRPr="43C11E29">
        <w:rPr>
          <w:rFonts w:ascii="Franklin Gothic Book" w:hAnsi="Franklin Gothic Book"/>
        </w:rPr>
        <w:t>d</w:t>
      </w:r>
      <w:r w:rsidRPr="00614D01">
        <w:rPr>
          <w:rFonts w:ascii="Franklin Gothic Book" w:hAnsi="Franklin Gothic Book"/>
        </w:rPr>
        <w:t xml:space="preserve"> not </w:t>
      </w:r>
      <w:r w:rsidRPr="43C11E29">
        <w:rPr>
          <w:rFonts w:ascii="Franklin Gothic Book" w:hAnsi="Franklin Gothic Book"/>
        </w:rPr>
        <w:t>support</w:t>
      </w:r>
      <w:r w:rsidR="00B02DB4" w:rsidRPr="43C11E29">
        <w:rPr>
          <w:rFonts w:ascii="Franklin Gothic Book" w:hAnsi="Franklin Gothic Book"/>
        </w:rPr>
        <w:t>ed</w:t>
      </w:r>
      <w:r w:rsidRPr="00614D01">
        <w:rPr>
          <w:rFonts w:ascii="Franklin Gothic Book" w:hAnsi="Franklin Gothic Book"/>
        </w:rPr>
        <w:t xml:space="preserve"> this application at the time due to multiple issues</w:t>
      </w:r>
      <w:r w:rsidR="00B02DB4" w:rsidRPr="43C11E29">
        <w:rPr>
          <w:rFonts w:ascii="Franklin Gothic Book" w:hAnsi="Franklin Gothic Book"/>
        </w:rPr>
        <w:t xml:space="preserve"> and considered overall</w:t>
      </w:r>
      <w:r w:rsidRPr="00614D01">
        <w:rPr>
          <w:rFonts w:ascii="Franklin Gothic Book" w:hAnsi="Franklin Gothic Book"/>
        </w:rPr>
        <w:t xml:space="preserve"> that the current application had addressed most of these issues.</w:t>
      </w:r>
    </w:p>
    <w:p w14:paraId="789336E5" w14:textId="35924758" w:rsidR="00661AE4" w:rsidRPr="00614D01" w:rsidRDefault="00661AE4" w:rsidP="00661AE4">
      <w:pPr>
        <w:rPr>
          <w:rFonts w:ascii="Franklin Gothic Book" w:hAnsi="Franklin Gothic Book"/>
        </w:rPr>
      </w:pPr>
      <w:r w:rsidRPr="00614D01">
        <w:rPr>
          <w:rFonts w:ascii="Franklin Gothic Book" w:hAnsi="Franklin Gothic Book"/>
        </w:rPr>
        <w:t xml:space="preserve">MSAC noted that consumer feedback was received from two professional organisations and six specialists, with feedback being supportive overall. There was support for reducing the use of opioids. Additionally, one specialist commented that there is evidence that CNB reduces post-traumatic stress disorder in military personnel. MSAC noted one respondent stated that the current </w:t>
      </w:r>
      <w:r w:rsidR="009F6D3E">
        <w:rPr>
          <w:rFonts w:ascii="Franklin Gothic Book" w:hAnsi="Franklin Gothic Book"/>
          <w:iCs/>
        </w:rPr>
        <w:t>application</w:t>
      </w:r>
      <w:r w:rsidR="009F6D3E" w:rsidRPr="00614D01">
        <w:rPr>
          <w:rFonts w:ascii="Franklin Gothic Book" w:hAnsi="Franklin Gothic Book"/>
          <w:iCs/>
        </w:rPr>
        <w:t xml:space="preserve"> </w:t>
      </w:r>
      <w:r w:rsidRPr="00614D01">
        <w:rPr>
          <w:rFonts w:ascii="Franklin Gothic Book" w:hAnsi="Franklin Gothic Book"/>
        </w:rPr>
        <w:t xml:space="preserve">did not </w:t>
      </w:r>
      <w:r w:rsidR="009F6D3E">
        <w:rPr>
          <w:rFonts w:ascii="Franklin Gothic Book" w:hAnsi="Franklin Gothic Book"/>
          <w:iCs/>
        </w:rPr>
        <w:t>propose</w:t>
      </w:r>
      <w:r w:rsidR="009F6D3E" w:rsidRPr="00614D01">
        <w:rPr>
          <w:rFonts w:ascii="Franklin Gothic Book" w:hAnsi="Franklin Gothic Book"/>
          <w:iCs/>
        </w:rPr>
        <w:t xml:space="preserve"> </w:t>
      </w:r>
      <w:r w:rsidRPr="00614D01">
        <w:rPr>
          <w:rFonts w:ascii="Franklin Gothic Book" w:hAnsi="Franklin Gothic Book"/>
        </w:rPr>
        <w:t xml:space="preserve">a significant change from current practice, only a change in claiming, with little notable benefit. MSAC noted that </w:t>
      </w:r>
      <w:r w:rsidR="009F6D3E">
        <w:rPr>
          <w:rFonts w:ascii="Franklin Gothic Book" w:hAnsi="Franklin Gothic Book"/>
          <w:iCs/>
        </w:rPr>
        <w:t>CNB</w:t>
      </w:r>
      <w:r w:rsidRPr="00614D01">
        <w:rPr>
          <w:rFonts w:ascii="Franklin Gothic Book" w:hAnsi="Franklin Gothic Book"/>
        </w:rPr>
        <w:t xml:space="preserve"> is now approaching standard of care for several types of major joint surgery.</w:t>
      </w:r>
      <w:r w:rsidR="00E56D9D">
        <w:rPr>
          <w:rFonts w:ascii="Franklin Gothic Book" w:hAnsi="Franklin Gothic Book"/>
        </w:rPr>
        <w:t xml:space="preserve"> </w:t>
      </w:r>
    </w:p>
    <w:p w14:paraId="23338521" w14:textId="5C660AE5" w:rsidR="00661AE4" w:rsidRPr="00614D01" w:rsidRDefault="00661AE4" w:rsidP="00661AE4">
      <w:pPr>
        <w:rPr>
          <w:rFonts w:ascii="Franklin Gothic Book" w:hAnsi="Franklin Gothic Book"/>
        </w:rPr>
      </w:pPr>
      <w:r w:rsidRPr="00614D01">
        <w:rPr>
          <w:rFonts w:ascii="Franklin Gothic Book" w:hAnsi="Franklin Gothic Book"/>
        </w:rPr>
        <w:t xml:space="preserve">MSAC noted that the pre-MSAC response requested that the service be </w:t>
      </w:r>
      <w:r w:rsidR="00493286">
        <w:rPr>
          <w:rFonts w:ascii="Franklin Gothic Book" w:hAnsi="Franklin Gothic Book"/>
          <w:iCs/>
        </w:rPr>
        <w:t>funded</w:t>
      </w:r>
      <w:r w:rsidR="00493286" w:rsidRPr="00614D01">
        <w:rPr>
          <w:rFonts w:ascii="Franklin Gothic Book" w:hAnsi="Franklin Gothic Book"/>
          <w:iCs/>
        </w:rPr>
        <w:t xml:space="preserve"> </w:t>
      </w:r>
      <w:r w:rsidRPr="00614D01">
        <w:rPr>
          <w:rFonts w:ascii="Franklin Gothic Book" w:hAnsi="Franklin Gothic Book"/>
        </w:rPr>
        <w:t>for use in both the operative and non-operative (</w:t>
      </w:r>
      <w:r w:rsidR="00031F91">
        <w:rPr>
          <w:rFonts w:ascii="Franklin Gothic Book" w:hAnsi="Franklin Gothic Book"/>
        </w:rPr>
        <w:t>such as</w:t>
      </w:r>
      <w:r w:rsidRPr="00614D01">
        <w:rPr>
          <w:rFonts w:ascii="Franklin Gothic Book" w:hAnsi="Franklin Gothic Book"/>
        </w:rPr>
        <w:t xml:space="preserve"> injur</w:t>
      </w:r>
      <w:r w:rsidR="00031F91">
        <w:rPr>
          <w:rFonts w:ascii="Franklin Gothic Book" w:hAnsi="Franklin Gothic Book"/>
        </w:rPr>
        <w:t>y</w:t>
      </w:r>
      <w:r w:rsidRPr="00614D01">
        <w:rPr>
          <w:rFonts w:ascii="Franklin Gothic Book" w:hAnsi="Franklin Gothic Book"/>
        </w:rPr>
        <w:t xml:space="preserve">) </w:t>
      </w:r>
      <w:r w:rsidRPr="00614D01">
        <w:rPr>
          <w:rFonts w:ascii="Franklin Gothic Book" w:hAnsi="Franklin Gothic Book"/>
          <w:iCs/>
        </w:rPr>
        <w:t>setting</w:t>
      </w:r>
      <w:r w:rsidR="00493286">
        <w:rPr>
          <w:rFonts w:ascii="Franklin Gothic Book" w:hAnsi="Franklin Gothic Book"/>
          <w:iCs/>
        </w:rPr>
        <w:t>s</w:t>
      </w:r>
      <w:r w:rsidRPr="00614D01">
        <w:rPr>
          <w:rFonts w:ascii="Franklin Gothic Book" w:hAnsi="Franklin Gothic Book"/>
          <w:iCs/>
        </w:rPr>
        <w:t>.</w:t>
      </w:r>
      <w:r w:rsidRPr="00614D01">
        <w:rPr>
          <w:rFonts w:ascii="Franklin Gothic Book" w:hAnsi="Franklin Gothic Book"/>
        </w:rPr>
        <w:t xml:space="preserve"> MSAC considered that, although CNB </w:t>
      </w:r>
      <w:r w:rsidR="00493286">
        <w:rPr>
          <w:rFonts w:ascii="Franklin Gothic Book" w:hAnsi="Franklin Gothic Book"/>
          <w:iCs/>
        </w:rPr>
        <w:t>may also potentially be</w:t>
      </w:r>
      <w:r w:rsidRPr="00614D01">
        <w:rPr>
          <w:rFonts w:ascii="Franklin Gothic Book" w:hAnsi="Franklin Gothic Book"/>
        </w:rPr>
        <w:t xml:space="preserve"> useful in the non-operative setting, no </w:t>
      </w:r>
      <w:r w:rsidR="00493286">
        <w:rPr>
          <w:rFonts w:ascii="Franklin Gothic Book" w:hAnsi="Franklin Gothic Book"/>
          <w:iCs/>
        </w:rPr>
        <w:t>evidence had been</w:t>
      </w:r>
      <w:r w:rsidRPr="00614D01">
        <w:rPr>
          <w:rFonts w:ascii="Franklin Gothic Book" w:hAnsi="Franklin Gothic Book"/>
        </w:rPr>
        <w:t xml:space="preserve"> provided </w:t>
      </w:r>
      <w:r w:rsidR="00FE733F">
        <w:rPr>
          <w:rFonts w:ascii="Franklin Gothic Book" w:hAnsi="Franklin Gothic Book"/>
          <w:iCs/>
        </w:rPr>
        <w:t xml:space="preserve">for </w:t>
      </w:r>
      <w:r w:rsidR="00493286">
        <w:rPr>
          <w:rFonts w:ascii="Franklin Gothic Book" w:hAnsi="Franklin Gothic Book"/>
          <w:iCs/>
        </w:rPr>
        <w:t xml:space="preserve">non-operative </w:t>
      </w:r>
      <w:r w:rsidRPr="00614D01">
        <w:rPr>
          <w:rFonts w:ascii="Franklin Gothic Book" w:hAnsi="Franklin Gothic Book"/>
          <w:iCs/>
        </w:rPr>
        <w:t>settings</w:t>
      </w:r>
      <w:r w:rsidR="00493286">
        <w:rPr>
          <w:rFonts w:ascii="Franklin Gothic Book" w:hAnsi="Franklin Gothic Book"/>
          <w:iCs/>
        </w:rPr>
        <w:t>, therefore it was unable to advise on non-operative CNB</w:t>
      </w:r>
      <w:r w:rsidRPr="00614D01">
        <w:rPr>
          <w:rFonts w:ascii="Franklin Gothic Book" w:hAnsi="Franklin Gothic Book"/>
        </w:rPr>
        <w:t xml:space="preserve">. </w:t>
      </w:r>
      <w:r w:rsidR="00A633EB">
        <w:rPr>
          <w:rFonts w:ascii="Franklin Gothic Book" w:hAnsi="Franklin Gothic Book"/>
        </w:rPr>
        <w:t>MSAC noted e</w:t>
      </w:r>
      <w:r w:rsidR="007F606D" w:rsidRPr="008208B8">
        <w:rPr>
          <w:rFonts w:ascii="Franklin Gothic Book" w:hAnsi="Franklin Gothic Book"/>
          <w:iCs/>
        </w:rPr>
        <w:t>xisting</w:t>
      </w:r>
      <w:r w:rsidR="007F606D" w:rsidRPr="008208B8">
        <w:rPr>
          <w:rFonts w:ascii="Franklin Gothic Book" w:hAnsi="Franklin Gothic Book"/>
        </w:rPr>
        <w:t xml:space="preserve"> </w:t>
      </w:r>
      <w:r w:rsidR="00493286" w:rsidRPr="008208B8">
        <w:rPr>
          <w:rFonts w:ascii="Franklin Gothic Book" w:hAnsi="Franklin Gothic Book"/>
        </w:rPr>
        <w:t>MBS</w:t>
      </w:r>
      <w:r w:rsidRPr="008208B8">
        <w:rPr>
          <w:rFonts w:ascii="Franklin Gothic Book" w:hAnsi="Franklin Gothic Book"/>
        </w:rPr>
        <w:t xml:space="preserve"> item</w:t>
      </w:r>
      <w:r w:rsidR="00493286" w:rsidRPr="008208B8">
        <w:rPr>
          <w:rFonts w:ascii="Franklin Gothic Book" w:hAnsi="Franklin Gothic Book"/>
        </w:rPr>
        <w:t>s</w:t>
      </w:r>
      <w:r w:rsidRPr="00F927CF">
        <w:rPr>
          <w:rFonts w:ascii="Franklin Gothic Book" w:hAnsi="Franklin Gothic Book"/>
        </w:rPr>
        <w:t xml:space="preserve"> for non-operative nerve blocks do not specify the use of catheters.</w:t>
      </w:r>
    </w:p>
    <w:p w14:paraId="0A871AF5" w14:textId="01B7ED0B" w:rsidR="00661AE4" w:rsidRPr="00614D01" w:rsidRDefault="00661AE4" w:rsidP="00661AE4">
      <w:pPr>
        <w:rPr>
          <w:rFonts w:ascii="Franklin Gothic Book" w:hAnsi="Franklin Gothic Book"/>
        </w:rPr>
      </w:pPr>
      <w:r w:rsidRPr="00614D01">
        <w:rPr>
          <w:rFonts w:ascii="Franklin Gothic Book" w:hAnsi="Franklin Gothic Book"/>
        </w:rPr>
        <w:t xml:space="preserve">MSAC noted the clinical claim </w:t>
      </w:r>
      <w:r w:rsidR="00493286">
        <w:rPr>
          <w:rFonts w:ascii="Franklin Gothic Book" w:hAnsi="Franklin Gothic Book"/>
          <w:iCs/>
        </w:rPr>
        <w:t xml:space="preserve">was </w:t>
      </w:r>
      <w:r w:rsidRPr="00614D01">
        <w:rPr>
          <w:rFonts w:ascii="Franklin Gothic Book" w:hAnsi="Franklin Gothic Book"/>
        </w:rPr>
        <w:t xml:space="preserve">that CNB is superior in </w:t>
      </w:r>
      <w:r w:rsidR="00510B33">
        <w:rPr>
          <w:rFonts w:ascii="Franklin Gothic Book" w:hAnsi="Franklin Gothic Book"/>
          <w:iCs/>
        </w:rPr>
        <w:t xml:space="preserve">effectiveness and non-inferior </w:t>
      </w:r>
      <w:r w:rsidR="001D614A">
        <w:rPr>
          <w:rFonts w:ascii="Franklin Gothic Book" w:hAnsi="Franklin Gothic Book"/>
          <w:iCs/>
        </w:rPr>
        <w:t xml:space="preserve">in </w:t>
      </w:r>
      <w:r w:rsidR="00510B33">
        <w:rPr>
          <w:rFonts w:ascii="Franklin Gothic Book" w:hAnsi="Franklin Gothic Book"/>
          <w:iCs/>
        </w:rPr>
        <w:t>safety</w:t>
      </w:r>
      <w:r w:rsidR="00510B33" w:rsidRPr="00614D01">
        <w:rPr>
          <w:rFonts w:ascii="Franklin Gothic Book" w:hAnsi="Franklin Gothic Book"/>
          <w:iCs/>
        </w:rPr>
        <w:t xml:space="preserve"> </w:t>
      </w:r>
      <w:r w:rsidR="00493286">
        <w:rPr>
          <w:rFonts w:ascii="Franklin Gothic Book" w:hAnsi="Franklin Gothic Book"/>
          <w:iCs/>
        </w:rPr>
        <w:t xml:space="preserve">compared </w:t>
      </w:r>
      <w:r w:rsidRPr="00614D01">
        <w:rPr>
          <w:rFonts w:ascii="Franklin Gothic Book" w:hAnsi="Franklin Gothic Book"/>
        </w:rPr>
        <w:t xml:space="preserve">to single-injection nerve block (SNB). </w:t>
      </w:r>
    </w:p>
    <w:p w14:paraId="7C21E5EB" w14:textId="51BCE335" w:rsidR="00661AE4" w:rsidRPr="00614D01" w:rsidRDefault="00661AE4" w:rsidP="00661AE4">
      <w:pPr>
        <w:rPr>
          <w:rFonts w:ascii="Franklin Gothic Book" w:hAnsi="Franklin Gothic Book"/>
        </w:rPr>
      </w:pPr>
      <w:r w:rsidRPr="00614D01">
        <w:rPr>
          <w:rFonts w:ascii="Franklin Gothic Book" w:hAnsi="Franklin Gothic Book"/>
        </w:rPr>
        <w:t>MSAC noted that, based on uncertain evidence,</w:t>
      </w:r>
      <w:r w:rsidRPr="00614D01">
        <w:rPr>
          <w:rFonts w:ascii="Franklin Gothic Book" w:hAnsi="Franklin Gothic Book"/>
          <w:iCs/>
        </w:rPr>
        <w:t xml:space="preserve"> </w:t>
      </w:r>
      <w:r w:rsidR="007B17C7">
        <w:rPr>
          <w:rFonts w:ascii="Franklin Gothic Book" w:hAnsi="Franklin Gothic Book"/>
          <w:iCs/>
        </w:rPr>
        <w:t xml:space="preserve">the </w:t>
      </w:r>
      <w:r w:rsidR="00DD3E04">
        <w:rPr>
          <w:rFonts w:ascii="Franklin Gothic Book" w:hAnsi="Franklin Gothic Book"/>
          <w:iCs/>
        </w:rPr>
        <w:t>department-contracted</w:t>
      </w:r>
      <w:r w:rsidR="00DD3E04" w:rsidRPr="00614D01">
        <w:rPr>
          <w:rFonts w:ascii="Franklin Gothic Book" w:hAnsi="Franklin Gothic Book"/>
          <w:iCs/>
        </w:rPr>
        <w:t xml:space="preserve"> assessment report (D</w:t>
      </w:r>
      <w:r w:rsidR="00DD3E04">
        <w:rPr>
          <w:rFonts w:ascii="Franklin Gothic Book" w:hAnsi="Franklin Gothic Book"/>
          <w:iCs/>
        </w:rPr>
        <w:t>C</w:t>
      </w:r>
      <w:r w:rsidR="00DD3E04" w:rsidRPr="00614D01">
        <w:rPr>
          <w:rFonts w:ascii="Franklin Gothic Book" w:hAnsi="Franklin Gothic Book"/>
          <w:iCs/>
        </w:rPr>
        <w:t xml:space="preserve">AR) </w:t>
      </w:r>
      <w:r w:rsidR="007B17C7">
        <w:rPr>
          <w:rFonts w:ascii="Franklin Gothic Book" w:hAnsi="Franklin Gothic Book"/>
          <w:iCs/>
        </w:rPr>
        <w:t>found</w:t>
      </w:r>
      <w:r>
        <w:rPr>
          <w:rFonts w:ascii="Franklin Gothic Book" w:hAnsi="Franklin Gothic Book"/>
        </w:rPr>
        <w:t xml:space="preserve"> </w:t>
      </w:r>
      <w:r w:rsidRPr="00614D01">
        <w:rPr>
          <w:rFonts w:ascii="Franklin Gothic Book" w:hAnsi="Franklin Gothic Book"/>
        </w:rPr>
        <w:t xml:space="preserve">CNB to have superior effectiveness and non-inferior safety relative to both SNB and systemic opioids in patients undergoing knee surgery associated with moderate to severe postoperative pain expected to last 12 hours or longer. For safety, this included </w:t>
      </w:r>
      <w:r w:rsidR="00031F91">
        <w:rPr>
          <w:rFonts w:ascii="Franklin Gothic Book" w:hAnsi="Franklin Gothic Book"/>
        </w:rPr>
        <w:t>less</w:t>
      </w:r>
      <w:r w:rsidR="00031F91" w:rsidRPr="00614D01">
        <w:rPr>
          <w:rFonts w:ascii="Franklin Gothic Book" w:hAnsi="Franklin Gothic Book"/>
        </w:rPr>
        <w:t xml:space="preserve"> </w:t>
      </w:r>
      <w:r w:rsidRPr="00614D01">
        <w:rPr>
          <w:rFonts w:ascii="Franklin Gothic Book" w:hAnsi="Franklin Gothic Book"/>
        </w:rPr>
        <w:t xml:space="preserve">nausea and vomiting </w:t>
      </w:r>
      <w:r w:rsidR="00C12C63">
        <w:rPr>
          <w:rFonts w:ascii="Franklin Gothic Book" w:hAnsi="Franklin Gothic Book"/>
        </w:rPr>
        <w:t>at</w:t>
      </w:r>
      <w:r w:rsidRPr="00614D01">
        <w:rPr>
          <w:rFonts w:ascii="Franklin Gothic Book" w:hAnsi="Franklin Gothic Book"/>
        </w:rPr>
        <w:t xml:space="preserve"> 48</w:t>
      </w:r>
      <w:r w:rsidR="00722351">
        <w:rPr>
          <w:rFonts w:ascii="Franklin Gothic Book" w:hAnsi="Franklin Gothic Book"/>
        </w:rPr>
        <w:t xml:space="preserve"> and </w:t>
      </w:r>
      <w:r w:rsidRPr="00614D01">
        <w:rPr>
          <w:rFonts w:ascii="Franklin Gothic Book" w:hAnsi="Franklin Gothic Book"/>
        </w:rPr>
        <w:t xml:space="preserve">72 hours when compared to systemic opioids, but there was no difference compared to SNB. For effectiveness, this included </w:t>
      </w:r>
      <w:r w:rsidR="00FC3A7B">
        <w:rPr>
          <w:rFonts w:ascii="Franklin Gothic Book" w:hAnsi="Franklin Gothic Book"/>
        </w:rPr>
        <w:t>lower</w:t>
      </w:r>
      <w:r w:rsidR="00FC3A7B" w:rsidRPr="00614D01">
        <w:rPr>
          <w:rFonts w:ascii="Franklin Gothic Book" w:hAnsi="Franklin Gothic Book"/>
        </w:rPr>
        <w:t xml:space="preserve"> </w:t>
      </w:r>
      <w:r w:rsidRPr="00614D01">
        <w:rPr>
          <w:rFonts w:ascii="Franklin Gothic Book" w:hAnsi="Franklin Gothic Book"/>
        </w:rPr>
        <w:t>breakthrough opioid consumption, reduced chronic pain at three and six months, and fewer block failures/reattempts when compared to systemic opioids. It also included superior (or mixed) results for patient-reported pain scores</w:t>
      </w:r>
      <w:r w:rsidR="007A6A1D">
        <w:rPr>
          <w:rFonts w:ascii="Franklin Gothic Book" w:hAnsi="Franklin Gothic Book"/>
        </w:rPr>
        <w:t xml:space="preserve"> </w:t>
      </w:r>
      <w:r w:rsidR="00FF6684">
        <w:rPr>
          <w:rFonts w:ascii="Franklin Gothic Book" w:hAnsi="Franklin Gothic Book"/>
        </w:rPr>
        <w:t>and</w:t>
      </w:r>
      <w:r w:rsidR="007A6A1D">
        <w:rPr>
          <w:rFonts w:ascii="Franklin Gothic Book" w:hAnsi="Franklin Gothic Book"/>
        </w:rPr>
        <w:t xml:space="preserve"> patient satisfaction</w:t>
      </w:r>
      <w:r w:rsidRPr="00614D01">
        <w:rPr>
          <w:rFonts w:ascii="Franklin Gothic Book" w:hAnsi="Franklin Gothic Book"/>
        </w:rPr>
        <w:t xml:space="preserve"> compared to SNB; however, MSAC noted that, although outcomes such as reduced opioid consumption were </w:t>
      </w:r>
      <w:r w:rsidR="00FF6684">
        <w:rPr>
          <w:rFonts w:ascii="Franklin Gothic Book" w:hAnsi="Franklin Gothic Book"/>
        </w:rPr>
        <w:t>reported</w:t>
      </w:r>
      <w:r w:rsidR="00FF6684" w:rsidRPr="00614D01">
        <w:rPr>
          <w:rFonts w:ascii="Franklin Gothic Book" w:hAnsi="Franklin Gothic Book"/>
        </w:rPr>
        <w:t xml:space="preserve"> </w:t>
      </w:r>
      <w:r w:rsidRPr="00614D01">
        <w:rPr>
          <w:rFonts w:ascii="Franklin Gothic Book" w:hAnsi="Franklin Gothic Book"/>
        </w:rPr>
        <w:t xml:space="preserve">with CNB, these </w:t>
      </w:r>
      <w:r w:rsidR="00FF6684">
        <w:rPr>
          <w:rFonts w:ascii="Franklin Gothic Book" w:hAnsi="Franklin Gothic Book"/>
        </w:rPr>
        <w:t xml:space="preserve">outcomes </w:t>
      </w:r>
      <w:r w:rsidRPr="00614D01">
        <w:rPr>
          <w:rFonts w:ascii="Franklin Gothic Book" w:hAnsi="Franklin Gothic Book"/>
        </w:rPr>
        <w:t>were assessed at 48 hours and did not translate to superior patient outcomes at 48–72 hours. Additionally, pain – which was assessed using a</w:t>
      </w:r>
      <w:r w:rsidRPr="00614D01">
        <w:rPr>
          <w:rFonts w:ascii="Franklin Gothic Book" w:hAnsi="Franklin Gothic Book"/>
          <w:iCs/>
        </w:rPr>
        <w:t xml:space="preserve"> </w:t>
      </w:r>
      <w:r w:rsidR="00DB752E">
        <w:rPr>
          <w:rFonts w:ascii="Franklin Gothic Book" w:hAnsi="Franklin Gothic Book"/>
          <w:iCs/>
        </w:rPr>
        <w:t>10-point</w:t>
      </w:r>
      <w:r>
        <w:rPr>
          <w:rFonts w:ascii="Franklin Gothic Book" w:hAnsi="Franklin Gothic Book"/>
        </w:rPr>
        <w:t xml:space="preserve"> </w:t>
      </w:r>
      <w:r w:rsidRPr="00614D01">
        <w:rPr>
          <w:rFonts w:ascii="Franklin Gothic Book" w:hAnsi="Franklin Gothic Book"/>
        </w:rPr>
        <w:t>visual analogue scale</w:t>
      </w:r>
      <w:r>
        <w:rPr>
          <w:rFonts w:ascii="Franklin Gothic Book" w:hAnsi="Franklin Gothic Book"/>
        </w:rPr>
        <w:t xml:space="preserve"> </w:t>
      </w:r>
      <w:r w:rsidR="00DB752E">
        <w:rPr>
          <w:rFonts w:ascii="Franklin Gothic Book" w:hAnsi="Franklin Gothic Book"/>
          <w:iCs/>
        </w:rPr>
        <w:t>(VAS)</w:t>
      </w:r>
      <w:r w:rsidRPr="00614D01">
        <w:rPr>
          <w:rFonts w:ascii="Franklin Gothic Book" w:hAnsi="Franklin Gothic Book"/>
          <w:iCs/>
        </w:rPr>
        <w:t xml:space="preserve"> </w:t>
      </w:r>
      <w:r w:rsidRPr="00614D01">
        <w:rPr>
          <w:rFonts w:ascii="Franklin Gothic Book" w:hAnsi="Franklin Gothic Book"/>
        </w:rPr>
        <w:t xml:space="preserve">– was found to be reduced by a mean of 1.35 points, which </w:t>
      </w:r>
      <w:r w:rsidR="00DB752E">
        <w:rPr>
          <w:rFonts w:ascii="Franklin Gothic Book" w:hAnsi="Franklin Gothic Book"/>
          <w:iCs/>
        </w:rPr>
        <w:t>wa</w:t>
      </w:r>
      <w:r w:rsidRPr="00614D01">
        <w:rPr>
          <w:rFonts w:ascii="Franklin Gothic Book" w:hAnsi="Franklin Gothic Book"/>
          <w:iCs/>
        </w:rPr>
        <w:t>s</w:t>
      </w:r>
      <w:r w:rsidRPr="00614D01">
        <w:rPr>
          <w:rFonts w:ascii="Franklin Gothic Book" w:hAnsi="Franklin Gothic Book"/>
        </w:rPr>
        <w:t xml:space="preserve"> near the lower threshold for a minimal clinically important difference (MCID; </w:t>
      </w:r>
      <w:r w:rsidR="00DB752E">
        <w:rPr>
          <w:rFonts w:ascii="Franklin Gothic Book" w:hAnsi="Franklin Gothic Book"/>
          <w:iCs/>
        </w:rPr>
        <w:t xml:space="preserve">equivalent to </w:t>
      </w:r>
      <w:r w:rsidRPr="00614D01">
        <w:rPr>
          <w:rFonts w:ascii="Franklin Gothic Book" w:hAnsi="Franklin Gothic Book"/>
        </w:rPr>
        <w:t xml:space="preserve">1.5 </w:t>
      </w:r>
      <w:r w:rsidR="00DB752E">
        <w:rPr>
          <w:rFonts w:ascii="Franklin Gothic Book" w:hAnsi="Franklin Gothic Book"/>
          <w:iCs/>
        </w:rPr>
        <w:t>on a 10-point</w:t>
      </w:r>
      <w:r w:rsidRPr="00614D01">
        <w:rPr>
          <w:rFonts w:ascii="Franklin Gothic Book" w:hAnsi="Franklin Gothic Book"/>
        </w:rPr>
        <w:t xml:space="preserve"> </w:t>
      </w:r>
      <w:r w:rsidR="00524B28">
        <w:rPr>
          <w:rFonts w:ascii="Franklin Gothic Book" w:hAnsi="Franklin Gothic Book"/>
        </w:rPr>
        <w:t>VAS</w:t>
      </w:r>
      <w:r w:rsidRPr="00614D01">
        <w:rPr>
          <w:rFonts w:ascii="Franklin Gothic Book" w:hAnsi="Franklin Gothic Book"/>
        </w:rPr>
        <w:t xml:space="preserve">). MSAC noted that there was insufficient evidence to draw conclusions on the relative effectiveness and safety of CNB compared to neuraxial nerve block. </w:t>
      </w:r>
      <w:r w:rsidR="00162522">
        <w:rPr>
          <w:rFonts w:ascii="Franklin Gothic Book" w:hAnsi="Franklin Gothic Book"/>
          <w:iCs/>
        </w:rPr>
        <w:t xml:space="preserve">MSAC noted there was the potential for patients to </w:t>
      </w:r>
      <w:r w:rsidR="00FB63E6">
        <w:rPr>
          <w:rFonts w:ascii="Franklin Gothic Book" w:hAnsi="Franklin Gothic Book"/>
          <w:iCs/>
        </w:rPr>
        <w:t>have a shorter length of stay in hospital: MSAC considered this was</w:t>
      </w:r>
      <w:r w:rsidR="00162522">
        <w:rPr>
          <w:rFonts w:ascii="Franklin Gothic Book" w:hAnsi="Franklin Gothic Book"/>
          <w:iCs/>
        </w:rPr>
        <w:t xml:space="preserve"> supported by </w:t>
      </w:r>
      <w:r w:rsidR="00FB63E6">
        <w:rPr>
          <w:rFonts w:ascii="Franklin Gothic Book" w:hAnsi="Franklin Gothic Book"/>
          <w:iCs/>
        </w:rPr>
        <w:t xml:space="preserve">published </w:t>
      </w:r>
      <w:r w:rsidR="00263522">
        <w:rPr>
          <w:rFonts w:ascii="Franklin Gothic Book" w:hAnsi="Franklin Gothic Book"/>
          <w:iCs/>
        </w:rPr>
        <w:t xml:space="preserve">guidance </w:t>
      </w:r>
      <w:r w:rsidR="00FB63E6">
        <w:rPr>
          <w:rFonts w:ascii="Franklin Gothic Book" w:hAnsi="Franklin Gothic Book"/>
          <w:iCs/>
        </w:rPr>
        <w:t xml:space="preserve">for patients </w:t>
      </w:r>
      <w:r w:rsidR="00263522">
        <w:rPr>
          <w:rFonts w:ascii="Franklin Gothic Book" w:hAnsi="Franklin Gothic Book"/>
          <w:iCs/>
        </w:rPr>
        <w:t xml:space="preserve">on how to remove the catheter themselves, but that any </w:t>
      </w:r>
      <w:r w:rsidR="00FB63E6">
        <w:rPr>
          <w:rFonts w:ascii="Franklin Gothic Book" w:hAnsi="Franklin Gothic Book"/>
          <w:iCs/>
        </w:rPr>
        <w:t>reduction in length of stay was uncertain</w:t>
      </w:r>
      <w:r w:rsidR="00263522">
        <w:rPr>
          <w:rFonts w:ascii="Franklin Gothic Book" w:hAnsi="Franklin Gothic Book"/>
          <w:iCs/>
        </w:rPr>
        <w:t xml:space="preserve"> and may vary between CNB indications. </w:t>
      </w:r>
      <w:r w:rsidR="009735A4">
        <w:rPr>
          <w:rFonts w:ascii="Franklin Gothic Book" w:hAnsi="Franklin Gothic Book"/>
          <w:iCs/>
        </w:rPr>
        <w:t xml:space="preserve">Overall, </w:t>
      </w:r>
      <w:r w:rsidR="008E0E43">
        <w:rPr>
          <w:rFonts w:ascii="Franklin Gothic Book" w:hAnsi="Franklin Gothic Book"/>
          <w:iCs/>
        </w:rPr>
        <w:t xml:space="preserve">MSAC considered that </w:t>
      </w:r>
      <w:r w:rsidR="009735A4">
        <w:rPr>
          <w:rFonts w:ascii="Franklin Gothic Book" w:hAnsi="Franklin Gothic Book"/>
          <w:iCs/>
        </w:rPr>
        <w:t>CNB likely provides a small but important clinical benefit</w:t>
      </w:r>
      <w:r w:rsidR="00051C90">
        <w:rPr>
          <w:rFonts w:ascii="Franklin Gothic Book" w:hAnsi="Franklin Gothic Book"/>
          <w:iCs/>
        </w:rPr>
        <w:t xml:space="preserve"> for pain relief </w:t>
      </w:r>
      <w:r w:rsidR="00F9775D">
        <w:rPr>
          <w:rFonts w:ascii="Franklin Gothic Book" w:hAnsi="Franklin Gothic Book"/>
          <w:iCs/>
        </w:rPr>
        <w:t xml:space="preserve">with low confidence, and so advised </w:t>
      </w:r>
      <w:r w:rsidR="00284242">
        <w:rPr>
          <w:rFonts w:ascii="Franklin Gothic Book" w:hAnsi="Franklin Gothic Book"/>
          <w:iCs/>
        </w:rPr>
        <w:t>that</w:t>
      </w:r>
      <w:r w:rsidR="00F9775D">
        <w:rPr>
          <w:rFonts w:ascii="Franklin Gothic Book" w:hAnsi="Franklin Gothic Book"/>
          <w:iCs/>
        </w:rPr>
        <w:t xml:space="preserve"> it was </w:t>
      </w:r>
      <w:r w:rsidR="00051C90">
        <w:rPr>
          <w:rFonts w:ascii="Franklin Gothic Book" w:hAnsi="Franklin Gothic Book"/>
          <w:iCs/>
        </w:rPr>
        <w:t xml:space="preserve">acceptably </w:t>
      </w:r>
      <w:r w:rsidR="00F9775D">
        <w:rPr>
          <w:rFonts w:ascii="Franklin Gothic Book" w:hAnsi="Franklin Gothic Book"/>
          <w:iCs/>
        </w:rPr>
        <w:t>clinically effective. MSAC also considered it may reduce opioid use and lead to other downstream benefits.</w:t>
      </w:r>
    </w:p>
    <w:p w14:paraId="7B103C73" w14:textId="08D2DFCC" w:rsidR="007971F4" w:rsidRDefault="007971F4" w:rsidP="00661AE4">
      <w:pPr>
        <w:rPr>
          <w:rFonts w:ascii="Franklin Gothic Book" w:hAnsi="Franklin Gothic Book"/>
          <w:iCs/>
        </w:rPr>
      </w:pPr>
      <w:r w:rsidRPr="00F927CF">
        <w:rPr>
          <w:rFonts w:ascii="Franklin Gothic Book" w:hAnsi="Franklin Gothic Book"/>
        </w:rPr>
        <w:t xml:space="preserve">MSAC </w:t>
      </w:r>
      <w:r w:rsidR="00200C28">
        <w:rPr>
          <w:rFonts w:ascii="Franklin Gothic Book" w:hAnsi="Franklin Gothic Book"/>
        </w:rPr>
        <w:t xml:space="preserve">raised whether </w:t>
      </w:r>
      <w:r w:rsidR="007036E6">
        <w:rPr>
          <w:rFonts w:ascii="Franklin Gothic Book" w:hAnsi="Franklin Gothic Book"/>
        </w:rPr>
        <w:t xml:space="preserve">CNB should </w:t>
      </w:r>
      <w:r w:rsidRPr="00F927CF">
        <w:rPr>
          <w:rFonts w:ascii="Franklin Gothic Book" w:hAnsi="Franklin Gothic Book"/>
        </w:rPr>
        <w:t xml:space="preserve">be restricted to indications where single-injection or neuraxial nerve block </w:t>
      </w:r>
      <w:r w:rsidR="008B5D9A">
        <w:rPr>
          <w:rFonts w:ascii="Franklin Gothic Book" w:hAnsi="Franklin Gothic Book"/>
          <w:iCs/>
        </w:rPr>
        <w:t>would</w:t>
      </w:r>
      <w:r w:rsidRPr="00F927CF">
        <w:rPr>
          <w:rFonts w:ascii="Franklin Gothic Book" w:hAnsi="Franklin Gothic Book"/>
        </w:rPr>
        <w:t xml:space="preserve"> not </w:t>
      </w:r>
      <w:r w:rsidR="008B5D9A">
        <w:rPr>
          <w:rFonts w:ascii="Franklin Gothic Book" w:hAnsi="Franklin Gothic Book"/>
          <w:iCs/>
        </w:rPr>
        <w:t>be effective</w:t>
      </w:r>
      <w:r w:rsidR="00200C28">
        <w:rPr>
          <w:rFonts w:ascii="Franklin Gothic Book" w:hAnsi="Franklin Gothic Book"/>
          <w:iCs/>
        </w:rPr>
        <w:t xml:space="preserve"> but considered that</w:t>
      </w:r>
      <w:r w:rsidR="00D305AF">
        <w:rPr>
          <w:rFonts w:ascii="Franklin Gothic Book" w:hAnsi="Franklin Gothic Book"/>
          <w:iCs/>
        </w:rPr>
        <w:t xml:space="preserve"> </w:t>
      </w:r>
      <w:r w:rsidR="00A3195F">
        <w:rPr>
          <w:rFonts w:ascii="Franklin Gothic Book" w:hAnsi="Franklin Gothic Book"/>
          <w:iCs/>
        </w:rPr>
        <w:t xml:space="preserve">a decision between CNB and SNB </w:t>
      </w:r>
      <w:r w:rsidR="009E7C8F">
        <w:rPr>
          <w:rFonts w:ascii="Franklin Gothic Book" w:hAnsi="Franklin Gothic Book"/>
          <w:iCs/>
        </w:rPr>
        <w:t>is a</w:t>
      </w:r>
      <w:r w:rsidR="00297A42">
        <w:rPr>
          <w:rFonts w:ascii="Franklin Gothic Book" w:hAnsi="Franklin Gothic Book"/>
          <w:iCs/>
        </w:rPr>
        <w:t>n</w:t>
      </w:r>
      <w:r w:rsidR="009E7C8F">
        <w:rPr>
          <w:rFonts w:ascii="Franklin Gothic Book" w:hAnsi="Franklin Gothic Book"/>
          <w:iCs/>
        </w:rPr>
        <w:t xml:space="preserve"> </w:t>
      </w:r>
      <w:r w:rsidR="002F63FB">
        <w:rPr>
          <w:rFonts w:ascii="Franklin Gothic Book" w:hAnsi="Franklin Gothic Book"/>
          <w:iCs/>
        </w:rPr>
        <w:lastRenderedPageBreak/>
        <w:t xml:space="preserve">individual </w:t>
      </w:r>
      <w:r w:rsidR="009E7C8F">
        <w:rPr>
          <w:rFonts w:ascii="Franklin Gothic Book" w:hAnsi="Franklin Gothic Book"/>
          <w:iCs/>
        </w:rPr>
        <w:t>c</w:t>
      </w:r>
      <w:r w:rsidR="00EC2B33">
        <w:rPr>
          <w:rFonts w:ascii="Franklin Gothic Book" w:hAnsi="Franklin Gothic Book"/>
          <w:iCs/>
        </w:rPr>
        <w:t>linical decision</w:t>
      </w:r>
      <w:r w:rsidR="00413C96">
        <w:rPr>
          <w:rFonts w:ascii="Franklin Gothic Book" w:hAnsi="Franklin Gothic Book"/>
          <w:iCs/>
        </w:rPr>
        <w:t xml:space="preserve"> between the clinician and the patient</w:t>
      </w:r>
      <w:r w:rsidRPr="00F927CF">
        <w:rPr>
          <w:rFonts w:ascii="Franklin Gothic Book" w:hAnsi="Franklin Gothic Book"/>
        </w:rPr>
        <w:t>.</w:t>
      </w:r>
      <w:r w:rsidR="009132EB">
        <w:rPr>
          <w:rFonts w:ascii="Franklin Gothic Book" w:hAnsi="Franklin Gothic Book"/>
        </w:rPr>
        <w:t xml:space="preserve"> MSAC therefore did not </w:t>
      </w:r>
      <w:r w:rsidR="00EA681A">
        <w:rPr>
          <w:rFonts w:ascii="Franklin Gothic Book" w:hAnsi="Franklin Gothic Book"/>
        </w:rPr>
        <w:t xml:space="preserve">consider it was appropriate to </w:t>
      </w:r>
      <w:r w:rsidR="009132EB">
        <w:rPr>
          <w:rFonts w:ascii="Franklin Gothic Book" w:hAnsi="Franklin Gothic Book"/>
        </w:rPr>
        <w:t xml:space="preserve">restrict CNB to only patients </w:t>
      </w:r>
      <w:r w:rsidR="00E66A7F">
        <w:rPr>
          <w:rFonts w:ascii="Franklin Gothic Book" w:hAnsi="Franklin Gothic Book"/>
        </w:rPr>
        <w:t xml:space="preserve">who </w:t>
      </w:r>
      <w:r w:rsidR="008D3033">
        <w:rPr>
          <w:rFonts w:ascii="Franklin Gothic Book" w:hAnsi="Franklin Gothic Book"/>
        </w:rPr>
        <w:t xml:space="preserve">cannot receive </w:t>
      </w:r>
      <w:r w:rsidR="00EA681A">
        <w:rPr>
          <w:rFonts w:ascii="Franklin Gothic Book" w:hAnsi="Franklin Gothic Book"/>
        </w:rPr>
        <w:t>SNB or neuraxial block.</w:t>
      </w:r>
    </w:p>
    <w:p w14:paraId="3B7E5C10" w14:textId="2DB64529" w:rsidR="00661AE4" w:rsidRPr="00614D01" w:rsidRDefault="008E0E43" w:rsidP="00661AE4">
      <w:pPr>
        <w:rPr>
          <w:rFonts w:ascii="Franklin Gothic Book" w:hAnsi="Franklin Gothic Book"/>
        </w:rPr>
      </w:pPr>
      <w:r w:rsidRPr="00614D01">
        <w:rPr>
          <w:rFonts w:ascii="Franklin Gothic Book" w:hAnsi="Franklin Gothic Book"/>
          <w:iCs/>
        </w:rPr>
        <w:t xml:space="preserve">MSAC noted that CNB </w:t>
      </w:r>
      <w:r w:rsidR="00DD3E04">
        <w:rPr>
          <w:rFonts w:ascii="Franklin Gothic Book" w:hAnsi="Franklin Gothic Book"/>
          <w:iCs/>
        </w:rPr>
        <w:t>would</w:t>
      </w:r>
      <w:r w:rsidRPr="00614D01">
        <w:rPr>
          <w:rFonts w:ascii="Franklin Gothic Book" w:hAnsi="Franklin Gothic Book"/>
          <w:iCs/>
        </w:rPr>
        <w:t xml:space="preserve"> be </w:t>
      </w:r>
      <w:r>
        <w:rPr>
          <w:rFonts w:ascii="Franklin Gothic Book" w:hAnsi="Franklin Gothic Book"/>
          <w:iCs/>
        </w:rPr>
        <w:t>used</w:t>
      </w:r>
      <w:r w:rsidRPr="00614D01">
        <w:rPr>
          <w:rFonts w:ascii="Franklin Gothic Book" w:hAnsi="Franklin Gothic Book"/>
          <w:iCs/>
        </w:rPr>
        <w:t xml:space="preserve"> </w:t>
      </w:r>
      <w:r>
        <w:rPr>
          <w:rFonts w:ascii="Franklin Gothic Book" w:hAnsi="Franklin Gothic Book"/>
          <w:iCs/>
        </w:rPr>
        <w:t>for</w:t>
      </w:r>
      <w:r w:rsidRPr="00614D01">
        <w:rPr>
          <w:rFonts w:ascii="Franklin Gothic Book" w:hAnsi="Franklin Gothic Book"/>
          <w:iCs/>
        </w:rPr>
        <w:t xml:space="preserve"> a wide variety of </w:t>
      </w:r>
      <w:r>
        <w:rPr>
          <w:rFonts w:ascii="Franklin Gothic Book" w:hAnsi="Franklin Gothic Book"/>
          <w:iCs/>
        </w:rPr>
        <w:t>surgical indications</w:t>
      </w:r>
      <w:r w:rsidRPr="00614D01">
        <w:rPr>
          <w:rFonts w:ascii="Franklin Gothic Book" w:hAnsi="Franklin Gothic Book"/>
          <w:iCs/>
        </w:rPr>
        <w:t>, but the D</w:t>
      </w:r>
      <w:r>
        <w:rPr>
          <w:rFonts w:ascii="Franklin Gothic Book" w:hAnsi="Franklin Gothic Book"/>
          <w:iCs/>
        </w:rPr>
        <w:t>C</w:t>
      </w:r>
      <w:r w:rsidRPr="00614D01">
        <w:rPr>
          <w:rFonts w:ascii="Franklin Gothic Book" w:hAnsi="Franklin Gothic Book"/>
          <w:iCs/>
        </w:rPr>
        <w:t xml:space="preserve">AR </w:t>
      </w:r>
      <w:r>
        <w:rPr>
          <w:rFonts w:ascii="Franklin Gothic Book" w:hAnsi="Franklin Gothic Book"/>
          <w:iCs/>
        </w:rPr>
        <w:t>examined</w:t>
      </w:r>
      <w:r w:rsidRPr="00614D01">
        <w:rPr>
          <w:rFonts w:ascii="Franklin Gothic Book" w:hAnsi="Franklin Gothic Book"/>
          <w:iCs/>
        </w:rPr>
        <w:t xml:space="preserve"> </w:t>
      </w:r>
      <w:r>
        <w:rPr>
          <w:rFonts w:ascii="Franklin Gothic Book" w:hAnsi="Franklin Gothic Book"/>
          <w:iCs/>
        </w:rPr>
        <w:t>the</w:t>
      </w:r>
      <w:r w:rsidRPr="00614D01">
        <w:rPr>
          <w:rFonts w:ascii="Franklin Gothic Book" w:hAnsi="Franklin Gothic Book"/>
          <w:iCs/>
        </w:rPr>
        <w:t xml:space="preserve"> exemplar case of knee surgery</w:t>
      </w:r>
      <w:r>
        <w:rPr>
          <w:rFonts w:ascii="Franklin Gothic Book" w:hAnsi="Franklin Gothic Book"/>
          <w:iCs/>
        </w:rPr>
        <w:t>,</w:t>
      </w:r>
      <w:r w:rsidRPr="00614D01">
        <w:rPr>
          <w:rFonts w:ascii="Franklin Gothic Book" w:hAnsi="Franklin Gothic Book"/>
          <w:iCs/>
        </w:rPr>
        <w:t xml:space="preserve"> supplemented by systematic reviews for other </w:t>
      </w:r>
      <w:r>
        <w:rPr>
          <w:rFonts w:ascii="Franklin Gothic Book" w:hAnsi="Franklin Gothic Book"/>
          <w:iCs/>
        </w:rPr>
        <w:t>indications</w:t>
      </w:r>
      <w:r w:rsidRPr="00614D01">
        <w:rPr>
          <w:rFonts w:ascii="Franklin Gothic Book" w:hAnsi="Franklin Gothic Book"/>
          <w:iCs/>
        </w:rPr>
        <w:t xml:space="preserve"> where possible.</w:t>
      </w:r>
      <w:r w:rsidR="00DD3E04">
        <w:rPr>
          <w:rFonts w:ascii="Franklin Gothic Book" w:hAnsi="Franklin Gothic Book"/>
          <w:iCs/>
        </w:rPr>
        <w:t xml:space="preserve"> </w:t>
      </w:r>
      <w:r w:rsidR="00661AE4" w:rsidRPr="00614D01">
        <w:rPr>
          <w:rFonts w:ascii="Franklin Gothic Book" w:hAnsi="Franklin Gothic Book"/>
          <w:iCs/>
        </w:rPr>
        <w:t xml:space="preserve">MSAC considered </w:t>
      </w:r>
      <w:r w:rsidR="00661AE4" w:rsidRPr="00614D01">
        <w:rPr>
          <w:rFonts w:ascii="Franklin Gothic Book" w:hAnsi="Franklin Gothic Book"/>
        </w:rPr>
        <w:t xml:space="preserve">that there was </w:t>
      </w:r>
      <w:r w:rsidR="00DD3E04">
        <w:rPr>
          <w:rFonts w:ascii="Franklin Gothic Book" w:hAnsi="Franklin Gothic Book"/>
          <w:iCs/>
        </w:rPr>
        <w:t>insufficient</w:t>
      </w:r>
      <w:r w:rsidR="00DD3E04" w:rsidRPr="00614D01">
        <w:rPr>
          <w:rFonts w:ascii="Franklin Gothic Book" w:hAnsi="Franklin Gothic Book"/>
          <w:iCs/>
        </w:rPr>
        <w:t xml:space="preserve"> </w:t>
      </w:r>
      <w:r w:rsidR="00661AE4" w:rsidRPr="00614D01">
        <w:rPr>
          <w:rFonts w:ascii="Franklin Gothic Book" w:hAnsi="Franklin Gothic Book"/>
        </w:rPr>
        <w:t xml:space="preserve">evidence for the </w:t>
      </w:r>
      <w:r w:rsidR="00DD3E04">
        <w:rPr>
          <w:rFonts w:ascii="Franklin Gothic Book" w:hAnsi="Franklin Gothic Book"/>
          <w:iCs/>
        </w:rPr>
        <w:t>use</w:t>
      </w:r>
      <w:r w:rsidR="00DD3E04" w:rsidRPr="00614D01">
        <w:rPr>
          <w:rFonts w:ascii="Franklin Gothic Book" w:hAnsi="Franklin Gothic Book"/>
          <w:iCs/>
        </w:rPr>
        <w:t xml:space="preserve"> </w:t>
      </w:r>
      <w:r w:rsidR="00661AE4" w:rsidRPr="00614D01">
        <w:rPr>
          <w:rFonts w:ascii="Franklin Gothic Book" w:hAnsi="Franklin Gothic Book"/>
        </w:rPr>
        <w:t>of CNB for indications</w:t>
      </w:r>
      <w:r w:rsidR="00540BB8">
        <w:rPr>
          <w:rFonts w:ascii="Franklin Gothic Book" w:hAnsi="Franklin Gothic Book"/>
        </w:rPr>
        <w:t xml:space="preserve"> other than </w:t>
      </w:r>
      <w:r w:rsidR="00695461">
        <w:rPr>
          <w:rFonts w:ascii="Franklin Gothic Book" w:hAnsi="Franklin Gothic Book"/>
        </w:rPr>
        <w:t>the exemplar (</w:t>
      </w:r>
      <w:r w:rsidR="00540BB8">
        <w:rPr>
          <w:rFonts w:ascii="Franklin Gothic Book" w:hAnsi="Franklin Gothic Book"/>
        </w:rPr>
        <w:t>knee surgery</w:t>
      </w:r>
      <w:r w:rsidR="00695461">
        <w:rPr>
          <w:rFonts w:ascii="Franklin Gothic Book" w:hAnsi="Franklin Gothic Book"/>
        </w:rPr>
        <w:t>)</w:t>
      </w:r>
      <w:r w:rsidR="000D6C41">
        <w:rPr>
          <w:rFonts w:ascii="Franklin Gothic Book" w:hAnsi="Franklin Gothic Book"/>
          <w:iCs/>
        </w:rPr>
        <w:t>,</w:t>
      </w:r>
      <w:r w:rsidR="00661AE4" w:rsidRPr="00614D01">
        <w:rPr>
          <w:rFonts w:ascii="Franklin Gothic Book" w:hAnsi="Franklin Gothic Book"/>
          <w:iCs/>
        </w:rPr>
        <w:t xml:space="preserve"> </w:t>
      </w:r>
      <w:r w:rsidR="00274583">
        <w:rPr>
          <w:rFonts w:ascii="Franklin Gothic Book" w:hAnsi="Franklin Gothic Book"/>
          <w:iCs/>
        </w:rPr>
        <w:t>and for</w:t>
      </w:r>
      <w:r w:rsidR="00661AE4" w:rsidRPr="00614D01">
        <w:rPr>
          <w:rFonts w:ascii="Franklin Gothic Book" w:hAnsi="Franklin Gothic Book"/>
        </w:rPr>
        <w:t xml:space="preserve"> patient-centred outcomes/experience, quality of life (QoL), data on length of hospital stay, and other value-based care aspects such as overall costs and clinical benefits of the procedure. However, MSAC </w:t>
      </w:r>
      <w:r w:rsidR="00DD3E04">
        <w:rPr>
          <w:rFonts w:ascii="Franklin Gothic Book" w:hAnsi="Franklin Gothic Book"/>
          <w:iCs/>
        </w:rPr>
        <w:t>considered that</w:t>
      </w:r>
      <w:r w:rsidR="00661AE4" w:rsidRPr="00614D01">
        <w:rPr>
          <w:rFonts w:ascii="Franklin Gothic Book" w:hAnsi="Franklin Gothic Book"/>
        </w:rPr>
        <w:t xml:space="preserve"> sufficient </w:t>
      </w:r>
      <w:r w:rsidR="000D6C41">
        <w:rPr>
          <w:rFonts w:ascii="Franklin Gothic Book" w:hAnsi="Franklin Gothic Book"/>
          <w:iCs/>
        </w:rPr>
        <w:t>evidence</w:t>
      </w:r>
      <w:r w:rsidR="000D6C41" w:rsidRPr="00614D01">
        <w:rPr>
          <w:rFonts w:ascii="Franklin Gothic Book" w:hAnsi="Franklin Gothic Book"/>
          <w:iCs/>
        </w:rPr>
        <w:t xml:space="preserve"> </w:t>
      </w:r>
      <w:r w:rsidR="00661AE4" w:rsidRPr="00614D01">
        <w:rPr>
          <w:rFonts w:ascii="Franklin Gothic Book" w:hAnsi="Franklin Gothic Book"/>
        </w:rPr>
        <w:t xml:space="preserve">and adequate patient-reported measures </w:t>
      </w:r>
      <w:r w:rsidR="00DD3E04">
        <w:rPr>
          <w:rFonts w:ascii="Franklin Gothic Book" w:hAnsi="Franklin Gothic Book"/>
          <w:iCs/>
        </w:rPr>
        <w:t xml:space="preserve">were not likely to be forthcoming </w:t>
      </w:r>
      <w:r w:rsidR="00661AE4" w:rsidRPr="00614D01">
        <w:rPr>
          <w:rFonts w:ascii="Franklin Gothic Book" w:hAnsi="Franklin Gothic Book"/>
        </w:rPr>
        <w:t xml:space="preserve">due to the heterogeneity of the indications. </w:t>
      </w:r>
    </w:p>
    <w:p w14:paraId="799E96AB" w14:textId="59AB61FE" w:rsidR="00661AE4" w:rsidRPr="00614D01" w:rsidRDefault="00661AE4" w:rsidP="00661AE4">
      <w:pPr>
        <w:rPr>
          <w:rFonts w:ascii="Franklin Gothic Book" w:hAnsi="Franklin Gothic Book"/>
        </w:rPr>
      </w:pPr>
      <w:r w:rsidRPr="00614D01">
        <w:rPr>
          <w:rFonts w:ascii="Franklin Gothic Book" w:hAnsi="Franklin Gothic Book"/>
        </w:rPr>
        <w:t xml:space="preserve">MSAC noted that the economic evaluation was a cost-effectiveness analysis using a decision tree model and a time horizon of five days. MSAC noted that the PICO stated that a cost-utility analysis would be appropriate, but the DCAR stated this was infeasible due to the available evidence and short time horizon. MSAC noted that the incremental cost per one unit of improvement in pain (versus SNB), measured using a </w:t>
      </w:r>
      <w:r w:rsidR="0064528A">
        <w:rPr>
          <w:rFonts w:ascii="Franklin Gothic Book" w:hAnsi="Franklin Gothic Book"/>
        </w:rPr>
        <w:t>VAS</w:t>
      </w:r>
      <w:r w:rsidRPr="00614D01">
        <w:rPr>
          <w:rFonts w:ascii="Franklin Gothic Book" w:hAnsi="Franklin Gothic Book"/>
        </w:rPr>
        <w:t xml:space="preserve">, was $114.35. The primary drivers of the model were the cost of the catheter and costs for anaesthesia consultation (for catheter management). MSAC noted that there was no ability to model long-term reduction in opioid use when using CNB. There was no modelling provided for health-related </w:t>
      </w:r>
      <w:r w:rsidR="00570288">
        <w:rPr>
          <w:rFonts w:ascii="Franklin Gothic Book" w:hAnsi="Franklin Gothic Book"/>
          <w:iCs/>
        </w:rPr>
        <w:t>quality of life</w:t>
      </w:r>
      <w:r w:rsidR="00570288" w:rsidRPr="00614D01">
        <w:rPr>
          <w:rFonts w:ascii="Franklin Gothic Book" w:hAnsi="Franklin Gothic Book"/>
          <w:iCs/>
        </w:rPr>
        <w:t xml:space="preserve"> </w:t>
      </w:r>
      <w:r w:rsidRPr="00614D01">
        <w:rPr>
          <w:rFonts w:ascii="Franklin Gothic Book" w:hAnsi="Franklin Gothic Book"/>
        </w:rPr>
        <w:t xml:space="preserve">or chronic pain. MSAC </w:t>
      </w:r>
      <w:r w:rsidR="00570288">
        <w:rPr>
          <w:rFonts w:ascii="Franklin Gothic Book" w:hAnsi="Franklin Gothic Book"/>
          <w:iCs/>
        </w:rPr>
        <w:t>considered there was uncertainty in</w:t>
      </w:r>
      <w:r w:rsidRPr="00614D01">
        <w:rPr>
          <w:rFonts w:ascii="Franklin Gothic Book" w:hAnsi="Franklin Gothic Book"/>
        </w:rPr>
        <w:t xml:space="preserve"> how </w:t>
      </w:r>
      <w:r w:rsidR="00570288">
        <w:rPr>
          <w:rFonts w:ascii="Franklin Gothic Book" w:hAnsi="Franklin Gothic Book"/>
          <w:iCs/>
        </w:rPr>
        <w:t>well the economic modelling of</w:t>
      </w:r>
      <w:r w:rsidRPr="00614D01">
        <w:rPr>
          <w:rFonts w:ascii="Franklin Gothic Book" w:hAnsi="Franklin Gothic Book"/>
        </w:rPr>
        <w:t xml:space="preserve"> the exemplar case would </w:t>
      </w:r>
      <w:r w:rsidR="00570288">
        <w:rPr>
          <w:rFonts w:ascii="Franklin Gothic Book" w:hAnsi="Franklin Gothic Book"/>
          <w:iCs/>
        </w:rPr>
        <w:t>generalise</w:t>
      </w:r>
      <w:r w:rsidR="00570288" w:rsidRPr="00614D01">
        <w:rPr>
          <w:rFonts w:ascii="Franklin Gothic Book" w:hAnsi="Franklin Gothic Book"/>
          <w:iCs/>
        </w:rPr>
        <w:t xml:space="preserve"> </w:t>
      </w:r>
      <w:r w:rsidRPr="00614D01">
        <w:rPr>
          <w:rFonts w:ascii="Franklin Gothic Book" w:hAnsi="Franklin Gothic Book"/>
        </w:rPr>
        <w:t xml:space="preserve">to other types of surgery </w:t>
      </w:r>
      <w:r w:rsidR="00907B4F">
        <w:rPr>
          <w:rFonts w:ascii="Franklin Gothic Book" w:hAnsi="Franklin Gothic Book"/>
        </w:rPr>
        <w:t xml:space="preserve">that </w:t>
      </w:r>
      <w:r w:rsidRPr="00614D01">
        <w:rPr>
          <w:rFonts w:ascii="Franklin Gothic Book" w:hAnsi="Franklin Gothic Book"/>
        </w:rPr>
        <w:t xml:space="preserve">this item would </w:t>
      </w:r>
      <w:r w:rsidR="00570288">
        <w:rPr>
          <w:rFonts w:ascii="Franklin Gothic Book" w:hAnsi="Franklin Gothic Book"/>
          <w:iCs/>
        </w:rPr>
        <w:t xml:space="preserve">also </w:t>
      </w:r>
      <w:r w:rsidRPr="00614D01">
        <w:rPr>
          <w:rFonts w:ascii="Franklin Gothic Book" w:hAnsi="Franklin Gothic Book"/>
        </w:rPr>
        <w:t>apply to</w:t>
      </w:r>
      <w:r w:rsidR="00942DC7">
        <w:rPr>
          <w:rFonts w:ascii="Franklin Gothic Book" w:hAnsi="Franklin Gothic Book"/>
          <w:iCs/>
        </w:rPr>
        <w:t>,</w:t>
      </w:r>
      <w:r w:rsidRPr="00614D01">
        <w:rPr>
          <w:rFonts w:ascii="Franklin Gothic Book" w:hAnsi="Franklin Gothic Book"/>
          <w:iCs/>
        </w:rPr>
        <w:t xml:space="preserve"> </w:t>
      </w:r>
      <w:r w:rsidR="00942DC7">
        <w:rPr>
          <w:rFonts w:ascii="Franklin Gothic Book" w:hAnsi="Franklin Gothic Book"/>
          <w:iCs/>
        </w:rPr>
        <w:t>h</w:t>
      </w:r>
      <w:r w:rsidRPr="00614D01">
        <w:rPr>
          <w:rFonts w:ascii="Franklin Gothic Book" w:hAnsi="Franklin Gothic Book"/>
          <w:iCs/>
        </w:rPr>
        <w:t>owever</w:t>
      </w:r>
      <w:r w:rsidR="00942DC7">
        <w:rPr>
          <w:rFonts w:ascii="Franklin Gothic Book" w:hAnsi="Franklin Gothic Book"/>
          <w:iCs/>
        </w:rPr>
        <w:t xml:space="preserve"> on balance</w:t>
      </w:r>
      <w:r w:rsidRPr="00614D01">
        <w:rPr>
          <w:rFonts w:ascii="Franklin Gothic Book" w:hAnsi="Franklin Gothic Book"/>
        </w:rPr>
        <w:t xml:space="preserve"> MSAC considered the economic evaluation was sufficient </w:t>
      </w:r>
      <w:r w:rsidR="00EF04D9">
        <w:rPr>
          <w:rFonts w:ascii="Franklin Gothic Book" w:hAnsi="Franklin Gothic Book"/>
        </w:rPr>
        <w:t>for</w:t>
      </w:r>
      <w:r w:rsidR="00907B4F">
        <w:rPr>
          <w:rFonts w:ascii="Franklin Gothic Book" w:hAnsi="Franklin Gothic Book"/>
        </w:rPr>
        <w:t xml:space="preserve"> </w:t>
      </w:r>
      <w:r w:rsidR="00942DC7">
        <w:rPr>
          <w:rFonts w:ascii="Franklin Gothic Book" w:hAnsi="Franklin Gothic Book"/>
          <w:iCs/>
        </w:rPr>
        <w:t xml:space="preserve">it to be confident </w:t>
      </w:r>
      <w:r w:rsidR="00907B4F">
        <w:rPr>
          <w:rFonts w:ascii="Franklin Gothic Book" w:hAnsi="Franklin Gothic Book"/>
          <w:iCs/>
        </w:rPr>
        <w:t xml:space="preserve">that </w:t>
      </w:r>
      <w:r w:rsidR="00942DC7">
        <w:rPr>
          <w:rFonts w:ascii="Franklin Gothic Book" w:hAnsi="Franklin Gothic Book"/>
          <w:iCs/>
        </w:rPr>
        <w:t>CNB was acceptably cost-effective</w:t>
      </w:r>
      <w:r w:rsidRPr="00614D01">
        <w:rPr>
          <w:rFonts w:ascii="Franklin Gothic Book" w:hAnsi="Franklin Gothic Book"/>
        </w:rPr>
        <w:t>.</w:t>
      </w:r>
    </w:p>
    <w:p w14:paraId="54071B8D" w14:textId="50EB768B" w:rsidR="00661AE4" w:rsidRPr="00614D01" w:rsidRDefault="00661AE4" w:rsidP="00661AE4">
      <w:pPr>
        <w:rPr>
          <w:rFonts w:ascii="Franklin Gothic Book" w:hAnsi="Franklin Gothic Book"/>
        </w:rPr>
      </w:pPr>
      <w:r w:rsidRPr="124150B8">
        <w:rPr>
          <w:rFonts w:ascii="Franklin Gothic Book" w:hAnsi="Franklin Gothic Book"/>
        </w:rPr>
        <w:t xml:space="preserve">MSAC noted that SNB, the main comparator, is currently reimbursed </w:t>
      </w:r>
      <w:r w:rsidR="00F05C17" w:rsidRPr="124150B8">
        <w:rPr>
          <w:rFonts w:ascii="Franklin Gothic Book" w:hAnsi="Franklin Gothic Book"/>
        </w:rPr>
        <w:t xml:space="preserve">under </w:t>
      </w:r>
      <w:r w:rsidRPr="124150B8">
        <w:rPr>
          <w:rFonts w:ascii="Franklin Gothic Book" w:hAnsi="Franklin Gothic Book"/>
        </w:rPr>
        <w:t xml:space="preserve">MBS item 22041 </w:t>
      </w:r>
      <w:r w:rsidR="0754C27B" w:rsidRPr="124150B8">
        <w:rPr>
          <w:rFonts w:ascii="Franklin Gothic Book" w:hAnsi="Franklin Gothic Book"/>
        </w:rPr>
        <w:t xml:space="preserve">with </w:t>
      </w:r>
      <w:r w:rsidRPr="124150B8">
        <w:rPr>
          <w:rFonts w:ascii="Franklin Gothic Book" w:hAnsi="Franklin Gothic Book"/>
        </w:rPr>
        <w:t>a fee of $43.60</w:t>
      </w:r>
      <w:r w:rsidR="007A0A41">
        <w:rPr>
          <w:rFonts w:ascii="Franklin Gothic Book" w:hAnsi="Franklin Gothic Book"/>
        </w:rPr>
        <w:t>,</w:t>
      </w:r>
      <w:r w:rsidRPr="124150B8">
        <w:rPr>
          <w:rFonts w:ascii="Franklin Gothic Book" w:hAnsi="Franklin Gothic Book"/>
        </w:rPr>
        <w:t xml:space="preserve"> </w:t>
      </w:r>
      <w:r w:rsidR="5893CF1F" w:rsidRPr="124150B8">
        <w:rPr>
          <w:rFonts w:ascii="Franklin Gothic Book" w:hAnsi="Franklin Gothic Book"/>
        </w:rPr>
        <w:t xml:space="preserve">which represents </w:t>
      </w:r>
      <w:r w:rsidRPr="124150B8">
        <w:rPr>
          <w:rFonts w:ascii="Franklin Gothic Book" w:hAnsi="Franklin Gothic Book"/>
        </w:rPr>
        <w:t>two basic units</w:t>
      </w:r>
      <w:r w:rsidR="00837B84" w:rsidRPr="124150B8">
        <w:rPr>
          <w:rFonts w:ascii="Franklin Gothic Book" w:hAnsi="Franklin Gothic Book"/>
        </w:rPr>
        <w:t xml:space="preserve"> of the relative value guide</w:t>
      </w:r>
      <w:r w:rsidR="5371BB52" w:rsidRPr="124150B8">
        <w:rPr>
          <w:rFonts w:ascii="Franklin Gothic Book" w:hAnsi="Franklin Gothic Book"/>
        </w:rPr>
        <w:t xml:space="preserve"> (RVG)</w:t>
      </w:r>
      <w:r w:rsidRPr="124150B8">
        <w:rPr>
          <w:rFonts w:ascii="Franklin Gothic Book" w:hAnsi="Franklin Gothic Book"/>
        </w:rPr>
        <w:t xml:space="preserve">. MSAC noted that the </w:t>
      </w:r>
      <w:r w:rsidR="00F05C17" w:rsidRPr="124150B8">
        <w:rPr>
          <w:rFonts w:ascii="Franklin Gothic Book" w:hAnsi="Franklin Gothic Book"/>
        </w:rPr>
        <w:t xml:space="preserve">item </w:t>
      </w:r>
      <w:r w:rsidRPr="124150B8">
        <w:rPr>
          <w:rFonts w:ascii="Franklin Gothic Book" w:hAnsi="Franklin Gothic Book"/>
        </w:rPr>
        <w:t xml:space="preserve">descriptor for </w:t>
      </w:r>
      <w:r w:rsidR="00CC0F80" w:rsidRPr="124150B8">
        <w:rPr>
          <w:rFonts w:ascii="Franklin Gothic Book" w:hAnsi="Franklin Gothic Book"/>
        </w:rPr>
        <w:t>22041</w:t>
      </w:r>
      <w:r w:rsidRPr="124150B8">
        <w:rPr>
          <w:rFonts w:ascii="Franklin Gothic Book" w:hAnsi="Franklin Gothic Book"/>
        </w:rPr>
        <w:t xml:space="preserve"> does not reference “single injection” or the use of a catheter, so anaesthetists who insert a catheter for </w:t>
      </w:r>
      <w:r w:rsidR="00942DC7" w:rsidRPr="124150B8">
        <w:rPr>
          <w:rFonts w:ascii="Franklin Gothic Book" w:hAnsi="Franklin Gothic Book"/>
        </w:rPr>
        <w:t xml:space="preserve">CNB </w:t>
      </w:r>
      <w:r w:rsidR="003D2C6D">
        <w:rPr>
          <w:rFonts w:ascii="Franklin Gothic Book" w:hAnsi="Franklin Gothic Book"/>
        </w:rPr>
        <w:t>may</w:t>
      </w:r>
      <w:r w:rsidR="002606FF">
        <w:rPr>
          <w:rFonts w:ascii="Franklin Gothic Book" w:hAnsi="Franklin Gothic Book"/>
        </w:rPr>
        <w:t xml:space="preserve"> currently</w:t>
      </w:r>
      <w:r w:rsidR="23A62578" w:rsidRPr="124150B8">
        <w:rPr>
          <w:rFonts w:ascii="Franklin Gothic Book" w:hAnsi="Franklin Gothic Book"/>
        </w:rPr>
        <w:t xml:space="preserve"> be claiming existing item 22041 when performing CNB</w:t>
      </w:r>
      <w:r w:rsidRPr="124150B8">
        <w:rPr>
          <w:rFonts w:ascii="Franklin Gothic Book" w:hAnsi="Franklin Gothic Book"/>
        </w:rPr>
        <w:t xml:space="preserve">. MSAC noted that CNB is a variation of the SNB technique and requires the placement of a catheter adjacent to a peripheral nerve or </w:t>
      </w:r>
      <w:r w:rsidR="00DC2FA9" w:rsidRPr="124150B8">
        <w:rPr>
          <w:rFonts w:ascii="Franklin Gothic Book" w:hAnsi="Franklin Gothic Book"/>
        </w:rPr>
        <w:t xml:space="preserve">nerve </w:t>
      </w:r>
      <w:r w:rsidRPr="124150B8">
        <w:rPr>
          <w:rFonts w:ascii="Franklin Gothic Book" w:hAnsi="Franklin Gothic Book"/>
        </w:rPr>
        <w:t xml:space="preserve">plexus. </w:t>
      </w:r>
      <w:r w:rsidR="008D06D7" w:rsidRPr="124150B8">
        <w:rPr>
          <w:rFonts w:ascii="Franklin Gothic Book" w:hAnsi="Franklin Gothic Book"/>
        </w:rPr>
        <w:t xml:space="preserve">In line with the </w:t>
      </w:r>
      <w:r w:rsidR="00C335FB" w:rsidRPr="124150B8">
        <w:rPr>
          <w:rFonts w:ascii="Franklin Gothic Book" w:hAnsi="Franklin Gothic Book"/>
        </w:rPr>
        <w:t xml:space="preserve">MBS Review </w:t>
      </w:r>
      <w:r w:rsidR="008D06D7" w:rsidRPr="124150B8">
        <w:rPr>
          <w:rFonts w:ascii="Franklin Gothic Book" w:hAnsi="Franklin Gothic Book"/>
        </w:rPr>
        <w:t xml:space="preserve">Anaesthesia Clinical Committee’s advice, </w:t>
      </w:r>
      <w:r w:rsidR="00B8708C" w:rsidRPr="124150B8">
        <w:rPr>
          <w:rFonts w:ascii="Franklin Gothic Book" w:hAnsi="Franklin Gothic Book"/>
        </w:rPr>
        <w:t xml:space="preserve">MSAC </w:t>
      </w:r>
      <w:r w:rsidR="008D06D7" w:rsidRPr="124150B8">
        <w:rPr>
          <w:rFonts w:ascii="Franklin Gothic Book" w:hAnsi="Franklin Gothic Book"/>
        </w:rPr>
        <w:t>considered</w:t>
      </w:r>
      <w:r w:rsidRPr="124150B8">
        <w:rPr>
          <w:rFonts w:ascii="Franklin Gothic Book" w:hAnsi="Franklin Gothic Book"/>
        </w:rPr>
        <w:t xml:space="preserve"> CNB to be </w:t>
      </w:r>
      <w:r w:rsidR="00093AC5" w:rsidRPr="124150B8">
        <w:rPr>
          <w:rFonts w:ascii="Franklin Gothic Book" w:hAnsi="Franklin Gothic Book"/>
        </w:rPr>
        <w:t xml:space="preserve">a </w:t>
      </w:r>
      <w:r w:rsidRPr="124150B8">
        <w:rPr>
          <w:rFonts w:ascii="Franklin Gothic Book" w:hAnsi="Franklin Gothic Book"/>
        </w:rPr>
        <w:t xml:space="preserve">more challenging </w:t>
      </w:r>
      <w:r w:rsidR="00093AC5" w:rsidRPr="124150B8">
        <w:rPr>
          <w:rFonts w:ascii="Franklin Gothic Book" w:hAnsi="Franklin Gothic Book"/>
        </w:rPr>
        <w:t xml:space="preserve">procedure </w:t>
      </w:r>
      <w:r w:rsidRPr="124150B8">
        <w:rPr>
          <w:rFonts w:ascii="Franklin Gothic Book" w:hAnsi="Franklin Gothic Book"/>
        </w:rPr>
        <w:t>than SNB.</w:t>
      </w:r>
    </w:p>
    <w:p w14:paraId="5F9414D4" w14:textId="0278FFB2" w:rsidR="00661AE4" w:rsidRPr="00614D01" w:rsidRDefault="3E4D7389" w:rsidP="00661AE4">
      <w:pPr>
        <w:rPr>
          <w:rFonts w:ascii="Franklin Gothic Book" w:hAnsi="Franklin Gothic Book"/>
        </w:rPr>
      </w:pPr>
      <w:r w:rsidRPr="124150B8">
        <w:rPr>
          <w:rFonts w:ascii="Franklin Gothic Book" w:hAnsi="Franklin Gothic Book"/>
        </w:rPr>
        <w:t xml:space="preserve">MSAC </w:t>
      </w:r>
      <w:r w:rsidR="2460C9F7" w:rsidRPr="124150B8">
        <w:rPr>
          <w:rFonts w:ascii="Franklin Gothic Book" w:hAnsi="Franklin Gothic Book"/>
        </w:rPr>
        <w:t xml:space="preserve">further </w:t>
      </w:r>
      <w:r w:rsidRPr="124150B8">
        <w:rPr>
          <w:rFonts w:ascii="Franklin Gothic Book" w:hAnsi="Franklin Gothic Book"/>
        </w:rPr>
        <w:t xml:space="preserve">noted that </w:t>
      </w:r>
      <w:r w:rsidR="64F86B8B" w:rsidRPr="124150B8">
        <w:rPr>
          <w:rFonts w:ascii="Franklin Gothic Book" w:hAnsi="Franklin Gothic Book"/>
        </w:rPr>
        <w:t xml:space="preserve">the RVG </w:t>
      </w:r>
      <w:r w:rsidR="00661AE4" w:rsidRPr="124150B8">
        <w:rPr>
          <w:rFonts w:ascii="Franklin Gothic Book" w:hAnsi="Franklin Gothic Book"/>
        </w:rPr>
        <w:t>is based on complexity and</w:t>
      </w:r>
      <w:r w:rsidR="250521ED" w:rsidRPr="124150B8">
        <w:rPr>
          <w:rFonts w:ascii="Franklin Gothic Book" w:hAnsi="Franklin Gothic Book"/>
        </w:rPr>
        <w:t xml:space="preserve"> </w:t>
      </w:r>
      <w:r w:rsidR="00581FC2">
        <w:rPr>
          <w:rFonts w:ascii="Franklin Gothic Book" w:hAnsi="Franklin Gothic Book"/>
        </w:rPr>
        <w:t xml:space="preserve">this specific item </w:t>
      </w:r>
      <w:r w:rsidR="250521ED" w:rsidRPr="124150B8">
        <w:rPr>
          <w:rFonts w:ascii="Franklin Gothic Book" w:hAnsi="Franklin Gothic Book"/>
        </w:rPr>
        <w:t>does not include a premium for efficacy, although effectiveness does rely on finding the nerve and putting the block in the right place.</w:t>
      </w:r>
      <w:r w:rsidRPr="124150B8">
        <w:rPr>
          <w:rFonts w:ascii="Franklin Gothic Book" w:hAnsi="Franklin Gothic Book"/>
        </w:rPr>
        <w:t xml:space="preserve"> MSAC noted that the applica</w:t>
      </w:r>
      <w:r w:rsidR="4A33A010" w:rsidRPr="124150B8">
        <w:rPr>
          <w:rFonts w:ascii="Franklin Gothic Book" w:hAnsi="Franklin Gothic Book"/>
        </w:rPr>
        <w:t>nt</w:t>
      </w:r>
      <w:r w:rsidRPr="124150B8">
        <w:rPr>
          <w:rFonts w:ascii="Franklin Gothic Book" w:hAnsi="Franklin Gothic Book"/>
        </w:rPr>
        <w:t xml:space="preserve"> </w:t>
      </w:r>
      <w:r w:rsidR="23B3ADDF" w:rsidRPr="124150B8">
        <w:rPr>
          <w:rFonts w:ascii="Franklin Gothic Book" w:hAnsi="Franklin Gothic Book"/>
        </w:rPr>
        <w:t>had</w:t>
      </w:r>
      <w:r w:rsidRPr="124150B8">
        <w:rPr>
          <w:rFonts w:ascii="Franklin Gothic Book" w:hAnsi="Franklin Gothic Book"/>
        </w:rPr>
        <w:t xml:space="preserve"> propos</w:t>
      </w:r>
      <w:r w:rsidR="4A33A010" w:rsidRPr="124150B8">
        <w:rPr>
          <w:rFonts w:ascii="Franklin Gothic Book" w:hAnsi="Franklin Gothic Book"/>
        </w:rPr>
        <w:t>ed</w:t>
      </w:r>
      <w:r w:rsidRPr="124150B8">
        <w:rPr>
          <w:rFonts w:ascii="Franklin Gothic Book" w:hAnsi="Franklin Gothic Book"/>
        </w:rPr>
        <w:t xml:space="preserve"> a fee of $109.00 corresponding to five basic units</w:t>
      </w:r>
      <w:r w:rsidR="5190D962" w:rsidRPr="124150B8">
        <w:rPr>
          <w:rFonts w:ascii="Franklin Gothic Book" w:hAnsi="Franklin Gothic Book"/>
        </w:rPr>
        <w:t>, but</w:t>
      </w:r>
      <w:r w:rsidRPr="124150B8">
        <w:rPr>
          <w:rFonts w:ascii="Franklin Gothic Book" w:hAnsi="Franklin Gothic Book"/>
        </w:rPr>
        <w:t xml:space="preserve"> that the MBS Review </w:t>
      </w:r>
      <w:r w:rsidR="6CB17BB8" w:rsidRPr="124150B8">
        <w:rPr>
          <w:rFonts w:ascii="Franklin Gothic Book" w:hAnsi="Franklin Gothic Book"/>
        </w:rPr>
        <w:t>Anaesthesia</w:t>
      </w:r>
      <w:r w:rsidR="5190D962" w:rsidRPr="124150B8">
        <w:rPr>
          <w:rFonts w:ascii="Franklin Gothic Book" w:hAnsi="Franklin Gothic Book"/>
        </w:rPr>
        <w:t xml:space="preserve"> Clinical</w:t>
      </w:r>
      <w:r w:rsidR="6CB17BB8" w:rsidRPr="124150B8">
        <w:rPr>
          <w:rFonts w:ascii="Franklin Gothic Book" w:hAnsi="Franklin Gothic Book"/>
        </w:rPr>
        <w:t xml:space="preserve"> </w:t>
      </w:r>
      <w:r w:rsidRPr="124150B8">
        <w:rPr>
          <w:rFonts w:ascii="Franklin Gothic Book" w:hAnsi="Franklin Gothic Book"/>
        </w:rPr>
        <w:t xml:space="preserve">Committee </w:t>
      </w:r>
      <w:r w:rsidR="6CB17BB8" w:rsidRPr="124150B8">
        <w:rPr>
          <w:rFonts w:ascii="Franklin Gothic Book" w:hAnsi="Franklin Gothic Book"/>
        </w:rPr>
        <w:t xml:space="preserve">had </w:t>
      </w:r>
      <w:r w:rsidRPr="124150B8">
        <w:rPr>
          <w:rFonts w:ascii="Franklin Gothic Book" w:hAnsi="Franklin Gothic Book"/>
        </w:rPr>
        <w:t xml:space="preserve">advised that the complexity of the procedure </w:t>
      </w:r>
      <w:r w:rsidR="047CD1D2" w:rsidRPr="124150B8">
        <w:rPr>
          <w:rFonts w:ascii="Franklin Gothic Book" w:hAnsi="Franklin Gothic Book"/>
        </w:rPr>
        <w:t>warranted</w:t>
      </w:r>
      <w:r w:rsidR="6CB17BB8" w:rsidRPr="124150B8">
        <w:rPr>
          <w:rFonts w:ascii="Franklin Gothic Book" w:hAnsi="Franklin Gothic Book"/>
        </w:rPr>
        <w:t xml:space="preserve"> </w:t>
      </w:r>
      <w:r w:rsidRPr="124150B8">
        <w:rPr>
          <w:rFonts w:ascii="Franklin Gothic Book" w:hAnsi="Franklin Gothic Book"/>
        </w:rPr>
        <w:t>four basic units. MSAC considered that the complexity and effectiveness of a nerve block procedure was related to identifying nerves and placing the block in the correct position</w:t>
      </w:r>
      <w:r w:rsidR="6CB17BB8" w:rsidRPr="124150B8">
        <w:rPr>
          <w:rFonts w:ascii="Franklin Gothic Book" w:hAnsi="Franklin Gothic Book"/>
        </w:rPr>
        <w:t>,</w:t>
      </w:r>
      <w:r w:rsidRPr="124150B8">
        <w:rPr>
          <w:rFonts w:ascii="Franklin Gothic Book" w:hAnsi="Franklin Gothic Book"/>
        </w:rPr>
        <w:t xml:space="preserve"> </w:t>
      </w:r>
      <w:r w:rsidR="6CB17BB8" w:rsidRPr="124150B8">
        <w:rPr>
          <w:rFonts w:ascii="Franklin Gothic Book" w:hAnsi="Franklin Gothic Book"/>
        </w:rPr>
        <w:t>and</w:t>
      </w:r>
      <w:r w:rsidRPr="124150B8">
        <w:rPr>
          <w:rFonts w:ascii="Franklin Gothic Book" w:hAnsi="Franklin Gothic Book"/>
        </w:rPr>
        <w:t xml:space="preserve"> the placement of a catheter did not </w:t>
      </w:r>
      <w:r w:rsidR="1479BEC6" w:rsidRPr="124150B8">
        <w:rPr>
          <w:rFonts w:ascii="Franklin Gothic Book" w:hAnsi="Franklin Gothic Book"/>
        </w:rPr>
        <w:t xml:space="preserve">warrant </w:t>
      </w:r>
      <w:r w:rsidR="62508FF3" w:rsidRPr="124150B8">
        <w:rPr>
          <w:rFonts w:ascii="Franklin Gothic Book" w:hAnsi="Franklin Gothic Book"/>
        </w:rPr>
        <w:t>three</w:t>
      </w:r>
      <w:r w:rsidR="64F86B8B" w:rsidRPr="124150B8">
        <w:rPr>
          <w:rFonts w:ascii="Franklin Gothic Book" w:hAnsi="Franklin Gothic Book"/>
        </w:rPr>
        <w:t xml:space="preserve"> units more</w:t>
      </w:r>
      <w:r w:rsidRPr="124150B8">
        <w:rPr>
          <w:rFonts w:ascii="Franklin Gothic Book" w:hAnsi="Franklin Gothic Book"/>
        </w:rPr>
        <w:t xml:space="preserve"> complexity </w:t>
      </w:r>
      <w:r w:rsidR="64F86B8B" w:rsidRPr="124150B8">
        <w:rPr>
          <w:rFonts w:ascii="Franklin Gothic Book" w:hAnsi="Franklin Gothic Book"/>
        </w:rPr>
        <w:t>than</w:t>
      </w:r>
      <w:r w:rsidRPr="124150B8">
        <w:rPr>
          <w:rFonts w:ascii="Franklin Gothic Book" w:hAnsi="Franklin Gothic Book"/>
        </w:rPr>
        <w:t xml:space="preserve"> SNB. MSAC considered that </w:t>
      </w:r>
      <w:r w:rsidR="0076086E">
        <w:rPr>
          <w:rFonts w:ascii="Franklin Gothic Book" w:hAnsi="Franklin Gothic Book"/>
        </w:rPr>
        <w:t xml:space="preserve">a </w:t>
      </w:r>
      <w:r w:rsidRPr="124150B8">
        <w:rPr>
          <w:rFonts w:ascii="Franklin Gothic Book" w:hAnsi="Franklin Gothic Book"/>
        </w:rPr>
        <w:t>neuraxial block with or without catheter insertion</w:t>
      </w:r>
      <w:r w:rsidR="75E21E79" w:rsidRPr="124150B8">
        <w:rPr>
          <w:rFonts w:ascii="Franklin Gothic Book" w:hAnsi="Franklin Gothic Book"/>
        </w:rPr>
        <w:t xml:space="preserve"> (MBS item 22031</w:t>
      </w:r>
      <w:r w:rsidR="0076086E">
        <w:rPr>
          <w:rFonts w:ascii="Franklin Gothic Book" w:hAnsi="Franklin Gothic Book"/>
        </w:rPr>
        <w:t>;</w:t>
      </w:r>
      <w:r w:rsidR="66A73513" w:rsidRPr="124150B8">
        <w:rPr>
          <w:rFonts w:ascii="Franklin Gothic Book" w:hAnsi="Franklin Gothic Book"/>
        </w:rPr>
        <w:t xml:space="preserve"> fee of $109.00</w:t>
      </w:r>
      <w:r w:rsidR="0076086E">
        <w:rPr>
          <w:rFonts w:ascii="Franklin Gothic Book" w:hAnsi="Franklin Gothic Book"/>
        </w:rPr>
        <w:t>,</w:t>
      </w:r>
      <w:r w:rsidR="66A73513" w:rsidRPr="124150B8">
        <w:rPr>
          <w:rFonts w:ascii="Franklin Gothic Book" w:hAnsi="Franklin Gothic Book"/>
        </w:rPr>
        <w:t xml:space="preserve"> which represents</w:t>
      </w:r>
      <w:r w:rsidR="1B0C0284" w:rsidRPr="124150B8">
        <w:rPr>
          <w:rFonts w:ascii="Franklin Gothic Book" w:hAnsi="Franklin Gothic Book"/>
        </w:rPr>
        <w:t xml:space="preserve"> </w:t>
      </w:r>
      <w:r w:rsidRPr="124150B8">
        <w:rPr>
          <w:rFonts w:ascii="Franklin Gothic Book" w:hAnsi="Franklin Gothic Book"/>
        </w:rPr>
        <w:t>five basic units</w:t>
      </w:r>
      <w:r w:rsidR="041A5ABC" w:rsidRPr="124150B8">
        <w:rPr>
          <w:rFonts w:ascii="Franklin Gothic Book" w:hAnsi="Franklin Gothic Book"/>
        </w:rPr>
        <w:t xml:space="preserve"> of the RVG</w:t>
      </w:r>
      <w:r w:rsidR="0076086E">
        <w:rPr>
          <w:rFonts w:ascii="Franklin Gothic Book" w:hAnsi="Franklin Gothic Book"/>
        </w:rPr>
        <w:t>)</w:t>
      </w:r>
      <w:r w:rsidR="4701E8C0" w:rsidRPr="124150B8">
        <w:rPr>
          <w:rFonts w:ascii="Franklin Gothic Book" w:hAnsi="Franklin Gothic Book"/>
        </w:rPr>
        <w:t xml:space="preserve">, </w:t>
      </w:r>
      <w:r w:rsidR="74DC3229" w:rsidRPr="124150B8">
        <w:rPr>
          <w:rFonts w:ascii="Franklin Gothic Book" w:hAnsi="Franklin Gothic Book"/>
        </w:rPr>
        <w:t>ha</w:t>
      </w:r>
      <w:r w:rsidR="2312E66C" w:rsidRPr="124150B8">
        <w:rPr>
          <w:rFonts w:ascii="Franklin Gothic Book" w:hAnsi="Franklin Gothic Book"/>
        </w:rPr>
        <w:t>s</w:t>
      </w:r>
      <w:r w:rsidR="1479BEC6" w:rsidRPr="124150B8">
        <w:rPr>
          <w:rFonts w:ascii="Franklin Gothic Book" w:hAnsi="Franklin Gothic Book"/>
        </w:rPr>
        <w:t xml:space="preserve"> </w:t>
      </w:r>
      <w:r w:rsidRPr="124150B8">
        <w:rPr>
          <w:rFonts w:ascii="Franklin Gothic Book" w:hAnsi="Franklin Gothic Book"/>
        </w:rPr>
        <w:t xml:space="preserve">a </w:t>
      </w:r>
      <w:r w:rsidR="74DC3229" w:rsidRPr="124150B8">
        <w:rPr>
          <w:rFonts w:ascii="Franklin Gothic Book" w:hAnsi="Franklin Gothic Book"/>
        </w:rPr>
        <w:t xml:space="preserve">higher </w:t>
      </w:r>
      <w:r w:rsidR="1479BEC6" w:rsidRPr="124150B8">
        <w:rPr>
          <w:rFonts w:ascii="Franklin Gothic Book" w:hAnsi="Franklin Gothic Book"/>
        </w:rPr>
        <w:t>complex</w:t>
      </w:r>
      <w:r w:rsidR="74DC3229" w:rsidRPr="124150B8">
        <w:rPr>
          <w:rFonts w:ascii="Franklin Gothic Book" w:hAnsi="Franklin Gothic Book"/>
        </w:rPr>
        <w:t>ity</w:t>
      </w:r>
      <w:r w:rsidR="1479BEC6" w:rsidRPr="124150B8">
        <w:rPr>
          <w:rFonts w:ascii="Franklin Gothic Book" w:hAnsi="Franklin Gothic Book"/>
        </w:rPr>
        <w:t xml:space="preserve"> </w:t>
      </w:r>
      <w:r w:rsidRPr="124150B8">
        <w:rPr>
          <w:rFonts w:ascii="Franklin Gothic Book" w:hAnsi="Franklin Gothic Book"/>
        </w:rPr>
        <w:t xml:space="preserve">than </w:t>
      </w:r>
      <w:r w:rsidR="74DC3229" w:rsidRPr="124150B8">
        <w:rPr>
          <w:rFonts w:ascii="Franklin Gothic Book" w:hAnsi="Franklin Gothic Book"/>
        </w:rPr>
        <w:t>CNB</w:t>
      </w:r>
      <w:r w:rsidRPr="124150B8">
        <w:rPr>
          <w:rFonts w:ascii="Franklin Gothic Book" w:hAnsi="Franklin Gothic Book"/>
        </w:rPr>
        <w:t xml:space="preserve">. Therefore, MSAC </w:t>
      </w:r>
      <w:r w:rsidR="4AA3663B" w:rsidRPr="124150B8">
        <w:rPr>
          <w:rFonts w:ascii="Franklin Gothic Book" w:hAnsi="Franklin Gothic Book"/>
        </w:rPr>
        <w:t xml:space="preserve">advised </w:t>
      </w:r>
      <w:r w:rsidRPr="124150B8">
        <w:rPr>
          <w:rFonts w:ascii="Franklin Gothic Book" w:hAnsi="Franklin Gothic Book"/>
        </w:rPr>
        <w:t xml:space="preserve">that </w:t>
      </w:r>
      <w:r w:rsidR="1A7116B0" w:rsidRPr="124150B8">
        <w:rPr>
          <w:rFonts w:ascii="Franklin Gothic Book" w:hAnsi="Franklin Gothic Book"/>
        </w:rPr>
        <w:t xml:space="preserve">four basic units, corresponding to </w:t>
      </w:r>
      <w:r w:rsidRPr="124150B8">
        <w:rPr>
          <w:rFonts w:ascii="Franklin Gothic Book" w:hAnsi="Franklin Gothic Book"/>
        </w:rPr>
        <w:t>a</w:t>
      </w:r>
      <w:r w:rsidR="1A7116B0" w:rsidRPr="124150B8">
        <w:rPr>
          <w:rFonts w:ascii="Franklin Gothic Book" w:hAnsi="Franklin Gothic Book"/>
        </w:rPr>
        <w:t xml:space="preserve"> current</w:t>
      </w:r>
      <w:r w:rsidRPr="124150B8">
        <w:rPr>
          <w:rFonts w:ascii="Franklin Gothic Book" w:hAnsi="Franklin Gothic Book"/>
        </w:rPr>
        <w:t xml:space="preserve"> fee of $8</w:t>
      </w:r>
      <w:r w:rsidR="004F24B9">
        <w:rPr>
          <w:rFonts w:ascii="Franklin Gothic Book" w:hAnsi="Franklin Gothic Book"/>
        </w:rPr>
        <w:t>7.20</w:t>
      </w:r>
      <w:r w:rsidRPr="124150B8">
        <w:rPr>
          <w:rFonts w:ascii="Franklin Gothic Book" w:hAnsi="Franklin Gothic Book"/>
        </w:rPr>
        <w:t>, was appropriate for the proposed CNB procedure</w:t>
      </w:r>
      <w:r w:rsidR="7815DBDF" w:rsidRPr="124150B8">
        <w:rPr>
          <w:rFonts w:ascii="Franklin Gothic Book" w:hAnsi="Franklin Gothic Book"/>
        </w:rPr>
        <w:t xml:space="preserve">. </w:t>
      </w:r>
      <w:r w:rsidRPr="124150B8">
        <w:rPr>
          <w:rFonts w:ascii="Franklin Gothic Book" w:hAnsi="Franklin Gothic Book"/>
        </w:rPr>
        <w:t xml:space="preserve">MSAC also noted that follow-up </w:t>
      </w:r>
      <w:r w:rsidR="201B5F4E" w:rsidRPr="124150B8">
        <w:rPr>
          <w:rFonts w:ascii="Franklin Gothic Book" w:hAnsi="Franklin Gothic Book"/>
        </w:rPr>
        <w:t xml:space="preserve">requirements may exist for both SNB and CNB, and these </w:t>
      </w:r>
      <w:r w:rsidRPr="124150B8">
        <w:rPr>
          <w:rFonts w:ascii="Franklin Gothic Book" w:hAnsi="Franklin Gothic Book"/>
        </w:rPr>
        <w:t xml:space="preserve">are </w:t>
      </w:r>
      <w:r w:rsidR="201B5F4E" w:rsidRPr="124150B8">
        <w:rPr>
          <w:rFonts w:ascii="Franklin Gothic Book" w:hAnsi="Franklin Gothic Book"/>
        </w:rPr>
        <w:t xml:space="preserve">already funded </w:t>
      </w:r>
      <w:r w:rsidRPr="124150B8">
        <w:rPr>
          <w:rFonts w:ascii="Franklin Gothic Book" w:hAnsi="Franklin Gothic Book"/>
        </w:rPr>
        <w:t xml:space="preserve">by </w:t>
      </w:r>
      <w:r w:rsidR="201B5F4E" w:rsidRPr="124150B8">
        <w:rPr>
          <w:rFonts w:ascii="Franklin Gothic Book" w:hAnsi="Franklin Gothic Book"/>
        </w:rPr>
        <w:t xml:space="preserve">other </w:t>
      </w:r>
      <w:r w:rsidR="18435664" w:rsidRPr="124150B8">
        <w:rPr>
          <w:rFonts w:ascii="Franklin Gothic Book" w:hAnsi="Franklin Gothic Book"/>
        </w:rPr>
        <w:t>MBS</w:t>
      </w:r>
      <w:r w:rsidRPr="124150B8">
        <w:rPr>
          <w:rFonts w:ascii="Franklin Gothic Book" w:hAnsi="Franklin Gothic Book"/>
        </w:rPr>
        <w:t xml:space="preserve"> item</w:t>
      </w:r>
      <w:r w:rsidR="18435664" w:rsidRPr="124150B8">
        <w:rPr>
          <w:rFonts w:ascii="Franklin Gothic Book" w:hAnsi="Franklin Gothic Book"/>
        </w:rPr>
        <w:t>s</w:t>
      </w:r>
      <w:r w:rsidRPr="124150B8">
        <w:rPr>
          <w:rFonts w:ascii="Franklin Gothic Book" w:hAnsi="Franklin Gothic Book"/>
        </w:rPr>
        <w:t>.</w:t>
      </w:r>
    </w:p>
    <w:p w14:paraId="2B9B6ADE" w14:textId="602A9584" w:rsidR="00614D01" w:rsidRPr="008E617D" w:rsidRDefault="00005ADD" w:rsidP="000B2954">
      <w:pPr>
        <w:rPr>
          <w:rFonts w:ascii="Arial Narrow" w:hAnsi="Arial Narrow"/>
          <w:iCs/>
          <w:sz w:val="18"/>
          <w:szCs w:val="18"/>
        </w:rPr>
      </w:pPr>
      <w:r>
        <w:rPr>
          <w:rFonts w:ascii="Franklin Gothic Book" w:hAnsi="Franklin Gothic Book"/>
          <w:iCs/>
        </w:rPr>
        <w:t xml:space="preserve">MSAC </w:t>
      </w:r>
      <w:r w:rsidR="00123DB5">
        <w:rPr>
          <w:rFonts w:ascii="Franklin Gothic Book" w:hAnsi="Franklin Gothic Book"/>
          <w:iCs/>
        </w:rPr>
        <w:t xml:space="preserve">noted </w:t>
      </w:r>
      <w:r w:rsidR="006A15BF">
        <w:rPr>
          <w:rFonts w:ascii="Franklin Gothic Book" w:hAnsi="Franklin Gothic Book"/>
          <w:iCs/>
        </w:rPr>
        <w:t>that</w:t>
      </w:r>
      <w:r w:rsidR="00123DB5">
        <w:rPr>
          <w:rFonts w:ascii="Franklin Gothic Book" w:hAnsi="Franklin Gothic Book"/>
          <w:iCs/>
        </w:rPr>
        <w:t xml:space="preserve"> it may not be possible to insert a catheter beyond the knee or elbow, and </w:t>
      </w:r>
      <w:r>
        <w:rPr>
          <w:rFonts w:ascii="Franklin Gothic Book" w:hAnsi="Franklin Gothic Book"/>
          <w:iCs/>
        </w:rPr>
        <w:t xml:space="preserve">considered it was not </w:t>
      </w:r>
      <w:r w:rsidR="00541DE3">
        <w:rPr>
          <w:rFonts w:ascii="Franklin Gothic Book" w:hAnsi="Franklin Gothic Book"/>
          <w:iCs/>
        </w:rPr>
        <w:t xml:space="preserve">necessary to specify </w:t>
      </w:r>
      <w:r w:rsidR="007D3781">
        <w:rPr>
          <w:rFonts w:ascii="Franklin Gothic Book" w:hAnsi="Franklin Gothic Book"/>
          <w:iCs/>
        </w:rPr>
        <w:t xml:space="preserve">the </w:t>
      </w:r>
      <w:r w:rsidR="00123DB5">
        <w:rPr>
          <w:rFonts w:ascii="Franklin Gothic Book" w:hAnsi="Franklin Gothic Book"/>
          <w:iCs/>
        </w:rPr>
        <w:t>sites for CNB</w:t>
      </w:r>
      <w:r w:rsidR="00541DE3">
        <w:rPr>
          <w:rFonts w:ascii="Franklin Gothic Book" w:hAnsi="Franklin Gothic Book"/>
          <w:iCs/>
        </w:rPr>
        <w:t xml:space="preserve">, </w:t>
      </w:r>
      <w:r w:rsidR="00123DB5">
        <w:rPr>
          <w:rFonts w:ascii="Franklin Gothic Book" w:hAnsi="Franklin Gothic Book"/>
          <w:iCs/>
        </w:rPr>
        <w:t>supporting a site-agnostic item descriptor</w:t>
      </w:r>
      <w:r w:rsidR="000B2954">
        <w:rPr>
          <w:rFonts w:ascii="Franklin Gothic Book" w:hAnsi="Franklin Gothic Book"/>
          <w:iCs/>
        </w:rPr>
        <w:t xml:space="preserve"> (</w:t>
      </w:r>
      <w:r w:rsidR="000B2954">
        <w:rPr>
          <w:rFonts w:ascii="Franklin Gothic Book" w:hAnsi="Franklin Gothic Book"/>
          <w:iCs/>
        </w:rPr>
        <w:fldChar w:fldCharType="begin"/>
      </w:r>
      <w:r w:rsidR="000B2954">
        <w:rPr>
          <w:rFonts w:ascii="Franklin Gothic Book" w:hAnsi="Franklin Gothic Book"/>
          <w:iCs/>
        </w:rPr>
        <w:instrText xml:space="preserve"> REF _Ref164168987  \* MERGEFORMAT </w:instrText>
      </w:r>
      <w:r w:rsidR="000B2954">
        <w:rPr>
          <w:rFonts w:ascii="Franklin Gothic Book" w:hAnsi="Franklin Gothic Book"/>
          <w:iCs/>
        </w:rPr>
        <w:fldChar w:fldCharType="separate"/>
      </w:r>
      <w:r w:rsidR="000B2954" w:rsidRPr="00F927CF">
        <w:rPr>
          <w:rFonts w:ascii="Franklin Gothic Book" w:hAnsi="Franklin Gothic Book"/>
          <w:iCs/>
        </w:rPr>
        <w:t>Table 1</w:t>
      </w:r>
      <w:r w:rsidR="000B2954">
        <w:rPr>
          <w:rFonts w:ascii="Franklin Gothic Book" w:hAnsi="Franklin Gothic Book"/>
          <w:iCs/>
        </w:rPr>
        <w:fldChar w:fldCharType="end"/>
      </w:r>
      <w:r w:rsidR="000B2954">
        <w:rPr>
          <w:rFonts w:ascii="Franklin Gothic Book" w:hAnsi="Franklin Gothic Book"/>
          <w:iCs/>
        </w:rPr>
        <w:t>)</w:t>
      </w:r>
      <w:r w:rsidR="007D3781">
        <w:rPr>
          <w:rFonts w:ascii="Franklin Gothic Book" w:hAnsi="Franklin Gothic Book"/>
          <w:iCs/>
        </w:rPr>
        <w:t xml:space="preserve">. </w:t>
      </w:r>
    </w:p>
    <w:p w14:paraId="4EEFE780" w14:textId="0139D61A" w:rsidR="00661AE4" w:rsidRPr="00614D01" w:rsidRDefault="00661AE4" w:rsidP="00661AE4">
      <w:pPr>
        <w:rPr>
          <w:rFonts w:ascii="Franklin Gothic Book" w:hAnsi="Franklin Gothic Book"/>
        </w:rPr>
      </w:pPr>
      <w:r w:rsidRPr="00614D01">
        <w:rPr>
          <w:rFonts w:ascii="Franklin Gothic Book" w:hAnsi="Franklin Gothic Book"/>
        </w:rPr>
        <w:t xml:space="preserve">MSAC noted that </w:t>
      </w:r>
      <w:r w:rsidR="00E8664E">
        <w:rPr>
          <w:rFonts w:ascii="Franklin Gothic Book" w:hAnsi="Franklin Gothic Book"/>
          <w:iCs/>
        </w:rPr>
        <w:t xml:space="preserve">in </w:t>
      </w:r>
      <w:r w:rsidRPr="00614D01">
        <w:rPr>
          <w:rFonts w:ascii="Franklin Gothic Book" w:hAnsi="Franklin Gothic Book"/>
        </w:rPr>
        <w:t xml:space="preserve">the pre-MSAC response </w:t>
      </w:r>
      <w:r w:rsidR="00E8664E">
        <w:rPr>
          <w:rFonts w:ascii="Franklin Gothic Book" w:hAnsi="Franklin Gothic Book"/>
          <w:iCs/>
        </w:rPr>
        <w:t xml:space="preserve">the applicant </w:t>
      </w:r>
      <w:r w:rsidRPr="00614D01">
        <w:rPr>
          <w:rFonts w:ascii="Franklin Gothic Book" w:hAnsi="Franklin Gothic Book"/>
        </w:rPr>
        <w:t xml:space="preserve">disputed the costs for SNB, stating that, because ultrasound will also be used for the comparator, ultrasound costs should have </w:t>
      </w:r>
      <w:r w:rsidRPr="00614D01">
        <w:rPr>
          <w:rFonts w:ascii="Franklin Gothic Book" w:hAnsi="Franklin Gothic Book"/>
        </w:rPr>
        <w:lastRenderedPageBreak/>
        <w:t xml:space="preserve">been included. However, MSAC considered that there should not be an added fee for ultrasound </w:t>
      </w:r>
      <w:r w:rsidR="00DA69D2">
        <w:rPr>
          <w:rFonts w:ascii="Franklin Gothic Book" w:hAnsi="Franklin Gothic Book"/>
          <w:iCs/>
        </w:rPr>
        <w:t>because it forms</w:t>
      </w:r>
      <w:r w:rsidR="00DA69D2" w:rsidRPr="00614D01">
        <w:rPr>
          <w:rFonts w:ascii="Franklin Gothic Book" w:hAnsi="Franklin Gothic Book"/>
          <w:iCs/>
        </w:rPr>
        <w:t xml:space="preserve"> </w:t>
      </w:r>
      <w:r w:rsidRPr="00614D01">
        <w:rPr>
          <w:rFonts w:ascii="Franklin Gothic Book" w:hAnsi="Franklin Gothic Book"/>
        </w:rPr>
        <w:t>part of the package of care.</w:t>
      </w:r>
    </w:p>
    <w:p w14:paraId="6490F536" w14:textId="31AFCF9B" w:rsidR="00661AE4" w:rsidRPr="00614D01" w:rsidRDefault="00661AE4" w:rsidP="00661AE4">
      <w:pPr>
        <w:rPr>
          <w:rFonts w:ascii="Franklin Gothic Book" w:hAnsi="Franklin Gothic Book"/>
        </w:rPr>
      </w:pPr>
      <w:r w:rsidRPr="00614D01">
        <w:rPr>
          <w:rFonts w:ascii="Franklin Gothic Book" w:hAnsi="Franklin Gothic Book"/>
        </w:rPr>
        <w:t xml:space="preserve">MSAC noted that there was a gap of $206.88 between the estimated cost for </w:t>
      </w:r>
      <w:r w:rsidR="000D7483">
        <w:rPr>
          <w:rFonts w:ascii="Franklin Gothic Book" w:hAnsi="Franklin Gothic Book"/>
          <w:iCs/>
        </w:rPr>
        <w:t>a CNB</w:t>
      </w:r>
      <w:r w:rsidRPr="00614D01">
        <w:rPr>
          <w:rFonts w:ascii="Franklin Gothic Book" w:hAnsi="Franklin Gothic Book"/>
        </w:rPr>
        <w:t xml:space="preserve"> ($315.88, which includes the cost of a disposable pump) and the proposed MBS fee ($109.00). </w:t>
      </w:r>
      <w:r w:rsidR="006A3B6D">
        <w:rPr>
          <w:rFonts w:ascii="Franklin Gothic Book" w:hAnsi="Franklin Gothic Book"/>
          <w:iCs/>
        </w:rPr>
        <w:t>Reducing</w:t>
      </w:r>
      <w:r w:rsidRPr="00614D01">
        <w:rPr>
          <w:rFonts w:ascii="Franklin Gothic Book" w:hAnsi="Franklin Gothic Book"/>
        </w:rPr>
        <w:t xml:space="preserve"> the MBS fee increased the gap to $</w:t>
      </w:r>
      <w:r w:rsidR="00E8664E">
        <w:rPr>
          <w:rFonts w:ascii="Franklin Gothic Book" w:hAnsi="Franklin Gothic Book"/>
          <w:iCs/>
        </w:rPr>
        <w:t>2</w:t>
      </w:r>
      <w:r w:rsidR="00AF2CF6">
        <w:rPr>
          <w:rFonts w:ascii="Franklin Gothic Book" w:hAnsi="Franklin Gothic Book"/>
          <w:iCs/>
        </w:rPr>
        <w:t>28.68</w:t>
      </w:r>
      <w:r w:rsidRPr="00614D01">
        <w:rPr>
          <w:rFonts w:ascii="Franklin Gothic Book" w:hAnsi="Franklin Gothic Book"/>
          <w:iCs/>
        </w:rPr>
        <w:t>.</w:t>
      </w:r>
      <w:r w:rsidRPr="00614D01">
        <w:rPr>
          <w:rFonts w:ascii="Franklin Gothic Book" w:hAnsi="Franklin Gothic Book"/>
        </w:rPr>
        <w:t xml:space="preserve"> MSAC noted that there were no data on out-of-pocket costs for the comparator, so the base case assumed they were equal to the out-of-pocket cost for the intervention. For MBS item 22031, in the private setting in 2021–2022, 98% of services </w:t>
      </w:r>
      <w:r w:rsidR="002F28D4">
        <w:rPr>
          <w:rFonts w:ascii="Franklin Gothic Book" w:hAnsi="Franklin Gothic Book"/>
        </w:rPr>
        <w:t>involved</w:t>
      </w:r>
      <w:r w:rsidRPr="00614D01">
        <w:rPr>
          <w:rFonts w:ascii="Franklin Gothic Book" w:hAnsi="Franklin Gothic Book"/>
        </w:rPr>
        <w:t xml:space="preserve"> out-of-pocket costs, typically $204. No out-of-pocket cost data were available for MBS item 22041. MSAC noted that, in their comments on the ratified PICO confirmation, the applicant clarified that the estimated cost for the service (at the time, $303.56) was an estimated maximum charge for the service and incorporated the cost of catheters, which are currently </w:t>
      </w:r>
      <w:r w:rsidR="00DA69D2">
        <w:rPr>
          <w:rFonts w:ascii="Franklin Gothic Book" w:hAnsi="Franklin Gothic Book"/>
          <w:iCs/>
        </w:rPr>
        <w:t>paid for</w:t>
      </w:r>
      <w:r w:rsidR="00DA69D2" w:rsidRPr="00614D01">
        <w:rPr>
          <w:rFonts w:ascii="Franklin Gothic Book" w:hAnsi="Franklin Gothic Book"/>
          <w:iCs/>
        </w:rPr>
        <w:t xml:space="preserve"> </w:t>
      </w:r>
      <w:r w:rsidRPr="00614D01">
        <w:rPr>
          <w:rFonts w:ascii="Franklin Gothic Book" w:hAnsi="Franklin Gothic Book"/>
        </w:rPr>
        <w:t xml:space="preserve">by hospitals. The applicant had stated that the figure was “not indicative of the actual charge for the service to the patient, and that an out-of-pocket expense for this service is not likely to be charged to the patient”. The applicant had also stated that “the [Australian Society of Anaesthetists] will provide further input on the proposed fees for the service. Any charge for the service will be in line with the MBS fee and Private Health Insurers rebate schedules”. </w:t>
      </w:r>
      <w:r w:rsidR="00E8664E">
        <w:rPr>
          <w:rFonts w:ascii="Franklin Gothic Book" w:hAnsi="Franklin Gothic Book"/>
          <w:iCs/>
        </w:rPr>
        <w:t xml:space="preserve">MSAC considered that while funding CNB at four units may result in higher out-of-pocket costs for patients than funding it at five units, four units was the appropriate fee based on complexity, and that </w:t>
      </w:r>
      <w:r w:rsidR="00FD7B39">
        <w:rPr>
          <w:rFonts w:ascii="Franklin Gothic Book" w:hAnsi="Franklin Gothic Book"/>
          <w:iCs/>
        </w:rPr>
        <w:t xml:space="preserve">MSAC can advise on the MBS fee but </w:t>
      </w:r>
      <w:r w:rsidR="006106B3">
        <w:rPr>
          <w:rFonts w:ascii="Franklin Gothic Book" w:hAnsi="Franklin Gothic Book"/>
          <w:iCs/>
        </w:rPr>
        <w:t>does not</w:t>
      </w:r>
      <w:r w:rsidR="00E8664E">
        <w:rPr>
          <w:rFonts w:ascii="Franklin Gothic Book" w:hAnsi="Franklin Gothic Book"/>
          <w:iCs/>
        </w:rPr>
        <w:t xml:space="preserve"> determine </w:t>
      </w:r>
      <w:r w:rsidR="00FD7B39">
        <w:rPr>
          <w:rFonts w:ascii="Franklin Gothic Book" w:hAnsi="Franklin Gothic Book"/>
          <w:iCs/>
        </w:rPr>
        <w:t>the</w:t>
      </w:r>
      <w:r w:rsidR="00E8664E">
        <w:rPr>
          <w:rFonts w:ascii="Franklin Gothic Book" w:hAnsi="Franklin Gothic Book"/>
          <w:iCs/>
        </w:rPr>
        <w:t xml:space="preserve"> </w:t>
      </w:r>
      <w:r w:rsidR="00E8664E" w:rsidRPr="00614D01">
        <w:rPr>
          <w:rFonts w:ascii="Franklin Gothic Book" w:hAnsi="Franklin Gothic Book"/>
          <w:iCs/>
        </w:rPr>
        <w:t xml:space="preserve">out-of-pocket cost </w:t>
      </w:r>
      <w:r w:rsidR="00E8664E">
        <w:rPr>
          <w:rFonts w:ascii="Franklin Gothic Book" w:hAnsi="Franklin Gothic Book"/>
          <w:iCs/>
        </w:rPr>
        <w:t>to</w:t>
      </w:r>
      <w:r w:rsidR="00E8664E" w:rsidRPr="00614D01">
        <w:rPr>
          <w:rFonts w:ascii="Franklin Gothic Book" w:hAnsi="Franklin Gothic Book"/>
          <w:iCs/>
        </w:rPr>
        <w:t xml:space="preserve"> patients.</w:t>
      </w:r>
      <w:r w:rsidRPr="00614D01">
        <w:rPr>
          <w:rFonts w:ascii="Franklin Gothic Book" w:hAnsi="Franklin Gothic Book"/>
        </w:rPr>
        <w:t xml:space="preserve"> MSAC </w:t>
      </w:r>
      <w:r w:rsidR="00951195">
        <w:rPr>
          <w:rFonts w:ascii="Franklin Gothic Book" w:hAnsi="Franklin Gothic Book"/>
          <w:iCs/>
        </w:rPr>
        <w:t xml:space="preserve">considered </w:t>
      </w:r>
      <w:r w:rsidR="0080018A">
        <w:rPr>
          <w:rFonts w:ascii="Franklin Gothic Book" w:hAnsi="Franklin Gothic Book"/>
          <w:iCs/>
        </w:rPr>
        <w:t xml:space="preserve">there remained a risk of </w:t>
      </w:r>
      <w:r w:rsidRPr="00614D01">
        <w:rPr>
          <w:rFonts w:ascii="Franklin Gothic Book" w:hAnsi="Franklin Gothic Book"/>
        </w:rPr>
        <w:t xml:space="preserve">out-of-pocket costs for patients, and questioned whether </w:t>
      </w:r>
      <w:r w:rsidR="0080018A">
        <w:rPr>
          <w:rFonts w:ascii="Franklin Gothic Book" w:hAnsi="Franklin Gothic Book"/>
          <w:iCs/>
        </w:rPr>
        <w:t xml:space="preserve">publicly funding </w:t>
      </w:r>
      <w:r w:rsidRPr="00614D01">
        <w:rPr>
          <w:rFonts w:ascii="Franklin Gothic Book" w:hAnsi="Franklin Gothic Book"/>
        </w:rPr>
        <w:t>this service will improve equity</w:t>
      </w:r>
      <w:r w:rsidR="0080018A">
        <w:rPr>
          <w:rFonts w:ascii="Franklin Gothic Book" w:hAnsi="Franklin Gothic Book"/>
          <w:iCs/>
        </w:rPr>
        <w:t>, although on balance considered public funding was more likely to improve equity of access</w:t>
      </w:r>
      <w:r w:rsidRPr="00614D01">
        <w:rPr>
          <w:rFonts w:ascii="Franklin Gothic Book" w:hAnsi="Franklin Gothic Book"/>
          <w:iCs/>
        </w:rPr>
        <w:t>.</w:t>
      </w:r>
      <w:r w:rsidRPr="00614D01">
        <w:rPr>
          <w:rFonts w:ascii="Franklin Gothic Book" w:hAnsi="Franklin Gothic Book"/>
        </w:rPr>
        <w:t xml:space="preserve"> </w:t>
      </w:r>
    </w:p>
    <w:p w14:paraId="281BFF0C" w14:textId="4E59370B" w:rsidR="00661AE4" w:rsidRPr="00614D01" w:rsidRDefault="00661AE4" w:rsidP="00661AE4">
      <w:pPr>
        <w:rPr>
          <w:rFonts w:ascii="Franklin Gothic Book" w:hAnsi="Franklin Gothic Book"/>
        </w:rPr>
      </w:pPr>
      <w:r w:rsidRPr="00614D01">
        <w:rPr>
          <w:rFonts w:ascii="Franklin Gothic Book" w:hAnsi="Franklin Gothic Book"/>
        </w:rPr>
        <w:t xml:space="preserve">MSAC noted that the </w:t>
      </w:r>
      <w:r w:rsidR="00732FF3">
        <w:rPr>
          <w:rFonts w:ascii="Franklin Gothic Book" w:hAnsi="Franklin Gothic Book"/>
          <w:iCs/>
        </w:rPr>
        <w:t xml:space="preserve">DCAR </w:t>
      </w:r>
      <w:r w:rsidRPr="00614D01">
        <w:rPr>
          <w:rFonts w:ascii="Franklin Gothic Book" w:hAnsi="Franklin Gothic Book"/>
        </w:rPr>
        <w:t xml:space="preserve">estimated </w:t>
      </w:r>
      <w:r w:rsidR="000758DE">
        <w:rPr>
          <w:rFonts w:ascii="Franklin Gothic Book" w:hAnsi="Franklin Gothic Book"/>
          <w:iCs/>
        </w:rPr>
        <w:t>there would</w:t>
      </w:r>
      <w:r w:rsidR="00732FF3">
        <w:rPr>
          <w:rFonts w:ascii="Franklin Gothic Book" w:hAnsi="Franklin Gothic Book"/>
          <w:iCs/>
        </w:rPr>
        <w:t xml:space="preserve"> be</w:t>
      </w:r>
      <w:r w:rsidRPr="00614D01">
        <w:rPr>
          <w:rFonts w:ascii="Franklin Gothic Book" w:hAnsi="Franklin Gothic Book"/>
        </w:rPr>
        <w:t xml:space="preserve"> 28,758</w:t>
      </w:r>
      <w:r>
        <w:rPr>
          <w:rFonts w:ascii="Franklin Gothic Book" w:hAnsi="Franklin Gothic Book"/>
        </w:rPr>
        <w:t xml:space="preserve"> </w:t>
      </w:r>
      <w:r w:rsidR="000758DE">
        <w:rPr>
          <w:rFonts w:ascii="Franklin Gothic Book" w:hAnsi="Franklin Gothic Book"/>
          <w:iCs/>
        </w:rPr>
        <w:t>CNBs</w:t>
      </w:r>
      <w:r w:rsidRPr="00614D01">
        <w:rPr>
          <w:rFonts w:ascii="Franklin Gothic Book" w:hAnsi="Franklin Gothic Book"/>
          <w:iCs/>
        </w:rPr>
        <w:t xml:space="preserve"> </w:t>
      </w:r>
      <w:r w:rsidRPr="00614D01">
        <w:rPr>
          <w:rFonts w:ascii="Franklin Gothic Book" w:hAnsi="Franklin Gothic Book"/>
        </w:rPr>
        <w:t xml:space="preserve">in year 1 increasing to 36,703 in year 6, </w:t>
      </w:r>
      <w:r w:rsidR="00732FF3">
        <w:rPr>
          <w:rFonts w:ascii="Franklin Gothic Book" w:hAnsi="Franklin Gothic Book"/>
          <w:iCs/>
        </w:rPr>
        <w:t xml:space="preserve">and that </w:t>
      </w:r>
      <w:r w:rsidR="000758DE">
        <w:rPr>
          <w:rFonts w:ascii="Franklin Gothic Book" w:hAnsi="Franklin Gothic Book"/>
          <w:iCs/>
        </w:rPr>
        <w:t>service volumes</w:t>
      </w:r>
      <w:r w:rsidR="00732FF3">
        <w:rPr>
          <w:rFonts w:ascii="Franklin Gothic Book" w:hAnsi="Franklin Gothic Book"/>
          <w:iCs/>
        </w:rPr>
        <w:t xml:space="preserve"> would be</w:t>
      </w:r>
      <w:r>
        <w:rPr>
          <w:rFonts w:ascii="Franklin Gothic Book" w:hAnsi="Franklin Gothic Book"/>
        </w:rPr>
        <w:t xml:space="preserve"> </w:t>
      </w:r>
      <w:r w:rsidR="00732FF3">
        <w:rPr>
          <w:rFonts w:ascii="Franklin Gothic Book" w:hAnsi="Franklin Gothic Book"/>
          <w:iCs/>
        </w:rPr>
        <w:t>partially</w:t>
      </w:r>
      <w:r w:rsidRPr="00614D01">
        <w:rPr>
          <w:rFonts w:ascii="Franklin Gothic Book" w:hAnsi="Franklin Gothic Book"/>
          <w:iCs/>
        </w:rPr>
        <w:t xml:space="preserve"> </w:t>
      </w:r>
      <w:r w:rsidRPr="00614D01">
        <w:rPr>
          <w:rFonts w:ascii="Franklin Gothic Book" w:hAnsi="Franklin Gothic Book"/>
        </w:rPr>
        <w:t xml:space="preserve">offset by </w:t>
      </w:r>
      <w:r w:rsidRPr="00614D01">
        <w:rPr>
          <w:rFonts w:ascii="Franklin Gothic Book" w:hAnsi="Franklin Gothic Book"/>
          <w:iCs/>
        </w:rPr>
        <w:t>SNB</w:t>
      </w:r>
      <w:r w:rsidR="00732FF3">
        <w:rPr>
          <w:rFonts w:ascii="Franklin Gothic Book" w:hAnsi="Franklin Gothic Book"/>
          <w:iCs/>
        </w:rPr>
        <w:t xml:space="preserve">s </w:t>
      </w:r>
      <w:r w:rsidR="0062751D">
        <w:rPr>
          <w:rFonts w:ascii="Franklin Gothic Book" w:hAnsi="Franklin Gothic Book"/>
          <w:iCs/>
        </w:rPr>
        <w:t xml:space="preserve">being </w:t>
      </w:r>
      <w:r w:rsidR="00732FF3">
        <w:rPr>
          <w:rFonts w:ascii="Franklin Gothic Book" w:hAnsi="Franklin Gothic Book"/>
          <w:iCs/>
        </w:rPr>
        <w:t>replaced</w:t>
      </w:r>
      <w:r w:rsidRPr="00614D01">
        <w:rPr>
          <w:rFonts w:ascii="Franklin Gothic Book" w:hAnsi="Franklin Gothic Book"/>
        </w:rPr>
        <w:t xml:space="preserve"> (MBS item 22041). </w:t>
      </w:r>
      <w:r w:rsidR="00732FF3">
        <w:rPr>
          <w:rFonts w:ascii="Franklin Gothic Book" w:hAnsi="Franklin Gothic Book"/>
          <w:iCs/>
        </w:rPr>
        <w:t>MSAC noted t</w:t>
      </w:r>
      <w:r w:rsidRPr="00614D01">
        <w:rPr>
          <w:rFonts w:ascii="Franklin Gothic Book" w:hAnsi="Franklin Gothic Book"/>
          <w:iCs/>
        </w:rPr>
        <w:t>he</w:t>
      </w:r>
      <w:r w:rsidRPr="00614D01">
        <w:rPr>
          <w:rFonts w:ascii="Franklin Gothic Book" w:hAnsi="Franklin Gothic Book"/>
        </w:rPr>
        <w:t xml:space="preserve"> </w:t>
      </w:r>
      <w:r w:rsidR="00324F15">
        <w:rPr>
          <w:rFonts w:ascii="Franklin Gothic Book" w:hAnsi="Franklin Gothic Book"/>
        </w:rPr>
        <w:t xml:space="preserve">DCAR estimated the </w:t>
      </w:r>
      <w:r w:rsidRPr="00614D01">
        <w:rPr>
          <w:rFonts w:ascii="Franklin Gothic Book" w:hAnsi="Franklin Gothic Book"/>
        </w:rPr>
        <w:t xml:space="preserve">net financial impact to the MBS </w:t>
      </w:r>
      <w:r w:rsidR="000758DE">
        <w:rPr>
          <w:rFonts w:ascii="Franklin Gothic Book" w:hAnsi="Franklin Gothic Book"/>
          <w:iCs/>
        </w:rPr>
        <w:t>to be</w:t>
      </w:r>
      <w:r w:rsidRPr="00614D01">
        <w:rPr>
          <w:rFonts w:ascii="Franklin Gothic Book" w:hAnsi="Franklin Gothic Book"/>
        </w:rPr>
        <w:t xml:space="preserve"> $1.98 million in year 1 increasing to $2.53 million in year 6.</w:t>
      </w:r>
      <w:r>
        <w:rPr>
          <w:rFonts w:ascii="Franklin Gothic Book" w:hAnsi="Franklin Gothic Book"/>
        </w:rPr>
        <w:t xml:space="preserve"> </w:t>
      </w:r>
      <w:r w:rsidR="0029066D">
        <w:rPr>
          <w:rFonts w:ascii="Franklin Gothic Book" w:hAnsi="Franklin Gothic Book"/>
          <w:iCs/>
        </w:rPr>
        <w:t xml:space="preserve">MSAC considered the extent of replacement of SNBs was uncertain, </w:t>
      </w:r>
      <w:r w:rsidR="0029066D" w:rsidRPr="0029066D">
        <w:rPr>
          <w:rFonts w:ascii="Franklin Gothic Book" w:hAnsi="Franklin Gothic Book"/>
          <w:iCs/>
        </w:rPr>
        <w:t xml:space="preserve">and </w:t>
      </w:r>
      <w:r w:rsidR="0029066D" w:rsidRPr="008E617D">
        <w:rPr>
          <w:rFonts w:ascii="Franklin Gothic Book" w:hAnsi="Franklin Gothic Book"/>
          <w:iCs/>
        </w:rPr>
        <w:t>also questioned whether funding this service will drive more CNBs to be performed, recommending that this be monitored.</w:t>
      </w:r>
      <w:r w:rsidR="0029066D" w:rsidRPr="0029066D">
        <w:rPr>
          <w:rFonts w:ascii="Franklin Gothic Book" w:hAnsi="Franklin Gothic Book"/>
          <w:iCs/>
        </w:rPr>
        <w:t xml:space="preserve"> </w:t>
      </w:r>
      <w:r w:rsidR="0029066D" w:rsidRPr="00614D01">
        <w:rPr>
          <w:rFonts w:ascii="Franklin Gothic Book" w:hAnsi="Franklin Gothic Book"/>
          <w:iCs/>
        </w:rPr>
        <w:t>MSAC also considered it appropriate to have a 75% benefit only, as this service is intended for inpatients.</w:t>
      </w:r>
      <w:r w:rsidR="0029066D">
        <w:rPr>
          <w:rFonts w:ascii="Franklin Gothic Book" w:hAnsi="Franklin Gothic Book"/>
          <w:iCs/>
        </w:rPr>
        <w:t xml:space="preserve"> </w:t>
      </w:r>
      <w:r w:rsidRPr="0029066D">
        <w:rPr>
          <w:rFonts w:ascii="Franklin Gothic Book" w:hAnsi="Franklin Gothic Book"/>
        </w:rPr>
        <w:t>MSAC noted</w:t>
      </w:r>
      <w:r w:rsidRPr="00614D01">
        <w:rPr>
          <w:rFonts w:ascii="Franklin Gothic Book" w:hAnsi="Franklin Gothic Book"/>
        </w:rPr>
        <w:t xml:space="preserve"> from sensitivity analyses that if 22% of services use</w:t>
      </w:r>
      <w:r w:rsidR="00DA6002">
        <w:rPr>
          <w:rFonts w:ascii="Franklin Gothic Book" w:hAnsi="Franklin Gothic Book"/>
        </w:rPr>
        <w:t>d</w:t>
      </w:r>
      <w:r w:rsidRPr="00614D01">
        <w:rPr>
          <w:rFonts w:ascii="Franklin Gothic Book" w:hAnsi="Franklin Gothic Book"/>
        </w:rPr>
        <w:t xml:space="preserve"> a catheter, the financial impact to the MBS could be as much as $2.62 million in year 1 to $3.34 million in year 6.</w:t>
      </w:r>
      <w:r w:rsidR="00473542">
        <w:rPr>
          <w:rFonts w:ascii="Franklin Gothic Book" w:hAnsi="Franklin Gothic Book"/>
          <w:iCs/>
        </w:rPr>
        <w:t xml:space="preserve"> MSAC considered that </w:t>
      </w:r>
      <w:r w:rsidR="00173F54">
        <w:rPr>
          <w:rFonts w:ascii="Franklin Gothic Book" w:hAnsi="Franklin Gothic Book"/>
          <w:iCs/>
        </w:rPr>
        <w:t xml:space="preserve">the cost to the MBS would be lower than </w:t>
      </w:r>
      <w:r w:rsidR="009077D0">
        <w:rPr>
          <w:rFonts w:ascii="Franklin Gothic Book" w:hAnsi="Franklin Gothic Book"/>
          <w:iCs/>
        </w:rPr>
        <w:t xml:space="preserve">estimated in </w:t>
      </w:r>
      <w:r w:rsidR="00173F54">
        <w:rPr>
          <w:rFonts w:ascii="Franklin Gothic Book" w:hAnsi="Franklin Gothic Book"/>
          <w:iCs/>
        </w:rPr>
        <w:t xml:space="preserve">the DCAR as </w:t>
      </w:r>
      <w:r w:rsidR="00414412">
        <w:rPr>
          <w:rFonts w:ascii="Franklin Gothic Book" w:hAnsi="Franklin Gothic Book"/>
          <w:iCs/>
        </w:rPr>
        <w:t>MSAC</w:t>
      </w:r>
      <w:r w:rsidR="00173F54">
        <w:rPr>
          <w:rFonts w:ascii="Franklin Gothic Book" w:hAnsi="Franklin Gothic Book"/>
          <w:iCs/>
        </w:rPr>
        <w:t xml:space="preserve"> had supported a </w:t>
      </w:r>
      <w:r w:rsidR="00414412">
        <w:rPr>
          <w:rFonts w:ascii="Franklin Gothic Book" w:hAnsi="Franklin Gothic Book"/>
          <w:iCs/>
        </w:rPr>
        <w:t xml:space="preserve">lower </w:t>
      </w:r>
      <w:r w:rsidR="00173F54">
        <w:rPr>
          <w:rFonts w:ascii="Franklin Gothic Book" w:hAnsi="Franklin Gothic Book"/>
          <w:iCs/>
        </w:rPr>
        <w:t xml:space="preserve">fee than </w:t>
      </w:r>
      <w:r w:rsidR="00414412">
        <w:rPr>
          <w:rFonts w:ascii="Franklin Gothic Book" w:hAnsi="Franklin Gothic Book"/>
          <w:iCs/>
        </w:rPr>
        <w:t>was</w:t>
      </w:r>
      <w:r w:rsidR="00173F54">
        <w:rPr>
          <w:rFonts w:ascii="Franklin Gothic Book" w:hAnsi="Franklin Gothic Book"/>
          <w:iCs/>
        </w:rPr>
        <w:t xml:space="preserve"> proposed, </w:t>
      </w:r>
      <w:r w:rsidR="00414412">
        <w:rPr>
          <w:rFonts w:ascii="Franklin Gothic Book" w:hAnsi="Franklin Gothic Book"/>
          <w:iCs/>
        </w:rPr>
        <w:t xml:space="preserve">and </w:t>
      </w:r>
      <w:r w:rsidR="00473542">
        <w:rPr>
          <w:rFonts w:ascii="Franklin Gothic Book" w:hAnsi="Franklin Gothic Book"/>
          <w:iCs/>
        </w:rPr>
        <w:t xml:space="preserve">while </w:t>
      </w:r>
      <w:r w:rsidR="0038718B">
        <w:rPr>
          <w:rFonts w:ascii="Franklin Gothic Book" w:hAnsi="Franklin Gothic Book"/>
          <w:iCs/>
        </w:rPr>
        <w:t xml:space="preserve">the extent of replacement and any increase in service volumes added uncertainty, </w:t>
      </w:r>
      <w:r w:rsidR="004E65D7">
        <w:rPr>
          <w:rFonts w:ascii="Franklin Gothic Book" w:hAnsi="Franklin Gothic Book"/>
          <w:iCs/>
        </w:rPr>
        <w:t>overall,</w:t>
      </w:r>
      <w:r w:rsidR="0038718B">
        <w:rPr>
          <w:rFonts w:ascii="Franklin Gothic Book" w:hAnsi="Franklin Gothic Book"/>
          <w:iCs/>
        </w:rPr>
        <w:t xml:space="preserve"> the financial cost to the MBS was acceptable.</w:t>
      </w:r>
    </w:p>
    <w:p w14:paraId="675DDA75" w14:textId="60EEEF73" w:rsidR="00EE61CE" w:rsidRPr="00614D01" w:rsidRDefault="00661AE4" w:rsidP="005D5985">
      <w:pPr>
        <w:rPr>
          <w:rFonts w:ascii="Franklin Gothic Book" w:hAnsi="Franklin Gothic Book"/>
        </w:rPr>
      </w:pPr>
      <w:r w:rsidRPr="00614D01">
        <w:rPr>
          <w:rFonts w:ascii="Franklin Gothic Book" w:hAnsi="Franklin Gothic Book"/>
        </w:rPr>
        <w:t xml:space="preserve">MSAC recommended that utilisation be reviewed after two years, </w:t>
      </w:r>
      <w:r w:rsidR="0038718B">
        <w:rPr>
          <w:rFonts w:ascii="Franklin Gothic Book" w:hAnsi="Franklin Gothic Book"/>
          <w:iCs/>
        </w:rPr>
        <w:t xml:space="preserve">including </w:t>
      </w:r>
      <w:r w:rsidR="00732FF3">
        <w:rPr>
          <w:rFonts w:ascii="Franklin Gothic Book" w:hAnsi="Franklin Gothic Book"/>
          <w:iCs/>
        </w:rPr>
        <w:t>the extent of replacement of SNBs</w:t>
      </w:r>
      <w:r w:rsidRPr="00614D01">
        <w:rPr>
          <w:rFonts w:ascii="Franklin Gothic Book" w:hAnsi="Franklin Gothic Book"/>
        </w:rPr>
        <w:t xml:space="preserve"> and whether more services are performed after listing.</w:t>
      </w:r>
    </w:p>
    <w:p w14:paraId="19917DD6" w14:textId="146D5987" w:rsidR="005D5985" w:rsidRPr="00306E38" w:rsidRDefault="00EE61CE" w:rsidP="005D5985">
      <w:pPr>
        <w:pStyle w:val="Heading2"/>
        <w:numPr>
          <w:ilvl w:val="0"/>
          <w:numId w:val="0"/>
        </w:numPr>
      </w:pPr>
      <w:bookmarkStart w:id="4" w:name="_Toc150966049"/>
      <w:bookmarkStart w:id="5" w:name="_Toc153401625"/>
      <w:bookmarkEnd w:id="2"/>
      <w:r>
        <w:t>4</w:t>
      </w:r>
      <w:r w:rsidR="005D5985" w:rsidRPr="00306E38">
        <w:t>.</w:t>
      </w:r>
      <w:r w:rsidR="005D5985" w:rsidRPr="00306E38">
        <w:tab/>
        <w:t>Background</w:t>
      </w:r>
      <w:bookmarkEnd w:id="4"/>
      <w:bookmarkEnd w:id="5"/>
    </w:p>
    <w:p w14:paraId="7D952FB7" w14:textId="33910BAA" w:rsidR="005D5985" w:rsidRPr="00E036FE" w:rsidRDefault="005D5985" w:rsidP="005D5985">
      <w:pPr>
        <w:rPr>
          <w:rFonts w:ascii="Franklin Gothic Book" w:hAnsi="Franklin Gothic Book"/>
        </w:rPr>
      </w:pPr>
      <w:bookmarkStart w:id="6" w:name="_Hlk69734494"/>
      <w:r w:rsidRPr="00E036FE">
        <w:rPr>
          <w:rFonts w:ascii="Franklin Gothic Book" w:hAnsi="Franklin Gothic Book"/>
        </w:rPr>
        <w:t xml:space="preserve">The Medical Services Advisory Committee (MSAC) has previously considered continuous catheter blockade of peripheral nerves for postoperative pain management in the context of a broader application </w:t>
      </w:r>
      <w:r w:rsidR="00006D7C">
        <w:rPr>
          <w:rFonts w:ascii="Franklin Gothic Book" w:hAnsi="Franklin Gothic Book"/>
        </w:rPr>
        <w:t xml:space="preserve">(MSAC application 1308) </w:t>
      </w:r>
      <w:r w:rsidRPr="00E036FE">
        <w:rPr>
          <w:rFonts w:ascii="Franklin Gothic Book" w:hAnsi="Franklin Gothic Book"/>
        </w:rPr>
        <w:t xml:space="preserve">encompassing minor, major and continuous peripheral nerve </w:t>
      </w:r>
      <w:r w:rsidR="00214B5A" w:rsidRPr="00E036FE">
        <w:rPr>
          <w:rFonts w:ascii="Franklin Gothic Book" w:hAnsi="Franklin Gothic Book"/>
        </w:rPr>
        <w:t>blocks in</w:t>
      </w:r>
      <w:r w:rsidRPr="00E036FE">
        <w:rPr>
          <w:rFonts w:ascii="Franklin Gothic Book" w:hAnsi="Franklin Gothic Book"/>
        </w:rPr>
        <w:t xml:space="preserve"> April 2017. The application 1308 was not supported by MSAC due to several concerns highlighted in </w:t>
      </w:r>
      <w:r w:rsidRPr="00E036FE">
        <w:rPr>
          <w:rFonts w:ascii="Franklin Gothic Book" w:hAnsi="Franklin Gothic Book"/>
        </w:rPr>
        <w:fldChar w:fldCharType="begin"/>
      </w:r>
      <w:r w:rsidRPr="00E036FE">
        <w:rPr>
          <w:rFonts w:ascii="Franklin Gothic Book" w:hAnsi="Franklin Gothic Book"/>
        </w:rPr>
        <w:instrText xml:space="preserve"> REF _Ref147483375 \h  \* MERGEFORMAT </w:instrText>
      </w:r>
      <w:r w:rsidRPr="00E036FE">
        <w:rPr>
          <w:rFonts w:ascii="Franklin Gothic Book" w:hAnsi="Franklin Gothic Book"/>
        </w:rPr>
      </w:r>
      <w:r w:rsidRPr="00E036FE">
        <w:rPr>
          <w:rFonts w:ascii="Franklin Gothic Book" w:hAnsi="Franklin Gothic Book"/>
        </w:rPr>
        <w:fldChar w:fldCharType="separate"/>
      </w:r>
      <w:r w:rsidR="003D3BD9" w:rsidRPr="008E617D">
        <w:rPr>
          <w:rFonts w:ascii="Franklin Gothic Book" w:hAnsi="Franklin Gothic Book"/>
        </w:rPr>
        <w:t>Table 2</w:t>
      </w:r>
      <w:r w:rsidRPr="00E036FE">
        <w:rPr>
          <w:rFonts w:ascii="Franklin Gothic Book" w:hAnsi="Franklin Gothic Book"/>
        </w:rPr>
        <w:fldChar w:fldCharType="end"/>
      </w:r>
      <w:r w:rsidRPr="00E036FE">
        <w:rPr>
          <w:rFonts w:ascii="Franklin Gothic Book" w:hAnsi="Franklin Gothic Book"/>
        </w:rPr>
        <w:t>.</w:t>
      </w:r>
    </w:p>
    <w:p w14:paraId="5F54696D" w14:textId="77777777" w:rsidR="005D5985" w:rsidRPr="00E036FE" w:rsidRDefault="005D5985" w:rsidP="005D5985">
      <w:pPr>
        <w:rPr>
          <w:rFonts w:ascii="Franklin Gothic Book" w:hAnsi="Franklin Gothic Book"/>
        </w:rPr>
      </w:pPr>
      <w:r w:rsidRPr="00E036FE">
        <w:rPr>
          <w:rFonts w:ascii="Franklin Gothic Book" w:hAnsi="Franklin Gothic Book"/>
        </w:rPr>
        <w:t>MBS item 22041 for perioperative plexus or nerve block, without catheter insertion, proximal to the lower leg or forearm was introduced on the MBS from 1 November 2019 in line with the recommendations of the MBS Review Taskforce Anaesthesia Clinical Committee.</w:t>
      </w:r>
      <w:r w:rsidRPr="00E036FE">
        <w:rPr>
          <w:rStyle w:val="FootnoteReference"/>
          <w:rFonts w:ascii="Franklin Gothic Book" w:hAnsi="Franklin Gothic Book"/>
        </w:rPr>
        <w:footnoteReference w:id="3"/>
      </w:r>
      <w:bookmarkStart w:id="7" w:name="_Hlk69734557"/>
      <w:bookmarkEnd w:id="6"/>
    </w:p>
    <w:p w14:paraId="445D74CE" w14:textId="4456FFA1" w:rsidR="005D5985" w:rsidRPr="00306E38" w:rsidRDefault="005D5985" w:rsidP="005D5985">
      <w:pPr>
        <w:pStyle w:val="Caption"/>
      </w:pPr>
      <w:bookmarkStart w:id="8" w:name="_Ref147483375"/>
      <w:r w:rsidRPr="00306E38">
        <w:lastRenderedPageBreak/>
        <w:t>Table </w:t>
      </w:r>
      <w:r>
        <w:fldChar w:fldCharType="begin"/>
      </w:r>
      <w:r>
        <w:instrText>SEQ Table \* ARABIC</w:instrText>
      </w:r>
      <w:r>
        <w:fldChar w:fldCharType="separate"/>
      </w:r>
      <w:r w:rsidR="00210D50">
        <w:rPr>
          <w:noProof/>
        </w:rPr>
        <w:t>2</w:t>
      </w:r>
      <w:r>
        <w:fldChar w:fldCharType="end"/>
      </w:r>
      <w:bookmarkEnd w:id="8"/>
      <w:r w:rsidRPr="00306E38">
        <w:tab/>
        <w:t>Summary of key matters of concern</w:t>
      </w:r>
    </w:p>
    <w:tbl>
      <w:tblPr>
        <w:tblStyle w:val="TableGrid"/>
        <w:tblW w:w="5000" w:type="pct"/>
        <w:tblLook w:val="04A0" w:firstRow="1" w:lastRow="0" w:firstColumn="1" w:lastColumn="0" w:noHBand="0" w:noVBand="1"/>
      </w:tblPr>
      <w:tblGrid>
        <w:gridCol w:w="1413"/>
        <w:gridCol w:w="3686"/>
        <w:gridCol w:w="3917"/>
      </w:tblGrid>
      <w:tr w:rsidR="005D5985" w:rsidRPr="00306E38" w14:paraId="72EABD8A" w14:textId="77777777">
        <w:trPr>
          <w:cantSplit/>
          <w:trHeight w:val="300"/>
          <w:tblHeader/>
        </w:trPr>
        <w:tc>
          <w:tcPr>
            <w:tcW w:w="784" w:type="pct"/>
            <w:shd w:val="clear" w:color="auto" w:fill="FFFFFF" w:themeFill="background1"/>
          </w:tcPr>
          <w:p w14:paraId="5056E67D" w14:textId="77777777" w:rsidR="005D5985" w:rsidRPr="00306E38" w:rsidRDefault="005D5985">
            <w:pPr>
              <w:pStyle w:val="Tabletext0"/>
              <w:jc w:val="left"/>
              <w:rPr>
                <w:b/>
                <w:bCs/>
              </w:rPr>
            </w:pPr>
            <w:r w:rsidRPr="00306E38">
              <w:rPr>
                <w:b/>
                <w:bCs/>
              </w:rPr>
              <w:t>Component</w:t>
            </w:r>
          </w:p>
        </w:tc>
        <w:tc>
          <w:tcPr>
            <w:tcW w:w="2044" w:type="pct"/>
            <w:shd w:val="clear" w:color="auto" w:fill="FFFFFF" w:themeFill="background1"/>
          </w:tcPr>
          <w:p w14:paraId="30D53994" w14:textId="77777777" w:rsidR="005D5985" w:rsidRPr="00306E38" w:rsidRDefault="005D5985">
            <w:pPr>
              <w:pStyle w:val="Tabletext0"/>
              <w:jc w:val="left"/>
              <w:rPr>
                <w:b/>
                <w:bCs/>
              </w:rPr>
            </w:pPr>
            <w:r w:rsidRPr="00306E38">
              <w:rPr>
                <w:b/>
                <w:bCs/>
              </w:rPr>
              <w:t>Matter of concern</w:t>
            </w:r>
          </w:p>
        </w:tc>
        <w:tc>
          <w:tcPr>
            <w:tcW w:w="2173" w:type="pct"/>
            <w:shd w:val="clear" w:color="auto" w:fill="FFFFFF" w:themeFill="background1"/>
          </w:tcPr>
          <w:p w14:paraId="7F0EB961" w14:textId="77777777" w:rsidR="005D5985" w:rsidRPr="00306E38" w:rsidRDefault="005D5985">
            <w:pPr>
              <w:pStyle w:val="Tabletext0"/>
              <w:jc w:val="left"/>
              <w:rPr>
                <w:b/>
                <w:bCs/>
              </w:rPr>
            </w:pPr>
            <w:r w:rsidRPr="00306E38">
              <w:rPr>
                <w:b/>
                <w:bCs/>
              </w:rPr>
              <w:t>How the current assessment report addresses it</w:t>
            </w:r>
          </w:p>
        </w:tc>
      </w:tr>
      <w:tr w:rsidR="005D5985" w:rsidRPr="00306E38" w14:paraId="2541E1C5" w14:textId="77777777">
        <w:trPr>
          <w:cantSplit/>
        </w:trPr>
        <w:tc>
          <w:tcPr>
            <w:tcW w:w="784" w:type="pct"/>
          </w:tcPr>
          <w:p w14:paraId="3276485A" w14:textId="77777777" w:rsidR="005D5985" w:rsidRPr="00306E38" w:rsidRDefault="005D5985">
            <w:pPr>
              <w:pStyle w:val="Tabletext0"/>
              <w:jc w:val="left"/>
            </w:pPr>
            <w:r w:rsidRPr="00D059DF">
              <w:rPr>
                <w:rFonts w:eastAsia="Franklin Gothic Book" w:cs="Franklin Gothic Book"/>
              </w:rPr>
              <w:t>Background (the service, intended purpose), Approach to assessment</w:t>
            </w:r>
          </w:p>
        </w:tc>
        <w:tc>
          <w:tcPr>
            <w:tcW w:w="2044" w:type="pct"/>
          </w:tcPr>
          <w:p w14:paraId="7EC269DA" w14:textId="77777777" w:rsidR="005D5985" w:rsidRPr="00306E38" w:rsidRDefault="005D5985">
            <w:pPr>
              <w:pStyle w:val="Tabletext0"/>
              <w:jc w:val="left"/>
            </w:pPr>
            <w:r w:rsidRPr="00306E38">
              <w:rPr>
                <w:rFonts w:eastAsiaTheme="majorEastAsia" w:cs="Times New Roman"/>
                <w:szCs w:val="24"/>
              </w:rPr>
              <w:t>MSAC suggested only LANBs with demonstrable and clinically significant health outcome benefits to patients and the healthcare system should be considered (PSD, p.1)</w:t>
            </w:r>
          </w:p>
        </w:tc>
        <w:tc>
          <w:tcPr>
            <w:tcW w:w="2173" w:type="pct"/>
          </w:tcPr>
          <w:p w14:paraId="0363C324" w14:textId="77777777" w:rsidR="005D5985" w:rsidRPr="00306E38" w:rsidRDefault="005D5985">
            <w:pPr>
              <w:pStyle w:val="Tabletext0"/>
              <w:jc w:val="left"/>
            </w:pPr>
            <w:r w:rsidRPr="00306E38">
              <w:rPr>
                <w:rFonts w:eastAsiaTheme="majorEastAsia" w:cs="Times New Roman"/>
                <w:szCs w:val="24"/>
              </w:rPr>
              <w:t xml:space="preserve">Addressed. </w:t>
            </w:r>
            <w:r w:rsidRPr="00306E38">
              <w:rPr>
                <w:rFonts w:eastAsiaTheme="majorEastAsia" w:cs="Times New Roman"/>
                <w:szCs w:val="24"/>
              </w:rPr>
              <w:br/>
              <w:t>The population has been restricted to patients with a higher need</w:t>
            </w:r>
            <w:r>
              <w:rPr>
                <w:rFonts w:eastAsiaTheme="majorEastAsia" w:cs="Times New Roman"/>
                <w:szCs w:val="24"/>
              </w:rPr>
              <w:t xml:space="preserve"> (</w:t>
            </w:r>
            <w:r w:rsidRPr="00306E38">
              <w:rPr>
                <w:rFonts w:eastAsiaTheme="majorEastAsia" w:cs="Times New Roman"/>
                <w:szCs w:val="24"/>
              </w:rPr>
              <w:t xml:space="preserve">i.e. with </w:t>
            </w:r>
            <w:r w:rsidRPr="00306E38">
              <w:rPr>
                <w:rFonts w:cs="Times New Roman"/>
              </w:rPr>
              <w:t>moderate to severe postoperative pain lasting more than 12 hours</w:t>
            </w:r>
            <w:r>
              <w:rPr>
                <w:rFonts w:cs="Times New Roman"/>
              </w:rPr>
              <w:t>)</w:t>
            </w:r>
            <w:r w:rsidRPr="00E717F8">
              <w:rPr>
                <w:rFonts w:cs="Times New Roman"/>
              </w:rPr>
              <w:t>.</w:t>
            </w:r>
          </w:p>
        </w:tc>
      </w:tr>
      <w:tr w:rsidR="005D5985" w:rsidRPr="00306E38" w14:paraId="0C9D6D94" w14:textId="77777777">
        <w:trPr>
          <w:cantSplit/>
        </w:trPr>
        <w:tc>
          <w:tcPr>
            <w:tcW w:w="784" w:type="pct"/>
          </w:tcPr>
          <w:p w14:paraId="6B7F040D" w14:textId="38FDD419" w:rsidR="005D5985" w:rsidRPr="00306E38" w:rsidRDefault="005D5985">
            <w:pPr>
              <w:pStyle w:val="Tabletext0"/>
              <w:jc w:val="left"/>
            </w:pPr>
            <w:r w:rsidRPr="00D059DF">
              <w:rPr>
                <w:rFonts w:eastAsia="Franklin Gothic Book" w:cs="Franklin Gothic Book"/>
              </w:rPr>
              <w:t xml:space="preserve">Background (the service, </w:t>
            </w:r>
            <w:r w:rsidR="0041587E" w:rsidRPr="00D059DF">
              <w:rPr>
                <w:rFonts w:eastAsia="Franklin Gothic Book" w:cs="Franklin Gothic Book"/>
              </w:rPr>
              <w:t>intended</w:t>
            </w:r>
            <w:r w:rsidRPr="00D059DF">
              <w:rPr>
                <w:rFonts w:eastAsia="Franklin Gothic Book" w:cs="Franklin Gothic Book"/>
              </w:rPr>
              <w:t xml:space="preserve"> purpose), Approach to assessment</w:t>
            </w:r>
          </w:p>
        </w:tc>
        <w:tc>
          <w:tcPr>
            <w:tcW w:w="2044" w:type="pct"/>
          </w:tcPr>
          <w:p w14:paraId="02CB5D7D" w14:textId="77777777" w:rsidR="005D5985" w:rsidRPr="00306E38" w:rsidRDefault="005D5985">
            <w:pPr>
              <w:pStyle w:val="Tabletext0"/>
              <w:jc w:val="left"/>
            </w:pPr>
            <w:r w:rsidRPr="00306E38">
              <w:rPr>
                <w:rFonts w:eastAsiaTheme="majorEastAsia" w:cs="Times New Roman"/>
                <w:szCs w:val="24"/>
              </w:rPr>
              <w:t xml:space="preserve">MSAC suggested to identify </w:t>
            </w:r>
            <w:r>
              <w:rPr>
                <w:rFonts w:eastAsiaTheme="majorEastAsia" w:cs="Times New Roman"/>
                <w:szCs w:val="24"/>
              </w:rPr>
              <w:t>‘</w:t>
            </w:r>
            <w:r w:rsidRPr="00306E38">
              <w:rPr>
                <w:rFonts w:eastAsiaTheme="majorEastAsia" w:cs="Times New Roman"/>
                <w:szCs w:val="24"/>
              </w:rPr>
              <w:t xml:space="preserve">high </w:t>
            </w:r>
            <w:r w:rsidRPr="00E717F8">
              <w:rPr>
                <w:rFonts w:eastAsiaTheme="majorEastAsia" w:cs="Times New Roman"/>
                <w:szCs w:val="24"/>
              </w:rPr>
              <w:t>value</w:t>
            </w:r>
            <w:r>
              <w:rPr>
                <w:rFonts w:eastAsiaTheme="majorEastAsia" w:cs="Times New Roman"/>
                <w:szCs w:val="24"/>
              </w:rPr>
              <w:t>’</w:t>
            </w:r>
            <w:r w:rsidRPr="00306E38">
              <w:rPr>
                <w:rFonts w:eastAsiaTheme="majorEastAsia" w:cs="Times New Roman"/>
                <w:szCs w:val="24"/>
              </w:rPr>
              <w:t xml:space="preserve"> nerve blocks that have or are likely to have clear benefits to determine their effectiveness, safety and cost-effectiveness (PSD, p.3)</w:t>
            </w:r>
          </w:p>
        </w:tc>
        <w:tc>
          <w:tcPr>
            <w:tcW w:w="2173" w:type="pct"/>
          </w:tcPr>
          <w:p w14:paraId="4ECE3424" w14:textId="77777777" w:rsidR="005D5985" w:rsidRPr="00306E38" w:rsidRDefault="005D5985">
            <w:pPr>
              <w:pStyle w:val="Tabletext0"/>
              <w:jc w:val="left"/>
              <w:rPr>
                <w:rFonts w:eastAsiaTheme="majorEastAsia" w:cs="Times New Roman"/>
                <w:szCs w:val="24"/>
              </w:rPr>
            </w:pPr>
            <w:r w:rsidRPr="00306E38">
              <w:rPr>
                <w:rFonts w:eastAsiaTheme="majorEastAsia" w:cs="Times New Roman"/>
                <w:szCs w:val="24"/>
              </w:rPr>
              <w:t>Addressed.</w:t>
            </w:r>
          </w:p>
          <w:p w14:paraId="57B3179B" w14:textId="77777777" w:rsidR="005D5985" w:rsidRPr="00306E38" w:rsidRDefault="005D5985">
            <w:pPr>
              <w:pStyle w:val="Tabletext0"/>
              <w:jc w:val="left"/>
            </w:pPr>
            <w:r w:rsidRPr="00306E38">
              <w:rPr>
                <w:rFonts w:eastAsiaTheme="majorEastAsia" w:cs="Times New Roman"/>
                <w:szCs w:val="24"/>
              </w:rPr>
              <w:t xml:space="preserve">Only continuous nerve blocks </w:t>
            </w:r>
            <w:r>
              <w:rPr>
                <w:rFonts w:eastAsiaTheme="majorEastAsia" w:cs="Times New Roman"/>
                <w:szCs w:val="24"/>
              </w:rPr>
              <w:t>were</w:t>
            </w:r>
            <w:r w:rsidRPr="00306E38">
              <w:rPr>
                <w:rFonts w:eastAsiaTheme="majorEastAsia" w:cs="Times New Roman"/>
                <w:szCs w:val="24"/>
              </w:rPr>
              <w:t xml:space="preserve"> evaluated in this application. Due to changes in approved opioid uses, there is an increased clinical need for alternatives for the management of acute postoperative pain.</w:t>
            </w:r>
          </w:p>
        </w:tc>
      </w:tr>
      <w:tr w:rsidR="005D5985" w:rsidRPr="00306E38" w14:paraId="6A2C4626" w14:textId="77777777">
        <w:trPr>
          <w:cantSplit/>
        </w:trPr>
        <w:tc>
          <w:tcPr>
            <w:tcW w:w="784" w:type="pct"/>
          </w:tcPr>
          <w:p w14:paraId="0E817932" w14:textId="77777777" w:rsidR="005D5985" w:rsidRPr="00306E38" w:rsidRDefault="005D5985">
            <w:pPr>
              <w:pStyle w:val="Tabletext0"/>
              <w:jc w:val="left"/>
            </w:pPr>
            <w:r>
              <w:rPr>
                <w:rFonts w:eastAsia="Franklin Gothic Book"/>
              </w:rPr>
              <w:t>Results of assessment</w:t>
            </w:r>
          </w:p>
        </w:tc>
        <w:tc>
          <w:tcPr>
            <w:tcW w:w="2044" w:type="pct"/>
          </w:tcPr>
          <w:p w14:paraId="18133002" w14:textId="77777777" w:rsidR="005D5985" w:rsidRPr="00306E38" w:rsidRDefault="005D5985">
            <w:pPr>
              <w:pStyle w:val="Tabletext0"/>
              <w:jc w:val="left"/>
            </w:pPr>
            <w:r w:rsidRPr="00306E38">
              <w:rPr>
                <w:rFonts w:eastAsiaTheme="majorEastAsia" w:cs="Times New Roman"/>
                <w:szCs w:val="24"/>
              </w:rPr>
              <w:t xml:space="preserve">MSAC was concerned about the inclusion of all </w:t>
            </w:r>
            <w:r>
              <w:rPr>
                <w:rFonts w:eastAsiaTheme="majorEastAsia" w:cs="Times New Roman"/>
                <w:szCs w:val="24"/>
              </w:rPr>
              <w:t xml:space="preserve">types of </w:t>
            </w:r>
            <w:r w:rsidRPr="00306E38">
              <w:rPr>
                <w:rFonts w:eastAsiaTheme="majorEastAsia" w:cs="Times New Roman"/>
                <w:szCs w:val="24"/>
              </w:rPr>
              <w:t xml:space="preserve">peripheral nerve blocks to the MBS list based solely on evidence of a representative nerve block within a category (PSD, p.2). </w:t>
            </w:r>
          </w:p>
        </w:tc>
        <w:tc>
          <w:tcPr>
            <w:tcW w:w="2173" w:type="pct"/>
          </w:tcPr>
          <w:p w14:paraId="33258316" w14:textId="77777777" w:rsidR="005D5985" w:rsidRPr="00306E38" w:rsidRDefault="005D5985">
            <w:pPr>
              <w:pStyle w:val="Tabletext0"/>
              <w:jc w:val="left"/>
              <w:rPr>
                <w:rFonts w:eastAsiaTheme="majorEastAsia" w:cs="Times New Roman"/>
                <w:szCs w:val="24"/>
              </w:rPr>
            </w:pPr>
            <w:r w:rsidRPr="00306E38">
              <w:rPr>
                <w:rFonts w:eastAsiaTheme="majorEastAsia" w:cs="Times New Roman"/>
                <w:szCs w:val="24"/>
              </w:rPr>
              <w:t>Addressed.</w:t>
            </w:r>
          </w:p>
          <w:p w14:paraId="4122ABF9" w14:textId="77777777" w:rsidR="005D5985" w:rsidRPr="00306E38" w:rsidRDefault="005D5985">
            <w:pPr>
              <w:pStyle w:val="Tabletext0"/>
              <w:jc w:val="left"/>
            </w:pPr>
            <w:r w:rsidRPr="00306E38">
              <w:rPr>
                <w:rFonts w:eastAsiaTheme="majorEastAsia" w:cs="Times New Roman"/>
                <w:szCs w:val="24"/>
              </w:rPr>
              <w:t xml:space="preserve">The application </w:t>
            </w:r>
            <w:r>
              <w:rPr>
                <w:rFonts w:eastAsiaTheme="majorEastAsia" w:cs="Times New Roman"/>
                <w:szCs w:val="24"/>
              </w:rPr>
              <w:t>wa</w:t>
            </w:r>
            <w:r w:rsidRPr="00306E38">
              <w:rPr>
                <w:rFonts w:eastAsiaTheme="majorEastAsia" w:cs="Times New Roman"/>
                <w:szCs w:val="24"/>
              </w:rPr>
              <w:t>s not restricted to specific</w:t>
            </w:r>
            <w:r>
              <w:rPr>
                <w:rFonts w:eastAsiaTheme="majorEastAsia" w:cs="Times New Roman"/>
                <w:szCs w:val="24"/>
              </w:rPr>
              <w:t xml:space="preserve"> types of</w:t>
            </w:r>
            <w:r w:rsidRPr="00306E38">
              <w:rPr>
                <w:rFonts w:eastAsiaTheme="majorEastAsia" w:cs="Times New Roman"/>
                <w:szCs w:val="24"/>
              </w:rPr>
              <w:t xml:space="preserve"> nerve blocks, which is consistent with the existing MBS item (22041) for single-injection nerve blocks.</w:t>
            </w:r>
          </w:p>
        </w:tc>
      </w:tr>
      <w:tr w:rsidR="005D5985" w:rsidRPr="00306E38" w14:paraId="6B16661C" w14:textId="77777777">
        <w:trPr>
          <w:cantSplit/>
        </w:trPr>
        <w:tc>
          <w:tcPr>
            <w:tcW w:w="784" w:type="pct"/>
          </w:tcPr>
          <w:p w14:paraId="3F8BFFB7" w14:textId="77777777" w:rsidR="005D5985" w:rsidRPr="00306E38" w:rsidRDefault="005D5985">
            <w:pPr>
              <w:pStyle w:val="Tabletext0"/>
              <w:jc w:val="left"/>
            </w:pPr>
            <w:r>
              <w:t>Background (</w:t>
            </w:r>
            <w:r w:rsidRPr="00D059DF">
              <w:rPr>
                <w:rFonts w:eastAsiaTheme="majorEastAsia" w:cs="Times New Roman"/>
                <w:szCs w:val="24"/>
              </w:rPr>
              <w:t>Existing services) and Approach to assessment (Comparator)</w:t>
            </w:r>
            <w:r>
              <w:t xml:space="preserve"> </w:t>
            </w:r>
          </w:p>
        </w:tc>
        <w:tc>
          <w:tcPr>
            <w:tcW w:w="2044" w:type="pct"/>
          </w:tcPr>
          <w:p w14:paraId="78DDD622" w14:textId="77777777" w:rsidR="005D5985" w:rsidRPr="00306E38" w:rsidRDefault="005D5985">
            <w:pPr>
              <w:pStyle w:val="Tabletext0"/>
              <w:jc w:val="left"/>
            </w:pPr>
            <w:r w:rsidRPr="00306E38">
              <w:rPr>
                <w:rFonts w:eastAsiaTheme="majorEastAsia" w:cs="Times New Roman"/>
                <w:szCs w:val="24"/>
              </w:rPr>
              <w:t xml:space="preserve">MSAC advised the nominated comparator should be </w:t>
            </w:r>
            <w:r>
              <w:rPr>
                <w:rFonts w:eastAsiaTheme="majorEastAsia" w:cs="Times New Roman"/>
                <w:szCs w:val="24"/>
              </w:rPr>
              <w:t>‘</w:t>
            </w:r>
            <w:r w:rsidRPr="00306E38">
              <w:rPr>
                <w:rFonts w:eastAsiaTheme="majorEastAsia" w:cs="Times New Roman"/>
                <w:szCs w:val="24"/>
              </w:rPr>
              <w:t xml:space="preserve">no </w:t>
            </w:r>
            <w:r w:rsidRPr="00E717F8">
              <w:rPr>
                <w:rFonts w:eastAsiaTheme="majorEastAsia" w:cs="Times New Roman"/>
                <w:szCs w:val="24"/>
              </w:rPr>
              <w:t>block</w:t>
            </w:r>
            <w:r>
              <w:rPr>
                <w:rFonts w:eastAsiaTheme="majorEastAsia" w:cs="Times New Roman"/>
                <w:szCs w:val="24"/>
              </w:rPr>
              <w:t>’</w:t>
            </w:r>
            <w:r w:rsidRPr="00306E38">
              <w:rPr>
                <w:rFonts w:eastAsiaTheme="majorEastAsia" w:cs="Times New Roman"/>
                <w:szCs w:val="24"/>
              </w:rPr>
              <w:t xml:space="preserve"> in any resubmission, but noted that active comparators (e.g. local infiltration or joint infiltration associated with joint replacement surgery) could also be available (PSD, p3).</w:t>
            </w:r>
          </w:p>
        </w:tc>
        <w:tc>
          <w:tcPr>
            <w:tcW w:w="2173" w:type="pct"/>
          </w:tcPr>
          <w:p w14:paraId="716CE191" w14:textId="77777777" w:rsidR="005D5985" w:rsidRPr="00306E38" w:rsidRDefault="005D5985">
            <w:pPr>
              <w:pStyle w:val="Tabletext0"/>
              <w:jc w:val="left"/>
              <w:rPr>
                <w:rFonts w:eastAsiaTheme="majorEastAsia" w:cs="Times New Roman"/>
                <w:szCs w:val="24"/>
              </w:rPr>
            </w:pPr>
            <w:r w:rsidRPr="00306E38">
              <w:rPr>
                <w:rFonts w:eastAsiaTheme="majorEastAsia" w:cs="Times New Roman"/>
                <w:szCs w:val="24"/>
              </w:rPr>
              <w:t>Addressed.</w:t>
            </w:r>
          </w:p>
          <w:p w14:paraId="79166465" w14:textId="77777777" w:rsidR="005D5985" w:rsidRPr="00306E38" w:rsidRDefault="005D5985">
            <w:pPr>
              <w:pStyle w:val="Tabletext0"/>
              <w:jc w:val="left"/>
            </w:pPr>
            <w:r w:rsidRPr="00306E38">
              <w:rPr>
                <w:rFonts w:eastAsiaTheme="majorEastAsia" w:cs="Times New Roman"/>
                <w:szCs w:val="24"/>
              </w:rPr>
              <w:t xml:space="preserve">The current applicant’s clinical claim </w:t>
            </w:r>
            <w:r>
              <w:rPr>
                <w:rFonts w:eastAsiaTheme="majorEastAsia" w:cs="Times New Roman"/>
                <w:szCs w:val="24"/>
              </w:rPr>
              <w:t>was</w:t>
            </w:r>
            <w:r w:rsidRPr="00306E38">
              <w:rPr>
                <w:rFonts w:eastAsiaTheme="majorEastAsia" w:cs="Times New Roman"/>
                <w:szCs w:val="24"/>
              </w:rPr>
              <w:t xml:space="preserve"> based on MBS item 22041 (subsequently listed) </w:t>
            </w:r>
            <w:r>
              <w:rPr>
                <w:rFonts w:eastAsiaTheme="majorEastAsia" w:cs="Times New Roman"/>
                <w:szCs w:val="24"/>
              </w:rPr>
              <w:t xml:space="preserve">– </w:t>
            </w:r>
            <w:r w:rsidRPr="00306E38">
              <w:rPr>
                <w:rFonts w:eastAsiaTheme="majorEastAsia" w:cs="Times New Roman"/>
                <w:szCs w:val="24"/>
              </w:rPr>
              <w:t xml:space="preserve"> perioperative introduction of a plexus or nerve block proximal to the lower leg or forearm for postoperative pain management, which </w:t>
            </w:r>
            <w:r>
              <w:rPr>
                <w:rFonts w:eastAsiaTheme="majorEastAsia" w:cs="Times New Roman"/>
                <w:szCs w:val="24"/>
              </w:rPr>
              <w:t>was</w:t>
            </w:r>
            <w:r w:rsidRPr="00306E38">
              <w:rPr>
                <w:rFonts w:eastAsiaTheme="majorEastAsia" w:cs="Times New Roman"/>
                <w:szCs w:val="24"/>
              </w:rPr>
              <w:t xml:space="preserve"> considered in the current application as the main comparator. Additionally, the comparator </w:t>
            </w:r>
            <w:r>
              <w:rPr>
                <w:rFonts w:eastAsiaTheme="majorEastAsia" w:cs="Times New Roman"/>
                <w:szCs w:val="24"/>
              </w:rPr>
              <w:t>‘</w:t>
            </w:r>
            <w:r w:rsidRPr="00306E38">
              <w:rPr>
                <w:rFonts w:eastAsiaTheme="majorEastAsia" w:cs="Times New Roman"/>
                <w:szCs w:val="24"/>
              </w:rPr>
              <w:t xml:space="preserve">no continuous </w:t>
            </w:r>
            <w:r w:rsidRPr="00E717F8">
              <w:rPr>
                <w:rFonts w:eastAsiaTheme="majorEastAsia" w:cs="Times New Roman"/>
                <w:szCs w:val="24"/>
              </w:rPr>
              <w:t>block</w:t>
            </w:r>
            <w:r>
              <w:rPr>
                <w:rFonts w:eastAsiaTheme="majorEastAsia" w:cs="Times New Roman"/>
                <w:szCs w:val="24"/>
              </w:rPr>
              <w:t>’</w:t>
            </w:r>
            <w:r w:rsidRPr="00306E38">
              <w:rPr>
                <w:rFonts w:eastAsiaTheme="majorEastAsia" w:cs="Times New Roman"/>
                <w:szCs w:val="24"/>
              </w:rPr>
              <w:t xml:space="preserve"> </w:t>
            </w:r>
            <w:r>
              <w:rPr>
                <w:rFonts w:eastAsiaTheme="majorEastAsia" w:cs="Times New Roman"/>
                <w:szCs w:val="24"/>
              </w:rPr>
              <w:t>was</w:t>
            </w:r>
            <w:r w:rsidRPr="00306E38">
              <w:rPr>
                <w:rFonts w:eastAsiaTheme="majorEastAsia" w:cs="Times New Roman"/>
                <w:szCs w:val="24"/>
              </w:rPr>
              <w:t xml:space="preserve"> defined as a composite of existing treatment alternatives, instead of no block or placebo in application 1308, as patients with this indication will always be treated in clinical practice.</w:t>
            </w:r>
          </w:p>
        </w:tc>
      </w:tr>
      <w:tr w:rsidR="005D5985" w:rsidRPr="00306E38" w14:paraId="46BC4D7A" w14:textId="77777777">
        <w:trPr>
          <w:cantSplit/>
        </w:trPr>
        <w:tc>
          <w:tcPr>
            <w:tcW w:w="784" w:type="pct"/>
          </w:tcPr>
          <w:p w14:paraId="55581DE8" w14:textId="77777777" w:rsidR="005D5985" w:rsidRPr="00306E38" w:rsidRDefault="005D5985">
            <w:pPr>
              <w:pStyle w:val="Tabletext0"/>
              <w:jc w:val="left"/>
            </w:pPr>
            <w:r>
              <w:t xml:space="preserve">What are the economic considerations (Financial implications) and Discussion and  </w:t>
            </w:r>
          </w:p>
        </w:tc>
        <w:tc>
          <w:tcPr>
            <w:tcW w:w="2044" w:type="pct"/>
          </w:tcPr>
          <w:p w14:paraId="3080301D" w14:textId="77777777" w:rsidR="005D5985" w:rsidRPr="00306E38" w:rsidRDefault="005D5985">
            <w:pPr>
              <w:pStyle w:val="Tabletext0"/>
              <w:jc w:val="left"/>
            </w:pPr>
            <w:r w:rsidRPr="00306E38">
              <w:rPr>
                <w:rFonts w:eastAsiaTheme="majorEastAsia" w:cs="Times New Roman"/>
                <w:szCs w:val="24"/>
              </w:rPr>
              <w:t xml:space="preserve">MSAC acknowledged the clinical need for LANBs but expressed concern about uncertainties in the clinical </w:t>
            </w:r>
            <w:r w:rsidRPr="00E717F8">
              <w:rPr>
                <w:rFonts w:eastAsiaTheme="majorEastAsia" w:cs="Times New Roman"/>
                <w:szCs w:val="24"/>
              </w:rPr>
              <w:t xml:space="preserve">effectiveness </w:t>
            </w:r>
            <w:r w:rsidRPr="00306E38">
              <w:rPr>
                <w:rFonts w:eastAsiaTheme="majorEastAsia" w:cs="Times New Roman"/>
                <w:szCs w:val="24"/>
              </w:rPr>
              <w:t>and cost-effectiveness of various nerve block types, and the considerable uncertainty about the estimates of utilisation and financial impacts (PSD, p3).</w:t>
            </w:r>
          </w:p>
        </w:tc>
        <w:tc>
          <w:tcPr>
            <w:tcW w:w="2173" w:type="pct"/>
          </w:tcPr>
          <w:p w14:paraId="40C2926A" w14:textId="77777777" w:rsidR="005D5985" w:rsidRPr="00306E38" w:rsidRDefault="005D5985">
            <w:pPr>
              <w:pStyle w:val="Tabletext0"/>
              <w:jc w:val="left"/>
              <w:rPr>
                <w:rFonts w:eastAsiaTheme="majorEastAsia" w:cs="Times New Roman"/>
                <w:szCs w:val="24"/>
              </w:rPr>
            </w:pPr>
            <w:r w:rsidRPr="00306E38">
              <w:rPr>
                <w:rFonts w:eastAsiaTheme="majorEastAsia" w:cs="Times New Roman"/>
                <w:szCs w:val="24"/>
              </w:rPr>
              <w:t>Addressed.</w:t>
            </w:r>
          </w:p>
          <w:p w14:paraId="0377CA19" w14:textId="77777777" w:rsidR="005D5985" w:rsidRPr="00306E38" w:rsidRDefault="005D5985">
            <w:pPr>
              <w:pStyle w:val="Tabletext0"/>
              <w:jc w:val="left"/>
              <w:rPr>
                <w:rFonts w:eastAsiaTheme="majorEastAsia" w:cs="Times New Roman"/>
                <w:szCs w:val="24"/>
              </w:rPr>
            </w:pPr>
            <w:r w:rsidRPr="00306E38">
              <w:rPr>
                <w:rFonts w:eastAsiaTheme="majorEastAsia" w:cs="Times New Roman"/>
                <w:szCs w:val="24"/>
              </w:rPr>
              <w:t xml:space="preserve">Only a subset of evidence relating to moderate to severe pain lasting more than 12 hours and using continuous blocks </w:t>
            </w:r>
            <w:r>
              <w:rPr>
                <w:rFonts w:eastAsiaTheme="majorEastAsia" w:cs="Times New Roman"/>
                <w:szCs w:val="24"/>
              </w:rPr>
              <w:t xml:space="preserve">informed </w:t>
            </w:r>
            <w:r w:rsidRPr="00306E38">
              <w:rPr>
                <w:rFonts w:eastAsiaTheme="majorEastAsia" w:cs="Times New Roman"/>
                <w:szCs w:val="24"/>
              </w:rPr>
              <w:t>the current application.</w:t>
            </w:r>
          </w:p>
          <w:p w14:paraId="2590CF8A" w14:textId="77777777" w:rsidR="005D5985" w:rsidRPr="00306E38" w:rsidRDefault="005D5985">
            <w:pPr>
              <w:pStyle w:val="Tabletext0"/>
              <w:jc w:val="left"/>
              <w:rPr>
                <w:rFonts w:eastAsiaTheme="majorEastAsia" w:cs="Times New Roman"/>
                <w:szCs w:val="24"/>
              </w:rPr>
            </w:pPr>
            <w:r w:rsidRPr="00306E38">
              <w:rPr>
                <w:rFonts w:eastAsiaTheme="majorEastAsia" w:cs="Times New Roman"/>
                <w:szCs w:val="24"/>
              </w:rPr>
              <w:t xml:space="preserve">The main comparators </w:t>
            </w:r>
            <w:r>
              <w:rPr>
                <w:rFonts w:eastAsiaTheme="majorEastAsia" w:cs="Times New Roman"/>
                <w:szCs w:val="24"/>
              </w:rPr>
              <w:t>were</w:t>
            </w:r>
            <w:r w:rsidRPr="00306E38">
              <w:rPr>
                <w:rFonts w:eastAsiaTheme="majorEastAsia" w:cs="Times New Roman"/>
                <w:szCs w:val="24"/>
              </w:rPr>
              <w:t xml:space="preserve"> single</w:t>
            </w:r>
            <w:r>
              <w:rPr>
                <w:rFonts w:eastAsiaTheme="majorEastAsia" w:cs="Times New Roman"/>
                <w:szCs w:val="24"/>
              </w:rPr>
              <w:t>-</w:t>
            </w:r>
            <w:r w:rsidRPr="00306E38">
              <w:rPr>
                <w:rFonts w:eastAsiaTheme="majorEastAsia" w:cs="Times New Roman"/>
                <w:szCs w:val="24"/>
              </w:rPr>
              <w:t xml:space="preserve">injection </w:t>
            </w:r>
            <w:r>
              <w:rPr>
                <w:rFonts w:eastAsiaTheme="majorEastAsia" w:cs="Times New Roman"/>
                <w:szCs w:val="24"/>
              </w:rPr>
              <w:t xml:space="preserve">nerve </w:t>
            </w:r>
            <w:r w:rsidRPr="00306E38">
              <w:rPr>
                <w:rFonts w:eastAsiaTheme="majorEastAsia" w:cs="Times New Roman"/>
                <w:szCs w:val="24"/>
              </w:rPr>
              <w:t xml:space="preserve">block, neuraxial nerve block and systemic opioids. </w:t>
            </w:r>
          </w:p>
          <w:p w14:paraId="3F76AC49" w14:textId="77777777" w:rsidR="005D5985" w:rsidRPr="00306E38" w:rsidRDefault="005D5985">
            <w:pPr>
              <w:pStyle w:val="Tabletext0"/>
              <w:jc w:val="left"/>
            </w:pPr>
            <w:r w:rsidRPr="00306E38">
              <w:rPr>
                <w:rFonts w:eastAsiaTheme="majorEastAsia" w:cs="Times New Roman"/>
                <w:szCs w:val="24"/>
              </w:rPr>
              <w:t>The proposed MBS item fee was calculated as 5 basic units, using the RVG. This proposed fee was used in the cost analysis.</w:t>
            </w:r>
          </w:p>
        </w:tc>
      </w:tr>
      <w:tr w:rsidR="005D5985" w:rsidRPr="00306E38" w14:paraId="29CF7C4A" w14:textId="77777777">
        <w:trPr>
          <w:cantSplit/>
        </w:trPr>
        <w:tc>
          <w:tcPr>
            <w:tcW w:w="784" w:type="pct"/>
          </w:tcPr>
          <w:p w14:paraId="40F51CCF" w14:textId="77777777" w:rsidR="005D5985" w:rsidRPr="00306E38" w:rsidRDefault="005D5985">
            <w:pPr>
              <w:pStyle w:val="Tabletext0"/>
              <w:jc w:val="left"/>
            </w:pPr>
            <w:r>
              <w:t>What are the economic considerations (Background, Financial implications, and other cost considerations)</w:t>
            </w:r>
          </w:p>
        </w:tc>
        <w:tc>
          <w:tcPr>
            <w:tcW w:w="2044" w:type="pct"/>
          </w:tcPr>
          <w:p w14:paraId="165F02B9" w14:textId="77777777" w:rsidR="005D5985" w:rsidRPr="00306E38" w:rsidRDefault="005D5985">
            <w:pPr>
              <w:pStyle w:val="Tabletext0"/>
              <w:jc w:val="left"/>
            </w:pPr>
            <w:r w:rsidRPr="00306E38">
              <w:rPr>
                <w:rFonts w:eastAsiaTheme="majorEastAsia" w:cs="Times New Roman"/>
                <w:szCs w:val="24"/>
              </w:rPr>
              <w:t>MSAC noted that an out-of-pocket cost was included, but the applicant strongly disagreed it would be common with LANB procedures (PSD, p3). ESC noted that anaesthesia costs were a frequent cause of unexpected expenses for patients (PSD, p10).</w:t>
            </w:r>
          </w:p>
        </w:tc>
        <w:tc>
          <w:tcPr>
            <w:tcW w:w="2173" w:type="pct"/>
          </w:tcPr>
          <w:p w14:paraId="55F83EA9" w14:textId="77777777" w:rsidR="005D5985" w:rsidRPr="00306E38" w:rsidRDefault="005D5985">
            <w:pPr>
              <w:pStyle w:val="Tabletext0"/>
              <w:jc w:val="left"/>
              <w:rPr>
                <w:rFonts w:eastAsiaTheme="majorEastAsia" w:cs="Times New Roman"/>
                <w:szCs w:val="24"/>
              </w:rPr>
            </w:pPr>
            <w:r w:rsidRPr="00306E38">
              <w:rPr>
                <w:rFonts w:eastAsiaTheme="majorEastAsia" w:cs="Times New Roman"/>
                <w:szCs w:val="24"/>
              </w:rPr>
              <w:t>Not addressed.</w:t>
            </w:r>
          </w:p>
          <w:p w14:paraId="2F88AFDD" w14:textId="77777777" w:rsidR="005D5985" w:rsidRPr="00306E38" w:rsidRDefault="005D5985">
            <w:pPr>
              <w:pStyle w:val="Tabletext0"/>
              <w:jc w:val="left"/>
            </w:pPr>
            <w:r w:rsidRPr="0D4DA44A">
              <w:rPr>
                <w:rFonts w:eastAsiaTheme="majorEastAsia" w:cs="Times New Roman"/>
              </w:rPr>
              <w:t xml:space="preserve">A difference of </w:t>
            </w:r>
            <w:r w:rsidRPr="00306E38">
              <w:rPr>
                <w:rFonts w:cs="Times New Roman"/>
              </w:rPr>
              <w:t>$</w:t>
            </w:r>
            <w:r w:rsidRPr="0D4DA44A">
              <w:rPr>
                <w:rFonts w:eastAsiaTheme="majorEastAsia" w:cs="Times New Roman"/>
              </w:rPr>
              <w:t>198.81 between the overall cost of a continuous nerve block (</w:t>
            </w:r>
            <w:r w:rsidRPr="00306E38">
              <w:rPr>
                <w:rFonts w:cs="Times New Roman"/>
              </w:rPr>
              <w:t>$</w:t>
            </w:r>
            <w:r w:rsidRPr="0D4DA44A">
              <w:rPr>
                <w:rFonts w:eastAsiaTheme="majorEastAsia" w:cs="Times New Roman"/>
              </w:rPr>
              <w:t>303.56) and the proposed MBS fee (</w:t>
            </w:r>
            <w:r w:rsidRPr="00306E38">
              <w:rPr>
                <w:rFonts w:cs="Times New Roman"/>
              </w:rPr>
              <w:t>$</w:t>
            </w:r>
            <w:r w:rsidRPr="0D4DA44A">
              <w:rPr>
                <w:rFonts w:cs="Times New Roman"/>
              </w:rPr>
              <w:t>109.00</w:t>
            </w:r>
            <w:r w:rsidRPr="0D4DA44A">
              <w:rPr>
                <w:rFonts w:eastAsiaTheme="majorEastAsia" w:cs="Times New Roman"/>
              </w:rPr>
              <w:t>) was stated in application 1741. The extra cost coverage requires further investigation.</w:t>
            </w:r>
          </w:p>
        </w:tc>
      </w:tr>
      <w:tr w:rsidR="005D5985" w:rsidRPr="00306E38" w14:paraId="2D538228" w14:textId="77777777">
        <w:trPr>
          <w:cantSplit/>
        </w:trPr>
        <w:tc>
          <w:tcPr>
            <w:tcW w:w="784" w:type="pct"/>
          </w:tcPr>
          <w:p w14:paraId="17DFF5E8" w14:textId="77777777" w:rsidR="005D5985" w:rsidRPr="00306E38" w:rsidRDefault="005D5985">
            <w:pPr>
              <w:pStyle w:val="Tabletext0"/>
              <w:jc w:val="left"/>
            </w:pPr>
            <w:r>
              <w:lastRenderedPageBreak/>
              <w:t>Results of assessment</w:t>
            </w:r>
          </w:p>
        </w:tc>
        <w:tc>
          <w:tcPr>
            <w:tcW w:w="2044" w:type="pct"/>
          </w:tcPr>
          <w:p w14:paraId="05E982A7" w14:textId="77777777" w:rsidR="005D5985" w:rsidRPr="00306E38" w:rsidRDefault="005D5985">
            <w:pPr>
              <w:pStyle w:val="Tabletext0"/>
              <w:jc w:val="left"/>
            </w:pPr>
            <w:r w:rsidRPr="00306E38">
              <w:rPr>
                <w:rFonts w:eastAsiaTheme="majorEastAsia" w:cs="Times New Roman"/>
                <w:szCs w:val="24"/>
              </w:rPr>
              <w:t>MSAC suggested that evidence on other potential LANB advantages, such as hospital stay duration, recovery time, postoperative chronic pain and quality of life, could facilitate a cost-utility analysis to support the committee</w:t>
            </w:r>
            <w:r>
              <w:rPr>
                <w:rFonts w:eastAsiaTheme="majorEastAsia" w:cs="Times New Roman"/>
                <w:szCs w:val="24"/>
              </w:rPr>
              <w:t>’</w:t>
            </w:r>
            <w:r w:rsidRPr="00306E38">
              <w:rPr>
                <w:rFonts w:eastAsiaTheme="majorEastAsia" w:cs="Times New Roman"/>
                <w:szCs w:val="24"/>
              </w:rPr>
              <w:t>s decision-making process (PSD, p2). These data were scarce or missing in application 1308.</w:t>
            </w:r>
          </w:p>
        </w:tc>
        <w:tc>
          <w:tcPr>
            <w:tcW w:w="2173" w:type="pct"/>
          </w:tcPr>
          <w:p w14:paraId="6A45EB13" w14:textId="77777777" w:rsidR="005D5985" w:rsidRPr="00306E38" w:rsidRDefault="005D5985">
            <w:pPr>
              <w:pStyle w:val="Tabletext0"/>
              <w:jc w:val="left"/>
              <w:rPr>
                <w:rFonts w:eastAsiaTheme="majorEastAsia" w:cs="Times New Roman"/>
                <w:szCs w:val="24"/>
              </w:rPr>
            </w:pPr>
            <w:r w:rsidRPr="00306E38">
              <w:t>Partially a</w:t>
            </w:r>
            <w:r w:rsidRPr="00306E38">
              <w:rPr>
                <w:rFonts w:eastAsiaTheme="majorEastAsia" w:cs="Times New Roman"/>
                <w:szCs w:val="24"/>
              </w:rPr>
              <w:t>ddressed.</w:t>
            </w:r>
          </w:p>
          <w:p w14:paraId="175830C4" w14:textId="77777777" w:rsidR="005D5985" w:rsidRPr="00306E38" w:rsidRDefault="005D5985">
            <w:pPr>
              <w:pStyle w:val="Tabletext0"/>
              <w:jc w:val="left"/>
              <w:rPr>
                <w:rFonts w:eastAsiaTheme="majorEastAsia" w:cs="Times New Roman"/>
                <w:szCs w:val="24"/>
              </w:rPr>
            </w:pPr>
            <w:r w:rsidRPr="00306E38">
              <w:rPr>
                <w:rFonts w:cs="Arial"/>
                <w:iCs/>
                <w:snapToGrid w:val="0"/>
              </w:rPr>
              <w:t>Time to first mobilisation after surgery was assumed, although there was limited evidence. No health-related quality of life data were retrieved in the systematic literature review. Considering the lack of quality</w:t>
            </w:r>
            <w:r>
              <w:rPr>
                <w:rFonts w:cs="Arial"/>
                <w:iCs/>
                <w:snapToGrid w:val="0"/>
              </w:rPr>
              <w:t>-</w:t>
            </w:r>
            <w:r w:rsidRPr="00306E38">
              <w:rPr>
                <w:rFonts w:cs="Arial"/>
                <w:iCs/>
                <w:snapToGrid w:val="0"/>
              </w:rPr>
              <w:t>of</w:t>
            </w:r>
            <w:r>
              <w:rPr>
                <w:rFonts w:cs="Arial"/>
                <w:iCs/>
                <w:snapToGrid w:val="0"/>
              </w:rPr>
              <w:t>-</w:t>
            </w:r>
            <w:r w:rsidRPr="00306E38">
              <w:rPr>
                <w:rFonts w:cs="Arial"/>
                <w:iCs/>
                <w:snapToGrid w:val="0"/>
              </w:rPr>
              <w:t>life data, a cost-effectiveness analysis rather than a cost-utility analysis was performed.</w:t>
            </w:r>
          </w:p>
        </w:tc>
      </w:tr>
    </w:tbl>
    <w:p w14:paraId="77B4FFC9" w14:textId="77777777" w:rsidR="005D5985" w:rsidRDefault="005D5985" w:rsidP="009A455B">
      <w:pPr>
        <w:pStyle w:val="TableFooter"/>
        <w:spacing w:before="0" w:after="0"/>
      </w:pPr>
      <w:bookmarkStart w:id="9" w:name="ColumnTitle_Table1"/>
      <w:bookmarkEnd w:id="7"/>
      <w:bookmarkEnd w:id="9"/>
      <w:r w:rsidRPr="00306E38">
        <w:rPr>
          <w:b/>
        </w:rPr>
        <w:t>Abbreviations</w:t>
      </w:r>
      <w:r w:rsidRPr="00306E38">
        <w:t xml:space="preserve">: </w:t>
      </w:r>
      <w:r w:rsidRPr="00D059DF">
        <w:rPr>
          <w:b/>
        </w:rPr>
        <w:t>ESC</w:t>
      </w:r>
      <w:r w:rsidRPr="00306E38">
        <w:t xml:space="preserve"> = Evaluation Sub-</w:t>
      </w:r>
      <w:r>
        <w:t>C</w:t>
      </w:r>
      <w:r w:rsidRPr="00306E38">
        <w:t xml:space="preserve">ommittee; </w:t>
      </w:r>
      <w:r w:rsidRPr="00D059DF">
        <w:rPr>
          <w:b/>
          <w:szCs w:val="22"/>
        </w:rPr>
        <w:t>LANB</w:t>
      </w:r>
      <w:r w:rsidRPr="00306E38">
        <w:t xml:space="preserve"> = local anaesthetic peripheral nerve block; </w:t>
      </w:r>
      <w:r w:rsidRPr="00D059DF">
        <w:rPr>
          <w:b/>
        </w:rPr>
        <w:t>MBS</w:t>
      </w:r>
      <w:r w:rsidRPr="00306E38">
        <w:t xml:space="preserve"> = Medicare Benefits Schedule; </w:t>
      </w:r>
      <w:r w:rsidRPr="00D059DF">
        <w:rPr>
          <w:b/>
        </w:rPr>
        <w:t>MSAC</w:t>
      </w:r>
      <w:r w:rsidRPr="00306E38">
        <w:t xml:space="preserve"> = Medical Services Advisory Committee; </w:t>
      </w:r>
      <w:r w:rsidRPr="00D059DF">
        <w:rPr>
          <w:b/>
        </w:rPr>
        <w:t>PSD</w:t>
      </w:r>
      <w:r w:rsidRPr="00306E38">
        <w:t xml:space="preserve"> = Public Summary Document; </w:t>
      </w:r>
      <w:r w:rsidRPr="00D059DF">
        <w:rPr>
          <w:b/>
        </w:rPr>
        <w:t>RVG</w:t>
      </w:r>
      <w:r w:rsidRPr="00306E38">
        <w:t xml:space="preserve"> = relative value guide</w:t>
      </w:r>
      <w:r>
        <w:t xml:space="preserve"> for anaesthesia</w:t>
      </w:r>
    </w:p>
    <w:p w14:paraId="082CCF62" w14:textId="42BE19A8" w:rsidR="003822A8" w:rsidRPr="00306E38" w:rsidRDefault="003822A8" w:rsidP="001844D2">
      <w:pPr>
        <w:pStyle w:val="Tablenotes0"/>
        <w:spacing w:before="0"/>
      </w:pPr>
      <w:r>
        <w:t>Source: DCAR Table 2</w:t>
      </w:r>
    </w:p>
    <w:p w14:paraId="75C5B841" w14:textId="05EC8C21" w:rsidR="005D5985" w:rsidRPr="00306E38" w:rsidRDefault="00EE61CE" w:rsidP="005D5985">
      <w:pPr>
        <w:pStyle w:val="Heading2"/>
        <w:numPr>
          <w:ilvl w:val="0"/>
          <w:numId w:val="0"/>
        </w:numPr>
        <w:ind w:left="576" w:hanging="576"/>
      </w:pPr>
      <w:bookmarkStart w:id="10" w:name="_Toc150966050"/>
      <w:bookmarkStart w:id="11" w:name="_Toc153401626"/>
      <w:r>
        <w:t>5</w:t>
      </w:r>
      <w:r w:rsidR="005D5985" w:rsidRPr="00306E38">
        <w:t>.</w:t>
      </w:r>
      <w:r w:rsidR="005D5985" w:rsidRPr="00306E38">
        <w:tab/>
        <w:t>Prerequisites to implementation of any funding advice</w:t>
      </w:r>
      <w:bookmarkEnd w:id="10"/>
      <w:bookmarkEnd w:id="11"/>
    </w:p>
    <w:p w14:paraId="3D3A87BB" w14:textId="5EC8801D" w:rsidR="005D5985" w:rsidRPr="00E036FE" w:rsidRDefault="005D5985" w:rsidP="005D5985">
      <w:pPr>
        <w:rPr>
          <w:rFonts w:ascii="Franklin Gothic Book" w:hAnsi="Franklin Gothic Book"/>
        </w:rPr>
      </w:pPr>
      <w:r w:rsidRPr="00E036FE">
        <w:rPr>
          <w:rFonts w:ascii="Franklin Gothic Book" w:hAnsi="Franklin Gothic Book"/>
        </w:rPr>
        <w:t xml:space="preserve">No Therapeutic Goods Administration (TGA) approval or other prerequisites are required for this application. Continuous nerve blocks use medicines and equipment already approved by the TGA. </w:t>
      </w:r>
    </w:p>
    <w:p w14:paraId="0975DCFD" w14:textId="72AC9C46" w:rsidR="005D5985" w:rsidRPr="00306E38" w:rsidRDefault="00EE61CE" w:rsidP="005D5985">
      <w:pPr>
        <w:pStyle w:val="Heading2"/>
        <w:numPr>
          <w:ilvl w:val="0"/>
          <w:numId w:val="0"/>
        </w:numPr>
        <w:ind w:left="576" w:hanging="576"/>
      </w:pPr>
      <w:bookmarkStart w:id="12" w:name="_Toc150966051"/>
      <w:bookmarkStart w:id="13" w:name="_Toc153401627"/>
      <w:r>
        <w:t>6</w:t>
      </w:r>
      <w:r w:rsidR="005D5985" w:rsidRPr="00306E38">
        <w:t>.</w:t>
      </w:r>
      <w:r w:rsidR="005D5985" w:rsidRPr="00306E38">
        <w:tab/>
        <w:t>Proposal for public funding</w:t>
      </w:r>
      <w:bookmarkEnd w:id="12"/>
      <w:bookmarkEnd w:id="13"/>
    </w:p>
    <w:p w14:paraId="09AB9767" w14:textId="4F50247D" w:rsidR="005D5985" w:rsidRPr="00E036FE" w:rsidRDefault="005D5985" w:rsidP="005D5985">
      <w:pPr>
        <w:rPr>
          <w:rFonts w:ascii="Franklin Gothic Book" w:hAnsi="Franklin Gothic Book"/>
        </w:rPr>
      </w:pPr>
      <w:bookmarkStart w:id="14" w:name="_Ref69481033"/>
      <w:r w:rsidRPr="00E036FE">
        <w:rPr>
          <w:rFonts w:ascii="Franklin Gothic Book" w:hAnsi="Franklin Gothic Book"/>
        </w:rPr>
        <w:t xml:space="preserve">The proposed technology, continuous nerve block, is a variation of the existing </w:t>
      </w:r>
      <w:r w:rsidRPr="00E036FE" w:rsidDel="00D62E5A">
        <w:rPr>
          <w:rFonts w:ascii="Franklin Gothic Book" w:hAnsi="Franklin Gothic Book"/>
        </w:rPr>
        <w:t>single</w:t>
      </w:r>
      <w:r w:rsidRPr="00E036FE">
        <w:rPr>
          <w:rFonts w:ascii="Franklin Gothic Book" w:hAnsi="Franklin Gothic Book"/>
        </w:rPr>
        <w:t xml:space="preserve">-injection nerve block </w:t>
      </w:r>
      <w:r w:rsidR="00214B5A" w:rsidRPr="00E036FE">
        <w:rPr>
          <w:rFonts w:ascii="Franklin Gothic Book" w:hAnsi="Franklin Gothic Book"/>
        </w:rPr>
        <w:t>technique and</w:t>
      </w:r>
      <w:r w:rsidRPr="00E036FE">
        <w:rPr>
          <w:rFonts w:ascii="Franklin Gothic Book" w:hAnsi="Franklin Gothic Book"/>
        </w:rPr>
        <w:t xml:space="preserve"> requires the placement of a catheter adjacent to a peripheral nerve or plexus. Based on the deliberations of MSAC and the Anaesthesia Clinical Committee, this technique was considered more challenging than a single injection, requiring a new MBS item in Group 10 of the </w:t>
      </w:r>
      <w:r w:rsidRPr="00E036FE">
        <w:rPr>
          <w:rFonts w:ascii="Franklin Gothic Book" w:hAnsi="Franklin Gothic Book" w:cstheme="minorHAnsi"/>
        </w:rPr>
        <w:t>Relative Value Guide (RVG) for anaesthesia. The proposed MBS descriptor follows the wording of</w:t>
      </w:r>
      <w:r w:rsidRPr="00E036FE">
        <w:rPr>
          <w:rFonts w:ascii="Franklin Gothic Book" w:hAnsi="Franklin Gothic Book"/>
        </w:rPr>
        <w:t xml:space="preserve"> the </w:t>
      </w:r>
      <w:r w:rsidRPr="00E036FE">
        <w:rPr>
          <w:rFonts w:ascii="Franklin Gothic Book" w:hAnsi="Franklin Gothic Book" w:cstheme="minorHAnsi"/>
        </w:rPr>
        <w:t>existing Group T10/RVG items Nerve or Plexus Blocks for Post Operative Pain, and has been adjusted from the applicant’s wording</w:t>
      </w:r>
      <w:r w:rsidRPr="00E036FE">
        <w:rPr>
          <w:rStyle w:val="FootnoteReference"/>
          <w:rFonts w:ascii="Franklin Gothic Book" w:hAnsi="Franklin Gothic Book" w:cstheme="minorHAnsi"/>
        </w:rPr>
        <w:footnoteReference w:id="4"/>
      </w:r>
      <w:r w:rsidRPr="00E036FE">
        <w:rPr>
          <w:rFonts w:ascii="Franklin Gothic Book" w:hAnsi="Franklin Gothic Book" w:cstheme="minorHAnsi"/>
        </w:rPr>
        <w:t xml:space="preserve"> (</w:t>
      </w:r>
      <w:r w:rsidRPr="00E036FE">
        <w:rPr>
          <w:rFonts w:ascii="Franklin Gothic Book" w:hAnsi="Franklin Gothic Book" w:cstheme="minorHAnsi"/>
        </w:rPr>
        <w:fldChar w:fldCharType="begin"/>
      </w:r>
      <w:r w:rsidRPr="00E036FE">
        <w:rPr>
          <w:rFonts w:ascii="Franklin Gothic Book" w:hAnsi="Franklin Gothic Book" w:cstheme="minorHAnsi"/>
        </w:rPr>
        <w:instrText xml:space="preserve"> REF _Ref147489907 \h </w:instrText>
      </w:r>
      <w:r w:rsidR="00E036FE">
        <w:rPr>
          <w:rFonts w:ascii="Franklin Gothic Book" w:hAnsi="Franklin Gothic Book" w:cstheme="minorHAnsi"/>
        </w:rPr>
        <w:instrText xml:space="preserve"> \* MERGEFORMAT </w:instrText>
      </w:r>
      <w:r w:rsidRPr="00E036FE">
        <w:rPr>
          <w:rFonts w:ascii="Franklin Gothic Book" w:hAnsi="Franklin Gothic Book" w:cstheme="minorHAnsi"/>
        </w:rPr>
      </w:r>
      <w:r w:rsidRPr="00E036FE">
        <w:rPr>
          <w:rFonts w:ascii="Franklin Gothic Book" w:hAnsi="Franklin Gothic Book" w:cstheme="minorHAnsi"/>
        </w:rPr>
        <w:fldChar w:fldCharType="separate"/>
      </w:r>
      <w:r w:rsidR="00A50823" w:rsidRPr="008E617D">
        <w:rPr>
          <w:rFonts w:ascii="Franklin Gothic Book" w:hAnsi="Franklin Gothic Book"/>
        </w:rPr>
        <w:t>Table 3</w:t>
      </w:r>
      <w:r w:rsidRPr="00E036FE">
        <w:rPr>
          <w:rFonts w:ascii="Franklin Gothic Book" w:hAnsi="Franklin Gothic Book" w:cstheme="minorHAnsi"/>
        </w:rPr>
        <w:fldChar w:fldCharType="end"/>
      </w:r>
      <w:r w:rsidRPr="00E036FE">
        <w:rPr>
          <w:rFonts w:ascii="Franklin Gothic Book" w:hAnsi="Franklin Gothic Book" w:cstheme="minorHAnsi"/>
        </w:rPr>
        <w:t xml:space="preserve"> and </w:t>
      </w:r>
      <w:r w:rsidRPr="00E036FE">
        <w:rPr>
          <w:rFonts w:ascii="Franklin Gothic Book" w:hAnsi="Franklin Gothic Book" w:cstheme="minorHAnsi"/>
        </w:rPr>
        <w:fldChar w:fldCharType="begin"/>
      </w:r>
      <w:r w:rsidRPr="00E036FE">
        <w:rPr>
          <w:rFonts w:ascii="Franklin Gothic Book" w:hAnsi="Franklin Gothic Book" w:cstheme="minorHAnsi"/>
        </w:rPr>
        <w:instrText xml:space="preserve"> REF _Ref147489909 \h </w:instrText>
      </w:r>
      <w:r w:rsidR="00E036FE">
        <w:rPr>
          <w:rFonts w:ascii="Franklin Gothic Book" w:hAnsi="Franklin Gothic Book" w:cstheme="minorHAnsi"/>
        </w:rPr>
        <w:instrText xml:space="preserve"> \* MERGEFORMAT </w:instrText>
      </w:r>
      <w:r w:rsidRPr="00E036FE">
        <w:rPr>
          <w:rFonts w:ascii="Franklin Gothic Book" w:hAnsi="Franklin Gothic Book" w:cstheme="minorHAnsi"/>
        </w:rPr>
      </w:r>
      <w:r w:rsidRPr="00E036FE">
        <w:rPr>
          <w:rFonts w:ascii="Franklin Gothic Book" w:hAnsi="Franklin Gothic Book" w:cstheme="minorHAnsi"/>
        </w:rPr>
        <w:fldChar w:fldCharType="separate"/>
      </w:r>
      <w:r w:rsidR="00A50823" w:rsidRPr="008E617D">
        <w:rPr>
          <w:rFonts w:ascii="Franklin Gothic Book" w:hAnsi="Franklin Gothic Book"/>
        </w:rPr>
        <w:t>Table 4</w:t>
      </w:r>
      <w:r w:rsidRPr="00E036FE">
        <w:rPr>
          <w:rFonts w:ascii="Franklin Gothic Book" w:hAnsi="Franklin Gothic Book" w:cstheme="minorHAnsi"/>
        </w:rPr>
        <w:fldChar w:fldCharType="end"/>
      </w:r>
      <w:r w:rsidRPr="00E036FE">
        <w:rPr>
          <w:rFonts w:ascii="Franklin Gothic Book" w:hAnsi="Franklin Gothic Book" w:cstheme="minorHAnsi"/>
        </w:rPr>
        <w:t>)</w:t>
      </w:r>
      <w:r w:rsidRPr="00E036FE">
        <w:rPr>
          <w:rFonts w:ascii="Franklin Gothic Book" w:hAnsi="Franklin Gothic Book"/>
        </w:rPr>
        <w:t>. A definition of pain was not included in the item, as continuous nerve block is administrated pre-emptively in perioperative settings, based on clinical knowledge of expected postoperative pain.</w:t>
      </w:r>
    </w:p>
    <w:p w14:paraId="16DBF475" w14:textId="73C1D2E1" w:rsidR="005D5985" w:rsidRPr="00306E38" w:rsidRDefault="005D5985" w:rsidP="005D5985">
      <w:pPr>
        <w:pStyle w:val="Caption"/>
        <w:rPr>
          <w:rFonts w:cs="Arial"/>
        </w:rPr>
      </w:pPr>
      <w:bookmarkStart w:id="15" w:name="_Ref147489907"/>
      <w:r w:rsidRPr="00306E38">
        <w:t>Table </w:t>
      </w:r>
      <w:r>
        <w:fldChar w:fldCharType="begin"/>
      </w:r>
      <w:r>
        <w:instrText>SEQ Table \* ARABIC</w:instrText>
      </w:r>
      <w:r>
        <w:fldChar w:fldCharType="separate"/>
      </w:r>
      <w:r w:rsidR="00210D50">
        <w:rPr>
          <w:noProof/>
        </w:rPr>
        <w:t>3</w:t>
      </w:r>
      <w:r>
        <w:fldChar w:fldCharType="end"/>
      </w:r>
      <w:bookmarkEnd w:id="14"/>
      <w:bookmarkEnd w:id="15"/>
      <w:r w:rsidRPr="00306E38">
        <w:rPr>
          <w:rFonts w:cs="Arial"/>
        </w:rPr>
        <w:tab/>
        <w:t>C</w:t>
      </w:r>
      <w:r w:rsidRPr="00306E38">
        <w:t>ontinuous peripheral nerve block</w:t>
      </w:r>
      <w:r w:rsidRPr="00306E38">
        <w:rPr>
          <w:rFonts w:cs="Arial"/>
        </w:rPr>
        <w:t xml:space="preserve">: proposed MBS item </w:t>
      </w:r>
    </w:p>
    <w:tbl>
      <w:tblPr>
        <w:tblStyle w:val="TableGrid"/>
        <w:tblW w:w="5000" w:type="pct"/>
        <w:tblLook w:val="04A0" w:firstRow="1" w:lastRow="0" w:firstColumn="1" w:lastColumn="0" w:noHBand="0" w:noVBand="1"/>
        <w:tblCaption w:val="Proposed item descriptor for diagnostic testing"/>
        <w:tblDescription w:val="Proposed item descriptor for diagnostic testing"/>
      </w:tblPr>
      <w:tblGrid>
        <w:gridCol w:w="9016"/>
      </w:tblGrid>
      <w:tr w:rsidR="005D5985" w:rsidRPr="00306E38" w14:paraId="310BB92A" w14:textId="77777777" w:rsidTr="124150B8">
        <w:trPr>
          <w:cantSplit/>
          <w:trHeight w:val="350"/>
          <w:tblHeader/>
        </w:trPr>
        <w:tc>
          <w:tcPr>
            <w:tcW w:w="5000" w:type="pct"/>
          </w:tcPr>
          <w:p w14:paraId="0F3DDC29" w14:textId="77777777" w:rsidR="005D5985" w:rsidRPr="00306E38" w:rsidRDefault="005D5985">
            <w:pPr>
              <w:pStyle w:val="TableText"/>
              <w:rPr>
                <w:szCs w:val="20"/>
              </w:rPr>
            </w:pPr>
            <w:r w:rsidRPr="00306E38">
              <w:t xml:space="preserve">Category 3 – </w:t>
            </w:r>
            <w:r w:rsidRPr="00306E38">
              <w:rPr>
                <w:szCs w:val="20"/>
              </w:rPr>
              <w:t>THERAPEUTIC PROCEDURES</w:t>
            </w:r>
          </w:p>
          <w:p w14:paraId="5333D873" w14:textId="77777777" w:rsidR="005D5985" w:rsidRPr="00306E38" w:rsidRDefault="005D5985">
            <w:pPr>
              <w:spacing w:before="40" w:after="40"/>
              <w:rPr>
                <w:rFonts w:ascii="Arial Narrow" w:hAnsi="Arial Narrow"/>
                <w:sz w:val="20"/>
                <w:szCs w:val="20"/>
              </w:rPr>
            </w:pPr>
            <w:r w:rsidRPr="00306E38">
              <w:rPr>
                <w:rFonts w:ascii="Arial Narrow" w:hAnsi="Arial Narrow"/>
                <w:sz w:val="20"/>
                <w:szCs w:val="20"/>
              </w:rPr>
              <w:t xml:space="preserve">GroupT10 </w:t>
            </w:r>
            <w:r>
              <w:rPr>
                <w:rFonts w:ascii="Arial Narrow" w:hAnsi="Arial Narrow"/>
                <w:sz w:val="20"/>
                <w:szCs w:val="20"/>
              </w:rPr>
              <w:t>–</w:t>
            </w:r>
            <w:r w:rsidRPr="00306E38">
              <w:rPr>
                <w:rFonts w:ascii="Arial Narrow" w:hAnsi="Arial Narrow"/>
                <w:sz w:val="20"/>
                <w:szCs w:val="20"/>
              </w:rPr>
              <w:t xml:space="preserve"> Relative Value Guide For Anaesthesia </w:t>
            </w:r>
            <w:r>
              <w:rPr>
                <w:rFonts w:ascii="Arial Narrow" w:hAnsi="Arial Narrow"/>
                <w:sz w:val="20"/>
                <w:szCs w:val="20"/>
              </w:rPr>
              <w:t>–</w:t>
            </w:r>
            <w:r w:rsidRPr="00306E38">
              <w:rPr>
                <w:rFonts w:ascii="Arial Narrow" w:hAnsi="Arial Narrow"/>
                <w:sz w:val="20"/>
                <w:szCs w:val="20"/>
              </w:rPr>
              <w:t xml:space="preserve"> Medicare Benefits Are Only Payable For Anaesthesia Performed In Association With An Eligible Service</w:t>
            </w:r>
          </w:p>
          <w:p w14:paraId="07039F87" w14:textId="77777777" w:rsidR="005D5985" w:rsidRPr="00306E38" w:rsidRDefault="005D5985">
            <w:pPr>
              <w:pStyle w:val="TableText"/>
            </w:pPr>
            <w:r w:rsidRPr="00306E38">
              <w:rPr>
                <w:szCs w:val="20"/>
              </w:rPr>
              <w:t xml:space="preserve">Subgroup19 </w:t>
            </w:r>
            <w:r>
              <w:rPr>
                <w:szCs w:val="20"/>
              </w:rPr>
              <w:t>–</w:t>
            </w:r>
            <w:r w:rsidRPr="00306E38">
              <w:rPr>
                <w:szCs w:val="20"/>
              </w:rPr>
              <w:t xml:space="preserve"> Therapeutic And Diagnostic Services</w:t>
            </w:r>
          </w:p>
        </w:tc>
      </w:tr>
      <w:tr w:rsidR="005D5985" w:rsidRPr="00306E38" w14:paraId="6E828F11" w14:textId="77777777" w:rsidTr="124150B8">
        <w:trPr>
          <w:cantSplit/>
          <w:tblHeader/>
        </w:trPr>
        <w:tc>
          <w:tcPr>
            <w:tcW w:w="5000" w:type="pct"/>
          </w:tcPr>
          <w:p w14:paraId="29CB3FCC" w14:textId="77777777" w:rsidR="005D5985" w:rsidRPr="00306E38" w:rsidRDefault="005D5985">
            <w:pPr>
              <w:spacing w:after="120"/>
              <w:rPr>
                <w:szCs w:val="20"/>
                <w:lang w:val="en-US" w:eastAsia="ja-JP"/>
              </w:rPr>
            </w:pPr>
            <w:r w:rsidRPr="00306E38">
              <w:rPr>
                <w:rFonts w:ascii="Arial Narrow" w:hAnsi="Arial Narrow"/>
                <w:sz w:val="20"/>
                <w:szCs w:val="20"/>
                <w:lang w:val="en-US" w:eastAsia="ja-JP"/>
              </w:rPr>
              <w:t>MBS item AAAA</w:t>
            </w:r>
          </w:p>
          <w:p w14:paraId="755B5025" w14:textId="63FD4885" w:rsidR="005D5985" w:rsidRPr="00306E38" w:rsidRDefault="005D5985">
            <w:pPr>
              <w:spacing w:after="120"/>
              <w:rPr>
                <w:rFonts w:ascii="Arial Narrow" w:hAnsi="Arial Narrow"/>
                <w:sz w:val="20"/>
                <w:szCs w:val="20"/>
              </w:rPr>
            </w:pPr>
            <w:r w:rsidRPr="124150B8">
              <w:rPr>
                <w:rFonts w:ascii="Arial Narrow" w:hAnsi="Arial Narrow"/>
                <w:sz w:val="20"/>
                <w:szCs w:val="20"/>
              </w:rPr>
              <w:t xml:space="preserve">Perioperative introduction of a plexus or nerve block to a </w:t>
            </w:r>
            <w:r w:rsidRPr="124150B8">
              <w:rPr>
                <w:rFonts w:ascii="Arial Narrow" w:hAnsi="Arial Narrow"/>
                <w:sz w:val="20"/>
                <w:szCs w:val="20"/>
                <w:u w:val="single"/>
              </w:rPr>
              <w:t>peripheral</w:t>
            </w:r>
            <w:r w:rsidRPr="124150B8">
              <w:rPr>
                <w:rFonts w:ascii="Arial Narrow" w:hAnsi="Arial Narrow"/>
                <w:sz w:val="20"/>
                <w:szCs w:val="20"/>
              </w:rPr>
              <w:t xml:space="preserve"> nerve, using an </w:t>
            </w:r>
            <w:r w:rsidRPr="124150B8">
              <w:rPr>
                <w:rFonts w:ascii="Arial Narrow" w:hAnsi="Arial Narrow"/>
                <w:i/>
                <w:iCs/>
                <w:sz w:val="20"/>
                <w:szCs w:val="20"/>
              </w:rPr>
              <w:t xml:space="preserve">in situ </w:t>
            </w:r>
            <w:r w:rsidRPr="124150B8">
              <w:rPr>
                <w:rFonts w:ascii="Arial Narrow" w:hAnsi="Arial Narrow"/>
                <w:sz w:val="20"/>
                <w:szCs w:val="20"/>
              </w:rPr>
              <w:t xml:space="preserve">catheter in association with anaesthesia and surgery, for post operative pain management </w:t>
            </w:r>
            <w:r w:rsidRPr="124150B8">
              <w:rPr>
                <w:rFonts w:ascii="Arial Narrow" w:hAnsi="Arial Narrow"/>
                <w:sz w:val="20"/>
                <w:szCs w:val="20"/>
                <w:highlight w:val="yellow"/>
              </w:rPr>
              <w:t>of limb and trunk surgeries</w:t>
            </w:r>
            <w:r w:rsidRPr="124150B8">
              <w:rPr>
                <w:rFonts w:ascii="Arial Narrow" w:hAnsi="Arial Narrow"/>
                <w:sz w:val="20"/>
                <w:szCs w:val="20"/>
              </w:rPr>
              <w:t xml:space="preserve"> (5 basic units). </w:t>
            </w:r>
          </w:p>
          <w:p w14:paraId="4B1E8FE1" w14:textId="77777777" w:rsidR="005D5985" w:rsidRPr="00306E38" w:rsidRDefault="005D5985">
            <w:pPr>
              <w:spacing w:after="120"/>
              <w:rPr>
                <w:rFonts w:ascii="Arial Narrow" w:hAnsi="Arial Narrow"/>
                <w:sz w:val="20"/>
                <w:szCs w:val="20"/>
              </w:rPr>
            </w:pPr>
            <w:r w:rsidRPr="00306E38">
              <w:rPr>
                <w:rFonts w:ascii="Arial Narrow" w:hAnsi="Arial Narrow"/>
                <w:sz w:val="20"/>
                <w:szCs w:val="20"/>
              </w:rPr>
              <w:t xml:space="preserve">(See para TN.10.17 of explanatory </w:t>
            </w:r>
            <w:r w:rsidRPr="00306E38">
              <w:rPr>
                <w:rFonts w:ascii="Arial Narrow" w:hAnsi="Arial Narrow"/>
                <w:b/>
                <w:bCs/>
                <w:sz w:val="20"/>
                <w:szCs w:val="20"/>
              </w:rPr>
              <w:t>note</w:t>
            </w:r>
            <w:r w:rsidRPr="00306E38">
              <w:rPr>
                <w:rFonts w:ascii="Arial Narrow" w:hAnsi="Arial Narrow"/>
                <w:sz w:val="20"/>
                <w:szCs w:val="20"/>
              </w:rPr>
              <w:t>s to this Category)</w:t>
            </w:r>
          </w:p>
        </w:tc>
      </w:tr>
      <w:tr w:rsidR="005D5985" w:rsidRPr="00306E38" w14:paraId="131DD1EC" w14:textId="77777777" w:rsidTr="124150B8">
        <w:trPr>
          <w:cantSplit/>
          <w:trHeight w:val="223"/>
          <w:tblHeader/>
        </w:trPr>
        <w:tc>
          <w:tcPr>
            <w:tcW w:w="5000" w:type="pct"/>
          </w:tcPr>
          <w:p w14:paraId="21B76156" w14:textId="110662C7" w:rsidR="005D5985" w:rsidRPr="00306E38" w:rsidRDefault="005D5985">
            <w:pPr>
              <w:pStyle w:val="TableText"/>
            </w:pPr>
            <w:r w:rsidRPr="124150B8">
              <w:rPr>
                <w:b/>
                <w:bCs/>
              </w:rPr>
              <w:t>Fee:</w:t>
            </w:r>
            <w:r>
              <w:t xml:space="preserve"> $109.00   </w:t>
            </w:r>
            <w:r w:rsidRPr="124150B8">
              <w:rPr>
                <w:b/>
                <w:bCs/>
              </w:rPr>
              <w:t>Benefit:</w:t>
            </w:r>
            <w:r>
              <w:t xml:space="preserve">  75% = $81.75   </w:t>
            </w:r>
          </w:p>
        </w:tc>
      </w:tr>
    </w:tbl>
    <w:p w14:paraId="6CE20706" w14:textId="77777777" w:rsidR="00FF4C62" w:rsidRDefault="005D5985" w:rsidP="005D5985">
      <w:pPr>
        <w:pStyle w:val="Tablenotes0"/>
        <w:spacing w:before="0"/>
      </w:pPr>
      <w:r w:rsidRPr="124150B8">
        <w:rPr>
          <w:b/>
          <w:bCs/>
        </w:rPr>
        <w:t>Note</w:t>
      </w:r>
      <w:r>
        <w:t>: 75% benefit is payable for treatment of hospital inpatients; 85% to all other services</w:t>
      </w:r>
    </w:p>
    <w:p w14:paraId="1B0BE6C2" w14:textId="0F95476E" w:rsidR="00A74101" w:rsidRPr="00306E38" w:rsidRDefault="00A74101" w:rsidP="005D5985">
      <w:pPr>
        <w:pStyle w:val="Tablenotes0"/>
        <w:spacing w:before="0"/>
      </w:pPr>
      <w:r>
        <w:t>Source: DCAR</w:t>
      </w:r>
      <w:r w:rsidR="00963B1D">
        <w:t xml:space="preserve"> Table </w:t>
      </w:r>
      <w:r w:rsidR="003822A8">
        <w:t>2</w:t>
      </w:r>
    </w:p>
    <w:p w14:paraId="153CB2F8" w14:textId="679727EE" w:rsidR="005D5985" w:rsidRPr="00306E38" w:rsidRDefault="005D5985" w:rsidP="005D5985">
      <w:pPr>
        <w:pStyle w:val="Caption"/>
      </w:pPr>
      <w:bookmarkStart w:id="16" w:name="_Ref147489909"/>
      <w:r w:rsidRPr="00306E38">
        <w:lastRenderedPageBreak/>
        <w:t>Table </w:t>
      </w:r>
      <w:r>
        <w:fldChar w:fldCharType="begin"/>
      </w:r>
      <w:r>
        <w:instrText>SEQ Table \* ARABIC</w:instrText>
      </w:r>
      <w:r>
        <w:fldChar w:fldCharType="separate"/>
      </w:r>
      <w:r w:rsidR="00210D50">
        <w:rPr>
          <w:noProof/>
        </w:rPr>
        <w:t>4</w:t>
      </w:r>
      <w:r>
        <w:fldChar w:fldCharType="end"/>
      </w:r>
      <w:bookmarkEnd w:id="16"/>
      <w:r w:rsidRPr="00306E38">
        <w:tab/>
        <w:t>Associated explanatory note</w:t>
      </w:r>
    </w:p>
    <w:tbl>
      <w:tblPr>
        <w:tblStyle w:val="TableGrid"/>
        <w:tblW w:w="5000" w:type="pct"/>
        <w:tblLook w:val="04A0" w:firstRow="1" w:lastRow="0" w:firstColumn="1" w:lastColumn="0" w:noHBand="0" w:noVBand="1"/>
        <w:tblCaption w:val="Proposed item descriptor for diagnostic testing"/>
        <w:tblDescription w:val="Proposed item descriptor for diagnostic testing"/>
      </w:tblPr>
      <w:tblGrid>
        <w:gridCol w:w="9016"/>
      </w:tblGrid>
      <w:tr w:rsidR="005D5985" w:rsidRPr="00306E38" w14:paraId="2FCBDEEF" w14:textId="77777777" w:rsidTr="124150B8">
        <w:trPr>
          <w:cantSplit/>
          <w:trHeight w:val="350"/>
          <w:tblHeader/>
        </w:trPr>
        <w:tc>
          <w:tcPr>
            <w:tcW w:w="5000" w:type="pct"/>
            <w:vAlign w:val="center"/>
          </w:tcPr>
          <w:p w14:paraId="54AA9967" w14:textId="77777777" w:rsidR="005D5985" w:rsidRPr="00F34101" w:rsidRDefault="005D5985">
            <w:pPr>
              <w:pStyle w:val="TableText"/>
              <w:rPr>
                <w:szCs w:val="20"/>
                <w:highlight w:val="yellow"/>
              </w:rPr>
            </w:pPr>
            <w:r w:rsidRPr="00F34101">
              <w:rPr>
                <w:highlight w:val="yellow"/>
              </w:rPr>
              <w:t xml:space="preserve">Category 3 – </w:t>
            </w:r>
            <w:r w:rsidRPr="00F34101">
              <w:rPr>
                <w:szCs w:val="20"/>
                <w:highlight w:val="yellow"/>
              </w:rPr>
              <w:t>THERAPEUTIC PROCEDURES</w:t>
            </w:r>
          </w:p>
        </w:tc>
      </w:tr>
      <w:tr w:rsidR="005D5985" w:rsidRPr="00306E38" w14:paraId="5F561E15" w14:textId="77777777" w:rsidTr="124150B8">
        <w:trPr>
          <w:cantSplit/>
          <w:tblHeader/>
        </w:trPr>
        <w:tc>
          <w:tcPr>
            <w:tcW w:w="5000" w:type="pct"/>
          </w:tcPr>
          <w:p w14:paraId="3B343A7C" w14:textId="77777777" w:rsidR="005D5985" w:rsidRPr="00F34101" w:rsidRDefault="005D5985">
            <w:pPr>
              <w:spacing w:after="120"/>
              <w:rPr>
                <w:szCs w:val="20"/>
                <w:highlight w:val="yellow"/>
                <w:lang w:val="en-US" w:eastAsia="ja-JP"/>
              </w:rPr>
            </w:pPr>
            <w:r w:rsidRPr="00F34101">
              <w:rPr>
                <w:rFonts w:ascii="Arial Narrow" w:hAnsi="Arial Narrow"/>
                <w:sz w:val="20"/>
                <w:szCs w:val="20"/>
                <w:highlight w:val="yellow"/>
                <w:lang w:val="en-US" w:eastAsia="ja-JP"/>
              </w:rPr>
              <w:t>TN.X.X</w:t>
            </w:r>
          </w:p>
          <w:p w14:paraId="5DB481B5" w14:textId="77777777" w:rsidR="005D5985" w:rsidRPr="00F34101" w:rsidRDefault="005D5985">
            <w:pPr>
              <w:spacing w:after="120"/>
              <w:rPr>
                <w:rFonts w:ascii="Arial Narrow" w:hAnsi="Arial Narrow"/>
                <w:b/>
                <w:bCs/>
                <w:sz w:val="20"/>
                <w:szCs w:val="20"/>
                <w:highlight w:val="yellow"/>
              </w:rPr>
            </w:pPr>
            <w:r w:rsidRPr="00F34101">
              <w:rPr>
                <w:rFonts w:ascii="Arial Narrow" w:hAnsi="Arial Narrow"/>
                <w:b/>
                <w:bCs/>
                <w:sz w:val="20"/>
                <w:szCs w:val="20"/>
                <w:highlight w:val="yellow"/>
              </w:rPr>
              <w:t>Item AAAA</w:t>
            </w:r>
          </w:p>
          <w:p w14:paraId="70E0F4B6" w14:textId="77777777" w:rsidR="005D5985" w:rsidRPr="00F34101" w:rsidRDefault="005D5985">
            <w:pPr>
              <w:spacing w:after="120"/>
              <w:rPr>
                <w:rFonts w:ascii="Arial Narrow" w:hAnsi="Arial Narrow"/>
                <w:sz w:val="20"/>
                <w:szCs w:val="20"/>
                <w:highlight w:val="yellow"/>
              </w:rPr>
            </w:pPr>
            <w:r w:rsidRPr="124150B8">
              <w:rPr>
                <w:rFonts w:ascii="Arial Narrow" w:hAnsi="Arial Narrow"/>
                <w:sz w:val="20"/>
                <w:szCs w:val="20"/>
                <w:highlight w:val="yellow"/>
              </w:rPr>
              <w:t xml:space="preserve">Benefits are payable under item AAAA for perioperative introduction of a plexus or nerve block to a peripheral nerve, using an </w:t>
            </w:r>
            <w:r w:rsidRPr="124150B8">
              <w:rPr>
                <w:rFonts w:ascii="Arial Narrow" w:hAnsi="Arial Narrow"/>
                <w:i/>
                <w:iCs/>
                <w:sz w:val="20"/>
                <w:szCs w:val="20"/>
                <w:highlight w:val="yellow"/>
              </w:rPr>
              <w:t xml:space="preserve">in situ </w:t>
            </w:r>
            <w:r w:rsidRPr="124150B8">
              <w:rPr>
                <w:rFonts w:ascii="Arial Narrow" w:hAnsi="Arial Narrow"/>
                <w:sz w:val="20"/>
                <w:szCs w:val="20"/>
                <w:highlight w:val="yellow"/>
              </w:rPr>
              <w:t xml:space="preserve">catheter in association with anaesthesia and surgery, for post operative pain management of limb and trunk surgeries. </w:t>
            </w:r>
          </w:p>
          <w:p w14:paraId="0118E2E8" w14:textId="47FA6912" w:rsidR="005D5985" w:rsidRPr="00F34101" w:rsidRDefault="11060497">
            <w:pPr>
              <w:spacing w:after="120"/>
              <w:rPr>
                <w:rFonts w:ascii="Arial Narrow" w:hAnsi="Arial Narrow"/>
                <w:sz w:val="20"/>
                <w:szCs w:val="20"/>
                <w:highlight w:val="yellow"/>
              </w:rPr>
            </w:pPr>
            <w:r w:rsidRPr="124150B8">
              <w:rPr>
                <w:rFonts w:ascii="Arial Narrow" w:hAnsi="Arial Narrow"/>
                <w:sz w:val="20"/>
                <w:szCs w:val="20"/>
                <w:highlight w:val="yellow"/>
              </w:rPr>
              <w:t>Benefit is not payable under this item for ultrasound guidance for injection or catheter insertion for anaesthesia.</w:t>
            </w:r>
          </w:p>
          <w:p w14:paraId="32C58A44" w14:textId="77777777" w:rsidR="005D5985" w:rsidRPr="00F34101" w:rsidRDefault="005D5985">
            <w:pPr>
              <w:spacing w:after="120"/>
              <w:rPr>
                <w:rFonts w:ascii="Arial Narrow" w:hAnsi="Arial Narrow"/>
                <w:b/>
                <w:bCs/>
                <w:sz w:val="20"/>
                <w:szCs w:val="20"/>
                <w:highlight w:val="yellow"/>
              </w:rPr>
            </w:pPr>
            <w:r w:rsidRPr="00F34101">
              <w:rPr>
                <w:rFonts w:ascii="Arial Narrow" w:hAnsi="Arial Narrow"/>
                <w:sz w:val="20"/>
                <w:szCs w:val="20"/>
                <w:highlight w:val="yellow"/>
              </w:rPr>
              <w:t>Related Item: AAAA</w:t>
            </w:r>
          </w:p>
        </w:tc>
      </w:tr>
    </w:tbl>
    <w:p w14:paraId="6AEE059A" w14:textId="562612C0" w:rsidR="00963B1D" w:rsidRPr="00306E38" w:rsidRDefault="00963B1D" w:rsidP="00963B1D">
      <w:pPr>
        <w:pStyle w:val="Tablenotes0"/>
        <w:spacing w:before="0"/>
      </w:pPr>
      <w:r>
        <w:t xml:space="preserve">Source: DCAR Table </w:t>
      </w:r>
      <w:r w:rsidR="003822A8">
        <w:t>3</w:t>
      </w:r>
    </w:p>
    <w:p w14:paraId="05CCE6A2" w14:textId="77777777" w:rsidR="005D5985" w:rsidRPr="00E036FE" w:rsidRDefault="005D5985" w:rsidP="00E036FE">
      <w:pPr>
        <w:spacing w:before="240"/>
        <w:rPr>
          <w:rFonts w:ascii="Franklin Gothic Book" w:hAnsi="Franklin Gothic Book"/>
        </w:rPr>
      </w:pPr>
      <w:r w:rsidRPr="00E036FE">
        <w:rPr>
          <w:rFonts w:ascii="Franklin Gothic Book" w:hAnsi="Franklin Gothic Book"/>
        </w:rPr>
        <w:t xml:space="preserve">The descriptor of item 22041, specific to </w:t>
      </w:r>
      <w:r w:rsidRPr="00E036FE" w:rsidDel="00D62E5A">
        <w:rPr>
          <w:rFonts w:ascii="Franklin Gothic Book" w:hAnsi="Franklin Gothic Book"/>
        </w:rPr>
        <w:t>single</w:t>
      </w:r>
      <w:r w:rsidRPr="00E036FE">
        <w:rPr>
          <w:rFonts w:ascii="Franklin Gothic Book" w:hAnsi="Franklin Gothic Book"/>
        </w:rPr>
        <w:t>-injection nerve block for limb surgery has been amended by removing ‘proximal to a lower leg or forearm’ in the proposed descriptor, as continuous nerve blocks are intended to be used for limb and trunk surgery; ‘peripheral nerve’ has been added. Due to anatomical considerations, a catheter cannot be inserted ‘distally to the lower leg and forearm’.</w:t>
      </w:r>
    </w:p>
    <w:p w14:paraId="20B88C4D" w14:textId="18DD18B0" w:rsidR="005D5985" w:rsidRPr="00E036FE" w:rsidRDefault="005D5985" w:rsidP="005D5985">
      <w:pPr>
        <w:rPr>
          <w:rFonts w:ascii="Franklin Gothic Book" w:hAnsi="Franklin Gothic Book"/>
        </w:rPr>
      </w:pPr>
      <w:r w:rsidRPr="00E036FE">
        <w:rPr>
          <w:rFonts w:ascii="Franklin Gothic Book" w:hAnsi="Franklin Gothic Book"/>
        </w:rPr>
        <w:t xml:space="preserve">Anaesthetists or general practitioner (GP) anaesthetists would be the only healthcare providers entitled to claim this MBS item. A single claim would be able to be submitted per nerve block </w:t>
      </w:r>
      <w:r w:rsidR="50F3C4E5" w:rsidRPr="7F0AA8ED">
        <w:rPr>
          <w:rFonts w:ascii="Franklin Gothic Book" w:hAnsi="Franklin Gothic Book"/>
        </w:rPr>
        <w:t xml:space="preserve">and </w:t>
      </w:r>
      <w:r w:rsidRPr="7F0AA8ED">
        <w:rPr>
          <w:rFonts w:ascii="Franklin Gothic Book" w:hAnsi="Franklin Gothic Book"/>
        </w:rPr>
        <w:t>multiple</w:t>
      </w:r>
      <w:r w:rsidRPr="00E036FE">
        <w:rPr>
          <w:rFonts w:ascii="Franklin Gothic Book" w:hAnsi="Franklin Gothic Book"/>
        </w:rPr>
        <w:t xml:space="preserve"> claims could be </w:t>
      </w:r>
      <w:r w:rsidR="4156A0DA" w:rsidRPr="4EA557A7">
        <w:rPr>
          <w:rFonts w:ascii="Franklin Gothic Book" w:hAnsi="Franklin Gothic Book"/>
        </w:rPr>
        <w:t xml:space="preserve">billed </w:t>
      </w:r>
      <w:r w:rsidRPr="00E036FE">
        <w:rPr>
          <w:rFonts w:ascii="Franklin Gothic Book" w:hAnsi="Franklin Gothic Book"/>
        </w:rPr>
        <w:t xml:space="preserve">if bilateral or multiple continuous nerve blocks were required. Moreover, it would be necessary for continuous nerve block to always be delivered with anaesthesia and co-claimed with other anaesthesia-eligible items, in line with rules for other RVG nerve block items. In public hospitals, anaesthetists can claim an RVG item only if the service provided is part of their private practice within the public hospital, not as employees, as described in the MBS general explanatory note GN.12.30. </w:t>
      </w:r>
    </w:p>
    <w:p w14:paraId="62EB2955" w14:textId="77777777" w:rsidR="005D5985" w:rsidRPr="00E036FE" w:rsidRDefault="005D5985" w:rsidP="005D5985">
      <w:pPr>
        <w:rPr>
          <w:rFonts w:ascii="Franklin Gothic Book" w:hAnsi="Franklin Gothic Book"/>
        </w:rPr>
      </w:pPr>
      <w:r w:rsidRPr="00E036FE">
        <w:rPr>
          <w:rFonts w:ascii="Franklin Gothic Book" w:hAnsi="Franklin Gothic Book"/>
        </w:rPr>
        <w:t>Only private patients, whether treated in public or private hospitals, were relevant for this application.</w:t>
      </w:r>
    </w:p>
    <w:p w14:paraId="729D8708" w14:textId="2D56C1DB" w:rsidR="005D5985" w:rsidRPr="00E036FE" w:rsidRDefault="005D5985" w:rsidP="124150B8">
      <w:pPr>
        <w:rPr>
          <w:rFonts w:ascii="Franklin Gothic Book" w:hAnsi="Franklin Gothic Book"/>
        </w:rPr>
      </w:pPr>
      <w:r w:rsidRPr="124150B8">
        <w:rPr>
          <w:rFonts w:ascii="Franklin Gothic Book" w:hAnsi="Franklin Gothic Book"/>
        </w:rPr>
        <w:t>As the intervention falls under the RVG items, the proposed fee was evaluated based on the number of basic units, representing the complexity of the service. Continuous nerve block procedure was estimated for the application 1308 to value 4 to 5 basic units, based on the recommendations of the MBS Review’s Anaesthesia Clinical Committee (which only considered limb surgery) and the Evaluation Sub-Committee (ESC), respectively. The applicant proposed a fee of $109.00, which corresponds to the value of 5 basic units (current value of 1 basic unit: $21.80). For reference, item 22041 – perioperative introduction of a plexus or nerve block proximal to the lower leg or forearm for postoperative pain management – without a catheter, is 2 basic units. Item 22031 – neuraxial block with or without insertion of a catheter – is 5 basic units.</w:t>
      </w:r>
      <w:r w:rsidR="297EB5F6" w:rsidRPr="124150B8">
        <w:rPr>
          <w:rFonts w:ascii="Franklin Gothic Book" w:hAnsi="Franklin Gothic Book"/>
        </w:rPr>
        <w:t xml:space="preserve"> </w:t>
      </w:r>
    </w:p>
    <w:p w14:paraId="20521FFD" w14:textId="77777777" w:rsidR="005D5985" w:rsidRPr="00E036FE" w:rsidRDefault="005D5985" w:rsidP="005D5985">
      <w:pPr>
        <w:rPr>
          <w:rFonts w:ascii="Franklin Gothic Book" w:hAnsi="Franklin Gothic Book"/>
        </w:rPr>
      </w:pPr>
      <w:r w:rsidRPr="00E036FE">
        <w:rPr>
          <w:rFonts w:ascii="Franklin Gothic Book" w:hAnsi="Franklin Gothic Book"/>
        </w:rPr>
        <w:t>In the ratified PICO,</w:t>
      </w:r>
      <w:r w:rsidRPr="00E036FE">
        <w:rPr>
          <w:rStyle w:val="FootnoteReference"/>
          <w:rFonts w:ascii="Franklin Gothic Book" w:hAnsi="Franklin Gothic Book"/>
        </w:rPr>
        <w:footnoteReference w:id="5"/>
      </w:r>
      <w:r w:rsidRPr="00E036FE">
        <w:rPr>
          <w:rFonts w:ascii="Franklin Gothic Book" w:hAnsi="Franklin Gothic Book"/>
        </w:rPr>
        <w:t xml:space="preserve"> the applicant suggested that the actual cost for the service was expected to be $303.56, which could result in additional costs for patients. Disposable elastomeric pump sets would be available in some cases, allowing for earlier hospital discharge or outpatient treatment, potentially covering the out-of-pocket expenses.</w:t>
      </w:r>
    </w:p>
    <w:p w14:paraId="09A1FDE9" w14:textId="492DBD5C" w:rsidR="005D5985" w:rsidRPr="00306E38" w:rsidRDefault="00EE61CE" w:rsidP="005D5985">
      <w:pPr>
        <w:pStyle w:val="Heading2"/>
        <w:numPr>
          <w:ilvl w:val="0"/>
          <w:numId w:val="0"/>
        </w:numPr>
        <w:ind w:left="576" w:hanging="576"/>
      </w:pPr>
      <w:bookmarkStart w:id="17" w:name="_Toc153401628"/>
      <w:bookmarkStart w:id="18" w:name="_Toc150966052"/>
      <w:r>
        <w:lastRenderedPageBreak/>
        <w:t>7</w:t>
      </w:r>
      <w:r w:rsidR="005D5985" w:rsidRPr="00306E38">
        <w:t>.</w:t>
      </w:r>
      <w:r w:rsidR="005D5985" w:rsidRPr="00306E38">
        <w:tab/>
        <w:t>Population</w:t>
      </w:r>
      <w:bookmarkEnd w:id="17"/>
      <w:r w:rsidR="005D5985" w:rsidRPr="00306E38">
        <w:t xml:space="preserve"> </w:t>
      </w:r>
      <w:bookmarkEnd w:id="18"/>
    </w:p>
    <w:p w14:paraId="269694AF" w14:textId="77777777" w:rsidR="005D5985" w:rsidRPr="00E036FE" w:rsidRDefault="005D5985" w:rsidP="005D5985">
      <w:pPr>
        <w:rPr>
          <w:rFonts w:ascii="Franklin Gothic Book" w:hAnsi="Franklin Gothic Book"/>
        </w:rPr>
      </w:pPr>
      <w:r w:rsidRPr="00E036FE">
        <w:rPr>
          <w:rFonts w:ascii="Franklin Gothic Book" w:hAnsi="Franklin Gothic Book"/>
        </w:rPr>
        <w:t xml:space="preserve">One PICO set was defined for this application. The target population was patients undergoing limb or trunk surgery (in- and outpatients), for whom acute pain is expected to be moderate or severe and last for more than 12 hours. </w:t>
      </w:r>
    </w:p>
    <w:p w14:paraId="79D2CA86" w14:textId="043A0880" w:rsidR="005D5985" w:rsidRPr="00E036FE" w:rsidRDefault="005D5985" w:rsidP="005D5985">
      <w:pPr>
        <w:rPr>
          <w:rFonts w:ascii="Franklin Gothic Book" w:hAnsi="Franklin Gothic Book"/>
        </w:rPr>
      </w:pPr>
      <w:r w:rsidRPr="00E036FE">
        <w:rPr>
          <w:rFonts w:ascii="Franklin Gothic Book" w:hAnsi="Franklin Gothic Book"/>
        </w:rPr>
        <w:t xml:space="preserve">During the pre-anaesthesia assessment, the anaesthetist would decide whether a continuous nerve block is required. Continuous nerve block would only be administrated by specialist anaesthetists in a perioperative setting, either for elective or trauma limb or trunk surgery. In rural or regional hospitals, accredited and certified GP anaesthetists for the proposed intervention may be responsible for the assessment and placement of the continuous nerve block. After surgery, the patient’s pain levels would be regularly assessed; the local anaesthetic dose could be adjusted </w:t>
      </w:r>
      <w:r w:rsidR="004E65D7" w:rsidRPr="00E036FE">
        <w:rPr>
          <w:rFonts w:ascii="Franklin Gothic Book" w:hAnsi="Franklin Gothic Book"/>
        </w:rPr>
        <w:t>accordingly,</w:t>
      </w:r>
      <w:r w:rsidRPr="00E036FE">
        <w:rPr>
          <w:rFonts w:ascii="Franklin Gothic Book" w:hAnsi="Franklin Gothic Book"/>
        </w:rPr>
        <w:t xml:space="preserve"> or additional analgesic could be given. Compared to systemic opioids, single-injection or neuraxial nerve blocks—which require a gradual change in pain management from higher strength, hospital-administered opioids to lower strength oral opioids taken at home—the proposed intervention does not generally require transition to oral opioids because continuous nerve blocks are intended to provide sustained relief of localised pain.  </w:t>
      </w:r>
    </w:p>
    <w:p w14:paraId="26B0656D" w14:textId="77777777" w:rsidR="005D5985" w:rsidRPr="00E036FE" w:rsidRDefault="005D5985" w:rsidP="005D5985">
      <w:pPr>
        <w:rPr>
          <w:rFonts w:ascii="Franklin Gothic Book" w:hAnsi="Franklin Gothic Book"/>
        </w:rPr>
      </w:pPr>
      <w:r w:rsidRPr="00E036FE">
        <w:rPr>
          <w:rFonts w:ascii="Franklin Gothic Book" w:hAnsi="Franklin Gothic Book"/>
        </w:rPr>
        <w:t>For inpatients, continuous nerve block would be set for 3 to 5 days according to surgical indication and the patient’s prognosis. In very limited instances, such as traumatic amputation, the proposed intervention could be maintained for an extended time—30 days has been suggested by the applicant—pending assessment of the risks and benefits, and consideration of special catheter or alternative techniques.</w:t>
      </w:r>
    </w:p>
    <w:p w14:paraId="582FCC0E" w14:textId="686E6CC4" w:rsidR="005D5985" w:rsidRPr="00E036FE" w:rsidRDefault="005D5985" w:rsidP="005D5985">
      <w:pPr>
        <w:rPr>
          <w:rFonts w:ascii="Franklin Gothic Book" w:hAnsi="Franklin Gothic Book"/>
        </w:rPr>
      </w:pPr>
      <w:r w:rsidRPr="00E036FE">
        <w:rPr>
          <w:rFonts w:ascii="Franklin Gothic Book" w:hAnsi="Franklin Gothic Book"/>
        </w:rPr>
        <w:t xml:space="preserve">Depending on their state of health, some patients could also be discharged earlier with a disposable pump filled with the local anaesthetic. The post-discharge management of outpatients receiving the intervention (including catheter </w:t>
      </w:r>
      <w:r w:rsidRPr="00E036FE" w:rsidDel="00D4342B">
        <w:rPr>
          <w:rFonts w:ascii="Franklin Gothic Book" w:hAnsi="Franklin Gothic Book"/>
        </w:rPr>
        <w:t>self-</w:t>
      </w:r>
      <w:r w:rsidRPr="00E036FE">
        <w:rPr>
          <w:rFonts w:ascii="Franklin Gothic Book" w:hAnsi="Franklin Gothic Book"/>
        </w:rPr>
        <w:t>removal), needs to be further explored. Once the catheter is removed—usually after 3 to 5 days—non-opioid oral analgesia would be provided.</w:t>
      </w:r>
    </w:p>
    <w:p w14:paraId="3CB41D89" w14:textId="2282ADDF" w:rsidR="005D5985" w:rsidRPr="00306E38" w:rsidRDefault="00EE61CE" w:rsidP="005D5985">
      <w:pPr>
        <w:pStyle w:val="Heading2"/>
        <w:numPr>
          <w:ilvl w:val="0"/>
          <w:numId w:val="0"/>
        </w:numPr>
        <w:ind w:left="576" w:hanging="576"/>
      </w:pPr>
      <w:bookmarkStart w:id="19" w:name="_Toc150966053"/>
      <w:bookmarkStart w:id="20" w:name="_Toc153401629"/>
      <w:r>
        <w:t>8</w:t>
      </w:r>
      <w:r w:rsidR="005D5985" w:rsidRPr="00306E38">
        <w:t>.</w:t>
      </w:r>
      <w:r w:rsidR="005D5985" w:rsidRPr="00306E38">
        <w:tab/>
        <w:t>Comparator</w:t>
      </w:r>
      <w:bookmarkEnd w:id="19"/>
      <w:bookmarkEnd w:id="20"/>
    </w:p>
    <w:p w14:paraId="64DDF28D" w14:textId="27864A99" w:rsidR="005D5985" w:rsidRPr="00E036FE" w:rsidRDefault="005D5985" w:rsidP="005D5985">
      <w:pPr>
        <w:rPr>
          <w:rFonts w:ascii="Franklin Gothic Book" w:hAnsi="Franklin Gothic Book"/>
        </w:rPr>
      </w:pPr>
      <w:r w:rsidRPr="00E036FE">
        <w:rPr>
          <w:rFonts w:ascii="Franklin Gothic Book" w:hAnsi="Franklin Gothic Book"/>
        </w:rPr>
        <w:t xml:space="preserve">The comparators as per the PICO included </w:t>
      </w:r>
      <w:r w:rsidRPr="00E036FE" w:rsidDel="00D62E5A">
        <w:rPr>
          <w:rFonts w:ascii="Franklin Gothic Book" w:hAnsi="Franklin Gothic Book"/>
        </w:rPr>
        <w:t>single</w:t>
      </w:r>
      <w:r w:rsidRPr="00E036FE">
        <w:rPr>
          <w:rFonts w:ascii="Franklin Gothic Book" w:hAnsi="Franklin Gothic Book"/>
        </w:rPr>
        <w:t>-injection nerve block (primary comparator) and secondary comparators, systemic opioids and neuraxial analgesia (spinal or epidural blocks) (</w:t>
      </w:r>
      <w:r w:rsidRPr="00E036FE">
        <w:rPr>
          <w:rFonts w:ascii="Franklin Gothic Book" w:hAnsi="Franklin Gothic Book"/>
        </w:rPr>
        <w:fldChar w:fldCharType="begin"/>
      </w:r>
      <w:r w:rsidRPr="00E036FE">
        <w:rPr>
          <w:rFonts w:ascii="Franklin Gothic Book" w:hAnsi="Franklin Gothic Book"/>
        </w:rPr>
        <w:instrText xml:space="preserve"> REF _Ref147737978 \h </w:instrText>
      </w:r>
      <w:r w:rsidR="00E036FE">
        <w:rPr>
          <w:rFonts w:ascii="Franklin Gothic Book" w:hAnsi="Franklin Gothic Book"/>
        </w:rPr>
        <w:instrText xml:space="preserve"> \* MERGEFORMAT </w:instrText>
      </w:r>
      <w:r w:rsidRPr="00E036FE">
        <w:rPr>
          <w:rFonts w:ascii="Franklin Gothic Book" w:hAnsi="Franklin Gothic Book"/>
        </w:rPr>
      </w:r>
      <w:r w:rsidRPr="00E036FE">
        <w:rPr>
          <w:rFonts w:ascii="Franklin Gothic Book" w:hAnsi="Franklin Gothic Book"/>
        </w:rPr>
        <w:fldChar w:fldCharType="separate"/>
      </w:r>
      <w:r w:rsidR="00091077" w:rsidRPr="00315928">
        <w:rPr>
          <w:rFonts w:ascii="Franklin Gothic Book" w:hAnsi="Franklin Gothic Book"/>
        </w:rPr>
        <w:t>Table 5</w:t>
      </w:r>
      <w:r w:rsidRPr="00E036FE">
        <w:rPr>
          <w:rFonts w:ascii="Franklin Gothic Book" w:hAnsi="Franklin Gothic Book"/>
        </w:rPr>
        <w:fldChar w:fldCharType="end"/>
      </w:r>
      <w:r w:rsidRPr="00E036FE">
        <w:rPr>
          <w:rFonts w:ascii="Franklin Gothic Book" w:hAnsi="Franklin Gothic Book"/>
        </w:rPr>
        <w:t xml:space="preserve">). Their associations with additional analgesia (opioids ± oral non-opioid analgesia) were also mentioned as potential comparators. The usage rate of these comparators differs with the type of surgery required and the patient’s profile. </w:t>
      </w:r>
    </w:p>
    <w:p w14:paraId="762720AD" w14:textId="286C817B" w:rsidR="00CF5942" w:rsidRDefault="005D5985" w:rsidP="00CF5942">
      <w:pPr>
        <w:spacing w:after="0"/>
        <w:rPr>
          <w:rFonts w:ascii="Franklin Gothic Book" w:hAnsi="Franklin Gothic Book"/>
        </w:rPr>
      </w:pPr>
      <w:r w:rsidRPr="00E036FE">
        <w:rPr>
          <w:rFonts w:ascii="Franklin Gothic Book" w:hAnsi="Franklin Gothic Book"/>
        </w:rPr>
        <w:t>Given the level of pain experienced by patients following these surgical procedures, ‘no continuous block’ (i.e. placebo, standard care or sham plus any rescue medication) was not a relevant comparator for ethical reasons. Wound infiltration, which is for pain of a lower intensity, was also not a comparator for this application.</w:t>
      </w:r>
      <w:r w:rsidR="00CF5942">
        <w:rPr>
          <w:rFonts w:ascii="Franklin Gothic Book" w:hAnsi="Franklin Gothic Book"/>
        </w:rPr>
        <w:br w:type="page"/>
      </w:r>
    </w:p>
    <w:p w14:paraId="1DD2C5C5" w14:textId="250A1B97" w:rsidR="005D5985" w:rsidRPr="00306E38" w:rsidRDefault="005D5985" w:rsidP="005D5985">
      <w:pPr>
        <w:pStyle w:val="Caption"/>
      </w:pPr>
      <w:bookmarkStart w:id="21" w:name="_Ref147737978"/>
      <w:r w:rsidRPr="00306E38">
        <w:lastRenderedPageBreak/>
        <w:t>Table </w:t>
      </w:r>
      <w:r>
        <w:fldChar w:fldCharType="begin"/>
      </w:r>
      <w:r>
        <w:instrText>SEQ Table \* ARABIC</w:instrText>
      </w:r>
      <w:r>
        <w:fldChar w:fldCharType="separate"/>
      </w:r>
      <w:r w:rsidR="00210D50">
        <w:rPr>
          <w:noProof/>
        </w:rPr>
        <w:t>5</w:t>
      </w:r>
      <w:r>
        <w:fldChar w:fldCharType="end"/>
      </w:r>
      <w:bookmarkEnd w:id="21"/>
      <w:r w:rsidRPr="00306E38">
        <w:tab/>
        <w:t xml:space="preserve">List of comparators </w:t>
      </w:r>
    </w:p>
    <w:tbl>
      <w:tblPr>
        <w:tblStyle w:val="TableGrid"/>
        <w:tblpPr w:leftFromText="180" w:rightFromText="180" w:vertAnchor="text" w:tblpY="1"/>
        <w:tblOverlap w:val="never"/>
        <w:tblW w:w="5000" w:type="pct"/>
        <w:tblLook w:val="04A0" w:firstRow="1" w:lastRow="0" w:firstColumn="1" w:lastColumn="0" w:noHBand="0" w:noVBand="1"/>
      </w:tblPr>
      <w:tblGrid>
        <w:gridCol w:w="1446"/>
        <w:gridCol w:w="3651"/>
        <w:gridCol w:w="1434"/>
        <w:gridCol w:w="1208"/>
        <w:gridCol w:w="1277"/>
      </w:tblGrid>
      <w:tr w:rsidR="005D5985" w:rsidRPr="00306E38" w14:paraId="26421741" w14:textId="77777777">
        <w:trPr>
          <w:cantSplit/>
          <w:tblHeader/>
        </w:trPr>
        <w:tc>
          <w:tcPr>
            <w:tcW w:w="802" w:type="pct"/>
          </w:tcPr>
          <w:p w14:paraId="39F9E624" w14:textId="77777777" w:rsidR="005D5985" w:rsidRPr="00306E38" w:rsidRDefault="005D5985">
            <w:pPr>
              <w:pStyle w:val="TableText"/>
              <w:rPr>
                <w:b/>
                <w:bCs/>
              </w:rPr>
            </w:pPr>
            <w:r w:rsidRPr="00306E38">
              <w:rPr>
                <w:b/>
                <w:bCs/>
              </w:rPr>
              <w:t>Comparator</w:t>
            </w:r>
            <w:r>
              <w:rPr>
                <w:b/>
                <w:bCs/>
              </w:rPr>
              <w:t>s</w:t>
            </w:r>
          </w:p>
        </w:tc>
        <w:tc>
          <w:tcPr>
            <w:tcW w:w="2025" w:type="pct"/>
          </w:tcPr>
          <w:p w14:paraId="42FEC92C" w14:textId="77777777" w:rsidR="005D5985" w:rsidRPr="00306E38" w:rsidRDefault="005D5985">
            <w:pPr>
              <w:pStyle w:val="TableText"/>
              <w:rPr>
                <w:b/>
                <w:bCs/>
              </w:rPr>
            </w:pPr>
            <w:r w:rsidRPr="00306E38">
              <w:rPr>
                <w:b/>
                <w:bCs/>
              </w:rPr>
              <w:t>Details</w:t>
            </w:r>
          </w:p>
        </w:tc>
        <w:tc>
          <w:tcPr>
            <w:tcW w:w="795" w:type="pct"/>
          </w:tcPr>
          <w:p w14:paraId="43786B82" w14:textId="77777777" w:rsidR="005D5985" w:rsidRPr="00306E38" w:rsidRDefault="005D5985">
            <w:pPr>
              <w:pStyle w:val="TableText"/>
              <w:rPr>
                <w:b/>
                <w:bCs/>
              </w:rPr>
            </w:pPr>
            <w:r w:rsidRPr="00306E38">
              <w:rPr>
                <w:b/>
                <w:bCs/>
              </w:rPr>
              <w:t>% estimated use (</w:t>
            </w:r>
            <w:r>
              <w:rPr>
                <w:b/>
                <w:bCs/>
              </w:rPr>
              <w:t>by</w:t>
            </w:r>
            <w:r w:rsidRPr="00306E38">
              <w:rPr>
                <w:b/>
                <w:bCs/>
              </w:rPr>
              <w:t xml:space="preserve"> target population)</w:t>
            </w:r>
          </w:p>
        </w:tc>
        <w:tc>
          <w:tcPr>
            <w:tcW w:w="670" w:type="pct"/>
          </w:tcPr>
          <w:p w14:paraId="7DC141D9" w14:textId="77777777" w:rsidR="005D5985" w:rsidRPr="00306E38" w:rsidRDefault="005D5985">
            <w:pPr>
              <w:pStyle w:val="TableText"/>
              <w:rPr>
                <w:b/>
                <w:bCs/>
              </w:rPr>
            </w:pPr>
            <w:r w:rsidRPr="00306E38">
              <w:rPr>
                <w:b/>
                <w:bCs/>
              </w:rPr>
              <w:t xml:space="preserve">Max duration </w:t>
            </w:r>
          </w:p>
        </w:tc>
        <w:tc>
          <w:tcPr>
            <w:tcW w:w="708" w:type="pct"/>
          </w:tcPr>
          <w:p w14:paraId="7A082A0C" w14:textId="77777777" w:rsidR="005D5985" w:rsidRPr="00306E38" w:rsidRDefault="005D5985">
            <w:pPr>
              <w:pStyle w:val="TableText"/>
              <w:rPr>
                <w:b/>
                <w:bCs/>
              </w:rPr>
            </w:pPr>
            <w:r w:rsidRPr="00306E38">
              <w:rPr>
                <w:b/>
                <w:bCs/>
              </w:rPr>
              <w:t>F</w:t>
            </w:r>
            <w:r>
              <w:rPr>
                <w:b/>
                <w:bCs/>
              </w:rPr>
              <w:t>irst f</w:t>
            </w:r>
            <w:r w:rsidRPr="00306E38">
              <w:rPr>
                <w:b/>
                <w:bCs/>
              </w:rPr>
              <w:t>ollow</w:t>
            </w:r>
            <w:r>
              <w:rPr>
                <w:b/>
                <w:bCs/>
              </w:rPr>
              <w:t>-up treatment</w:t>
            </w:r>
          </w:p>
        </w:tc>
      </w:tr>
      <w:tr w:rsidR="005D5985" w:rsidRPr="00306E38" w14:paraId="3608EA74" w14:textId="77777777">
        <w:trPr>
          <w:cantSplit/>
        </w:trPr>
        <w:tc>
          <w:tcPr>
            <w:tcW w:w="802" w:type="pct"/>
          </w:tcPr>
          <w:p w14:paraId="5082ED0F" w14:textId="77777777" w:rsidR="005D5985" w:rsidRPr="00306E38" w:rsidRDefault="005D5985">
            <w:pPr>
              <w:pStyle w:val="TableText"/>
            </w:pPr>
            <w:r w:rsidRPr="00306E38" w:rsidDel="00D62E5A">
              <w:t>Single</w:t>
            </w:r>
            <w:r w:rsidRPr="00306E38">
              <w:t>-injection nerve block</w:t>
            </w:r>
            <w:r>
              <w:t xml:space="preserve"> (primary comparator)</w:t>
            </w:r>
          </w:p>
        </w:tc>
        <w:tc>
          <w:tcPr>
            <w:tcW w:w="2025" w:type="pct"/>
          </w:tcPr>
          <w:p w14:paraId="49CD2720" w14:textId="77777777" w:rsidR="005D5985" w:rsidRPr="00306E38" w:rsidRDefault="005D5985">
            <w:pPr>
              <w:pStyle w:val="TableText"/>
            </w:pPr>
            <w:r w:rsidRPr="00306E38">
              <w:t>Administered perioperatively via MBS item 22041</w:t>
            </w:r>
          </w:p>
          <w:p w14:paraId="5E62C5D3" w14:textId="77777777" w:rsidR="005D5985" w:rsidRPr="00D059DF" w:rsidRDefault="005D5985">
            <w:pPr>
              <w:pStyle w:val="TableText"/>
              <w:rPr>
                <w:highlight w:val="yellow"/>
              </w:rPr>
            </w:pPr>
            <w:r w:rsidRPr="00306E38">
              <w:t xml:space="preserve">Administered as stand-alone item not part of surgery, via Group T7 (items 18222, 18225) sometimes used to top up perioperative nerve block. </w:t>
            </w:r>
            <w:r w:rsidRPr="00306E38">
              <w:rPr>
                <w:i/>
                <w:iCs/>
              </w:rPr>
              <w:t>In combination with supplementary analgesia for target population. For example, single</w:t>
            </w:r>
            <w:r>
              <w:rPr>
                <w:i/>
                <w:iCs/>
              </w:rPr>
              <w:t>-</w:t>
            </w:r>
            <w:r w:rsidRPr="00306E38">
              <w:rPr>
                <w:i/>
                <w:iCs/>
              </w:rPr>
              <w:t>injection interscalene block for shoulder surgery.</w:t>
            </w:r>
            <w:r w:rsidRPr="00306E38">
              <w:rPr>
                <w:vertAlign w:val="superscript"/>
              </w:rPr>
              <w:t>a</w:t>
            </w:r>
          </w:p>
        </w:tc>
        <w:tc>
          <w:tcPr>
            <w:tcW w:w="795" w:type="pct"/>
          </w:tcPr>
          <w:p w14:paraId="0E4C0945" w14:textId="77777777" w:rsidR="005D5985" w:rsidRPr="00306E38" w:rsidRDefault="005D5985">
            <w:pPr>
              <w:pStyle w:val="TableText"/>
            </w:pPr>
            <w:r w:rsidRPr="00306E38">
              <w:t>40</w:t>
            </w:r>
            <w:r>
              <w:t>–</w:t>
            </w:r>
            <w:r w:rsidRPr="00306E38">
              <w:t>80%</w:t>
            </w:r>
          </w:p>
        </w:tc>
        <w:tc>
          <w:tcPr>
            <w:tcW w:w="670" w:type="pct"/>
          </w:tcPr>
          <w:p w14:paraId="160C58D6" w14:textId="77777777" w:rsidR="005D5985" w:rsidRPr="00306E38" w:rsidRDefault="005D5985">
            <w:pPr>
              <w:pStyle w:val="TableText"/>
            </w:pPr>
            <w:r w:rsidRPr="00306E38">
              <w:t>12 hours</w:t>
            </w:r>
          </w:p>
        </w:tc>
        <w:tc>
          <w:tcPr>
            <w:tcW w:w="708" w:type="pct"/>
          </w:tcPr>
          <w:p w14:paraId="72B8C921" w14:textId="77777777" w:rsidR="005D5985" w:rsidRPr="00306E38" w:rsidRDefault="005D5985">
            <w:pPr>
              <w:pStyle w:val="TableText"/>
            </w:pPr>
            <w:r w:rsidRPr="00306E38">
              <w:t>Systemic opioids (</w:t>
            </w:r>
            <w:r>
              <w:t>intravenous</w:t>
            </w:r>
            <w:r w:rsidRPr="00306E38">
              <w:t xml:space="preserve"> or oral) or non-opioid oral analgesics</w:t>
            </w:r>
          </w:p>
        </w:tc>
      </w:tr>
      <w:tr w:rsidR="005D5985" w:rsidRPr="00306E38" w14:paraId="76A7A588" w14:textId="77777777">
        <w:trPr>
          <w:cantSplit/>
        </w:trPr>
        <w:tc>
          <w:tcPr>
            <w:tcW w:w="802" w:type="pct"/>
          </w:tcPr>
          <w:p w14:paraId="0F173A89" w14:textId="77777777" w:rsidR="005D5985" w:rsidRPr="00306E38" w:rsidDel="00D62E5A" w:rsidRDefault="005D5985">
            <w:pPr>
              <w:pStyle w:val="TableText"/>
            </w:pPr>
            <w:r w:rsidRPr="00306E38">
              <w:t xml:space="preserve">Systemic opioids – </w:t>
            </w:r>
            <w:r>
              <w:t>intravenous</w:t>
            </w:r>
            <w:r w:rsidRPr="00306E38">
              <w:t xml:space="preserve"> </w:t>
            </w:r>
          </w:p>
        </w:tc>
        <w:tc>
          <w:tcPr>
            <w:tcW w:w="2025" w:type="pct"/>
          </w:tcPr>
          <w:p w14:paraId="092D5DCF" w14:textId="77777777" w:rsidR="005D5985" w:rsidRPr="00306E38" w:rsidRDefault="005D5985">
            <w:pPr>
              <w:pStyle w:val="TableText"/>
            </w:pPr>
            <w:r w:rsidRPr="00306E38">
              <w:t xml:space="preserve">Often fentanyl in the first instance (short-acting), </w:t>
            </w:r>
            <w:r>
              <w:t>intravenous</w:t>
            </w:r>
            <w:r w:rsidRPr="00306E38">
              <w:t xml:space="preserve"> oxycodone or morphine (especially patients with </w:t>
            </w:r>
            <w:r>
              <w:t>patient-controlled analgesia</w:t>
            </w:r>
            <w:r w:rsidRPr="00306E38">
              <w:t xml:space="preserve">). </w:t>
            </w:r>
          </w:p>
          <w:p w14:paraId="2C747EFB" w14:textId="77777777" w:rsidR="005D5985" w:rsidRPr="00306E38" w:rsidRDefault="005D5985">
            <w:pPr>
              <w:pStyle w:val="TableText"/>
            </w:pPr>
            <w:r w:rsidRPr="00AA6D10">
              <w:t>With ap</w:t>
            </w:r>
            <w:r>
              <w:t>e</w:t>
            </w:r>
            <w:r w:rsidRPr="00AA6D10">
              <w:t>rient, with or without antiemetics (not PBS listed for this indication) to counter the side effects of systemic opioids</w:t>
            </w:r>
          </w:p>
          <w:p w14:paraId="0C38202E" w14:textId="77777777" w:rsidR="005D5985" w:rsidRPr="00306E38" w:rsidRDefault="005D5985">
            <w:pPr>
              <w:pStyle w:val="TableText"/>
            </w:pPr>
            <w:r w:rsidRPr="00306E38">
              <w:t xml:space="preserve">Used for any of the surgery types (except where epidural is preferred) unless patient </w:t>
            </w:r>
            <w:r>
              <w:t xml:space="preserve">has a </w:t>
            </w:r>
            <w:r w:rsidRPr="00306E38">
              <w:t>contraindicat</w:t>
            </w:r>
            <w:r>
              <w:t>ion</w:t>
            </w:r>
            <w:r w:rsidRPr="00306E38">
              <w:t xml:space="preserve"> </w:t>
            </w:r>
            <w:r>
              <w:t xml:space="preserve">to </w:t>
            </w:r>
            <w:r w:rsidRPr="00306E38">
              <w:t xml:space="preserve">opioids. </w:t>
            </w:r>
          </w:p>
        </w:tc>
        <w:tc>
          <w:tcPr>
            <w:tcW w:w="795" w:type="pct"/>
          </w:tcPr>
          <w:p w14:paraId="603732A4" w14:textId="77777777" w:rsidR="005D5985" w:rsidRPr="00306E38" w:rsidRDefault="005D5985">
            <w:pPr>
              <w:pStyle w:val="TableText"/>
            </w:pPr>
            <w:r w:rsidRPr="00306E38">
              <w:t>Up to 80%</w:t>
            </w:r>
          </w:p>
        </w:tc>
        <w:tc>
          <w:tcPr>
            <w:tcW w:w="670" w:type="pct"/>
            <w:tcBorders>
              <w:bottom w:val="single" w:sz="4" w:space="0" w:color="auto"/>
            </w:tcBorders>
          </w:tcPr>
          <w:p w14:paraId="409EA4AE" w14:textId="77777777" w:rsidR="005D5985" w:rsidRPr="00306E38" w:rsidRDefault="005D5985">
            <w:pPr>
              <w:pStyle w:val="TableText"/>
            </w:pPr>
            <w:r w:rsidRPr="00306E38">
              <w:t>~72 hours</w:t>
            </w:r>
            <w:r>
              <w:rPr>
                <w:vertAlign w:val="superscript"/>
              </w:rPr>
              <w:t>b</w:t>
            </w:r>
          </w:p>
        </w:tc>
        <w:tc>
          <w:tcPr>
            <w:tcW w:w="708" w:type="pct"/>
          </w:tcPr>
          <w:p w14:paraId="21207EA8" w14:textId="77777777" w:rsidR="005D5985" w:rsidRPr="00306E38" w:rsidRDefault="005D5985">
            <w:pPr>
              <w:pStyle w:val="TableText"/>
            </w:pPr>
            <w:r w:rsidRPr="00306E38">
              <w:t xml:space="preserve">Systemic opioids (oral) </w:t>
            </w:r>
          </w:p>
        </w:tc>
      </w:tr>
      <w:tr w:rsidR="005D5985" w:rsidRPr="00306E38" w14:paraId="618740F7" w14:textId="77777777">
        <w:trPr>
          <w:cantSplit/>
        </w:trPr>
        <w:tc>
          <w:tcPr>
            <w:tcW w:w="802" w:type="pct"/>
          </w:tcPr>
          <w:p w14:paraId="18863C95" w14:textId="77777777" w:rsidR="005D5985" w:rsidRPr="00306E38" w:rsidRDefault="005D5985">
            <w:pPr>
              <w:pStyle w:val="TableText"/>
            </w:pPr>
            <w:r w:rsidRPr="00306E38">
              <w:t>Neuraxial analgesia – epidural block</w:t>
            </w:r>
          </w:p>
        </w:tc>
        <w:tc>
          <w:tcPr>
            <w:tcW w:w="2025" w:type="pct"/>
          </w:tcPr>
          <w:p w14:paraId="70CEE270" w14:textId="77777777" w:rsidR="005D5985" w:rsidRPr="00306E38" w:rsidRDefault="005D5985">
            <w:pPr>
              <w:pStyle w:val="TableText"/>
            </w:pPr>
            <w:r w:rsidRPr="00306E38">
              <w:t xml:space="preserve">Single injection or via catheter, same local anaesthetic agents as for </w:t>
            </w:r>
            <w:r w:rsidRPr="00306E38" w:rsidDel="00D62E5A">
              <w:t>single</w:t>
            </w:r>
            <w:r w:rsidRPr="00306E38">
              <w:t>-injection nerve block.</w:t>
            </w:r>
          </w:p>
          <w:p w14:paraId="4BD1D960" w14:textId="77777777" w:rsidR="005D5985" w:rsidRPr="00306E38" w:rsidRDefault="005D5985">
            <w:pPr>
              <w:pStyle w:val="TableText"/>
            </w:pPr>
            <w:r w:rsidRPr="00306E38">
              <w:t>Catheter delivery is either continuous or programmed intermittent epidural bolus or patient-controlled epidural analgesic bolus. Limited patient mobility for</w:t>
            </w:r>
            <w:r>
              <w:t xml:space="preserve"> patients receiving</w:t>
            </w:r>
            <w:r w:rsidRPr="00306E38">
              <w:t xml:space="preserve"> catheter</w:t>
            </w:r>
            <w:r>
              <w:t xml:space="preserve"> delivery</w:t>
            </w:r>
            <w:r w:rsidRPr="00306E38">
              <w:t xml:space="preserve">. </w:t>
            </w:r>
            <w:r w:rsidRPr="00306E38">
              <w:rPr>
                <w:i/>
                <w:iCs/>
              </w:rPr>
              <w:t>Open abdominal procedures cited as example where continuous block may be used as alternative.</w:t>
            </w:r>
            <w:r w:rsidRPr="00306E38">
              <w:rPr>
                <w:vertAlign w:val="superscript"/>
              </w:rPr>
              <w:t>a</w:t>
            </w:r>
            <w:r w:rsidRPr="00306E38">
              <w:rPr>
                <w:i/>
                <w:iCs/>
              </w:rPr>
              <w:t xml:space="preserve"> </w:t>
            </w:r>
          </w:p>
        </w:tc>
        <w:tc>
          <w:tcPr>
            <w:tcW w:w="795" w:type="pct"/>
            <w:tcBorders>
              <w:bottom w:val="nil"/>
            </w:tcBorders>
            <w:vAlign w:val="bottom"/>
          </w:tcPr>
          <w:p w14:paraId="4C8D06ED" w14:textId="77777777" w:rsidR="005D5985" w:rsidRPr="00306E38" w:rsidRDefault="005D5985">
            <w:pPr>
              <w:pStyle w:val="TableText"/>
            </w:pPr>
            <w:r w:rsidRPr="00306E38">
              <w:t>All neuraxial:</w:t>
            </w:r>
          </w:p>
          <w:p w14:paraId="594F7DC6" w14:textId="77777777" w:rsidR="005D5985" w:rsidRPr="00306E38" w:rsidRDefault="005D5985">
            <w:pPr>
              <w:pStyle w:val="TableText"/>
            </w:pPr>
            <w:r w:rsidRPr="00306E38">
              <w:t>2.5</w:t>
            </w:r>
            <w:r>
              <w:t>–</w:t>
            </w:r>
            <w:r w:rsidRPr="00306E38">
              <w:t>10%</w:t>
            </w:r>
          </w:p>
        </w:tc>
        <w:tc>
          <w:tcPr>
            <w:tcW w:w="670" w:type="pct"/>
            <w:tcBorders>
              <w:bottom w:val="single" w:sz="4" w:space="0" w:color="auto"/>
            </w:tcBorders>
          </w:tcPr>
          <w:p w14:paraId="5999004D" w14:textId="77777777" w:rsidR="005D5985" w:rsidRPr="00306E38" w:rsidRDefault="005D5985">
            <w:pPr>
              <w:pStyle w:val="TableText"/>
            </w:pPr>
            <w:r w:rsidRPr="00306E38">
              <w:t>~72 hours</w:t>
            </w:r>
            <w:r>
              <w:rPr>
                <w:vertAlign w:val="superscript"/>
              </w:rPr>
              <w:t>c</w:t>
            </w:r>
          </w:p>
        </w:tc>
        <w:tc>
          <w:tcPr>
            <w:tcW w:w="708" w:type="pct"/>
            <w:tcBorders>
              <w:bottom w:val="nil"/>
            </w:tcBorders>
            <w:vAlign w:val="bottom"/>
          </w:tcPr>
          <w:p w14:paraId="5DAD6EF9" w14:textId="77777777" w:rsidR="005D5985" w:rsidRPr="00306E38" w:rsidRDefault="005D5985">
            <w:pPr>
              <w:pStyle w:val="TableText"/>
            </w:pPr>
            <w:r w:rsidRPr="00306E38">
              <w:t>Systemic opioids (</w:t>
            </w:r>
            <w:r>
              <w:t>intravenous</w:t>
            </w:r>
            <w:r w:rsidRPr="00306E38">
              <w:t xml:space="preserve"> or oral) or non-opioid oral analgesics</w:t>
            </w:r>
          </w:p>
        </w:tc>
      </w:tr>
      <w:tr w:rsidR="005D5985" w:rsidRPr="00306E38" w14:paraId="73163302" w14:textId="77777777">
        <w:trPr>
          <w:cantSplit/>
        </w:trPr>
        <w:tc>
          <w:tcPr>
            <w:tcW w:w="802" w:type="pct"/>
          </w:tcPr>
          <w:p w14:paraId="1CD41CE6" w14:textId="77777777" w:rsidR="005D5985" w:rsidRPr="00306E38" w:rsidRDefault="005D5985">
            <w:pPr>
              <w:pStyle w:val="TableText"/>
            </w:pPr>
            <w:r w:rsidRPr="00306E38">
              <w:t>Neuraxial analgesia – spinal (intrathecal) block</w:t>
            </w:r>
          </w:p>
        </w:tc>
        <w:tc>
          <w:tcPr>
            <w:tcW w:w="2025" w:type="pct"/>
          </w:tcPr>
          <w:p w14:paraId="10655CE1" w14:textId="77777777" w:rsidR="005D5985" w:rsidRPr="00306E38" w:rsidRDefault="005D5985">
            <w:pPr>
              <w:pStyle w:val="TableText"/>
            </w:pPr>
            <w:r w:rsidRPr="00306E38">
              <w:t xml:space="preserve">Single injection, same local anaesthetic agents as for </w:t>
            </w:r>
            <w:r w:rsidRPr="00306E38" w:rsidDel="00D62E5A">
              <w:t>single</w:t>
            </w:r>
            <w:r w:rsidRPr="00306E38">
              <w:t xml:space="preserve">-injection nerve block. </w:t>
            </w:r>
          </w:p>
        </w:tc>
        <w:tc>
          <w:tcPr>
            <w:tcW w:w="795" w:type="pct"/>
            <w:tcBorders>
              <w:top w:val="nil"/>
            </w:tcBorders>
          </w:tcPr>
          <w:p w14:paraId="1BA8D57E" w14:textId="77777777" w:rsidR="005D5985" w:rsidRPr="00306E38" w:rsidRDefault="005D5985">
            <w:pPr>
              <w:pStyle w:val="TableText"/>
            </w:pPr>
          </w:p>
        </w:tc>
        <w:tc>
          <w:tcPr>
            <w:tcW w:w="670" w:type="pct"/>
            <w:tcBorders>
              <w:top w:val="single" w:sz="4" w:space="0" w:color="auto"/>
            </w:tcBorders>
          </w:tcPr>
          <w:p w14:paraId="37130DA1" w14:textId="77777777" w:rsidR="005D5985" w:rsidRPr="00306E38" w:rsidRDefault="005D5985">
            <w:pPr>
              <w:pStyle w:val="TableText"/>
            </w:pPr>
            <w:r w:rsidRPr="00306E38">
              <w:t>~12 hours</w:t>
            </w:r>
            <w:r>
              <w:rPr>
                <w:vertAlign w:val="superscript"/>
              </w:rPr>
              <w:t>d</w:t>
            </w:r>
          </w:p>
        </w:tc>
        <w:tc>
          <w:tcPr>
            <w:tcW w:w="708" w:type="pct"/>
            <w:tcBorders>
              <w:top w:val="nil"/>
            </w:tcBorders>
          </w:tcPr>
          <w:p w14:paraId="70FE9E92" w14:textId="77777777" w:rsidR="005D5985" w:rsidRPr="00306E38" w:rsidRDefault="005D5985">
            <w:pPr>
              <w:pStyle w:val="TableText"/>
            </w:pPr>
          </w:p>
        </w:tc>
      </w:tr>
    </w:tbl>
    <w:p w14:paraId="35AFCA30" w14:textId="77777777" w:rsidR="005D5985" w:rsidRPr="00306E38" w:rsidRDefault="005D5985" w:rsidP="005D5985">
      <w:pPr>
        <w:pStyle w:val="Tablenotes"/>
        <w:spacing w:before="0" w:after="240"/>
      </w:pPr>
      <w:r w:rsidRPr="00306E38">
        <w:rPr>
          <w:b/>
        </w:rPr>
        <w:t>Abbreviations</w:t>
      </w:r>
      <w:r w:rsidRPr="00306E38">
        <w:t xml:space="preserve">: </w:t>
      </w:r>
      <w:r w:rsidRPr="00D059DF">
        <w:rPr>
          <w:b/>
        </w:rPr>
        <w:t>MBS</w:t>
      </w:r>
      <w:r w:rsidRPr="00306E38">
        <w:t xml:space="preserve"> = Medicare Benefits Schedule; </w:t>
      </w:r>
      <w:r w:rsidRPr="00D059DF">
        <w:rPr>
          <w:b/>
        </w:rPr>
        <w:t>PBS</w:t>
      </w:r>
      <w:r w:rsidRPr="00306E38">
        <w:t xml:space="preserve"> = Pharmaceutical Benefits Scheme</w:t>
      </w:r>
    </w:p>
    <w:p w14:paraId="112BC2D4" w14:textId="42C77153" w:rsidR="005D5985" w:rsidRDefault="005D5985" w:rsidP="005D5985">
      <w:pPr>
        <w:pStyle w:val="Tablenotes"/>
        <w:spacing w:before="0" w:after="240"/>
      </w:pPr>
      <w:r w:rsidRPr="00306E38">
        <w:rPr>
          <w:b/>
        </w:rPr>
        <w:t>Note</w:t>
      </w:r>
      <w:r w:rsidRPr="00306E38">
        <w:rPr>
          <w:b/>
          <w:bCs/>
        </w:rPr>
        <w:t>s</w:t>
      </w:r>
      <w:r w:rsidRPr="00306E38">
        <w:t xml:space="preserve">: </w:t>
      </w:r>
      <w:r w:rsidRPr="00306E38">
        <w:rPr>
          <w:b/>
          <w:bCs/>
        </w:rPr>
        <w:t>a</w:t>
      </w:r>
      <w:r w:rsidRPr="00306E38">
        <w:t xml:space="preserve"> = </w:t>
      </w:r>
      <w:r>
        <w:t>Italics sentences were added by the applicant in Table 12 of the PICO confirmation and referred to applicant’s examples or wording in the PICO document</w:t>
      </w:r>
    </w:p>
    <w:p w14:paraId="56DDFEC7" w14:textId="77777777" w:rsidR="005D5985" w:rsidRPr="00306E38" w:rsidRDefault="005D5985" w:rsidP="005D5985">
      <w:pPr>
        <w:pStyle w:val="Tablenotes"/>
        <w:spacing w:before="0" w:after="240"/>
      </w:pPr>
      <w:r>
        <w:rPr>
          <w:rFonts w:ascii="Calibri" w:hAnsi="Calibri" w:cs="Calibri"/>
          <w:b/>
          <w:bCs/>
        </w:rPr>
        <w:t>b</w:t>
      </w:r>
      <w:r w:rsidRPr="00306E38">
        <w:rPr>
          <w:rFonts w:ascii="Calibri" w:hAnsi="Calibri" w:cs="Calibri"/>
        </w:rPr>
        <w:t xml:space="preserve"> =</w:t>
      </w:r>
      <w:r w:rsidRPr="00306E38">
        <w:t xml:space="preserve"> </w:t>
      </w:r>
      <w:r w:rsidRPr="0059289C">
        <w:t>Systemic opioids</w:t>
      </w:r>
      <w:r w:rsidRPr="00306E38">
        <w:t xml:space="preserve"> (</w:t>
      </w:r>
      <w:r>
        <w:t>intravenous</w:t>
      </w:r>
      <w:r w:rsidRPr="00306E38">
        <w:t xml:space="preserve">): up to 7 days, depending on patients’ surgery, injuries and ability to </w:t>
      </w:r>
      <w:r>
        <w:t>be</w:t>
      </w:r>
      <w:r w:rsidRPr="00B76D38">
        <w:t xml:space="preserve"> treat</w:t>
      </w:r>
      <w:r>
        <w:t>ed</w:t>
      </w:r>
      <w:r w:rsidRPr="00306E38">
        <w:t xml:space="preserve"> by other modalities</w:t>
      </w:r>
    </w:p>
    <w:p w14:paraId="1D84083D" w14:textId="77777777" w:rsidR="005D5985" w:rsidRPr="00306E38" w:rsidRDefault="005D5985" w:rsidP="005D5985">
      <w:pPr>
        <w:pStyle w:val="Tablenotes"/>
        <w:spacing w:before="0" w:after="240"/>
      </w:pPr>
      <w:r>
        <w:rPr>
          <w:b/>
          <w:bCs/>
        </w:rPr>
        <w:t>c</w:t>
      </w:r>
      <w:r>
        <w:t xml:space="preserve"> = </w:t>
      </w:r>
      <w:r w:rsidRPr="00D059DF">
        <w:t>Epidural block (continuous)</w:t>
      </w:r>
      <w:r w:rsidRPr="00306E38">
        <w:t>: up to maximum of 5</w:t>
      </w:r>
      <w:r>
        <w:t>–</w:t>
      </w:r>
      <w:r w:rsidRPr="00306E38">
        <w:t xml:space="preserve">7 days with specific supervision for major thoracic or abdominal surgery in specialist centres </w:t>
      </w:r>
    </w:p>
    <w:p w14:paraId="6D3CCDDF" w14:textId="77777777" w:rsidR="005D5985" w:rsidRPr="00306E38" w:rsidRDefault="005D5985" w:rsidP="005D5985">
      <w:pPr>
        <w:pStyle w:val="Tablenotes"/>
        <w:spacing w:before="0" w:after="240"/>
      </w:pPr>
      <w:r>
        <w:rPr>
          <w:rFonts w:ascii="Calibri" w:hAnsi="Calibri" w:cs="Calibri"/>
          <w:b/>
          <w:bCs/>
        </w:rPr>
        <w:t>d</w:t>
      </w:r>
      <w:r w:rsidRPr="00306E38">
        <w:t xml:space="preserve"> </w:t>
      </w:r>
      <w:r>
        <w:t xml:space="preserve">= </w:t>
      </w:r>
      <w:r w:rsidRPr="00D059DF">
        <w:t>Spinal block</w:t>
      </w:r>
      <w:r w:rsidRPr="00306E38">
        <w:t>: maximum 3</w:t>
      </w:r>
      <w:r>
        <w:t>–</w:t>
      </w:r>
      <w:r w:rsidRPr="00306E38">
        <w:t>4 hours with fentanyl, 12</w:t>
      </w:r>
      <w:r>
        <w:t>–</w:t>
      </w:r>
      <w:r w:rsidRPr="00306E38">
        <w:t xml:space="preserve">24 hours if subarachnoid morphine is used </w:t>
      </w:r>
    </w:p>
    <w:p w14:paraId="75E1F214" w14:textId="1D84304E" w:rsidR="005D5985" w:rsidRPr="00306E38" w:rsidRDefault="005D5985" w:rsidP="005D5985">
      <w:pPr>
        <w:pStyle w:val="Tablenotes"/>
        <w:spacing w:before="0" w:after="240"/>
      </w:pPr>
      <w:r w:rsidRPr="00306E38">
        <w:rPr>
          <w:b/>
        </w:rPr>
        <w:t>Source</w:t>
      </w:r>
      <w:r w:rsidRPr="00306E38">
        <w:t xml:space="preserve">: </w:t>
      </w:r>
      <w:r w:rsidR="00BC16E9">
        <w:t xml:space="preserve">DCAR Table 4. </w:t>
      </w:r>
      <w:r>
        <w:t xml:space="preserve">Adapted from </w:t>
      </w:r>
      <w:r w:rsidRPr="00306E38">
        <w:t>Ratified PICO Confirmation</w:t>
      </w:r>
      <w:r>
        <w:t xml:space="preserve"> Table 12</w:t>
      </w:r>
      <w:r w:rsidRPr="00306E38">
        <w:t xml:space="preserve">; application 1741; </w:t>
      </w:r>
      <w:r>
        <w:t>per cent</w:t>
      </w:r>
      <w:r w:rsidRPr="00306E38">
        <w:t xml:space="preserve"> estimated values provided by the applicant in pre-PASC teleconference.</w:t>
      </w:r>
    </w:p>
    <w:p w14:paraId="7810D84E" w14:textId="074B6CE3" w:rsidR="005D5985" w:rsidRPr="00E036FE" w:rsidRDefault="005D5985" w:rsidP="005D5985">
      <w:pPr>
        <w:spacing w:after="0"/>
        <w:rPr>
          <w:rFonts w:ascii="Franklin Gothic Book" w:hAnsi="Franklin Gothic Book"/>
        </w:rPr>
      </w:pPr>
      <w:r w:rsidRPr="00E036FE">
        <w:rPr>
          <w:rFonts w:ascii="Franklin Gothic Book" w:hAnsi="Franklin Gothic Book"/>
        </w:rPr>
        <w:t xml:space="preserve">The main comparator, confirmed by the ratified PICO Confirmation, which was expected to be replaced, was </w:t>
      </w:r>
      <w:r w:rsidRPr="00E036FE" w:rsidDel="00D62E5A">
        <w:rPr>
          <w:rFonts w:ascii="Franklin Gothic Book" w:hAnsi="Franklin Gothic Book"/>
        </w:rPr>
        <w:t>single</w:t>
      </w:r>
      <w:r w:rsidRPr="00E036FE">
        <w:rPr>
          <w:rFonts w:ascii="Franklin Gothic Book" w:hAnsi="Franklin Gothic Book"/>
        </w:rPr>
        <w:t xml:space="preserve">-injection nerve block (MBS item 22041, </w:t>
      </w:r>
      <w:r w:rsidRPr="00E036FE">
        <w:rPr>
          <w:rFonts w:ascii="Franklin Gothic Book" w:hAnsi="Franklin Gothic Book"/>
        </w:rPr>
        <w:fldChar w:fldCharType="begin"/>
      </w:r>
      <w:r w:rsidRPr="00E036FE">
        <w:rPr>
          <w:rFonts w:ascii="Franklin Gothic Book" w:hAnsi="Franklin Gothic Book"/>
        </w:rPr>
        <w:instrText xml:space="preserve"> REF _Ref147737949 \h  \* MERGEFORMAT </w:instrText>
      </w:r>
      <w:r w:rsidRPr="00E036FE">
        <w:rPr>
          <w:rFonts w:ascii="Franklin Gothic Book" w:hAnsi="Franklin Gothic Book"/>
        </w:rPr>
      </w:r>
      <w:r w:rsidRPr="00E036FE">
        <w:rPr>
          <w:rFonts w:ascii="Franklin Gothic Book" w:hAnsi="Franklin Gothic Book"/>
        </w:rPr>
        <w:fldChar w:fldCharType="separate"/>
      </w:r>
      <w:r w:rsidR="00091077" w:rsidRPr="00315928">
        <w:rPr>
          <w:rFonts w:ascii="Franklin Gothic Book" w:hAnsi="Franklin Gothic Book"/>
        </w:rPr>
        <w:t>Table 6</w:t>
      </w:r>
      <w:r w:rsidRPr="00E036FE">
        <w:rPr>
          <w:rFonts w:ascii="Franklin Gothic Book" w:hAnsi="Franklin Gothic Book"/>
        </w:rPr>
        <w:fldChar w:fldCharType="end"/>
      </w:r>
      <w:r w:rsidRPr="00E036FE">
        <w:rPr>
          <w:rFonts w:ascii="Franklin Gothic Book" w:hAnsi="Franklin Gothic Book"/>
        </w:rPr>
        <w:t xml:space="preserve">), associated or not with systemic opioids. According to the applicant, no local anaesthetic agents used for a </w:t>
      </w:r>
      <w:r w:rsidRPr="00E036FE" w:rsidDel="00D62E5A">
        <w:rPr>
          <w:rFonts w:ascii="Franklin Gothic Book" w:hAnsi="Franklin Gothic Book"/>
        </w:rPr>
        <w:t>single</w:t>
      </w:r>
      <w:r w:rsidRPr="00E036FE">
        <w:rPr>
          <w:rFonts w:ascii="Franklin Gothic Book" w:hAnsi="Franklin Gothic Book"/>
        </w:rPr>
        <w:t>-injection nerve block can consistently last beyond 12 hours. MBS item 22041 can only be claimed in conjunction with the anaesthesia item used for the surgical procedure.</w:t>
      </w:r>
    </w:p>
    <w:p w14:paraId="39473008" w14:textId="6B0CBD89" w:rsidR="005D5985" w:rsidRPr="00306E38" w:rsidRDefault="005D5985" w:rsidP="005D5985">
      <w:pPr>
        <w:pStyle w:val="Caption"/>
      </w:pPr>
      <w:bookmarkStart w:id="22" w:name="_Ref147737949"/>
      <w:r w:rsidRPr="00306E38">
        <w:lastRenderedPageBreak/>
        <w:t>Table </w:t>
      </w:r>
      <w:r>
        <w:fldChar w:fldCharType="begin"/>
      </w:r>
      <w:r>
        <w:instrText>SEQ Table \* ARABIC</w:instrText>
      </w:r>
      <w:r>
        <w:fldChar w:fldCharType="separate"/>
      </w:r>
      <w:r w:rsidR="00210D50">
        <w:rPr>
          <w:noProof/>
        </w:rPr>
        <w:t>6</w:t>
      </w:r>
      <w:r>
        <w:fldChar w:fldCharType="end"/>
      </w:r>
      <w:bookmarkEnd w:id="22"/>
      <w:r w:rsidRPr="00306E38">
        <w:tab/>
        <w:t>Single</w:t>
      </w:r>
      <w:r>
        <w:t>-injection</w:t>
      </w:r>
      <w:r w:rsidRPr="00306E38">
        <w:t xml:space="preserve"> nerve block: MBS item</w:t>
      </w:r>
      <w:r>
        <w:t xml:space="preserve"> 22041</w:t>
      </w:r>
    </w:p>
    <w:tbl>
      <w:tblPr>
        <w:tblStyle w:val="TableGrid"/>
        <w:tblW w:w="5000" w:type="pct"/>
        <w:tblLook w:val="04A0" w:firstRow="1" w:lastRow="0" w:firstColumn="1" w:lastColumn="0" w:noHBand="0" w:noVBand="1"/>
        <w:tblCaption w:val="Proposed item descriptor for diagnostic testing"/>
        <w:tblDescription w:val="Proposed item descriptor for diagnostic testing"/>
      </w:tblPr>
      <w:tblGrid>
        <w:gridCol w:w="9016"/>
      </w:tblGrid>
      <w:tr w:rsidR="005D5985" w:rsidRPr="00306E38" w14:paraId="65221E34" w14:textId="77777777">
        <w:trPr>
          <w:cantSplit/>
          <w:trHeight w:val="350"/>
          <w:tblHeader/>
        </w:trPr>
        <w:tc>
          <w:tcPr>
            <w:tcW w:w="5000" w:type="pct"/>
          </w:tcPr>
          <w:p w14:paraId="7B0A7AF2" w14:textId="77777777" w:rsidR="005D5985" w:rsidRPr="00306E38" w:rsidRDefault="005D5985">
            <w:pPr>
              <w:pStyle w:val="TableText"/>
              <w:rPr>
                <w:szCs w:val="20"/>
              </w:rPr>
            </w:pPr>
            <w:r w:rsidRPr="00306E38">
              <w:t xml:space="preserve">Category 3 – </w:t>
            </w:r>
            <w:r w:rsidRPr="00306E38">
              <w:rPr>
                <w:szCs w:val="20"/>
              </w:rPr>
              <w:t>THERAPEUTIC PROCEDURES</w:t>
            </w:r>
          </w:p>
          <w:p w14:paraId="5C1B8029" w14:textId="77777777" w:rsidR="005D5985" w:rsidRPr="00306E38" w:rsidRDefault="005D5985">
            <w:pPr>
              <w:spacing w:before="40" w:after="40"/>
              <w:rPr>
                <w:rFonts w:ascii="Arial Narrow" w:hAnsi="Arial Narrow"/>
                <w:sz w:val="20"/>
                <w:szCs w:val="20"/>
              </w:rPr>
            </w:pPr>
            <w:r w:rsidRPr="00306E38">
              <w:rPr>
                <w:rFonts w:ascii="Arial Narrow" w:hAnsi="Arial Narrow"/>
                <w:sz w:val="20"/>
                <w:szCs w:val="20"/>
              </w:rPr>
              <w:t xml:space="preserve">GroupT10 </w:t>
            </w:r>
            <w:r>
              <w:rPr>
                <w:rFonts w:ascii="Arial Narrow" w:hAnsi="Arial Narrow"/>
                <w:sz w:val="20"/>
                <w:szCs w:val="20"/>
              </w:rPr>
              <w:t>–</w:t>
            </w:r>
            <w:r w:rsidRPr="00306E38">
              <w:rPr>
                <w:rFonts w:ascii="Arial Narrow" w:hAnsi="Arial Narrow"/>
                <w:sz w:val="20"/>
                <w:szCs w:val="20"/>
              </w:rPr>
              <w:t xml:space="preserve"> Relative Value Guide For Anaesthesia </w:t>
            </w:r>
            <w:r>
              <w:rPr>
                <w:rFonts w:ascii="Arial Narrow" w:hAnsi="Arial Narrow"/>
                <w:sz w:val="20"/>
                <w:szCs w:val="20"/>
              </w:rPr>
              <w:t>–</w:t>
            </w:r>
            <w:r w:rsidRPr="00306E38">
              <w:rPr>
                <w:rFonts w:ascii="Arial Narrow" w:hAnsi="Arial Narrow"/>
                <w:sz w:val="20"/>
                <w:szCs w:val="20"/>
              </w:rPr>
              <w:t xml:space="preserve"> Medicare Benefits Are Only Payable For Anaesthesia Performed In Association With An Eligible Service</w:t>
            </w:r>
          </w:p>
          <w:p w14:paraId="2610949D" w14:textId="77777777" w:rsidR="005D5985" w:rsidRPr="00306E38" w:rsidRDefault="005D5985">
            <w:pPr>
              <w:pStyle w:val="TableText"/>
            </w:pPr>
            <w:r w:rsidRPr="00306E38">
              <w:rPr>
                <w:szCs w:val="20"/>
              </w:rPr>
              <w:t xml:space="preserve">Subgroup19 </w:t>
            </w:r>
            <w:r>
              <w:rPr>
                <w:szCs w:val="20"/>
              </w:rPr>
              <w:t>–</w:t>
            </w:r>
            <w:r w:rsidRPr="00306E38">
              <w:rPr>
                <w:szCs w:val="20"/>
              </w:rPr>
              <w:t xml:space="preserve"> Therapeutic And Diagnostic Services</w:t>
            </w:r>
          </w:p>
        </w:tc>
      </w:tr>
      <w:tr w:rsidR="005D5985" w:rsidRPr="00306E38" w14:paraId="2C1FA9CF" w14:textId="77777777">
        <w:trPr>
          <w:cantSplit/>
          <w:tblHeader/>
        </w:trPr>
        <w:tc>
          <w:tcPr>
            <w:tcW w:w="5000" w:type="pct"/>
          </w:tcPr>
          <w:p w14:paraId="68EDA28E" w14:textId="77777777" w:rsidR="005D5985" w:rsidRPr="00306E38" w:rsidRDefault="005D5985">
            <w:pPr>
              <w:spacing w:after="120"/>
              <w:rPr>
                <w:szCs w:val="20"/>
                <w:lang w:val="en-US" w:eastAsia="ja-JP"/>
              </w:rPr>
            </w:pPr>
            <w:r w:rsidRPr="00306E38">
              <w:rPr>
                <w:rFonts w:ascii="Arial Narrow" w:hAnsi="Arial Narrow"/>
                <w:sz w:val="20"/>
                <w:szCs w:val="20"/>
                <w:lang w:val="en-US" w:eastAsia="ja-JP"/>
              </w:rPr>
              <w:t>MBS item 22041</w:t>
            </w:r>
          </w:p>
          <w:p w14:paraId="7F82107A" w14:textId="77777777" w:rsidR="005D5985" w:rsidRPr="00306E38" w:rsidRDefault="005D5985">
            <w:pPr>
              <w:spacing w:after="160" w:line="259" w:lineRule="auto"/>
              <w:rPr>
                <w:rFonts w:ascii="Arial Narrow" w:hAnsi="Arial Narrow"/>
                <w:sz w:val="20"/>
                <w:szCs w:val="20"/>
              </w:rPr>
            </w:pPr>
            <w:r w:rsidRPr="00306E38">
              <w:rPr>
                <w:rFonts w:ascii="Arial Narrow" w:hAnsi="Arial Narrow"/>
                <w:sz w:val="20"/>
                <w:szCs w:val="20"/>
              </w:rPr>
              <w:t xml:space="preserve">Perioperative introduction of a plexus or nerve block proximal to the lower leg or forearm for post operative pain management (2 basic units). </w:t>
            </w:r>
          </w:p>
          <w:p w14:paraId="3BBF11EE" w14:textId="77777777" w:rsidR="005D5985" w:rsidRPr="00306E38" w:rsidRDefault="005D5985">
            <w:pPr>
              <w:spacing w:after="120"/>
              <w:rPr>
                <w:rFonts w:ascii="Arial Narrow" w:hAnsi="Arial Narrow"/>
                <w:sz w:val="20"/>
                <w:szCs w:val="20"/>
              </w:rPr>
            </w:pPr>
            <w:r w:rsidRPr="00306E38">
              <w:rPr>
                <w:rFonts w:ascii="Arial Narrow" w:hAnsi="Arial Narrow"/>
                <w:sz w:val="20"/>
                <w:szCs w:val="20"/>
              </w:rPr>
              <w:t xml:space="preserve">(See para TN.10.17 of explanatory </w:t>
            </w:r>
            <w:r w:rsidRPr="00306E38">
              <w:rPr>
                <w:rFonts w:ascii="Arial Narrow" w:hAnsi="Arial Narrow"/>
                <w:b/>
                <w:bCs/>
                <w:sz w:val="20"/>
                <w:szCs w:val="20"/>
              </w:rPr>
              <w:t>note</w:t>
            </w:r>
            <w:r w:rsidRPr="00306E38">
              <w:rPr>
                <w:rFonts w:ascii="Arial Narrow" w:hAnsi="Arial Narrow"/>
                <w:sz w:val="20"/>
                <w:szCs w:val="20"/>
              </w:rPr>
              <w:t>s to this Category)</w:t>
            </w:r>
          </w:p>
        </w:tc>
      </w:tr>
      <w:tr w:rsidR="005D5985" w:rsidRPr="00306E38" w14:paraId="168E3E44" w14:textId="77777777">
        <w:trPr>
          <w:cantSplit/>
          <w:trHeight w:val="223"/>
          <w:tblHeader/>
        </w:trPr>
        <w:tc>
          <w:tcPr>
            <w:tcW w:w="5000" w:type="pct"/>
          </w:tcPr>
          <w:p w14:paraId="55C23593" w14:textId="77777777" w:rsidR="005D5985" w:rsidRPr="00306E38" w:rsidRDefault="005D5985">
            <w:pPr>
              <w:pStyle w:val="TableText"/>
            </w:pPr>
            <w:r w:rsidRPr="0D4DA44A">
              <w:rPr>
                <w:b/>
              </w:rPr>
              <w:t>Fee:</w:t>
            </w:r>
            <w:r>
              <w:t xml:space="preserve"> $43.60   </w:t>
            </w:r>
            <w:r w:rsidRPr="0D4DA44A">
              <w:rPr>
                <w:b/>
              </w:rPr>
              <w:t>Benefit:</w:t>
            </w:r>
            <w:r>
              <w:t xml:space="preserve">  75% = $32.70   85% = $37.10</w:t>
            </w:r>
          </w:p>
        </w:tc>
      </w:tr>
    </w:tbl>
    <w:p w14:paraId="3745E81F" w14:textId="5DCCDB96" w:rsidR="00EE61CE" w:rsidRDefault="005D5985" w:rsidP="005D5985">
      <w:pPr>
        <w:pStyle w:val="Tablenotes0"/>
        <w:spacing w:before="0"/>
      </w:pPr>
      <w:r w:rsidRPr="00306E38">
        <w:rPr>
          <w:b/>
        </w:rPr>
        <w:t>Note</w:t>
      </w:r>
      <w:r w:rsidRPr="00306E38">
        <w:t>: listed since 1 November 2019. 75% benefit is payable for treatment of hospital inpatients; 85% to all other services</w:t>
      </w:r>
    </w:p>
    <w:p w14:paraId="6734FFF3" w14:textId="5DD63FDD" w:rsidR="00BC16E9" w:rsidRDefault="00BC16E9" w:rsidP="005D5985">
      <w:pPr>
        <w:pStyle w:val="Tablenotes0"/>
        <w:spacing w:before="0"/>
      </w:pPr>
      <w:r>
        <w:t>Source: DCAR Table 5</w:t>
      </w:r>
    </w:p>
    <w:p w14:paraId="1F019210" w14:textId="77777777" w:rsidR="00EE61CE" w:rsidRDefault="00EE61CE" w:rsidP="00EE61CE">
      <w:pPr>
        <w:pStyle w:val="Heading2"/>
        <w:numPr>
          <w:ilvl w:val="0"/>
          <w:numId w:val="0"/>
        </w:numPr>
      </w:pPr>
      <w:r>
        <w:t>9.</w:t>
      </w:r>
      <w:r>
        <w:tab/>
      </w:r>
      <w:r w:rsidRPr="00CE28E3">
        <w:t xml:space="preserve">Summary of public consultation </w:t>
      </w:r>
      <w:r>
        <w:t>input</w:t>
      </w:r>
    </w:p>
    <w:p w14:paraId="08D65A72" w14:textId="77777777" w:rsidR="00EE61CE" w:rsidRPr="00DA18D9" w:rsidRDefault="00EE61CE" w:rsidP="00EE61CE">
      <w:pPr>
        <w:pStyle w:val="paragraph"/>
        <w:spacing w:before="0" w:beforeAutospacing="0" w:after="0" w:afterAutospacing="0"/>
        <w:textAlignment w:val="baseline"/>
        <w:rPr>
          <w:rFonts w:ascii="Franklin Gothic Book" w:hAnsi="Franklin Gothic Book" w:cs="Segoe UI"/>
          <w:sz w:val="18"/>
          <w:szCs w:val="18"/>
        </w:rPr>
      </w:pPr>
      <w:r w:rsidRPr="00DA18D9">
        <w:rPr>
          <w:rStyle w:val="normaltextrun"/>
          <w:rFonts w:ascii="Franklin Gothic Book" w:hAnsi="Franklin Gothic Book" w:cs="Calibri"/>
          <w:sz w:val="22"/>
          <w:szCs w:val="22"/>
        </w:rPr>
        <w:t>Consultation input was welcomed from two (2) professional organisations, Sunshine Coast Health and Hospital Services (SCHHS) and Private Healthcare Australia, and six (6) individuals, all of whom were medical specialists. </w:t>
      </w:r>
      <w:r w:rsidRPr="00DA18D9">
        <w:rPr>
          <w:rStyle w:val="eop"/>
          <w:rFonts w:ascii="Franklin Gothic Book" w:eastAsiaTheme="majorEastAsia" w:hAnsi="Franklin Gothic Book" w:cs="Calibri"/>
          <w:sz w:val="22"/>
          <w:szCs w:val="22"/>
        </w:rPr>
        <w:t> </w:t>
      </w:r>
    </w:p>
    <w:p w14:paraId="22588CF3" w14:textId="77777777" w:rsidR="00EE61CE" w:rsidRPr="00DA18D9" w:rsidRDefault="00EE61CE" w:rsidP="00EE61CE">
      <w:pPr>
        <w:pStyle w:val="paragraph"/>
        <w:spacing w:before="240" w:beforeAutospacing="0" w:after="0" w:afterAutospacing="0"/>
        <w:textAlignment w:val="baseline"/>
        <w:rPr>
          <w:rFonts w:ascii="Franklin Gothic Book" w:hAnsi="Franklin Gothic Book" w:cs="Segoe UI"/>
          <w:sz w:val="18"/>
          <w:szCs w:val="18"/>
        </w:rPr>
      </w:pPr>
      <w:r w:rsidRPr="00DA18D9">
        <w:rPr>
          <w:rStyle w:val="normaltextrun"/>
          <w:rFonts w:ascii="Franklin Gothic Book" w:hAnsi="Franklin Gothic Book" w:cs="Calibri"/>
          <w:sz w:val="22"/>
          <w:szCs w:val="22"/>
        </w:rPr>
        <w:t>The consultation feedback received was largely supportive of public funding for continuous nerve blockade using a catheter technique. </w:t>
      </w:r>
      <w:r w:rsidRPr="00DA18D9">
        <w:rPr>
          <w:rStyle w:val="eop"/>
          <w:rFonts w:ascii="Franklin Gothic Book" w:eastAsiaTheme="majorEastAsia" w:hAnsi="Franklin Gothic Book" w:cs="Calibri"/>
          <w:sz w:val="22"/>
          <w:szCs w:val="22"/>
        </w:rPr>
        <w:t> </w:t>
      </w:r>
    </w:p>
    <w:p w14:paraId="3A240F55" w14:textId="77777777" w:rsidR="00EE61CE" w:rsidRPr="00DA18D9" w:rsidRDefault="00EE61CE" w:rsidP="00EE61CE">
      <w:pPr>
        <w:pStyle w:val="paragraph"/>
        <w:spacing w:before="240" w:beforeAutospacing="0" w:after="0" w:afterAutospacing="0"/>
        <w:textAlignment w:val="baseline"/>
        <w:rPr>
          <w:rFonts w:ascii="Franklin Gothic Book" w:hAnsi="Franklin Gothic Book" w:cs="Segoe UI"/>
          <w:sz w:val="18"/>
          <w:szCs w:val="18"/>
        </w:rPr>
      </w:pPr>
      <w:r w:rsidRPr="00DA18D9">
        <w:rPr>
          <w:rStyle w:val="normaltextrun"/>
          <w:rFonts w:ascii="Franklin Gothic Book" w:hAnsi="Franklin Gothic Book" w:cs="Calibri"/>
          <w:b/>
          <w:bCs/>
          <w:sz w:val="22"/>
          <w:szCs w:val="22"/>
        </w:rPr>
        <w:t>Benefits: </w:t>
      </w:r>
      <w:r w:rsidRPr="00DA18D9">
        <w:rPr>
          <w:rStyle w:val="eop"/>
          <w:rFonts w:ascii="Franklin Gothic Book" w:eastAsiaTheme="majorEastAsia" w:hAnsi="Franklin Gothic Book" w:cs="Calibri"/>
          <w:sz w:val="22"/>
          <w:szCs w:val="22"/>
        </w:rPr>
        <w:t> </w:t>
      </w:r>
    </w:p>
    <w:p w14:paraId="146D0D8B" w14:textId="77777777" w:rsidR="00EE61CE" w:rsidRPr="00DA18D9" w:rsidRDefault="00EE61CE" w:rsidP="00EE61CE">
      <w:pPr>
        <w:pStyle w:val="paragraph"/>
        <w:numPr>
          <w:ilvl w:val="0"/>
          <w:numId w:val="37"/>
        </w:numPr>
        <w:spacing w:before="0" w:beforeAutospacing="0" w:after="0" w:afterAutospacing="0"/>
        <w:textAlignment w:val="baseline"/>
        <w:rPr>
          <w:rFonts w:ascii="Franklin Gothic Book" w:hAnsi="Franklin Gothic Book" w:cs="Calibri"/>
          <w:sz w:val="22"/>
          <w:szCs w:val="22"/>
        </w:rPr>
      </w:pPr>
      <w:r w:rsidRPr="00DA18D9">
        <w:rPr>
          <w:rStyle w:val="normaltextrun"/>
          <w:rFonts w:ascii="Franklin Gothic Book" w:hAnsi="Franklin Gothic Book" w:cs="Calibri"/>
          <w:sz w:val="22"/>
          <w:szCs w:val="22"/>
        </w:rPr>
        <w:t>Superior, ongoing and consistent analgesia for patients</w:t>
      </w:r>
      <w:r w:rsidRPr="00DA18D9">
        <w:rPr>
          <w:rStyle w:val="eop"/>
          <w:rFonts w:ascii="Franklin Gothic Book" w:eastAsiaTheme="majorEastAsia" w:hAnsi="Franklin Gothic Book" w:cs="Calibri"/>
          <w:sz w:val="22"/>
          <w:szCs w:val="22"/>
        </w:rPr>
        <w:t> </w:t>
      </w:r>
    </w:p>
    <w:p w14:paraId="36AD42EC" w14:textId="77777777" w:rsidR="00EE61CE" w:rsidRPr="00DA18D9" w:rsidRDefault="00EE61CE" w:rsidP="00EE61CE">
      <w:pPr>
        <w:pStyle w:val="paragraph"/>
        <w:numPr>
          <w:ilvl w:val="0"/>
          <w:numId w:val="37"/>
        </w:numPr>
        <w:spacing w:before="0" w:beforeAutospacing="0" w:after="0" w:afterAutospacing="0"/>
        <w:textAlignment w:val="baseline"/>
        <w:rPr>
          <w:rFonts w:ascii="Franklin Gothic Book" w:hAnsi="Franklin Gothic Book" w:cs="Calibri"/>
          <w:sz w:val="22"/>
          <w:szCs w:val="22"/>
        </w:rPr>
      </w:pPr>
      <w:r w:rsidRPr="00DA18D9">
        <w:rPr>
          <w:rStyle w:val="normaltextrun"/>
          <w:rFonts w:ascii="Franklin Gothic Book" w:hAnsi="Franklin Gothic Book" w:cs="Calibri"/>
          <w:sz w:val="22"/>
          <w:szCs w:val="22"/>
        </w:rPr>
        <w:t>Reduced opioid use</w:t>
      </w:r>
      <w:r w:rsidRPr="00DA18D9">
        <w:rPr>
          <w:rStyle w:val="eop"/>
          <w:rFonts w:ascii="Franklin Gothic Book" w:eastAsiaTheme="majorEastAsia" w:hAnsi="Franklin Gothic Book" w:cs="Calibri"/>
          <w:sz w:val="22"/>
          <w:szCs w:val="22"/>
        </w:rPr>
        <w:t> </w:t>
      </w:r>
    </w:p>
    <w:p w14:paraId="2FED1EC5" w14:textId="77777777" w:rsidR="00EE61CE" w:rsidRPr="00DA18D9" w:rsidRDefault="00EE61CE" w:rsidP="00EE61CE">
      <w:pPr>
        <w:pStyle w:val="paragraph"/>
        <w:numPr>
          <w:ilvl w:val="0"/>
          <w:numId w:val="37"/>
        </w:numPr>
        <w:spacing w:before="0" w:beforeAutospacing="0" w:after="0" w:afterAutospacing="0"/>
        <w:textAlignment w:val="baseline"/>
        <w:rPr>
          <w:rFonts w:ascii="Franklin Gothic Book" w:hAnsi="Franklin Gothic Book" w:cs="Calibri"/>
          <w:sz w:val="22"/>
          <w:szCs w:val="22"/>
        </w:rPr>
      </w:pPr>
      <w:r w:rsidRPr="00DA18D9">
        <w:rPr>
          <w:rStyle w:val="normaltextrun"/>
          <w:rFonts w:ascii="Franklin Gothic Book" w:hAnsi="Franklin Gothic Book" w:cs="Calibri"/>
          <w:sz w:val="22"/>
          <w:szCs w:val="22"/>
        </w:rPr>
        <w:t>Equity of access to the benefits of the intervention</w:t>
      </w:r>
      <w:r w:rsidRPr="00DA18D9">
        <w:rPr>
          <w:rStyle w:val="eop"/>
          <w:rFonts w:ascii="Franklin Gothic Book" w:eastAsiaTheme="majorEastAsia" w:hAnsi="Franklin Gothic Book" w:cs="Calibri"/>
          <w:sz w:val="22"/>
          <w:szCs w:val="22"/>
        </w:rPr>
        <w:t> </w:t>
      </w:r>
    </w:p>
    <w:p w14:paraId="36C22689" w14:textId="77777777" w:rsidR="00EE61CE" w:rsidRPr="00DA18D9" w:rsidRDefault="00EE61CE" w:rsidP="00EE61CE">
      <w:pPr>
        <w:pStyle w:val="paragraph"/>
        <w:numPr>
          <w:ilvl w:val="0"/>
          <w:numId w:val="37"/>
        </w:numPr>
        <w:spacing w:before="0" w:beforeAutospacing="0" w:after="0" w:afterAutospacing="0"/>
        <w:textAlignment w:val="baseline"/>
        <w:rPr>
          <w:rFonts w:ascii="Franklin Gothic Book" w:hAnsi="Franklin Gothic Book" w:cs="Calibri"/>
          <w:sz w:val="22"/>
          <w:szCs w:val="22"/>
        </w:rPr>
      </w:pPr>
      <w:r w:rsidRPr="00DA18D9">
        <w:rPr>
          <w:rStyle w:val="normaltextrun"/>
          <w:rFonts w:ascii="Franklin Gothic Book" w:hAnsi="Franklin Gothic Book" w:cs="Calibri"/>
          <w:sz w:val="22"/>
          <w:szCs w:val="22"/>
        </w:rPr>
        <w:t>Avoidance of motor and excessive blockade compared to regional analgesia</w:t>
      </w:r>
      <w:r w:rsidRPr="00DA18D9">
        <w:rPr>
          <w:rStyle w:val="eop"/>
          <w:rFonts w:ascii="Franklin Gothic Book" w:eastAsiaTheme="majorEastAsia" w:hAnsi="Franklin Gothic Book" w:cs="Calibri"/>
          <w:sz w:val="22"/>
          <w:szCs w:val="22"/>
        </w:rPr>
        <w:t> </w:t>
      </w:r>
    </w:p>
    <w:p w14:paraId="514D2DBC" w14:textId="77777777" w:rsidR="00EE61CE" w:rsidRPr="00DA18D9" w:rsidRDefault="00EE61CE" w:rsidP="00EE61CE">
      <w:pPr>
        <w:pStyle w:val="paragraph"/>
        <w:numPr>
          <w:ilvl w:val="0"/>
          <w:numId w:val="37"/>
        </w:numPr>
        <w:spacing w:before="0" w:beforeAutospacing="0" w:after="0" w:afterAutospacing="0"/>
        <w:textAlignment w:val="baseline"/>
        <w:rPr>
          <w:rFonts w:ascii="Franklin Gothic Book" w:hAnsi="Franklin Gothic Book" w:cs="Calibri"/>
          <w:sz w:val="22"/>
          <w:szCs w:val="22"/>
        </w:rPr>
      </w:pPr>
      <w:r w:rsidRPr="00DA18D9">
        <w:rPr>
          <w:rStyle w:val="normaltextrun"/>
          <w:rFonts w:ascii="Franklin Gothic Book" w:hAnsi="Franklin Gothic Book" w:cs="Calibri"/>
          <w:sz w:val="22"/>
          <w:szCs w:val="22"/>
        </w:rPr>
        <w:t>Enhanced recovery and early mobilisation of patients</w:t>
      </w:r>
      <w:r w:rsidRPr="00DA18D9">
        <w:rPr>
          <w:rStyle w:val="eop"/>
          <w:rFonts w:ascii="Franklin Gothic Book" w:eastAsiaTheme="majorEastAsia" w:hAnsi="Franklin Gothic Book" w:cs="Calibri"/>
          <w:sz w:val="22"/>
          <w:szCs w:val="22"/>
        </w:rPr>
        <w:t> </w:t>
      </w:r>
    </w:p>
    <w:p w14:paraId="18E06894" w14:textId="77777777" w:rsidR="00EE61CE" w:rsidRPr="00DA18D9" w:rsidRDefault="00EE61CE" w:rsidP="00EE61CE">
      <w:pPr>
        <w:pStyle w:val="paragraph"/>
        <w:numPr>
          <w:ilvl w:val="0"/>
          <w:numId w:val="37"/>
        </w:numPr>
        <w:spacing w:before="0" w:beforeAutospacing="0" w:after="0" w:afterAutospacing="0"/>
        <w:textAlignment w:val="baseline"/>
        <w:rPr>
          <w:rFonts w:ascii="Franklin Gothic Book" w:hAnsi="Franklin Gothic Book" w:cs="Calibri"/>
          <w:sz w:val="22"/>
          <w:szCs w:val="22"/>
        </w:rPr>
      </w:pPr>
      <w:r w:rsidRPr="00DA18D9">
        <w:rPr>
          <w:rStyle w:val="normaltextrun"/>
          <w:rFonts w:ascii="Franklin Gothic Book" w:hAnsi="Franklin Gothic Book" w:cs="Calibri"/>
          <w:sz w:val="22"/>
          <w:szCs w:val="22"/>
        </w:rPr>
        <w:t>Reduced length of stay in hospital</w:t>
      </w:r>
      <w:r w:rsidRPr="00DA18D9">
        <w:rPr>
          <w:rStyle w:val="eop"/>
          <w:rFonts w:ascii="Franklin Gothic Book" w:eastAsiaTheme="majorEastAsia" w:hAnsi="Franklin Gothic Book" w:cs="Calibri"/>
          <w:sz w:val="22"/>
          <w:szCs w:val="22"/>
        </w:rPr>
        <w:t> </w:t>
      </w:r>
    </w:p>
    <w:p w14:paraId="7418C317" w14:textId="77777777" w:rsidR="00EE61CE" w:rsidRPr="00DA18D9" w:rsidRDefault="00EE61CE" w:rsidP="00EE61CE">
      <w:pPr>
        <w:pStyle w:val="paragraph"/>
        <w:numPr>
          <w:ilvl w:val="0"/>
          <w:numId w:val="37"/>
        </w:numPr>
        <w:spacing w:before="0" w:beforeAutospacing="0" w:after="0" w:afterAutospacing="0"/>
        <w:textAlignment w:val="baseline"/>
        <w:rPr>
          <w:rFonts w:ascii="Franklin Gothic Book" w:hAnsi="Franklin Gothic Book" w:cs="Calibri"/>
          <w:sz w:val="22"/>
          <w:szCs w:val="22"/>
        </w:rPr>
      </w:pPr>
      <w:r w:rsidRPr="00DA18D9">
        <w:rPr>
          <w:rStyle w:val="normaltextrun"/>
          <w:rFonts w:ascii="Franklin Gothic Book" w:hAnsi="Franklin Gothic Book" w:cs="Calibri"/>
          <w:sz w:val="22"/>
          <w:szCs w:val="22"/>
        </w:rPr>
        <w:t>Reduced chronic pain and phantom pain development</w:t>
      </w:r>
      <w:r w:rsidRPr="00DA18D9">
        <w:rPr>
          <w:rStyle w:val="eop"/>
          <w:rFonts w:ascii="Franklin Gothic Book" w:eastAsiaTheme="majorEastAsia" w:hAnsi="Franklin Gothic Book" w:cs="Calibri"/>
          <w:sz w:val="22"/>
          <w:szCs w:val="22"/>
        </w:rPr>
        <w:t> </w:t>
      </w:r>
    </w:p>
    <w:p w14:paraId="75013493" w14:textId="77777777" w:rsidR="00EE61CE" w:rsidRPr="00DA18D9" w:rsidRDefault="00EE61CE" w:rsidP="00EE61CE">
      <w:pPr>
        <w:pStyle w:val="paragraph"/>
        <w:numPr>
          <w:ilvl w:val="0"/>
          <w:numId w:val="37"/>
        </w:numPr>
        <w:spacing w:before="0" w:beforeAutospacing="0" w:after="0" w:afterAutospacing="0"/>
        <w:textAlignment w:val="baseline"/>
        <w:rPr>
          <w:rFonts w:ascii="Franklin Gothic Book" w:hAnsi="Franklin Gothic Book" w:cs="Calibri"/>
          <w:sz w:val="22"/>
          <w:szCs w:val="22"/>
        </w:rPr>
      </w:pPr>
      <w:r w:rsidRPr="00DA18D9">
        <w:rPr>
          <w:rStyle w:val="normaltextrun"/>
          <w:rFonts w:ascii="Franklin Gothic Book" w:hAnsi="Franklin Gothic Book" w:cs="Calibri"/>
          <w:sz w:val="22"/>
          <w:szCs w:val="22"/>
        </w:rPr>
        <w:t>Reduced post-traumatic stress disorder (PTSD) from trauma</w:t>
      </w:r>
      <w:r w:rsidRPr="00DA18D9">
        <w:rPr>
          <w:rStyle w:val="eop"/>
          <w:rFonts w:ascii="Franklin Gothic Book" w:eastAsiaTheme="majorEastAsia" w:hAnsi="Franklin Gothic Book" w:cs="Calibri"/>
          <w:sz w:val="22"/>
          <w:szCs w:val="22"/>
        </w:rPr>
        <w:t> </w:t>
      </w:r>
    </w:p>
    <w:p w14:paraId="4A4AE8E8" w14:textId="77777777" w:rsidR="00EE61CE" w:rsidRPr="00DA18D9" w:rsidRDefault="00EE61CE" w:rsidP="00EE61CE">
      <w:pPr>
        <w:pStyle w:val="paragraph"/>
        <w:spacing w:before="240" w:beforeAutospacing="0" w:after="0" w:afterAutospacing="0"/>
        <w:textAlignment w:val="baseline"/>
        <w:rPr>
          <w:rFonts w:ascii="Franklin Gothic Book" w:hAnsi="Franklin Gothic Book" w:cs="Segoe UI"/>
          <w:sz w:val="18"/>
          <w:szCs w:val="18"/>
        </w:rPr>
      </w:pPr>
      <w:r w:rsidRPr="00DA18D9">
        <w:rPr>
          <w:rStyle w:val="normaltextrun"/>
          <w:rFonts w:ascii="Franklin Gothic Book" w:hAnsi="Franklin Gothic Book" w:cs="Calibri"/>
          <w:b/>
          <w:bCs/>
          <w:sz w:val="22"/>
          <w:szCs w:val="22"/>
        </w:rPr>
        <w:t>Disadvantages </w:t>
      </w:r>
      <w:r w:rsidRPr="00DA18D9">
        <w:rPr>
          <w:rStyle w:val="eop"/>
          <w:rFonts w:ascii="Franklin Gothic Book" w:eastAsiaTheme="majorEastAsia" w:hAnsi="Franklin Gothic Book" w:cs="Calibri"/>
          <w:sz w:val="22"/>
          <w:szCs w:val="22"/>
        </w:rPr>
        <w:t> </w:t>
      </w:r>
    </w:p>
    <w:p w14:paraId="36D5EFB6" w14:textId="77777777" w:rsidR="00EE61CE" w:rsidRPr="00DA18D9" w:rsidRDefault="00EE61CE" w:rsidP="00EE61CE">
      <w:pPr>
        <w:pStyle w:val="paragraph"/>
        <w:numPr>
          <w:ilvl w:val="0"/>
          <w:numId w:val="38"/>
        </w:numPr>
        <w:spacing w:before="0" w:beforeAutospacing="0" w:after="0" w:afterAutospacing="0"/>
        <w:textAlignment w:val="baseline"/>
        <w:rPr>
          <w:rFonts w:ascii="Franklin Gothic Book" w:hAnsi="Franklin Gothic Book" w:cs="Calibri"/>
          <w:sz w:val="22"/>
          <w:szCs w:val="22"/>
        </w:rPr>
      </w:pPr>
      <w:r w:rsidRPr="00DA18D9">
        <w:rPr>
          <w:rStyle w:val="normaltextrun"/>
          <w:rFonts w:ascii="Franklin Gothic Book" w:hAnsi="Franklin Gothic Book" w:cs="Calibri"/>
          <w:sz w:val="22"/>
          <w:szCs w:val="22"/>
        </w:rPr>
        <w:t>Additional staff training requirements </w:t>
      </w:r>
      <w:r w:rsidRPr="00DA18D9">
        <w:rPr>
          <w:rStyle w:val="eop"/>
          <w:rFonts w:ascii="Franklin Gothic Book" w:eastAsiaTheme="majorEastAsia" w:hAnsi="Franklin Gothic Book" w:cs="Calibri"/>
          <w:sz w:val="22"/>
          <w:szCs w:val="22"/>
        </w:rPr>
        <w:t> </w:t>
      </w:r>
    </w:p>
    <w:p w14:paraId="4859F461" w14:textId="77777777" w:rsidR="00EE61CE" w:rsidRPr="00DA18D9" w:rsidRDefault="00EE61CE" w:rsidP="00EE61CE">
      <w:pPr>
        <w:pStyle w:val="paragraph"/>
        <w:numPr>
          <w:ilvl w:val="0"/>
          <w:numId w:val="38"/>
        </w:numPr>
        <w:spacing w:before="0" w:beforeAutospacing="0" w:after="0" w:afterAutospacing="0"/>
        <w:textAlignment w:val="baseline"/>
        <w:rPr>
          <w:rFonts w:ascii="Franklin Gothic Book" w:hAnsi="Franklin Gothic Book" w:cs="Calibri"/>
          <w:sz w:val="22"/>
          <w:szCs w:val="22"/>
        </w:rPr>
      </w:pPr>
      <w:r w:rsidRPr="00DA18D9">
        <w:rPr>
          <w:rStyle w:val="normaltextrun"/>
          <w:rFonts w:ascii="Franklin Gothic Book" w:hAnsi="Franklin Gothic Book" w:cs="Calibri"/>
          <w:sz w:val="22"/>
          <w:szCs w:val="22"/>
        </w:rPr>
        <w:t>Changes to service delivery in hospitals unfamiliar with the service</w:t>
      </w:r>
      <w:r w:rsidRPr="00DA18D9">
        <w:rPr>
          <w:rStyle w:val="eop"/>
          <w:rFonts w:ascii="Franklin Gothic Book" w:eastAsiaTheme="majorEastAsia" w:hAnsi="Franklin Gothic Book" w:cs="Calibri"/>
          <w:sz w:val="22"/>
          <w:szCs w:val="22"/>
        </w:rPr>
        <w:t> </w:t>
      </w:r>
    </w:p>
    <w:p w14:paraId="3E011038" w14:textId="77777777" w:rsidR="00EE61CE" w:rsidRPr="00DA18D9" w:rsidRDefault="00EE61CE" w:rsidP="00EE61CE">
      <w:pPr>
        <w:pStyle w:val="paragraph"/>
        <w:numPr>
          <w:ilvl w:val="0"/>
          <w:numId w:val="38"/>
        </w:numPr>
        <w:spacing w:before="0" w:beforeAutospacing="0" w:after="0" w:afterAutospacing="0"/>
        <w:textAlignment w:val="baseline"/>
        <w:rPr>
          <w:rFonts w:ascii="Franklin Gothic Book" w:hAnsi="Franklin Gothic Book" w:cs="Calibri"/>
          <w:sz w:val="22"/>
          <w:szCs w:val="22"/>
        </w:rPr>
      </w:pPr>
      <w:r w:rsidRPr="00DA18D9">
        <w:rPr>
          <w:rStyle w:val="normaltextrun"/>
          <w:rFonts w:ascii="Franklin Gothic Book" w:hAnsi="Franklin Gothic Book" w:cs="Calibri"/>
          <w:sz w:val="22"/>
          <w:szCs w:val="22"/>
        </w:rPr>
        <w:t>Potential for severe, uncontrolled pain should the system fail</w:t>
      </w:r>
      <w:r w:rsidRPr="00DA18D9">
        <w:rPr>
          <w:rStyle w:val="eop"/>
          <w:rFonts w:ascii="Franklin Gothic Book" w:eastAsiaTheme="majorEastAsia" w:hAnsi="Franklin Gothic Book" w:cs="Calibri"/>
          <w:sz w:val="22"/>
          <w:szCs w:val="22"/>
        </w:rPr>
        <w:t> </w:t>
      </w:r>
    </w:p>
    <w:p w14:paraId="49D80C29" w14:textId="77777777" w:rsidR="00EE61CE" w:rsidRPr="00DA18D9" w:rsidRDefault="00EE61CE" w:rsidP="00EE61CE">
      <w:pPr>
        <w:pStyle w:val="paragraph"/>
        <w:numPr>
          <w:ilvl w:val="0"/>
          <w:numId w:val="38"/>
        </w:numPr>
        <w:spacing w:before="0" w:beforeAutospacing="0" w:after="0" w:afterAutospacing="0"/>
        <w:textAlignment w:val="baseline"/>
        <w:rPr>
          <w:rFonts w:ascii="Franklin Gothic Book" w:hAnsi="Franklin Gothic Book" w:cs="Calibri"/>
          <w:sz w:val="22"/>
          <w:szCs w:val="22"/>
        </w:rPr>
      </w:pPr>
      <w:r w:rsidRPr="00DA18D9">
        <w:rPr>
          <w:rStyle w:val="normaltextrun"/>
          <w:rFonts w:ascii="Franklin Gothic Book" w:hAnsi="Franklin Gothic Book" w:cs="Calibri"/>
          <w:sz w:val="22"/>
          <w:szCs w:val="22"/>
        </w:rPr>
        <w:t>Increased risk of adverse events including haematoma at insertion site and intravascular infusion of local anaesthetic.</w:t>
      </w:r>
      <w:r w:rsidRPr="00DA18D9">
        <w:rPr>
          <w:rStyle w:val="eop"/>
          <w:rFonts w:ascii="Franklin Gothic Book" w:eastAsiaTheme="majorEastAsia" w:hAnsi="Franklin Gothic Book" w:cs="Calibri"/>
          <w:sz w:val="22"/>
          <w:szCs w:val="22"/>
        </w:rPr>
        <w:t> </w:t>
      </w:r>
    </w:p>
    <w:p w14:paraId="0057563E" w14:textId="77777777" w:rsidR="00EE61CE" w:rsidRPr="00DA18D9" w:rsidRDefault="00EE61CE" w:rsidP="00EE61CE">
      <w:pPr>
        <w:pStyle w:val="paragraph"/>
        <w:numPr>
          <w:ilvl w:val="0"/>
          <w:numId w:val="38"/>
        </w:numPr>
        <w:spacing w:before="0" w:beforeAutospacing="0" w:after="0" w:afterAutospacing="0"/>
        <w:textAlignment w:val="baseline"/>
        <w:rPr>
          <w:rFonts w:ascii="Franklin Gothic Book" w:hAnsi="Franklin Gothic Book" w:cs="Calibri"/>
          <w:sz w:val="22"/>
          <w:szCs w:val="22"/>
        </w:rPr>
      </w:pPr>
      <w:r w:rsidRPr="00DA18D9">
        <w:rPr>
          <w:rStyle w:val="normaltextrun"/>
          <w:rFonts w:ascii="Franklin Gothic Book" w:hAnsi="Franklin Gothic Book" w:cs="Calibri"/>
          <w:sz w:val="22"/>
          <w:szCs w:val="22"/>
        </w:rPr>
        <w:t>Increase in costs to the MBS and other payers </w:t>
      </w:r>
      <w:r w:rsidRPr="00DA18D9">
        <w:rPr>
          <w:rStyle w:val="eop"/>
          <w:rFonts w:ascii="Franklin Gothic Book" w:eastAsiaTheme="majorEastAsia" w:hAnsi="Franklin Gothic Book" w:cs="Calibri"/>
          <w:sz w:val="22"/>
          <w:szCs w:val="22"/>
        </w:rPr>
        <w:t> </w:t>
      </w:r>
    </w:p>
    <w:p w14:paraId="319437BB" w14:textId="77777777" w:rsidR="00EE61CE" w:rsidRPr="00DA18D9" w:rsidRDefault="00EE61CE" w:rsidP="00EE61CE">
      <w:pPr>
        <w:pStyle w:val="paragraph"/>
        <w:spacing w:before="240" w:beforeAutospacing="0" w:after="0" w:afterAutospacing="0"/>
        <w:textAlignment w:val="baseline"/>
        <w:rPr>
          <w:rFonts w:ascii="Franklin Gothic Book" w:hAnsi="Franklin Gothic Book" w:cs="Segoe UI"/>
          <w:sz w:val="18"/>
          <w:szCs w:val="18"/>
        </w:rPr>
      </w:pPr>
      <w:r w:rsidRPr="00DA18D9">
        <w:rPr>
          <w:rStyle w:val="normaltextrun"/>
          <w:rFonts w:ascii="Franklin Gothic Book" w:hAnsi="Franklin Gothic Book" w:cs="Calibri"/>
          <w:b/>
          <w:bCs/>
          <w:sz w:val="22"/>
          <w:szCs w:val="22"/>
        </w:rPr>
        <w:t>Other feedback </w:t>
      </w:r>
      <w:r w:rsidRPr="00DA18D9">
        <w:rPr>
          <w:rStyle w:val="eop"/>
          <w:rFonts w:ascii="Franklin Gothic Book" w:eastAsiaTheme="majorEastAsia" w:hAnsi="Franklin Gothic Book" w:cs="Calibri"/>
          <w:sz w:val="22"/>
          <w:szCs w:val="22"/>
        </w:rPr>
        <w:t> </w:t>
      </w:r>
    </w:p>
    <w:p w14:paraId="1E2AC50C" w14:textId="77777777" w:rsidR="00EE61CE" w:rsidRPr="00DA18D9" w:rsidRDefault="00EE61CE" w:rsidP="00EE61CE">
      <w:pPr>
        <w:pStyle w:val="paragraph"/>
        <w:spacing w:before="0" w:beforeAutospacing="0" w:after="0" w:afterAutospacing="0"/>
        <w:textAlignment w:val="baseline"/>
        <w:rPr>
          <w:rFonts w:ascii="Franklin Gothic Book" w:hAnsi="Franklin Gothic Book" w:cs="Segoe UI"/>
          <w:sz w:val="18"/>
          <w:szCs w:val="18"/>
        </w:rPr>
      </w:pPr>
      <w:r w:rsidRPr="00DA18D9">
        <w:rPr>
          <w:rStyle w:val="normaltextrun"/>
          <w:rFonts w:ascii="Franklin Gothic Book" w:hAnsi="Franklin Gothic Book" w:cs="Calibri"/>
          <w:sz w:val="22"/>
          <w:szCs w:val="22"/>
        </w:rPr>
        <w:t>The difference in techniques regarding continuous versus top up in catheters was raised, notably that there may be different follow up requirements for patients depending on the technique used, for example home based nurse visits versus electronic follow up by the same staff.</w:t>
      </w:r>
      <w:r w:rsidRPr="00DA18D9">
        <w:rPr>
          <w:rStyle w:val="eop"/>
          <w:rFonts w:ascii="Franklin Gothic Book" w:eastAsiaTheme="majorEastAsia" w:hAnsi="Franklin Gothic Book" w:cs="Calibri"/>
          <w:sz w:val="22"/>
          <w:szCs w:val="22"/>
        </w:rPr>
        <w:t> </w:t>
      </w:r>
    </w:p>
    <w:p w14:paraId="2390A0B2" w14:textId="48051A1B" w:rsidR="00EE61CE" w:rsidRPr="00EE61CE" w:rsidRDefault="00EE61CE" w:rsidP="00EE61CE">
      <w:pPr>
        <w:pStyle w:val="paragraph"/>
        <w:spacing w:before="240" w:beforeAutospacing="0" w:after="0" w:afterAutospacing="0"/>
        <w:textAlignment w:val="baseline"/>
        <w:rPr>
          <w:rFonts w:ascii="Segoe UI" w:hAnsi="Segoe UI" w:cs="Segoe UI"/>
          <w:sz w:val="18"/>
          <w:szCs w:val="18"/>
        </w:rPr>
      </w:pPr>
      <w:r w:rsidRPr="00DA18D9">
        <w:rPr>
          <w:rStyle w:val="normaltextrun"/>
          <w:rFonts w:ascii="Franklin Gothic Book" w:hAnsi="Franklin Gothic Book" w:cs="Calibri"/>
          <w:sz w:val="22"/>
          <w:szCs w:val="22"/>
        </w:rPr>
        <w:t>One respondent stated this technique is not a significant change from current practice, and inferred there is no notable benefit. </w:t>
      </w:r>
      <w:r w:rsidRPr="00DA18D9">
        <w:rPr>
          <w:rStyle w:val="eop"/>
          <w:rFonts w:ascii="Franklin Gothic Book" w:eastAsiaTheme="majorEastAsia" w:hAnsi="Franklin Gothic Book" w:cs="Calibri"/>
          <w:sz w:val="22"/>
          <w:szCs w:val="22"/>
        </w:rPr>
        <w:t> </w:t>
      </w:r>
    </w:p>
    <w:p w14:paraId="0CF9CEE9" w14:textId="73A1381A" w:rsidR="005D5985" w:rsidRPr="00306E38" w:rsidRDefault="00EE61CE" w:rsidP="005D5985">
      <w:pPr>
        <w:pStyle w:val="Heading2"/>
        <w:numPr>
          <w:ilvl w:val="0"/>
          <w:numId w:val="0"/>
        </w:numPr>
        <w:ind w:left="576" w:hanging="576"/>
      </w:pPr>
      <w:bookmarkStart w:id="23" w:name="_Toc150966055"/>
      <w:bookmarkStart w:id="24" w:name="_Toc153401631"/>
      <w:r>
        <w:lastRenderedPageBreak/>
        <w:t>10</w:t>
      </w:r>
      <w:r w:rsidR="005D5985" w:rsidRPr="00306E38">
        <w:t>.</w:t>
      </w:r>
      <w:r w:rsidR="005D5985" w:rsidRPr="00306E38">
        <w:tab/>
        <w:t>Characteristics of the evidence base</w:t>
      </w:r>
      <w:bookmarkEnd w:id="23"/>
      <w:bookmarkEnd w:id="24"/>
    </w:p>
    <w:p w14:paraId="66837BB0" w14:textId="77777777" w:rsidR="005D5985" w:rsidRPr="00E036FE" w:rsidRDefault="005D5985" w:rsidP="005D5985">
      <w:pPr>
        <w:rPr>
          <w:rFonts w:ascii="Franklin Gothic Book" w:hAnsi="Franklin Gothic Book"/>
        </w:rPr>
      </w:pPr>
      <w:r w:rsidRPr="00E036FE">
        <w:rPr>
          <w:rFonts w:ascii="Franklin Gothic Book" w:hAnsi="Franklin Gothic Book"/>
        </w:rPr>
        <w:t>A systematic search was conducted to address the following SR question: What is the safety, effectiveness and cost-effectiveness of continuous peripheral nerve block versus single-injection nerve block, neuraxial nerve block or systemic opioids in patients undergoing limb or trunk surgery associated with moderate to severe postoperative pain expected to last 12 hours or longer?</w:t>
      </w:r>
    </w:p>
    <w:p w14:paraId="5D2CEDDF" w14:textId="0CB37090" w:rsidR="005D5985" w:rsidRPr="00E036FE" w:rsidRDefault="005D5985" w:rsidP="005D5985">
      <w:pPr>
        <w:spacing w:line="257" w:lineRule="auto"/>
        <w:rPr>
          <w:rFonts w:ascii="Franklin Gothic Book" w:hAnsi="Franklin Gothic Book"/>
        </w:rPr>
      </w:pPr>
      <w:r w:rsidRPr="00E036FE">
        <w:rPr>
          <w:rFonts w:ascii="Franklin Gothic Book" w:hAnsi="Franklin Gothic Book"/>
        </w:rPr>
        <w:t>The medical literature was searched on 14</w:t>
      </w:r>
      <w:r w:rsidRPr="00E036FE" w:rsidDel="00AD5385">
        <w:rPr>
          <w:rFonts w:ascii="Franklin Gothic Book" w:hAnsi="Franklin Gothic Book"/>
        </w:rPr>
        <w:t xml:space="preserve"> </w:t>
      </w:r>
      <w:r w:rsidRPr="00E036FE">
        <w:rPr>
          <w:rFonts w:ascii="Franklin Gothic Book" w:hAnsi="Franklin Gothic Book"/>
        </w:rPr>
        <w:t>August 2023 (and updated on 12 October 2023) to identify relevant randomised controlled trials (RCTs) and SRs. Searches were conducted in 5 databases (Ovid MEDLINE, EMBASE, Cochrane Library, EconLit (EBSCO)</w:t>
      </w:r>
      <w:r w:rsidRPr="00E036FE" w:rsidDel="00A7178C">
        <w:rPr>
          <w:rFonts w:ascii="Franklin Gothic Book" w:hAnsi="Franklin Gothic Book"/>
        </w:rPr>
        <w:t>,</w:t>
      </w:r>
      <w:r w:rsidRPr="00E036FE" w:rsidDel="00B60F4A">
        <w:rPr>
          <w:rFonts w:ascii="Franklin Gothic Book" w:hAnsi="Franklin Gothic Book"/>
        </w:rPr>
        <w:t xml:space="preserve"> </w:t>
      </w:r>
      <w:r w:rsidRPr="00E036FE">
        <w:rPr>
          <w:rFonts w:ascii="Franklin Gothic Book" w:hAnsi="Franklin Gothic Book"/>
        </w:rPr>
        <w:t xml:space="preserve">The International Network of Agencies for Health Technology Assessment (INAHTA) health technology assessment [HTA] database). </w:t>
      </w:r>
      <w:r w:rsidRPr="00E036FE">
        <w:rPr>
          <w:rFonts w:ascii="Franklin Gothic Book" w:eastAsia="Franklin Gothic Book" w:hAnsi="Franklin Gothic Book" w:cs="Franklin Gothic Book"/>
        </w:rPr>
        <w:t>These searches retrieved 2,127 records, which included 17 duplicates (the majority of duplicates were removed in the Ovid platform), leaving 2,110 records that were screened by title and abstract (see PRISMA [</w:t>
      </w:r>
      <w:r w:rsidRPr="00E036FE">
        <w:rPr>
          <w:rFonts w:ascii="Franklin Gothic Book" w:hAnsi="Franklin Gothic Book"/>
        </w:rPr>
        <w:t xml:space="preserve">preferred reporting items for systematic reviews and meta-analyses] </w:t>
      </w:r>
      <w:r w:rsidRPr="00E036FE">
        <w:rPr>
          <w:rFonts w:ascii="Franklin Gothic Book" w:eastAsia="Franklin Gothic Book" w:hAnsi="Franklin Gothic Book" w:cs="Franklin Gothic Book"/>
        </w:rPr>
        <w:t>chart</w:t>
      </w:r>
      <w:r w:rsidRPr="00E036FE" w:rsidDel="003A0E54">
        <w:rPr>
          <w:rFonts w:ascii="Franklin Gothic Book" w:eastAsia="Franklin Gothic Book" w:hAnsi="Franklin Gothic Book" w:cs="Franklin Gothic Book"/>
        </w:rPr>
        <w:t xml:space="preserve">, </w:t>
      </w:r>
      <w:r w:rsidRPr="00E036FE">
        <w:rPr>
          <w:rFonts w:ascii="Franklin Gothic Book" w:eastAsia="Franklin Gothic Book" w:hAnsi="Franklin Gothic Book" w:cs="Franklin Gothic Book"/>
        </w:rPr>
        <w:fldChar w:fldCharType="begin"/>
      </w:r>
      <w:r w:rsidRPr="00E036FE">
        <w:rPr>
          <w:rFonts w:ascii="Franklin Gothic Book" w:eastAsia="Franklin Gothic Book" w:hAnsi="Franklin Gothic Book" w:cs="Franklin Gothic Book"/>
        </w:rPr>
        <w:instrText xml:space="preserve"> REF Appendix_B \h </w:instrText>
      </w:r>
      <w:r w:rsidR="00E036FE">
        <w:rPr>
          <w:rFonts w:ascii="Franklin Gothic Book" w:eastAsia="Franklin Gothic Book" w:hAnsi="Franklin Gothic Book" w:cs="Franklin Gothic Book"/>
        </w:rPr>
        <w:instrText xml:space="preserve"> \* MERGEFORMAT </w:instrText>
      </w:r>
      <w:r w:rsidRPr="00E036FE">
        <w:rPr>
          <w:rFonts w:ascii="Franklin Gothic Book" w:eastAsia="Franklin Gothic Book" w:hAnsi="Franklin Gothic Book" w:cs="Franklin Gothic Book"/>
        </w:rPr>
      </w:r>
      <w:r w:rsidR="00CF2ED0">
        <w:rPr>
          <w:rFonts w:ascii="Franklin Gothic Book" w:eastAsia="Franklin Gothic Book" w:hAnsi="Franklin Gothic Book" w:cs="Franklin Gothic Book"/>
        </w:rPr>
        <w:fldChar w:fldCharType="separate"/>
      </w:r>
      <w:r w:rsidRPr="00E036FE">
        <w:rPr>
          <w:rFonts w:ascii="Franklin Gothic Book" w:eastAsia="Franklin Gothic Book" w:hAnsi="Franklin Gothic Book" w:cs="Franklin Gothic Book"/>
        </w:rPr>
        <w:fldChar w:fldCharType="end"/>
      </w:r>
      <w:r w:rsidRPr="00E036FE">
        <w:rPr>
          <w:rFonts w:ascii="Franklin Gothic Book" w:eastAsia="Franklin Gothic Book" w:hAnsi="Franklin Gothic Book" w:cs="Franklin Gothic Book"/>
        </w:rPr>
        <w:t xml:space="preserve">). A total of 128 records were then reviewed as full text. </w:t>
      </w:r>
      <w:r w:rsidRPr="00E036FE">
        <w:rPr>
          <w:rFonts w:ascii="Franklin Gothic Book" w:hAnsi="Franklin Gothic Book"/>
        </w:rPr>
        <w:t xml:space="preserve">A total of 12 RCTs (9 on knee surgery, 3 on trauma) and 9 SRs met the inclusion criteria for assessing the safety and effectiveness of continuous nerve block compared to </w:t>
      </w:r>
      <w:r w:rsidRPr="00E036FE" w:rsidDel="00D62E5A">
        <w:rPr>
          <w:rFonts w:ascii="Franklin Gothic Book" w:hAnsi="Franklin Gothic Book"/>
        </w:rPr>
        <w:t>single</w:t>
      </w:r>
      <w:r w:rsidRPr="00E036FE">
        <w:rPr>
          <w:rFonts w:ascii="Franklin Gothic Book" w:hAnsi="Franklin Gothic Book"/>
        </w:rPr>
        <w:t>-injection nerve block, neuraxial nerve block (epidural) and systemic opioids (intravenous).</w:t>
      </w:r>
    </w:p>
    <w:p w14:paraId="1FAE632C" w14:textId="77777777" w:rsidR="005D5985" w:rsidRPr="00E036FE" w:rsidRDefault="005D5985" w:rsidP="005D5985">
      <w:pPr>
        <w:rPr>
          <w:rFonts w:ascii="Franklin Gothic Book" w:hAnsi="Franklin Gothic Book"/>
        </w:rPr>
      </w:pPr>
      <w:r w:rsidRPr="00E036FE">
        <w:rPr>
          <w:rFonts w:ascii="Franklin Gothic Book" w:hAnsi="Franklin Gothic Book"/>
        </w:rPr>
        <w:t xml:space="preserve">Due to applicability issues of the SRs, RCTs on orthopaedic knee surgeries were used to inform the clinical and economic sections. Orthopaedic knee surgery was chosen as the exemplar case because it provided the strongest amount of evidence that aligned with the PICO criteria. Due to the broad range of indications within the overall eligible population it was necessary to prioritise an exemplar case for a detailed assessment of safety, effectiveness and cost effectiveness. Knee replacement surgery is likely to represent a high-value use of peripheral nerve block, as patients undergoing these operations are at high risk of postoperative long-term opioid use due to pre-existing chronic pain associated with this surgical indication. Moreover, these operations are a common type of procedure in Australian private hospitals. In 2021–2022, </w:t>
      </w:r>
      <w:r w:rsidRPr="00E036FE">
        <w:rPr>
          <w:rFonts w:ascii="Franklin Gothic Book" w:hAnsi="Franklin Gothic Book" w:cstheme="minorHAnsi"/>
        </w:rPr>
        <w:t>gonarthrosis (International Classification of Diseases, 10</w:t>
      </w:r>
      <w:r w:rsidRPr="00E036FE">
        <w:rPr>
          <w:rFonts w:ascii="Franklin Gothic Book" w:hAnsi="Franklin Gothic Book" w:cstheme="minorHAnsi"/>
          <w:vertAlign w:val="superscript"/>
        </w:rPr>
        <w:t>th</w:t>
      </w:r>
      <w:r w:rsidRPr="00E036FE">
        <w:rPr>
          <w:rFonts w:ascii="Franklin Gothic Book" w:hAnsi="Franklin Gothic Book" w:cstheme="minorHAnsi"/>
        </w:rPr>
        <w:t xml:space="preserve"> Revision, Australian Modification [ICD-10-AM] code M17) was the most common principal diagnosis among overnight acute separations in private hospitals and knee replacement—minor complexity (Australian Refined Diagnosis Replated Group [AR-DRG] I04B) was the most common AR-DRG.</w:t>
      </w:r>
      <w:r w:rsidRPr="00E036FE">
        <w:rPr>
          <w:rStyle w:val="FootnoteReference"/>
          <w:rFonts w:ascii="Franklin Gothic Book" w:hAnsi="Franklin Gothic Book" w:cstheme="minorHAnsi"/>
        </w:rPr>
        <w:footnoteReference w:id="6"/>
      </w:r>
      <w:r w:rsidRPr="00E036FE">
        <w:rPr>
          <w:rFonts w:ascii="Franklin Gothic Book" w:hAnsi="Franklin Gothic Book" w:cstheme="minorHAnsi"/>
        </w:rPr>
        <w:t xml:space="preserve"> </w:t>
      </w:r>
      <w:r w:rsidRPr="00E036FE">
        <w:rPr>
          <w:rStyle w:val="FootnoteReference"/>
          <w:rFonts w:ascii="Franklin Gothic Book" w:hAnsi="Franklin Gothic Book" w:cstheme="minorHAnsi"/>
        </w:rPr>
        <w:footnoteReference w:id="7"/>
      </w:r>
      <w:r w:rsidRPr="00E036FE">
        <w:rPr>
          <w:rFonts w:ascii="Franklin Gothic Book" w:hAnsi="Franklin Gothic Book"/>
        </w:rPr>
        <w:t xml:space="preserve"> </w:t>
      </w:r>
    </w:p>
    <w:p w14:paraId="001F5CB0" w14:textId="77777777" w:rsidR="005D5985" w:rsidRPr="00E036FE" w:rsidRDefault="005D5985" w:rsidP="005D5985">
      <w:pPr>
        <w:rPr>
          <w:rFonts w:ascii="Franklin Gothic Book" w:hAnsi="Franklin Gothic Book"/>
        </w:rPr>
      </w:pPr>
      <w:r w:rsidRPr="00E036FE">
        <w:rPr>
          <w:rFonts w:ascii="Franklin Gothic Book" w:hAnsi="Franklin Gothic Book"/>
        </w:rPr>
        <w:t>For</w:t>
      </w:r>
      <w:r w:rsidRPr="00E036FE" w:rsidDel="00B67F58">
        <w:rPr>
          <w:rFonts w:ascii="Franklin Gothic Book" w:hAnsi="Franklin Gothic Book"/>
        </w:rPr>
        <w:t xml:space="preserve"> </w:t>
      </w:r>
      <w:r w:rsidRPr="00E036FE">
        <w:rPr>
          <w:rFonts w:ascii="Franklin Gothic Book" w:hAnsi="Franklin Gothic Book"/>
        </w:rPr>
        <w:t>other surgical locations (cardiothoracic, abdominal, shoulders, hips, feet/ankles), SRs were used to report on the clinical effectiveness and safety of continuous nerve block (cNB) after limb (excluding knee) or trunk surgery associated with moderate or severe pain. No SR evidence on trauma patients was retrieved.</w:t>
      </w:r>
    </w:p>
    <w:p w14:paraId="4E338D46" w14:textId="74C36E4C" w:rsidR="005D5985" w:rsidRPr="00E036FE" w:rsidRDefault="005D5985" w:rsidP="005D5985">
      <w:pPr>
        <w:spacing w:line="257" w:lineRule="auto"/>
        <w:rPr>
          <w:rFonts w:ascii="Franklin Gothic Book" w:eastAsia="Franklin Gothic Book" w:hAnsi="Franklin Gothic Book" w:cs="Franklin Gothic Book"/>
          <w:color w:val="000000" w:themeColor="text1"/>
        </w:rPr>
      </w:pPr>
      <w:r w:rsidRPr="00E036FE">
        <w:rPr>
          <w:rFonts w:ascii="Franklin Gothic Book" w:eastAsia="Franklin Gothic Book" w:hAnsi="Franklin Gothic Book" w:cs="Franklin Gothic Book"/>
          <w:color w:val="000000" w:themeColor="text1"/>
        </w:rPr>
        <w:t xml:space="preserve">The studies used for the clinical evaluation are listed in </w:t>
      </w:r>
      <w:r w:rsidRPr="00E036FE">
        <w:rPr>
          <w:rFonts w:ascii="Franklin Gothic Book" w:eastAsia="Franklin Gothic Book" w:hAnsi="Franklin Gothic Book" w:cs="Franklin Gothic Book"/>
          <w:color w:val="000000" w:themeColor="text1"/>
        </w:rPr>
        <w:fldChar w:fldCharType="begin"/>
      </w:r>
      <w:r w:rsidRPr="00E036FE">
        <w:rPr>
          <w:rFonts w:ascii="Franklin Gothic Book" w:eastAsia="Franklin Gothic Book" w:hAnsi="Franklin Gothic Book" w:cs="Franklin Gothic Book"/>
          <w:color w:val="000000" w:themeColor="text1"/>
        </w:rPr>
        <w:instrText xml:space="preserve"> REF _Ref69725651 \h  \* MERGEFORMAT </w:instrText>
      </w:r>
      <w:r w:rsidRPr="00E036FE">
        <w:rPr>
          <w:rFonts w:ascii="Franklin Gothic Book" w:eastAsia="Franklin Gothic Book" w:hAnsi="Franklin Gothic Book" w:cs="Franklin Gothic Book"/>
          <w:color w:val="000000" w:themeColor="text1"/>
        </w:rPr>
      </w:r>
      <w:r w:rsidRPr="00E036FE">
        <w:rPr>
          <w:rFonts w:ascii="Franklin Gothic Book" w:eastAsia="Franklin Gothic Book" w:hAnsi="Franklin Gothic Book" w:cs="Franklin Gothic Book"/>
          <w:color w:val="000000" w:themeColor="text1"/>
        </w:rPr>
        <w:fldChar w:fldCharType="separate"/>
      </w:r>
      <w:r w:rsidR="00091077" w:rsidRPr="00DA18D9">
        <w:rPr>
          <w:rFonts w:ascii="Franklin Gothic Book" w:hAnsi="Franklin Gothic Book"/>
        </w:rPr>
        <w:t>Table 7</w:t>
      </w:r>
      <w:r w:rsidRPr="00E036FE">
        <w:rPr>
          <w:rFonts w:ascii="Franklin Gothic Book" w:eastAsia="Franklin Gothic Book" w:hAnsi="Franklin Gothic Book" w:cs="Franklin Gothic Book"/>
          <w:color w:val="000000" w:themeColor="text1"/>
        </w:rPr>
        <w:fldChar w:fldCharType="end"/>
      </w:r>
      <w:r w:rsidRPr="00E036FE">
        <w:rPr>
          <w:rFonts w:ascii="Franklin Gothic Book" w:eastAsia="Franklin Gothic Book" w:hAnsi="Franklin Gothic Book" w:cs="Franklin Gothic Book"/>
          <w:color w:val="000000" w:themeColor="text1"/>
        </w:rPr>
        <w:t xml:space="preserve">. </w:t>
      </w:r>
      <w:r w:rsidRPr="00E036FE">
        <w:rPr>
          <w:rFonts w:ascii="Franklin Gothic Book" w:hAnsi="Franklin Gothic Book"/>
        </w:rPr>
        <w:t>Three RCTs (n = 22, 44 and 88) compared the postoperative analgesic effect of continuous and single-injection nerve block (</w:t>
      </w:r>
      <w:r w:rsidR="008A370A">
        <w:rPr>
          <w:rFonts w:ascii="Franklin Gothic Book" w:hAnsi="Franklin Gothic Book"/>
        </w:rPr>
        <w:t>S</w:t>
      </w:r>
      <w:r w:rsidRPr="00E036FE">
        <w:rPr>
          <w:rFonts w:ascii="Franklin Gothic Book" w:hAnsi="Franklin Gothic Book"/>
        </w:rPr>
        <w:t>NB) in patients who underwent total knee arthroplasty (TKA).</w:t>
      </w:r>
      <w:r w:rsidRPr="00E036FE">
        <w:rPr>
          <w:rStyle w:val="FootnoteReference"/>
          <w:rFonts w:ascii="Franklin Gothic Book" w:hAnsi="Franklin Gothic Book"/>
        </w:rPr>
        <w:footnoteReference w:id="8"/>
      </w:r>
      <w:r w:rsidRPr="00E036FE">
        <w:rPr>
          <w:rFonts w:ascii="Franklin Gothic Book" w:hAnsi="Franklin Gothic Book"/>
        </w:rPr>
        <w:t xml:space="preserve"> </w:t>
      </w:r>
      <w:r w:rsidRPr="00E036FE">
        <w:rPr>
          <w:rStyle w:val="FootnoteReference"/>
          <w:rFonts w:ascii="Franklin Gothic Book" w:hAnsi="Franklin Gothic Book"/>
        </w:rPr>
        <w:footnoteReference w:id="9"/>
      </w:r>
      <w:r w:rsidRPr="00E036FE">
        <w:rPr>
          <w:rFonts w:ascii="Franklin Gothic Book" w:hAnsi="Franklin Gothic Book"/>
        </w:rPr>
        <w:t xml:space="preserve"> </w:t>
      </w:r>
      <w:r w:rsidRPr="00E036FE">
        <w:rPr>
          <w:rStyle w:val="FootnoteReference"/>
          <w:rFonts w:ascii="Franklin Gothic Book" w:hAnsi="Franklin Gothic Book"/>
        </w:rPr>
        <w:footnoteReference w:id="10"/>
      </w:r>
      <w:r w:rsidRPr="00E036FE">
        <w:rPr>
          <w:rFonts w:ascii="Franklin Gothic Book" w:hAnsi="Franklin Gothic Book"/>
        </w:rPr>
        <w:t xml:space="preserve"> Two RCTs compared the postoperative analgesic effect of continuous nerve block to epidural block in patients who </w:t>
      </w:r>
      <w:r w:rsidRPr="00E036FE">
        <w:rPr>
          <w:rFonts w:ascii="Franklin Gothic Book" w:hAnsi="Franklin Gothic Book"/>
        </w:rPr>
        <w:lastRenderedPageBreak/>
        <w:t>underwent TKA (n = 50 and 100).</w:t>
      </w:r>
      <w:r w:rsidRPr="00E036FE">
        <w:rPr>
          <w:rStyle w:val="FootnoteReference"/>
          <w:rFonts w:ascii="Franklin Gothic Book" w:hAnsi="Franklin Gothic Book"/>
        </w:rPr>
        <w:footnoteReference w:id="11"/>
      </w:r>
      <w:r w:rsidRPr="00E036FE">
        <w:rPr>
          <w:rFonts w:ascii="Franklin Gothic Book" w:hAnsi="Franklin Gothic Book"/>
        </w:rPr>
        <w:t xml:space="preserve"> </w:t>
      </w:r>
      <w:r w:rsidRPr="00E036FE">
        <w:rPr>
          <w:rStyle w:val="FootnoteReference"/>
          <w:rFonts w:ascii="Franklin Gothic Book" w:hAnsi="Franklin Gothic Book"/>
        </w:rPr>
        <w:footnoteReference w:id="12"/>
      </w:r>
      <w:r w:rsidRPr="00E036FE">
        <w:rPr>
          <w:rFonts w:ascii="Franklin Gothic Book" w:hAnsi="Franklin Gothic Book"/>
        </w:rPr>
        <w:t xml:space="preserve"> Four RCTs compared the postoperative analgesic effect of continuous nerve block to intravenous opioids in patients who underwent k</w:t>
      </w:r>
      <w:r w:rsidRPr="00E036FE">
        <w:rPr>
          <w:rStyle w:val="ui-provider"/>
          <w:rFonts w:ascii="Franklin Gothic Book" w:hAnsi="Franklin Gothic Book"/>
        </w:rPr>
        <w:t xml:space="preserve">nee-related operative procedures, either </w:t>
      </w:r>
      <w:r w:rsidRPr="00E036FE">
        <w:rPr>
          <w:rFonts w:ascii="Franklin Gothic Book" w:hAnsi="Franklin Gothic Book"/>
        </w:rPr>
        <w:t xml:space="preserve">TKA (n = 40, 46 and 280 </w:t>
      </w:r>
      <w:r w:rsidRPr="00E036FE">
        <w:rPr>
          <w:rStyle w:val="FootnoteReference"/>
          <w:rFonts w:ascii="Franklin Gothic Book" w:hAnsi="Franklin Gothic Book"/>
        </w:rPr>
        <w:footnoteReference w:id="13"/>
      </w:r>
      <w:r w:rsidRPr="00E036FE">
        <w:rPr>
          <w:rFonts w:ascii="Franklin Gothic Book" w:hAnsi="Franklin Gothic Book"/>
        </w:rPr>
        <w:t xml:space="preserve"> </w:t>
      </w:r>
      <w:r w:rsidRPr="00E036FE">
        <w:rPr>
          <w:rStyle w:val="FootnoteReference"/>
          <w:rFonts w:ascii="Franklin Gothic Book" w:hAnsi="Franklin Gothic Book"/>
        </w:rPr>
        <w:footnoteReference w:id="14"/>
      </w:r>
      <w:r w:rsidRPr="00E036FE">
        <w:rPr>
          <w:rFonts w:ascii="Franklin Gothic Book" w:hAnsi="Franklin Gothic Book"/>
        </w:rPr>
        <w:t xml:space="preserve"> </w:t>
      </w:r>
      <w:r w:rsidRPr="00E036FE">
        <w:rPr>
          <w:rStyle w:val="FootnoteReference"/>
          <w:rFonts w:ascii="Franklin Gothic Book" w:hAnsi="Franklin Gothic Book"/>
        </w:rPr>
        <w:footnoteReference w:id="15"/>
      </w:r>
      <w:r w:rsidRPr="00E036FE">
        <w:rPr>
          <w:rFonts w:ascii="Franklin Gothic Book" w:hAnsi="Franklin Gothic Book"/>
        </w:rPr>
        <w:t xml:space="preserve"> or anterior cruciate ligament reconstruction (n = 104)</w:t>
      </w:r>
      <w:r w:rsidRPr="00E036FE">
        <w:rPr>
          <w:rStyle w:val="FootnoteReference"/>
          <w:rFonts w:ascii="Franklin Gothic Book" w:hAnsi="Franklin Gothic Book"/>
        </w:rPr>
        <w:footnoteReference w:id="16"/>
      </w:r>
      <w:r w:rsidRPr="00E036FE">
        <w:rPr>
          <w:rFonts w:ascii="Franklin Gothic Book" w:hAnsi="Franklin Gothic Book"/>
        </w:rPr>
        <w:t>.</w:t>
      </w:r>
    </w:p>
    <w:p w14:paraId="2ABF9F42" w14:textId="1B0BBB02" w:rsidR="005D5985" w:rsidRPr="00E036FE" w:rsidRDefault="005D5985" w:rsidP="005D5985">
      <w:pPr>
        <w:spacing w:line="257" w:lineRule="auto"/>
        <w:rPr>
          <w:rFonts w:ascii="Franklin Gothic Book" w:hAnsi="Franklin Gothic Book"/>
          <w:sz w:val="16"/>
          <w:szCs w:val="16"/>
        </w:rPr>
      </w:pPr>
      <w:r w:rsidRPr="00E036FE">
        <w:rPr>
          <w:rFonts w:ascii="Franklin Gothic Book" w:eastAsia="Franklin Gothic Book" w:hAnsi="Franklin Gothic Book" w:cs="Franklin Gothic Book"/>
          <w:color w:val="000000" w:themeColor="text1"/>
        </w:rPr>
        <w:t>The quality of the RCTs were assessed using the Cochrane Risk of Bias Tool for Randomised Trials (RoB2).</w:t>
      </w:r>
      <w:r w:rsidRPr="00E036FE">
        <w:rPr>
          <w:rStyle w:val="FootnoteReference"/>
          <w:rFonts w:ascii="Franklin Gothic Book" w:eastAsia="Franklin Gothic Book" w:hAnsi="Franklin Gothic Book" w:cs="Franklin Gothic Book"/>
          <w:color w:val="000000" w:themeColor="text1"/>
        </w:rPr>
        <w:footnoteReference w:id="17"/>
      </w:r>
      <w:r w:rsidRPr="00E036FE">
        <w:rPr>
          <w:rFonts w:ascii="Franklin Gothic Book" w:eastAsia="Franklin Gothic Book" w:hAnsi="Franklin Gothic Book" w:cs="Franklin Gothic Book"/>
          <w:color w:val="000000" w:themeColor="text1"/>
        </w:rPr>
        <w:t xml:space="preserve"> Seven of the RCTs for knee surgeries were evaluated as having some concerns</w:t>
      </w:r>
      <w:r w:rsidRPr="00E036FE" w:rsidDel="00F5671A">
        <w:rPr>
          <w:rFonts w:ascii="Franklin Gothic Book" w:eastAsia="Franklin Gothic Book" w:hAnsi="Franklin Gothic Book" w:cs="Franklin Gothic Book"/>
          <w:color w:val="000000" w:themeColor="text1"/>
        </w:rPr>
        <w:t xml:space="preserve"> </w:t>
      </w:r>
      <w:r w:rsidRPr="00E036FE">
        <w:rPr>
          <w:rFonts w:ascii="Franklin Gothic Book" w:hAnsi="Franklin Gothic Book"/>
        </w:rPr>
        <w:t xml:space="preserve">, and 2 as having a high RoB owing to concerns with blinding of participants/personnel (domain 2) (see </w:t>
      </w:r>
      <w:r w:rsidRPr="00E036FE">
        <w:rPr>
          <w:rFonts w:ascii="Franklin Gothic Book" w:hAnsi="Franklin Gothic Book"/>
        </w:rPr>
        <w:fldChar w:fldCharType="begin"/>
      </w:r>
      <w:r w:rsidRPr="00E036FE">
        <w:rPr>
          <w:rFonts w:ascii="Franklin Gothic Book" w:hAnsi="Franklin Gothic Book"/>
        </w:rPr>
        <w:instrText xml:space="preserve"> REF _Ref69725651 \h </w:instrText>
      </w:r>
      <w:r w:rsidR="00E036FE">
        <w:rPr>
          <w:rFonts w:ascii="Franklin Gothic Book" w:hAnsi="Franklin Gothic Book"/>
        </w:rPr>
        <w:instrText xml:space="preserve"> \* MERGEFORMAT </w:instrText>
      </w:r>
      <w:r w:rsidRPr="00E036FE">
        <w:rPr>
          <w:rFonts w:ascii="Franklin Gothic Book" w:hAnsi="Franklin Gothic Book"/>
        </w:rPr>
      </w:r>
      <w:r w:rsidRPr="00E036FE">
        <w:rPr>
          <w:rFonts w:ascii="Franklin Gothic Book" w:hAnsi="Franklin Gothic Book"/>
        </w:rPr>
        <w:fldChar w:fldCharType="separate"/>
      </w:r>
      <w:r w:rsidR="00091077" w:rsidRPr="00DA18D9">
        <w:rPr>
          <w:rFonts w:ascii="Franklin Gothic Book" w:hAnsi="Franklin Gothic Book"/>
        </w:rPr>
        <w:t>Table 7</w:t>
      </w:r>
      <w:r w:rsidRPr="00E036FE">
        <w:rPr>
          <w:rFonts w:ascii="Franklin Gothic Book" w:hAnsi="Franklin Gothic Book"/>
        </w:rPr>
        <w:fldChar w:fldCharType="end"/>
      </w:r>
      <w:r w:rsidRPr="00E036FE">
        <w:rPr>
          <w:rFonts w:ascii="Franklin Gothic Book" w:hAnsi="Franklin Gothic Book"/>
        </w:rPr>
        <w:t xml:space="preserve">). AMSTAR 2 (Assessing the </w:t>
      </w:r>
      <w:r w:rsidRPr="00E036FE">
        <w:rPr>
          <w:rFonts w:ascii="Franklin Gothic Book" w:hAnsi="Franklin Gothic Book"/>
          <w:iCs/>
        </w:rPr>
        <w:t>M</w:t>
      </w:r>
      <w:r w:rsidRPr="00E036FE">
        <w:rPr>
          <w:rFonts w:ascii="Franklin Gothic Book" w:hAnsi="Franklin Gothic Book"/>
        </w:rPr>
        <w:t>ethodological Quality of Systematic Reviews 2) was used for the SRs.</w:t>
      </w:r>
      <w:r w:rsidRPr="00E036FE">
        <w:rPr>
          <w:rStyle w:val="FootnoteReference"/>
          <w:rFonts w:ascii="Franklin Gothic Book" w:hAnsi="Franklin Gothic Book"/>
        </w:rPr>
        <w:footnoteReference w:id="18"/>
      </w:r>
      <w:r w:rsidRPr="00E036FE">
        <w:rPr>
          <w:rFonts w:ascii="Franklin Gothic Book" w:hAnsi="Franklin Gothic Book"/>
        </w:rPr>
        <w:t xml:space="preserve"> </w:t>
      </w:r>
      <w:r w:rsidRPr="00E036FE">
        <w:rPr>
          <w:rFonts w:ascii="Franklin Gothic Book" w:hAnsi="Franklin Gothic Book"/>
          <w:lang w:val="en-US"/>
        </w:rPr>
        <w:t>The overall quality of the SRs varied, with 5 assessed as being critically low quality, 3 assessed as low quality and only one being high quality.</w:t>
      </w:r>
    </w:p>
    <w:p w14:paraId="144D6D43" w14:textId="2C11EB63" w:rsidR="005D5985" w:rsidRDefault="005D5985" w:rsidP="005D5985">
      <w:pPr>
        <w:pStyle w:val="Caption"/>
      </w:pPr>
      <w:bookmarkStart w:id="25" w:name="ColumnTitle_Table3"/>
      <w:bookmarkStart w:id="26" w:name="_Ref69725651"/>
      <w:bookmarkStart w:id="27" w:name="_Hlk68276176"/>
      <w:bookmarkEnd w:id="25"/>
      <w:r w:rsidRPr="00306E38">
        <w:t>Table </w:t>
      </w:r>
      <w:r>
        <w:fldChar w:fldCharType="begin"/>
      </w:r>
      <w:r>
        <w:instrText>SEQ Table \* ARABIC</w:instrText>
      </w:r>
      <w:r>
        <w:fldChar w:fldCharType="separate"/>
      </w:r>
      <w:r w:rsidR="00210D50">
        <w:rPr>
          <w:noProof/>
        </w:rPr>
        <w:t>7</w:t>
      </w:r>
      <w:r>
        <w:fldChar w:fldCharType="end"/>
      </w:r>
      <w:bookmarkEnd w:id="26"/>
      <w:r w:rsidRPr="00306E38">
        <w:tab/>
        <w:t>Key features of the included evidence for knee surgery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93"/>
        <w:gridCol w:w="718"/>
        <w:gridCol w:w="1306"/>
        <w:gridCol w:w="983"/>
        <w:gridCol w:w="1087"/>
        <w:gridCol w:w="1560"/>
        <w:gridCol w:w="1569"/>
      </w:tblGrid>
      <w:tr w:rsidR="005D5985" w:rsidRPr="008B5CE0" w14:paraId="586BD6A2" w14:textId="77777777">
        <w:trPr>
          <w:cantSplit/>
          <w:tblHeader/>
        </w:trPr>
        <w:tc>
          <w:tcPr>
            <w:tcW w:w="995" w:type="pct"/>
            <w:shd w:val="clear" w:color="auto" w:fill="auto"/>
            <w:vAlign w:val="center"/>
          </w:tcPr>
          <w:p w14:paraId="79656559" w14:textId="77777777" w:rsidR="005D5985" w:rsidRPr="008B5CE0" w:rsidRDefault="005D5985">
            <w:pPr>
              <w:pStyle w:val="In-tableHeading"/>
            </w:pPr>
            <w:r w:rsidRPr="008B5CE0">
              <w:t>References</w:t>
            </w:r>
          </w:p>
        </w:tc>
        <w:tc>
          <w:tcPr>
            <w:tcW w:w="398" w:type="pct"/>
            <w:shd w:val="clear" w:color="auto" w:fill="auto"/>
            <w:vAlign w:val="center"/>
          </w:tcPr>
          <w:p w14:paraId="41EE0882" w14:textId="77777777" w:rsidR="005D5985" w:rsidRPr="008B5CE0" w:rsidRDefault="005D5985">
            <w:pPr>
              <w:pStyle w:val="In-tableHeading"/>
              <w:jc w:val="center"/>
            </w:pPr>
            <w:r>
              <w:t>n</w:t>
            </w:r>
          </w:p>
        </w:tc>
        <w:tc>
          <w:tcPr>
            <w:tcW w:w="724" w:type="pct"/>
            <w:shd w:val="clear" w:color="auto" w:fill="auto"/>
            <w:vAlign w:val="center"/>
          </w:tcPr>
          <w:p w14:paraId="63C942C2" w14:textId="77777777" w:rsidR="005D5985" w:rsidRPr="008B5CE0" w:rsidRDefault="005D5985">
            <w:pPr>
              <w:pStyle w:val="In-tableHeading"/>
              <w:jc w:val="center"/>
            </w:pPr>
            <w:r w:rsidRPr="008B5CE0">
              <w:t>Design/duration</w:t>
            </w:r>
          </w:p>
        </w:tc>
        <w:tc>
          <w:tcPr>
            <w:tcW w:w="545" w:type="pct"/>
            <w:shd w:val="clear" w:color="auto" w:fill="auto"/>
            <w:vAlign w:val="center"/>
          </w:tcPr>
          <w:p w14:paraId="3B12FD05" w14:textId="77777777" w:rsidR="005D5985" w:rsidRPr="008B5CE0" w:rsidRDefault="005D5985">
            <w:pPr>
              <w:pStyle w:val="In-tableHeading"/>
              <w:jc w:val="center"/>
            </w:pPr>
            <w:r w:rsidRPr="008B5CE0">
              <w:t>Risk of bias</w:t>
            </w:r>
          </w:p>
        </w:tc>
        <w:tc>
          <w:tcPr>
            <w:tcW w:w="603" w:type="pct"/>
            <w:shd w:val="clear" w:color="auto" w:fill="auto"/>
            <w:vAlign w:val="center"/>
          </w:tcPr>
          <w:p w14:paraId="62817BE9" w14:textId="77777777" w:rsidR="005D5985" w:rsidRPr="008B5CE0" w:rsidRDefault="005D5985">
            <w:pPr>
              <w:pStyle w:val="In-tableHeading"/>
              <w:jc w:val="center"/>
            </w:pPr>
            <w:r w:rsidRPr="008B5CE0">
              <w:t>Patient population</w:t>
            </w:r>
          </w:p>
        </w:tc>
        <w:tc>
          <w:tcPr>
            <w:tcW w:w="865" w:type="pct"/>
            <w:shd w:val="clear" w:color="auto" w:fill="auto"/>
            <w:vAlign w:val="center"/>
          </w:tcPr>
          <w:p w14:paraId="1C7B8458" w14:textId="77777777" w:rsidR="005D5985" w:rsidRPr="008B5CE0" w:rsidRDefault="005D5985">
            <w:pPr>
              <w:pStyle w:val="In-tableHeading"/>
              <w:jc w:val="center"/>
            </w:pPr>
            <w:r w:rsidRPr="008B5CE0">
              <w:t>Outcome(s)</w:t>
            </w:r>
          </w:p>
        </w:tc>
        <w:tc>
          <w:tcPr>
            <w:tcW w:w="870" w:type="pct"/>
            <w:shd w:val="clear" w:color="auto" w:fill="auto"/>
            <w:vAlign w:val="center"/>
          </w:tcPr>
          <w:p w14:paraId="4990F09F" w14:textId="77777777" w:rsidR="005D5985" w:rsidRPr="008B5CE0" w:rsidRDefault="005D5985">
            <w:pPr>
              <w:pStyle w:val="In-tableHeading"/>
              <w:jc w:val="center"/>
            </w:pPr>
            <w:r w:rsidRPr="008B5CE0">
              <w:t>Use in modelled evaluation</w:t>
            </w:r>
          </w:p>
        </w:tc>
      </w:tr>
      <w:tr w:rsidR="005D5985" w:rsidRPr="008B5CE0" w14:paraId="2D71C4F5" w14:textId="77777777">
        <w:trPr>
          <w:cantSplit/>
        </w:trPr>
        <w:tc>
          <w:tcPr>
            <w:tcW w:w="5000" w:type="pct"/>
            <w:gridSpan w:val="7"/>
            <w:shd w:val="clear" w:color="auto" w:fill="auto"/>
            <w:vAlign w:val="center"/>
          </w:tcPr>
          <w:p w14:paraId="3C15DAA5" w14:textId="77777777" w:rsidR="005D5985" w:rsidRPr="008B5CE0" w:rsidRDefault="005D5985">
            <w:pPr>
              <w:pStyle w:val="TableText"/>
              <w:rPr>
                <w:b/>
                <w:bCs/>
                <w:lang w:val="en-US"/>
              </w:rPr>
            </w:pPr>
            <w:r w:rsidRPr="008B5CE0">
              <w:rPr>
                <w:b/>
                <w:bCs/>
              </w:rPr>
              <w:t>Comparator: single-injection nerve block</w:t>
            </w:r>
            <w:r w:rsidRPr="00D059DF">
              <w:rPr>
                <w:b/>
                <w:bCs/>
                <w:vertAlign w:val="superscript"/>
              </w:rPr>
              <w:t>a</w:t>
            </w:r>
          </w:p>
        </w:tc>
      </w:tr>
      <w:tr w:rsidR="005D5985" w:rsidRPr="008B5CE0" w14:paraId="45FC466F" w14:textId="77777777">
        <w:trPr>
          <w:cantSplit/>
        </w:trPr>
        <w:tc>
          <w:tcPr>
            <w:tcW w:w="995" w:type="pct"/>
            <w:shd w:val="clear" w:color="auto" w:fill="auto"/>
            <w:vAlign w:val="center"/>
          </w:tcPr>
          <w:p w14:paraId="009DBCC1" w14:textId="77777777" w:rsidR="005D5985" w:rsidRPr="008B5CE0" w:rsidRDefault="005D5985">
            <w:pPr>
              <w:pStyle w:val="TableText"/>
              <w:rPr>
                <w:lang w:val="en-US"/>
              </w:rPr>
            </w:pPr>
            <w:r w:rsidRPr="008B5CE0">
              <w:rPr>
                <w:lang w:val="en-US"/>
              </w:rPr>
              <w:t>Hirst</w:t>
            </w:r>
            <w:r>
              <w:rPr>
                <w:lang w:val="en-US"/>
              </w:rPr>
              <w:t xml:space="preserve"> et al</w:t>
            </w:r>
            <w:r w:rsidRPr="008B5CE0">
              <w:rPr>
                <w:lang w:val="en-US"/>
              </w:rPr>
              <w:t xml:space="preserve"> </w:t>
            </w:r>
            <w:r>
              <w:rPr>
                <w:lang w:val="en-US"/>
              </w:rPr>
              <w:t>(</w:t>
            </w:r>
            <w:r w:rsidRPr="008B5CE0">
              <w:rPr>
                <w:lang w:val="en-US"/>
              </w:rPr>
              <w:t>1996</w:t>
            </w:r>
            <w:r>
              <w:rPr>
                <w:lang w:val="en-US"/>
              </w:rPr>
              <w:t>)</w:t>
            </w:r>
            <w:r w:rsidRPr="008B5CE0">
              <w:rPr>
                <w:lang w:val="en-US"/>
              </w:rPr>
              <w:t xml:space="preserve"> </w:t>
            </w:r>
          </w:p>
        </w:tc>
        <w:tc>
          <w:tcPr>
            <w:tcW w:w="398" w:type="pct"/>
            <w:shd w:val="clear" w:color="auto" w:fill="auto"/>
            <w:vAlign w:val="center"/>
          </w:tcPr>
          <w:p w14:paraId="3E5EF21C" w14:textId="77777777" w:rsidR="005D5985" w:rsidRPr="008B5CE0" w:rsidRDefault="005D5985">
            <w:pPr>
              <w:pStyle w:val="TableText"/>
              <w:jc w:val="center"/>
              <w:rPr>
                <w:lang w:val="en-US"/>
              </w:rPr>
            </w:pPr>
            <w:r w:rsidRPr="008B5CE0">
              <w:rPr>
                <w:lang w:val="en-US"/>
              </w:rPr>
              <w:t>22</w:t>
            </w:r>
          </w:p>
        </w:tc>
        <w:tc>
          <w:tcPr>
            <w:tcW w:w="724" w:type="pct"/>
            <w:shd w:val="clear" w:color="auto" w:fill="auto"/>
            <w:vAlign w:val="center"/>
          </w:tcPr>
          <w:p w14:paraId="5B7AE647" w14:textId="77777777" w:rsidR="005D5985" w:rsidRPr="008B5CE0" w:rsidRDefault="005D5985">
            <w:pPr>
              <w:pStyle w:val="TableText"/>
              <w:jc w:val="center"/>
              <w:rPr>
                <w:lang w:val="en-US"/>
              </w:rPr>
            </w:pPr>
            <w:r w:rsidRPr="008B5CE0">
              <w:rPr>
                <w:lang w:val="en-US"/>
              </w:rPr>
              <w:t>RCT/72h</w:t>
            </w:r>
          </w:p>
        </w:tc>
        <w:tc>
          <w:tcPr>
            <w:tcW w:w="545" w:type="pct"/>
            <w:shd w:val="clear" w:color="auto" w:fill="auto"/>
            <w:vAlign w:val="center"/>
          </w:tcPr>
          <w:p w14:paraId="14E10963" w14:textId="77777777" w:rsidR="005D5985" w:rsidRPr="008B5CE0" w:rsidRDefault="005D5985">
            <w:pPr>
              <w:pStyle w:val="TableText"/>
              <w:jc w:val="center"/>
              <w:rPr>
                <w:i/>
                <w:lang w:val="en-US"/>
              </w:rPr>
            </w:pPr>
            <w:r w:rsidRPr="008B5CE0">
              <w:rPr>
                <w:lang w:val="en-US"/>
              </w:rPr>
              <w:t>Some concerns</w:t>
            </w:r>
          </w:p>
        </w:tc>
        <w:tc>
          <w:tcPr>
            <w:tcW w:w="603" w:type="pct"/>
            <w:shd w:val="clear" w:color="auto" w:fill="auto"/>
            <w:vAlign w:val="center"/>
          </w:tcPr>
          <w:p w14:paraId="1831DB68" w14:textId="77777777" w:rsidR="005D5985" w:rsidRPr="008B5CE0" w:rsidRDefault="005D5985">
            <w:pPr>
              <w:pStyle w:val="TableText"/>
              <w:jc w:val="center"/>
              <w:rPr>
                <w:lang w:val="en-US"/>
              </w:rPr>
            </w:pPr>
            <w:r w:rsidRPr="008B5CE0">
              <w:rPr>
                <w:lang w:val="en-US"/>
              </w:rPr>
              <w:t>TKA</w:t>
            </w:r>
          </w:p>
        </w:tc>
        <w:tc>
          <w:tcPr>
            <w:tcW w:w="865" w:type="pct"/>
            <w:shd w:val="clear" w:color="auto" w:fill="auto"/>
            <w:vAlign w:val="center"/>
          </w:tcPr>
          <w:p w14:paraId="4BBAE059" w14:textId="77777777" w:rsidR="005D5985" w:rsidRPr="008B5CE0" w:rsidRDefault="005D5985">
            <w:pPr>
              <w:pStyle w:val="TableText"/>
              <w:rPr>
                <w:lang w:val="en-US"/>
              </w:rPr>
            </w:pPr>
            <w:r w:rsidRPr="008B5CE0">
              <w:rPr>
                <w:lang w:val="en-US"/>
              </w:rPr>
              <w:t>Pain scores</w:t>
            </w:r>
          </w:p>
          <w:p w14:paraId="5B3D9FAE" w14:textId="77777777" w:rsidR="005D5985" w:rsidRPr="008B5CE0" w:rsidRDefault="005D5985">
            <w:pPr>
              <w:pStyle w:val="TableText"/>
              <w:rPr>
                <w:lang w:val="en-US"/>
              </w:rPr>
            </w:pPr>
            <w:r w:rsidRPr="008B5CE0">
              <w:rPr>
                <w:lang w:val="en-US"/>
              </w:rPr>
              <w:t>Rescue analgesia</w:t>
            </w:r>
          </w:p>
          <w:p w14:paraId="6623BEE2" w14:textId="77777777" w:rsidR="005D5985" w:rsidRPr="008B5CE0" w:rsidRDefault="005D5985">
            <w:pPr>
              <w:pStyle w:val="TableText"/>
              <w:rPr>
                <w:lang w:val="en-US"/>
              </w:rPr>
            </w:pPr>
            <w:r w:rsidRPr="008B5CE0">
              <w:rPr>
                <w:lang w:val="en-US"/>
              </w:rPr>
              <w:t>Block-related A</w:t>
            </w:r>
            <w:r>
              <w:rPr>
                <w:lang w:val="en-US"/>
              </w:rPr>
              <w:t>E</w:t>
            </w:r>
            <w:r w:rsidRPr="008B5CE0">
              <w:rPr>
                <w:lang w:val="en-US"/>
              </w:rPr>
              <w:t>s</w:t>
            </w:r>
          </w:p>
        </w:tc>
        <w:tc>
          <w:tcPr>
            <w:tcW w:w="870" w:type="pct"/>
            <w:shd w:val="clear" w:color="auto" w:fill="auto"/>
            <w:vAlign w:val="center"/>
          </w:tcPr>
          <w:p w14:paraId="045EDACB" w14:textId="77777777" w:rsidR="005D5985" w:rsidRPr="008B5CE0" w:rsidRDefault="005D5985">
            <w:pPr>
              <w:pStyle w:val="TableText"/>
              <w:jc w:val="center"/>
              <w:rPr>
                <w:lang w:val="en-US"/>
              </w:rPr>
            </w:pPr>
            <w:r w:rsidRPr="008B5CE0">
              <w:rPr>
                <w:lang w:val="en-US"/>
              </w:rPr>
              <w:t>Yes</w:t>
            </w:r>
          </w:p>
        </w:tc>
      </w:tr>
      <w:tr w:rsidR="005D5985" w:rsidRPr="008B5CE0" w14:paraId="493F6014" w14:textId="77777777">
        <w:trPr>
          <w:cantSplit/>
        </w:trPr>
        <w:tc>
          <w:tcPr>
            <w:tcW w:w="995" w:type="pct"/>
            <w:shd w:val="clear" w:color="auto" w:fill="auto"/>
            <w:vAlign w:val="center"/>
          </w:tcPr>
          <w:p w14:paraId="7A26DC00" w14:textId="77777777" w:rsidR="005D5985" w:rsidRPr="008B5CE0" w:rsidRDefault="005D5985">
            <w:pPr>
              <w:pStyle w:val="TableText"/>
              <w:rPr>
                <w:lang w:val="en-US"/>
              </w:rPr>
            </w:pPr>
            <w:r w:rsidRPr="008B5CE0">
              <w:rPr>
                <w:lang w:val="en-US"/>
              </w:rPr>
              <w:t xml:space="preserve">Park </w:t>
            </w:r>
            <w:r>
              <w:rPr>
                <w:lang w:val="en-US"/>
              </w:rPr>
              <w:t>et al (</w:t>
            </w:r>
            <w:r w:rsidRPr="008B5CE0">
              <w:rPr>
                <w:lang w:val="en-US"/>
              </w:rPr>
              <w:t>2010</w:t>
            </w:r>
            <w:r>
              <w:rPr>
                <w:lang w:val="en-US"/>
              </w:rPr>
              <w:t>)</w:t>
            </w:r>
            <w:r w:rsidRPr="008B5CE0">
              <w:rPr>
                <w:lang w:val="en-US"/>
              </w:rPr>
              <w:t xml:space="preserve"> </w:t>
            </w:r>
          </w:p>
        </w:tc>
        <w:tc>
          <w:tcPr>
            <w:tcW w:w="398" w:type="pct"/>
            <w:shd w:val="clear" w:color="auto" w:fill="auto"/>
            <w:vAlign w:val="center"/>
          </w:tcPr>
          <w:p w14:paraId="3FD2D75F" w14:textId="77777777" w:rsidR="005D5985" w:rsidRPr="008B5CE0" w:rsidRDefault="005D5985">
            <w:pPr>
              <w:pStyle w:val="TableText"/>
              <w:jc w:val="center"/>
              <w:rPr>
                <w:lang w:val="en-US"/>
              </w:rPr>
            </w:pPr>
            <w:r w:rsidRPr="008B5CE0">
              <w:rPr>
                <w:lang w:val="en-US"/>
              </w:rPr>
              <w:t>88</w:t>
            </w:r>
          </w:p>
        </w:tc>
        <w:tc>
          <w:tcPr>
            <w:tcW w:w="724" w:type="pct"/>
            <w:shd w:val="clear" w:color="auto" w:fill="auto"/>
            <w:vAlign w:val="center"/>
          </w:tcPr>
          <w:p w14:paraId="169D3C98" w14:textId="77777777" w:rsidR="005D5985" w:rsidRPr="008B5CE0" w:rsidRDefault="005D5985">
            <w:pPr>
              <w:pStyle w:val="TableText"/>
              <w:jc w:val="center"/>
              <w:rPr>
                <w:lang w:val="en-US"/>
              </w:rPr>
            </w:pPr>
            <w:r w:rsidRPr="008B5CE0">
              <w:rPr>
                <w:lang w:val="en-US"/>
              </w:rPr>
              <w:t>RCT/POD2</w:t>
            </w:r>
          </w:p>
        </w:tc>
        <w:tc>
          <w:tcPr>
            <w:tcW w:w="545" w:type="pct"/>
            <w:shd w:val="clear" w:color="auto" w:fill="auto"/>
            <w:vAlign w:val="center"/>
          </w:tcPr>
          <w:p w14:paraId="292A47F8" w14:textId="77777777" w:rsidR="005D5985" w:rsidRPr="008B5CE0" w:rsidRDefault="005D5985">
            <w:pPr>
              <w:pStyle w:val="TableText"/>
              <w:jc w:val="center"/>
              <w:rPr>
                <w:lang w:val="en-US"/>
              </w:rPr>
            </w:pPr>
            <w:r w:rsidRPr="008B5CE0">
              <w:rPr>
                <w:lang w:val="en-US"/>
              </w:rPr>
              <w:t>High</w:t>
            </w:r>
          </w:p>
        </w:tc>
        <w:tc>
          <w:tcPr>
            <w:tcW w:w="603" w:type="pct"/>
            <w:shd w:val="clear" w:color="auto" w:fill="auto"/>
            <w:vAlign w:val="center"/>
          </w:tcPr>
          <w:p w14:paraId="5617CA23" w14:textId="77777777" w:rsidR="005D5985" w:rsidRPr="008B5CE0" w:rsidRDefault="005D5985">
            <w:pPr>
              <w:pStyle w:val="TableText"/>
              <w:jc w:val="center"/>
              <w:rPr>
                <w:lang w:val="en-US"/>
              </w:rPr>
            </w:pPr>
            <w:r w:rsidRPr="008B5CE0">
              <w:rPr>
                <w:lang w:val="en-US"/>
              </w:rPr>
              <w:t>TKA</w:t>
            </w:r>
          </w:p>
        </w:tc>
        <w:tc>
          <w:tcPr>
            <w:tcW w:w="865" w:type="pct"/>
            <w:shd w:val="clear" w:color="auto" w:fill="auto"/>
            <w:vAlign w:val="center"/>
          </w:tcPr>
          <w:p w14:paraId="69B280C5" w14:textId="77777777" w:rsidR="005D5985" w:rsidRPr="008B5CE0" w:rsidRDefault="005D5985">
            <w:pPr>
              <w:pStyle w:val="TableText"/>
              <w:rPr>
                <w:lang w:val="en-US"/>
              </w:rPr>
            </w:pPr>
            <w:r w:rsidRPr="008B5CE0">
              <w:rPr>
                <w:lang w:val="en-US"/>
              </w:rPr>
              <w:t>Pain scores</w:t>
            </w:r>
          </w:p>
          <w:p w14:paraId="00030087" w14:textId="77777777" w:rsidR="005D5985" w:rsidRPr="008B5CE0" w:rsidRDefault="005D5985">
            <w:pPr>
              <w:pStyle w:val="TableText"/>
              <w:rPr>
                <w:lang w:val="en-US"/>
              </w:rPr>
            </w:pPr>
            <w:r w:rsidRPr="008B5CE0">
              <w:rPr>
                <w:lang w:val="en-US"/>
              </w:rPr>
              <w:t>Rescue analgesia</w:t>
            </w:r>
          </w:p>
          <w:p w14:paraId="0E37F14B" w14:textId="77777777" w:rsidR="005D5985" w:rsidRPr="008B5CE0" w:rsidRDefault="005D5985">
            <w:pPr>
              <w:pStyle w:val="TableText"/>
              <w:rPr>
                <w:lang w:val="en-US"/>
              </w:rPr>
            </w:pPr>
            <w:r w:rsidRPr="008B5CE0">
              <w:rPr>
                <w:lang w:val="en-US"/>
              </w:rPr>
              <w:t>Block re-attempt and -related A</w:t>
            </w:r>
            <w:r>
              <w:rPr>
                <w:lang w:val="en-US"/>
              </w:rPr>
              <w:t>E</w:t>
            </w:r>
            <w:r w:rsidRPr="008B5CE0">
              <w:rPr>
                <w:lang w:val="en-US"/>
              </w:rPr>
              <w:t>s</w:t>
            </w:r>
          </w:p>
        </w:tc>
        <w:tc>
          <w:tcPr>
            <w:tcW w:w="870" w:type="pct"/>
            <w:shd w:val="clear" w:color="auto" w:fill="auto"/>
            <w:vAlign w:val="center"/>
          </w:tcPr>
          <w:p w14:paraId="13309135" w14:textId="77777777" w:rsidR="005D5985" w:rsidRPr="008B5CE0" w:rsidRDefault="005D5985">
            <w:pPr>
              <w:pStyle w:val="TableText"/>
              <w:jc w:val="center"/>
              <w:rPr>
                <w:lang w:val="en-US"/>
              </w:rPr>
            </w:pPr>
            <w:r w:rsidRPr="008B5CE0">
              <w:rPr>
                <w:lang w:val="en-US"/>
              </w:rPr>
              <w:t>Yes</w:t>
            </w:r>
          </w:p>
        </w:tc>
      </w:tr>
      <w:tr w:rsidR="005D5985" w:rsidRPr="008B5CE0" w14:paraId="7CF8B320" w14:textId="77777777">
        <w:trPr>
          <w:cantSplit/>
        </w:trPr>
        <w:tc>
          <w:tcPr>
            <w:tcW w:w="995" w:type="pct"/>
            <w:shd w:val="clear" w:color="auto" w:fill="auto"/>
            <w:vAlign w:val="center"/>
          </w:tcPr>
          <w:p w14:paraId="1F55BBD8" w14:textId="77777777" w:rsidR="005D5985" w:rsidRPr="008B5CE0" w:rsidRDefault="005D5985">
            <w:pPr>
              <w:pStyle w:val="TableText"/>
              <w:rPr>
                <w:lang w:val="en-US"/>
              </w:rPr>
            </w:pPr>
            <w:r w:rsidRPr="008B5CE0">
              <w:rPr>
                <w:lang w:val="en-US"/>
              </w:rPr>
              <w:t xml:space="preserve">Kim </w:t>
            </w:r>
            <w:r>
              <w:rPr>
                <w:lang w:val="en-US"/>
              </w:rPr>
              <w:t>et al (</w:t>
            </w:r>
            <w:r w:rsidRPr="008B5CE0">
              <w:rPr>
                <w:lang w:val="en-US"/>
              </w:rPr>
              <w:t>2019</w:t>
            </w:r>
            <w:r>
              <w:rPr>
                <w:lang w:val="en-US"/>
              </w:rPr>
              <w:t>)</w:t>
            </w:r>
            <w:r w:rsidRPr="008B5CE0">
              <w:rPr>
                <w:lang w:val="en-US"/>
              </w:rPr>
              <w:t xml:space="preserve"> </w:t>
            </w:r>
          </w:p>
        </w:tc>
        <w:tc>
          <w:tcPr>
            <w:tcW w:w="398" w:type="pct"/>
            <w:shd w:val="clear" w:color="auto" w:fill="auto"/>
            <w:vAlign w:val="center"/>
          </w:tcPr>
          <w:p w14:paraId="3713FDB9" w14:textId="77777777" w:rsidR="005D5985" w:rsidRPr="008B5CE0" w:rsidRDefault="005D5985">
            <w:pPr>
              <w:pStyle w:val="TableText"/>
              <w:jc w:val="center"/>
              <w:rPr>
                <w:lang w:val="en-US"/>
              </w:rPr>
            </w:pPr>
            <w:r w:rsidRPr="008B5CE0">
              <w:rPr>
                <w:lang w:val="en-US"/>
              </w:rPr>
              <w:t>44</w:t>
            </w:r>
          </w:p>
        </w:tc>
        <w:tc>
          <w:tcPr>
            <w:tcW w:w="724" w:type="pct"/>
            <w:shd w:val="clear" w:color="auto" w:fill="auto"/>
            <w:vAlign w:val="center"/>
          </w:tcPr>
          <w:p w14:paraId="14F97B26" w14:textId="77777777" w:rsidR="005D5985" w:rsidRPr="008B5CE0" w:rsidRDefault="005D5985">
            <w:pPr>
              <w:pStyle w:val="TableText"/>
              <w:jc w:val="center"/>
              <w:rPr>
                <w:lang w:val="en-US"/>
              </w:rPr>
            </w:pPr>
            <w:r w:rsidRPr="008B5CE0">
              <w:rPr>
                <w:lang w:val="en-US"/>
              </w:rPr>
              <w:t>RCT/POD4</w:t>
            </w:r>
          </w:p>
        </w:tc>
        <w:tc>
          <w:tcPr>
            <w:tcW w:w="545" w:type="pct"/>
            <w:shd w:val="clear" w:color="auto" w:fill="auto"/>
            <w:vAlign w:val="center"/>
          </w:tcPr>
          <w:p w14:paraId="41F62B95" w14:textId="77777777" w:rsidR="005D5985" w:rsidRPr="008B5CE0" w:rsidRDefault="005D5985">
            <w:pPr>
              <w:pStyle w:val="TableText"/>
              <w:jc w:val="center"/>
              <w:rPr>
                <w:lang w:val="en-US"/>
              </w:rPr>
            </w:pPr>
            <w:r w:rsidRPr="008B5CE0">
              <w:rPr>
                <w:lang w:val="en-US"/>
              </w:rPr>
              <w:t>Some concerns</w:t>
            </w:r>
          </w:p>
        </w:tc>
        <w:tc>
          <w:tcPr>
            <w:tcW w:w="603" w:type="pct"/>
            <w:shd w:val="clear" w:color="auto" w:fill="auto"/>
            <w:vAlign w:val="center"/>
          </w:tcPr>
          <w:p w14:paraId="1BF2D79C" w14:textId="77777777" w:rsidR="005D5985" w:rsidRPr="008B5CE0" w:rsidRDefault="005D5985">
            <w:pPr>
              <w:pStyle w:val="TableText"/>
              <w:jc w:val="center"/>
              <w:rPr>
                <w:lang w:val="en-US"/>
              </w:rPr>
            </w:pPr>
            <w:r w:rsidRPr="008B5CE0">
              <w:rPr>
                <w:lang w:val="en-US"/>
              </w:rPr>
              <w:t>TKA</w:t>
            </w:r>
          </w:p>
        </w:tc>
        <w:tc>
          <w:tcPr>
            <w:tcW w:w="865" w:type="pct"/>
            <w:shd w:val="clear" w:color="auto" w:fill="auto"/>
            <w:vAlign w:val="center"/>
          </w:tcPr>
          <w:p w14:paraId="4E464567" w14:textId="77777777" w:rsidR="005D5985" w:rsidRPr="008B5CE0" w:rsidRDefault="005D5985">
            <w:pPr>
              <w:pStyle w:val="TableText"/>
              <w:rPr>
                <w:lang w:val="en-US"/>
              </w:rPr>
            </w:pPr>
            <w:r w:rsidRPr="008B5CE0">
              <w:rPr>
                <w:lang w:val="en-US"/>
              </w:rPr>
              <w:t>Pain scores</w:t>
            </w:r>
          </w:p>
          <w:p w14:paraId="78E15010" w14:textId="77777777" w:rsidR="005D5985" w:rsidRPr="008B5CE0" w:rsidRDefault="005D5985">
            <w:pPr>
              <w:pStyle w:val="TableText"/>
              <w:rPr>
                <w:lang w:val="en-US"/>
              </w:rPr>
            </w:pPr>
            <w:r w:rsidRPr="008B5CE0">
              <w:rPr>
                <w:lang w:val="en-US"/>
              </w:rPr>
              <w:t>Rescue analgesia</w:t>
            </w:r>
          </w:p>
          <w:p w14:paraId="76C9793C" w14:textId="77777777" w:rsidR="005D5985" w:rsidRPr="008B5CE0" w:rsidRDefault="005D5985">
            <w:pPr>
              <w:pStyle w:val="TableText"/>
              <w:rPr>
                <w:lang w:val="en-US"/>
              </w:rPr>
            </w:pPr>
            <w:r w:rsidRPr="008B5CE0">
              <w:rPr>
                <w:lang w:val="en-US"/>
              </w:rPr>
              <w:t>Block-related A</w:t>
            </w:r>
            <w:r>
              <w:rPr>
                <w:lang w:val="en-US"/>
              </w:rPr>
              <w:t>E</w:t>
            </w:r>
            <w:r w:rsidRPr="008B5CE0">
              <w:rPr>
                <w:lang w:val="en-US"/>
              </w:rPr>
              <w:t>s</w:t>
            </w:r>
          </w:p>
        </w:tc>
        <w:tc>
          <w:tcPr>
            <w:tcW w:w="870" w:type="pct"/>
            <w:shd w:val="clear" w:color="auto" w:fill="auto"/>
            <w:vAlign w:val="center"/>
          </w:tcPr>
          <w:p w14:paraId="2A3CE3B7" w14:textId="77777777" w:rsidR="005D5985" w:rsidRPr="008B5CE0" w:rsidRDefault="005D5985">
            <w:pPr>
              <w:pStyle w:val="TableText"/>
              <w:jc w:val="center"/>
              <w:rPr>
                <w:lang w:val="en-US"/>
              </w:rPr>
            </w:pPr>
            <w:r w:rsidRPr="008B5CE0">
              <w:rPr>
                <w:lang w:val="en-US"/>
              </w:rPr>
              <w:t>Yes</w:t>
            </w:r>
          </w:p>
        </w:tc>
      </w:tr>
      <w:tr w:rsidR="005D5985" w:rsidRPr="008B5CE0" w14:paraId="5DAC7B46" w14:textId="77777777">
        <w:trPr>
          <w:cantSplit/>
        </w:trPr>
        <w:tc>
          <w:tcPr>
            <w:tcW w:w="5000" w:type="pct"/>
            <w:gridSpan w:val="7"/>
            <w:shd w:val="clear" w:color="auto" w:fill="auto"/>
            <w:vAlign w:val="center"/>
          </w:tcPr>
          <w:p w14:paraId="6BFCD60C" w14:textId="77777777" w:rsidR="005D5985" w:rsidRPr="008B5CE0" w:rsidRDefault="005D5985">
            <w:pPr>
              <w:pStyle w:val="In-tableHeading"/>
            </w:pPr>
            <w:r w:rsidRPr="008B5CE0">
              <w:t>Comparator: systemic opioids</w:t>
            </w:r>
            <w:r w:rsidRPr="00D059DF">
              <w:rPr>
                <w:vertAlign w:val="superscript"/>
              </w:rPr>
              <w:t>b</w:t>
            </w:r>
          </w:p>
        </w:tc>
      </w:tr>
      <w:tr w:rsidR="005D5985" w:rsidRPr="008B5CE0" w14:paraId="1AA61904" w14:textId="77777777">
        <w:trPr>
          <w:cantSplit/>
        </w:trPr>
        <w:tc>
          <w:tcPr>
            <w:tcW w:w="995" w:type="pct"/>
            <w:shd w:val="clear" w:color="auto" w:fill="auto"/>
            <w:vAlign w:val="center"/>
          </w:tcPr>
          <w:p w14:paraId="3D022271" w14:textId="77777777" w:rsidR="005D5985" w:rsidRPr="008B5CE0" w:rsidRDefault="005D5985">
            <w:pPr>
              <w:pStyle w:val="TableText"/>
              <w:rPr>
                <w:lang w:val="en-US"/>
              </w:rPr>
            </w:pPr>
            <w:r w:rsidRPr="008B5CE0">
              <w:rPr>
                <w:lang w:val="en-US"/>
              </w:rPr>
              <w:t>Dodds</w:t>
            </w:r>
            <w:r>
              <w:rPr>
                <w:lang w:val="en-US"/>
              </w:rPr>
              <w:t xml:space="preserve"> et al</w:t>
            </w:r>
            <w:r w:rsidRPr="008B5CE0">
              <w:rPr>
                <w:lang w:val="en-US"/>
              </w:rPr>
              <w:t xml:space="preserve"> </w:t>
            </w:r>
            <w:r>
              <w:rPr>
                <w:lang w:val="en-US"/>
              </w:rPr>
              <w:t>(</w:t>
            </w:r>
            <w:r w:rsidRPr="008B5CE0">
              <w:rPr>
                <w:lang w:val="en-US"/>
              </w:rPr>
              <w:t>1995</w:t>
            </w:r>
            <w:r>
              <w:rPr>
                <w:lang w:val="en-US"/>
              </w:rPr>
              <w:t>)</w:t>
            </w:r>
            <w:r w:rsidRPr="008B5CE0">
              <w:rPr>
                <w:lang w:val="en-US"/>
              </w:rPr>
              <w:t xml:space="preserve"> </w:t>
            </w:r>
          </w:p>
        </w:tc>
        <w:tc>
          <w:tcPr>
            <w:tcW w:w="398" w:type="pct"/>
            <w:shd w:val="clear" w:color="auto" w:fill="auto"/>
            <w:vAlign w:val="center"/>
          </w:tcPr>
          <w:p w14:paraId="15F0261D" w14:textId="77777777" w:rsidR="005D5985" w:rsidRPr="008B5CE0" w:rsidRDefault="005D5985">
            <w:pPr>
              <w:pStyle w:val="TableText"/>
              <w:jc w:val="center"/>
              <w:rPr>
                <w:lang w:val="en-US"/>
              </w:rPr>
            </w:pPr>
            <w:r w:rsidRPr="008B5CE0">
              <w:rPr>
                <w:lang w:val="en-US"/>
              </w:rPr>
              <w:t>104</w:t>
            </w:r>
          </w:p>
        </w:tc>
        <w:tc>
          <w:tcPr>
            <w:tcW w:w="724" w:type="pct"/>
            <w:shd w:val="clear" w:color="auto" w:fill="auto"/>
            <w:vAlign w:val="center"/>
          </w:tcPr>
          <w:p w14:paraId="38F2F0F1" w14:textId="77777777" w:rsidR="005D5985" w:rsidRPr="008B5CE0" w:rsidRDefault="005D5985">
            <w:pPr>
              <w:pStyle w:val="TableText"/>
              <w:jc w:val="center"/>
              <w:rPr>
                <w:lang w:val="en-US"/>
              </w:rPr>
            </w:pPr>
            <w:r w:rsidRPr="008B5CE0">
              <w:rPr>
                <w:lang w:val="en-US"/>
              </w:rPr>
              <w:t>RCT/48h</w:t>
            </w:r>
          </w:p>
        </w:tc>
        <w:tc>
          <w:tcPr>
            <w:tcW w:w="545" w:type="pct"/>
            <w:shd w:val="clear" w:color="auto" w:fill="auto"/>
            <w:vAlign w:val="center"/>
          </w:tcPr>
          <w:p w14:paraId="5B120F30" w14:textId="77777777" w:rsidR="005D5985" w:rsidRPr="008B5CE0" w:rsidRDefault="005D5985">
            <w:pPr>
              <w:pStyle w:val="TableText"/>
              <w:jc w:val="center"/>
              <w:rPr>
                <w:lang w:val="en-US"/>
              </w:rPr>
            </w:pPr>
            <w:r w:rsidRPr="008B5CE0">
              <w:rPr>
                <w:iCs/>
                <w:lang w:val="en-US"/>
              </w:rPr>
              <w:t>High</w:t>
            </w:r>
          </w:p>
        </w:tc>
        <w:tc>
          <w:tcPr>
            <w:tcW w:w="603" w:type="pct"/>
            <w:shd w:val="clear" w:color="auto" w:fill="auto"/>
            <w:vAlign w:val="center"/>
          </w:tcPr>
          <w:p w14:paraId="5EDD82C5" w14:textId="77777777" w:rsidR="005D5985" w:rsidRPr="008B5CE0" w:rsidRDefault="005D5985">
            <w:pPr>
              <w:pStyle w:val="TableText"/>
              <w:jc w:val="center"/>
              <w:rPr>
                <w:lang w:val="en-US"/>
              </w:rPr>
            </w:pPr>
            <w:r w:rsidRPr="008B5CE0">
              <w:t>Anterior cruciate ligament</w:t>
            </w:r>
            <w:r w:rsidRPr="008B5CE0" w:rsidDel="00380750">
              <w:rPr>
                <w:lang w:val="en-US"/>
              </w:rPr>
              <w:t xml:space="preserve"> </w:t>
            </w:r>
            <w:r w:rsidRPr="008B5CE0">
              <w:rPr>
                <w:lang w:val="en-US"/>
              </w:rPr>
              <w:t>reconstruction</w:t>
            </w:r>
          </w:p>
        </w:tc>
        <w:tc>
          <w:tcPr>
            <w:tcW w:w="865" w:type="pct"/>
            <w:shd w:val="clear" w:color="auto" w:fill="auto"/>
            <w:vAlign w:val="center"/>
          </w:tcPr>
          <w:p w14:paraId="72EEB3B4" w14:textId="77777777" w:rsidR="005D5985" w:rsidRPr="008B5CE0" w:rsidRDefault="005D5985">
            <w:pPr>
              <w:pStyle w:val="TableText"/>
              <w:rPr>
                <w:lang w:val="en-US"/>
              </w:rPr>
            </w:pPr>
            <w:r w:rsidRPr="008B5CE0">
              <w:rPr>
                <w:lang w:val="en-US"/>
              </w:rPr>
              <w:t>Pain scores</w:t>
            </w:r>
          </w:p>
          <w:p w14:paraId="4A70EF0F" w14:textId="77777777" w:rsidR="005D5985" w:rsidRPr="008B5CE0" w:rsidRDefault="005D5985">
            <w:pPr>
              <w:pStyle w:val="TableText"/>
              <w:rPr>
                <w:lang w:val="en-US"/>
              </w:rPr>
            </w:pPr>
            <w:r w:rsidRPr="008B5CE0">
              <w:rPr>
                <w:lang w:val="en-US"/>
              </w:rPr>
              <w:t>Rescue analgesia</w:t>
            </w:r>
          </w:p>
          <w:p w14:paraId="698FF73A" w14:textId="77777777" w:rsidR="005D5985" w:rsidRPr="008B5CE0" w:rsidRDefault="005D5985">
            <w:pPr>
              <w:pStyle w:val="TableText"/>
              <w:rPr>
                <w:lang w:val="en-US"/>
              </w:rPr>
            </w:pPr>
            <w:r w:rsidRPr="008B5CE0">
              <w:rPr>
                <w:lang w:val="en-US"/>
              </w:rPr>
              <w:t>Block re-attempt and -related A</w:t>
            </w:r>
            <w:r>
              <w:rPr>
                <w:lang w:val="en-US"/>
              </w:rPr>
              <w:t>E</w:t>
            </w:r>
            <w:r w:rsidRPr="008B5CE0">
              <w:rPr>
                <w:lang w:val="en-US"/>
              </w:rPr>
              <w:t>s</w:t>
            </w:r>
          </w:p>
        </w:tc>
        <w:tc>
          <w:tcPr>
            <w:tcW w:w="870" w:type="pct"/>
            <w:shd w:val="clear" w:color="auto" w:fill="auto"/>
            <w:vAlign w:val="center"/>
          </w:tcPr>
          <w:p w14:paraId="530C51AC" w14:textId="77777777" w:rsidR="005D5985" w:rsidRPr="008B5CE0" w:rsidRDefault="005D5985">
            <w:pPr>
              <w:pStyle w:val="TableText"/>
              <w:jc w:val="center"/>
              <w:rPr>
                <w:lang w:val="en-US"/>
              </w:rPr>
            </w:pPr>
            <w:r w:rsidRPr="008B5CE0">
              <w:rPr>
                <w:lang w:val="en-US"/>
              </w:rPr>
              <w:t>Scenario analysis only</w:t>
            </w:r>
          </w:p>
        </w:tc>
      </w:tr>
      <w:tr w:rsidR="005D5985" w:rsidRPr="008B5CE0" w14:paraId="29F27886" w14:textId="77777777">
        <w:trPr>
          <w:cantSplit/>
        </w:trPr>
        <w:tc>
          <w:tcPr>
            <w:tcW w:w="995" w:type="pct"/>
            <w:shd w:val="clear" w:color="auto" w:fill="auto"/>
            <w:vAlign w:val="center"/>
          </w:tcPr>
          <w:p w14:paraId="711A66A6" w14:textId="77777777" w:rsidR="005D5985" w:rsidRPr="008B5CE0" w:rsidRDefault="005D5985">
            <w:pPr>
              <w:pStyle w:val="TableText"/>
              <w:rPr>
                <w:lang w:val="en-US"/>
              </w:rPr>
            </w:pPr>
            <w:r w:rsidRPr="008B5CE0">
              <w:rPr>
                <w:lang w:val="en-US"/>
              </w:rPr>
              <w:t>Yu</w:t>
            </w:r>
            <w:r>
              <w:rPr>
                <w:lang w:val="en-US"/>
              </w:rPr>
              <w:t xml:space="preserve"> et al</w:t>
            </w:r>
            <w:r w:rsidRPr="008B5CE0">
              <w:rPr>
                <w:lang w:val="en-US"/>
              </w:rPr>
              <w:t xml:space="preserve"> </w:t>
            </w:r>
            <w:r>
              <w:rPr>
                <w:lang w:val="en-US"/>
              </w:rPr>
              <w:t>(</w:t>
            </w:r>
            <w:r w:rsidRPr="008B5CE0">
              <w:rPr>
                <w:lang w:val="en-US"/>
              </w:rPr>
              <w:t>2018</w:t>
            </w:r>
            <w:r>
              <w:rPr>
                <w:lang w:val="en-US"/>
              </w:rPr>
              <w:t>)</w:t>
            </w:r>
            <w:r w:rsidRPr="008B5CE0">
              <w:rPr>
                <w:lang w:val="en-US"/>
              </w:rPr>
              <w:t xml:space="preserve"> </w:t>
            </w:r>
          </w:p>
        </w:tc>
        <w:tc>
          <w:tcPr>
            <w:tcW w:w="398" w:type="pct"/>
            <w:shd w:val="clear" w:color="auto" w:fill="auto"/>
            <w:vAlign w:val="center"/>
          </w:tcPr>
          <w:p w14:paraId="1CE0D0FD" w14:textId="77777777" w:rsidR="005D5985" w:rsidRPr="008B5CE0" w:rsidRDefault="005D5985">
            <w:pPr>
              <w:pStyle w:val="TableText"/>
              <w:jc w:val="center"/>
              <w:rPr>
                <w:lang w:val="en-US"/>
              </w:rPr>
            </w:pPr>
            <w:r w:rsidRPr="008B5CE0">
              <w:rPr>
                <w:lang w:val="en-US"/>
              </w:rPr>
              <w:t>46</w:t>
            </w:r>
          </w:p>
        </w:tc>
        <w:tc>
          <w:tcPr>
            <w:tcW w:w="724" w:type="pct"/>
            <w:shd w:val="clear" w:color="auto" w:fill="auto"/>
            <w:vAlign w:val="center"/>
          </w:tcPr>
          <w:p w14:paraId="77BE35ED" w14:textId="77777777" w:rsidR="005D5985" w:rsidRPr="008B5CE0" w:rsidRDefault="005D5985">
            <w:pPr>
              <w:pStyle w:val="TableText"/>
              <w:jc w:val="center"/>
              <w:rPr>
                <w:lang w:val="en-US"/>
              </w:rPr>
            </w:pPr>
            <w:r w:rsidRPr="008B5CE0">
              <w:rPr>
                <w:lang w:val="en-US"/>
              </w:rPr>
              <w:t>RCT/48h</w:t>
            </w:r>
          </w:p>
        </w:tc>
        <w:tc>
          <w:tcPr>
            <w:tcW w:w="545" w:type="pct"/>
            <w:shd w:val="clear" w:color="auto" w:fill="auto"/>
            <w:vAlign w:val="center"/>
          </w:tcPr>
          <w:p w14:paraId="5727B1E4" w14:textId="77777777" w:rsidR="005D5985" w:rsidRPr="008B5CE0" w:rsidRDefault="005D5985">
            <w:pPr>
              <w:pStyle w:val="TableText"/>
              <w:jc w:val="center"/>
              <w:rPr>
                <w:lang w:val="en-US"/>
              </w:rPr>
            </w:pPr>
            <w:r w:rsidRPr="008B5CE0">
              <w:rPr>
                <w:iCs/>
                <w:lang w:val="en-US"/>
              </w:rPr>
              <w:t>Some concerns</w:t>
            </w:r>
          </w:p>
        </w:tc>
        <w:tc>
          <w:tcPr>
            <w:tcW w:w="603" w:type="pct"/>
            <w:shd w:val="clear" w:color="auto" w:fill="auto"/>
            <w:vAlign w:val="center"/>
          </w:tcPr>
          <w:p w14:paraId="28E06E24" w14:textId="77777777" w:rsidR="005D5985" w:rsidRPr="008B5CE0" w:rsidRDefault="005D5985">
            <w:pPr>
              <w:pStyle w:val="TableText"/>
              <w:jc w:val="center"/>
              <w:rPr>
                <w:lang w:val="en-US"/>
              </w:rPr>
            </w:pPr>
            <w:r w:rsidRPr="008B5CE0">
              <w:rPr>
                <w:lang w:val="en-US"/>
              </w:rPr>
              <w:t>TKA</w:t>
            </w:r>
          </w:p>
        </w:tc>
        <w:tc>
          <w:tcPr>
            <w:tcW w:w="865" w:type="pct"/>
            <w:shd w:val="clear" w:color="auto" w:fill="auto"/>
            <w:vAlign w:val="center"/>
          </w:tcPr>
          <w:p w14:paraId="44EE2DA6" w14:textId="77777777" w:rsidR="005D5985" w:rsidRPr="008B5CE0" w:rsidRDefault="005D5985">
            <w:pPr>
              <w:pStyle w:val="TableText"/>
              <w:rPr>
                <w:lang w:val="en-US"/>
              </w:rPr>
            </w:pPr>
            <w:r w:rsidRPr="008B5CE0">
              <w:rPr>
                <w:lang w:val="en-US"/>
              </w:rPr>
              <w:t>Pain scores</w:t>
            </w:r>
          </w:p>
          <w:p w14:paraId="005A1997" w14:textId="77777777" w:rsidR="005D5985" w:rsidRPr="008B5CE0" w:rsidRDefault="005D5985">
            <w:pPr>
              <w:pStyle w:val="TableText"/>
              <w:rPr>
                <w:lang w:val="en-US"/>
              </w:rPr>
            </w:pPr>
          </w:p>
        </w:tc>
        <w:tc>
          <w:tcPr>
            <w:tcW w:w="870" w:type="pct"/>
            <w:shd w:val="clear" w:color="auto" w:fill="auto"/>
            <w:vAlign w:val="center"/>
          </w:tcPr>
          <w:p w14:paraId="1B9478FE" w14:textId="77777777" w:rsidR="005D5985" w:rsidRPr="008B5CE0" w:rsidRDefault="005D5985">
            <w:pPr>
              <w:pStyle w:val="TableText"/>
              <w:jc w:val="center"/>
              <w:rPr>
                <w:lang w:val="en-US"/>
              </w:rPr>
            </w:pPr>
            <w:r w:rsidRPr="008B5CE0">
              <w:rPr>
                <w:lang w:val="en-US"/>
              </w:rPr>
              <w:t>Scenario analysis only</w:t>
            </w:r>
          </w:p>
        </w:tc>
      </w:tr>
      <w:tr w:rsidR="005D5985" w:rsidRPr="008B5CE0" w14:paraId="64F2111C" w14:textId="77777777">
        <w:trPr>
          <w:cantSplit/>
        </w:trPr>
        <w:tc>
          <w:tcPr>
            <w:tcW w:w="995" w:type="pct"/>
            <w:shd w:val="clear" w:color="auto" w:fill="auto"/>
            <w:vAlign w:val="center"/>
          </w:tcPr>
          <w:p w14:paraId="56068325" w14:textId="77777777" w:rsidR="005D5985" w:rsidRPr="008B5CE0" w:rsidRDefault="005D5985">
            <w:pPr>
              <w:pStyle w:val="TableText"/>
              <w:rPr>
                <w:lang w:val="en-US"/>
              </w:rPr>
            </w:pPr>
            <w:r w:rsidRPr="008B5CE0">
              <w:rPr>
                <w:lang w:val="en-US"/>
              </w:rPr>
              <w:lastRenderedPageBreak/>
              <w:t xml:space="preserve">Lee </w:t>
            </w:r>
            <w:r>
              <w:rPr>
                <w:lang w:val="en-US"/>
              </w:rPr>
              <w:t>et al (</w:t>
            </w:r>
            <w:r w:rsidRPr="008B5CE0">
              <w:rPr>
                <w:lang w:val="en-US"/>
              </w:rPr>
              <w:t>2012</w:t>
            </w:r>
            <w:r>
              <w:rPr>
                <w:lang w:val="en-US"/>
              </w:rPr>
              <w:t>)</w:t>
            </w:r>
            <w:r w:rsidRPr="008B5CE0">
              <w:rPr>
                <w:lang w:val="en-US"/>
              </w:rPr>
              <w:t xml:space="preserve"> </w:t>
            </w:r>
          </w:p>
        </w:tc>
        <w:tc>
          <w:tcPr>
            <w:tcW w:w="398" w:type="pct"/>
            <w:shd w:val="clear" w:color="auto" w:fill="auto"/>
            <w:vAlign w:val="center"/>
          </w:tcPr>
          <w:p w14:paraId="52E213CF" w14:textId="77777777" w:rsidR="005D5985" w:rsidRPr="008B5CE0" w:rsidRDefault="005D5985">
            <w:pPr>
              <w:pStyle w:val="TableText"/>
              <w:jc w:val="center"/>
              <w:rPr>
                <w:lang w:val="en-US"/>
              </w:rPr>
            </w:pPr>
            <w:r w:rsidRPr="008B5CE0">
              <w:rPr>
                <w:lang w:val="en-US"/>
              </w:rPr>
              <w:t>40</w:t>
            </w:r>
          </w:p>
        </w:tc>
        <w:tc>
          <w:tcPr>
            <w:tcW w:w="724" w:type="pct"/>
            <w:shd w:val="clear" w:color="auto" w:fill="auto"/>
            <w:vAlign w:val="center"/>
          </w:tcPr>
          <w:p w14:paraId="461EBF38" w14:textId="77777777" w:rsidR="005D5985" w:rsidRPr="008B5CE0" w:rsidRDefault="005D5985">
            <w:pPr>
              <w:pStyle w:val="TableText"/>
              <w:jc w:val="center"/>
              <w:rPr>
                <w:lang w:val="en-US"/>
              </w:rPr>
            </w:pPr>
            <w:r w:rsidRPr="008B5CE0">
              <w:rPr>
                <w:lang w:val="en-US"/>
              </w:rPr>
              <w:t>RCT/48h</w:t>
            </w:r>
          </w:p>
        </w:tc>
        <w:tc>
          <w:tcPr>
            <w:tcW w:w="545" w:type="pct"/>
            <w:shd w:val="clear" w:color="auto" w:fill="auto"/>
            <w:vAlign w:val="center"/>
          </w:tcPr>
          <w:p w14:paraId="249AAB13" w14:textId="77777777" w:rsidR="005D5985" w:rsidRPr="008B5CE0" w:rsidRDefault="005D5985">
            <w:pPr>
              <w:pStyle w:val="TableText"/>
              <w:jc w:val="center"/>
              <w:rPr>
                <w:lang w:val="en-US"/>
              </w:rPr>
            </w:pPr>
            <w:r w:rsidRPr="008B5CE0">
              <w:rPr>
                <w:lang w:val="en-US"/>
              </w:rPr>
              <w:t>Some concerns</w:t>
            </w:r>
          </w:p>
        </w:tc>
        <w:tc>
          <w:tcPr>
            <w:tcW w:w="603" w:type="pct"/>
            <w:shd w:val="clear" w:color="auto" w:fill="auto"/>
            <w:vAlign w:val="center"/>
          </w:tcPr>
          <w:p w14:paraId="5CA1C8AC" w14:textId="77777777" w:rsidR="005D5985" w:rsidRPr="008B5CE0" w:rsidRDefault="005D5985">
            <w:pPr>
              <w:pStyle w:val="TableText"/>
              <w:jc w:val="center"/>
              <w:rPr>
                <w:lang w:val="en-US"/>
              </w:rPr>
            </w:pPr>
            <w:r w:rsidRPr="008B5CE0">
              <w:rPr>
                <w:lang w:val="en-US"/>
              </w:rPr>
              <w:t>TKA</w:t>
            </w:r>
          </w:p>
        </w:tc>
        <w:tc>
          <w:tcPr>
            <w:tcW w:w="865" w:type="pct"/>
            <w:shd w:val="clear" w:color="auto" w:fill="auto"/>
            <w:vAlign w:val="center"/>
          </w:tcPr>
          <w:p w14:paraId="459C6758" w14:textId="77777777" w:rsidR="005D5985" w:rsidRPr="008B5CE0" w:rsidRDefault="005D5985">
            <w:pPr>
              <w:pStyle w:val="TableText"/>
              <w:rPr>
                <w:lang w:val="en-US"/>
              </w:rPr>
            </w:pPr>
            <w:r w:rsidRPr="008B5CE0">
              <w:rPr>
                <w:lang w:val="en-US"/>
              </w:rPr>
              <w:t>Pain scores</w:t>
            </w:r>
          </w:p>
          <w:p w14:paraId="1C357449" w14:textId="77777777" w:rsidR="005D5985" w:rsidRPr="008B5CE0" w:rsidRDefault="005D5985">
            <w:pPr>
              <w:pStyle w:val="TableText"/>
              <w:rPr>
                <w:lang w:val="en-US"/>
              </w:rPr>
            </w:pPr>
            <w:r w:rsidRPr="008B5CE0">
              <w:rPr>
                <w:lang w:val="en-US"/>
              </w:rPr>
              <w:t>Rescue analgesia</w:t>
            </w:r>
          </w:p>
          <w:p w14:paraId="49BADBC7" w14:textId="77777777" w:rsidR="005D5985" w:rsidRPr="008B5CE0" w:rsidRDefault="005D5985">
            <w:pPr>
              <w:pStyle w:val="TableText"/>
              <w:rPr>
                <w:lang w:val="en-US"/>
              </w:rPr>
            </w:pPr>
            <w:r w:rsidRPr="008B5CE0">
              <w:rPr>
                <w:lang w:val="en-US"/>
              </w:rPr>
              <w:t>Block-related A</w:t>
            </w:r>
            <w:r>
              <w:rPr>
                <w:lang w:val="en-US"/>
              </w:rPr>
              <w:t>E</w:t>
            </w:r>
            <w:r w:rsidRPr="008B5CE0">
              <w:rPr>
                <w:lang w:val="en-US"/>
              </w:rPr>
              <w:t>s</w:t>
            </w:r>
          </w:p>
          <w:p w14:paraId="208E312B" w14:textId="77777777" w:rsidR="005D5985" w:rsidRPr="008B5CE0" w:rsidRDefault="005D5985">
            <w:pPr>
              <w:pStyle w:val="TableText"/>
              <w:rPr>
                <w:lang w:val="en-US"/>
              </w:rPr>
            </w:pPr>
            <w:r w:rsidRPr="008B5CE0">
              <w:rPr>
                <w:lang w:val="en-US"/>
              </w:rPr>
              <w:t>LOS</w:t>
            </w:r>
          </w:p>
        </w:tc>
        <w:tc>
          <w:tcPr>
            <w:tcW w:w="870" w:type="pct"/>
            <w:shd w:val="clear" w:color="auto" w:fill="auto"/>
            <w:vAlign w:val="center"/>
          </w:tcPr>
          <w:p w14:paraId="0A010A3A" w14:textId="77777777" w:rsidR="005D5985" w:rsidRPr="008B5CE0" w:rsidRDefault="005D5985">
            <w:pPr>
              <w:pStyle w:val="TableText"/>
              <w:jc w:val="center"/>
              <w:rPr>
                <w:lang w:val="en-US"/>
              </w:rPr>
            </w:pPr>
            <w:r w:rsidRPr="008B5CE0">
              <w:rPr>
                <w:lang w:val="en-US"/>
              </w:rPr>
              <w:t>Scenario analysis only</w:t>
            </w:r>
          </w:p>
        </w:tc>
      </w:tr>
      <w:tr w:rsidR="005D5985" w:rsidRPr="008B5CE0" w14:paraId="78787242" w14:textId="77777777">
        <w:trPr>
          <w:cantSplit/>
        </w:trPr>
        <w:tc>
          <w:tcPr>
            <w:tcW w:w="995" w:type="pct"/>
            <w:shd w:val="clear" w:color="auto" w:fill="auto"/>
            <w:vAlign w:val="center"/>
          </w:tcPr>
          <w:p w14:paraId="3587484C" w14:textId="77777777" w:rsidR="005D5985" w:rsidRPr="008B5CE0" w:rsidRDefault="005D5985">
            <w:pPr>
              <w:pStyle w:val="TableText"/>
              <w:rPr>
                <w:lang w:val="en-US"/>
              </w:rPr>
            </w:pPr>
            <w:r w:rsidRPr="008B5CE0">
              <w:rPr>
                <w:lang w:val="en-US"/>
              </w:rPr>
              <w:t xml:space="preserve">Peng </w:t>
            </w:r>
            <w:r>
              <w:rPr>
                <w:lang w:val="en-US"/>
              </w:rPr>
              <w:t>et al (</w:t>
            </w:r>
            <w:r w:rsidRPr="008B5CE0">
              <w:rPr>
                <w:lang w:val="en-US"/>
              </w:rPr>
              <w:t>2014</w:t>
            </w:r>
            <w:r>
              <w:rPr>
                <w:lang w:val="en-US"/>
              </w:rPr>
              <w:t>)</w:t>
            </w:r>
            <w:r w:rsidRPr="008B5CE0">
              <w:rPr>
                <w:lang w:val="en-US"/>
              </w:rPr>
              <w:t xml:space="preserve"> </w:t>
            </w:r>
          </w:p>
        </w:tc>
        <w:tc>
          <w:tcPr>
            <w:tcW w:w="398" w:type="pct"/>
            <w:shd w:val="clear" w:color="auto" w:fill="auto"/>
            <w:vAlign w:val="center"/>
          </w:tcPr>
          <w:p w14:paraId="21ED5F62" w14:textId="77777777" w:rsidR="005D5985" w:rsidRPr="008B5CE0" w:rsidRDefault="005D5985">
            <w:pPr>
              <w:pStyle w:val="TableText"/>
              <w:jc w:val="center"/>
              <w:rPr>
                <w:lang w:val="en-US"/>
              </w:rPr>
            </w:pPr>
            <w:r w:rsidRPr="008B5CE0">
              <w:rPr>
                <w:lang w:val="en-US"/>
              </w:rPr>
              <w:t>280</w:t>
            </w:r>
          </w:p>
        </w:tc>
        <w:tc>
          <w:tcPr>
            <w:tcW w:w="724" w:type="pct"/>
            <w:shd w:val="clear" w:color="auto" w:fill="auto"/>
            <w:vAlign w:val="center"/>
          </w:tcPr>
          <w:p w14:paraId="2A70E8ED" w14:textId="77777777" w:rsidR="005D5985" w:rsidRPr="008B5CE0" w:rsidRDefault="005D5985">
            <w:pPr>
              <w:pStyle w:val="TableText"/>
              <w:jc w:val="center"/>
              <w:rPr>
                <w:lang w:val="en-US"/>
              </w:rPr>
            </w:pPr>
            <w:r w:rsidRPr="008B5CE0">
              <w:rPr>
                <w:lang w:val="en-US"/>
              </w:rPr>
              <w:t>RCT/12months</w:t>
            </w:r>
          </w:p>
        </w:tc>
        <w:tc>
          <w:tcPr>
            <w:tcW w:w="545" w:type="pct"/>
            <w:shd w:val="clear" w:color="auto" w:fill="auto"/>
            <w:vAlign w:val="center"/>
          </w:tcPr>
          <w:p w14:paraId="48A49A06" w14:textId="77777777" w:rsidR="005D5985" w:rsidRPr="008B5CE0" w:rsidRDefault="005D5985">
            <w:pPr>
              <w:pStyle w:val="TableText"/>
              <w:jc w:val="center"/>
              <w:rPr>
                <w:lang w:val="en-US"/>
              </w:rPr>
            </w:pPr>
            <w:r w:rsidRPr="008B5CE0">
              <w:rPr>
                <w:lang w:val="en-US"/>
              </w:rPr>
              <w:t>Some concerns</w:t>
            </w:r>
            <w:r w:rsidRPr="00D059DF">
              <w:rPr>
                <w:vertAlign w:val="superscript"/>
                <w:lang w:val="en-US"/>
              </w:rPr>
              <w:t>c</w:t>
            </w:r>
          </w:p>
        </w:tc>
        <w:tc>
          <w:tcPr>
            <w:tcW w:w="603" w:type="pct"/>
            <w:shd w:val="clear" w:color="auto" w:fill="auto"/>
            <w:vAlign w:val="center"/>
          </w:tcPr>
          <w:p w14:paraId="6DB5AE6B" w14:textId="77777777" w:rsidR="005D5985" w:rsidRPr="008B5CE0" w:rsidRDefault="005D5985">
            <w:pPr>
              <w:pStyle w:val="TableText"/>
              <w:jc w:val="center"/>
              <w:rPr>
                <w:lang w:val="en-US"/>
              </w:rPr>
            </w:pPr>
            <w:r w:rsidRPr="008B5CE0">
              <w:rPr>
                <w:lang w:val="en-US"/>
              </w:rPr>
              <w:t>TKA</w:t>
            </w:r>
          </w:p>
        </w:tc>
        <w:tc>
          <w:tcPr>
            <w:tcW w:w="865" w:type="pct"/>
            <w:shd w:val="clear" w:color="auto" w:fill="auto"/>
            <w:vAlign w:val="center"/>
          </w:tcPr>
          <w:p w14:paraId="6DF141B2" w14:textId="77777777" w:rsidR="005D5985" w:rsidRPr="008B5CE0" w:rsidRDefault="005D5985">
            <w:pPr>
              <w:pStyle w:val="TableText"/>
              <w:rPr>
                <w:lang w:val="en-US"/>
              </w:rPr>
            </w:pPr>
            <w:r w:rsidRPr="008B5CE0">
              <w:rPr>
                <w:lang w:val="en-US"/>
              </w:rPr>
              <w:t>Pain scores</w:t>
            </w:r>
          </w:p>
          <w:p w14:paraId="5B722932" w14:textId="77777777" w:rsidR="005D5985" w:rsidRPr="008B5CE0" w:rsidRDefault="005D5985">
            <w:pPr>
              <w:pStyle w:val="TableText"/>
              <w:rPr>
                <w:lang w:val="en-US"/>
              </w:rPr>
            </w:pPr>
            <w:r w:rsidRPr="008B5CE0">
              <w:rPr>
                <w:lang w:val="en-US"/>
              </w:rPr>
              <w:t>Rescue analgesia</w:t>
            </w:r>
          </w:p>
          <w:p w14:paraId="45A353C8" w14:textId="77777777" w:rsidR="005D5985" w:rsidRPr="008B5CE0" w:rsidRDefault="005D5985">
            <w:pPr>
              <w:pStyle w:val="TableText"/>
              <w:rPr>
                <w:lang w:val="en-US"/>
              </w:rPr>
            </w:pPr>
            <w:r w:rsidRPr="008B5CE0">
              <w:rPr>
                <w:lang w:val="en-US"/>
              </w:rPr>
              <w:t>Block-related A</w:t>
            </w:r>
            <w:r>
              <w:rPr>
                <w:lang w:val="en-US"/>
              </w:rPr>
              <w:t>E</w:t>
            </w:r>
            <w:r w:rsidRPr="008B5CE0">
              <w:rPr>
                <w:lang w:val="en-US"/>
              </w:rPr>
              <w:t>s</w:t>
            </w:r>
          </w:p>
          <w:p w14:paraId="25D1F9B9" w14:textId="77777777" w:rsidR="005D5985" w:rsidRPr="008B5CE0" w:rsidRDefault="005D5985">
            <w:pPr>
              <w:pStyle w:val="TableText"/>
              <w:rPr>
                <w:lang w:val="en-US"/>
              </w:rPr>
            </w:pPr>
            <w:r w:rsidRPr="008B5CE0">
              <w:rPr>
                <w:lang w:val="en-US"/>
              </w:rPr>
              <w:t>CPOP</w:t>
            </w:r>
          </w:p>
        </w:tc>
        <w:tc>
          <w:tcPr>
            <w:tcW w:w="870" w:type="pct"/>
            <w:shd w:val="clear" w:color="auto" w:fill="auto"/>
            <w:vAlign w:val="center"/>
          </w:tcPr>
          <w:p w14:paraId="0365EE6D" w14:textId="77777777" w:rsidR="005D5985" w:rsidRPr="008B5CE0" w:rsidRDefault="005D5985">
            <w:pPr>
              <w:pStyle w:val="TableText"/>
              <w:jc w:val="center"/>
              <w:rPr>
                <w:lang w:val="en-US"/>
              </w:rPr>
            </w:pPr>
            <w:r w:rsidRPr="008B5CE0">
              <w:rPr>
                <w:lang w:val="en-US"/>
              </w:rPr>
              <w:t>Scenario analysis only</w:t>
            </w:r>
          </w:p>
        </w:tc>
      </w:tr>
      <w:tr w:rsidR="005D5985" w:rsidRPr="008B5CE0" w14:paraId="67659E90" w14:textId="77777777">
        <w:trPr>
          <w:cantSplit/>
        </w:trPr>
        <w:tc>
          <w:tcPr>
            <w:tcW w:w="5000" w:type="pct"/>
            <w:gridSpan w:val="7"/>
            <w:shd w:val="clear" w:color="auto" w:fill="auto"/>
            <w:vAlign w:val="center"/>
          </w:tcPr>
          <w:p w14:paraId="3FC443B0" w14:textId="77777777" w:rsidR="005D5985" w:rsidRPr="008B5CE0" w:rsidRDefault="005D5985">
            <w:pPr>
              <w:pStyle w:val="TableText"/>
              <w:rPr>
                <w:b/>
                <w:bCs/>
                <w:lang w:val="en-US"/>
              </w:rPr>
            </w:pPr>
            <w:r w:rsidRPr="008B5CE0">
              <w:rPr>
                <w:b/>
                <w:bCs/>
                <w:lang w:val="en-US"/>
              </w:rPr>
              <w:t>Comparator: neuraxial block</w:t>
            </w:r>
            <w:r w:rsidRPr="00D059DF">
              <w:rPr>
                <w:b/>
                <w:bCs/>
                <w:vertAlign w:val="superscript"/>
                <w:lang w:val="en-US"/>
              </w:rPr>
              <w:t>d</w:t>
            </w:r>
          </w:p>
        </w:tc>
      </w:tr>
      <w:tr w:rsidR="005D5985" w:rsidRPr="008B5CE0" w14:paraId="5B742551" w14:textId="77777777">
        <w:trPr>
          <w:cantSplit/>
        </w:trPr>
        <w:tc>
          <w:tcPr>
            <w:tcW w:w="995" w:type="pct"/>
            <w:shd w:val="clear" w:color="auto" w:fill="auto"/>
            <w:vAlign w:val="center"/>
          </w:tcPr>
          <w:p w14:paraId="4080DC2B" w14:textId="77777777" w:rsidR="005D5985" w:rsidRPr="008B5CE0" w:rsidRDefault="005D5985">
            <w:pPr>
              <w:pStyle w:val="TableText"/>
              <w:rPr>
                <w:lang w:val="en-US"/>
              </w:rPr>
            </w:pPr>
            <w:r w:rsidRPr="008B5CE0">
              <w:rPr>
                <w:lang w:val="en-US"/>
              </w:rPr>
              <w:t>Sreenath</w:t>
            </w:r>
            <w:r>
              <w:rPr>
                <w:lang w:val="en-US"/>
              </w:rPr>
              <w:t xml:space="preserve"> et al</w:t>
            </w:r>
            <w:r w:rsidRPr="008B5CE0">
              <w:rPr>
                <w:lang w:val="en-US"/>
              </w:rPr>
              <w:t xml:space="preserve"> </w:t>
            </w:r>
            <w:r>
              <w:rPr>
                <w:lang w:val="en-US"/>
              </w:rPr>
              <w:t>(</w:t>
            </w:r>
            <w:r w:rsidRPr="008B5CE0">
              <w:rPr>
                <w:lang w:val="en-US"/>
              </w:rPr>
              <w:t>2022</w:t>
            </w:r>
            <w:r>
              <w:rPr>
                <w:lang w:val="en-US"/>
              </w:rPr>
              <w:t>)</w:t>
            </w:r>
            <w:r w:rsidRPr="008B5CE0">
              <w:rPr>
                <w:lang w:val="en-US"/>
              </w:rPr>
              <w:t xml:space="preserve"> </w:t>
            </w:r>
          </w:p>
        </w:tc>
        <w:tc>
          <w:tcPr>
            <w:tcW w:w="398" w:type="pct"/>
            <w:shd w:val="clear" w:color="auto" w:fill="auto"/>
            <w:vAlign w:val="center"/>
          </w:tcPr>
          <w:p w14:paraId="2A8B4001" w14:textId="77777777" w:rsidR="005D5985" w:rsidRPr="008B5CE0" w:rsidRDefault="005D5985">
            <w:pPr>
              <w:pStyle w:val="TableText"/>
              <w:jc w:val="center"/>
              <w:rPr>
                <w:lang w:val="en-US"/>
              </w:rPr>
            </w:pPr>
            <w:r w:rsidRPr="008B5CE0">
              <w:rPr>
                <w:lang w:val="en-US"/>
              </w:rPr>
              <w:t>100</w:t>
            </w:r>
          </w:p>
        </w:tc>
        <w:tc>
          <w:tcPr>
            <w:tcW w:w="724" w:type="pct"/>
            <w:shd w:val="clear" w:color="auto" w:fill="auto"/>
            <w:vAlign w:val="center"/>
          </w:tcPr>
          <w:p w14:paraId="3B232CCC" w14:textId="77777777" w:rsidR="005D5985" w:rsidRPr="008B5CE0" w:rsidRDefault="005D5985">
            <w:pPr>
              <w:pStyle w:val="TableText"/>
              <w:jc w:val="center"/>
              <w:rPr>
                <w:lang w:val="en-US"/>
              </w:rPr>
            </w:pPr>
            <w:r w:rsidRPr="008B5CE0">
              <w:rPr>
                <w:lang w:val="en-US"/>
              </w:rPr>
              <w:t>RCT/POD14</w:t>
            </w:r>
          </w:p>
        </w:tc>
        <w:tc>
          <w:tcPr>
            <w:tcW w:w="545" w:type="pct"/>
            <w:shd w:val="clear" w:color="auto" w:fill="auto"/>
            <w:vAlign w:val="center"/>
          </w:tcPr>
          <w:p w14:paraId="4F7A5E0F" w14:textId="77777777" w:rsidR="005D5985" w:rsidRPr="008B5CE0" w:rsidRDefault="005D5985">
            <w:pPr>
              <w:pStyle w:val="TableText"/>
              <w:jc w:val="center"/>
              <w:rPr>
                <w:lang w:val="en-US"/>
              </w:rPr>
            </w:pPr>
            <w:r w:rsidRPr="008B5CE0">
              <w:rPr>
                <w:lang w:val="en-US"/>
              </w:rPr>
              <w:t>Some concerns</w:t>
            </w:r>
          </w:p>
        </w:tc>
        <w:tc>
          <w:tcPr>
            <w:tcW w:w="603" w:type="pct"/>
            <w:shd w:val="clear" w:color="auto" w:fill="auto"/>
            <w:vAlign w:val="center"/>
          </w:tcPr>
          <w:p w14:paraId="24773806" w14:textId="77777777" w:rsidR="005D5985" w:rsidRPr="008B5CE0" w:rsidRDefault="005D5985">
            <w:pPr>
              <w:pStyle w:val="TableText"/>
              <w:jc w:val="center"/>
              <w:rPr>
                <w:lang w:val="en-US"/>
              </w:rPr>
            </w:pPr>
            <w:r w:rsidRPr="008B5CE0">
              <w:rPr>
                <w:lang w:val="en-US"/>
              </w:rPr>
              <w:t>TKA</w:t>
            </w:r>
          </w:p>
        </w:tc>
        <w:tc>
          <w:tcPr>
            <w:tcW w:w="865" w:type="pct"/>
            <w:shd w:val="clear" w:color="auto" w:fill="auto"/>
            <w:vAlign w:val="center"/>
          </w:tcPr>
          <w:p w14:paraId="0CACF81A" w14:textId="77777777" w:rsidR="005D5985" w:rsidRPr="008B5CE0" w:rsidRDefault="005D5985">
            <w:pPr>
              <w:pStyle w:val="TableText"/>
              <w:rPr>
                <w:lang w:val="en-US"/>
              </w:rPr>
            </w:pPr>
            <w:r w:rsidRPr="008B5CE0">
              <w:rPr>
                <w:lang w:val="en-US"/>
              </w:rPr>
              <w:t>Pain scores</w:t>
            </w:r>
          </w:p>
          <w:p w14:paraId="62B6C094" w14:textId="77777777" w:rsidR="005D5985" w:rsidRPr="008B5CE0" w:rsidRDefault="005D5985">
            <w:pPr>
              <w:pStyle w:val="TableText"/>
              <w:rPr>
                <w:lang w:val="en-US"/>
              </w:rPr>
            </w:pPr>
            <w:r w:rsidRPr="008B5CE0">
              <w:rPr>
                <w:lang w:val="en-US"/>
              </w:rPr>
              <w:t>Rescue analgesia</w:t>
            </w:r>
          </w:p>
        </w:tc>
        <w:tc>
          <w:tcPr>
            <w:tcW w:w="870" w:type="pct"/>
            <w:shd w:val="clear" w:color="auto" w:fill="auto"/>
            <w:vAlign w:val="center"/>
          </w:tcPr>
          <w:p w14:paraId="1806E461" w14:textId="77777777" w:rsidR="005D5985" w:rsidRPr="008B5CE0" w:rsidRDefault="005D5985">
            <w:pPr>
              <w:pStyle w:val="TableText"/>
              <w:jc w:val="center"/>
              <w:rPr>
                <w:lang w:val="en-US"/>
              </w:rPr>
            </w:pPr>
            <w:r w:rsidRPr="008B5CE0">
              <w:rPr>
                <w:lang w:val="en-US"/>
              </w:rPr>
              <w:t>Scenario analysis only</w:t>
            </w:r>
          </w:p>
        </w:tc>
      </w:tr>
      <w:tr w:rsidR="005D5985" w:rsidRPr="00306E38" w14:paraId="44F0CCEB" w14:textId="77777777">
        <w:trPr>
          <w:cantSplit/>
        </w:trPr>
        <w:tc>
          <w:tcPr>
            <w:tcW w:w="995" w:type="pct"/>
            <w:shd w:val="clear" w:color="auto" w:fill="auto"/>
            <w:vAlign w:val="center"/>
          </w:tcPr>
          <w:p w14:paraId="11C88A97" w14:textId="77777777" w:rsidR="005D5985" w:rsidRPr="008B5CE0" w:rsidRDefault="005D5985">
            <w:pPr>
              <w:pStyle w:val="TableText"/>
              <w:rPr>
                <w:lang w:val="en-US"/>
              </w:rPr>
            </w:pPr>
            <w:r w:rsidRPr="008B5CE0">
              <w:rPr>
                <w:lang w:val="en-US"/>
              </w:rPr>
              <w:t xml:space="preserve">Yacout </w:t>
            </w:r>
            <w:r>
              <w:rPr>
                <w:lang w:val="en-US"/>
              </w:rPr>
              <w:t>and Elhoshy (</w:t>
            </w:r>
            <w:r w:rsidRPr="008B5CE0">
              <w:rPr>
                <w:lang w:val="en-US"/>
              </w:rPr>
              <w:t>2023</w:t>
            </w:r>
            <w:r>
              <w:rPr>
                <w:lang w:val="en-US"/>
              </w:rPr>
              <w:t>)</w:t>
            </w:r>
            <w:r w:rsidRPr="008B5CE0">
              <w:rPr>
                <w:lang w:val="en-US"/>
              </w:rPr>
              <w:t xml:space="preserve"> </w:t>
            </w:r>
          </w:p>
        </w:tc>
        <w:tc>
          <w:tcPr>
            <w:tcW w:w="398" w:type="pct"/>
            <w:shd w:val="clear" w:color="auto" w:fill="auto"/>
            <w:vAlign w:val="center"/>
          </w:tcPr>
          <w:p w14:paraId="5579877D" w14:textId="77777777" w:rsidR="005D5985" w:rsidRPr="008B5CE0" w:rsidRDefault="005D5985">
            <w:pPr>
              <w:pStyle w:val="TableText"/>
              <w:jc w:val="center"/>
              <w:rPr>
                <w:lang w:val="en-US"/>
              </w:rPr>
            </w:pPr>
            <w:r w:rsidRPr="008B5CE0">
              <w:rPr>
                <w:lang w:val="en-US"/>
              </w:rPr>
              <w:t>50</w:t>
            </w:r>
          </w:p>
        </w:tc>
        <w:tc>
          <w:tcPr>
            <w:tcW w:w="724" w:type="pct"/>
            <w:shd w:val="clear" w:color="auto" w:fill="auto"/>
            <w:vAlign w:val="center"/>
          </w:tcPr>
          <w:p w14:paraId="324FAEF0" w14:textId="77777777" w:rsidR="005D5985" w:rsidRPr="008B5CE0" w:rsidRDefault="005D5985">
            <w:pPr>
              <w:pStyle w:val="TableText"/>
              <w:jc w:val="center"/>
              <w:rPr>
                <w:lang w:val="en-US"/>
              </w:rPr>
            </w:pPr>
            <w:r w:rsidRPr="008B5CE0">
              <w:rPr>
                <w:lang w:val="en-US"/>
              </w:rPr>
              <w:t>RCT/48h</w:t>
            </w:r>
          </w:p>
        </w:tc>
        <w:tc>
          <w:tcPr>
            <w:tcW w:w="545" w:type="pct"/>
            <w:shd w:val="clear" w:color="auto" w:fill="auto"/>
            <w:vAlign w:val="center"/>
          </w:tcPr>
          <w:p w14:paraId="35F6EF93" w14:textId="77777777" w:rsidR="005D5985" w:rsidRPr="008B5CE0" w:rsidRDefault="005D5985">
            <w:pPr>
              <w:pStyle w:val="TableText"/>
              <w:jc w:val="center"/>
              <w:rPr>
                <w:lang w:val="en-US"/>
              </w:rPr>
            </w:pPr>
            <w:r w:rsidRPr="008B5CE0">
              <w:rPr>
                <w:lang w:val="en-US"/>
              </w:rPr>
              <w:t>Some concerns</w:t>
            </w:r>
          </w:p>
        </w:tc>
        <w:tc>
          <w:tcPr>
            <w:tcW w:w="603" w:type="pct"/>
            <w:shd w:val="clear" w:color="auto" w:fill="auto"/>
            <w:vAlign w:val="center"/>
          </w:tcPr>
          <w:p w14:paraId="5D51B1B1" w14:textId="77777777" w:rsidR="005D5985" w:rsidRPr="008B5CE0" w:rsidRDefault="005D5985">
            <w:pPr>
              <w:pStyle w:val="TableText"/>
              <w:jc w:val="center"/>
              <w:rPr>
                <w:lang w:val="en-US"/>
              </w:rPr>
            </w:pPr>
            <w:r w:rsidRPr="008B5CE0">
              <w:rPr>
                <w:lang w:val="en-US"/>
              </w:rPr>
              <w:t>TKA</w:t>
            </w:r>
          </w:p>
        </w:tc>
        <w:tc>
          <w:tcPr>
            <w:tcW w:w="865" w:type="pct"/>
            <w:shd w:val="clear" w:color="auto" w:fill="auto"/>
            <w:vAlign w:val="center"/>
          </w:tcPr>
          <w:p w14:paraId="221AC498" w14:textId="77777777" w:rsidR="005D5985" w:rsidRPr="008B5CE0" w:rsidRDefault="005D5985">
            <w:pPr>
              <w:pStyle w:val="TableText"/>
              <w:rPr>
                <w:lang w:val="en-US"/>
              </w:rPr>
            </w:pPr>
            <w:r w:rsidRPr="008B5CE0">
              <w:rPr>
                <w:lang w:val="en-US"/>
              </w:rPr>
              <w:t>Pain scores</w:t>
            </w:r>
          </w:p>
          <w:p w14:paraId="77F4C745" w14:textId="77777777" w:rsidR="005D5985" w:rsidRPr="008B5CE0" w:rsidRDefault="005D5985">
            <w:pPr>
              <w:pStyle w:val="TableText"/>
              <w:rPr>
                <w:lang w:val="en-US"/>
              </w:rPr>
            </w:pPr>
            <w:r w:rsidRPr="008B5CE0">
              <w:rPr>
                <w:lang w:val="en-US"/>
              </w:rPr>
              <w:t>Rescue analgesia</w:t>
            </w:r>
          </w:p>
        </w:tc>
        <w:tc>
          <w:tcPr>
            <w:tcW w:w="870" w:type="pct"/>
            <w:shd w:val="clear" w:color="auto" w:fill="auto"/>
            <w:vAlign w:val="center"/>
          </w:tcPr>
          <w:p w14:paraId="048D89EC" w14:textId="77777777" w:rsidR="005D5985" w:rsidRPr="00306E38" w:rsidRDefault="005D5985">
            <w:pPr>
              <w:pStyle w:val="TableText"/>
              <w:jc w:val="center"/>
              <w:rPr>
                <w:lang w:val="en-US"/>
              </w:rPr>
            </w:pPr>
            <w:r w:rsidRPr="008B5CE0">
              <w:rPr>
                <w:lang w:val="en-US"/>
              </w:rPr>
              <w:t>Scenario analysis only</w:t>
            </w:r>
          </w:p>
        </w:tc>
      </w:tr>
    </w:tbl>
    <w:p w14:paraId="64F23753" w14:textId="77777777" w:rsidR="005D5985" w:rsidRPr="00306E38" w:rsidRDefault="005D5985" w:rsidP="005D5985">
      <w:pPr>
        <w:pStyle w:val="TableFigureFooter"/>
        <w:spacing w:before="0" w:after="0"/>
      </w:pPr>
      <w:r w:rsidRPr="00306E38">
        <w:rPr>
          <w:b/>
          <w:bCs/>
        </w:rPr>
        <w:t>Abbreviations</w:t>
      </w:r>
      <w:r w:rsidRPr="00306E38">
        <w:t xml:space="preserve">: </w:t>
      </w:r>
      <w:r w:rsidRPr="00D059DF">
        <w:rPr>
          <w:b/>
        </w:rPr>
        <w:t>AE</w:t>
      </w:r>
      <w:r w:rsidRPr="00306E38">
        <w:t xml:space="preserve"> = adverse event; </w:t>
      </w:r>
      <w:r w:rsidRPr="00D059DF">
        <w:rPr>
          <w:b/>
        </w:rPr>
        <w:t>CPOP</w:t>
      </w:r>
      <w:r w:rsidRPr="00306E38">
        <w:t xml:space="preserve"> = chronic postoperative pain; </w:t>
      </w:r>
      <w:r w:rsidRPr="00D059DF">
        <w:rPr>
          <w:b/>
        </w:rPr>
        <w:t>IV</w:t>
      </w:r>
      <w:r w:rsidRPr="00306E38">
        <w:t xml:space="preserve"> = intravenous; </w:t>
      </w:r>
      <w:r w:rsidRPr="00D059DF">
        <w:rPr>
          <w:b/>
        </w:rPr>
        <w:t>LOS</w:t>
      </w:r>
      <w:r w:rsidRPr="00306E38">
        <w:t xml:space="preserve"> = length of stay; </w:t>
      </w:r>
      <w:r>
        <w:rPr>
          <w:b/>
        </w:rPr>
        <w:t>n</w:t>
      </w:r>
      <w:r>
        <w:t xml:space="preserve"> = number of patients; </w:t>
      </w:r>
      <w:r w:rsidRPr="00D059DF">
        <w:rPr>
          <w:b/>
        </w:rPr>
        <w:t>NSAID</w:t>
      </w:r>
      <w:r w:rsidRPr="00306E38">
        <w:t xml:space="preserve"> = non-steroidal anti-inflammatory drug; </w:t>
      </w:r>
      <w:r w:rsidRPr="00D059DF">
        <w:rPr>
          <w:b/>
        </w:rPr>
        <w:t>PCA</w:t>
      </w:r>
      <w:r w:rsidRPr="00306E38">
        <w:t xml:space="preserve"> = patient-controlled analgesia; </w:t>
      </w:r>
      <w:r w:rsidRPr="00D059DF">
        <w:rPr>
          <w:b/>
        </w:rPr>
        <w:t>POD</w:t>
      </w:r>
      <w:r w:rsidRPr="00306E38">
        <w:t xml:space="preserve"> = postoperative day; </w:t>
      </w:r>
      <w:r w:rsidRPr="00D059DF">
        <w:rPr>
          <w:b/>
        </w:rPr>
        <w:t>RCT</w:t>
      </w:r>
      <w:r w:rsidRPr="00306E38">
        <w:t xml:space="preserve"> = randomised controlled trial; </w:t>
      </w:r>
      <w:r w:rsidRPr="00D059DF">
        <w:rPr>
          <w:b/>
        </w:rPr>
        <w:t>TKA</w:t>
      </w:r>
      <w:r w:rsidRPr="00306E38">
        <w:t xml:space="preserve"> = total knee arthroplasty</w:t>
      </w:r>
    </w:p>
    <w:p w14:paraId="53C6C183" w14:textId="3CEB6B7D" w:rsidR="005D5985" w:rsidRPr="00CC2093" w:rsidRDefault="005D5985" w:rsidP="005D5985">
      <w:pPr>
        <w:pStyle w:val="TableFigureFooter"/>
        <w:spacing w:before="0" w:after="0"/>
      </w:pPr>
      <w:r w:rsidRPr="00306E38">
        <w:rPr>
          <w:b/>
        </w:rPr>
        <w:t>Notes</w:t>
      </w:r>
      <w:r w:rsidRPr="00D059DF">
        <w:t xml:space="preserve">: </w:t>
      </w:r>
      <w:r>
        <w:rPr>
          <w:b/>
          <w:bCs/>
        </w:rPr>
        <w:t xml:space="preserve">a </w:t>
      </w:r>
      <w:r w:rsidRPr="00306E38">
        <w:t xml:space="preserve">= </w:t>
      </w:r>
      <w:r w:rsidRPr="00CC2093">
        <w:t xml:space="preserve">These studies used a continuous nerve block associated with a patient-controlled analgesia pump filled with a local anaesthetic or an opioid with or without NSAID. A patient-controlled analgesia pump was also used in the single-injection group and was filled with an opioid, with or without NSAID </w:t>
      </w:r>
    </w:p>
    <w:p w14:paraId="0AFA9908" w14:textId="77777777" w:rsidR="005D5985" w:rsidRPr="00CC2093" w:rsidRDefault="005D5985" w:rsidP="005D5985">
      <w:pPr>
        <w:pStyle w:val="TableFigureFooter"/>
        <w:spacing w:before="0" w:after="0"/>
      </w:pPr>
      <w:r w:rsidRPr="00537D24">
        <w:rPr>
          <w:b/>
          <w:bCs/>
        </w:rPr>
        <w:t>b</w:t>
      </w:r>
      <w:r w:rsidRPr="00537D24">
        <w:t xml:space="preserve"> = The intervention and the comparators varied. The effect of continuous nerve block was either assessed alone or in association with a patient-controlled analgesia pump, filled with a local anaesthetic (Yu et al </w:t>
      </w:r>
      <w:r w:rsidRPr="00D059DF">
        <w:t>[</w:t>
      </w:r>
      <w:r w:rsidRPr="00537D24">
        <w:t>2018</w:t>
      </w:r>
      <w:r w:rsidRPr="00D059DF">
        <w:t>]</w:t>
      </w:r>
      <w:r w:rsidRPr="00537D24">
        <w:t xml:space="preserve"> and Peng et al </w:t>
      </w:r>
      <w:r w:rsidRPr="00D059DF">
        <w:t>[</w:t>
      </w:r>
      <w:r w:rsidRPr="00537D24">
        <w:t>2014</w:t>
      </w:r>
      <w:r w:rsidRPr="00D059DF">
        <w:t>]</w:t>
      </w:r>
      <w:r w:rsidRPr="00537D24">
        <w:t xml:space="preserve">) or a combination of opioids and NSAID (Lee et al </w:t>
      </w:r>
      <w:r w:rsidRPr="00D059DF">
        <w:t>[</w:t>
      </w:r>
      <w:r w:rsidRPr="00537D24">
        <w:t>2012</w:t>
      </w:r>
      <w:r w:rsidRPr="00D059DF">
        <w:t>]</w:t>
      </w:r>
      <w:r w:rsidRPr="00537D24">
        <w:t xml:space="preserve">). Intravenous opioid was injected either alone (Dodds et al </w:t>
      </w:r>
      <w:r w:rsidRPr="00D059DF">
        <w:t>[</w:t>
      </w:r>
      <w:r w:rsidRPr="00537D24">
        <w:t>1995</w:t>
      </w:r>
      <w:r w:rsidRPr="00D059DF">
        <w:t>]</w:t>
      </w:r>
      <w:r w:rsidRPr="00537D24">
        <w:t xml:space="preserve">), in association with NSAID (Lee et al </w:t>
      </w:r>
      <w:r w:rsidRPr="00D059DF">
        <w:t>[</w:t>
      </w:r>
      <w:r w:rsidRPr="00537D24">
        <w:t>2012</w:t>
      </w:r>
      <w:r w:rsidRPr="00D059DF">
        <w:t>]</w:t>
      </w:r>
      <w:r w:rsidRPr="00537D24">
        <w:t xml:space="preserve">), or with NSAID and steroid (Peng et al </w:t>
      </w:r>
      <w:r w:rsidRPr="00D059DF">
        <w:t>[</w:t>
      </w:r>
      <w:r w:rsidRPr="00537D24">
        <w:t>2014</w:t>
      </w:r>
      <w:r w:rsidRPr="00D059DF">
        <w:t>]</w:t>
      </w:r>
      <w:r w:rsidRPr="00537D24">
        <w:t>)</w:t>
      </w:r>
    </w:p>
    <w:p w14:paraId="4ACD8499" w14:textId="77777777" w:rsidR="005D5985" w:rsidRPr="00CC2093" w:rsidRDefault="005D5985" w:rsidP="005D5985">
      <w:pPr>
        <w:pStyle w:val="TableFigureFooter"/>
        <w:spacing w:before="0" w:after="0"/>
      </w:pPr>
      <w:r w:rsidRPr="00CC2093">
        <w:rPr>
          <w:b/>
          <w:bCs/>
        </w:rPr>
        <w:t>c</w:t>
      </w:r>
      <w:r w:rsidRPr="00CC2093">
        <w:t xml:space="preserve"> = Peng et al (2014) was rated as having a high </w:t>
      </w:r>
      <w:r>
        <w:t>RoB</w:t>
      </w:r>
      <w:r w:rsidRPr="00CC2093">
        <w:t xml:space="preserve"> for analgesic use; other outcomes were rated as having some concerns.</w:t>
      </w:r>
    </w:p>
    <w:p w14:paraId="4964C05E" w14:textId="77777777" w:rsidR="005D5985" w:rsidRDefault="005D5985" w:rsidP="005D5985">
      <w:pPr>
        <w:pStyle w:val="TableFigureFooter"/>
        <w:spacing w:before="0" w:after="0"/>
      </w:pPr>
      <w:r>
        <w:rPr>
          <w:b/>
          <w:bCs/>
        </w:rPr>
        <w:t>d</w:t>
      </w:r>
      <w:r w:rsidRPr="00CC2093">
        <w:t xml:space="preserve"> = Epidural blocks consisted of local anaesthetic with or without opioid. Patients in both the intervention and the comparator groups received a patient-controlled analgesia pump filled with opioids</w:t>
      </w:r>
    </w:p>
    <w:p w14:paraId="073B10C0" w14:textId="7D6E36FF" w:rsidR="00BC16E9" w:rsidRPr="00306E38" w:rsidRDefault="00BC16E9" w:rsidP="00D85574">
      <w:pPr>
        <w:pStyle w:val="Tablenotes0"/>
        <w:spacing w:before="0"/>
      </w:pPr>
      <w:r>
        <w:t>Source: DCAR Table 6</w:t>
      </w:r>
    </w:p>
    <w:p w14:paraId="3405BD75" w14:textId="5B266DBC" w:rsidR="005D5985" w:rsidRPr="00306E38" w:rsidRDefault="00EE61CE" w:rsidP="005D5985">
      <w:pPr>
        <w:pStyle w:val="Heading2"/>
        <w:numPr>
          <w:ilvl w:val="0"/>
          <w:numId w:val="0"/>
        </w:numPr>
        <w:ind w:left="576" w:hanging="576"/>
        <w:rPr>
          <w:color w:val="auto"/>
        </w:rPr>
      </w:pPr>
      <w:bookmarkStart w:id="28" w:name="_Toc150966056"/>
      <w:bookmarkStart w:id="29" w:name="_Toc153401632"/>
      <w:bookmarkEnd w:id="27"/>
      <w:r>
        <w:rPr>
          <w:color w:val="auto"/>
        </w:rPr>
        <w:t>11</w:t>
      </w:r>
      <w:r w:rsidR="005D5985" w:rsidRPr="00306E38">
        <w:rPr>
          <w:color w:val="auto"/>
        </w:rPr>
        <w:t>.</w:t>
      </w:r>
      <w:r w:rsidR="005D5985" w:rsidRPr="00306E38">
        <w:rPr>
          <w:color w:val="auto"/>
        </w:rPr>
        <w:tab/>
        <w:t>Comparative safety</w:t>
      </w:r>
      <w:bookmarkEnd w:id="28"/>
      <w:bookmarkEnd w:id="29"/>
    </w:p>
    <w:p w14:paraId="5B41F217" w14:textId="77777777" w:rsidR="005D5985" w:rsidRPr="00306E38" w:rsidRDefault="005D5985" w:rsidP="005D5985">
      <w:pPr>
        <w:pStyle w:val="Heading3"/>
        <w:numPr>
          <w:ilvl w:val="0"/>
          <w:numId w:val="0"/>
        </w:numPr>
        <w:ind w:left="720" w:hanging="720"/>
      </w:pPr>
      <w:bookmarkStart w:id="30" w:name="_Toc150966057"/>
      <w:bookmarkStart w:id="31" w:name="_Toc153401633"/>
      <w:r w:rsidRPr="00306E38">
        <w:t>Exemplar case: knee surgery</w:t>
      </w:r>
      <w:bookmarkEnd w:id="30"/>
      <w:bookmarkEnd w:id="31"/>
    </w:p>
    <w:p w14:paraId="0BF14C3A" w14:textId="77777777" w:rsidR="005D5985" w:rsidRPr="00E036FE" w:rsidRDefault="005D5985" w:rsidP="00E036FE">
      <w:pPr>
        <w:pStyle w:val="Heading3"/>
        <w:numPr>
          <w:ilvl w:val="0"/>
          <w:numId w:val="0"/>
        </w:numPr>
        <w:ind w:left="720" w:hanging="720"/>
      </w:pPr>
      <w:r w:rsidRPr="00E036FE">
        <w:t>Continuous nerve block vs single-injection nerve block</w:t>
      </w:r>
    </w:p>
    <w:p w14:paraId="430607D0" w14:textId="77777777" w:rsidR="005D5985" w:rsidRPr="00E036FE" w:rsidRDefault="005D5985" w:rsidP="005D5985">
      <w:pPr>
        <w:rPr>
          <w:rFonts w:ascii="Franklin Gothic Book" w:hAnsi="Franklin Gothic Book"/>
        </w:rPr>
      </w:pPr>
      <w:r w:rsidRPr="00E036FE">
        <w:rPr>
          <w:rFonts w:ascii="Franklin Gothic Book" w:hAnsi="Franklin Gothic Book"/>
        </w:rPr>
        <w:t>Limited evidence was available to evaluate safety when comparing continuous nerve block to single-injection nerve block. In the included RCTs, no evidence was reported on deaths/mortality or local anaesthesia toxicities. Zero events of block-related complications or catheter AEs were reported. For complications or grade ≥3 AEs, 2 RCTs reported nausea and vomiting; however, no statistically significant difference between continuous nerve block and single-injection nerve block was reported at 48 hours. For nausea and vomiting, the overall GRADE (Grade of Recommendations Assessment, Development and Evaluation) certainty of evidence was assessed to be very low.</w:t>
      </w:r>
    </w:p>
    <w:p w14:paraId="59669FFC" w14:textId="5B1CF92F" w:rsidR="005D5985" w:rsidRPr="00E036FE" w:rsidRDefault="005D5985" w:rsidP="005D5985">
      <w:pPr>
        <w:rPr>
          <w:rFonts w:ascii="Franklin Gothic Book" w:hAnsi="Franklin Gothic Book"/>
        </w:rPr>
      </w:pPr>
      <w:r w:rsidRPr="00E036FE">
        <w:rPr>
          <w:rFonts w:ascii="Franklin Gothic Book" w:hAnsi="Franklin Gothic Book"/>
        </w:rPr>
        <w:t xml:space="preserve">A results comparison between the exemplar case and the other surgical locations is presented in </w:t>
      </w:r>
      <w:r w:rsidRPr="00E036FE">
        <w:rPr>
          <w:rFonts w:ascii="Franklin Gothic Book" w:hAnsi="Franklin Gothic Book"/>
        </w:rPr>
        <w:fldChar w:fldCharType="begin"/>
      </w:r>
      <w:r w:rsidRPr="00E036FE">
        <w:rPr>
          <w:rFonts w:ascii="Franklin Gothic Book" w:hAnsi="Franklin Gothic Book"/>
        </w:rPr>
        <w:instrText xml:space="preserve"> REF _Ref153197468 \h </w:instrText>
      </w:r>
      <w:r w:rsidR="00E036FE">
        <w:rPr>
          <w:rFonts w:ascii="Franklin Gothic Book" w:hAnsi="Franklin Gothic Book"/>
        </w:rPr>
        <w:instrText xml:space="preserve"> \* MERGEFORMAT </w:instrText>
      </w:r>
      <w:r w:rsidRPr="00E036FE">
        <w:rPr>
          <w:rFonts w:ascii="Franklin Gothic Book" w:hAnsi="Franklin Gothic Book"/>
        </w:rPr>
      </w:r>
      <w:r w:rsidRPr="00E036FE">
        <w:rPr>
          <w:rFonts w:ascii="Franklin Gothic Book" w:hAnsi="Franklin Gothic Book"/>
        </w:rPr>
        <w:fldChar w:fldCharType="separate"/>
      </w:r>
      <w:r w:rsidR="00091077" w:rsidRPr="00DA18D9">
        <w:rPr>
          <w:rFonts w:ascii="Franklin Gothic Book" w:hAnsi="Franklin Gothic Book"/>
        </w:rPr>
        <w:t>Table 8</w:t>
      </w:r>
      <w:r w:rsidRPr="00E036FE">
        <w:rPr>
          <w:rFonts w:ascii="Franklin Gothic Book" w:hAnsi="Franklin Gothic Book"/>
        </w:rPr>
        <w:fldChar w:fldCharType="end"/>
      </w:r>
      <w:r w:rsidRPr="00E036FE">
        <w:rPr>
          <w:rFonts w:ascii="Franklin Gothic Book" w:hAnsi="Franklin Gothic Book"/>
        </w:rPr>
        <w:t>.</w:t>
      </w:r>
    </w:p>
    <w:p w14:paraId="51147630" w14:textId="6A0087A9" w:rsidR="005D5985" w:rsidRDefault="005D5985" w:rsidP="005D5985">
      <w:pPr>
        <w:pStyle w:val="Caption"/>
      </w:pPr>
      <w:bookmarkStart w:id="32" w:name="_Ref153197468"/>
      <w:r w:rsidRPr="00EB08B4">
        <w:lastRenderedPageBreak/>
        <w:t>Table </w:t>
      </w:r>
      <w:r>
        <w:fldChar w:fldCharType="begin"/>
      </w:r>
      <w:r>
        <w:instrText>SEQ Table \* ARABIC</w:instrText>
      </w:r>
      <w:r>
        <w:fldChar w:fldCharType="separate"/>
      </w:r>
      <w:r w:rsidR="00210D50">
        <w:rPr>
          <w:noProof/>
        </w:rPr>
        <w:t>8</w:t>
      </w:r>
      <w:r>
        <w:fldChar w:fldCharType="end"/>
      </w:r>
      <w:bookmarkEnd w:id="32"/>
      <w:r w:rsidRPr="00EB08B4">
        <w:tab/>
        <w:t>Continuous nerve block vs single-injection nerve block: summary of the main outcomes</w:t>
      </w:r>
      <w:r>
        <w:t xml:space="preserve"> </w:t>
      </w:r>
    </w:p>
    <w:tbl>
      <w:tblPr>
        <w:tblStyle w:val="TableGrid"/>
        <w:tblW w:w="5000" w:type="pct"/>
        <w:tblLook w:val="04A0" w:firstRow="1" w:lastRow="0" w:firstColumn="1" w:lastColumn="0" w:noHBand="0" w:noVBand="1"/>
      </w:tblPr>
      <w:tblGrid>
        <w:gridCol w:w="2573"/>
        <w:gridCol w:w="3437"/>
        <w:gridCol w:w="3006"/>
      </w:tblGrid>
      <w:tr w:rsidR="005D5985" w14:paraId="5689F26E" w14:textId="77777777">
        <w:trPr>
          <w:tblHeader/>
        </w:trPr>
        <w:tc>
          <w:tcPr>
            <w:tcW w:w="1427" w:type="pct"/>
          </w:tcPr>
          <w:p w14:paraId="19070201" w14:textId="77777777" w:rsidR="005D5985" w:rsidRPr="00D059DF" w:rsidRDefault="005D5985">
            <w:pPr>
              <w:pStyle w:val="TableText"/>
              <w:rPr>
                <w:b/>
                <w:bCs/>
              </w:rPr>
            </w:pPr>
            <w:r w:rsidRPr="00D059DF">
              <w:rPr>
                <w:b/>
                <w:bCs/>
              </w:rPr>
              <w:t>Outcomes</w:t>
            </w:r>
          </w:p>
        </w:tc>
        <w:tc>
          <w:tcPr>
            <w:tcW w:w="1906" w:type="pct"/>
          </w:tcPr>
          <w:p w14:paraId="3CE4AFCA" w14:textId="77777777" w:rsidR="005D5985" w:rsidRPr="00D059DF" w:rsidRDefault="005D5985">
            <w:pPr>
              <w:pStyle w:val="TableText"/>
              <w:rPr>
                <w:b/>
                <w:bCs/>
              </w:rPr>
            </w:pPr>
            <w:r w:rsidRPr="00D059DF">
              <w:rPr>
                <w:b/>
                <w:bCs/>
              </w:rPr>
              <w:t>Ex</w:t>
            </w:r>
            <w:r w:rsidRPr="00E667A1">
              <w:rPr>
                <w:b/>
                <w:bCs/>
              </w:rPr>
              <w:t>e</w:t>
            </w:r>
            <w:r w:rsidRPr="00D059DF">
              <w:rPr>
                <w:b/>
                <w:bCs/>
              </w:rPr>
              <w:t>mplar case</w:t>
            </w:r>
          </w:p>
          <w:p w14:paraId="2C38A08A" w14:textId="77777777" w:rsidR="005D5985" w:rsidRPr="00D059DF" w:rsidRDefault="005D5985">
            <w:pPr>
              <w:pStyle w:val="TableText"/>
              <w:rPr>
                <w:b/>
                <w:bCs/>
              </w:rPr>
            </w:pPr>
            <w:r w:rsidRPr="00E667A1">
              <w:rPr>
                <w:b/>
                <w:bCs/>
              </w:rPr>
              <w:t>k</w:t>
            </w:r>
            <w:r w:rsidRPr="00D059DF">
              <w:rPr>
                <w:b/>
                <w:bCs/>
              </w:rPr>
              <w:t>nee surgery (RoB, GRADE)</w:t>
            </w:r>
          </w:p>
        </w:tc>
        <w:tc>
          <w:tcPr>
            <w:tcW w:w="1667" w:type="pct"/>
          </w:tcPr>
          <w:p w14:paraId="1373A4E7" w14:textId="77777777" w:rsidR="005D5985" w:rsidRPr="00D059DF" w:rsidRDefault="005D5985">
            <w:pPr>
              <w:pStyle w:val="TableText"/>
              <w:rPr>
                <w:b/>
                <w:bCs/>
              </w:rPr>
            </w:pPr>
            <w:r w:rsidRPr="00D059DF">
              <w:rPr>
                <w:b/>
                <w:bCs/>
              </w:rPr>
              <w:t xml:space="preserve">Other surgical locations: foot and ankle, hips, abdomen, cardiothorax and shoulders (Overall quality </w:t>
            </w:r>
            <w:r w:rsidRPr="00D059DF">
              <w:rPr>
                <w:b/>
                <w:bCs/>
                <w:vertAlign w:val="superscript"/>
              </w:rPr>
              <w:t>c</w:t>
            </w:r>
            <w:r w:rsidRPr="00D059DF">
              <w:rPr>
                <w:b/>
                <w:bCs/>
              </w:rPr>
              <w:t>)</w:t>
            </w:r>
          </w:p>
        </w:tc>
      </w:tr>
      <w:tr w:rsidR="005D5985" w14:paraId="6531B24F" w14:textId="77777777">
        <w:tc>
          <w:tcPr>
            <w:tcW w:w="1427" w:type="pct"/>
          </w:tcPr>
          <w:p w14:paraId="05264EDD" w14:textId="77777777" w:rsidR="005D5985" w:rsidRDefault="005D5985">
            <w:pPr>
              <w:pStyle w:val="TableText"/>
            </w:pPr>
            <w:r>
              <w:t>Block-related complications</w:t>
            </w:r>
          </w:p>
        </w:tc>
        <w:tc>
          <w:tcPr>
            <w:tcW w:w="1906" w:type="pct"/>
          </w:tcPr>
          <w:p w14:paraId="29AC3327" w14:textId="77777777" w:rsidR="005D5985" w:rsidRDefault="005D5985">
            <w:pPr>
              <w:pStyle w:val="TableText"/>
            </w:pPr>
            <w:r>
              <w:t>k=1 (some concerns, GRADE low)</w:t>
            </w:r>
          </w:p>
          <w:p w14:paraId="4E3321DB" w14:textId="77777777" w:rsidR="005D5985" w:rsidRDefault="005D5985">
            <w:pPr>
              <w:pStyle w:val="TableText"/>
            </w:pPr>
            <w:r>
              <w:t>No AEs</w:t>
            </w:r>
          </w:p>
        </w:tc>
        <w:tc>
          <w:tcPr>
            <w:tcW w:w="1667" w:type="pct"/>
          </w:tcPr>
          <w:p w14:paraId="1AA69B5D" w14:textId="77777777" w:rsidR="005D5985" w:rsidRDefault="005D5985">
            <w:pPr>
              <w:pStyle w:val="TableText"/>
            </w:pPr>
            <w:r>
              <w:t xml:space="preserve">k=3 (SR: </w:t>
            </w:r>
            <w:r w:rsidRPr="00F10DDC">
              <w:t>critically low</w:t>
            </w:r>
            <w:r>
              <w:t xml:space="preserve"> and low, RCT: some concerns)</w:t>
            </w:r>
          </w:p>
          <w:p w14:paraId="04A2F93C" w14:textId="77777777" w:rsidR="005D5985" w:rsidRDefault="005D5985">
            <w:pPr>
              <w:pStyle w:val="TableText"/>
              <w:rPr>
                <w:vertAlign w:val="superscript"/>
              </w:rPr>
            </w:pPr>
            <w:r>
              <w:t>No major AEs</w:t>
            </w:r>
            <w:r w:rsidRPr="001F691D">
              <w:rPr>
                <w:vertAlign w:val="superscript"/>
              </w:rPr>
              <w:t>a</w:t>
            </w:r>
          </w:p>
          <w:p w14:paraId="7B4019FB" w14:textId="77777777" w:rsidR="005D5985" w:rsidRPr="00AB44F6" w:rsidRDefault="005D5985">
            <w:pPr>
              <w:pStyle w:val="TableText"/>
            </w:pPr>
            <w:r w:rsidRPr="00AB44F6">
              <w:t>Minor AEs</w:t>
            </w:r>
            <w:r w:rsidRPr="009D38CE">
              <w:rPr>
                <w:vertAlign w:val="superscript"/>
              </w:rPr>
              <w:t>b</w:t>
            </w:r>
          </w:p>
        </w:tc>
      </w:tr>
      <w:tr w:rsidR="005D5985" w14:paraId="15C4A994" w14:textId="77777777">
        <w:tc>
          <w:tcPr>
            <w:tcW w:w="1427" w:type="pct"/>
          </w:tcPr>
          <w:p w14:paraId="3E9271EB" w14:textId="77777777" w:rsidR="005D5985" w:rsidRDefault="005D5985">
            <w:pPr>
              <w:pStyle w:val="TableText"/>
            </w:pPr>
            <w:r>
              <w:t>Catheter AEs</w:t>
            </w:r>
          </w:p>
        </w:tc>
        <w:tc>
          <w:tcPr>
            <w:tcW w:w="1906" w:type="pct"/>
          </w:tcPr>
          <w:p w14:paraId="13290975" w14:textId="77777777" w:rsidR="005D5985" w:rsidRDefault="005D5985">
            <w:pPr>
              <w:pStyle w:val="TableText"/>
            </w:pPr>
            <w:r>
              <w:t xml:space="preserve">k=1 (some concerns, GRADE </w:t>
            </w:r>
            <w:r w:rsidRPr="00F724DB">
              <w:t>NA</w:t>
            </w:r>
            <w:r>
              <w:t>)</w:t>
            </w:r>
          </w:p>
          <w:p w14:paraId="285C931D" w14:textId="77777777" w:rsidR="005D5985" w:rsidRDefault="005D5985">
            <w:pPr>
              <w:pStyle w:val="TableText"/>
            </w:pPr>
            <w:r>
              <w:t>No infection</w:t>
            </w:r>
          </w:p>
        </w:tc>
        <w:tc>
          <w:tcPr>
            <w:tcW w:w="1667" w:type="pct"/>
          </w:tcPr>
          <w:p w14:paraId="02848F90" w14:textId="77777777" w:rsidR="005D5985" w:rsidRDefault="005D5985">
            <w:pPr>
              <w:pStyle w:val="TableText"/>
            </w:pPr>
            <w:r>
              <w:t xml:space="preserve">k=2 (SR: </w:t>
            </w:r>
            <w:r w:rsidRPr="00F10DDC">
              <w:t>critically low</w:t>
            </w:r>
            <w:r>
              <w:t>, RCT: some concerns)</w:t>
            </w:r>
          </w:p>
          <w:p w14:paraId="32843A7D" w14:textId="77777777" w:rsidR="005D5985" w:rsidRDefault="005D5985">
            <w:pPr>
              <w:pStyle w:val="TableText"/>
            </w:pPr>
            <w:r>
              <w:t>No infections</w:t>
            </w:r>
          </w:p>
        </w:tc>
      </w:tr>
      <w:tr w:rsidR="005D5985" w14:paraId="4F29DCA3" w14:textId="77777777">
        <w:tc>
          <w:tcPr>
            <w:tcW w:w="1427" w:type="pct"/>
          </w:tcPr>
          <w:p w14:paraId="34AA46EB" w14:textId="77777777" w:rsidR="005D5985" w:rsidRDefault="005D5985">
            <w:pPr>
              <w:pStyle w:val="TableText"/>
            </w:pPr>
            <w:r>
              <w:t>Local anaesthesia toxicity</w:t>
            </w:r>
          </w:p>
        </w:tc>
        <w:tc>
          <w:tcPr>
            <w:tcW w:w="1906" w:type="pct"/>
          </w:tcPr>
          <w:p w14:paraId="036F6909" w14:textId="77777777" w:rsidR="005D5985" w:rsidRDefault="005D5985">
            <w:pPr>
              <w:pStyle w:val="TableText"/>
            </w:pPr>
            <w:r>
              <w:t>NR</w:t>
            </w:r>
          </w:p>
        </w:tc>
        <w:tc>
          <w:tcPr>
            <w:tcW w:w="1667" w:type="pct"/>
          </w:tcPr>
          <w:p w14:paraId="641D3291" w14:textId="77777777" w:rsidR="005D5985" w:rsidRDefault="005D5985">
            <w:pPr>
              <w:pStyle w:val="TableText"/>
            </w:pPr>
            <w:r>
              <w:t>NR</w:t>
            </w:r>
          </w:p>
        </w:tc>
      </w:tr>
      <w:tr w:rsidR="005D5985" w14:paraId="0137559A" w14:textId="77777777">
        <w:tc>
          <w:tcPr>
            <w:tcW w:w="1427" w:type="pct"/>
          </w:tcPr>
          <w:p w14:paraId="14022BA4" w14:textId="77777777" w:rsidR="005D5985" w:rsidRDefault="005D5985">
            <w:pPr>
              <w:pStyle w:val="TableText"/>
            </w:pPr>
            <w:r>
              <w:t>Death/mortality</w:t>
            </w:r>
          </w:p>
        </w:tc>
        <w:tc>
          <w:tcPr>
            <w:tcW w:w="1906" w:type="pct"/>
          </w:tcPr>
          <w:p w14:paraId="3250DE90" w14:textId="77777777" w:rsidR="005D5985" w:rsidRDefault="005D5985">
            <w:pPr>
              <w:pStyle w:val="TableText"/>
            </w:pPr>
            <w:r>
              <w:t>NR</w:t>
            </w:r>
          </w:p>
        </w:tc>
        <w:tc>
          <w:tcPr>
            <w:tcW w:w="1667" w:type="pct"/>
          </w:tcPr>
          <w:p w14:paraId="637705B0" w14:textId="77777777" w:rsidR="005D5985" w:rsidRDefault="005D5985">
            <w:pPr>
              <w:pStyle w:val="TableText"/>
            </w:pPr>
            <w:r>
              <w:t>k=1 (RCT: some concerns)</w:t>
            </w:r>
          </w:p>
          <w:p w14:paraId="682226CC" w14:textId="77777777" w:rsidR="005D5985" w:rsidRDefault="005D5985">
            <w:pPr>
              <w:pStyle w:val="TableText"/>
            </w:pPr>
            <w:r>
              <w:t>No deaths</w:t>
            </w:r>
          </w:p>
        </w:tc>
      </w:tr>
    </w:tbl>
    <w:p w14:paraId="42DBA13A" w14:textId="77777777" w:rsidR="005D5985" w:rsidRDefault="005D5985" w:rsidP="005D5985">
      <w:pPr>
        <w:pStyle w:val="TableFooter"/>
      </w:pPr>
      <w:r w:rsidRPr="009D38CE">
        <w:rPr>
          <w:b/>
          <w:bCs/>
        </w:rPr>
        <w:t>Abbreviations</w:t>
      </w:r>
      <w:r>
        <w:t xml:space="preserve">: </w:t>
      </w:r>
      <w:r w:rsidRPr="009D33A1">
        <w:rPr>
          <w:b/>
          <w:bCs/>
        </w:rPr>
        <w:t>AE</w:t>
      </w:r>
      <w:r>
        <w:t xml:space="preserve"> = adverse event;</w:t>
      </w:r>
      <w:r w:rsidRPr="00692147">
        <w:rPr>
          <w:b/>
          <w:bCs/>
        </w:rPr>
        <w:t xml:space="preserve"> </w:t>
      </w:r>
      <w:r w:rsidRPr="00BA7049">
        <w:rPr>
          <w:b/>
          <w:bCs/>
        </w:rPr>
        <w:t>GRADE</w:t>
      </w:r>
      <w:r>
        <w:t xml:space="preserve"> = Grading of Recommendations Assessment, Development and Evaluation; </w:t>
      </w:r>
      <w:r w:rsidRPr="00FB6572">
        <w:rPr>
          <w:b/>
          <w:bCs/>
        </w:rPr>
        <w:t xml:space="preserve">k </w:t>
      </w:r>
      <w:r>
        <w:t xml:space="preserve">= number of studies; </w:t>
      </w:r>
      <w:r w:rsidRPr="00D059DF">
        <w:rPr>
          <w:b/>
          <w:bCs/>
        </w:rPr>
        <w:t>NA</w:t>
      </w:r>
      <w:r>
        <w:t xml:space="preserve"> = not applicable; </w:t>
      </w:r>
      <w:r w:rsidRPr="00FB6572">
        <w:rPr>
          <w:b/>
          <w:bCs/>
        </w:rPr>
        <w:t xml:space="preserve">NR </w:t>
      </w:r>
      <w:r>
        <w:t xml:space="preserve">= not reported; </w:t>
      </w:r>
      <w:r w:rsidRPr="00FB6572">
        <w:rPr>
          <w:b/>
          <w:bCs/>
        </w:rPr>
        <w:t xml:space="preserve">RCT </w:t>
      </w:r>
      <w:r>
        <w:t xml:space="preserve">= randomised controlled trial; </w:t>
      </w:r>
      <w:r w:rsidRPr="00FB6572">
        <w:rPr>
          <w:b/>
          <w:bCs/>
        </w:rPr>
        <w:t xml:space="preserve">RoB </w:t>
      </w:r>
      <w:r>
        <w:t xml:space="preserve">= risk of bias; </w:t>
      </w:r>
      <w:r w:rsidRPr="00FB6572">
        <w:rPr>
          <w:b/>
          <w:bCs/>
        </w:rPr>
        <w:t xml:space="preserve">SR </w:t>
      </w:r>
      <w:r>
        <w:t>= systematic review</w:t>
      </w:r>
    </w:p>
    <w:p w14:paraId="69CFDBA1" w14:textId="3CC31B78" w:rsidR="005D5985" w:rsidRDefault="005D5985" w:rsidP="005D5985">
      <w:pPr>
        <w:pStyle w:val="TableFooter"/>
        <w:rPr>
          <w:b/>
          <w:bCs/>
        </w:rPr>
      </w:pPr>
      <w:r w:rsidRPr="009D38CE">
        <w:rPr>
          <w:b/>
          <w:bCs/>
        </w:rPr>
        <w:t>Notes</w:t>
      </w:r>
      <w:r>
        <w:t xml:space="preserve">: </w:t>
      </w:r>
      <w:r w:rsidRPr="009D38CE">
        <w:rPr>
          <w:b/>
          <w:bCs/>
        </w:rPr>
        <w:t>a</w:t>
      </w:r>
      <w:r>
        <w:t xml:space="preserve"> =</w:t>
      </w:r>
      <w:r w:rsidRPr="009D38CE">
        <w:t xml:space="preserve"> </w:t>
      </w:r>
      <w:r>
        <w:t xml:space="preserve">Major block-related AEs, including </w:t>
      </w:r>
      <w:r w:rsidRPr="00306E38">
        <w:rPr>
          <w:snapToGrid w:val="0"/>
        </w:rPr>
        <w:t>procedure-</w:t>
      </w:r>
      <w:r>
        <w:rPr>
          <w:snapToGrid w:val="0"/>
        </w:rPr>
        <w:t>related</w:t>
      </w:r>
      <w:r w:rsidRPr="00306E38">
        <w:rPr>
          <w:snapToGrid w:val="0"/>
        </w:rPr>
        <w:t xml:space="preserve"> or infusion system-related</w:t>
      </w:r>
      <w:r>
        <w:rPr>
          <w:snapToGrid w:val="0"/>
        </w:rPr>
        <w:t xml:space="preserve"> AEs such as</w:t>
      </w:r>
      <w:r w:rsidRPr="00306E38">
        <w:rPr>
          <w:snapToGrid w:val="0"/>
        </w:rPr>
        <w:t xml:space="preserve"> neuropathic symptoms, adverse drug </w:t>
      </w:r>
      <w:r>
        <w:rPr>
          <w:snapToGrid w:val="0"/>
        </w:rPr>
        <w:t>reactions</w:t>
      </w:r>
      <w:r w:rsidRPr="00306E38">
        <w:rPr>
          <w:snapToGrid w:val="0"/>
        </w:rPr>
        <w:t xml:space="preserve"> or accidental fall</w:t>
      </w:r>
      <w:r w:rsidRPr="00306E38">
        <w:t xml:space="preserve"> </w:t>
      </w:r>
      <w:r>
        <w:t>were reported.</w:t>
      </w:r>
    </w:p>
    <w:p w14:paraId="66299E9B" w14:textId="77777777" w:rsidR="005D5985" w:rsidRDefault="005D5985" w:rsidP="005D5985">
      <w:pPr>
        <w:pStyle w:val="TableFooter"/>
      </w:pPr>
      <w:r w:rsidRPr="009D38CE">
        <w:rPr>
          <w:b/>
          <w:bCs/>
        </w:rPr>
        <w:t>b</w:t>
      </w:r>
      <w:r>
        <w:t xml:space="preserve"> = Minor block-related AEs included motor block (defined as difficulty in finger flexion or extension at 12 h after shoulder surgery), </w:t>
      </w:r>
      <w:r w:rsidRPr="00EB17D6">
        <w:t>drug leakage, catheter dislodgment or blockade,</w:t>
      </w:r>
      <w:r>
        <w:t xml:space="preserve"> and </w:t>
      </w:r>
      <w:r w:rsidRPr="00EB17D6">
        <w:t>pump malfunction</w:t>
      </w:r>
      <w:r>
        <w:t>.</w:t>
      </w:r>
    </w:p>
    <w:p w14:paraId="65B68875" w14:textId="77777777" w:rsidR="005D5985" w:rsidRDefault="005D5985" w:rsidP="00D85574">
      <w:pPr>
        <w:pStyle w:val="TableFooter"/>
        <w:spacing w:after="0"/>
      </w:pPr>
      <w:r w:rsidRPr="00D059DF">
        <w:rPr>
          <w:b/>
          <w:bCs/>
        </w:rPr>
        <w:t>c</w:t>
      </w:r>
      <w:r>
        <w:t xml:space="preserve"> = Overall quality scores were appraised using the AMSTAR-2 critical appraisal tool.</w:t>
      </w:r>
    </w:p>
    <w:p w14:paraId="6C4CAC23" w14:textId="78905585" w:rsidR="00BC16E9" w:rsidRDefault="00BC16E9" w:rsidP="00D85574">
      <w:pPr>
        <w:pStyle w:val="Tablenotes0"/>
        <w:spacing w:before="0"/>
      </w:pPr>
      <w:r>
        <w:t>Source: DCAR Table 7</w:t>
      </w:r>
    </w:p>
    <w:p w14:paraId="701D3388" w14:textId="77777777" w:rsidR="005D5985" w:rsidRPr="00E036FE" w:rsidRDefault="005D5985" w:rsidP="005D5985">
      <w:pPr>
        <w:rPr>
          <w:rFonts w:ascii="Franklin Gothic Book" w:hAnsi="Franklin Gothic Book"/>
          <w:b/>
          <w:bCs/>
          <w:sz w:val="24"/>
          <w:szCs w:val="24"/>
        </w:rPr>
      </w:pPr>
      <w:r w:rsidRPr="00E036FE">
        <w:rPr>
          <w:rFonts w:ascii="Franklin Gothic Book" w:hAnsi="Franklin Gothic Book"/>
          <w:b/>
          <w:bCs/>
          <w:sz w:val="24"/>
          <w:szCs w:val="24"/>
        </w:rPr>
        <w:t>Continuous nerve block vs systemic opioids</w:t>
      </w:r>
    </w:p>
    <w:p w14:paraId="2B4ED0B5" w14:textId="77777777" w:rsidR="005D5985" w:rsidRPr="00E036FE" w:rsidRDefault="005D5985" w:rsidP="005D5985">
      <w:pPr>
        <w:rPr>
          <w:rFonts w:ascii="Franklin Gothic Book" w:hAnsi="Franklin Gothic Book"/>
        </w:rPr>
      </w:pPr>
      <w:r w:rsidRPr="00E036FE">
        <w:rPr>
          <w:rFonts w:ascii="Franklin Gothic Book" w:hAnsi="Franklin Gothic Book"/>
        </w:rPr>
        <w:t>Limited evidence was available to evaluate safety when comparing continuous nerve block to systemic opioids. In the included RCTs, no evidence was reported on deaths/mortality, or local anaesthesia toxicities. Zero events of block-related complications or catheter AEs were reported. For complications or grade ≥3 AEs, 3 RCTs reported nausea and vomiting, with a statistically significant difference favouring continuous nerve block reported at 48 to 72 hours. For nausea and vomiting, the overall GRADE certainty of evidence was assessed to be low.</w:t>
      </w:r>
    </w:p>
    <w:p w14:paraId="09A9839A" w14:textId="50B8DF9A" w:rsidR="005D5985" w:rsidRPr="00E036FE" w:rsidRDefault="005D5985" w:rsidP="005D5985">
      <w:pPr>
        <w:rPr>
          <w:rFonts w:ascii="Franklin Gothic Book" w:hAnsi="Franklin Gothic Book"/>
        </w:rPr>
      </w:pPr>
      <w:r w:rsidRPr="00E036FE">
        <w:rPr>
          <w:rFonts w:ascii="Franklin Gothic Book" w:hAnsi="Franklin Gothic Book"/>
        </w:rPr>
        <w:t xml:space="preserve">A results comparison between the exemplar case and the other surgical locations is presented in </w:t>
      </w:r>
      <w:r w:rsidRPr="00E036FE">
        <w:rPr>
          <w:rFonts w:ascii="Franklin Gothic Book" w:hAnsi="Franklin Gothic Book"/>
        </w:rPr>
        <w:fldChar w:fldCharType="begin"/>
      </w:r>
      <w:r w:rsidRPr="00E036FE">
        <w:rPr>
          <w:rFonts w:ascii="Franklin Gothic Book" w:hAnsi="Franklin Gothic Book"/>
        </w:rPr>
        <w:instrText xml:space="preserve"> REF _Ref153109887 \h </w:instrText>
      </w:r>
      <w:r w:rsidR="00E036FE">
        <w:rPr>
          <w:rFonts w:ascii="Franklin Gothic Book" w:hAnsi="Franklin Gothic Book"/>
        </w:rPr>
        <w:instrText xml:space="preserve"> \* MERGEFORMAT </w:instrText>
      </w:r>
      <w:r w:rsidRPr="00E036FE">
        <w:rPr>
          <w:rFonts w:ascii="Franklin Gothic Book" w:hAnsi="Franklin Gothic Book"/>
        </w:rPr>
      </w:r>
      <w:r w:rsidRPr="00E036FE">
        <w:rPr>
          <w:rFonts w:ascii="Franklin Gothic Book" w:hAnsi="Franklin Gothic Book"/>
        </w:rPr>
        <w:fldChar w:fldCharType="separate"/>
      </w:r>
      <w:r w:rsidR="00091077" w:rsidRPr="00DA18D9">
        <w:rPr>
          <w:rFonts w:ascii="Franklin Gothic Book" w:hAnsi="Franklin Gothic Book"/>
        </w:rPr>
        <w:t>Table 9</w:t>
      </w:r>
      <w:r w:rsidRPr="00E036FE">
        <w:rPr>
          <w:rFonts w:ascii="Franklin Gothic Book" w:hAnsi="Franklin Gothic Book"/>
        </w:rPr>
        <w:fldChar w:fldCharType="end"/>
      </w:r>
      <w:r w:rsidRPr="00E036FE">
        <w:rPr>
          <w:rFonts w:ascii="Franklin Gothic Book" w:hAnsi="Franklin Gothic Book"/>
        </w:rPr>
        <w:t>.</w:t>
      </w:r>
    </w:p>
    <w:p w14:paraId="472A683D" w14:textId="5F66F61A" w:rsidR="005D5985" w:rsidRDefault="005D5985" w:rsidP="005D5985">
      <w:pPr>
        <w:pStyle w:val="Caption"/>
      </w:pPr>
      <w:bookmarkStart w:id="33" w:name="_Ref153109887"/>
      <w:r w:rsidRPr="00EB08B4">
        <w:t>Table </w:t>
      </w:r>
      <w:r>
        <w:fldChar w:fldCharType="begin"/>
      </w:r>
      <w:r>
        <w:instrText>SEQ Table \* ARABIC</w:instrText>
      </w:r>
      <w:r>
        <w:fldChar w:fldCharType="separate"/>
      </w:r>
      <w:r w:rsidR="00210D50">
        <w:rPr>
          <w:noProof/>
        </w:rPr>
        <w:t>9</w:t>
      </w:r>
      <w:r>
        <w:fldChar w:fldCharType="end"/>
      </w:r>
      <w:bookmarkEnd w:id="33"/>
      <w:r w:rsidRPr="00EB08B4">
        <w:tab/>
        <w:t>Continuous nerve block vs systemic opioids: summary of the main outcome</w:t>
      </w:r>
    </w:p>
    <w:tbl>
      <w:tblPr>
        <w:tblStyle w:val="TableGrid"/>
        <w:tblW w:w="5000" w:type="pct"/>
        <w:tblLook w:val="04A0" w:firstRow="1" w:lastRow="0" w:firstColumn="1" w:lastColumn="0" w:noHBand="0" w:noVBand="1"/>
      </w:tblPr>
      <w:tblGrid>
        <w:gridCol w:w="2286"/>
        <w:gridCol w:w="3008"/>
        <w:gridCol w:w="3722"/>
      </w:tblGrid>
      <w:tr w:rsidR="005D5985" w14:paraId="02ABCB9C" w14:textId="77777777">
        <w:trPr>
          <w:tblHeader/>
        </w:trPr>
        <w:tc>
          <w:tcPr>
            <w:tcW w:w="1268" w:type="pct"/>
          </w:tcPr>
          <w:p w14:paraId="40EDB5F7" w14:textId="77777777" w:rsidR="005D5985" w:rsidRPr="00B94279" w:rsidRDefault="005D5985" w:rsidP="00AA1A91">
            <w:pPr>
              <w:pStyle w:val="TableText"/>
              <w:spacing w:before="0" w:after="0"/>
              <w:rPr>
                <w:b/>
              </w:rPr>
            </w:pPr>
            <w:r w:rsidRPr="00B94279">
              <w:rPr>
                <w:b/>
              </w:rPr>
              <w:t>Outcomes</w:t>
            </w:r>
          </w:p>
        </w:tc>
        <w:tc>
          <w:tcPr>
            <w:tcW w:w="1668" w:type="pct"/>
          </w:tcPr>
          <w:p w14:paraId="7A6A9B58" w14:textId="77777777" w:rsidR="005D5985" w:rsidRPr="00B94279" w:rsidRDefault="005D5985" w:rsidP="00AA1A91">
            <w:pPr>
              <w:pStyle w:val="TableText"/>
              <w:spacing w:before="0" w:after="0"/>
              <w:rPr>
                <w:b/>
              </w:rPr>
            </w:pPr>
            <w:r w:rsidRPr="00B94279">
              <w:rPr>
                <w:b/>
              </w:rPr>
              <w:t>Ex</w:t>
            </w:r>
            <w:r>
              <w:rPr>
                <w:b/>
              </w:rPr>
              <w:t>e</w:t>
            </w:r>
            <w:r w:rsidRPr="00B94279">
              <w:rPr>
                <w:b/>
              </w:rPr>
              <w:t>mplar case</w:t>
            </w:r>
          </w:p>
          <w:p w14:paraId="66D67E45" w14:textId="77777777" w:rsidR="005D5985" w:rsidRPr="00D059DF" w:rsidRDefault="005D5985" w:rsidP="00AA1A91">
            <w:pPr>
              <w:pStyle w:val="TableText"/>
              <w:spacing w:before="0" w:after="0"/>
              <w:rPr>
                <w:b/>
              </w:rPr>
            </w:pPr>
            <w:r>
              <w:rPr>
                <w:b/>
              </w:rPr>
              <w:t>k</w:t>
            </w:r>
            <w:r w:rsidRPr="00B94279">
              <w:rPr>
                <w:b/>
              </w:rPr>
              <w:t>nee surgery</w:t>
            </w:r>
            <w:r w:rsidRPr="00D059DF">
              <w:rPr>
                <w:b/>
              </w:rPr>
              <w:t xml:space="preserve"> (RoB, GRADE)</w:t>
            </w:r>
          </w:p>
        </w:tc>
        <w:tc>
          <w:tcPr>
            <w:tcW w:w="2064" w:type="pct"/>
          </w:tcPr>
          <w:p w14:paraId="4DB70E48" w14:textId="77777777" w:rsidR="005D5985" w:rsidRPr="00D059DF" w:rsidRDefault="005D5985" w:rsidP="00AA1A91">
            <w:pPr>
              <w:pStyle w:val="TableText"/>
              <w:spacing w:before="0" w:after="0"/>
              <w:rPr>
                <w:b/>
              </w:rPr>
            </w:pPr>
            <w:r w:rsidRPr="00B94279">
              <w:rPr>
                <w:b/>
              </w:rPr>
              <w:t>Other surgical locations</w:t>
            </w:r>
            <w:r w:rsidRPr="00D059DF">
              <w:rPr>
                <w:b/>
              </w:rPr>
              <w:t xml:space="preserve">: foot and ankle, hips, abdomen, cardiothorax and shoulders (Overall quality </w:t>
            </w:r>
            <w:r w:rsidRPr="002B7379">
              <w:rPr>
                <w:b/>
                <w:bCs/>
                <w:vertAlign w:val="superscript"/>
              </w:rPr>
              <w:t>b</w:t>
            </w:r>
            <w:r w:rsidRPr="00D059DF">
              <w:rPr>
                <w:b/>
              </w:rPr>
              <w:t>)</w:t>
            </w:r>
          </w:p>
        </w:tc>
      </w:tr>
      <w:tr w:rsidR="005D5985" w14:paraId="3BC2F4B2" w14:textId="77777777">
        <w:tc>
          <w:tcPr>
            <w:tcW w:w="1268" w:type="pct"/>
          </w:tcPr>
          <w:p w14:paraId="13AEBEEC" w14:textId="77777777" w:rsidR="005D5985" w:rsidRDefault="005D5985" w:rsidP="00AA1A91">
            <w:pPr>
              <w:pStyle w:val="TableText"/>
              <w:spacing w:before="0" w:after="0"/>
            </w:pPr>
            <w:r>
              <w:t>Block-related complications</w:t>
            </w:r>
          </w:p>
        </w:tc>
        <w:tc>
          <w:tcPr>
            <w:tcW w:w="1668" w:type="pct"/>
          </w:tcPr>
          <w:p w14:paraId="31DF0D66" w14:textId="77777777" w:rsidR="005D5985" w:rsidRDefault="005D5985" w:rsidP="00AA1A91">
            <w:pPr>
              <w:pStyle w:val="TableText"/>
              <w:spacing w:before="0" w:after="0"/>
            </w:pPr>
            <w:r>
              <w:t>k=2 (some concerns, GRADE moderate)</w:t>
            </w:r>
          </w:p>
          <w:p w14:paraId="5511CC3C" w14:textId="77777777" w:rsidR="005D5985" w:rsidRDefault="005D5985" w:rsidP="00AA1A91">
            <w:pPr>
              <w:pStyle w:val="TableText"/>
              <w:spacing w:before="0" w:after="0"/>
            </w:pPr>
            <w:r>
              <w:t>No AEs</w:t>
            </w:r>
          </w:p>
        </w:tc>
        <w:tc>
          <w:tcPr>
            <w:tcW w:w="2064" w:type="pct"/>
          </w:tcPr>
          <w:p w14:paraId="26D4ECE5" w14:textId="77777777" w:rsidR="005D5985" w:rsidRDefault="005D5985" w:rsidP="00AA1A91">
            <w:pPr>
              <w:pStyle w:val="TableText"/>
              <w:spacing w:before="0" w:after="0"/>
            </w:pPr>
            <w:r>
              <w:t>k=1 (RCT: low)</w:t>
            </w:r>
          </w:p>
          <w:p w14:paraId="5190D186" w14:textId="77777777" w:rsidR="005D5985" w:rsidRPr="00AB44F6" w:rsidRDefault="005D5985" w:rsidP="00AA1A91">
            <w:pPr>
              <w:pStyle w:val="TableText"/>
              <w:spacing w:before="0" w:after="0"/>
            </w:pPr>
            <w:r w:rsidRPr="00AB44F6">
              <w:t>Minor AEs</w:t>
            </w:r>
            <w:r>
              <w:rPr>
                <w:vertAlign w:val="superscript"/>
              </w:rPr>
              <w:t>a</w:t>
            </w:r>
          </w:p>
        </w:tc>
      </w:tr>
      <w:tr w:rsidR="005D5985" w14:paraId="678BBC21" w14:textId="77777777">
        <w:tc>
          <w:tcPr>
            <w:tcW w:w="1268" w:type="pct"/>
          </w:tcPr>
          <w:p w14:paraId="41322389" w14:textId="77777777" w:rsidR="005D5985" w:rsidRDefault="005D5985" w:rsidP="00AA1A91">
            <w:pPr>
              <w:pStyle w:val="TableText"/>
              <w:spacing w:before="0" w:after="0"/>
            </w:pPr>
            <w:r>
              <w:t>Catheter AEs</w:t>
            </w:r>
          </w:p>
        </w:tc>
        <w:tc>
          <w:tcPr>
            <w:tcW w:w="1668" w:type="pct"/>
          </w:tcPr>
          <w:p w14:paraId="3B8A1490" w14:textId="77777777" w:rsidR="005D5985" w:rsidRDefault="005D5985" w:rsidP="00AA1A91">
            <w:pPr>
              <w:pStyle w:val="TableText"/>
              <w:spacing w:before="0" w:after="0"/>
            </w:pPr>
            <w:r w:rsidRPr="00F724DB">
              <w:t>k=1 (some concerns, GRADE NA)</w:t>
            </w:r>
          </w:p>
          <w:p w14:paraId="3B43B154" w14:textId="77777777" w:rsidR="005D5985" w:rsidRDefault="005D5985" w:rsidP="00AA1A91">
            <w:pPr>
              <w:pStyle w:val="TableText"/>
              <w:spacing w:before="0" w:after="0"/>
            </w:pPr>
            <w:r>
              <w:t>No infection</w:t>
            </w:r>
          </w:p>
        </w:tc>
        <w:tc>
          <w:tcPr>
            <w:tcW w:w="2064" w:type="pct"/>
          </w:tcPr>
          <w:p w14:paraId="2EF6B544" w14:textId="77777777" w:rsidR="005D5985" w:rsidRDefault="005D5985" w:rsidP="00AA1A91">
            <w:pPr>
              <w:pStyle w:val="TableText"/>
              <w:spacing w:before="0" w:after="0"/>
            </w:pPr>
            <w:r>
              <w:t>k=1 (RCT: low)</w:t>
            </w:r>
          </w:p>
          <w:p w14:paraId="4994ABB3" w14:textId="77777777" w:rsidR="005D5985" w:rsidRDefault="005D5985" w:rsidP="00AA1A91">
            <w:pPr>
              <w:pStyle w:val="TableText"/>
              <w:spacing w:before="0" w:after="0"/>
            </w:pPr>
            <w:r>
              <w:t>No infection</w:t>
            </w:r>
          </w:p>
        </w:tc>
      </w:tr>
      <w:tr w:rsidR="005D5985" w14:paraId="5CC64111" w14:textId="77777777">
        <w:tc>
          <w:tcPr>
            <w:tcW w:w="1268" w:type="pct"/>
          </w:tcPr>
          <w:p w14:paraId="76BD307A" w14:textId="77777777" w:rsidR="005D5985" w:rsidRDefault="005D5985" w:rsidP="00AA1A91">
            <w:pPr>
              <w:pStyle w:val="TableText"/>
              <w:spacing w:before="0" w:after="0"/>
            </w:pPr>
            <w:r>
              <w:t>Local anaesthesia toxicity</w:t>
            </w:r>
          </w:p>
        </w:tc>
        <w:tc>
          <w:tcPr>
            <w:tcW w:w="1668" w:type="pct"/>
          </w:tcPr>
          <w:p w14:paraId="52F9A723" w14:textId="77777777" w:rsidR="005D5985" w:rsidRDefault="005D5985" w:rsidP="00AA1A91">
            <w:pPr>
              <w:pStyle w:val="TableText"/>
              <w:spacing w:before="0" w:after="0"/>
            </w:pPr>
            <w:r>
              <w:t>NR</w:t>
            </w:r>
          </w:p>
        </w:tc>
        <w:tc>
          <w:tcPr>
            <w:tcW w:w="2064" w:type="pct"/>
          </w:tcPr>
          <w:p w14:paraId="4E8DDC6E" w14:textId="77777777" w:rsidR="005D5985" w:rsidRDefault="005D5985" w:rsidP="00AA1A91">
            <w:pPr>
              <w:pStyle w:val="TableText"/>
              <w:spacing w:before="0" w:after="0"/>
            </w:pPr>
            <w:r>
              <w:t xml:space="preserve">k=1 (RCT: </w:t>
            </w:r>
            <w:r w:rsidRPr="00D059DF">
              <w:t>NA</w:t>
            </w:r>
            <w:r>
              <w:t>)</w:t>
            </w:r>
          </w:p>
          <w:p w14:paraId="334E4553" w14:textId="77777777" w:rsidR="005D5985" w:rsidRDefault="005D5985" w:rsidP="00AA1A91">
            <w:pPr>
              <w:pStyle w:val="TableText"/>
              <w:spacing w:before="0" w:after="0"/>
            </w:pPr>
            <w:r>
              <w:t>No toxicity</w:t>
            </w:r>
          </w:p>
        </w:tc>
      </w:tr>
      <w:tr w:rsidR="005D5985" w14:paraId="68440C44" w14:textId="77777777">
        <w:tc>
          <w:tcPr>
            <w:tcW w:w="1268" w:type="pct"/>
          </w:tcPr>
          <w:p w14:paraId="3CBB00B1" w14:textId="77777777" w:rsidR="005D5985" w:rsidRDefault="005D5985" w:rsidP="00AA1A91">
            <w:pPr>
              <w:pStyle w:val="TableText"/>
              <w:spacing w:before="0" w:after="0"/>
            </w:pPr>
            <w:r>
              <w:t>Death/mortality</w:t>
            </w:r>
          </w:p>
        </w:tc>
        <w:tc>
          <w:tcPr>
            <w:tcW w:w="1668" w:type="pct"/>
          </w:tcPr>
          <w:p w14:paraId="6D166622" w14:textId="77777777" w:rsidR="005D5985" w:rsidRDefault="005D5985" w:rsidP="00AA1A91">
            <w:pPr>
              <w:pStyle w:val="TableText"/>
              <w:spacing w:before="0" w:after="0"/>
            </w:pPr>
            <w:r>
              <w:t>NR</w:t>
            </w:r>
          </w:p>
        </w:tc>
        <w:tc>
          <w:tcPr>
            <w:tcW w:w="2064" w:type="pct"/>
          </w:tcPr>
          <w:p w14:paraId="0F590C68" w14:textId="77777777" w:rsidR="005D5985" w:rsidRDefault="005D5985" w:rsidP="00AA1A91">
            <w:pPr>
              <w:pStyle w:val="TableText"/>
              <w:spacing w:before="0" w:after="0"/>
            </w:pPr>
            <w:r>
              <w:t>k=1 (RCT: low)</w:t>
            </w:r>
          </w:p>
          <w:p w14:paraId="663DB48A" w14:textId="77777777" w:rsidR="005D5985" w:rsidRDefault="005D5985" w:rsidP="00AA1A91">
            <w:pPr>
              <w:pStyle w:val="TableText"/>
              <w:spacing w:before="0" w:after="0"/>
            </w:pPr>
            <w:r>
              <w:t xml:space="preserve">No </w:t>
            </w:r>
            <w:r w:rsidRPr="00306E38">
              <w:t>statistically</w:t>
            </w:r>
            <w:r>
              <w:t xml:space="preserve"> significant difference</w:t>
            </w:r>
          </w:p>
        </w:tc>
      </w:tr>
    </w:tbl>
    <w:p w14:paraId="15976964" w14:textId="77777777" w:rsidR="005D5985" w:rsidRDefault="005D5985" w:rsidP="005D5985">
      <w:pPr>
        <w:pStyle w:val="TableFooter"/>
      </w:pPr>
      <w:r w:rsidRPr="009D38CE">
        <w:rPr>
          <w:b/>
          <w:bCs/>
        </w:rPr>
        <w:t>Abbreviations</w:t>
      </w:r>
      <w:r>
        <w:t xml:space="preserve">: </w:t>
      </w:r>
      <w:r w:rsidRPr="009D33A1">
        <w:rPr>
          <w:b/>
          <w:bCs/>
        </w:rPr>
        <w:t>AE</w:t>
      </w:r>
      <w:r>
        <w:t xml:space="preserve"> = adverse event; </w:t>
      </w:r>
      <w:r w:rsidRPr="00BA7049">
        <w:rPr>
          <w:b/>
          <w:bCs/>
        </w:rPr>
        <w:t>GRADE</w:t>
      </w:r>
      <w:r>
        <w:t xml:space="preserve"> = Grading of Recommendations Assessment, Development and Evaluation; </w:t>
      </w:r>
      <w:r w:rsidRPr="00FB6572">
        <w:rPr>
          <w:b/>
          <w:bCs/>
        </w:rPr>
        <w:t xml:space="preserve">k </w:t>
      </w:r>
      <w:r>
        <w:t xml:space="preserve">= number of studies; </w:t>
      </w:r>
      <w:r w:rsidRPr="00F47489">
        <w:rPr>
          <w:b/>
          <w:bCs/>
        </w:rPr>
        <w:t>NA</w:t>
      </w:r>
      <w:r>
        <w:t xml:space="preserve"> = not applicable; </w:t>
      </w:r>
      <w:r w:rsidRPr="00FB6572">
        <w:rPr>
          <w:b/>
          <w:bCs/>
        </w:rPr>
        <w:t xml:space="preserve">NR </w:t>
      </w:r>
      <w:r>
        <w:t xml:space="preserve">= not reported; </w:t>
      </w:r>
      <w:r w:rsidRPr="00FB6572">
        <w:rPr>
          <w:b/>
          <w:bCs/>
        </w:rPr>
        <w:t xml:space="preserve">RCT </w:t>
      </w:r>
      <w:r>
        <w:t xml:space="preserve">= randomised controlled trial; </w:t>
      </w:r>
      <w:r w:rsidRPr="00FB6572">
        <w:rPr>
          <w:b/>
          <w:bCs/>
        </w:rPr>
        <w:t xml:space="preserve">RoB </w:t>
      </w:r>
      <w:r>
        <w:t>= risk of bias</w:t>
      </w:r>
    </w:p>
    <w:p w14:paraId="279166DC" w14:textId="0CC8749D" w:rsidR="005D5985" w:rsidRDefault="005D5985" w:rsidP="005D5985">
      <w:pPr>
        <w:pStyle w:val="TableFooter"/>
      </w:pPr>
      <w:r w:rsidRPr="009D38CE">
        <w:rPr>
          <w:b/>
          <w:bCs/>
        </w:rPr>
        <w:t>Notes</w:t>
      </w:r>
      <w:r>
        <w:t>:</w:t>
      </w:r>
      <w:r w:rsidR="00FF2645">
        <w:rPr>
          <w:b/>
          <w:bCs/>
        </w:rPr>
        <w:t xml:space="preserve"> </w:t>
      </w:r>
      <w:r w:rsidRPr="009D38CE">
        <w:rPr>
          <w:b/>
          <w:bCs/>
        </w:rPr>
        <w:t>a</w:t>
      </w:r>
      <w:r>
        <w:t xml:space="preserve"> =</w:t>
      </w:r>
      <w:r w:rsidRPr="009D38CE">
        <w:t xml:space="preserve"> </w:t>
      </w:r>
      <w:r>
        <w:t xml:space="preserve">Minor block-related AEs included </w:t>
      </w:r>
      <w:r w:rsidRPr="00EB17D6">
        <w:t xml:space="preserve">drug leakage, vascular puncture </w:t>
      </w:r>
      <w:r>
        <w:t xml:space="preserve">and </w:t>
      </w:r>
      <w:r w:rsidRPr="00EB17D6">
        <w:t>intra-epineural injection without neuropathy</w:t>
      </w:r>
      <w:r>
        <w:t>. There was no peripheral nerve injury or compartment syndrome.</w:t>
      </w:r>
    </w:p>
    <w:p w14:paraId="45F3CB12" w14:textId="6C4C9B89" w:rsidR="005D5985" w:rsidRDefault="005D5985" w:rsidP="00D85574">
      <w:pPr>
        <w:pStyle w:val="TableFooter"/>
        <w:spacing w:after="0"/>
      </w:pPr>
      <w:r>
        <w:rPr>
          <w:b/>
          <w:bCs/>
        </w:rPr>
        <w:t>b</w:t>
      </w:r>
      <w:r>
        <w:t xml:space="preserve"> = Overall quality scores were appraised using the AMSTAR-2 critical appraisal tool.</w:t>
      </w:r>
    </w:p>
    <w:p w14:paraId="715BBBAF" w14:textId="530767C9" w:rsidR="00BC16E9" w:rsidRPr="00306E38" w:rsidRDefault="00BC16E9" w:rsidP="00D85574">
      <w:pPr>
        <w:pStyle w:val="Tablenotes0"/>
        <w:spacing w:before="0"/>
      </w:pPr>
      <w:r>
        <w:t>Source: DCAR Table 8</w:t>
      </w:r>
    </w:p>
    <w:p w14:paraId="34C25006" w14:textId="77777777" w:rsidR="005D5985" w:rsidRPr="00E036FE" w:rsidRDefault="005D5985" w:rsidP="005D5985">
      <w:pPr>
        <w:rPr>
          <w:rFonts w:ascii="Franklin Gothic Book" w:hAnsi="Franklin Gothic Book"/>
          <w:b/>
          <w:bCs/>
          <w:sz w:val="24"/>
          <w:szCs w:val="24"/>
        </w:rPr>
      </w:pPr>
      <w:r w:rsidRPr="00E036FE">
        <w:rPr>
          <w:rFonts w:ascii="Franklin Gothic Book" w:hAnsi="Franklin Gothic Book"/>
          <w:b/>
          <w:bCs/>
          <w:sz w:val="24"/>
          <w:szCs w:val="24"/>
        </w:rPr>
        <w:lastRenderedPageBreak/>
        <w:t>Continuous nerve block vs neuraxial nerve block</w:t>
      </w:r>
    </w:p>
    <w:p w14:paraId="1D84D1E5" w14:textId="77777777" w:rsidR="005D5985" w:rsidRPr="00E036FE" w:rsidRDefault="005D5985" w:rsidP="005D5985">
      <w:pPr>
        <w:rPr>
          <w:rFonts w:ascii="Franklin Gothic Book" w:hAnsi="Franklin Gothic Book"/>
        </w:rPr>
      </w:pPr>
      <w:r w:rsidRPr="00E036FE">
        <w:rPr>
          <w:rFonts w:ascii="Franklin Gothic Book" w:hAnsi="Franklin Gothic Book"/>
        </w:rPr>
        <w:t>Limited evidence was available to evaluate safety when comparing continuous nerve block to neuraxial nerve block. In the included RCTs, no evidence was reported on deaths/mortality, local anaesthesia toxicities, block-related complications, or catheter AEs. For complications or grade ≥3 AEs, 1 RCT reported nausea and vomiting; however, no statistically significant difference between continuous nerve block and neuraxial nerve block was reported at 72 hours. For nausea and vomiting, the overall GRADE certainty of evidence was assessed to be very low.</w:t>
      </w:r>
    </w:p>
    <w:p w14:paraId="0B74FE42" w14:textId="65C54FE9" w:rsidR="005D5985" w:rsidRPr="00E036FE" w:rsidRDefault="005D5985" w:rsidP="005D5985">
      <w:pPr>
        <w:rPr>
          <w:rFonts w:ascii="Franklin Gothic Book" w:hAnsi="Franklin Gothic Book"/>
        </w:rPr>
      </w:pPr>
      <w:r w:rsidRPr="00E036FE">
        <w:rPr>
          <w:rFonts w:ascii="Franklin Gothic Book" w:hAnsi="Franklin Gothic Book"/>
        </w:rPr>
        <w:t xml:space="preserve">A results comparison between the exemplar case and the other surgical locations is presented in </w:t>
      </w:r>
      <w:r w:rsidRPr="00E036FE">
        <w:rPr>
          <w:rFonts w:ascii="Franklin Gothic Book" w:hAnsi="Franklin Gothic Book"/>
        </w:rPr>
        <w:fldChar w:fldCharType="begin"/>
      </w:r>
      <w:r w:rsidRPr="00E036FE">
        <w:rPr>
          <w:rFonts w:ascii="Franklin Gothic Book" w:hAnsi="Franklin Gothic Book"/>
        </w:rPr>
        <w:instrText xml:space="preserve"> REF _Ref153109907 \h </w:instrText>
      </w:r>
      <w:r w:rsidR="00E036FE">
        <w:rPr>
          <w:rFonts w:ascii="Franklin Gothic Book" w:hAnsi="Franklin Gothic Book"/>
        </w:rPr>
        <w:instrText xml:space="preserve"> \* MERGEFORMAT </w:instrText>
      </w:r>
      <w:r w:rsidRPr="00E036FE">
        <w:rPr>
          <w:rFonts w:ascii="Franklin Gothic Book" w:hAnsi="Franklin Gothic Book"/>
        </w:rPr>
      </w:r>
      <w:r w:rsidRPr="00E036FE">
        <w:rPr>
          <w:rFonts w:ascii="Franklin Gothic Book" w:hAnsi="Franklin Gothic Book"/>
        </w:rPr>
        <w:fldChar w:fldCharType="separate"/>
      </w:r>
      <w:r w:rsidR="00DA18D9" w:rsidRPr="00DA18D9">
        <w:rPr>
          <w:rFonts w:ascii="Franklin Gothic Book" w:hAnsi="Franklin Gothic Book"/>
        </w:rPr>
        <w:t>Table 10</w:t>
      </w:r>
      <w:r w:rsidRPr="00E036FE">
        <w:rPr>
          <w:rFonts w:ascii="Franklin Gothic Book" w:hAnsi="Franklin Gothic Book"/>
        </w:rPr>
        <w:fldChar w:fldCharType="end"/>
      </w:r>
      <w:r w:rsidRPr="00E036FE">
        <w:rPr>
          <w:rFonts w:ascii="Franklin Gothic Book" w:hAnsi="Franklin Gothic Book"/>
        </w:rPr>
        <w:t>.</w:t>
      </w:r>
    </w:p>
    <w:p w14:paraId="224AE911" w14:textId="300C43A4" w:rsidR="005D5985" w:rsidRDefault="005D5985" w:rsidP="005D5985">
      <w:pPr>
        <w:pStyle w:val="Caption"/>
      </w:pPr>
      <w:bookmarkStart w:id="34" w:name="_Ref153109907"/>
      <w:r w:rsidRPr="00EB08B4">
        <w:t>Table </w:t>
      </w:r>
      <w:r>
        <w:fldChar w:fldCharType="begin"/>
      </w:r>
      <w:r>
        <w:instrText>SEQ Table \* ARABIC</w:instrText>
      </w:r>
      <w:r>
        <w:fldChar w:fldCharType="separate"/>
      </w:r>
      <w:r w:rsidR="00210D50">
        <w:rPr>
          <w:noProof/>
        </w:rPr>
        <w:t>10</w:t>
      </w:r>
      <w:r>
        <w:fldChar w:fldCharType="end"/>
      </w:r>
      <w:bookmarkEnd w:id="34"/>
      <w:r w:rsidRPr="00EB08B4">
        <w:tab/>
        <w:t>Continuous nerve block vs neuraxial block: summary of the main outcomes</w:t>
      </w:r>
      <w:r>
        <w:t xml:space="preserve"> </w:t>
      </w:r>
    </w:p>
    <w:tbl>
      <w:tblPr>
        <w:tblStyle w:val="TableGrid"/>
        <w:tblW w:w="5000" w:type="pct"/>
        <w:tblLook w:val="04A0" w:firstRow="1" w:lastRow="0" w:firstColumn="1" w:lastColumn="0" w:noHBand="0" w:noVBand="1"/>
      </w:tblPr>
      <w:tblGrid>
        <w:gridCol w:w="2429"/>
        <w:gridCol w:w="2863"/>
        <w:gridCol w:w="3724"/>
      </w:tblGrid>
      <w:tr w:rsidR="005D5985" w14:paraId="660EAC0B" w14:textId="77777777">
        <w:trPr>
          <w:tblHeader/>
        </w:trPr>
        <w:tc>
          <w:tcPr>
            <w:tcW w:w="1347" w:type="pct"/>
          </w:tcPr>
          <w:p w14:paraId="2EDC08C5" w14:textId="77777777" w:rsidR="005D5985" w:rsidRPr="005858C0" w:rsidRDefault="005D5985">
            <w:pPr>
              <w:pStyle w:val="Tabletext0"/>
              <w:rPr>
                <w:b/>
              </w:rPr>
            </w:pPr>
            <w:r w:rsidRPr="005858C0">
              <w:rPr>
                <w:b/>
              </w:rPr>
              <w:t>Outcomes</w:t>
            </w:r>
          </w:p>
        </w:tc>
        <w:tc>
          <w:tcPr>
            <w:tcW w:w="1588" w:type="pct"/>
          </w:tcPr>
          <w:p w14:paraId="4A492E01" w14:textId="77777777" w:rsidR="005D5985" w:rsidRPr="005858C0" w:rsidRDefault="005D5985">
            <w:pPr>
              <w:pStyle w:val="Tabletext0"/>
              <w:rPr>
                <w:b/>
              </w:rPr>
            </w:pPr>
            <w:r w:rsidRPr="005858C0">
              <w:rPr>
                <w:b/>
              </w:rPr>
              <w:t>Exemplar case</w:t>
            </w:r>
          </w:p>
          <w:p w14:paraId="7476BE4B" w14:textId="77777777" w:rsidR="005D5985" w:rsidRPr="00D059DF" w:rsidRDefault="005D5985">
            <w:pPr>
              <w:pStyle w:val="Tabletext0"/>
              <w:rPr>
                <w:b/>
              </w:rPr>
            </w:pPr>
            <w:r w:rsidRPr="005858C0">
              <w:rPr>
                <w:b/>
              </w:rPr>
              <w:t>knee surgery</w:t>
            </w:r>
            <w:r w:rsidRPr="00D059DF">
              <w:rPr>
                <w:b/>
              </w:rPr>
              <w:t xml:space="preserve"> (RoB, GRADE)</w:t>
            </w:r>
          </w:p>
        </w:tc>
        <w:tc>
          <w:tcPr>
            <w:tcW w:w="2065" w:type="pct"/>
          </w:tcPr>
          <w:p w14:paraId="0A6F2C99" w14:textId="77777777" w:rsidR="005D5985" w:rsidRPr="00D059DF" w:rsidRDefault="005D5985">
            <w:pPr>
              <w:pStyle w:val="Tabletext0"/>
              <w:rPr>
                <w:b/>
              </w:rPr>
            </w:pPr>
            <w:r w:rsidRPr="005858C0">
              <w:rPr>
                <w:b/>
              </w:rPr>
              <w:t>Other surgical locations</w:t>
            </w:r>
            <w:r w:rsidRPr="00D059DF">
              <w:rPr>
                <w:b/>
              </w:rPr>
              <w:t xml:space="preserve">: foot and ankle, hips, abdomen, cardiothorax and shoulders (Overall quality </w:t>
            </w:r>
            <w:r w:rsidRPr="00D059DF">
              <w:rPr>
                <w:b/>
                <w:bCs/>
                <w:vertAlign w:val="superscript"/>
              </w:rPr>
              <w:t>b</w:t>
            </w:r>
            <w:r w:rsidRPr="00D059DF">
              <w:rPr>
                <w:b/>
              </w:rPr>
              <w:t>)</w:t>
            </w:r>
          </w:p>
        </w:tc>
      </w:tr>
      <w:tr w:rsidR="005D5985" w14:paraId="37E08D79" w14:textId="77777777">
        <w:tc>
          <w:tcPr>
            <w:tcW w:w="1347" w:type="pct"/>
          </w:tcPr>
          <w:p w14:paraId="5BEB0041" w14:textId="77777777" w:rsidR="005D5985" w:rsidRDefault="005D5985">
            <w:pPr>
              <w:pStyle w:val="Tabletext0"/>
            </w:pPr>
            <w:r>
              <w:t>Block-related complications</w:t>
            </w:r>
          </w:p>
        </w:tc>
        <w:tc>
          <w:tcPr>
            <w:tcW w:w="1588" w:type="pct"/>
          </w:tcPr>
          <w:p w14:paraId="6175AAC8" w14:textId="77777777" w:rsidR="005D5985" w:rsidRDefault="005D5985">
            <w:pPr>
              <w:pStyle w:val="Tabletext0"/>
            </w:pPr>
            <w:r>
              <w:t>NR</w:t>
            </w:r>
          </w:p>
          <w:p w14:paraId="7A25AD71" w14:textId="77777777" w:rsidR="005D5985" w:rsidRDefault="005D5985">
            <w:pPr>
              <w:pStyle w:val="Tabletext0"/>
            </w:pPr>
          </w:p>
        </w:tc>
        <w:tc>
          <w:tcPr>
            <w:tcW w:w="2065" w:type="pct"/>
          </w:tcPr>
          <w:p w14:paraId="127BD2BF" w14:textId="77777777" w:rsidR="005D5985" w:rsidRPr="00895230" w:rsidRDefault="005D5985">
            <w:pPr>
              <w:pStyle w:val="Tabletext0"/>
            </w:pPr>
            <w:r w:rsidRPr="00895230">
              <w:t xml:space="preserve">k=3 (SR: high, </w:t>
            </w:r>
            <w:r w:rsidRPr="00D059DF">
              <w:t>critically low</w:t>
            </w:r>
            <w:r w:rsidRPr="00895230">
              <w:t xml:space="preserve"> and low)</w:t>
            </w:r>
          </w:p>
          <w:p w14:paraId="3350A541" w14:textId="77777777" w:rsidR="005D5985" w:rsidRPr="00895230" w:rsidRDefault="005D5985">
            <w:pPr>
              <w:pStyle w:val="Tabletext0"/>
            </w:pPr>
            <w:r w:rsidRPr="00895230">
              <w:t xml:space="preserve">No AEs with continuous nerve block </w:t>
            </w:r>
            <w:r w:rsidRPr="00D059DF">
              <w:rPr>
                <w:b/>
                <w:bCs/>
                <w:vertAlign w:val="superscript"/>
              </w:rPr>
              <w:t>a</w:t>
            </w:r>
          </w:p>
        </w:tc>
      </w:tr>
      <w:tr w:rsidR="005D5985" w14:paraId="7A22BF1F" w14:textId="77777777">
        <w:tc>
          <w:tcPr>
            <w:tcW w:w="1347" w:type="pct"/>
          </w:tcPr>
          <w:p w14:paraId="3CA03326" w14:textId="77777777" w:rsidR="005D5985" w:rsidRDefault="005D5985">
            <w:pPr>
              <w:pStyle w:val="Tabletext0"/>
            </w:pPr>
            <w:r>
              <w:t>Catheter AEs</w:t>
            </w:r>
          </w:p>
        </w:tc>
        <w:tc>
          <w:tcPr>
            <w:tcW w:w="1588" w:type="pct"/>
          </w:tcPr>
          <w:p w14:paraId="68D70AA0" w14:textId="77777777" w:rsidR="005D5985" w:rsidRDefault="005D5985">
            <w:pPr>
              <w:pStyle w:val="Tabletext0"/>
            </w:pPr>
            <w:r>
              <w:t>NR</w:t>
            </w:r>
          </w:p>
        </w:tc>
        <w:tc>
          <w:tcPr>
            <w:tcW w:w="2065" w:type="pct"/>
          </w:tcPr>
          <w:p w14:paraId="1CBF8374" w14:textId="77777777" w:rsidR="005D5985" w:rsidRPr="00895230" w:rsidRDefault="005D5985">
            <w:pPr>
              <w:pStyle w:val="Tabletext0"/>
            </w:pPr>
            <w:r w:rsidRPr="00895230">
              <w:t>NR</w:t>
            </w:r>
          </w:p>
        </w:tc>
      </w:tr>
      <w:tr w:rsidR="005D5985" w14:paraId="504D03B9" w14:textId="77777777">
        <w:tc>
          <w:tcPr>
            <w:tcW w:w="1347" w:type="pct"/>
          </w:tcPr>
          <w:p w14:paraId="220AFB21" w14:textId="77777777" w:rsidR="005D5985" w:rsidRDefault="005D5985">
            <w:pPr>
              <w:pStyle w:val="Tabletext0"/>
            </w:pPr>
            <w:r>
              <w:t>Local anaesthesia toxicity</w:t>
            </w:r>
          </w:p>
        </w:tc>
        <w:tc>
          <w:tcPr>
            <w:tcW w:w="1588" w:type="pct"/>
          </w:tcPr>
          <w:p w14:paraId="1A50E600" w14:textId="77777777" w:rsidR="005D5985" w:rsidRDefault="005D5985">
            <w:pPr>
              <w:pStyle w:val="Tabletext0"/>
            </w:pPr>
            <w:r>
              <w:t>NR</w:t>
            </w:r>
          </w:p>
        </w:tc>
        <w:tc>
          <w:tcPr>
            <w:tcW w:w="2065" w:type="pct"/>
          </w:tcPr>
          <w:p w14:paraId="2C944CA4" w14:textId="77777777" w:rsidR="005D5985" w:rsidRDefault="005D5985">
            <w:pPr>
              <w:pStyle w:val="Tabletext0"/>
            </w:pPr>
            <w:r>
              <w:t>NR</w:t>
            </w:r>
          </w:p>
        </w:tc>
      </w:tr>
      <w:tr w:rsidR="005D5985" w14:paraId="21231C03" w14:textId="77777777">
        <w:tc>
          <w:tcPr>
            <w:tcW w:w="1347" w:type="pct"/>
          </w:tcPr>
          <w:p w14:paraId="3594A95F" w14:textId="77777777" w:rsidR="005D5985" w:rsidRDefault="005D5985">
            <w:pPr>
              <w:pStyle w:val="Tabletext0"/>
            </w:pPr>
            <w:r>
              <w:t>Death/mortality</w:t>
            </w:r>
          </w:p>
        </w:tc>
        <w:tc>
          <w:tcPr>
            <w:tcW w:w="1588" w:type="pct"/>
          </w:tcPr>
          <w:p w14:paraId="23328132" w14:textId="77777777" w:rsidR="005D5985" w:rsidRDefault="005D5985">
            <w:pPr>
              <w:pStyle w:val="Tabletext0"/>
            </w:pPr>
            <w:r>
              <w:t>NR</w:t>
            </w:r>
          </w:p>
        </w:tc>
        <w:tc>
          <w:tcPr>
            <w:tcW w:w="2065" w:type="pct"/>
          </w:tcPr>
          <w:p w14:paraId="63933347" w14:textId="77777777" w:rsidR="005D5985" w:rsidRDefault="005D5985">
            <w:pPr>
              <w:pStyle w:val="Tabletext0"/>
            </w:pPr>
            <w:r>
              <w:t>NR</w:t>
            </w:r>
          </w:p>
        </w:tc>
      </w:tr>
    </w:tbl>
    <w:p w14:paraId="5AF6642C" w14:textId="77777777" w:rsidR="005D5985" w:rsidRDefault="005D5985" w:rsidP="005D5985">
      <w:pPr>
        <w:pStyle w:val="TableFooter"/>
      </w:pPr>
      <w:r w:rsidRPr="009D38CE">
        <w:rPr>
          <w:b/>
          <w:bCs/>
        </w:rPr>
        <w:t>Abbreviations</w:t>
      </w:r>
      <w:r>
        <w:t xml:space="preserve">: </w:t>
      </w:r>
      <w:r w:rsidRPr="009D33A1">
        <w:rPr>
          <w:b/>
          <w:bCs/>
        </w:rPr>
        <w:t>AE</w:t>
      </w:r>
      <w:r>
        <w:t xml:space="preserve"> = adverse event;</w:t>
      </w:r>
      <w:r w:rsidRPr="00D62CA6">
        <w:rPr>
          <w:b/>
          <w:bCs/>
        </w:rPr>
        <w:t xml:space="preserve"> </w:t>
      </w:r>
      <w:r w:rsidRPr="00BA7049">
        <w:rPr>
          <w:b/>
          <w:bCs/>
        </w:rPr>
        <w:t>GRADE</w:t>
      </w:r>
      <w:r>
        <w:t xml:space="preserve"> = Grading of Recommendations Assessment, Development and Evaluation; </w:t>
      </w:r>
      <w:r w:rsidRPr="00FB6572">
        <w:rPr>
          <w:b/>
          <w:bCs/>
        </w:rPr>
        <w:t xml:space="preserve">k </w:t>
      </w:r>
      <w:r>
        <w:t xml:space="preserve">= number of studies; </w:t>
      </w:r>
      <w:r w:rsidRPr="00FB6572">
        <w:rPr>
          <w:b/>
          <w:bCs/>
        </w:rPr>
        <w:t xml:space="preserve">NR </w:t>
      </w:r>
      <w:r>
        <w:t xml:space="preserve">= not reported; </w:t>
      </w:r>
      <w:r w:rsidRPr="00FB6572">
        <w:rPr>
          <w:b/>
          <w:bCs/>
        </w:rPr>
        <w:t xml:space="preserve">RoB </w:t>
      </w:r>
      <w:r>
        <w:t xml:space="preserve">= risk of bias; </w:t>
      </w:r>
      <w:r w:rsidRPr="00FB6572">
        <w:rPr>
          <w:b/>
          <w:bCs/>
        </w:rPr>
        <w:t xml:space="preserve">SR </w:t>
      </w:r>
      <w:r>
        <w:t>= systematic review</w:t>
      </w:r>
    </w:p>
    <w:p w14:paraId="4602A207" w14:textId="5C5A4C4C" w:rsidR="005D5985" w:rsidRDefault="005D5985" w:rsidP="005D5985">
      <w:pPr>
        <w:pStyle w:val="TableFooter"/>
      </w:pPr>
      <w:r w:rsidRPr="009D38CE">
        <w:rPr>
          <w:b/>
          <w:bCs/>
        </w:rPr>
        <w:t>Notes</w:t>
      </w:r>
      <w:r>
        <w:t>:</w:t>
      </w:r>
      <w:r w:rsidR="00FF2645">
        <w:t xml:space="preserve"> </w:t>
      </w:r>
      <w:r w:rsidRPr="009D38CE">
        <w:rPr>
          <w:b/>
          <w:bCs/>
        </w:rPr>
        <w:t>a</w:t>
      </w:r>
      <w:r>
        <w:t xml:space="preserve"> = One SR reported abdominal wall haematoma without certainty of the cause and another reported only catheter dislocation or removal with the neuraxial procedure.</w:t>
      </w:r>
    </w:p>
    <w:p w14:paraId="46EBC1CA" w14:textId="51F7D998" w:rsidR="005D5985" w:rsidRDefault="005D5985" w:rsidP="005D5985">
      <w:pPr>
        <w:pStyle w:val="TableFooter"/>
      </w:pPr>
      <w:r w:rsidRPr="0035616E">
        <w:rPr>
          <w:b/>
          <w:bCs/>
        </w:rPr>
        <w:t>b</w:t>
      </w:r>
      <w:r>
        <w:t xml:space="preserve"> = Overall quality scores were appraised using the AMSTAR-2 critical appraisal tool.</w:t>
      </w:r>
    </w:p>
    <w:p w14:paraId="19C27DE1" w14:textId="4B05DCE4" w:rsidR="00BC16E9" w:rsidRPr="00EE61CE" w:rsidRDefault="00BC16E9" w:rsidP="005D5985">
      <w:pPr>
        <w:pStyle w:val="TableFooter"/>
      </w:pPr>
      <w:r>
        <w:t>Source: DCAR Table 9</w:t>
      </w:r>
    </w:p>
    <w:p w14:paraId="5D764C68" w14:textId="3B2DC158" w:rsidR="005D5985" w:rsidRPr="00306E38" w:rsidRDefault="00EE61CE" w:rsidP="005D5985">
      <w:pPr>
        <w:pStyle w:val="Heading2"/>
        <w:numPr>
          <w:ilvl w:val="0"/>
          <w:numId w:val="0"/>
        </w:numPr>
        <w:ind w:left="576" w:hanging="576"/>
      </w:pPr>
      <w:bookmarkStart w:id="35" w:name="_Toc150966058"/>
      <w:bookmarkStart w:id="36" w:name="_Toc153401634"/>
      <w:r>
        <w:t>12</w:t>
      </w:r>
      <w:r w:rsidR="005D5985" w:rsidRPr="00306E38">
        <w:t>.</w:t>
      </w:r>
      <w:r w:rsidR="005D5985" w:rsidRPr="00306E38">
        <w:tab/>
        <w:t>Comparative effectiveness</w:t>
      </w:r>
      <w:bookmarkEnd w:id="35"/>
      <w:bookmarkEnd w:id="36"/>
    </w:p>
    <w:p w14:paraId="1E5E0C72" w14:textId="77777777" w:rsidR="005D5985" w:rsidRPr="00306E38" w:rsidRDefault="005D5985" w:rsidP="005D5985">
      <w:pPr>
        <w:pStyle w:val="Heading3"/>
        <w:numPr>
          <w:ilvl w:val="0"/>
          <w:numId w:val="0"/>
        </w:numPr>
        <w:ind w:left="720" w:hanging="720"/>
      </w:pPr>
      <w:bookmarkStart w:id="37" w:name="_Toc150966059"/>
      <w:bookmarkStart w:id="38" w:name="_Toc153401635"/>
      <w:r w:rsidRPr="00306E38">
        <w:t>Exemplar case: knee surgery</w:t>
      </w:r>
      <w:bookmarkEnd w:id="37"/>
      <w:bookmarkEnd w:id="38"/>
    </w:p>
    <w:p w14:paraId="19104304" w14:textId="77777777" w:rsidR="005D5985" w:rsidRPr="00E036FE" w:rsidRDefault="005D5985" w:rsidP="00E036FE">
      <w:pPr>
        <w:pStyle w:val="Heading3"/>
        <w:numPr>
          <w:ilvl w:val="0"/>
          <w:numId w:val="0"/>
        </w:numPr>
        <w:ind w:left="720" w:hanging="720"/>
      </w:pPr>
      <w:r w:rsidRPr="00E036FE">
        <w:t>Continuous nerve block vs single-injection nerve block</w:t>
      </w:r>
    </w:p>
    <w:p w14:paraId="1FE79C83" w14:textId="77777777" w:rsidR="005D5985" w:rsidRPr="00E036FE" w:rsidRDefault="005D5985" w:rsidP="005D5985">
      <w:pPr>
        <w:rPr>
          <w:rFonts w:ascii="Franklin Gothic Book" w:hAnsi="Franklin Gothic Book"/>
        </w:rPr>
      </w:pPr>
      <w:r w:rsidRPr="00E036FE">
        <w:rPr>
          <w:rFonts w:ascii="Franklin Gothic Book" w:hAnsi="Franklin Gothic Book"/>
        </w:rPr>
        <w:t xml:space="preserve">Three RCTs were included to compare continuous nerve block to single-injection nerve block. Two were evaluated to have some concern of bias and one was evaluated to have a high RoB. All studies were assessed as having some concerns for selective reporting.  </w:t>
      </w:r>
    </w:p>
    <w:p w14:paraId="136C1FF0" w14:textId="77777777" w:rsidR="005D5985" w:rsidRPr="00E036FE" w:rsidRDefault="005D5985" w:rsidP="005D5985">
      <w:pPr>
        <w:rPr>
          <w:rFonts w:ascii="Franklin Gothic Book" w:hAnsi="Franklin Gothic Book"/>
        </w:rPr>
      </w:pPr>
      <w:r w:rsidRPr="00E036FE">
        <w:rPr>
          <w:rFonts w:ascii="Franklin Gothic Book" w:hAnsi="Franklin Gothic Book"/>
        </w:rPr>
        <w:t xml:space="preserve">Statistically significant differences were reported in favour of continuous nerve block for patient-reported postoperative pain scores at 48 hours. No statistically significant differences were reported between continuous nerve block and single-injection nerve block for patient satisfaction, supplementary analgesia, opioid consumption and block-reattempt/block failure between 48 and 72 hours. The overall GRADE certainty of evidence for patient-reported postoperative pain scores, opioid consumption for breakthrough pain and block reattempt/block failure was assessed to be very low. </w:t>
      </w:r>
    </w:p>
    <w:p w14:paraId="36120591" w14:textId="77777777" w:rsidR="005D5985" w:rsidRPr="00E036FE" w:rsidRDefault="005D5985" w:rsidP="005D5985">
      <w:pPr>
        <w:rPr>
          <w:rFonts w:ascii="Franklin Gothic Book" w:hAnsi="Franklin Gothic Book"/>
        </w:rPr>
      </w:pPr>
      <w:r w:rsidRPr="00E036FE">
        <w:rPr>
          <w:rFonts w:ascii="Franklin Gothic Book" w:hAnsi="Franklin Gothic Book"/>
        </w:rPr>
        <w:t xml:space="preserve">In the included RCTs, time to first mobilisation post-surgery, rate of chronic postoperative pain, chest infection/pneumonia, health-related quality of life, hospital length of stay and rehospitalisation due to pain were not reported. </w:t>
      </w:r>
    </w:p>
    <w:p w14:paraId="6C6C5B2C" w14:textId="05D21ADD" w:rsidR="005D5985" w:rsidRDefault="005D5985" w:rsidP="005D5985">
      <w:r w:rsidRPr="00E036FE">
        <w:rPr>
          <w:rFonts w:ascii="Franklin Gothic Book" w:hAnsi="Franklin Gothic Book"/>
        </w:rPr>
        <w:t xml:space="preserve">A results comparison between the exemplar case and the other surgical locations is presented in </w:t>
      </w:r>
      <w:r w:rsidRPr="00E036FE">
        <w:rPr>
          <w:rFonts w:ascii="Franklin Gothic Book" w:hAnsi="Franklin Gothic Book"/>
        </w:rPr>
        <w:fldChar w:fldCharType="begin"/>
      </w:r>
      <w:r w:rsidRPr="00E036FE">
        <w:rPr>
          <w:rFonts w:ascii="Franklin Gothic Book" w:hAnsi="Franklin Gothic Book"/>
        </w:rPr>
        <w:instrText xml:space="preserve"> REF _Ref153199880 \h </w:instrText>
      </w:r>
      <w:r w:rsidR="00E036FE">
        <w:rPr>
          <w:rFonts w:ascii="Franklin Gothic Book" w:hAnsi="Franklin Gothic Book"/>
        </w:rPr>
        <w:instrText xml:space="preserve"> \* MERGEFORMAT </w:instrText>
      </w:r>
      <w:r w:rsidRPr="00E036FE">
        <w:rPr>
          <w:rFonts w:ascii="Franklin Gothic Book" w:hAnsi="Franklin Gothic Book"/>
        </w:rPr>
      </w:r>
      <w:r w:rsidRPr="00E036FE">
        <w:rPr>
          <w:rFonts w:ascii="Franklin Gothic Book" w:hAnsi="Franklin Gothic Book"/>
        </w:rPr>
        <w:fldChar w:fldCharType="separate"/>
      </w:r>
      <w:r w:rsidR="001137FA" w:rsidRPr="00D931E1">
        <w:rPr>
          <w:rFonts w:ascii="Franklin Gothic Book" w:hAnsi="Franklin Gothic Book"/>
        </w:rPr>
        <w:t>Table 11</w:t>
      </w:r>
      <w:r w:rsidRPr="00E036FE">
        <w:rPr>
          <w:rFonts w:ascii="Franklin Gothic Book" w:hAnsi="Franklin Gothic Book"/>
        </w:rPr>
        <w:fldChar w:fldCharType="end"/>
      </w:r>
      <w:r w:rsidR="00EE61CE">
        <w:rPr>
          <w:rFonts w:ascii="Franklin Gothic Book" w:hAnsi="Franklin Gothic Book"/>
        </w:rPr>
        <w:t>.</w:t>
      </w:r>
    </w:p>
    <w:p w14:paraId="13F29C7A" w14:textId="38CB7CA6" w:rsidR="005D5985" w:rsidRDefault="005D5985" w:rsidP="005D5985">
      <w:pPr>
        <w:pStyle w:val="Caption"/>
      </w:pPr>
      <w:bookmarkStart w:id="39" w:name="_Ref153199880"/>
      <w:r w:rsidRPr="00EB08B4">
        <w:lastRenderedPageBreak/>
        <w:t>Table </w:t>
      </w:r>
      <w:r>
        <w:fldChar w:fldCharType="begin"/>
      </w:r>
      <w:r>
        <w:instrText>SEQ Table \* ARABIC</w:instrText>
      </w:r>
      <w:r>
        <w:fldChar w:fldCharType="separate"/>
      </w:r>
      <w:r w:rsidR="00210D50">
        <w:rPr>
          <w:noProof/>
        </w:rPr>
        <w:t>11</w:t>
      </w:r>
      <w:r>
        <w:fldChar w:fldCharType="end"/>
      </w:r>
      <w:bookmarkEnd w:id="39"/>
      <w:r w:rsidRPr="00EB08B4">
        <w:tab/>
        <w:t>Continuous nerve block vs single-injection nerve block: summary of the main outcomes</w:t>
      </w:r>
    </w:p>
    <w:tbl>
      <w:tblPr>
        <w:tblStyle w:val="TableGrid"/>
        <w:tblW w:w="5000" w:type="pct"/>
        <w:tblLook w:val="04A0" w:firstRow="1" w:lastRow="0" w:firstColumn="1" w:lastColumn="0" w:noHBand="0" w:noVBand="1"/>
      </w:tblPr>
      <w:tblGrid>
        <w:gridCol w:w="2405"/>
        <w:gridCol w:w="3174"/>
        <w:gridCol w:w="3437"/>
      </w:tblGrid>
      <w:tr w:rsidR="005D5985" w14:paraId="69489CD2" w14:textId="77777777" w:rsidTr="00D85574">
        <w:trPr>
          <w:cantSplit/>
          <w:tblHeader/>
        </w:trPr>
        <w:tc>
          <w:tcPr>
            <w:tcW w:w="1334" w:type="pct"/>
          </w:tcPr>
          <w:p w14:paraId="5D69A09A" w14:textId="77777777" w:rsidR="005D5985" w:rsidRPr="00B94279" w:rsidRDefault="005D5985">
            <w:pPr>
              <w:pStyle w:val="TableText"/>
              <w:rPr>
                <w:b/>
              </w:rPr>
            </w:pPr>
            <w:r w:rsidRPr="00B94279">
              <w:rPr>
                <w:b/>
              </w:rPr>
              <w:t>Outcomes</w:t>
            </w:r>
          </w:p>
        </w:tc>
        <w:tc>
          <w:tcPr>
            <w:tcW w:w="1760" w:type="pct"/>
          </w:tcPr>
          <w:p w14:paraId="38431B33" w14:textId="77777777" w:rsidR="005D5985" w:rsidRPr="00B94279" w:rsidRDefault="005D5985">
            <w:pPr>
              <w:pStyle w:val="TableText"/>
              <w:rPr>
                <w:b/>
              </w:rPr>
            </w:pPr>
            <w:r w:rsidRPr="00B94279">
              <w:rPr>
                <w:b/>
              </w:rPr>
              <w:t>Ex</w:t>
            </w:r>
            <w:r>
              <w:rPr>
                <w:b/>
              </w:rPr>
              <w:t>e</w:t>
            </w:r>
            <w:r w:rsidRPr="00B94279">
              <w:rPr>
                <w:b/>
              </w:rPr>
              <w:t>mplar case</w:t>
            </w:r>
          </w:p>
          <w:p w14:paraId="0177328C" w14:textId="77777777" w:rsidR="005D5985" w:rsidRPr="00D059DF" w:rsidRDefault="005D5985">
            <w:pPr>
              <w:pStyle w:val="TableText"/>
              <w:rPr>
                <w:b/>
              </w:rPr>
            </w:pPr>
            <w:r>
              <w:rPr>
                <w:b/>
              </w:rPr>
              <w:t>k</w:t>
            </w:r>
            <w:r w:rsidRPr="00B94279">
              <w:rPr>
                <w:b/>
              </w:rPr>
              <w:t>nee surgery</w:t>
            </w:r>
            <w:r w:rsidRPr="00D059DF">
              <w:rPr>
                <w:b/>
              </w:rPr>
              <w:t xml:space="preserve"> (RoB, GRADE)</w:t>
            </w:r>
          </w:p>
        </w:tc>
        <w:tc>
          <w:tcPr>
            <w:tcW w:w="1906" w:type="pct"/>
          </w:tcPr>
          <w:p w14:paraId="54DACF1E" w14:textId="77777777" w:rsidR="005D5985" w:rsidRPr="00D059DF" w:rsidRDefault="005D5985">
            <w:pPr>
              <w:pStyle w:val="TableText"/>
              <w:rPr>
                <w:b/>
              </w:rPr>
            </w:pPr>
            <w:r w:rsidRPr="00B94279">
              <w:rPr>
                <w:b/>
              </w:rPr>
              <w:t>Other surgical locations</w:t>
            </w:r>
            <w:r w:rsidRPr="00D059DF">
              <w:rPr>
                <w:b/>
              </w:rPr>
              <w:t xml:space="preserve">: foot and ankle, hips, abdomen, cardiothorax and shoulders (Overall quality </w:t>
            </w:r>
            <w:r w:rsidRPr="00D059DF">
              <w:rPr>
                <w:b/>
                <w:bCs/>
                <w:vertAlign w:val="superscript"/>
              </w:rPr>
              <w:t>a</w:t>
            </w:r>
            <w:r w:rsidRPr="00D059DF">
              <w:rPr>
                <w:b/>
              </w:rPr>
              <w:t>)</w:t>
            </w:r>
          </w:p>
        </w:tc>
      </w:tr>
      <w:tr w:rsidR="005D5985" w14:paraId="3A65E88E" w14:textId="77777777">
        <w:trPr>
          <w:cantSplit/>
        </w:trPr>
        <w:tc>
          <w:tcPr>
            <w:tcW w:w="5000" w:type="pct"/>
            <w:gridSpan w:val="3"/>
          </w:tcPr>
          <w:p w14:paraId="21B51150" w14:textId="77777777" w:rsidR="005D5985" w:rsidRPr="00D059DF" w:rsidRDefault="005D5985">
            <w:pPr>
              <w:pStyle w:val="TableText"/>
              <w:rPr>
                <w:b/>
              </w:rPr>
            </w:pPr>
            <w:r w:rsidRPr="00B94279">
              <w:rPr>
                <w:b/>
              </w:rPr>
              <w:t>Effectiveness</w:t>
            </w:r>
          </w:p>
        </w:tc>
      </w:tr>
      <w:tr w:rsidR="005D5985" w14:paraId="0CAC1B5F" w14:textId="77777777" w:rsidTr="00D85574">
        <w:trPr>
          <w:cantSplit/>
        </w:trPr>
        <w:tc>
          <w:tcPr>
            <w:tcW w:w="1334" w:type="pct"/>
          </w:tcPr>
          <w:p w14:paraId="729755CA" w14:textId="77777777" w:rsidR="005D5985" w:rsidRDefault="005D5985">
            <w:pPr>
              <w:pStyle w:val="TableText"/>
            </w:pPr>
            <w:r>
              <w:t>Patient-reported postoperative pain score</w:t>
            </w:r>
          </w:p>
        </w:tc>
        <w:tc>
          <w:tcPr>
            <w:tcW w:w="1760" w:type="pct"/>
            <w:tcBorders>
              <w:right w:val="single" w:sz="4" w:space="0" w:color="auto"/>
            </w:tcBorders>
          </w:tcPr>
          <w:p w14:paraId="32C32E27" w14:textId="77777777" w:rsidR="005D5985" w:rsidRDefault="005D5985">
            <w:pPr>
              <w:pStyle w:val="TableText"/>
            </w:pPr>
            <w:r>
              <w:t>k=3 (some concerns, GRADE very low)</w:t>
            </w:r>
          </w:p>
          <w:p w14:paraId="04CE6D1B" w14:textId="77777777" w:rsidR="005D5985" w:rsidRDefault="005D5985">
            <w:pPr>
              <w:pStyle w:val="TableText"/>
            </w:pPr>
            <w:r>
              <w:t>S</w:t>
            </w:r>
            <w:r w:rsidRPr="00306E38">
              <w:t>tatistically</w:t>
            </w:r>
            <w:r>
              <w:t xml:space="preserve"> significant difference in favour of continuous nerve block</w:t>
            </w:r>
          </w:p>
        </w:tc>
        <w:tc>
          <w:tcPr>
            <w:tcW w:w="1906" w:type="pct"/>
            <w:tcBorders>
              <w:left w:val="single" w:sz="4" w:space="0" w:color="auto"/>
            </w:tcBorders>
          </w:tcPr>
          <w:p w14:paraId="7E3C5D9A" w14:textId="77777777" w:rsidR="005D5985" w:rsidRDefault="005D5985">
            <w:pPr>
              <w:pStyle w:val="TableText"/>
            </w:pPr>
            <w:r>
              <w:t>k=2 (SR: low, RCT: some concerns)</w:t>
            </w:r>
          </w:p>
          <w:p w14:paraId="6CDFD102" w14:textId="77777777" w:rsidR="005D5985" w:rsidRDefault="005D5985">
            <w:pPr>
              <w:pStyle w:val="TableText"/>
            </w:pPr>
            <w:r>
              <w:t>Mixed results</w:t>
            </w:r>
          </w:p>
          <w:p w14:paraId="61622180" w14:textId="77777777" w:rsidR="005D5985" w:rsidRDefault="005D5985">
            <w:pPr>
              <w:pStyle w:val="TableText"/>
            </w:pPr>
            <w:r>
              <w:t>Statistically significant difference in favour of continuous nerve block or no difference</w:t>
            </w:r>
          </w:p>
        </w:tc>
      </w:tr>
      <w:tr w:rsidR="005D5985" w14:paraId="20FDEB27" w14:textId="77777777" w:rsidTr="00D85574">
        <w:trPr>
          <w:cantSplit/>
        </w:trPr>
        <w:tc>
          <w:tcPr>
            <w:tcW w:w="1334" w:type="pct"/>
          </w:tcPr>
          <w:p w14:paraId="41A2C641" w14:textId="77777777" w:rsidR="005D5985" w:rsidRDefault="005D5985">
            <w:pPr>
              <w:pStyle w:val="TableText"/>
            </w:pPr>
            <w:r>
              <w:t>Incidence of supplementary analgesia use</w:t>
            </w:r>
          </w:p>
        </w:tc>
        <w:tc>
          <w:tcPr>
            <w:tcW w:w="1760" w:type="pct"/>
            <w:tcBorders>
              <w:right w:val="single" w:sz="4" w:space="0" w:color="auto"/>
            </w:tcBorders>
          </w:tcPr>
          <w:p w14:paraId="1C9C950A" w14:textId="77777777" w:rsidR="005D5985" w:rsidRDefault="005D5985">
            <w:pPr>
              <w:pStyle w:val="TableText"/>
            </w:pPr>
            <w:r>
              <w:t>k=2 (high RoB and some concerns, GRADE NA)</w:t>
            </w:r>
          </w:p>
          <w:p w14:paraId="3E0E69EA" w14:textId="77777777" w:rsidR="005D5985" w:rsidRDefault="005D5985">
            <w:pPr>
              <w:pStyle w:val="TableText"/>
            </w:pPr>
            <w:r>
              <w:t xml:space="preserve">No </w:t>
            </w:r>
            <w:r w:rsidRPr="00306E38">
              <w:t>statistically</w:t>
            </w:r>
            <w:r>
              <w:t xml:space="preserve"> significant difference</w:t>
            </w:r>
          </w:p>
        </w:tc>
        <w:tc>
          <w:tcPr>
            <w:tcW w:w="1906" w:type="pct"/>
            <w:tcBorders>
              <w:left w:val="single" w:sz="4" w:space="0" w:color="auto"/>
            </w:tcBorders>
          </w:tcPr>
          <w:p w14:paraId="4A020236" w14:textId="77777777" w:rsidR="005D5985" w:rsidRPr="007E1020" w:rsidRDefault="005D5985">
            <w:pPr>
              <w:pStyle w:val="TableText"/>
            </w:pPr>
            <w:r w:rsidRPr="007E1020">
              <w:t>k=3 (SR: critically low, RCT: some concerns)</w:t>
            </w:r>
          </w:p>
          <w:p w14:paraId="4A1BA10A" w14:textId="77777777" w:rsidR="005D5985" w:rsidRPr="007E1020" w:rsidRDefault="005D5985">
            <w:pPr>
              <w:pStyle w:val="TableText"/>
            </w:pPr>
            <w:r w:rsidRPr="007E1020">
              <w:t>No statistically significant difference</w:t>
            </w:r>
          </w:p>
        </w:tc>
      </w:tr>
      <w:tr w:rsidR="005D5985" w14:paraId="6E588B1B" w14:textId="77777777" w:rsidTr="00D85574">
        <w:trPr>
          <w:cantSplit/>
        </w:trPr>
        <w:tc>
          <w:tcPr>
            <w:tcW w:w="1334" w:type="pct"/>
          </w:tcPr>
          <w:p w14:paraId="48330DEF" w14:textId="77777777" w:rsidR="005D5985" w:rsidRDefault="005D5985">
            <w:pPr>
              <w:pStyle w:val="TableText"/>
            </w:pPr>
            <w:r>
              <w:t>Opioid consumption for breakthrough pain</w:t>
            </w:r>
          </w:p>
        </w:tc>
        <w:tc>
          <w:tcPr>
            <w:tcW w:w="1760" w:type="pct"/>
            <w:tcBorders>
              <w:right w:val="single" w:sz="4" w:space="0" w:color="auto"/>
            </w:tcBorders>
          </w:tcPr>
          <w:p w14:paraId="69AA70B3" w14:textId="77777777" w:rsidR="005D5985" w:rsidRDefault="005D5985">
            <w:pPr>
              <w:pStyle w:val="TableText"/>
            </w:pPr>
            <w:r>
              <w:t>k=3 (high RoB and some concerns, GRADE very low)</w:t>
            </w:r>
          </w:p>
          <w:p w14:paraId="4AB26BED" w14:textId="77777777" w:rsidR="005D5985" w:rsidRDefault="005D5985">
            <w:pPr>
              <w:pStyle w:val="TableText"/>
            </w:pPr>
            <w:r>
              <w:t xml:space="preserve">No </w:t>
            </w:r>
            <w:r w:rsidRPr="00306E38">
              <w:t>statistically</w:t>
            </w:r>
            <w:r>
              <w:t xml:space="preserve"> significant difference</w:t>
            </w:r>
          </w:p>
        </w:tc>
        <w:tc>
          <w:tcPr>
            <w:tcW w:w="1906" w:type="pct"/>
            <w:tcBorders>
              <w:left w:val="single" w:sz="4" w:space="0" w:color="auto"/>
            </w:tcBorders>
          </w:tcPr>
          <w:p w14:paraId="39E34854" w14:textId="77777777" w:rsidR="005D5985" w:rsidRPr="007E1020" w:rsidRDefault="005D5985">
            <w:pPr>
              <w:pStyle w:val="TableText"/>
            </w:pPr>
            <w:r w:rsidRPr="007E1020">
              <w:t>k=5 (SRs: low, critically low, RCTs: some concerns)</w:t>
            </w:r>
          </w:p>
          <w:p w14:paraId="5F5A8133" w14:textId="77777777" w:rsidR="005D5985" w:rsidRPr="007E1020" w:rsidRDefault="005D5985">
            <w:pPr>
              <w:pStyle w:val="TableText"/>
            </w:pPr>
            <w:r w:rsidRPr="007E1020">
              <w:t>Mixed results</w:t>
            </w:r>
          </w:p>
          <w:p w14:paraId="2E1B74B2" w14:textId="77777777" w:rsidR="005D5985" w:rsidRPr="007E1020" w:rsidRDefault="005D5985">
            <w:pPr>
              <w:pStyle w:val="TableText"/>
            </w:pPr>
            <w:r w:rsidRPr="007E1020">
              <w:t>Statistically significant difference in favour of continuous nerve block or no difference</w:t>
            </w:r>
          </w:p>
        </w:tc>
      </w:tr>
      <w:tr w:rsidR="005D5985" w14:paraId="20F7534C" w14:textId="77777777" w:rsidTr="00D85574">
        <w:trPr>
          <w:cantSplit/>
        </w:trPr>
        <w:tc>
          <w:tcPr>
            <w:tcW w:w="1334" w:type="pct"/>
          </w:tcPr>
          <w:p w14:paraId="55DD7EB9" w14:textId="77777777" w:rsidR="005D5985" w:rsidRDefault="005D5985">
            <w:pPr>
              <w:pStyle w:val="TableText"/>
            </w:pPr>
            <w:r>
              <w:t>Health-related quality of life</w:t>
            </w:r>
          </w:p>
        </w:tc>
        <w:tc>
          <w:tcPr>
            <w:tcW w:w="1760" w:type="pct"/>
            <w:tcBorders>
              <w:right w:val="single" w:sz="4" w:space="0" w:color="auto"/>
            </w:tcBorders>
          </w:tcPr>
          <w:p w14:paraId="2D53590C" w14:textId="77777777" w:rsidR="005D5985" w:rsidRDefault="005D5985">
            <w:pPr>
              <w:pStyle w:val="TableText"/>
            </w:pPr>
            <w:r>
              <w:t>NR</w:t>
            </w:r>
          </w:p>
        </w:tc>
        <w:tc>
          <w:tcPr>
            <w:tcW w:w="1906" w:type="pct"/>
            <w:tcBorders>
              <w:left w:val="single" w:sz="4" w:space="0" w:color="auto"/>
            </w:tcBorders>
          </w:tcPr>
          <w:p w14:paraId="718BF307" w14:textId="77777777" w:rsidR="005D5985" w:rsidRDefault="005D5985">
            <w:pPr>
              <w:pStyle w:val="TableText"/>
            </w:pPr>
            <w:r>
              <w:t>NR</w:t>
            </w:r>
          </w:p>
        </w:tc>
      </w:tr>
      <w:tr w:rsidR="005D5985" w14:paraId="71B6B55D" w14:textId="77777777">
        <w:trPr>
          <w:cantSplit/>
        </w:trPr>
        <w:tc>
          <w:tcPr>
            <w:tcW w:w="5000" w:type="pct"/>
            <w:gridSpan w:val="3"/>
          </w:tcPr>
          <w:p w14:paraId="4B4358E9" w14:textId="77777777" w:rsidR="005D5985" w:rsidRPr="00D059DF" w:rsidRDefault="005D5985">
            <w:pPr>
              <w:pStyle w:val="TableText"/>
              <w:rPr>
                <w:b/>
              </w:rPr>
            </w:pPr>
            <w:r w:rsidRPr="00B94279">
              <w:rPr>
                <w:b/>
              </w:rPr>
              <w:t>Healthcare system</w:t>
            </w:r>
          </w:p>
        </w:tc>
      </w:tr>
      <w:tr w:rsidR="005D5985" w14:paraId="5629B90D" w14:textId="77777777" w:rsidTr="00D85574">
        <w:trPr>
          <w:cantSplit/>
        </w:trPr>
        <w:tc>
          <w:tcPr>
            <w:tcW w:w="1334" w:type="pct"/>
          </w:tcPr>
          <w:p w14:paraId="09589F02" w14:textId="77777777" w:rsidR="005D5985" w:rsidRDefault="005D5985">
            <w:pPr>
              <w:pStyle w:val="TableText"/>
            </w:pPr>
            <w:r>
              <w:t>Block re-attempt</w:t>
            </w:r>
          </w:p>
        </w:tc>
        <w:tc>
          <w:tcPr>
            <w:tcW w:w="1760" w:type="pct"/>
            <w:tcBorders>
              <w:right w:val="single" w:sz="4" w:space="0" w:color="auto"/>
            </w:tcBorders>
          </w:tcPr>
          <w:p w14:paraId="27D8CAB2" w14:textId="77777777" w:rsidR="005D5985" w:rsidRDefault="005D5985">
            <w:pPr>
              <w:pStyle w:val="TableText"/>
            </w:pPr>
            <w:r>
              <w:t>k=2 (high RoB and some concerns, GRADE very low)</w:t>
            </w:r>
          </w:p>
          <w:p w14:paraId="42E4E6A1" w14:textId="77777777" w:rsidR="005D5985" w:rsidRDefault="005D5985">
            <w:pPr>
              <w:pStyle w:val="TableText"/>
            </w:pPr>
            <w:r>
              <w:t xml:space="preserve">No </w:t>
            </w:r>
            <w:r w:rsidRPr="00306E38">
              <w:t>statistically</w:t>
            </w:r>
            <w:r>
              <w:t xml:space="preserve"> significant difference</w:t>
            </w:r>
          </w:p>
        </w:tc>
        <w:tc>
          <w:tcPr>
            <w:tcW w:w="1906" w:type="pct"/>
            <w:tcBorders>
              <w:left w:val="single" w:sz="4" w:space="0" w:color="auto"/>
            </w:tcBorders>
          </w:tcPr>
          <w:p w14:paraId="627091C4" w14:textId="77777777" w:rsidR="005D5985" w:rsidRDefault="005D5985">
            <w:pPr>
              <w:pStyle w:val="TableText"/>
            </w:pPr>
            <w:r>
              <w:t>k=1 (RCT: some concerns)</w:t>
            </w:r>
          </w:p>
          <w:p w14:paraId="1394FFE5" w14:textId="77777777" w:rsidR="005D5985" w:rsidRDefault="005D5985">
            <w:pPr>
              <w:pStyle w:val="TableText"/>
            </w:pPr>
            <w:r>
              <w:t>No significant difference</w:t>
            </w:r>
          </w:p>
        </w:tc>
      </w:tr>
      <w:tr w:rsidR="005D5985" w14:paraId="58C47BC7" w14:textId="77777777" w:rsidTr="00D85574">
        <w:trPr>
          <w:cantSplit/>
        </w:trPr>
        <w:tc>
          <w:tcPr>
            <w:tcW w:w="1334" w:type="pct"/>
          </w:tcPr>
          <w:p w14:paraId="19ACFECB" w14:textId="77777777" w:rsidR="005D5985" w:rsidRDefault="005D5985">
            <w:pPr>
              <w:pStyle w:val="TableText"/>
            </w:pPr>
            <w:r>
              <w:t>Hospital length of stay</w:t>
            </w:r>
          </w:p>
        </w:tc>
        <w:tc>
          <w:tcPr>
            <w:tcW w:w="1760" w:type="pct"/>
            <w:tcBorders>
              <w:right w:val="single" w:sz="4" w:space="0" w:color="auto"/>
            </w:tcBorders>
          </w:tcPr>
          <w:p w14:paraId="1CB767C6" w14:textId="77777777" w:rsidR="005D5985" w:rsidRDefault="005D5985">
            <w:pPr>
              <w:pStyle w:val="TableText"/>
            </w:pPr>
            <w:r>
              <w:t>NR</w:t>
            </w:r>
          </w:p>
        </w:tc>
        <w:tc>
          <w:tcPr>
            <w:tcW w:w="1906" w:type="pct"/>
            <w:tcBorders>
              <w:left w:val="single" w:sz="4" w:space="0" w:color="auto"/>
            </w:tcBorders>
          </w:tcPr>
          <w:p w14:paraId="4314C8FB" w14:textId="77777777" w:rsidR="005D5985" w:rsidRDefault="005D5985">
            <w:pPr>
              <w:pStyle w:val="TableText"/>
            </w:pPr>
            <w:r>
              <w:t>k=2 (SR: low, RCT: some concerns)</w:t>
            </w:r>
          </w:p>
          <w:p w14:paraId="0F6F2BEA" w14:textId="77777777" w:rsidR="005D5985" w:rsidRDefault="005D5985">
            <w:pPr>
              <w:pStyle w:val="TableText"/>
            </w:pPr>
            <w:r>
              <w:t>Mixed results</w:t>
            </w:r>
          </w:p>
          <w:p w14:paraId="36F4649C" w14:textId="77777777" w:rsidR="005D5985" w:rsidRDefault="005D5985">
            <w:pPr>
              <w:pStyle w:val="TableText"/>
            </w:pPr>
            <w:r>
              <w:t>Statistically significant difference in favour of continuous nerve block or no difference</w:t>
            </w:r>
          </w:p>
        </w:tc>
      </w:tr>
    </w:tbl>
    <w:p w14:paraId="04CD6999" w14:textId="77777777" w:rsidR="005D5985" w:rsidRDefault="005D5985" w:rsidP="005D5985">
      <w:pPr>
        <w:pStyle w:val="TableFooter"/>
      </w:pPr>
      <w:r w:rsidRPr="009D38CE">
        <w:rPr>
          <w:b/>
          <w:bCs/>
        </w:rPr>
        <w:t>Abbreviations</w:t>
      </w:r>
      <w:r>
        <w:t xml:space="preserve">: </w:t>
      </w:r>
      <w:r w:rsidRPr="009D33A1">
        <w:rPr>
          <w:b/>
          <w:bCs/>
        </w:rPr>
        <w:t>AE</w:t>
      </w:r>
      <w:r>
        <w:t xml:space="preserve"> = adverse event; </w:t>
      </w:r>
      <w:r w:rsidRPr="00FB6572">
        <w:rPr>
          <w:b/>
          <w:bCs/>
        </w:rPr>
        <w:t xml:space="preserve">k </w:t>
      </w:r>
      <w:r>
        <w:t xml:space="preserve">= number of studies; </w:t>
      </w:r>
      <w:r w:rsidRPr="00FB6572">
        <w:rPr>
          <w:b/>
          <w:bCs/>
        </w:rPr>
        <w:t xml:space="preserve">NR </w:t>
      </w:r>
      <w:r>
        <w:t xml:space="preserve">= not reported; </w:t>
      </w:r>
      <w:r w:rsidRPr="00FB6572">
        <w:rPr>
          <w:b/>
          <w:bCs/>
        </w:rPr>
        <w:t xml:space="preserve">RCT </w:t>
      </w:r>
      <w:r>
        <w:t xml:space="preserve">= randomised controlled trial; </w:t>
      </w:r>
      <w:r w:rsidRPr="00FB6572">
        <w:rPr>
          <w:b/>
          <w:bCs/>
        </w:rPr>
        <w:t xml:space="preserve">RoB </w:t>
      </w:r>
      <w:r>
        <w:t xml:space="preserve">= risk of bias; </w:t>
      </w:r>
      <w:r w:rsidRPr="00FB6572">
        <w:rPr>
          <w:b/>
          <w:bCs/>
        </w:rPr>
        <w:t>SR</w:t>
      </w:r>
      <w:r>
        <w:rPr>
          <w:b/>
          <w:bCs/>
        </w:rPr>
        <w:t> </w:t>
      </w:r>
      <w:r>
        <w:t>= systematic review</w:t>
      </w:r>
    </w:p>
    <w:p w14:paraId="0EF10A67" w14:textId="578F2AFA" w:rsidR="005D5985" w:rsidRDefault="005D5985" w:rsidP="005D5985">
      <w:pPr>
        <w:pStyle w:val="TableFooter"/>
      </w:pPr>
      <w:r w:rsidRPr="00D059DF">
        <w:rPr>
          <w:b/>
          <w:bCs/>
        </w:rPr>
        <w:t>Note</w:t>
      </w:r>
      <w:r>
        <w:rPr>
          <w:b/>
          <w:bCs/>
        </w:rPr>
        <w:t>s</w:t>
      </w:r>
      <w:r>
        <w:t xml:space="preserve">: </w:t>
      </w:r>
      <w:r w:rsidRPr="00D059DF">
        <w:rPr>
          <w:b/>
          <w:bCs/>
        </w:rPr>
        <w:t>a</w:t>
      </w:r>
      <w:r>
        <w:t xml:space="preserve"> = Overall quality scores were appraised using the AMSTAR-2 critical appraisal tool.</w:t>
      </w:r>
    </w:p>
    <w:p w14:paraId="68522625" w14:textId="04963293" w:rsidR="00CD0C8D" w:rsidRPr="00306E38" w:rsidRDefault="00CD0C8D" w:rsidP="005D5985">
      <w:pPr>
        <w:pStyle w:val="TableFooter"/>
      </w:pPr>
      <w:r>
        <w:t>Source: DCAR Table 10</w:t>
      </w:r>
    </w:p>
    <w:p w14:paraId="5028C1AC" w14:textId="77777777" w:rsidR="005D5985" w:rsidRPr="00E036FE" w:rsidRDefault="005D5985" w:rsidP="005D5985">
      <w:pPr>
        <w:rPr>
          <w:rFonts w:ascii="Franklin Gothic Book" w:hAnsi="Franklin Gothic Book"/>
          <w:b/>
          <w:bCs/>
          <w:sz w:val="24"/>
          <w:szCs w:val="24"/>
        </w:rPr>
      </w:pPr>
      <w:r w:rsidRPr="00E036FE">
        <w:rPr>
          <w:rFonts w:ascii="Franklin Gothic Book" w:hAnsi="Franklin Gothic Book"/>
          <w:b/>
          <w:bCs/>
          <w:sz w:val="24"/>
          <w:szCs w:val="24"/>
        </w:rPr>
        <w:t>Continuous nerve block vs systemic opioids</w:t>
      </w:r>
    </w:p>
    <w:p w14:paraId="469AD36D" w14:textId="77777777" w:rsidR="005D5985" w:rsidRPr="00E036FE" w:rsidRDefault="005D5985" w:rsidP="005D5985">
      <w:pPr>
        <w:rPr>
          <w:rFonts w:ascii="Franklin Gothic Book" w:hAnsi="Franklin Gothic Book"/>
        </w:rPr>
      </w:pPr>
      <w:r w:rsidRPr="00E036FE">
        <w:rPr>
          <w:rFonts w:ascii="Franklin Gothic Book" w:hAnsi="Franklin Gothic Book"/>
        </w:rPr>
        <w:t>Four RCTs were included to compare continuous nerve block with systemic opioids. Three were evaluated to have some concerns of bias and one was evaluated to have a high RoB. All studies were assessed as having some concerns for measurement of the outcome and selective reporting.</w:t>
      </w:r>
    </w:p>
    <w:p w14:paraId="3CADE4AC" w14:textId="77777777" w:rsidR="005D5985" w:rsidRPr="00E036FE" w:rsidRDefault="005D5985" w:rsidP="005D5985">
      <w:pPr>
        <w:rPr>
          <w:rFonts w:ascii="Franklin Gothic Book" w:hAnsi="Franklin Gothic Book"/>
        </w:rPr>
      </w:pPr>
      <w:r w:rsidRPr="00E036FE">
        <w:rPr>
          <w:rFonts w:ascii="Franklin Gothic Book" w:hAnsi="Franklin Gothic Book"/>
        </w:rPr>
        <w:t xml:space="preserve">One RCT reported opioid consumption for breakthrough pain, with a statistically significant difference in favour of continuous nerve block reported at 72 hours. One RCT reported the rate of chronic postoperative pain, with a significantly reduced incidence of chronic postoperative pain observed in the continuous nerve block group compared to the systemic opioid group at both 3 months and 6 months. Two RCTs reported block re-attempt/block failure, with a statistically significant difference in favour of systemic opioids reported at 48 to 72 hours. No statistically significant differences were reported between continuous nerve block and systemic opioids for patient-reported postoperative pain scores, patient satisfaction, supplementary analgesia or hospital length of stay. The overall GRADE certainty of evidence for patient-reported postoperative pain scores, opioid consumption for breakthrough pain and block-reattempt/block failure was assessed to be very low. </w:t>
      </w:r>
    </w:p>
    <w:p w14:paraId="762A7FC9" w14:textId="77777777" w:rsidR="005D5985" w:rsidRPr="00E036FE" w:rsidRDefault="005D5985" w:rsidP="005D5985">
      <w:pPr>
        <w:rPr>
          <w:rFonts w:ascii="Franklin Gothic Book" w:hAnsi="Franklin Gothic Book"/>
        </w:rPr>
      </w:pPr>
      <w:r w:rsidRPr="00E036FE">
        <w:rPr>
          <w:rFonts w:ascii="Franklin Gothic Book" w:hAnsi="Franklin Gothic Book"/>
        </w:rPr>
        <w:t xml:space="preserve">In the included RCTs, time to first mobilisation post-surgery, chest infection/pneumonia, health-related quality of life and rehospitalisation due to pain were not reported. </w:t>
      </w:r>
    </w:p>
    <w:p w14:paraId="57753209" w14:textId="384D9980" w:rsidR="005D5985" w:rsidRPr="00E036FE" w:rsidRDefault="005D5985" w:rsidP="005D5985">
      <w:pPr>
        <w:rPr>
          <w:rFonts w:ascii="Franklin Gothic Book" w:hAnsi="Franklin Gothic Book"/>
        </w:rPr>
      </w:pPr>
      <w:r w:rsidRPr="00E036FE">
        <w:rPr>
          <w:rFonts w:ascii="Franklin Gothic Book" w:hAnsi="Franklin Gothic Book"/>
        </w:rPr>
        <w:lastRenderedPageBreak/>
        <w:t xml:space="preserve">A results comparison between the exemplar case and the other surgical locations is presented in </w:t>
      </w:r>
      <w:r w:rsidRPr="00E036FE">
        <w:rPr>
          <w:rFonts w:ascii="Franklin Gothic Book" w:hAnsi="Franklin Gothic Book"/>
        </w:rPr>
        <w:fldChar w:fldCharType="begin"/>
      </w:r>
      <w:r w:rsidRPr="00E036FE">
        <w:rPr>
          <w:rFonts w:ascii="Franklin Gothic Book" w:hAnsi="Franklin Gothic Book"/>
        </w:rPr>
        <w:instrText xml:space="preserve"> REF _Ref153199912 \h </w:instrText>
      </w:r>
      <w:r w:rsidR="00E036FE">
        <w:rPr>
          <w:rFonts w:ascii="Franklin Gothic Book" w:hAnsi="Franklin Gothic Book"/>
        </w:rPr>
        <w:instrText xml:space="preserve"> \* MERGEFORMAT </w:instrText>
      </w:r>
      <w:r w:rsidRPr="00E036FE">
        <w:rPr>
          <w:rFonts w:ascii="Franklin Gothic Book" w:hAnsi="Franklin Gothic Book"/>
        </w:rPr>
      </w:r>
      <w:r w:rsidRPr="00E036FE">
        <w:rPr>
          <w:rFonts w:ascii="Franklin Gothic Book" w:hAnsi="Franklin Gothic Book"/>
        </w:rPr>
        <w:fldChar w:fldCharType="separate"/>
      </w:r>
      <w:r w:rsidR="00D931E1" w:rsidRPr="00D931E1">
        <w:rPr>
          <w:rFonts w:ascii="Franklin Gothic Book" w:hAnsi="Franklin Gothic Book"/>
        </w:rPr>
        <w:t>Table 12</w:t>
      </w:r>
      <w:r w:rsidRPr="00E036FE">
        <w:rPr>
          <w:rFonts w:ascii="Franklin Gothic Book" w:hAnsi="Franklin Gothic Book"/>
        </w:rPr>
        <w:fldChar w:fldCharType="end"/>
      </w:r>
      <w:r w:rsidRPr="00E036FE">
        <w:rPr>
          <w:rFonts w:ascii="Franklin Gothic Book" w:hAnsi="Franklin Gothic Book"/>
        </w:rPr>
        <w:t>.</w:t>
      </w:r>
    </w:p>
    <w:p w14:paraId="460D7263" w14:textId="13C32C84" w:rsidR="005D5985" w:rsidRDefault="005D5985" w:rsidP="005D5985">
      <w:pPr>
        <w:pStyle w:val="Caption"/>
      </w:pPr>
      <w:bookmarkStart w:id="40" w:name="_Ref153199912"/>
      <w:r w:rsidRPr="00EB08B4">
        <w:t>Table </w:t>
      </w:r>
      <w:r>
        <w:fldChar w:fldCharType="begin"/>
      </w:r>
      <w:r>
        <w:instrText>SEQ Table \* ARABIC</w:instrText>
      </w:r>
      <w:r>
        <w:fldChar w:fldCharType="separate"/>
      </w:r>
      <w:r w:rsidR="00210D50">
        <w:rPr>
          <w:noProof/>
        </w:rPr>
        <w:t>12</w:t>
      </w:r>
      <w:r>
        <w:fldChar w:fldCharType="end"/>
      </w:r>
      <w:bookmarkEnd w:id="40"/>
      <w:r w:rsidRPr="00EB08B4">
        <w:tab/>
        <w:t>Continuous nerve block vs systemic opioids: summary of the main outcomes</w:t>
      </w:r>
    </w:p>
    <w:tbl>
      <w:tblPr>
        <w:tblStyle w:val="TableGrid"/>
        <w:tblW w:w="5000" w:type="pct"/>
        <w:tblLook w:val="04A0" w:firstRow="1" w:lastRow="0" w:firstColumn="1" w:lastColumn="0" w:noHBand="0" w:noVBand="1"/>
      </w:tblPr>
      <w:tblGrid>
        <w:gridCol w:w="2187"/>
        <w:gridCol w:w="2485"/>
        <w:gridCol w:w="4344"/>
      </w:tblGrid>
      <w:tr w:rsidR="005D5985" w14:paraId="3E95F15B" w14:textId="77777777" w:rsidTr="00D85574">
        <w:trPr>
          <w:tblHeader/>
        </w:trPr>
        <w:tc>
          <w:tcPr>
            <w:tcW w:w="1213" w:type="pct"/>
          </w:tcPr>
          <w:p w14:paraId="0CEA281E" w14:textId="77777777" w:rsidR="005D5985" w:rsidRPr="00D059DF" w:rsidRDefault="005D5985">
            <w:pPr>
              <w:pStyle w:val="TableText"/>
              <w:rPr>
                <w:b/>
              </w:rPr>
            </w:pPr>
            <w:r w:rsidRPr="00B94279">
              <w:rPr>
                <w:b/>
              </w:rPr>
              <w:t>Outcomes</w:t>
            </w:r>
          </w:p>
        </w:tc>
        <w:tc>
          <w:tcPr>
            <w:tcW w:w="1378" w:type="pct"/>
            <w:tcBorders>
              <w:right w:val="single" w:sz="4" w:space="0" w:color="auto"/>
            </w:tcBorders>
          </w:tcPr>
          <w:p w14:paraId="0E11CCCF" w14:textId="77777777" w:rsidR="005D5985" w:rsidRPr="00B94279" w:rsidRDefault="005D5985">
            <w:pPr>
              <w:pStyle w:val="TableText"/>
              <w:rPr>
                <w:b/>
              </w:rPr>
            </w:pPr>
            <w:r w:rsidRPr="00B94279">
              <w:rPr>
                <w:b/>
              </w:rPr>
              <w:t>Ex</w:t>
            </w:r>
            <w:r>
              <w:rPr>
                <w:b/>
              </w:rPr>
              <w:t>e</w:t>
            </w:r>
            <w:r w:rsidRPr="00B94279">
              <w:rPr>
                <w:b/>
              </w:rPr>
              <w:t>mplar case</w:t>
            </w:r>
          </w:p>
          <w:p w14:paraId="5BEAE6BB" w14:textId="77777777" w:rsidR="005D5985" w:rsidRPr="00D059DF" w:rsidRDefault="005D5985">
            <w:pPr>
              <w:pStyle w:val="TableText"/>
              <w:rPr>
                <w:b/>
              </w:rPr>
            </w:pPr>
            <w:r>
              <w:rPr>
                <w:b/>
              </w:rPr>
              <w:t>k</w:t>
            </w:r>
            <w:r w:rsidRPr="00B94279">
              <w:rPr>
                <w:b/>
              </w:rPr>
              <w:t>nee surgery</w:t>
            </w:r>
            <w:r w:rsidRPr="00D059DF">
              <w:rPr>
                <w:b/>
              </w:rPr>
              <w:t xml:space="preserve"> (RoB, GRADE)</w:t>
            </w:r>
          </w:p>
        </w:tc>
        <w:tc>
          <w:tcPr>
            <w:tcW w:w="2408" w:type="pct"/>
            <w:tcBorders>
              <w:left w:val="single" w:sz="4" w:space="0" w:color="auto"/>
            </w:tcBorders>
          </w:tcPr>
          <w:p w14:paraId="5DA2835A" w14:textId="77777777" w:rsidR="005D5985" w:rsidRPr="00D059DF" w:rsidRDefault="005D5985">
            <w:pPr>
              <w:pStyle w:val="TableText"/>
              <w:rPr>
                <w:b/>
              </w:rPr>
            </w:pPr>
            <w:r w:rsidRPr="00B94279">
              <w:rPr>
                <w:b/>
              </w:rPr>
              <w:t>Other surgical locations</w:t>
            </w:r>
            <w:r w:rsidRPr="00D059DF">
              <w:rPr>
                <w:b/>
              </w:rPr>
              <w:t xml:space="preserve">: foot and ankle, hips, abdomen, cardiothorax and shoulders (Overall quality </w:t>
            </w:r>
            <w:r w:rsidRPr="002B7379">
              <w:rPr>
                <w:b/>
                <w:bCs/>
                <w:vertAlign w:val="superscript"/>
              </w:rPr>
              <w:t>a</w:t>
            </w:r>
            <w:r w:rsidRPr="00D059DF">
              <w:rPr>
                <w:b/>
              </w:rPr>
              <w:t>)</w:t>
            </w:r>
          </w:p>
        </w:tc>
      </w:tr>
      <w:tr w:rsidR="005D5985" w14:paraId="08284ADE" w14:textId="77777777">
        <w:tc>
          <w:tcPr>
            <w:tcW w:w="5000" w:type="pct"/>
            <w:gridSpan w:val="3"/>
          </w:tcPr>
          <w:p w14:paraId="19590BD9" w14:textId="77777777" w:rsidR="005D5985" w:rsidRPr="00B94279" w:rsidRDefault="005D5985">
            <w:pPr>
              <w:pStyle w:val="TableText"/>
              <w:rPr>
                <w:b/>
              </w:rPr>
            </w:pPr>
            <w:r w:rsidRPr="00B94279">
              <w:rPr>
                <w:b/>
              </w:rPr>
              <w:t>Effectiveness</w:t>
            </w:r>
          </w:p>
        </w:tc>
      </w:tr>
      <w:tr w:rsidR="005D5985" w14:paraId="43C964D1" w14:textId="77777777" w:rsidTr="00D85574">
        <w:tc>
          <w:tcPr>
            <w:tcW w:w="1213" w:type="pct"/>
          </w:tcPr>
          <w:p w14:paraId="0CCCE19F" w14:textId="77777777" w:rsidR="005D5985" w:rsidRDefault="005D5985">
            <w:pPr>
              <w:pStyle w:val="TableText"/>
            </w:pPr>
            <w:r>
              <w:t>Patient-reported postoperative pain score</w:t>
            </w:r>
          </w:p>
        </w:tc>
        <w:tc>
          <w:tcPr>
            <w:tcW w:w="1378" w:type="pct"/>
            <w:tcBorders>
              <w:right w:val="single" w:sz="4" w:space="0" w:color="auto"/>
            </w:tcBorders>
          </w:tcPr>
          <w:p w14:paraId="2AF8425E" w14:textId="77777777" w:rsidR="005D5985" w:rsidRDefault="005D5985">
            <w:pPr>
              <w:pStyle w:val="TableText"/>
            </w:pPr>
            <w:r>
              <w:t>k=4 (high RoB and some concerns, GRADE very low )</w:t>
            </w:r>
          </w:p>
          <w:p w14:paraId="1116CD11" w14:textId="77777777" w:rsidR="005D5985" w:rsidRDefault="005D5985">
            <w:pPr>
              <w:pStyle w:val="TableText"/>
            </w:pPr>
            <w:r>
              <w:t xml:space="preserve">No </w:t>
            </w:r>
            <w:r w:rsidRPr="00306E38">
              <w:t>statistically</w:t>
            </w:r>
            <w:r>
              <w:t xml:space="preserve"> significant difference at 48h to 168h</w:t>
            </w:r>
          </w:p>
        </w:tc>
        <w:tc>
          <w:tcPr>
            <w:tcW w:w="2408" w:type="pct"/>
            <w:tcBorders>
              <w:left w:val="single" w:sz="4" w:space="0" w:color="auto"/>
            </w:tcBorders>
          </w:tcPr>
          <w:p w14:paraId="32C5D281" w14:textId="77777777" w:rsidR="005D5985" w:rsidRDefault="005D5985">
            <w:pPr>
              <w:pStyle w:val="TableText"/>
            </w:pPr>
            <w:r>
              <w:t>k=2 (SR: low, RCT: some concerns)</w:t>
            </w:r>
          </w:p>
          <w:p w14:paraId="6A2963B8" w14:textId="77777777" w:rsidR="005D5985" w:rsidRDefault="005D5985">
            <w:pPr>
              <w:pStyle w:val="TableText"/>
            </w:pPr>
            <w:r>
              <w:t>Mixed results</w:t>
            </w:r>
          </w:p>
          <w:p w14:paraId="50E38746" w14:textId="77777777" w:rsidR="005D5985" w:rsidRDefault="005D5985">
            <w:pPr>
              <w:pStyle w:val="TableText"/>
            </w:pPr>
            <w:r>
              <w:t>Statistically significant difference in favour of continuous nerve block or no difference</w:t>
            </w:r>
          </w:p>
        </w:tc>
      </w:tr>
      <w:tr w:rsidR="005D5985" w14:paraId="4CF0363C" w14:textId="77777777" w:rsidTr="00D85574">
        <w:tc>
          <w:tcPr>
            <w:tcW w:w="1213" w:type="pct"/>
          </w:tcPr>
          <w:p w14:paraId="202D7E58" w14:textId="77777777" w:rsidR="005D5985" w:rsidRDefault="005D5985">
            <w:pPr>
              <w:pStyle w:val="TableText"/>
            </w:pPr>
            <w:r>
              <w:t>Incidence of supplementary analgesia use</w:t>
            </w:r>
          </w:p>
        </w:tc>
        <w:tc>
          <w:tcPr>
            <w:tcW w:w="1378" w:type="pct"/>
            <w:tcBorders>
              <w:right w:val="single" w:sz="4" w:space="0" w:color="auto"/>
            </w:tcBorders>
          </w:tcPr>
          <w:p w14:paraId="0C54B656" w14:textId="77777777" w:rsidR="005D5985" w:rsidRDefault="005D5985">
            <w:pPr>
              <w:pStyle w:val="TableText"/>
            </w:pPr>
            <w:r>
              <w:t>k=2 (high RoB and some concerns</w:t>
            </w:r>
            <w:r w:rsidRPr="008E236D">
              <w:t>, GRADE NA)</w:t>
            </w:r>
          </w:p>
          <w:p w14:paraId="28E3B5D8" w14:textId="77777777" w:rsidR="005D5985" w:rsidRDefault="005D5985">
            <w:pPr>
              <w:pStyle w:val="TableText"/>
            </w:pPr>
            <w:r>
              <w:t xml:space="preserve">No </w:t>
            </w:r>
            <w:r w:rsidRPr="00306E38">
              <w:t>statistically</w:t>
            </w:r>
            <w:r>
              <w:t xml:space="preserve"> significant difference</w:t>
            </w:r>
          </w:p>
        </w:tc>
        <w:tc>
          <w:tcPr>
            <w:tcW w:w="2408" w:type="pct"/>
            <w:tcBorders>
              <w:left w:val="single" w:sz="4" w:space="0" w:color="auto"/>
            </w:tcBorders>
          </w:tcPr>
          <w:p w14:paraId="42C3E693" w14:textId="77777777" w:rsidR="005D5985" w:rsidRPr="00895230" w:rsidRDefault="005D5985">
            <w:pPr>
              <w:pStyle w:val="TableText"/>
            </w:pPr>
            <w:r w:rsidRPr="00895230">
              <w:t>k=2 (SRs: critically low)</w:t>
            </w:r>
          </w:p>
          <w:p w14:paraId="70717DB3" w14:textId="77777777" w:rsidR="005D5985" w:rsidRPr="00895230" w:rsidRDefault="005D5985">
            <w:pPr>
              <w:pStyle w:val="TableText"/>
            </w:pPr>
            <w:r w:rsidRPr="00895230">
              <w:t>No statistically significant difference</w:t>
            </w:r>
          </w:p>
        </w:tc>
      </w:tr>
      <w:tr w:rsidR="005D5985" w14:paraId="62EA098D" w14:textId="77777777" w:rsidTr="00D85574">
        <w:tc>
          <w:tcPr>
            <w:tcW w:w="1213" w:type="pct"/>
          </w:tcPr>
          <w:p w14:paraId="365D7F87" w14:textId="77777777" w:rsidR="005D5985" w:rsidRDefault="005D5985">
            <w:pPr>
              <w:pStyle w:val="TableText"/>
            </w:pPr>
            <w:r>
              <w:t>Opioid consumption for breakthrough pain</w:t>
            </w:r>
          </w:p>
        </w:tc>
        <w:tc>
          <w:tcPr>
            <w:tcW w:w="1378" w:type="pct"/>
            <w:tcBorders>
              <w:right w:val="single" w:sz="4" w:space="0" w:color="auto"/>
            </w:tcBorders>
          </w:tcPr>
          <w:p w14:paraId="3BF22ED1" w14:textId="77777777" w:rsidR="005D5985" w:rsidRDefault="005D5985">
            <w:pPr>
              <w:pStyle w:val="TableText"/>
            </w:pPr>
            <w:r>
              <w:t>k=1 (high RoB, GRADE very low)</w:t>
            </w:r>
          </w:p>
          <w:p w14:paraId="54FADA6C" w14:textId="77777777" w:rsidR="005D5985" w:rsidRDefault="005D5985">
            <w:pPr>
              <w:pStyle w:val="TableText"/>
            </w:pPr>
            <w:r>
              <w:t>S</w:t>
            </w:r>
            <w:r w:rsidRPr="00306E38">
              <w:t>tatistically</w:t>
            </w:r>
            <w:r>
              <w:t xml:space="preserve"> significant difference in favour of continuous nerve block</w:t>
            </w:r>
          </w:p>
        </w:tc>
        <w:tc>
          <w:tcPr>
            <w:tcW w:w="2408" w:type="pct"/>
            <w:tcBorders>
              <w:left w:val="single" w:sz="4" w:space="0" w:color="auto"/>
            </w:tcBorders>
          </w:tcPr>
          <w:p w14:paraId="369A3A8D" w14:textId="77777777" w:rsidR="005D5985" w:rsidRPr="00895230" w:rsidRDefault="005D5985">
            <w:pPr>
              <w:pStyle w:val="TableText"/>
            </w:pPr>
            <w:r w:rsidRPr="00895230">
              <w:t>k=5 (SRs: low and critically low, RCTs: some concerns)</w:t>
            </w:r>
          </w:p>
          <w:p w14:paraId="55C4FA7A" w14:textId="77777777" w:rsidR="005D5985" w:rsidRPr="00895230" w:rsidRDefault="005D5985">
            <w:pPr>
              <w:pStyle w:val="TableText"/>
            </w:pPr>
            <w:r w:rsidRPr="00895230">
              <w:t>Mixed results</w:t>
            </w:r>
          </w:p>
          <w:p w14:paraId="00CA1090" w14:textId="77777777" w:rsidR="005D5985" w:rsidRPr="00895230" w:rsidRDefault="005D5985">
            <w:pPr>
              <w:pStyle w:val="TableText"/>
            </w:pPr>
            <w:r w:rsidRPr="00895230">
              <w:t>Statistically significant difference in favour of continuous nerve block or no difference</w:t>
            </w:r>
          </w:p>
        </w:tc>
      </w:tr>
      <w:tr w:rsidR="005D5985" w14:paraId="5BF971C6" w14:textId="77777777" w:rsidTr="00D85574">
        <w:tc>
          <w:tcPr>
            <w:tcW w:w="1213" w:type="pct"/>
          </w:tcPr>
          <w:p w14:paraId="477D4AA1" w14:textId="77777777" w:rsidR="005D5985" w:rsidRDefault="005D5985">
            <w:pPr>
              <w:pStyle w:val="TableText"/>
            </w:pPr>
            <w:r>
              <w:t>Health-related quality of life</w:t>
            </w:r>
          </w:p>
        </w:tc>
        <w:tc>
          <w:tcPr>
            <w:tcW w:w="1378" w:type="pct"/>
            <w:tcBorders>
              <w:right w:val="single" w:sz="4" w:space="0" w:color="auto"/>
            </w:tcBorders>
          </w:tcPr>
          <w:p w14:paraId="2CA4D0B7" w14:textId="77777777" w:rsidR="005D5985" w:rsidRDefault="005D5985">
            <w:pPr>
              <w:pStyle w:val="TableText"/>
            </w:pPr>
            <w:r>
              <w:t>NR</w:t>
            </w:r>
          </w:p>
        </w:tc>
        <w:tc>
          <w:tcPr>
            <w:tcW w:w="2408" w:type="pct"/>
            <w:tcBorders>
              <w:left w:val="single" w:sz="4" w:space="0" w:color="auto"/>
            </w:tcBorders>
          </w:tcPr>
          <w:p w14:paraId="49E7C83C" w14:textId="77777777" w:rsidR="005D5985" w:rsidRDefault="005D5985">
            <w:pPr>
              <w:pStyle w:val="TableText"/>
            </w:pPr>
            <w:r>
              <w:t>NR</w:t>
            </w:r>
          </w:p>
        </w:tc>
      </w:tr>
      <w:tr w:rsidR="005D5985" w14:paraId="78AF9514" w14:textId="77777777">
        <w:tc>
          <w:tcPr>
            <w:tcW w:w="5000" w:type="pct"/>
            <w:gridSpan w:val="3"/>
          </w:tcPr>
          <w:p w14:paraId="0B8E99D1" w14:textId="77777777" w:rsidR="005D5985" w:rsidRPr="00D059DF" w:rsidRDefault="005D5985">
            <w:pPr>
              <w:pStyle w:val="TableText"/>
              <w:rPr>
                <w:b/>
              </w:rPr>
            </w:pPr>
            <w:r w:rsidRPr="00B94279">
              <w:rPr>
                <w:b/>
              </w:rPr>
              <w:t>Healthcare system</w:t>
            </w:r>
          </w:p>
        </w:tc>
      </w:tr>
      <w:tr w:rsidR="005D5985" w14:paraId="0F0F1C79" w14:textId="77777777" w:rsidTr="00D85574">
        <w:tc>
          <w:tcPr>
            <w:tcW w:w="1213" w:type="pct"/>
          </w:tcPr>
          <w:p w14:paraId="02F71C47" w14:textId="77777777" w:rsidR="005D5985" w:rsidRDefault="005D5985">
            <w:pPr>
              <w:pStyle w:val="TableText"/>
            </w:pPr>
            <w:r>
              <w:t>Block re-attempt</w:t>
            </w:r>
          </w:p>
        </w:tc>
        <w:tc>
          <w:tcPr>
            <w:tcW w:w="1378" w:type="pct"/>
            <w:tcBorders>
              <w:right w:val="single" w:sz="4" w:space="0" w:color="auto"/>
            </w:tcBorders>
          </w:tcPr>
          <w:p w14:paraId="5D047495" w14:textId="77777777" w:rsidR="005D5985" w:rsidRDefault="005D5985">
            <w:pPr>
              <w:pStyle w:val="TableText"/>
            </w:pPr>
            <w:r>
              <w:t>k=2 (high RoB and some concerns, GRADE very low)</w:t>
            </w:r>
          </w:p>
          <w:p w14:paraId="0EF95917" w14:textId="77777777" w:rsidR="005D5985" w:rsidRDefault="005D5985">
            <w:pPr>
              <w:pStyle w:val="TableText"/>
            </w:pPr>
            <w:r>
              <w:t xml:space="preserve">A </w:t>
            </w:r>
            <w:r w:rsidRPr="00306E38">
              <w:t>statistically</w:t>
            </w:r>
            <w:r>
              <w:t xml:space="preserve"> significant difference in favour of systemic opioids at 48h to 72h</w:t>
            </w:r>
          </w:p>
        </w:tc>
        <w:tc>
          <w:tcPr>
            <w:tcW w:w="2408" w:type="pct"/>
            <w:tcBorders>
              <w:left w:val="single" w:sz="4" w:space="0" w:color="auto"/>
            </w:tcBorders>
          </w:tcPr>
          <w:p w14:paraId="0EDB937C" w14:textId="77777777" w:rsidR="005D5985" w:rsidRDefault="005D5985">
            <w:pPr>
              <w:pStyle w:val="TableText"/>
            </w:pPr>
            <w:r>
              <w:t>k=1 (RCT: low)</w:t>
            </w:r>
          </w:p>
          <w:p w14:paraId="18B5C481" w14:textId="77777777" w:rsidR="005D5985" w:rsidRPr="00D059DF" w:rsidRDefault="005D5985">
            <w:pPr>
              <w:pStyle w:val="TableText"/>
              <w:rPr>
                <w:rFonts w:eastAsia="Segoe UI" w:cs="Segoe UI"/>
                <w:color w:val="000000" w:themeColor="text1"/>
                <w:szCs w:val="20"/>
              </w:rPr>
            </w:pPr>
            <w:r w:rsidRPr="00D059DF">
              <w:rPr>
                <w:rFonts w:eastAsia="Segoe UI" w:cs="Segoe UI"/>
                <w:color w:val="000000" w:themeColor="text1"/>
                <w:szCs w:val="20"/>
              </w:rPr>
              <w:t xml:space="preserve">Continuous nerve block: 5.5% </w:t>
            </w:r>
          </w:p>
          <w:p w14:paraId="10405525" w14:textId="77777777" w:rsidR="005D5985" w:rsidRDefault="005D5985">
            <w:pPr>
              <w:pStyle w:val="TableText"/>
              <w:rPr>
                <w:rFonts w:ascii="Segoe UI" w:eastAsia="Segoe UI" w:hAnsi="Segoe UI" w:cs="Segoe UI"/>
                <w:color w:val="333333"/>
                <w:sz w:val="18"/>
                <w:szCs w:val="18"/>
              </w:rPr>
            </w:pPr>
            <w:r w:rsidRPr="00D059DF">
              <w:rPr>
                <w:rFonts w:eastAsia="Segoe UI" w:cs="Segoe UI"/>
                <w:color w:val="000000" w:themeColor="text1"/>
                <w:szCs w:val="20"/>
              </w:rPr>
              <w:t>Systemic opioids 0.0%, no statiscal test performed</w:t>
            </w:r>
          </w:p>
        </w:tc>
      </w:tr>
      <w:tr w:rsidR="005D5985" w14:paraId="5CB63E38" w14:textId="77777777" w:rsidTr="00D85574">
        <w:tc>
          <w:tcPr>
            <w:tcW w:w="1213" w:type="pct"/>
          </w:tcPr>
          <w:p w14:paraId="51C411FE" w14:textId="77777777" w:rsidR="005D5985" w:rsidRDefault="005D5985">
            <w:pPr>
              <w:pStyle w:val="TableText"/>
            </w:pPr>
            <w:r>
              <w:t>Hospital length of stay</w:t>
            </w:r>
          </w:p>
        </w:tc>
        <w:tc>
          <w:tcPr>
            <w:tcW w:w="1378" w:type="pct"/>
            <w:tcBorders>
              <w:right w:val="single" w:sz="4" w:space="0" w:color="auto"/>
            </w:tcBorders>
          </w:tcPr>
          <w:p w14:paraId="69F3146A" w14:textId="77777777" w:rsidR="005D5985" w:rsidRPr="00E91D01" w:rsidRDefault="005D5985">
            <w:pPr>
              <w:pStyle w:val="TableText"/>
            </w:pPr>
            <w:r>
              <w:t xml:space="preserve">k=1 (RoB some concerns, </w:t>
            </w:r>
            <w:r w:rsidRPr="00E91D01">
              <w:t>GRADE NA)</w:t>
            </w:r>
          </w:p>
          <w:p w14:paraId="2D6309DD" w14:textId="77777777" w:rsidR="005D5985" w:rsidRDefault="005D5985">
            <w:pPr>
              <w:pStyle w:val="TableText"/>
            </w:pPr>
            <w:r w:rsidRPr="00E91D01">
              <w:t>No statistically significant</w:t>
            </w:r>
            <w:r w:rsidRPr="00CF342B">
              <w:t xml:space="preserve"> difference</w:t>
            </w:r>
          </w:p>
        </w:tc>
        <w:tc>
          <w:tcPr>
            <w:tcW w:w="2408" w:type="pct"/>
            <w:tcBorders>
              <w:left w:val="single" w:sz="4" w:space="0" w:color="auto"/>
            </w:tcBorders>
          </w:tcPr>
          <w:p w14:paraId="4B7E3794" w14:textId="77777777" w:rsidR="005D5985" w:rsidRDefault="005D5985">
            <w:pPr>
              <w:pStyle w:val="TableText"/>
            </w:pPr>
            <w:r>
              <w:t xml:space="preserve">k=2 (SR: high, RCT: </w:t>
            </w:r>
            <w:r w:rsidRPr="00D059DF">
              <w:t>NA</w:t>
            </w:r>
            <w:r>
              <w:t>)</w:t>
            </w:r>
          </w:p>
          <w:p w14:paraId="44270FDE" w14:textId="77777777" w:rsidR="005D5985" w:rsidRDefault="005D5985">
            <w:pPr>
              <w:pStyle w:val="TableText"/>
            </w:pPr>
            <w:r>
              <w:t>Mixed results</w:t>
            </w:r>
          </w:p>
          <w:p w14:paraId="29988F17" w14:textId="77777777" w:rsidR="005D5985" w:rsidRDefault="005D5985">
            <w:pPr>
              <w:pStyle w:val="TableText"/>
            </w:pPr>
            <w:r>
              <w:t>A statistically significant difference in favour of continuous nerve block or no difference</w:t>
            </w:r>
          </w:p>
        </w:tc>
      </w:tr>
    </w:tbl>
    <w:p w14:paraId="567DD484" w14:textId="77777777" w:rsidR="005D5985" w:rsidRDefault="005D5985" w:rsidP="005D5985">
      <w:pPr>
        <w:pStyle w:val="TableFooter"/>
      </w:pPr>
      <w:r w:rsidRPr="009D38CE">
        <w:rPr>
          <w:b/>
          <w:bCs/>
        </w:rPr>
        <w:t>Abbreviations</w:t>
      </w:r>
      <w:r>
        <w:t xml:space="preserve">: </w:t>
      </w:r>
      <w:r w:rsidRPr="009D33A1">
        <w:rPr>
          <w:b/>
          <w:bCs/>
        </w:rPr>
        <w:t>AE</w:t>
      </w:r>
      <w:r>
        <w:t xml:space="preserve"> = adverse event;</w:t>
      </w:r>
      <w:r w:rsidRPr="00D62CA6">
        <w:rPr>
          <w:b/>
          <w:bCs/>
        </w:rPr>
        <w:t xml:space="preserve"> </w:t>
      </w:r>
      <w:r w:rsidRPr="00BA7049">
        <w:rPr>
          <w:b/>
          <w:bCs/>
        </w:rPr>
        <w:t>GRADE</w:t>
      </w:r>
      <w:r>
        <w:t xml:space="preserve"> = Grading of Recommendations Assessment, Development and Evaluation; </w:t>
      </w:r>
      <w:r w:rsidRPr="008410DF">
        <w:rPr>
          <w:b/>
          <w:bCs/>
        </w:rPr>
        <w:t>h</w:t>
      </w:r>
      <w:r>
        <w:t xml:space="preserve"> = hours; </w:t>
      </w:r>
      <w:r w:rsidRPr="00FB6572">
        <w:rPr>
          <w:b/>
          <w:bCs/>
        </w:rPr>
        <w:t xml:space="preserve">k </w:t>
      </w:r>
      <w:r>
        <w:t xml:space="preserve">= number of studies; </w:t>
      </w:r>
      <w:r w:rsidRPr="008410DF">
        <w:rPr>
          <w:b/>
          <w:bCs/>
        </w:rPr>
        <w:t>NA</w:t>
      </w:r>
      <w:r>
        <w:t xml:space="preserve"> = not applicable; </w:t>
      </w:r>
      <w:r w:rsidRPr="00FB6572">
        <w:rPr>
          <w:b/>
          <w:bCs/>
        </w:rPr>
        <w:t xml:space="preserve">NR </w:t>
      </w:r>
      <w:r>
        <w:t xml:space="preserve">= not reported; </w:t>
      </w:r>
      <w:r w:rsidRPr="00FB6572">
        <w:rPr>
          <w:b/>
          <w:bCs/>
        </w:rPr>
        <w:t xml:space="preserve">RCT </w:t>
      </w:r>
      <w:r>
        <w:t xml:space="preserve">= randomised controlled trial; </w:t>
      </w:r>
      <w:r w:rsidRPr="00FB6572">
        <w:rPr>
          <w:b/>
          <w:bCs/>
        </w:rPr>
        <w:t xml:space="preserve">RoB </w:t>
      </w:r>
      <w:r>
        <w:t xml:space="preserve">= risk of bias; </w:t>
      </w:r>
      <w:r w:rsidRPr="00FB6572">
        <w:rPr>
          <w:b/>
          <w:bCs/>
        </w:rPr>
        <w:t xml:space="preserve">SR </w:t>
      </w:r>
      <w:r>
        <w:t>= systematic review</w:t>
      </w:r>
    </w:p>
    <w:p w14:paraId="4A7174F1" w14:textId="64700541" w:rsidR="005D5985" w:rsidRDefault="005D5985" w:rsidP="005D5985">
      <w:pPr>
        <w:pStyle w:val="TableFooter"/>
      </w:pPr>
      <w:r w:rsidRPr="002B7379">
        <w:rPr>
          <w:b/>
          <w:bCs/>
        </w:rPr>
        <w:t>Note</w:t>
      </w:r>
      <w:r>
        <w:rPr>
          <w:b/>
          <w:bCs/>
        </w:rPr>
        <w:t>s</w:t>
      </w:r>
      <w:r>
        <w:t xml:space="preserve">: </w:t>
      </w:r>
      <w:r w:rsidRPr="002B7379">
        <w:rPr>
          <w:b/>
          <w:bCs/>
        </w:rPr>
        <w:t>a</w:t>
      </w:r>
      <w:r>
        <w:t xml:space="preserve"> = Overall quality scores were appraised using the AMSTAR-2 critical appraisal tool.</w:t>
      </w:r>
    </w:p>
    <w:p w14:paraId="11B6ACE8" w14:textId="1444CDC1" w:rsidR="00CD0C8D" w:rsidRPr="00306E38" w:rsidRDefault="00CD0C8D" w:rsidP="005D5985">
      <w:pPr>
        <w:pStyle w:val="TableFooter"/>
      </w:pPr>
      <w:r>
        <w:t>Source: DCAR Table 11</w:t>
      </w:r>
    </w:p>
    <w:p w14:paraId="0147C884" w14:textId="77777777" w:rsidR="005D5985" w:rsidRPr="00E036FE" w:rsidRDefault="005D5985" w:rsidP="005D5985">
      <w:pPr>
        <w:rPr>
          <w:rFonts w:ascii="Franklin Gothic Book" w:hAnsi="Franklin Gothic Book"/>
          <w:b/>
          <w:bCs/>
          <w:sz w:val="24"/>
          <w:szCs w:val="24"/>
        </w:rPr>
      </w:pPr>
      <w:r w:rsidRPr="00E036FE">
        <w:rPr>
          <w:rFonts w:ascii="Franklin Gothic Book" w:hAnsi="Franklin Gothic Book"/>
          <w:b/>
          <w:bCs/>
          <w:sz w:val="24"/>
          <w:szCs w:val="24"/>
        </w:rPr>
        <w:t>Continuous nerve block vs neuraxial nerve block</w:t>
      </w:r>
    </w:p>
    <w:p w14:paraId="39E41232" w14:textId="77777777" w:rsidR="005D5985" w:rsidRPr="00E036FE" w:rsidRDefault="005D5985" w:rsidP="005D5985">
      <w:pPr>
        <w:rPr>
          <w:rFonts w:ascii="Franklin Gothic Book" w:hAnsi="Franklin Gothic Book"/>
        </w:rPr>
      </w:pPr>
      <w:r w:rsidRPr="00E036FE">
        <w:rPr>
          <w:rFonts w:ascii="Franklin Gothic Book" w:hAnsi="Franklin Gothic Book"/>
        </w:rPr>
        <w:t>Two RCTs were included to compare continuous nerve block with neuraxial nerve block. Both were assessed as having a RoB of some concerns for measurement of the outcome, the randomisation process and selective reporting.</w:t>
      </w:r>
    </w:p>
    <w:p w14:paraId="7D9AE260" w14:textId="77777777" w:rsidR="005D5985" w:rsidRPr="00E036FE" w:rsidRDefault="005D5985" w:rsidP="005D5985">
      <w:pPr>
        <w:rPr>
          <w:rFonts w:ascii="Franklin Gothic Book" w:hAnsi="Franklin Gothic Book"/>
        </w:rPr>
      </w:pPr>
      <w:r w:rsidRPr="00E036FE">
        <w:rPr>
          <w:rFonts w:ascii="Franklin Gothic Book" w:hAnsi="Franklin Gothic Book"/>
        </w:rPr>
        <w:t>Two RCTs reported the use of rescue analgesia, with a statistically significant difference in favour of continuous nerve block reported at 48 to 72 hours. One RCT reported opioid consumption for breakthrough pain, with a statistically significant difference in favour of continuous nerve block reported at 48 hours. One RCT reported patient satisfaction, with patients in the continuous nerve block group more significantly satisfied relative to those in the neuraxial nerve block group at 48 hours. No statistically significant differences were reported between continuous nerve block and neuraxial nerve block for patient-reported postoperative pain scores. The overall GRADE certainty of evidence for patient-reported postoperative pain scores and opioid consumption was assessed to be very low.</w:t>
      </w:r>
    </w:p>
    <w:p w14:paraId="39EB7CDA" w14:textId="77777777" w:rsidR="005D5985" w:rsidRPr="00E036FE" w:rsidRDefault="005D5985" w:rsidP="005D5985">
      <w:pPr>
        <w:rPr>
          <w:rFonts w:ascii="Franklin Gothic Book" w:hAnsi="Franklin Gothic Book"/>
        </w:rPr>
      </w:pPr>
      <w:r w:rsidRPr="00E036FE">
        <w:rPr>
          <w:rFonts w:ascii="Franklin Gothic Book" w:hAnsi="Franklin Gothic Book"/>
        </w:rPr>
        <w:lastRenderedPageBreak/>
        <w:t xml:space="preserve">In the included RCTs, time to first mobilisation post-surgery, rate of chronic postoperative pain, chest infection/pneumonia, health-related quality of life, block-reattempt/block failure, hospital length of stay and rehospitalisation due to pain were not reported. </w:t>
      </w:r>
    </w:p>
    <w:p w14:paraId="1A219A54" w14:textId="0692D2B9" w:rsidR="005D5985" w:rsidRPr="00E036FE" w:rsidRDefault="005D5985" w:rsidP="005D5985">
      <w:pPr>
        <w:rPr>
          <w:rFonts w:ascii="Franklin Gothic Book" w:hAnsi="Franklin Gothic Book"/>
        </w:rPr>
      </w:pPr>
      <w:r w:rsidRPr="00E036FE">
        <w:rPr>
          <w:rFonts w:ascii="Franklin Gothic Book" w:hAnsi="Franklin Gothic Book"/>
        </w:rPr>
        <w:t xml:space="preserve">A results comparison between the exemplar case and the other surgical locations is presented in </w:t>
      </w:r>
      <w:r w:rsidRPr="00E036FE">
        <w:rPr>
          <w:rFonts w:ascii="Franklin Gothic Book" w:hAnsi="Franklin Gothic Book"/>
        </w:rPr>
        <w:fldChar w:fldCharType="begin"/>
      </w:r>
      <w:r w:rsidRPr="00E036FE">
        <w:rPr>
          <w:rFonts w:ascii="Franklin Gothic Book" w:hAnsi="Franklin Gothic Book"/>
        </w:rPr>
        <w:instrText xml:space="preserve"> REF _Ref153199936 \h </w:instrText>
      </w:r>
      <w:r w:rsidR="00E036FE">
        <w:rPr>
          <w:rFonts w:ascii="Franklin Gothic Book" w:hAnsi="Franklin Gothic Book"/>
        </w:rPr>
        <w:instrText xml:space="preserve"> \* MERGEFORMAT </w:instrText>
      </w:r>
      <w:r w:rsidRPr="00E036FE">
        <w:rPr>
          <w:rFonts w:ascii="Franklin Gothic Book" w:hAnsi="Franklin Gothic Book"/>
        </w:rPr>
      </w:r>
      <w:r w:rsidRPr="00E036FE">
        <w:rPr>
          <w:rFonts w:ascii="Franklin Gothic Book" w:hAnsi="Franklin Gothic Book"/>
        </w:rPr>
        <w:fldChar w:fldCharType="separate"/>
      </w:r>
      <w:r w:rsidR="002C38EC" w:rsidRPr="002C38EC">
        <w:rPr>
          <w:rFonts w:ascii="Franklin Gothic Book" w:hAnsi="Franklin Gothic Book"/>
        </w:rPr>
        <w:t>Table 13</w:t>
      </w:r>
      <w:r w:rsidRPr="00E036FE">
        <w:rPr>
          <w:rFonts w:ascii="Franklin Gothic Book" w:hAnsi="Franklin Gothic Book"/>
        </w:rPr>
        <w:fldChar w:fldCharType="end"/>
      </w:r>
      <w:r w:rsidRPr="00E036FE">
        <w:rPr>
          <w:rFonts w:ascii="Franklin Gothic Book" w:hAnsi="Franklin Gothic Book"/>
        </w:rPr>
        <w:t>.</w:t>
      </w:r>
    </w:p>
    <w:p w14:paraId="162A47E8" w14:textId="6B5F7CF5" w:rsidR="005D5985" w:rsidRDefault="005D5985" w:rsidP="005D5985">
      <w:pPr>
        <w:pStyle w:val="Caption"/>
      </w:pPr>
      <w:bookmarkStart w:id="41" w:name="_Ref153199936"/>
      <w:r w:rsidRPr="00EB08B4">
        <w:t>Table </w:t>
      </w:r>
      <w:r>
        <w:fldChar w:fldCharType="begin"/>
      </w:r>
      <w:r>
        <w:instrText>SEQ Table \* ARABIC</w:instrText>
      </w:r>
      <w:r>
        <w:fldChar w:fldCharType="separate"/>
      </w:r>
      <w:r w:rsidR="00210D50">
        <w:rPr>
          <w:noProof/>
        </w:rPr>
        <w:t>13</w:t>
      </w:r>
      <w:r>
        <w:fldChar w:fldCharType="end"/>
      </w:r>
      <w:bookmarkEnd w:id="41"/>
      <w:r w:rsidRPr="00EB08B4">
        <w:tab/>
        <w:t>Continuous nerve block vs neuraxial block: summary of the main outcomes</w:t>
      </w:r>
      <w:r>
        <w:t xml:space="preserve"> </w:t>
      </w:r>
    </w:p>
    <w:tbl>
      <w:tblPr>
        <w:tblStyle w:val="TableGrid"/>
        <w:tblW w:w="5000" w:type="pct"/>
        <w:tblLook w:val="04A0" w:firstRow="1" w:lastRow="0" w:firstColumn="1" w:lastColumn="0" w:noHBand="0" w:noVBand="1"/>
      </w:tblPr>
      <w:tblGrid>
        <w:gridCol w:w="2164"/>
        <w:gridCol w:w="2793"/>
        <w:gridCol w:w="4059"/>
      </w:tblGrid>
      <w:tr w:rsidR="005D5985" w14:paraId="22AB9547" w14:textId="77777777" w:rsidTr="00D85574">
        <w:trPr>
          <w:tblHeader/>
        </w:trPr>
        <w:tc>
          <w:tcPr>
            <w:tcW w:w="1200" w:type="pct"/>
          </w:tcPr>
          <w:p w14:paraId="6F155C61" w14:textId="77777777" w:rsidR="005D5985" w:rsidRPr="00D059DF" w:rsidRDefault="005D5985">
            <w:pPr>
              <w:pStyle w:val="TableText"/>
              <w:rPr>
                <w:b/>
              </w:rPr>
            </w:pPr>
            <w:r w:rsidRPr="00B94279">
              <w:rPr>
                <w:b/>
              </w:rPr>
              <w:t>Outcomes</w:t>
            </w:r>
          </w:p>
        </w:tc>
        <w:tc>
          <w:tcPr>
            <w:tcW w:w="1549" w:type="pct"/>
            <w:tcBorders>
              <w:right w:val="single" w:sz="4" w:space="0" w:color="auto"/>
            </w:tcBorders>
          </w:tcPr>
          <w:p w14:paraId="2185F1EC" w14:textId="77777777" w:rsidR="005D5985" w:rsidRPr="00B94279" w:rsidRDefault="005D5985">
            <w:pPr>
              <w:pStyle w:val="TableText"/>
              <w:rPr>
                <w:b/>
              </w:rPr>
            </w:pPr>
            <w:r w:rsidRPr="00B94279">
              <w:rPr>
                <w:b/>
              </w:rPr>
              <w:t>Ex</w:t>
            </w:r>
            <w:r>
              <w:rPr>
                <w:b/>
              </w:rPr>
              <w:t>e</w:t>
            </w:r>
            <w:r w:rsidRPr="00B94279">
              <w:rPr>
                <w:b/>
              </w:rPr>
              <w:t>mplar case</w:t>
            </w:r>
          </w:p>
          <w:p w14:paraId="2A9EA7CD" w14:textId="77777777" w:rsidR="005D5985" w:rsidRPr="00D059DF" w:rsidRDefault="005D5985">
            <w:pPr>
              <w:pStyle w:val="TableText"/>
              <w:rPr>
                <w:b/>
              </w:rPr>
            </w:pPr>
            <w:r>
              <w:rPr>
                <w:b/>
              </w:rPr>
              <w:t>k</w:t>
            </w:r>
            <w:r w:rsidRPr="00B94279">
              <w:rPr>
                <w:b/>
              </w:rPr>
              <w:t>nee surgery</w:t>
            </w:r>
            <w:r w:rsidRPr="00D059DF">
              <w:rPr>
                <w:b/>
              </w:rPr>
              <w:t xml:space="preserve"> (RoB, GRADE)</w:t>
            </w:r>
          </w:p>
        </w:tc>
        <w:tc>
          <w:tcPr>
            <w:tcW w:w="2251" w:type="pct"/>
            <w:tcBorders>
              <w:left w:val="single" w:sz="4" w:space="0" w:color="auto"/>
            </w:tcBorders>
          </w:tcPr>
          <w:p w14:paraId="23983EBD" w14:textId="77777777" w:rsidR="005D5985" w:rsidRPr="00D059DF" w:rsidRDefault="005D5985">
            <w:pPr>
              <w:pStyle w:val="TableText"/>
              <w:rPr>
                <w:b/>
              </w:rPr>
            </w:pPr>
            <w:r w:rsidRPr="00B94279">
              <w:rPr>
                <w:b/>
              </w:rPr>
              <w:t>Other surgical locations</w:t>
            </w:r>
            <w:r w:rsidRPr="00D059DF">
              <w:rPr>
                <w:b/>
              </w:rPr>
              <w:t xml:space="preserve">: foot and ankle, hips, abdomen, cardiothorax and shoulders (Overall quality </w:t>
            </w:r>
            <w:r w:rsidRPr="00D059DF">
              <w:rPr>
                <w:b/>
                <w:bCs/>
                <w:vertAlign w:val="superscript"/>
              </w:rPr>
              <w:t>b</w:t>
            </w:r>
            <w:r w:rsidRPr="00D059DF">
              <w:rPr>
                <w:b/>
              </w:rPr>
              <w:t>)</w:t>
            </w:r>
          </w:p>
        </w:tc>
      </w:tr>
      <w:tr w:rsidR="005D5985" w14:paraId="7FA6E203" w14:textId="77777777">
        <w:tc>
          <w:tcPr>
            <w:tcW w:w="5000" w:type="pct"/>
            <w:gridSpan w:val="3"/>
          </w:tcPr>
          <w:p w14:paraId="2B8A9C9C" w14:textId="77777777" w:rsidR="005D5985" w:rsidRPr="00B94279" w:rsidRDefault="005D5985">
            <w:pPr>
              <w:pStyle w:val="TableText"/>
              <w:rPr>
                <w:b/>
              </w:rPr>
            </w:pPr>
            <w:r w:rsidRPr="00B94279">
              <w:rPr>
                <w:b/>
              </w:rPr>
              <w:t>Effectiveness</w:t>
            </w:r>
          </w:p>
        </w:tc>
      </w:tr>
      <w:tr w:rsidR="005D5985" w14:paraId="56B097FD" w14:textId="77777777" w:rsidTr="00D85574">
        <w:tc>
          <w:tcPr>
            <w:tcW w:w="1200" w:type="pct"/>
          </w:tcPr>
          <w:p w14:paraId="40398906" w14:textId="77777777" w:rsidR="005D5985" w:rsidRDefault="005D5985">
            <w:pPr>
              <w:pStyle w:val="TableText"/>
            </w:pPr>
            <w:r>
              <w:t>Patient-reported postoperative pain scores</w:t>
            </w:r>
          </w:p>
        </w:tc>
        <w:tc>
          <w:tcPr>
            <w:tcW w:w="1549" w:type="pct"/>
            <w:tcBorders>
              <w:right w:val="single" w:sz="4" w:space="0" w:color="auto"/>
            </w:tcBorders>
          </w:tcPr>
          <w:p w14:paraId="7A4A6F70" w14:textId="77777777" w:rsidR="005D5985" w:rsidRPr="00DA0EA2" w:rsidRDefault="005D5985">
            <w:pPr>
              <w:pStyle w:val="TableText"/>
            </w:pPr>
            <w:r w:rsidRPr="00DA0EA2">
              <w:t>k=2 (some concerns, GRADE very low)</w:t>
            </w:r>
          </w:p>
          <w:p w14:paraId="14A207BD" w14:textId="77777777" w:rsidR="005D5985" w:rsidRPr="00DA0EA2" w:rsidRDefault="005D5985">
            <w:pPr>
              <w:pStyle w:val="TableText"/>
            </w:pPr>
            <w:r w:rsidRPr="00DA0EA2">
              <w:t>No statistically significant difference at 48h to 72h</w:t>
            </w:r>
          </w:p>
        </w:tc>
        <w:tc>
          <w:tcPr>
            <w:tcW w:w="2251" w:type="pct"/>
            <w:tcBorders>
              <w:left w:val="single" w:sz="4" w:space="0" w:color="auto"/>
            </w:tcBorders>
          </w:tcPr>
          <w:p w14:paraId="270F8E71" w14:textId="77777777" w:rsidR="005D5985" w:rsidRPr="00895230" w:rsidRDefault="005D5985">
            <w:pPr>
              <w:pStyle w:val="TableText"/>
            </w:pPr>
            <w:r w:rsidRPr="00895230">
              <w:t xml:space="preserve">k=3 (SRs: low and </w:t>
            </w:r>
            <w:r w:rsidRPr="00D059DF">
              <w:t>critically lo</w:t>
            </w:r>
            <w:r w:rsidRPr="00895230">
              <w:t>w)</w:t>
            </w:r>
          </w:p>
          <w:p w14:paraId="1AD8420C" w14:textId="77777777" w:rsidR="005D5985" w:rsidRPr="00895230" w:rsidRDefault="005D5985">
            <w:pPr>
              <w:pStyle w:val="TableText"/>
            </w:pPr>
            <w:r w:rsidRPr="00895230">
              <w:t>Mixed results</w:t>
            </w:r>
          </w:p>
          <w:p w14:paraId="756A744A" w14:textId="77777777" w:rsidR="005D5985" w:rsidRPr="00895230" w:rsidRDefault="005D5985">
            <w:pPr>
              <w:pStyle w:val="TableText"/>
            </w:pPr>
            <w:r w:rsidRPr="00895230">
              <w:t>No difference or statistically significant difference in favour of neuraxial block</w:t>
            </w:r>
            <w:r w:rsidRPr="00895230">
              <w:rPr>
                <w:vertAlign w:val="superscript"/>
              </w:rPr>
              <w:t>a</w:t>
            </w:r>
          </w:p>
          <w:p w14:paraId="0FFC21FD" w14:textId="77777777" w:rsidR="005D5985" w:rsidRPr="00895230" w:rsidRDefault="005D5985">
            <w:pPr>
              <w:pStyle w:val="TableText"/>
            </w:pPr>
          </w:p>
        </w:tc>
      </w:tr>
      <w:tr w:rsidR="005D5985" w14:paraId="0EE230E2" w14:textId="77777777" w:rsidTr="00D85574">
        <w:tc>
          <w:tcPr>
            <w:tcW w:w="1200" w:type="pct"/>
          </w:tcPr>
          <w:p w14:paraId="4FC39DC6" w14:textId="77777777" w:rsidR="005D5985" w:rsidRDefault="005D5985">
            <w:pPr>
              <w:pStyle w:val="TableText"/>
            </w:pPr>
            <w:r>
              <w:t>Incidence of supplementary analgesia use</w:t>
            </w:r>
          </w:p>
        </w:tc>
        <w:tc>
          <w:tcPr>
            <w:tcW w:w="1549" w:type="pct"/>
            <w:tcBorders>
              <w:right w:val="single" w:sz="4" w:space="0" w:color="auto"/>
            </w:tcBorders>
          </w:tcPr>
          <w:p w14:paraId="1E889F1B" w14:textId="77777777" w:rsidR="005D5985" w:rsidRPr="00DA0EA2" w:rsidRDefault="005D5985">
            <w:pPr>
              <w:pStyle w:val="TableText"/>
            </w:pPr>
            <w:r w:rsidRPr="00DA0EA2">
              <w:t xml:space="preserve">k=2 (some concerns, GRADE </w:t>
            </w:r>
            <w:r w:rsidRPr="00D059DF">
              <w:t>NA</w:t>
            </w:r>
            <w:r w:rsidRPr="00DA0EA2">
              <w:t>)</w:t>
            </w:r>
          </w:p>
          <w:p w14:paraId="7A4C910B" w14:textId="77777777" w:rsidR="005D5985" w:rsidRPr="00DA0EA2" w:rsidRDefault="005D5985">
            <w:pPr>
              <w:pStyle w:val="TableText"/>
            </w:pPr>
            <w:r w:rsidRPr="00DA0EA2">
              <w:t>Statistically significant difference in favour of continuous nerve block</w:t>
            </w:r>
          </w:p>
        </w:tc>
        <w:tc>
          <w:tcPr>
            <w:tcW w:w="2251" w:type="pct"/>
            <w:tcBorders>
              <w:left w:val="single" w:sz="4" w:space="0" w:color="auto"/>
            </w:tcBorders>
          </w:tcPr>
          <w:p w14:paraId="666542B6" w14:textId="77777777" w:rsidR="005D5985" w:rsidRPr="00895230" w:rsidRDefault="005D5985">
            <w:pPr>
              <w:pStyle w:val="TableText"/>
            </w:pPr>
            <w:r w:rsidRPr="00895230">
              <w:t xml:space="preserve">k=3 (SRs: </w:t>
            </w:r>
            <w:r w:rsidRPr="00D059DF">
              <w:t>critically lo</w:t>
            </w:r>
            <w:r w:rsidRPr="00895230">
              <w:t>w and low)</w:t>
            </w:r>
          </w:p>
          <w:p w14:paraId="55BD39BA" w14:textId="77777777" w:rsidR="005D5985" w:rsidRPr="00895230" w:rsidRDefault="005D5985">
            <w:pPr>
              <w:pStyle w:val="TableText"/>
            </w:pPr>
            <w:r w:rsidRPr="00895230">
              <w:t>No difference (k=2)</w:t>
            </w:r>
          </w:p>
          <w:p w14:paraId="575C66D7" w14:textId="77777777" w:rsidR="005D5985" w:rsidRPr="00895230" w:rsidRDefault="005D5985">
            <w:pPr>
              <w:pStyle w:val="TableText"/>
            </w:pPr>
            <w:r w:rsidRPr="00895230">
              <w:t xml:space="preserve">Statistically significant difference in favour of continuous nerve block according to follow-up time (k=1 at 72h), or patient population (children, k=1). </w:t>
            </w:r>
          </w:p>
        </w:tc>
      </w:tr>
      <w:tr w:rsidR="005D5985" w14:paraId="0059EA15" w14:textId="77777777" w:rsidTr="00D85574">
        <w:tc>
          <w:tcPr>
            <w:tcW w:w="1200" w:type="pct"/>
          </w:tcPr>
          <w:p w14:paraId="1679FB5C" w14:textId="77777777" w:rsidR="005D5985" w:rsidRDefault="005D5985">
            <w:pPr>
              <w:pStyle w:val="TableText"/>
            </w:pPr>
            <w:r>
              <w:t>Opioid consumption for breakthrough pain</w:t>
            </w:r>
          </w:p>
        </w:tc>
        <w:tc>
          <w:tcPr>
            <w:tcW w:w="1549" w:type="pct"/>
            <w:tcBorders>
              <w:right w:val="single" w:sz="4" w:space="0" w:color="auto"/>
            </w:tcBorders>
          </w:tcPr>
          <w:p w14:paraId="60ACC72B" w14:textId="77777777" w:rsidR="005D5985" w:rsidRDefault="005D5985">
            <w:pPr>
              <w:pStyle w:val="TableText"/>
            </w:pPr>
            <w:r>
              <w:t>k=1 (RoB: some concerns, GRADE very low)</w:t>
            </w:r>
          </w:p>
          <w:p w14:paraId="5F61B926" w14:textId="77777777" w:rsidR="005D5985" w:rsidRDefault="005D5985">
            <w:pPr>
              <w:pStyle w:val="TableText"/>
            </w:pPr>
            <w:r>
              <w:t>S</w:t>
            </w:r>
            <w:r w:rsidRPr="00306E38">
              <w:t>tatistically</w:t>
            </w:r>
            <w:r>
              <w:t xml:space="preserve"> significant difference in favour of continuous nerve block</w:t>
            </w:r>
          </w:p>
        </w:tc>
        <w:tc>
          <w:tcPr>
            <w:tcW w:w="2251" w:type="pct"/>
            <w:tcBorders>
              <w:left w:val="single" w:sz="4" w:space="0" w:color="auto"/>
            </w:tcBorders>
          </w:tcPr>
          <w:p w14:paraId="46EC50E6" w14:textId="74EF3D16" w:rsidR="005D5985" w:rsidRDefault="005D5985">
            <w:pPr>
              <w:pStyle w:val="TableText"/>
            </w:pPr>
            <w:r>
              <w:t>k=3 (SRs: critically low and low)</w:t>
            </w:r>
          </w:p>
          <w:p w14:paraId="72E869C8" w14:textId="77777777" w:rsidR="005D5985" w:rsidRDefault="005D5985">
            <w:pPr>
              <w:pStyle w:val="TableText"/>
            </w:pPr>
            <w:r>
              <w:t>Mixed results</w:t>
            </w:r>
          </w:p>
          <w:p w14:paraId="592F22E1" w14:textId="77777777" w:rsidR="005D5985" w:rsidRDefault="005D5985">
            <w:pPr>
              <w:pStyle w:val="TableText"/>
            </w:pPr>
            <w:r>
              <w:t>No difference (k=2) or statistically significant difference in favour of continuous nerve block (k=1)</w:t>
            </w:r>
          </w:p>
        </w:tc>
      </w:tr>
      <w:tr w:rsidR="005D5985" w14:paraId="319C8A59" w14:textId="77777777" w:rsidTr="00D85574">
        <w:tc>
          <w:tcPr>
            <w:tcW w:w="1200" w:type="pct"/>
          </w:tcPr>
          <w:p w14:paraId="1475E107" w14:textId="77777777" w:rsidR="005D5985" w:rsidRDefault="005D5985">
            <w:pPr>
              <w:pStyle w:val="TableText"/>
            </w:pPr>
            <w:r>
              <w:t>Health-related quality of life</w:t>
            </w:r>
          </w:p>
        </w:tc>
        <w:tc>
          <w:tcPr>
            <w:tcW w:w="1549" w:type="pct"/>
            <w:tcBorders>
              <w:right w:val="single" w:sz="4" w:space="0" w:color="auto"/>
            </w:tcBorders>
          </w:tcPr>
          <w:p w14:paraId="09468245" w14:textId="77777777" w:rsidR="005D5985" w:rsidRDefault="005D5985">
            <w:pPr>
              <w:pStyle w:val="TableText"/>
            </w:pPr>
            <w:r>
              <w:t>NR</w:t>
            </w:r>
          </w:p>
        </w:tc>
        <w:tc>
          <w:tcPr>
            <w:tcW w:w="2251" w:type="pct"/>
            <w:tcBorders>
              <w:left w:val="single" w:sz="4" w:space="0" w:color="auto"/>
            </w:tcBorders>
          </w:tcPr>
          <w:p w14:paraId="71003FCD" w14:textId="77777777" w:rsidR="005D5985" w:rsidRDefault="005D5985">
            <w:pPr>
              <w:pStyle w:val="TableText"/>
            </w:pPr>
            <w:r>
              <w:t>NR</w:t>
            </w:r>
          </w:p>
        </w:tc>
      </w:tr>
      <w:tr w:rsidR="005D5985" w14:paraId="52B4F154" w14:textId="77777777">
        <w:tc>
          <w:tcPr>
            <w:tcW w:w="5000" w:type="pct"/>
            <w:gridSpan w:val="3"/>
          </w:tcPr>
          <w:p w14:paraId="5D745385" w14:textId="77777777" w:rsidR="005D5985" w:rsidRPr="00D059DF" w:rsidRDefault="005D5985">
            <w:pPr>
              <w:pStyle w:val="TableText"/>
              <w:rPr>
                <w:b/>
              </w:rPr>
            </w:pPr>
            <w:r w:rsidRPr="00B94279">
              <w:rPr>
                <w:b/>
              </w:rPr>
              <w:t>Healthcare system</w:t>
            </w:r>
          </w:p>
        </w:tc>
      </w:tr>
      <w:tr w:rsidR="005D5985" w14:paraId="3AB6C99F" w14:textId="77777777" w:rsidTr="00D85574">
        <w:tc>
          <w:tcPr>
            <w:tcW w:w="1200" w:type="pct"/>
          </w:tcPr>
          <w:p w14:paraId="029AFF75" w14:textId="77777777" w:rsidR="005D5985" w:rsidRDefault="005D5985">
            <w:pPr>
              <w:pStyle w:val="TableText"/>
            </w:pPr>
            <w:r>
              <w:t>Block re-attempt</w:t>
            </w:r>
          </w:p>
        </w:tc>
        <w:tc>
          <w:tcPr>
            <w:tcW w:w="1549" w:type="pct"/>
            <w:tcBorders>
              <w:right w:val="single" w:sz="4" w:space="0" w:color="auto"/>
            </w:tcBorders>
          </w:tcPr>
          <w:p w14:paraId="0F46DA1D" w14:textId="77777777" w:rsidR="005D5985" w:rsidRDefault="005D5985">
            <w:pPr>
              <w:pStyle w:val="TableText"/>
            </w:pPr>
            <w:r>
              <w:t>NR</w:t>
            </w:r>
          </w:p>
        </w:tc>
        <w:tc>
          <w:tcPr>
            <w:tcW w:w="2251" w:type="pct"/>
            <w:tcBorders>
              <w:left w:val="single" w:sz="4" w:space="0" w:color="auto"/>
            </w:tcBorders>
          </w:tcPr>
          <w:p w14:paraId="2C2A3D44" w14:textId="77777777" w:rsidR="005D5985" w:rsidRPr="00895230" w:rsidRDefault="005D5985">
            <w:pPr>
              <w:pStyle w:val="TableText"/>
            </w:pPr>
            <w:r w:rsidRPr="00895230">
              <w:t>k=1 (SR: low)</w:t>
            </w:r>
          </w:p>
          <w:p w14:paraId="6B7D230E" w14:textId="77777777" w:rsidR="005D5985" w:rsidRPr="00895230" w:rsidRDefault="005D5985">
            <w:pPr>
              <w:pStyle w:val="TableText"/>
            </w:pPr>
            <w:r w:rsidRPr="00895230">
              <w:t>Favours continuous nerve block (0 event vs neuraxial block 10-26%)</w:t>
            </w:r>
          </w:p>
        </w:tc>
      </w:tr>
      <w:tr w:rsidR="005D5985" w14:paraId="65F1379C" w14:textId="77777777" w:rsidTr="00D85574">
        <w:trPr>
          <w:trHeight w:val="327"/>
        </w:trPr>
        <w:tc>
          <w:tcPr>
            <w:tcW w:w="1200" w:type="pct"/>
          </w:tcPr>
          <w:p w14:paraId="1161A438" w14:textId="77777777" w:rsidR="005D5985" w:rsidRDefault="005D5985">
            <w:pPr>
              <w:pStyle w:val="TableText"/>
            </w:pPr>
            <w:r>
              <w:t>Hospital length of stay</w:t>
            </w:r>
          </w:p>
        </w:tc>
        <w:tc>
          <w:tcPr>
            <w:tcW w:w="1549" w:type="pct"/>
            <w:tcBorders>
              <w:right w:val="single" w:sz="4" w:space="0" w:color="auto"/>
            </w:tcBorders>
          </w:tcPr>
          <w:p w14:paraId="69E5A872" w14:textId="77777777" w:rsidR="005D5985" w:rsidRDefault="005D5985">
            <w:pPr>
              <w:pStyle w:val="TableText"/>
            </w:pPr>
            <w:r>
              <w:t>NR</w:t>
            </w:r>
          </w:p>
        </w:tc>
        <w:tc>
          <w:tcPr>
            <w:tcW w:w="2251" w:type="pct"/>
            <w:tcBorders>
              <w:left w:val="single" w:sz="4" w:space="0" w:color="auto"/>
            </w:tcBorders>
          </w:tcPr>
          <w:p w14:paraId="744FE1AD" w14:textId="4AA8BC9D" w:rsidR="005D5985" w:rsidRPr="00895230" w:rsidRDefault="005D5985">
            <w:pPr>
              <w:pStyle w:val="TableText"/>
            </w:pPr>
            <w:r w:rsidRPr="00895230">
              <w:t xml:space="preserve">k=3 (SRs: </w:t>
            </w:r>
            <w:r w:rsidRPr="00D059DF">
              <w:t>critically low</w:t>
            </w:r>
            <w:r w:rsidRPr="00895230">
              <w:t>, low and high)</w:t>
            </w:r>
          </w:p>
          <w:p w14:paraId="37918D94" w14:textId="77777777" w:rsidR="005D5985" w:rsidRPr="00895230" w:rsidRDefault="005D5985">
            <w:pPr>
              <w:pStyle w:val="TableText"/>
            </w:pPr>
            <w:r w:rsidRPr="00895230">
              <w:t xml:space="preserve">No statistically significant difference </w:t>
            </w:r>
          </w:p>
        </w:tc>
      </w:tr>
    </w:tbl>
    <w:p w14:paraId="71EF5B7F" w14:textId="77777777" w:rsidR="005D5985" w:rsidRDefault="005D5985" w:rsidP="005D5985">
      <w:pPr>
        <w:pStyle w:val="TableFooter"/>
      </w:pPr>
      <w:r w:rsidRPr="009D38CE">
        <w:rPr>
          <w:b/>
          <w:bCs/>
        </w:rPr>
        <w:t>Abbreviations</w:t>
      </w:r>
      <w:r>
        <w:t xml:space="preserve">: </w:t>
      </w:r>
      <w:r w:rsidRPr="00BA7049">
        <w:rPr>
          <w:b/>
          <w:bCs/>
        </w:rPr>
        <w:t>GRADE</w:t>
      </w:r>
      <w:r>
        <w:t xml:space="preserve"> = Grading of Recommendations Assessment, Development and Evaluation; </w:t>
      </w:r>
      <w:r w:rsidRPr="00FB6572">
        <w:rPr>
          <w:b/>
          <w:bCs/>
        </w:rPr>
        <w:t xml:space="preserve">k </w:t>
      </w:r>
      <w:r>
        <w:t xml:space="preserve">= number of studies; </w:t>
      </w:r>
      <w:r w:rsidRPr="00FB6572">
        <w:rPr>
          <w:b/>
          <w:bCs/>
        </w:rPr>
        <w:t xml:space="preserve">NR </w:t>
      </w:r>
      <w:r>
        <w:t xml:space="preserve">= not reported; </w:t>
      </w:r>
      <w:r w:rsidRPr="00FB6572">
        <w:rPr>
          <w:b/>
          <w:bCs/>
        </w:rPr>
        <w:t xml:space="preserve">RoB </w:t>
      </w:r>
      <w:r>
        <w:t xml:space="preserve">= risk of bias; </w:t>
      </w:r>
      <w:r w:rsidRPr="00FB6572">
        <w:rPr>
          <w:b/>
          <w:bCs/>
        </w:rPr>
        <w:t xml:space="preserve">SR </w:t>
      </w:r>
      <w:r>
        <w:t>= systematic review</w:t>
      </w:r>
    </w:p>
    <w:p w14:paraId="4657FE5F" w14:textId="4ADD52E6" w:rsidR="005D5985" w:rsidRDefault="005D5985" w:rsidP="005D5985">
      <w:pPr>
        <w:pStyle w:val="TableFooter"/>
      </w:pPr>
      <w:r w:rsidRPr="009D38CE">
        <w:rPr>
          <w:b/>
          <w:bCs/>
        </w:rPr>
        <w:t>Notes</w:t>
      </w:r>
      <w:r>
        <w:t>:</w:t>
      </w:r>
      <w:r w:rsidR="00FF2645">
        <w:rPr>
          <w:b/>
          <w:bCs/>
        </w:rPr>
        <w:t xml:space="preserve"> </w:t>
      </w:r>
      <w:r w:rsidRPr="009D38CE">
        <w:rPr>
          <w:b/>
          <w:bCs/>
        </w:rPr>
        <w:t>a</w:t>
      </w:r>
      <w:r>
        <w:t xml:space="preserve"> =</w:t>
      </w:r>
      <w:r w:rsidRPr="009D38CE">
        <w:t xml:space="preserve"> </w:t>
      </w:r>
      <w:r>
        <w:t xml:space="preserve">Statistically significant results in favour of neuraxial block—when postoperative pain was assessed in motion, </w:t>
      </w:r>
      <w:r w:rsidRPr="00BB50F7">
        <w:t>or according to surgical types, specific continuous nerve blocks</w:t>
      </w:r>
      <w:r>
        <w:t xml:space="preserve"> or</w:t>
      </w:r>
      <w:r w:rsidRPr="00BB50F7">
        <w:t xml:space="preserve"> regular NSAID</w:t>
      </w:r>
      <w:r>
        <w:t xml:space="preserve"> use—were reported in some SRs but not confirmed by other SRs assessing the same criteria. </w:t>
      </w:r>
    </w:p>
    <w:p w14:paraId="2BD7A59F" w14:textId="6D4FAB4F" w:rsidR="005D5985" w:rsidRDefault="005D5985" w:rsidP="005D5985">
      <w:pPr>
        <w:pStyle w:val="TableFooter"/>
      </w:pPr>
      <w:r>
        <w:rPr>
          <w:b/>
          <w:bCs/>
        </w:rPr>
        <w:t>b</w:t>
      </w:r>
      <w:r>
        <w:t xml:space="preserve"> = Overall quality scores were appraised using the AMSTAR-2 critical appraisal tool.</w:t>
      </w:r>
    </w:p>
    <w:p w14:paraId="085D7E53" w14:textId="6434B05C" w:rsidR="00FF2645" w:rsidRDefault="00FF2645" w:rsidP="005D5985">
      <w:pPr>
        <w:pStyle w:val="TableFooter"/>
      </w:pPr>
      <w:r>
        <w:t>Source: DCAR Table 12</w:t>
      </w:r>
    </w:p>
    <w:p w14:paraId="0AF9850E" w14:textId="77777777" w:rsidR="005D5985" w:rsidRPr="00E036FE" w:rsidRDefault="005D5985" w:rsidP="005D5985">
      <w:pPr>
        <w:tabs>
          <w:tab w:val="left" w:pos="720"/>
          <w:tab w:val="left" w:pos="1140"/>
        </w:tabs>
        <w:spacing w:before="360" w:after="120"/>
        <w:rPr>
          <w:rFonts w:ascii="Franklin Gothic Book" w:hAnsi="Franklin Gothic Book"/>
          <w:b/>
          <w:bCs/>
          <w:sz w:val="24"/>
          <w:szCs w:val="24"/>
        </w:rPr>
      </w:pPr>
      <w:r w:rsidRPr="00E036FE">
        <w:rPr>
          <w:rFonts w:ascii="Franklin Gothic Book" w:hAnsi="Franklin Gothic Book"/>
          <w:b/>
          <w:bCs/>
          <w:sz w:val="24"/>
          <w:szCs w:val="24"/>
        </w:rPr>
        <w:t>Clinical claim</w:t>
      </w:r>
    </w:p>
    <w:p w14:paraId="217217B8" w14:textId="77777777" w:rsidR="005D5985" w:rsidRPr="00E036FE" w:rsidRDefault="005D5985" w:rsidP="005D5985">
      <w:pPr>
        <w:rPr>
          <w:rFonts w:ascii="Franklin Gothic Book" w:hAnsi="Franklin Gothic Book"/>
          <w:color w:val="000000" w:themeColor="text1"/>
        </w:rPr>
      </w:pPr>
      <w:r w:rsidRPr="00E036FE">
        <w:rPr>
          <w:rFonts w:ascii="Franklin Gothic Book" w:hAnsi="Franklin Gothic Book"/>
        </w:rPr>
        <w:t xml:space="preserve">The clinical claim of </w:t>
      </w:r>
      <w:r w:rsidRPr="00E036FE">
        <w:rPr>
          <w:rFonts w:ascii="Franklin Gothic Book" w:hAnsi="Franklin Gothic Book"/>
          <w:b/>
          <w:bCs/>
        </w:rPr>
        <w:t>superior effectiveness</w:t>
      </w:r>
      <w:r w:rsidRPr="00E036FE">
        <w:rPr>
          <w:rFonts w:ascii="Franklin Gothic Book" w:hAnsi="Franklin Gothic Book"/>
        </w:rPr>
        <w:t xml:space="preserve">, based on </w:t>
      </w:r>
      <w:r w:rsidRPr="00E036FE">
        <w:rPr>
          <w:rFonts w:ascii="Franklin Gothic Book" w:hAnsi="Franklin Gothic Book"/>
          <w:b/>
          <w:bCs/>
        </w:rPr>
        <w:t xml:space="preserve">uncertain </w:t>
      </w:r>
      <w:r w:rsidRPr="00E036FE">
        <w:rPr>
          <w:rFonts w:ascii="Franklin Gothic Book" w:hAnsi="Franklin Gothic Book"/>
        </w:rPr>
        <w:t xml:space="preserve">evidence, and </w:t>
      </w:r>
      <w:r w:rsidRPr="00E036FE">
        <w:rPr>
          <w:rFonts w:ascii="Franklin Gothic Book" w:hAnsi="Franklin Gothic Book"/>
          <w:b/>
          <w:bCs/>
        </w:rPr>
        <w:t xml:space="preserve">non-inferior safety </w:t>
      </w:r>
      <w:r w:rsidRPr="00E036FE">
        <w:rPr>
          <w:rFonts w:ascii="Franklin Gothic Book" w:hAnsi="Franklin Gothic Book"/>
        </w:rPr>
        <w:t>was supported for continuous peripheral nerve block relative to a single-injection nerve block</w:t>
      </w:r>
      <w:r w:rsidRPr="00E036FE">
        <w:rPr>
          <w:rFonts w:ascii="Franklin Gothic Book" w:hAnsi="Franklin Gothic Book"/>
          <w:color w:val="000000" w:themeColor="text1"/>
        </w:rPr>
        <w:t xml:space="preserve"> in patients undergoing knee surgery associated with moderate to severe postoperative pain expected to last 12 hours or longer.</w:t>
      </w:r>
    </w:p>
    <w:p w14:paraId="3104B913" w14:textId="77777777" w:rsidR="005D5985" w:rsidRPr="00E036FE" w:rsidRDefault="005D5985" w:rsidP="005D5985">
      <w:pPr>
        <w:rPr>
          <w:rFonts w:ascii="Franklin Gothic Book" w:hAnsi="Franklin Gothic Book"/>
          <w:color w:val="000000" w:themeColor="text1"/>
        </w:rPr>
      </w:pPr>
      <w:r w:rsidRPr="00E036FE">
        <w:rPr>
          <w:rFonts w:ascii="Franklin Gothic Book" w:hAnsi="Franklin Gothic Book"/>
        </w:rPr>
        <w:t xml:space="preserve">The evidence suggests that continuous peripheral nerve block has </w:t>
      </w:r>
      <w:r w:rsidRPr="00E036FE">
        <w:rPr>
          <w:rFonts w:ascii="Franklin Gothic Book" w:hAnsi="Franklin Gothic Book"/>
          <w:b/>
          <w:bCs/>
        </w:rPr>
        <w:t xml:space="preserve">superior effectiveness </w:t>
      </w:r>
      <w:r w:rsidRPr="00E036FE">
        <w:rPr>
          <w:rFonts w:ascii="Franklin Gothic Book" w:hAnsi="Franklin Gothic Book"/>
        </w:rPr>
        <w:t xml:space="preserve">(based on </w:t>
      </w:r>
      <w:r w:rsidRPr="00E036FE">
        <w:rPr>
          <w:rFonts w:ascii="Franklin Gothic Book" w:hAnsi="Franklin Gothic Book"/>
          <w:b/>
          <w:bCs/>
        </w:rPr>
        <w:t>uncertain</w:t>
      </w:r>
      <w:r w:rsidRPr="00E036FE">
        <w:rPr>
          <w:rFonts w:ascii="Franklin Gothic Book" w:hAnsi="Franklin Gothic Book"/>
        </w:rPr>
        <w:t xml:space="preserve"> evidence) and </w:t>
      </w:r>
      <w:r w:rsidRPr="00E036FE">
        <w:rPr>
          <w:rFonts w:ascii="Franklin Gothic Book" w:hAnsi="Franklin Gothic Book"/>
          <w:b/>
          <w:bCs/>
        </w:rPr>
        <w:t>non-inferior safety</w:t>
      </w:r>
      <w:r w:rsidRPr="00E036FE">
        <w:rPr>
          <w:rFonts w:ascii="Franklin Gothic Book" w:hAnsi="Franklin Gothic Book"/>
        </w:rPr>
        <w:t xml:space="preserve"> relative to systemic opioids</w:t>
      </w:r>
      <w:r w:rsidRPr="00E036FE">
        <w:rPr>
          <w:rFonts w:ascii="Franklin Gothic Book" w:hAnsi="Franklin Gothic Book"/>
          <w:color w:val="000000" w:themeColor="text1"/>
        </w:rPr>
        <w:t xml:space="preserve"> in patients undergoing knee surgery associated with moderate to severe postoperative pain expected to last 12 hours or longer.</w:t>
      </w:r>
    </w:p>
    <w:p w14:paraId="1D3CCF78" w14:textId="77777777" w:rsidR="005D5985" w:rsidRPr="00E036FE" w:rsidRDefault="005D5985" w:rsidP="005D5985">
      <w:pPr>
        <w:rPr>
          <w:rFonts w:ascii="Franklin Gothic Book" w:hAnsi="Franklin Gothic Book"/>
          <w:color w:val="000000" w:themeColor="text1"/>
        </w:rPr>
      </w:pPr>
      <w:r w:rsidRPr="00E036FE">
        <w:rPr>
          <w:rFonts w:ascii="Franklin Gothic Book" w:hAnsi="Franklin Gothic Book"/>
        </w:rPr>
        <w:lastRenderedPageBreak/>
        <w:t>There was insufficient evidence to draw conclusions on the relative effectiveness and safety of continuous peripheral nerve block relative to a neuraxial nerve block</w:t>
      </w:r>
      <w:r w:rsidRPr="00E036FE">
        <w:rPr>
          <w:rFonts w:ascii="Franklin Gothic Book" w:hAnsi="Franklin Gothic Book"/>
          <w:color w:val="000000" w:themeColor="text1"/>
        </w:rPr>
        <w:t xml:space="preserve"> in patients undergoing knee surgery associated with moderate to severe postoperative pain expected to last 12 hours or longer.</w:t>
      </w:r>
    </w:p>
    <w:p w14:paraId="40EFDF99" w14:textId="5A8F2A37" w:rsidR="005D5985" w:rsidRPr="00306E38" w:rsidRDefault="005D5985" w:rsidP="005D5985">
      <w:pPr>
        <w:pStyle w:val="Heading2"/>
        <w:numPr>
          <w:ilvl w:val="0"/>
          <w:numId w:val="0"/>
        </w:numPr>
        <w:ind w:left="576" w:hanging="576"/>
      </w:pPr>
      <w:bookmarkStart w:id="42" w:name="_Toc150966060"/>
      <w:bookmarkStart w:id="43" w:name="_Toc153401636"/>
      <w:r w:rsidRPr="00306E38">
        <w:t>1</w:t>
      </w:r>
      <w:r w:rsidR="00EE61CE">
        <w:t>3</w:t>
      </w:r>
      <w:r w:rsidRPr="00306E38">
        <w:t>.</w:t>
      </w:r>
      <w:r w:rsidRPr="00306E38">
        <w:tab/>
        <w:t>Economic evaluation</w:t>
      </w:r>
      <w:bookmarkEnd w:id="42"/>
      <w:bookmarkEnd w:id="43"/>
    </w:p>
    <w:p w14:paraId="4D61C27A" w14:textId="77777777" w:rsidR="005D5985" w:rsidRPr="00DA5E35" w:rsidRDefault="005D5985" w:rsidP="005D5985">
      <w:pPr>
        <w:rPr>
          <w:rFonts w:ascii="Franklin Gothic Book" w:hAnsi="Franklin Gothic Book"/>
          <w:b/>
          <w:bCs/>
          <w:sz w:val="24"/>
          <w:szCs w:val="24"/>
        </w:rPr>
      </w:pPr>
      <w:r w:rsidRPr="00DA5E35">
        <w:rPr>
          <w:rFonts w:ascii="Franklin Gothic Book" w:hAnsi="Franklin Gothic Book"/>
          <w:b/>
          <w:bCs/>
          <w:sz w:val="24"/>
          <w:szCs w:val="24"/>
        </w:rPr>
        <w:t>Methods</w:t>
      </w:r>
    </w:p>
    <w:p w14:paraId="3A6EB09E" w14:textId="77777777" w:rsidR="005D5985" w:rsidRPr="00DA5E35" w:rsidRDefault="005D5985" w:rsidP="005D5985">
      <w:pPr>
        <w:rPr>
          <w:rFonts w:ascii="Franklin Gothic Book" w:hAnsi="Franklin Gothic Book"/>
        </w:rPr>
      </w:pPr>
      <w:r w:rsidRPr="00DA5E35">
        <w:rPr>
          <w:rFonts w:ascii="Franklin Gothic Book" w:hAnsi="Franklin Gothic Book"/>
        </w:rPr>
        <w:t>An economic evaluation in the form of a cost-effectiveness analysis (CEA) was conducted to determine the value of continuous nerve block for the treatment of postoperative pain in adult patients. A CEA was selected based on the claim of superior clinical effectiveness of continuous nerve block when compared to a single-injection nerve block presented in the ratified PICO (based on the relative duration of analgesia a continuous block can provide). The clinical assessment found continuous nerve block to be associated with statistically and clinically significant improvements in pain relative to single-injection nerve block at 48 hours post-surgery and clinically significant reductions in opioid consumption.</w:t>
      </w:r>
    </w:p>
    <w:p w14:paraId="437A5F43" w14:textId="77777777" w:rsidR="005D5985" w:rsidRPr="00DA5E35" w:rsidRDefault="005D5985" w:rsidP="005D5985">
      <w:pPr>
        <w:rPr>
          <w:rFonts w:ascii="Franklin Gothic Book" w:hAnsi="Franklin Gothic Book"/>
        </w:rPr>
      </w:pPr>
      <w:r w:rsidRPr="00DA5E35">
        <w:rPr>
          <w:rFonts w:ascii="Franklin Gothic Book" w:hAnsi="Franklin Gothic Book"/>
        </w:rPr>
        <w:t>In its review of application 1308 (Local anaesthetic nerve blockade for post-surgical analgesia), MSAC expressed concern at the lack of patient-centred outcomes in the economic modelling and noted that the inclusion of information about the impact of nerve blocks upon pain in an economic model was key to its decision-making. The model presented in this department-contracted assessment report (DCAR) estimated the cost per one-unit improvement in pain (measured via VAS) as an incremental cost-effectiveness ratio (ICER). No evidence on the impact of continuous nerve block on broader aspects of quality of life, nor on reduced opioid dependence, was identified. Translation into a cost-utility analysis (CUA) was considered infeasible.</w:t>
      </w:r>
    </w:p>
    <w:p w14:paraId="48A55A37" w14:textId="77777777" w:rsidR="005D5985" w:rsidRPr="00DA5E35" w:rsidRDefault="005D5985" w:rsidP="005D5985">
      <w:pPr>
        <w:rPr>
          <w:rFonts w:ascii="Franklin Gothic Book" w:hAnsi="Franklin Gothic Book"/>
        </w:rPr>
      </w:pPr>
      <w:r w:rsidRPr="00DA5E35">
        <w:rPr>
          <w:rFonts w:ascii="Franklin Gothic Book" w:hAnsi="Franklin Gothic Book"/>
        </w:rPr>
        <w:t>Due to the large variety of surgical procedures where both continuous and single-injection nerve block can be applied, only orthopaedic knee surgeries—which are common elective orthopaedic procedures</w:t>
      </w:r>
      <w:r w:rsidRPr="00DA5E35">
        <w:rPr>
          <w:rStyle w:val="FootnoteReference"/>
          <w:rFonts w:ascii="Franklin Gothic Book" w:hAnsi="Franklin Gothic Book"/>
        </w:rPr>
        <w:footnoteReference w:id="19"/>
      </w:r>
      <w:r w:rsidRPr="00DA5E35">
        <w:rPr>
          <w:rFonts w:ascii="Franklin Gothic Book" w:hAnsi="Franklin Gothic Book"/>
        </w:rPr>
        <w:t xml:space="preserve">—were considered for the base case of the economic evaluation. </w:t>
      </w:r>
    </w:p>
    <w:p w14:paraId="0A82D7C2" w14:textId="7FA37414" w:rsidR="005D5985" w:rsidRPr="00DA5E35" w:rsidRDefault="005D5985" w:rsidP="005D5985">
      <w:pPr>
        <w:rPr>
          <w:rFonts w:ascii="Franklin Gothic Book" w:hAnsi="Franklin Gothic Book"/>
        </w:rPr>
      </w:pPr>
      <w:r w:rsidRPr="00DA5E35">
        <w:rPr>
          <w:rFonts w:ascii="Franklin Gothic Book" w:hAnsi="Franklin Gothic Book"/>
        </w:rPr>
        <w:t xml:space="preserve">A review of the existing economic literature on the topic identified existing cost comparisons (k = 5); however, no existing CEAs or CUAs were identified. A de novo decision tree model—based on the Australian treatment algorithms provided in the ratified PICO—was developed to estimate the ICER. The decision tree structure (depicted visually in the main body of the report) included probabilities relating to the need for rescue opioids, risk of catheter complications and/or failure (or risk of injection failure for single-injection nerve block), and patient experience of nausea or vomiting. An overview of key model characteristics is detailed in </w:t>
      </w:r>
      <w:r w:rsidRPr="00DA5E35">
        <w:rPr>
          <w:rFonts w:ascii="Franklin Gothic Book" w:hAnsi="Franklin Gothic Book"/>
        </w:rPr>
        <w:fldChar w:fldCharType="begin"/>
      </w:r>
      <w:r w:rsidRPr="00DA5E35">
        <w:rPr>
          <w:rFonts w:ascii="Franklin Gothic Book" w:hAnsi="Franklin Gothic Book"/>
        </w:rPr>
        <w:instrText xml:space="preserve"> REF _Ref150937871 \h  \* MERGEFORMAT </w:instrText>
      </w:r>
      <w:r w:rsidRPr="00DA5E35">
        <w:rPr>
          <w:rFonts w:ascii="Franklin Gothic Book" w:hAnsi="Franklin Gothic Book"/>
        </w:rPr>
      </w:r>
      <w:r w:rsidRPr="00DA5E35">
        <w:rPr>
          <w:rFonts w:ascii="Franklin Gothic Book" w:hAnsi="Franklin Gothic Book"/>
        </w:rPr>
        <w:fldChar w:fldCharType="separate"/>
      </w:r>
      <w:r w:rsidR="002C38EC" w:rsidRPr="002C38EC">
        <w:rPr>
          <w:rFonts w:ascii="Franklin Gothic Book" w:hAnsi="Franklin Gothic Book"/>
        </w:rPr>
        <w:t>Table 14</w:t>
      </w:r>
      <w:r w:rsidRPr="00DA5E35">
        <w:rPr>
          <w:rFonts w:ascii="Franklin Gothic Book" w:hAnsi="Franklin Gothic Book"/>
        </w:rPr>
        <w:fldChar w:fldCharType="end"/>
      </w:r>
      <w:r w:rsidRPr="00DA5E35">
        <w:rPr>
          <w:rFonts w:ascii="Franklin Gothic Book" w:hAnsi="Franklin Gothic Book"/>
        </w:rPr>
        <w:t>.</w:t>
      </w:r>
    </w:p>
    <w:p w14:paraId="589BF6E8" w14:textId="5185E407" w:rsidR="005D5985" w:rsidRPr="00306E38" w:rsidRDefault="005D5985" w:rsidP="005D5985">
      <w:pPr>
        <w:pStyle w:val="Caption"/>
      </w:pPr>
      <w:bookmarkStart w:id="44" w:name="_Ref150937871"/>
      <w:r w:rsidRPr="00306E38">
        <w:lastRenderedPageBreak/>
        <w:t>Table </w:t>
      </w:r>
      <w:r>
        <w:fldChar w:fldCharType="begin"/>
      </w:r>
      <w:r>
        <w:instrText>SEQ Table \* ARABIC</w:instrText>
      </w:r>
      <w:r>
        <w:fldChar w:fldCharType="separate"/>
      </w:r>
      <w:r w:rsidR="00210D50">
        <w:rPr>
          <w:noProof/>
        </w:rPr>
        <w:t>14</w:t>
      </w:r>
      <w:r>
        <w:fldChar w:fldCharType="end"/>
      </w:r>
      <w:bookmarkEnd w:id="44"/>
      <w:r w:rsidRPr="00306E38">
        <w:tab/>
        <w:t xml:space="preserve">Summary of the economic evaluation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ummary of the economic evaluation "/>
        <w:tblDescription w:val="This table describes the key constructs of the economic evaluation that is provided in the assessment report."/>
      </w:tblPr>
      <w:tblGrid>
        <w:gridCol w:w="2615"/>
        <w:gridCol w:w="6401"/>
      </w:tblGrid>
      <w:tr w:rsidR="005D5985" w:rsidRPr="00306E38" w14:paraId="786B0BEC" w14:textId="77777777">
        <w:tc>
          <w:tcPr>
            <w:tcW w:w="1450" w:type="pct"/>
            <w:shd w:val="clear" w:color="auto" w:fill="auto"/>
          </w:tcPr>
          <w:p w14:paraId="725BFC6B" w14:textId="77777777" w:rsidR="005D5985" w:rsidRPr="00306E38" w:rsidRDefault="005D5985">
            <w:pPr>
              <w:pStyle w:val="TableText"/>
              <w:keepNext/>
              <w:rPr>
                <w:rFonts w:cs="Courier New"/>
                <w:b/>
                <w:bCs/>
                <w:szCs w:val="20"/>
              </w:rPr>
            </w:pPr>
            <w:r w:rsidRPr="00306E38">
              <w:rPr>
                <w:rFonts w:cs="Courier New"/>
                <w:b/>
                <w:bCs/>
                <w:szCs w:val="20"/>
              </w:rPr>
              <w:t>Perspective</w:t>
            </w:r>
          </w:p>
        </w:tc>
        <w:tc>
          <w:tcPr>
            <w:tcW w:w="3550" w:type="pct"/>
          </w:tcPr>
          <w:p w14:paraId="4DEF826A" w14:textId="77777777" w:rsidR="005D5985" w:rsidRPr="00306E38" w:rsidRDefault="005D5985">
            <w:pPr>
              <w:pStyle w:val="TableText"/>
              <w:keepNext/>
              <w:rPr>
                <w:rFonts w:cs="Courier New"/>
                <w:szCs w:val="20"/>
              </w:rPr>
            </w:pPr>
            <w:r w:rsidRPr="00306E38">
              <w:rPr>
                <w:rFonts w:cs="Courier New"/>
                <w:szCs w:val="20"/>
              </w:rPr>
              <w:t>Australian healthcare system</w:t>
            </w:r>
          </w:p>
        </w:tc>
      </w:tr>
      <w:tr w:rsidR="005D5985" w:rsidRPr="00306E38" w14:paraId="2DF48D7A" w14:textId="77777777">
        <w:trPr>
          <w:tblHeader/>
        </w:trPr>
        <w:tc>
          <w:tcPr>
            <w:tcW w:w="1450" w:type="pct"/>
            <w:shd w:val="clear" w:color="auto" w:fill="auto"/>
          </w:tcPr>
          <w:p w14:paraId="3DB560C2" w14:textId="77777777" w:rsidR="005D5985" w:rsidRPr="00306E38" w:rsidRDefault="005D5985">
            <w:pPr>
              <w:pStyle w:val="TableText"/>
              <w:keepNext/>
              <w:rPr>
                <w:rFonts w:cs="Courier New"/>
                <w:b/>
                <w:bCs/>
                <w:szCs w:val="20"/>
              </w:rPr>
            </w:pPr>
            <w:r w:rsidRPr="00306E38">
              <w:rPr>
                <w:rFonts w:cs="Courier New"/>
                <w:b/>
                <w:bCs/>
                <w:szCs w:val="20"/>
              </w:rPr>
              <w:t>Population</w:t>
            </w:r>
          </w:p>
        </w:tc>
        <w:tc>
          <w:tcPr>
            <w:tcW w:w="3550" w:type="pct"/>
          </w:tcPr>
          <w:p w14:paraId="724DCE69" w14:textId="77777777" w:rsidR="005D5985" w:rsidRPr="00306E38" w:rsidRDefault="005D5985">
            <w:pPr>
              <w:pStyle w:val="TableText"/>
              <w:keepNext/>
              <w:rPr>
                <w:rFonts w:cs="Courier New"/>
                <w:color w:val="258221"/>
                <w:szCs w:val="20"/>
              </w:rPr>
            </w:pPr>
            <w:r w:rsidRPr="00306E38">
              <w:rPr>
                <w:rFonts w:cs="Courier New"/>
                <w:color w:val="000000" w:themeColor="text1"/>
                <w:szCs w:val="20"/>
              </w:rPr>
              <w:t>Adults (≥18 years) undergoing orthopaedic knee surgery</w:t>
            </w:r>
          </w:p>
        </w:tc>
      </w:tr>
      <w:tr w:rsidR="005D5985" w:rsidRPr="00306E38" w14:paraId="1FD115F1" w14:textId="77777777">
        <w:tc>
          <w:tcPr>
            <w:tcW w:w="1450" w:type="pct"/>
            <w:shd w:val="clear" w:color="auto" w:fill="auto"/>
          </w:tcPr>
          <w:p w14:paraId="19E45A90" w14:textId="77777777" w:rsidR="005D5985" w:rsidRPr="00306E38" w:rsidRDefault="005D5985">
            <w:pPr>
              <w:pStyle w:val="TableText"/>
              <w:keepNext/>
              <w:rPr>
                <w:rFonts w:cs="Courier New"/>
                <w:b/>
                <w:bCs/>
                <w:szCs w:val="20"/>
              </w:rPr>
            </w:pPr>
            <w:r w:rsidRPr="00306E38">
              <w:rPr>
                <w:rFonts w:cs="Courier New"/>
                <w:b/>
                <w:bCs/>
                <w:szCs w:val="20"/>
              </w:rPr>
              <w:t xml:space="preserve">Intervention </w:t>
            </w:r>
          </w:p>
        </w:tc>
        <w:tc>
          <w:tcPr>
            <w:tcW w:w="3550" w:type="pct"/>
          </w:tcPr>
          <w:p w14:paraId="68730699" w14:textId="77777777" w:rsidR="005D5985" w:rsidRPr="00306E38" w:rsidRDefault="005D5985">
            <w:pPr>
              <w:pStyle w:val="TableText"/>
              <w:keepNext/>
              <w:rPr>
                <w:rFonts w:cs="Courier New"/>
                <w:szCs w:val="20"/>
              </w:rPr>
            </w:pPr>
            <w:r w:rsidRPr="00306E38">
              <w:rPr>
                <w:rFonts w:cs="Courier New"/>
                <w:szCs w:val="20"/>
              </w:rPr>
              <w:t xml:space="preserve">Continuous nerve block for postoperative pain </w:t>
            </w:r>
          </w:p>
        </w:tc>
      </w:tr>
      <w:tr w:rsidR="005D5985" w:rsidRPr="00306E38" w14:paraId="24625EB6" w14:textId="77777777">
        <w:tc>
          <w:tcPr>
            <w:tcW w:w="1450" w:type="pct"/>
            <w:shd w:val="clear" w:color="auto" w:fill="auto"/>
          </w:tcPr>
          <w:p w14:paraId="334389C8" w14:textId="77777777" w:rsidR="005D5985" w:rsidRPr="00306E38" w:rsidRDefault="005D5985">
            <w:pPr>
              <w:pStyle w:val="TableText"/>
              <w:keepNext/>
              <w:rPr>
                <w:rFonts w:cs="Courier New"/>
                <w:b/>
                <w:bCs/>
                <w:szCs w:val="20"/>
              </w:rPr>
            </w:pPr>
            <w:r w:rsidRPr="00306E38">
              <w:rPr>
                <w:rFonts w:cs="Courier New"/>
                <w:b/>
                <w:bCs/>
                <w:szCs w:val="20"/>
              </w:rPr>
              <w:t>Comparator</w:t>
            </w:r>
          </w:p>
        </w:tc>
        <w:tc>
          <w:tcPr>
            <w:tcW w:w="3550" w:type="pct"/>
          </w:tcPr>
          <w:p w14:paraId="41097F38" w14:textId="77777777" w:rsidR="005D5985" w:rsidRPr="00306E38" w:rsidRDefault="005D5985">
            <w:pPr>
              <w:pStyle w:val="TableText"/>
              <w:keepNext/>
              <w:rPr>
                <w:rFonts w:cs="Courier New"/>
                <w:szCs w:val="20"/>
              </w:rPr>
            </w:pPr>
            <w:r w:rsidRPr="00306E38">
              <w:rPr>
                <w:rFonts w:cs="Courier New"/>
                <w:szCs w:val="20"/>
              </w:rPr>
              <w:t>Single</w:t>
            </w:r>
            <w:r>
              <w:rPr>
                <w:rFonts w:cs="Courier New"/>
                <w:szCs w:val="20"/>
              </w:rPr>
              <w:t>-injection</w:t>
            </w:r>
            <w:r w:rsidRPr="00306E38">
              <w:rPr>
                <w:rFonts w:cs="Courier New"/>
                <w:szCs w:val="20"/>
              </w:rPr>
              <w:t xml:space="preserve"> nerve block</w:t>
            </w:r>
          </w:p>
        </w:tc>
      </w:tr>
      <w:tr w:rsidR="005D5985" w:rsidRPr="00306E38" w14:paraId="48EC82D4" w14:textId="77777777">
        <w:tc>
          <w:tcPr>
            <w:tcW w:w="1450" w:type="pct"/>
            <w:shd w:val="clear" w:color="auto" w:fill="auto"/>
          </w:tcPr>
          <w:p w14:paraId="6CD83E03" w14:textId="77777777" w:rsidR="005D5985" w:rsidRPr="00306E38" w:rsidRDefault="005D5985">
            <w:pPr>
              <w:pStyle w:val="TableText"/>
              <w:keepNext/>
              <w:rPr>
                <w:rFonts w:cs="Courier New"/>
                <w:b/>
                <w:bCs/>
                <w:szCs w:val="20"/>
              </w:rPr>
            </w:pPr>
            <w:r w:rsidRPr="00306E38">
              <w:rPr>
                <w:rFonts w:cs="Courier New"/>
                <w:b/>
                <w:bCs/>
                <w:szCs w:val="20"/>
              </w:rPr>
              <w:t>Type(s) of analysis</w:t>
            </w:r>
          </w:p>
        </w:tc>
        <w:tc>
          <w:tcPr>
            <w:tcW w:w="3550" w:type="pct"/>
          </w:tcPr>
          <w:p w14:paraId="3ECFE762" w14:textId="77777777" w:rsidR="005D5985" w:rsidRPr="00306E38" w:rsidRDefault="005D5985">
            <w:pPr>
              <w:pStyle w:val="TableText"/>
              <w:keepNext/>
              <w:rPr>
                <w:rFonts w:cs="Courier New"/>
                <w:szCs w:val="20"/>
              </w:rPr>
            </w:pPr>
            <w:r w:rsidRPr="00306E38">
              <w:rPr>
                <w:rFonts w:cs="Courier New"/>
                <w:szCs w:val="20"/>
              </w:rPr>
              <w:t xml:space="preserve">Cost-effectiveness analysis </w:t>
            </w:r>
          </w:p>
        </w:tc>
      </w:tr>
      <w:tr w:rsidR="005D5985" w:rsidRPr="00306E38" w14:paraId="3C22F0BD" w14:textId="77777777">
        <w:tc>
          <w:tcPr>
            <w:tcW w:w="1450" w:type="pct"/>
            <w:shd w:val="clear" w:color="auto" w:fill="auto"/>
          </w:tcPr>
          <w:p w14:paraId="3463CBE5" w14:textId="77777777" w:rsidR="005D5985" w:rsidRPr="00306E38" w:rsidRDefault="005D5985">
            <w:pPr>
              <w:pStyle w:val="TableText"/>
              <w:keepNext/>
              <w:rPr>
                <w:rFonts w:cs="Courier New"/>
                <w:b/>
                <w:bCs/>
                <w:szCs w:val="20"/>
              </w:rPr>
            </w:pPr>
            <w:r w:rsidRPr="00306E38">
              <w:rPr>
                <w:rFonts w:cs="Courier New"/>
                <w:b/>
                <w:bCs/>
                <w:szCs w:val="20"/>
              </w:rPr>
              <w:t>Outcome</w:t>
            </w:r>
          </w:p>
        </w:tc>
        <w:tc>
          <w:tcPr>
            <w:tcW w:w="3550" w:type="pct"/>
          </w:tcPr>
          <w:p w14:paraId="7391D19A" w14:textId="77777777" w:rsidR="005D5985" w:rsidRPr="00306E38" w:rsidRDefault="005D5985">
            <w:pPr>
              <w:pStyle w:val="TableText"/>
              <w:keepNext/>
              <w:rPr>
                <w:rFonts w:cs="Courier New"/>
                <w:szCs w:val="20"/>
              </w:rPr>
            </w:pPr>
            <w:r w:rsidRPr="00306E38">
              <w:rPr>
                <w:rFonts w:cs="Courier New"/>
                <w:szCs w:val="20"/>
              </w:rPr>
              <w:t>Improvement in postoperative pain</w:t>
            </w:r>
          </w:p>
        </w:tc>
      </w:tr>
      <w:tr w:rsidR="005D5985" w:rsidRPr="00306E38" w14:paraId="43CB54F0" w14:textId="77777777">
        <w:tc>
          <w:tcPr>
            <w:tcW w:w="1450" w:type="pct"/>
            <w:shd w:val="clear" w:color="auto" w:fill="auto"/>
          </w:tcPr>
          <w:p w14:paraId="237A5CCD" w14:textId="77777777" w:rsidR="005D5985" w:rsidRPr="00306E38" w:rsidRDefault="005D5985">
            <w:pPr>
              <w:pStyle w:val="TableText"/>
              <w:keepNext/>
              <w:rPr>
                <w:rFonts w:cs="Courier New"/>
                <w:b/>
                <w:bCs/>
                <w:szCs w:val="20"/>
              </w:rPr>
            </w:pPr>
            <w:r w:rsidRPr="00306E38">
              <w:rPr>
                <w:rFonts w:cs="Courier New"/>
                <w:b/>
                <w:bCs/>
                <w:szCs w:val="20"/>
              </w:rPr>
              <w:t>Time horizon</w:t>
            </w:r>
          </w:p>
        </w:tc>
        <w:tc>
          <w:tcPr>
            <w:tcW w:w="3550" w:type="pct"/>
          </w:tcPr>
          <w:p w14:paraId="2846EBA8" w14:textId="77777777" w:rsidR="005D5985" w:rsidRPr="00306E38" w:rsidRDefault="005D5985">
            <w:pPr>
              <w:pStyle w:val="TableText"/>
              <w:keepNext/>
              <w:rPr>
                <w:rFonts w:cs="Courier New"/>
                <w:szCs w:val="20"/>
              </w:rPr>
            </w:pPr>
            <w:r w:rsidRPr="00306E38">
              <w:rPr>
                <w:rFonts w:cs="Courier New"/>
                <w:szCs w:val="20"/>
              </w:rPr>
              <w:t>5 days</w:t>
            </w:r>
          </w:p>
        </w:tc>
      </w:tr>
      <w:tr w:rsidR="005D5985" w:rsidRPr="00306E38" w14:paraId="122AA322" w14:textId="77777777">
        <w:tc>
          <w:tcPr>
            <w:tcW w:w="1450" w:type="pct"/>
            <w:shd w:val="clear" w:color="auto" w:fill="auto"/>
          </w:tcPr>
          <w:p w14:paraId="6A864AE9" w14:textId="77777777" w:rsidR="005D5985" w:rsidRPr="00306E38" w:rsidRDefault="005D5985">
            <w:pPr>
              <w:pStyle w:val="TableText"/>
              <w:keepNext/>
              <w:rPr>
                <w:rFonts w:cs="Courier New"/>
                <w:b/>
                <w:bCs/>
                <w:szCs w:val="20"/>
              </w:rPr>
            </w:pPr>
            <w:r w:rsidRPr="00306E38">
              <w:rPr>
                <w:rFonts w:cs="Courier New"/>
                <w:b/>
                <w:bCs/>
                <w:szCs w:val="20"/>
              </w:rPr>
              <w:t>Computational method</w:t>
            </w:r>
          </w:p>
        </w:tc>
        <w:tc>
          <w:tcPr>
            <w:tcW w:w="3550" w:type="pct"/>
          </w:tcPr>
          <w:p w14:paraId="3CF4B0AD" w14:textId="77777777" w:rsidR="005D5985" w:rsidRPr="00306E38" w:rsidRDefault="005D5985">
            <w:pPr>
              <w:pStyle w:val="TableText"/>
              <w:keepNext/>
              <w:rPr>
                <w:rFonts w:cs="Courier New"/>
                <w:szCs w:val="20"/>
              </w:rPr>
            </w:pPr>
            <w:r w:rsidRPr="00306E38">
              <w:rPr>
                <w:rFonts w:cs="Courier New"/>
                <w:szCs w:val="20"/>
              </w:rPr>
              <w:t>Decision tree</w:t>
            </w:r>
          </w:p>
        </w:tc>
      </w:tr>
      <w:tr w:rsidR="005D5985" w:rsidRPr="00306E38" w14:paraId="05FE881F" w14:textId="77777777">
        <w:tc>
          <w:tcPr>
            <w:tcW w:w="1450" w:type="pct"/>
            <w:shd w:val="clear" w:color="auto" w:fill="auto"/>
          </w:tcPr>
          <w:p w14:paraId="08C1115E" w14:textId="77777777" w:rsidR="005D5985" w:rsidRPr="00D13B58" w:rsidRDefault="005D5985">
            <w:pPr>
              <w:pStyle w:val="TableText"/>
              <w:keepNext/>
              <w:rPr>
                <w:rFonts w:cs="Courier New"/>
                <w:b/>
                <w:szCs w:val="20"/>
              </w:rPr>
            </w:pPr>
            <w:r w:rsidRPr="00D13B58">
              <w:rPr>
                <w:rFonts w:cs="Courier New"/>
                <w:b/>
                <w:szCs w:val="20"/>
              </w:rPr>
              <w:t xml:space="preserve">Generation of base case </w:t>
            </w:r>
          </w:p>
        </w:tc>
        <w:tc>
          <w:tcPr>
            <w:tcW w:w="3550" w:type="pct"/>
          </w:tcPr>
          <w:p w14:paraId="71C3F798" w14:textId="77777777" w:rsidR="005D5985" w:rsidRPr="00306E38" w:rsidRDefault="005D5985">
            <w:pPr>
              <w:pStyle w:val="TableText"/>
              <w:keepNext/>
              <w:rPr>
                <w:rFonts w:cs="Courier New"/>
                <w:szCs w:val="20"/>
              </w:rPr>
            </w:pPr>
            <w:r w:rsidRPr="00306E38">
              <w:rPr>
                <w:rFonts w:cs="Courier New"/>
                <w:szCs w:val="20"/>
              </w:rPr>
              <w:t>Modelled (i.e. informed by meta-analyses conducted in</w:t>
            </w:r>
            <w:r>
              <w:rPr>
                <w:rFonts w:cs="Courier New"/>
                <w:szCs w:val="20"/>
              </w:rPr>
              <w:t xml:space="preserve"> the clinical assessment)</w:t>
            </w:r>
          </w:p>
        </w:tc>
      </w:tr>
      <w:tr w:rsidR="005D5985" w:rsidRPr="00306E38" w14:paraId="41FC6103" w14:textId="77777777">
        <w:tc>
          <w:tcPr>
            <w:tcW w:w="1450" w:type="pct"/>
            <w:shd w:val="clear" w:color="auto" w:fill="auto"/>
          </w:tcPr>
          <w:p w14:paraId="10B8B128" w14:textId="77777777" w:rsidR="005D5985" w:rsidRPr="00306E38" w:rsidRDefault="005D5985">
            <w:pPr>
              <w:pStyle w:val="TableText"/>
              <w:keepNext/>
              <w:rPr>
                <w:rFonts w:cs="Courier New"/>
                <w:b/>
                <w:bCs/>
                <w:szCs w:val="20"/>
              </w:rPr>
            </w:pPr>
            <w:r w:rsidRPr="00306E38">
              <w:rPr>
                <w:rFonts w:cs="Courier New"/>
                <w:b/>
                <w:bCs/>
                <w:szCs w:val="20"/>
              </w:rPr>
              <w:t>Discount rate</w:t>
            </w:r>
          </w:p>
        </w:tc>
        <w:tc>
          <w:tcPr>
            <w:tcW w:w="3550" w:type="pct"/>
          </w:tcPr>
          <w:p w14:paraId="1870FF3C" w14:textId="77777777" w:rsidR="005D5985" w:rsidRPr="00306E38" w:rsidRDefault="005D5985">
            <w:pPr>
              <w:pStyle w:val="TableText"/>
              <w:keepNext/>
              <w:rPr>
                <w:rFonts w:cs="Courier New"/>
                <w:szCs w:val="20"/>
              </w:rPr>
            </w:pPr>
            <w:r w:rsidRPr="00306E38">
              <w:rPr>
                <w:rFonts w:cs="Courier New"/>
                <w:szCs w:val="20"/>
              </w:rPr>
              <w:t>Not applied due to short time horizon</w:t>
            </w:r>
          </w:p>
        </w:tc>
      </w:tr>
      <w:tr w:rsidR="005D5985" w:rsidRPr="00306E38" w14:paraId="3050D370" w14:textId="77777777">
        <w:tc>
          <w:tcPr>
            <w:tcW w:w="1450" w:type="pct"/>
            <w:shd w:val="clear" w:color="auto" w:fill="auto"/>
          </w:tcPr>
          <w:p w14:paraId="0A227D1F" w14:textId="77777777" w:rsidR="005D5985" w:rsidRPr="00306E38" w:rsidRDefault="005D5985">
            <w:pPr>
              <w:pStyle w:val="TableText"/>
              <w:keepNext/>
              <w:rPr>
                <w:rFonts w:cs="Courier New"/>
                <w:b/>
                <w:bCs/>
                <w:szCs w:val="20"/>
              </w:rPr>
            </w:pPr>
            <w:r w:rsidRPr="00306E38">
              <w:rPr>
                <w:rFonts w:cs="Courier New"/>
                <w:b/>
                <w:bCs/>
                <w:szCs w:val="20"/>
              </w:rPr>
              <w:t xml:space="preserve">Sensitivity analysis </w:t>
            </w:r>
          </w:p>
        </w:tc>
        <w:tc>
          <w:tcPr>
            <w:tcW w:w="3550" w:type="pct"/>
          </w:tcPr>
          <w:p w14:paraId="6826B73F" w14:textId="77777777" w:rsidR="005D5985" w:rsidRPr="00306E38" w:rsidRDefault="005D5985">
            <w:pPr>
              <w:pStyle w:val="TableText"/>
              <w:keepNext/>
              <w:rPr>
                <w:rFonts w:cs="Courier New"/>
                <w:szCs w:val="20"/>
              </w:rPr>
            </w:pPr>
            <w:r w:rsidRPr="00306E38">
              <w:rPr>
                <w:rFonts w:cs="Courier New"/>
                <w:szCs w:val="20"/>
              </w:rPr>
              <w:t>Deterministic sensitivity analysis to explore uncertainly in cost and health outcomes</w:t>
            </w:r>
          </w:p>
        </w:tc>
      </w:tr>
      <w:tr w:rsidR="005D5985" w:rsidRPr="00306E38" w14:paraId="6E15BD56" w14:textId="77777777">
        <w:tc>
          <w:tcPr>
            <w:tcW w:w="1450" w:type="pct"/>
            <w:shd w:val="clear" w:color="auto" w:fill="auto"/>
          </w:tcPr>
          <w:p w14:paraId="27CC4A94" w14:textId="77777777" w:rsidR="005D5985" w:rsidRPr="00306E38" w:rsidRDefault="005D5985">
            <w:pPr>
              <w:pStyle w:val="TableText"/>
              <w:keepNext/>
              <w:rPr>
                <w:rFonts w:cs="Courier New"/>
                <w:b/>
                <w:bCs/>
                <w:szCs w:val="20"/>
              </w:rPr>
            </w:pPr>
            <w:r w:rsidRPr="00306E38">
              <w:rPr>
                <w:rFonts w:cs="Courier New"/>
                <w:b/>
                <w:bCs/>
                <w:szCs w:val="20"/>
              </w:rPr>
              <w:t>Software</w:t>
            </w:r>
          </w:p>
        </w:tc>
        <w:tc>
          <w:tcPr>
            <w:tcW w:w="3550" w:type="pct"/>
          </w:tcPr>
          <w:p w14:paraId="6355CFE7" w14:textId="77777777" w:rsidR="005D5985" w:rsidRPr="00306E38" w:rsidRDefault="005D5985">
            <w:pPr>
              <w:pStyle w:val="TableText"/>
              <w:keepNext/>
              <w:rPr>
                <w:rFonts w:cs="Courier New"/>
                <w:szCs w:val="20"/>
              </w:rPr>
            </w:pPr>
            <w:r w:rsidRPr="00306E38">
              <w:rPr>
                <w:rFonts w:cs="Courier New"/>
                <w:szCs w:val="20"/>
              </w:rPr>
              <w:t>TreeAge Pro</w:t>
            </w:r>
          </w:p>
        </w:tc>
      </w:tr>
    </w:tbl>
    <w:p w14:paraId="3A7AD9D8" w14:textId="7212765E" w:rsidR="000C55E9" w:rsidRDefault="000C55E9" w:rsidP="005D0619">
      <w:pPr>
        <w:pStyle w:val="TableFooter"/>
        <w:spacing w:before="0"/>
      </w:pPr>
      <w:r>
        <w:t>Source: DCAR Table 13</w:t>
      </w:r>
    </w:p>
    <w:p w14:paraId="48DD6E3A" w14:textId="77777777" w:rsidR="005D5985" w:rsidRPr="00DA5E35" w:rsidRDefault="005D5985" w:rsidP="00EE61CE">
      <w:pPr>
        <w:keepNext/>
        <w:spacing w:before="240"/>
        <w:rPr>
          <w:rFonts w:ascii="Franklin Gothic Book" w:hAnsi="Franklin Gothic Book"/>
          <w:b/>
          <w:bCs/>
          <w:sz w:val="24"/>
          <w:szCs w:val="24"/>
        </w:rPr>
      </w:pPr>
      <w:r w:rsidRPr="00DA5E35">
        <w:rPr>
          <w:rFonts w:ascii="Franklin Gothic Book" w:hAnsi="Franklin Gothic Book"/>
          <w:b/>
          <w:bCs/>
          <w:sz w:val="24"/>
          <w:szCs w:val="24"/>
        </w:rPr>
        <w:t>Results</w:t>
      </w:r>
    </w:p>
    <w:p w14:paraId="71DA936A" w14:textId="07A1E42F" w:rsidR="005D5985" w:rsidRPr="00DA5E35" w:rsidRDefault="005D5985" w:rsidP="005D5985">
      <w:pPr>
        <w:rPr>
          <w:rFonts w:ascii="Franklin Gothic Book" w:hAnsi="Franklin Gothic Book"/>
        </w:rPr>
      </w:pPr>
      <w:r w:rsidRPr="00DA5E35">
        <w:rPr>
          <w:rFonts w:ascii="Franklin Gothic Book" w:hAnsi="Franklin Gothic Book"/>
        </w:rPr>
        <w:t xml:space="preserve">The incremental cost and incremental effectiveness of continuous nerve block and single-injection nerve block performed in the inpatient setting, are detailed in </w:t>
      </w:r>
      <w:r w:rsidRPr="00DA5E35">
        <w:rPr>
          <w:rFonts w:ascii="Franklin Gothic Book" w:hAnsi="Franklin Gothic Book"/>
        </w:rPr>
        <w:fldChar w:fldCharType="begin"/>
      </w:r>
      <w:r w:rsidRPr="00DA5E35">
        <w:rPr>
          <w:rFonts w:ascii="Franklin Gothic Book" w:hAnsi="Franklin Gothic Book"/>
        </w:rPr>
        <w:instrText xml:space="preserve"> REF _Ref69726284 \h  \* MERGEFORMAT </w:instrText>
      </w:r>
      <w:r w:rsidRPr="00DA5E35">
        <w:rPr>
          <w:rFonts w:ascii="Franklin Gothic Book" w:hAnsi="Franklin Gothic Book"/>
        </w:rPr>
      </w:r>
      <w:r w:rsidRPr="00DA5E35">
        <w:rPr>
          <w:rFonts w:ascii="Franklin Gothic Book" w:hAnsi="Franklin Gothic Book"/>
        </w:rPr>
        <w:fldChar w:fldCharType="separate"/>
      </w:r>
      <w:r w:rsidR="002C38EC" w:rsidRPr="002C38EC">
        <w:rPr>
          <w:rFonts w:ascii="Franklin Gothic Book" w:hAnsi="Franklin Gothic Book"/>
        </w:rPr>
        <w:t>Table 15</w:t>
      </w:r>
      <w:r w:rsidRPr="00DA5E35">
        <w:rPr>
          <w:rFonts w:ascii="Franklin Gothic Book" w:hAnsi="Franklin Gothic Book"/>
        </w:rPr>
        <w:fldChar w:fldCharType="end"/>
      </w:r>
      <w:r w:rsidRPr="00DA5E35">
        <w:rPr>
          <w:rFonts w:ascii="Franklin Gothic Book" w:hAnsi="Franklin Gothic Book"/>
        </w:rPr>
        <w:t xml:space="preserve">. Compared with single-injection nerve block, the proposed intervention is associated with greater costs and improved effectiveness (i.e. a decrease in pain at 48 hours after surgery). An ICER of $114.35 per one-unit improvement in post-surgical pain was estimated. </w:t>
      </w:r>
    </w:p>
    <w:p w14:paraId="69563C5F" w14:textId="3CA92903" w:rsidR="005D5985" w:rsidRPr="00E06746" w:rsidRDefault="005D5985" w:rsidP="005D5985">
      <w:pPr>
        <w:pStyle w:val="Caption"/>
      </w:pPr>
      <w:bookmarkStart w:id="45" w:name="_Ref69726284"/>
      <w:r w:rsidRPr="00E06746">
        <w:t>Table </w:t>
      </w:r>
      <w:r>
        <w:fldChar w:fldCharType="begin"/>
      </w:r>
      <w:r>
        <w:instrText>SEQ Table \* ARABIC</w:instrText>
      </w:r>
      <w:r>
        <w:fldChar w:fldCharType="separate"/>
      </w:r>
      <w:r w:rsidR="00210D50">
        <w:rPr>
          <w:noProof/>
        </w:rPr>
        <w:t>15</w:t>
      </w:r>
      <w:r>
        <w:fldChar w:fldCharType="end"/>
      </w:r>
      <w:bookmarkEnd w:id="45"/>
      <w:r w:rsidRPr="00E06746">
        <w:tab/>
        <w:t>Results of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698"/>
        <w:gridCol w:w="2440"/>
        <w:gridCol w:w="2519"/>
        <w:gridCol w:w="2359"/>
      </w:tblGrid>
      <w:tr w:rsidR="005D5985" w:rsidRPr="00E06746" w14:paraId="3F9A2C85" w14:textId="77777777">
        <w:trPr>
          <w:cantSplit/>
          <w:tblHeader/>
        </w:trPr>
        <w:tc>
          <w:tcPr>
            <w:tcW w:w="942" w:type="pct"/>
            <w:shd w:val="clear" w:color="auto" w:fill="auto"/>
          </w:tcPr>
          <w:p w14:paraId="2C56F3E3" w14:textId="77777777" w:rsidR="005D5985" w:rsidRPr="00E06746" w:rsidRDefault="005D5985">
            <w:pPr>
              <w:pStyle w:val="TableText"/>
            </w:pPr>
            <w:bookmarkStart w:id="46" w:name="Title_Table9" w:colFirst="0" w:colLast="0"/>
            <w:bookmarkStart w:id="47" w:name="_Hlk68276590"/>
            <w:r w:rsidRPr="00E06746">
              <w:rPr>
                <w:b/>
              </w:rPr>
              <w:t xml:space="preserve">Parameter </w:t>
            </w:r>
          </w:p>
        </w:tc>
        <w:tc>
          <w:tcPr>
            <w:tcW w:w="1353" w:type="pct"/>
            <w:shd w:val="clear" w:color="auto" w:fill="auto"/>
          </w:tcPr>
          <w:p w14:paraId="1ED70A1B" w14:textId="77777777" w:rsidR="005D5985" w:rsidRPr="00E06746" w:rsidRDefault="005D5985">
            <w:pPr>
              <w:pStyle w:val="TableText"/>
            </w:pPr>
            <w:r w:rsidRPr="00E06746">
              <w:rPr>
                <w:b/>
              </w:rPr>
              <w:t>Continuous nerve block</w:t>
            </w:r>
          </w:p>
        </w:tc>
        <w:tc>
          <w:tcPr>
            <w:tcW w:w="1397" w:type="pct"/>
            <w:shd w:val="clear" w:color="auto" w:fill="auto"/>
          </w:tcPr>
          <w:p w14:paraId="3AAB81F4" w14:textId="77777777" w:rsidR="005D5985" w:rsidRPr="00E06746" w:rsidRDefault="005D5985">
            <w:pPr>
              <w:pStyle w:val="TableText"/>
            </w:pPr>
            <w:r w:rsidRPr="00E06746">
              <w:rPr>
                <w:b/>
              </w:rPr>
              <w:t>Single-injection nerve block</w:t>
            </w:r>
          </w:p>
        </w:tc>
        <w:tc>
          <w:tcPr>
            <w:tcW w:w="1308" w:type="pct"/>
            <w:shd w:val="clear" w:color="auto" w:fill="auto"/>
            <w:vAlign w:val="center"/>
          </w:tcPr>
          <w:p w14:paraId="60A546CE" w14:textId="77777777" w:rsidR="005D5985" w:rsidRPr="00E06746" w:rsidRDefault="005D5985">
            <w:pPr>
              <w:pStyle w:val="TableText"/>
            </w:pPr>
            <w:r w:rsidRPr="00E06746">
              <w:rPr>
                <w:b/>
              </w:rPr>
              <w:t>Increment</w:t>
            </w:r>
            <w:r>
              <w:rPr>
                <w:b/>
              </w:rPr>
              <w:t>al</w:t>
            </w:r>
          </w:p>
        </w:tc>
      </w:tr>
      <w:bookmarkEnd w:id="46"/>
      <w:tr w:rsidR="005D5985" w:rsidRPr="00E06746" w14:paraId="393731DF" w14:textId="77777777">
        <w:trPr>
          <w:cantSplit/>
        </w:trPr>
        <w:tc>
          <w:tcPr>
            <w:tcW w:w="942" w:type="pct"/>
            <w:shd w:val="clear" w:color="auto" w:fill="auto"/>
          </w:tcPr>
          <w:p w14:paraId="18AAC26F" w14:textId="77777777" w:rsidR="005D5985" w:rsidRPr="00E06746" w:rsidRDefault="005D5985">
            <w:pPr>
              <w:pStyle w:val="TableText"/>
            </w:pPr>
            <w:r w:rsidRPr="00E06746">
              <w:t>Costs</w:t>
            </w:r>
          </w:p>
        </w:tc>
        <w:tc>
          <w:tcPr>
            <w:tcW w:w="1353" w:type="pct"/>
            <w:shd w:val="clear" w:color="auto" w:fill="auto"/>
          </w:tcPr>
          <w:p w14:paraId="69F1E72D" w14:textId="77777777" w:rsidR="005D5985" w:rsidRPr="00D059DF" w:rsidRDefault="005D5985">
            <w:pPr>
              <w:pStyle w:val="TableText"/>
              <w:rPr>
                <w:rFonts w:eastAsiaTheme="minorHAnsi"/>
              </w:rPr>
            </w:pPr>
            <w:r>
              <w:t>$</w:t>
            </w:r>
            <w:r w:rsidRPr="00E06746">
              <w:t>4,</w:t>
            </w:r>
            <w:r w:rsidRPr="00D059DF">
              <w:rPr>
                <w:rFonts w:eastAsiaTheme="minorHAnsi"/>
              </w:rPr>
              <w:t>55</w:t>
            </w:r>
            <w:r>
              <w:rPr>
                <w:rFonts w:eastAsiaTheme="minorHAnsi"/>
              </w:rPr>
              <w:t>6</w:t>
            </w:r>
            <w:r w:rsidRPr="00D059DF">
              <w:rPr>
                <w:rFonts w:eastAsiaTheme="minorHAnsi"/>
              </w:rPr>
              <w:t>.</w:t>
            </w:r>
            <w:r>
              <w:rPr>
                <w:rFonts w:eastAsiaTheme="minorHAnsi"/>
              </w:rPr>
              <w:t>34</w:t>
            </w:r>
          </w:p>
        </w:tc>
        <w:tc>
          <w:tcPr>
            <w:tcW w:w="1397" w:type="pct"/>
            <w:shd w:val="clear" w:color="auto" w:fill="auto"/>
          </w:tcPr>
          <w:p w14:paraId="003E94CD" w14:textId="77777777" w:rsidR="005D5985" w:rsidRPr="00D059DF" w:rsidRDefault="005D5985">
            <w:pPr>
              <w:pStyle w:val="TableText"/>
              <w:rPr>
                <w:rFonts w:eastAsiaTheme="minorHAnsi"/>
              </w:rPr>
            </w:pPr>
            <w:r>
              <w:rPr>
                <w:rFonts w:eastAsiaTheme="minorHAnsi"/>
              </w:rPr>
              <w:t>$</w:t>
            </w:r>
            <w:r w:rsidRPr="00D059DF">
              <w:rPr>
                <w:rFonts w:eastAsiaTheme="minorHAnsi"/>
              </w:rPr>
              <w:t>4,</w:t>
            </w:r>
            <w:r>
              <w:rPr>
                <w:rFonts w:eastAsiaTheme="minorHAnsi"/>
              </w:rPr>
              <w:t>401.97</w:t>
            </w:r>
          </w:p>
        </w:tc>
        <w:tc>
          <w:tcPr>
            <w:tcW w:w="1308" w:type="pct"/>
            <w:shd w:val="clear" w:color="auto" w:fill="auto"/>
          </w:tcPr>
          <w:p w14:paraId="7BDF1BB7" w14:textId="77777777" w:rsidR="005D5985" w:rsidRPr="00D059DF" w:rsidRDefault="005D5985">
            <w:pPr>
              <w:pStyle w:val="TableText"/>
              <w:rPr>
                <w:rFonts w:eastAsiaTheme="minorHAnsi"/>
              </w:rPr>
            </w:pPr>
            <w:r>
              <w:rPr>
                <w:rFonts w:eastAsiaTheme="minorHAnsi"/>
              </w:rPr>
              <w:t>$</w:t>
            </w:r>
            <w:r w:rsidRPr="00D059DF">
              <w:rPr>
                <w:rFonts w:eastAsiaTheme="minorHAnsi"/>
              </w:rPr>
              <w:t>1</w:t>
            </w:r>
            <w:r>
              <w:rPr>
                <w:rFonts w:eastAsiaTheme="minorHAnsi"/>
              </w:rPr>
              <w:t>54.37</w:t>
            </w:r>
          </w:p>
        </w:tc>
      </w:tr>
      <w:tr w:rsidR="005D5985" w:rsidRPr="00E06746" w14:paraId="5192041E" w14:textId="77777777">
        <w:trPr>
          <w:cantSplit/>
        </w:trPr>
        <w:tc>
          <w:tcPr>
            <w:tcW w:w="942" w:type="pct"/>
            <w:shd w:val="clear" w:color="auto" w:fill="auto"/>
          </w:tcPr>
          <w:p w14:paraId="1580F994" w14:textId="77777777" w:rsidR="005D5985" w:rsidRPr="00E06746" w:rsidRDefault="005D5985">
            <w:pPr>
              <w:pStyle w:val="TableText"/>
            </w:pPr>
            <w:r w:rsidRPr="00E06746">
              <w:t>Pain</w:t>
            </w:r>
            <w:r w:rsidRPr="00E06746">
              <w:rPr>
                <w:vertAlign w:val="superscript"/>
              </w:rPr>
              <w:t>a</w:t>
            </w:r>
          </w:p>
        </w:tc>
        <w:tc>
          <w:tcPr>
            <w:tcW w:w="1353" w:type="pct"/>
            <w:shd w:val="clear" w:color="auto" w:fill="auto"/>
          </w:tcPr>
          <w:p w14:paraId="0FF353C6" w14:textId="77777777" w:rsidR="005D5985" w:rsidRPr="00E06746" w:rsidRDefault="005D5985">
            <w:pPr>
              <w:pStyle w:val="TableText"/>
            </w:pPr>
            <w:r w:rsidRPr="00E06746">
              <w:t>7.316</w:t>
            </w:r>
          </w:p>
        </w:tc>
        <w:tc>
          <w:tcPr>
            <w:tcW w:w="1397" w:type="pct"/>
            <w:shd w:val="clear" w:color="auto" w:fill="auto"/>
          </w:tcPr>
          <w:p w14:paraId="04E17E78" w14:textId="77777777" w:rsidR="005D5985" w:rsidRPr="00E06746" w:rsidRDefault="005D5985">
            <w:pPr>
              <w:pStyle w:val="TableText"/>
            </w:pPr>
            <w:r w:rsidRPr="00E06746">
              <w:t>5.966</w:t>
            </w:r>
          </w:p>
        </w:tc>
        <w:tc>
          <w:tcPr>
            <w:tcW w:w="1308" w:type="pct"/>
            <w:shd w:val="clear" w:color="auto" w:fill="auto"/>
          </w:tcPr>
          <w:p w14:paraId="59BD6329" w14:textId="77777777" w:rsidR="005D5985" w:rsidRPr="00E06746" w:rsidRDefault="005D5985">
            <w:pPr>
              <w:pStyle w:val="TableText"/>
            </w:pPr>
            <w:r w:rsidRPr="00E06746">
              <w:t>1.350</w:t>
            </w:r>
          </w:p>
        </w:tc>
      </w:tr>
      <w:tr w:rsidR="005D5985" w:rsidRPr="00306E38" w14:paraId="49320F34" w14:textId="77777777">
        <w:trPr>
          <w:cantSplit/>
        </w:trPr>
        <w:tc>
          <w:tcPr>
            <w:tcW w:w="3692" w:type="pct"/>
            <w:gridSpan w:val="3"/>
            <w:tcBorders>
              <w:right w:val="single" w:sz="4" w:space="0" w:color="000000"/>
            </w:tcBorders>
            <w:shd w:val="clear" w:color="auto" w:fill="auto"/>
          </w:tcPr>
          <w:p w14:paraId="69B4E623" w14:textId="77777777" w:rsidR="005D5985" w:rsidRPr="00D059DF" w:rsidRDefault="005D5985">
            <w:pPr>
              <w:pStyle w:val="TableText"/>
              <w:rPr>
                <w:rFonts w:eastAsiaTheme="minorHAnsi"/>
                <w:b/>
              </w:rPr>
            </w:pPr>
            <w:r w:rsidRPr="00D059DF">
              <w:rPr>
                <w:rFonts w:eastAsiaTheme="minorHAnsi"/>
                <w:b/>
              </w:rPr>
              <w:t>Incremental cost per one-unit improvement in pain</w:t>
            </w:r>
          </w:p>
        </w:tc>
        <w:tc>
          <w:tcPr>
            <w:tcW w:w="1308" w:type="pct"/>
            <w:tcBorders>
              <w:left w:val="single" w:sz="4" w:space="0" w:color="000000"/>
            </w:tcBorders>
            <w:shd w:val="clear" w:color="auto" w:fill="auto"/>
          </w:tcPr>
          <w:p w14:paraId="5BEDB47D" w14:textId="77777777" w:rsidR="005D5985" w:rsidRPr="00306E38" w:rsidRDefault="005D5985">
            <w:pPr>
              <w:pStyle w:val="TableText"/>
              <w:rPr>
                <w:rFonts w:eastAsia="Calibri"/>
                <w:b/>
              </w:rPr>
            </w:pPr>
            <w:r>
              <w:rPr>
                <w:rFonts w:eastAsia="Calibri"/>
                <w:b/>
              </w:rPr>
              <w:t>$114.35</w:t>
            </w:r>
          </w:p>
        </w:tc>
      </w:tr>
    </w:tbl>
    <w:p w14:paraId="206CB217" w14:textId="0DC7210E" w:rsidR="005D5985" w:rsidRDefault="005D5985" w:rsidP="005D5985">
      <w:pPr>
        <w:pStyle w:val="Notes-TableFigure"/>
      </w:pPr>
      <w:bookmarkStart w:id="48" w:name="_Hlk68276600"/>
      <w:bookmarkEnd w:id="47"/>
      <w:r w:rsidRPr="00D059DF">
        <w:rPr>
          <w:b/>
        </w:rPr>
        <w:t>Notes</w:t>
      </w:r>
      <w:r w:rsidRPr="00D059DF">
        <w:t>:</w:t>
      </w:r>
      <w:r w:rsidR="00652476">
        <w:t xml:space="preserve"> </w:t>
      </w:r>
      <w:r w:rsidRPr="00306E38">
        <w:rPr>
          <w:b/>
          <w:bCs/>
        </w:rPr>
        <w:t>a</w:t>
      </w:r>
      <w:r w:rsidRPr="00306E38">
        <w:t xml:space="preserve">: measured on a </w:t>
      </w:r>
      <w:r w:rsidRPr="00B43E5E">
        <w:t xml:space="preserve">scale </w:t>
      </w:r>
      <w:r w:rsidRPr="00306E38">
        <w:t>0</w:t>
      </w:r>
      <w:r>
        <w:t>–</w:t>
      </w:r>
      <w:r w:rsidRPr="00306E38">
        <w:t>10, with 0 indicating the worst pain and 10 indicating no pain. Pain was measured at 48 hours after surgery.</w:t>
      </w:r>
    </w:p>
    <w:p w14:paraId="391D3C69" w14:textId="08C59530" w:rsidR="000C55E9" w:rsidRPr="00306E38" w:rsidRDefault="000C55E9" w:rsidP="005D5985">
      <w:pPr>
        <w:pStyle w:val="Notes-TableFigure"/>
      </w:pPr>
      <w:r>
        <w:t>Source: DCAR Table 14</w:t>
      </w:r>
    </w:p>
    <w:p w14:paraId="04F8E544" w14:textId="1043D605" w:rsidR="005D5985" w:rsidRPr="00DA5E35" w:rsidRDefault="005D5985" w:rsidP="005D5985">
      <w:pPr>
        <w:rPr>
          <w:rFonts w:ascii="Franklin Gothic Book" w:hAnsi="Franklin Gothic Book"/>
        </w:rPr>
      </w:pPr>
      <w:r w:rsidRPr="00DA5E35">
        <w:rPr>
          <w:rFonts w:ascii="Franklin Gothic Book" w:hAnsi="Franklin Gothic Book"/>
        </w:rPr>
        <w:t>The summary of disaggregated cost outcomes (</w:t>
      </w:r>
      <w:r w:rsidRPr="00DA5E35">
        <w:rPr>
          <w:rFonts w:ascii="Franklin Gothic Book" w:hAnsi="Franklin Gothic Book"/>
        </w:rPr>
        <w:fldChar w:fldCharType="begin"/>
      </w:r>
      <w:r w:rsidRPr="00DA5E35">
        <w:rPr>
          <w:rFonts w:ascii="Franklin Gothic Book" w:hAnsi="Franklin Gothic Book"/>
        </w:rPr>
        <w:instrText xml:space="preserve"> REF _Ref153104123 \h </w:instrText>
      </w:r>
      <w:r w:rsidR="00DA5E35">
        <w:rPr>
          <w:rFonts w:ascii="Franklin Gothic Book" w:hAnsi="Franklin Gothic Book"/>
        </w:rPr>
        <w:instrText xml:space="preserve"> \* MERGEFORMAT </w:instrText>
      </w:r>
      <w:r w:rsidRPr="00DA5E35">
        <w:rPr>
          <w:rFonts w:ascii="Franklin Gothic Book" w:hAnsi="Franklin Gothic Book"/>
        </w:rPr>
      </w:r>
      <w:r w:rsidRPr="00DA5E35">
        <w:rPr>
          <w:rFonts w:ascii="Franklin Gothic Book" w:hAnsi="Franklin Gothic Book"/>
        </w:rPr>
        <w:fldChar w:fldCharType="separate"/>
      </w:r>
      <w:r w:rsidR="002C38EC" w:rsidRPr="002C38EC">
        <w:rPr>
          <w:rFonts w:ascii="Franklin Gothic Book" w:hAnsi="Franklin Gothic Book"/>
        </w:rPr>
        <w:t>Table 16</w:t>
      </w:r>
      <w:r w:rsidRPr="00DA5E35">
        <w:rPr>
          <w:rFonts w:ascii="Franklin Gothic Book" w:hAnsi="Franklin Gothic Book"/>
        </w:rPr>
        <w:fldChar w:fldCharType="end"/>
      </w:r>
      <w:r w:rsidRPr="00DA5E35">
        <w:rPr>
          <w:rFonts w:ascii="Franklin Gothic Book" w:hAnsi="Franklin Gothic Book"/>
        </w:rPr>
        <w:t>) showed that the main drivers of the increased cost related to associated equipment (i.e. the catheter infusion kit) and hospital/medical services (i.e. catheter placement; additional anaesthetist consult prior to discharge). Incremental effectiveness outcomes were driven solely by differences in patient reported pain at 48 hours after surgery.</w:t>
      </w:r>
    </w:p>
    <w:p w14:paraId="5B800B10" w14:textId="0C7A1D2E" w:rsidR="005D5985" w:rsidRDefault="005D5985" w:rsidP="00A77206">
      <w:pPr>
        <w:pStyle w:val="Caption"/>
        <w:keepLines/>
      </w:pPr>
      <w:bookmarkStart w:id="49" w:name="_Ref153104123"/>
      <w:r w:rsidRPr="00EB08B4">
        <w:lastRenderedPageBreak/>
        <w:t>Table </w:t>
      </w:r>
      <w:r>
        <w:fldChar w:fldCharType="begin"/>
      </w:r>
      <w:r>
        <w:instrText>SEQ Table \* ARABIC</w:instrText>
      </w:r>
      <w:r>
        <w:fldChar w:fldCharType="separate"/>
      </w:r>
      <w:r w:rsidR="00210D50">
        <w:rPr>
          <w:noProof/>
        </w:rPr>
        <w:t>16</w:t>
      </w:r>
      <w:r>
        <w:fldChar w:fldCharType="end"/>
      </w:r>
      <w:bookmarkEnd w:id="49"/>
      <w:r w:rsidRPr="00EB08B4">
        <w:tab/>
        <w:t>Summary of disaggregated cost outcomes at the resource</w:t>
      </w:r>
      <w:r w:rsidRPr="00D059DF">
        <w:t>-</w:t>
      </w:r>
      <w:r w:rsidRPr="00EB08B4">
        <w:t>type level and for the base case analysis</w:t>
      </w:r>
    </w:p>
    <w:tbl>
      <w:tblPr>
        <w:tblStyle w:val="TableGrid"/>
        <w:tblW w:w="5130" w:type="pct"/>
        <w:tblLook w:val="04A0" w:firstRow="1" w:lastRow="0" w:firstColumn="1" w:lastColumn="0" w:noHBand="0" w:noVBand="1"/>
      </w:tblPr>
      <w:tblGrid>
        <w:gridCol w:w="4956"/>
        <w:gridCol w:w="1432"/>
        <w:gridCol w:w="1432"/>
        <w:gridCol w:w="1430"/>
      </w:tblGrid>
      <w:tr w:rsidR="005D5985" w14:paraId="07D4103A" w14:textId="77777777" w:rsidTr="007E16D1">
        <w:trPr>
          <w:tblHeader/>
        </w:trPr>
        <w:tc>
          <w:tcPr>
            <w:tcW w:w="2679" w:type="pct"/>
          </w:tcPr>
          <w:p w14:paraId="5A3548D7" w14:textId="77777777" w:rsidR="005D5985" w:rsidRPr="00D059DF" w:rsidRDefault="005D5985" w:rsidP="00A77206">
            <w:pPr>
              <w:pStyle w:val="Tabletext0"/>
              <w:keepNext/>
              <w:keepLines/>
              <w:jc w:val="left"/>
              <w:rPr>
                <w:b/>
                <w:bCs/>
              </w:rPr>
            </w:pPr>
            <w:r>
              <w:rPr>
                <w:b/>
                <w:bCs/>
              </w:rPr>
              <w:t>Type of resource</w:t>
            </w:r>
          </w:p>
        </w:tc>
        <w:tc>
          <w:tcPr>
            <w:tcW w:w="774" w:type="pct"/>
          </w:tcPr>
          <w:p w14:paraId="49384CC0" w14:textId="77777777" w:rsidR="005D5985" w:rsidRPr="00D059DF" w:rsidRDefault="005D5985" w:rsidP="00A77206">
            <w:pPr>
              <w:pStyle w:val="Tabletext0"/>
              <w:keepNext/>
              <w:keepLines/>
              <w:jc w:val="left"/>
              <w:rPr>
                <w:b/>
                <w:bCs/>
              </w:rPr>
            </w:pPr>
            <w:r>
              <w:rPr>
                <w:b/>
                <w:bCs/>
              </w:rPr>
              <w:t>Cost for continuous nerve block</w:t>
            </w:r>
          </w:p>
        </w:tc>
        <w:tc>
          <w:tcPr>
            <w:tcW w:w="774" w:type="pct"/>
          </w:tcPr>
          <w:p w14:paraId="0FE54A21" w14:textId="77777777" w:rsidR="005D5985" w:rsidRDefault="005D5985" w:rsidP="00A77206">
            <w:pPr>
              <w:pStyle w:val="Tabletext0"/>
              <w:keepNext/>
              <w:keepLines/>
              <w:jc w:val="left"/>
              <w:rPr>
                <w:b/>
                <w:bCs/>
              </w:rPr>
            </w:pPr>
            <w:r>
              <w:rPr>
                <w:b/>
                <w:bCs/>
              </w:rPr>
              <w:t>Cost for single-injection nerve block</w:t>
            </w:r>
          </w:p>
        </w:tc>
        <w:tc>
          <w:tcPr>
            <w:tcW w:w="773" w:type="pct"/>
          </w:tcPr>
          <w:p w14:paraId="6A598870" w14:textId="77777777" w:rsidR="005D5985" w:rsidRDefault="005D5985" w:rsidP="00A77206">
            <w:pPr>
              <w:pStyle w:val="Tabletext0"/>
              <w:keepNext/>
              <w:keepLines/>
              <w:jc w:val="left"/>
              <w:rPr>
                <w:b/>
              </w:rPr>
            </w:pPr>
            <w:r>
              <w:rPr>
                <w:b/>
                <w:bCs/>
              </w:rPr>
              <w:t>Incremental cost</w:t>
            </w:r>
          </w:p>
        </w:tc>
      </w:tr>
      <w:tr w:rsidR="005D5985" w14:paraId="2FC91EC4" w14:textId="77777777" w:rsidTr="007E16D1">
        <w:tc>
          <w:tcPr>
            <w:tcW w:w="2679" w:type="pct"/>
          </w:tcPr>
          <w:p w14:paraId="6D7F24E2" w14:textId="77777777" w:rsidR="005D5985" w:rsidRPr="00FA1987" w:rsidRDefault="005D5985" w:rsidP="00A77206">
            <w:pPr>
              <w:pStyle w:val="Tabletext0"/>
              <w:keepNext/>
              <w:keepLines/>
              <w:jc w:val="left"/>
            </w:pPr>
            <w:r w:rsidRPr="00D059DF">
              <w:t>Associated equipment</w:t>
            </w:r>
            <w:r w:rsidRPr="00FA1987">
              <w:t>: catheter infusion kits, needles, syringes</w:t>
            </w:r>
          </w:p>
        </w:tc>
        <w:tc>
          <w:tcPr>
            <w:tcW w:w="774" w:type="pct"/>
          </w:tcPr>
          <w:p w14:paraId="41B6EB90" w14:textId="77777777" w:rsidR="005D5985" w:rsidRDefault="005D5985" w:rsidP="00A77206">
            <w:pPr>
              <w:pStyle w:val="Tabletext0"/>
              <w:keepNext/>
              <w:keepLines/>
              <w:jc w:val="left"/>
            </w:pPr>
            <w:r>
              <w:t>$80.00</w:t>
            </w:r>
          </w:p>
        </w:tc>
        <w:tc>
          <w:tcPr>
            <w:tcW w:w="774" w:type="pct"/>
          </w:tcPr>
          <w:p w14:paraId="2177B7B9" w14:textId="77777777" w:rsidR="005D5985" w:rsidRDefault="005D5985" w:rsidP="00A77206">
            <w:pPr>
              <w:pStyle w:val="Tabletext0"/>
              <w:keepNext/>
              <w:keepLines/>
              <w:jc w:val="left"/>
            </w:pPr>
            <w:r>
              <w:t>$1.30</w:t>
            </w:r>
          </w:p>
        </w:tc>
        <w:tc>
          <w:tcPr>
            <w:tcW w:w="773" w:type="pct"/>
          </w:tcPr>
          <w:p w14:paraId="08D007D5" w14:textId="77777777" w:rsidR="005D5985" w:rsidRDefault="005D5985" w:rsidP="00A77206">
            <w:pPr>
              <w:pStyle w:val="Tabletext0"/>
              <w:keepNext/>
              <w:keepLines/>
              <w:jc w:val="left"/>
            </w:pPr>
            <w:r>
              <w:t>$78.70</w:t>
            </w:r>
          </w:p>
        </w:tc>
      </w:tr>
      <w:tr w:rsidR="005D5985" w14:paraId="080FDA9A" w14:textId="77777777" w:rsidTr="007E16D1">
        <w:tc>
          <w:tcPr>
            <w:tcW w:w="2679" w:type="pct"/>
          </w:tcPr>
          <w:p w14:paraId="51AE1B5F" w14:textId="77777777" w:rsidR="005D5985" w:rsidRPr="00FA1987" w:rsidRDefault="005D5985" w:rsidP="00A77206">
            <w:pPr>
              <w:pStyle w:val="Tabletext0"/>
              <w:keepNext/>
              <w:keepLines/>
              <w:jc w:val="left"/>
            </w:pPr>
            <w:r w:rsidRPr="00D059DF">
              <w:t>Medicines</w:t>
            </w:r>
            <w:r w:rsidRPr="00FA1987">
              <w:t>: anaesthetic (ropivacaine/bupivacaine) and non-opioid analgesia (paracetamol/ibuprofen)</w:t>
            </w:r>
          </w:p>
        </w:tc>
        <w:tc>
          <w:tcPr>
            <w:tcW w:w="774" w:type="pct"/>
          </w:tcPr>
          <w:p w14:paraId="1F5CE102" w14:textId="77777777" w:rsidR="005D5985" w:rsidRDefault="005D5985" w:rsidP="00A77206">
            <w:pPr>
              <w:pStyle w:val="Tabletext0"/>
              <w:keepNext/>
              <w:keepLines/>
              <w:jc w:val="left"/>
            </w:pPr>
            <w:r>
              <w:t>$37.42</w:t>
            </w:r>
          </w:p>
        </w:tc>
        <w:tc>
          <w:tcPr>
            <w:tcW w:w="774" w:type="pct"/>
          </w:tcPr>
          <w:p w14:paraId="4930C6DE" w14:textId="77777777" w:rsidR="005D5985" w:rsidRDefault="005D5985" w:rsidP="00A77206">
            <w:pPr>
              <w:pStyle w:val="Tabletext0"/>
              <w:keepNext/>
              <w:keepLines/>
              <w:jc w:val="left"/>
            </w:pPr>
            <w:r>
              <w:t>$27.24</w:t>
            </w:r>
          </w:p>
        </w:tc>
        <w:tc>
          <w:tcPr>
            <w:tcW w:w="773" w:type="pct"/>
          </w:tcPr>
          <w:p w14:paraId="6F4A14E0" w14:textId="77777777" w:rsidR="005D5985" w:rsidRDefault="005D5985" w:rsidP="00A77206">
            <w:pPr>
              <w:pStyle w:val="Tabletext0"/>
              <w:keepNext/>
              <w:keepLines/>
              <w:jc w:val="left"/>
            </w:pPr>
            <w:r>
              <w:t>$10.18</w:t>
            </w:r>
          </w:p>
        </w:tc>
      </w:tr>
      <w:tr w:rsidR="005D5985" w14:paraId="337D705D" w14:textId="77777777" w:rsidTr="007E16D1">
        <w:tc>
          <w:tcPr>
            <w:tcW w:w="2679" w:type="pct"/>
          </w:tcPr>
          <w:p w14:paraId="6341F7EC" w14:textId="77777777" w:rsidR="005D5985" w:rsidRDefault="005D5985" w:rsidP="00A77206">
            <w:pPr>
              <w:pStyle w:val="Tabletext0"/>
              <w:keepNext/>
              <w:keepLines/>
              <w:jc w:val="left"/>
            </w:pPr>
            <w:r>
              <w:t>Medical services</w:t>
            </w:r>
            <w:r w:rsidRPr="00BE2835">
              <w:t>: nerve block placement, ultrasound guidance, anaesthesia consultation (including copayments)</w:t>
            </w:r>
          </w:p>
        </w:tc>
        <w:tc>
          <w:tcPr>
            <w:tcW w:w="774" w:type="pct"/>
          </w:tcPr>
          <w:p w14:paraId="74D0F87D" w14:textId="77777777" w:rsidR="005D5985" w:rsidRDefault="005D5985" w:rsidP="00A77206">
            <w:pPr>
              <w:pStyle w:val="Tabletext0"/>
              <w:keepNext/>
              <w:keepLines/>
              <w:jc w:val="left"/>
            </w:pPr>
            <w:r>
              <w:t>$</w:t>
            </w:r>
            <w:r w:rsidRPr="00BE2835">
              <w:t>663.56</w:t>
            </w:r>
          </w:p>
        </w:tc>
        <w:tc>
          <w:tcPr>
            <w:tcW w:w="774" w:type="pct"/>
          </w:tcPr>
          <w:p w14:paraId="0FD9D8DC" w14:textId="77777777" w:rsidR="005D5985" w:rsidRDefault="005D5985" w:rsidP="00A77206">
            <w:pPr>
              <w:pStyle w:val="Tabletext0"/>
              <w:keepNext/>
              <w:keepLines/>
              <w:jc w:val="left"/>
            </w:pPr>
            <w:r>
              <w:t>$474.14</w:t>
            </w:r>
          </w:p>
        </w:tc>
        <w:tc>
          <w:tcPr>
            <w:tcW w:w="773" w:type="pct"/>
          </w:tcPr>
          <w:p w14:paraId="336136BB" w14:textId="77777777" w:rsidR="005D5985" w:rsidRDefault="005D5985" w:rsidP="00A77206">
            <w:pPr>
              <w:pStyle w:val="Tabletext0"/>
              <w:keepNext/>
              <w:keepLines/>
              <w:jc w:val="left"/>
            </w:pPr>
            <w:r>
              <w:t>$189.42</w:t>
            </w:r>
          </w:p>
        </w:tc>
      </w:tr>
      <w:tr w:rsidR="005D5985" w14:paraId="3086EFD5" w14:textId="77777777" w:rsidTr="007E16D1">
        <w:tc>
          <w:tcPr>
            <w:tcW w:w="2679" w:type="pct"/>
          </w:tcPr>
          <w:p w14:paraId="6E4C5DC0" w14:textId="77777777" w:rsidR="005D5985" w:rsidRDefault="005D5985" w:rsidP="00A77206">
            <w:pPr>
              <w:pStyle w:val="Tabletext0"/>
              <w:keepNext/>
              <w:keepLines/>
              <w:jc w:val="left"/>
            </w:pPr>
            <w:r w:rsidRPr="00BE2835">
              <w:t>Hospital accommodation</w:t>
            </w:r>
          </w:p>
        </w:tc>
        <w:tc>
          <w:tcPr>
            <w:tcW w:w="774" w:type="pct"/>
          </w:tcPr>
          <w:p w14:paraId="02B570E9" w14:textId="77777777" w:rsidR="005D5985" w:rsidRDefault="005D5985" w:rsidP="00A77206">
            <w:pPr>
              <w:pStyle w:val="Tabletext0"/>
              <w:keepNext/>
              <w:keepLines/>
              <w:jc w:val="left"/>
            </w:pPr>
            <w:r>
              <w:t>$</w:t>
            </w:r>
            <w:r w:rsidRPr="00BE2835">
              <w:t>3,739.96</w:t>
            </w:r>
          </w:p>
        </w:tc>
        <w:tc>
          <w:tcPr>
            <w:tcW w:w="774" w:type="pct"/>
          </w:tcPr>
          <w:p w14:paraId="05B94C53" w14:textId="77777777" w:rsidR="005D5985" w:rsidRDefault="005D5985" w:rsidP="00A77206">
            <w:pPr>
              <w:pStyle w:val="Tabletext0"/>
              <w:keepNext/>
              <w:keepLines/>
              <w:jc w:val="left"/>
            </w:pPr>
            <w:r>
              <w:t>$3,878.78</w:t>
            </w:r>
          </w:p>
        </w:tc>
        <w:tc>
          <w:tcPr>
            <w:tcW w:w="773" w:type="pct"/>
          </w:tcPr>
          <w:p w14:paraId="30B1D00A" w14:textId="77777777" w:rsidR="005D5985" w:rsidRDefault="005D5985" w:rsidP="00A77206">
            <w:pPr>
              <w:pStyle w:val="Tabletext0"/>
              <w:keepNext/>
              <w:keepLines/>
              <w:jc w:val="left"/>
            </w:pPr>
            <w:r>
              <w:t>-$138.82</w:t>
            </w:r>
          </w:p>
        </w:tc>
      </w:tr>
      <w:tr w:rsidR="005D5985" w14:paraId="3FD3B493" w14:textId="77777777" w:rsidTr="007E16D1">
        <w:tc>
          <w:tcPr>
            <w:tcW w:w="2679" w:type="pct"/>
          </w:tcPr>
          <w:p w14:paraId="43AB91A9" w14:textId="77777777" w:rsidR="005D5985" w:rsidRDefault="005D5985" w:rsidP="00A77206">
            <w:pPr>
              <w:pStyle w:val="Tabletext0"/>
              <w:keepNext/>
              <w:keepLines/>
              <w:jc w:val="left"/>
            </w:pPr>
            <w:r w:rsidRPr="00BE2835">
              <w:t>Opioid consumption for breakthrough pain</w:t>
            </w:r>
          </w:p>
        </w:tc>
        <w:tc>
          <w:tcPr>
            <w:tcW w:w="774" w:type="pct"/>
          </w:tcPr>
          <w:p w14:paraId="27FFE955" w14:textId="77777777" w:rsidR="005D5985" w:rsidRDefault="005D5985" w:rsidP="00A77206">
            <w:pPr>
              <w:pStyle w:val="Tabletext0"/>
              <w:keepNext/>
              <w:keepLines/>
              <w:jc w:val="left"/>
            </w:pPr>
            <w:r>
              <w:t>$</w:t>
            </w:r>
            <w:r w:rsidRPr="00BE2835">
              <w:t>2.25</w:t>
            </w:r>
          </w:p>
        </w:tc>
        <w:tc>
          <w:tcPr>
            <w:tcW w:w="774" w:type="pct"/>
          </w:tcPr>
          <w:p w14:paraId="1FA73773" w14:textId="77777777" w:rsidR="005D5985" w:rsidRDefault="005D5985" w:rsidP="00A77206">
            <w:pPr>
              <w:pStyle w:val="Tabletext0"/>
              <w:keepNext/>
              <w:keepLines/>
              <w:jc w:val="left"/>
            </w:pPr>
            <w:r>
              <w:t>$2.98</w:t>
            </w:r>
          </w:p>
        </w:tc>
        <w:tc>
          <w:tcPr>
            <w:tcW w:w="773" w:type="pct"/>
          </w:tcPr>
          <w:p w14:paraId="6D06FAE2" w14:textId="77777777" w:rsidR="005D5985" w:rsidRDefault="005D5985" w:rsidP="00A77206">
            <w:pPr>
              <w:pStyle w:val="Tabletext0"/>
              <w:keepNext/>
              <w:keepLines/>
              <w:jc w:val="left"/>
            </w:pPr>
            <w:r>
              <w:t>-$0.73</w:t>
            </w:r>
          </w:p>
        </w:tc>
      </w:tr>
      <w:tr w:rsidR="005D5985" w14:paraId="2B985AE2" w14:textId="77777777" w:rsidTr="007E16D1">
        <w:tc>
          <w:tcPr>
            <w:tcW w:w="2679" w:type="pct"/>
          </w:tcPr>
          <w:p w14:paraId="37C34AA3" w14:textId="77777777" w:rsidR="005D5985" w:rsidRDefault="005D5985" w:rsidP="00A77206">
            <w:pPr>
              <w:pStyle w:val="Tabletext0"/>
              <w:keepNext/>
              <w:keepLines/>
              <w:jc w:val="left"/>
            </w:pPr>
            <w:r>
              <w:t>Block failure/re-attempt</w:t>
            </w:r>
          </w:p>
        </w:tc>
        <w:tc>
          <w:tcPr>
            <w:tcW w:w="774" w:type="pct"/>
          </w:tcPr>
          <w:p w14:paraId="5A1323E2" w14:textId="77777777" w:rsidR="005D5985" w:rsidRDefault="005D5985" w:rsidP="00A77206">
            <w:pPr>
              <w:pStyle w:val="Tabletext0"/>
              <w:keepNext/>
              <w:keepLines/>
              <w:jc w:val="left"/>
            </w:pPr>
            <w:r>
              <w:t>$28.65</w:t>
            </w:r>
          </w:p>
        </w:tc>
        <w:tc>
          <w:tcPr>
            <w:tcW w:w="774" w:type="pct"/>
          </w:tcPr>
          <w:p w14:paraId="2B5478AF" w14:textId="77777777" w:rsidR="005D5985" w:rsidRDefault="005D5985" w:rsidP="00A77206">
            <w:pPr>
              <w:pStyle w:val="Tabletext0"/>
              <w:keepNext/>
              <w:keepLines/>
              <w:jc w:val="left"/>
            </w:pPr>
            <w:r>
              <w:t>$11.25</w:t>
            </w:r>
          </w:p>
        </w:tc>
        <w:tc>
          <w:tcPr>
            <w:tcW w:w="773" w:type="pct"/>
          </w:tcPr>
          <w:p w14:paraId="62A69469" w14:textId="77777777" w:rsidR="005D5985" w:rsidRDefault="005D5985" w:rsidP="00A77206">
            <w:pPr>
              <w:pStyle w:val="Tabletext0"/>
              <w:keepNext/>
              <w:keepLines/>
              <w:jc w:val="left"/>
            </w:pPr>
            <w:r>
              <w:t>$17.41</w:t>
            </w:r>
          </w:p>
        </w:tc>
      </w:tr>
      <w:tr w:rsidR="005D5985" w14:paraId="258F762E" w14:textId="77777777" w:rsidTr="007E16D1">
        <w:tc>
          <w:tcPr>
            <w:tcW w:w="2679" w:type="pct"/>
          </w:tcPr>
          <w:p w14:paraId="0EE368AC" w14:textId="77777777" w:rsidR="005D5985" w:rsidRDefault="005D5985" w:rsidP="00A77206">
            <w:pPr>
              <w:pStyle w:val="Tabletext0"/>
              <w:keepNext/>
              <w:keepLines/>
              <w:jc w:val="left"/>
            </w:pPr>
            <w:r>
              <w:t xml:space="preserve">Antiemetic use for nausea/vomiting </w:t>
            </w:r>
          </w:p>
        </w:tc>
        <w:tc>
          <w:tcPr>
            <w:tcW w:w="774" w:type="pct"/>
          </w:tcPr>
          <w:p w14:paraId="4533366C" w14:textId="77777777" w:rsidR="005D5985" w:rsidRDefault="005D5985" w:rsidP="00A77206">
            <w:pPr>
              <w:pStyle w:val="Tabletext0"/>
              <w:keepNext/>
              <w:keepLines/>
              <w:jc w:val="left"/>
            </w:pPr>
            <w:r>
              <w:t>$4.49</w:t>
            </w:r>
          </w:p>
        </w:tc>
        <w:tc>
          <w:tcPr>
            <w:tcW w:w="774" w:type="pct"/>
          </w:tcPr>
          <w:p w14:paraId="58BB9FF4" w14:textId="77777777" w:rsidR="005D5985" w:rsidRDefault="005D5985" w:rsidP="00A77206">
            <w:pPr>
              <w:pStyle w:val="Tabletext0"/>
              <w:keepNext/>
              <w:keepLines/>
              <w:jc w:val="left"/>
            </w:pPr>
            <w:r>
              <w:t>$6.29</w:t>
            </w:r>
          </w:p>
        </w:tc>
        <w:tc>
          <w:tcPr>
            <w:tcW w:w="773" w:type="pct"/>
          </w:tcPr>
          <w:p w14:paraId="30F441DD" w14:textId="77777777" w:rsidR="005D5985" w:rsidRDefault="005D5985" w:rsidP="00A77206">
            <w:pPr>
              <w:pStyle w:val="Tabletext0"/>
              <w:keepNext/>
              <w:keepLines/>
              <w:jc w:val="left"/>
            </w:pPr>
            <w:r>
              <w:t>-$1.80</w:t>
            </w:r>
          </w:p>
        </w:tc>
      </w:tr>
      <w:tr w:rsidR="005D5985" w14:paraId="43929345" w14:textId="77777777" w:rsidTr="007E16D1">
        <w:tc>
          <w:tcPr>
            <w:tcW w:w="2679" w:type="pct"/>
          </w:tcPr>
          <w:p w14:paraId="0BB593B6" w14:textId="77777777" w:rsidR="005D5985" w:rsidRDefault="005D5985" w:rsidP="00A77206">
            <w:pPr>
              <w:pStyle w:val="Tabletext0"/>
              <w:keepNext/>
              <w:keepLines/>
              <w:jc w:val="left"/>
            </w:pPr>
            <w:r w:rsidRPr="00D059DF">
              <w:rPr>
                <w:b/>
                <w:bCs/>
              </w:rPr>
              <w:t>Total</w:t>
            </w:r>
          </w:p>
        </w:tc>
        <w:tc>
          <w:tcPr>
            <w:tcW w:w="774" w:type="pct"/>
          </w:tcPr>
          <w:p w14:paraId="4FF06E28" w14:textId="77777777" w:rsidR="005D5985" w:rsidRDefault="005D5985" w:rsidP="00A77206">
            <w:pPr>
              <w:pStyle w:val="Tabletext0"/>
              <w:keepNext/>
              <w:keepLines/>
              <w:jc w:val="left"/>
            </w:pPr>
            <w:r>
              <w:rPr>
                <w:rFonts w:eastAsia="SimSun"/>
                <w:b/>
                <w:bCs/>
              </w:rPr>
              <w:t>$</w:t>
            </w:r>
            <w:r w:rsidRPr="00D059DF">
              <w:rPr>
                <w:rFonts w:eastAsia="SimSun"/>
                <w:b/>
                <w:bCs/>
              </w:rPr>
              <w:t>4,</w:t>
            </w:r>
            <w:r w:rsidRPr="00D059DF">
              <w:rPr>
                <w:rFonts w:eastAsiaTheme="minorHAnsi"/>
                <w:b/>
                <w:bCs/>
              </w:rPr>
              <w:t>55</w:t>
            </w:r>
            <w:r>
              <w:rPr>
                <w:rFonts w:eastAsiaTheme="minorHAnsi"/>
                <w:b/>
                <w:bCs/>
              </w:rPr>
              <w:t>6.34</w:t>
            </w:r>
          </w:p>
        </w:tc>
        <w:tc>
          <w:tcPr>
            <w:tcW w:w="774" w:type="pct"/>
          </w:tcPr>
          <w:p w14:paraId="55BEC17B" w14:textId="77777777" w:rsidR="005D5985" w:rsidRDefault="005D5985" w:rsidP="00A77206">
            <w:pPr>
              <w:pStyle w:val="Tabletext0"/>
              <w:keepNext/>
              <w:keepLines/>
              <w:jc w:val="left"/>
              <w:rPr>
                <w:rFonts w:eastAsiaTheme="minorHAnsi"/>
                <w:b/>
                <w:bCs/>
              </w:rPr>
            </w:pPr>
            <w:r>
              <w:rPr>
                <w:rFonts w:eastAsiaTheme="minorHAnsi"/>
                <w:b/>
                <w:bCs/>
              </w:rPr>
              <w:t>$</w:t>
            </w:r>
            <w:r w:rsidRPr="00D059DF">
              <w:rPr>
                <w:rFonts w:eastAsiaTheme="minorHAnsi"/>
                <w:b/>
                <w:bCs/>
              </w:rPr>
              <w:t>4,</w:t>
            </w:r>
            <w:r>
              <w:rPr>
                <w:rFonts w:eastAsiaTheme="minorHAnsi"/>
                <w:b/>
                <w:bCs/>
              </w:rPr>
              <w:t>401.97</w:t>
            </w:r>
          </w:p>
        </w:tc>
        <w:tc>
          <w:tcPr>
            <w:tcW w:w="773" w:type="pct"/>
          </w:tcPr>
          <w:p w14:paraId="12117A6E" w14:textId="77777777" w:rsidR="005D5985" w:rsidRDefault="005D5985" w:rsidP="00A77206">
            <w:pPr>
              <w:pStyle w:val="Tabletext0"/>
              <w:keepNext/>
              <w:keepLines/>
              <w:jc w:val="left"/>
              <w:rPr>
                <w:rFonts w:eastAsiaTheme="minorHAnsi"/>
                <w:b/>
                <w:bCs/>
              </w:rPr>
            </w:pPr>
            <w:r>
              <w:rPr>
                <w:rFonts w:eastAsiaTheme="minorHAnsi"/>
                <w:b/>
                <w:bCs/>
              </w:rPr>
              <w:t>$</w:t>
            </w:r>
            <w:r w:rsidRPr="00D059DF">
              <w:rPr>
                <w:rFonts w:eastAsiaTheme="minorHAnsi"/>
                <w:b/>
                <w:bCs/>
              </w:rPr>
              <w:t>1</w:t>
            </w:r>
            <w:r>
              <w:rPr>
                <w:rFonts w:eastAsiaTheme="minorHAnsi"/>
                <w:b/>
                <w:bCs/>
              </w:rPr>
              <w:t>54.37</w:t>
            </w:r>
          </w:p>
        </w:tc>
      </w:tr>
    </w:tbl>
    <w:p w14:paraId="1A8638BB" w14:textId="1E258029" w:rsidR="007E16D1" w:rsidRDefault="007E16D1" w:rsidP="00A77206">
      <w:pPr>
        <w:pStyle w:val="TableFooter"/>
        <w:keepNext/>
        <w:keepLines/>
        <w:spacing w:before="0"/>
      </w:pPr>
      <w:r>
        <w:t>Source: DCAR Table 15</w:t>
      </w:r>
    </w:p>
    <w:p w14:paraId="55724FCA" w14:textId="77777777" w:rsidR="005D5985" w:rsidRPr="00DA5E35" w:rsidRDefault="005D5985" w:rsidP="00EE61CE">
      <w:pPr>
        <w:spacing w:before="240"/>
        <w:rPr>
          <w:rFonts w:ascii="Franklin Gothic Book" w:hAnsi="Franklin Gothic Book"/>
          <w:b/>
          <w:bCs/>
          <w:sz w:val="24"/>
          <w:szCs w:val="24"/>
        </w:rPr>
      </w:pPr>
      <w:r w:rsidRPr="00DA5E35">
        <w:rPr>
          <w:rFonts w:ascii="Franklin Gothic Book" w:hAnsi="Franklin Gothic Book"/>
          <w:b/>
          <w:bCs/>
          <w:sz w:val="24"/>
          <w:szCs w:val="24"/>
        </w:rPr>
        <w:t>Uncertainty analysis</w:t>
      </w:r>
    </w:p>
    <w:p w14:paraId="1D6BD30C" w14:textId="77777777" w:rsidR="005D5985" w:rsidRPr="00DA5E35" w:rsidRDefault="005D5985" w:rsidP="005D5985">
      <w:pPr>
        <w:rPr>
          <w:rFonts w:ascii="Franklin Gothic Book" w:hAnsi="Franklin Gothic Book"/>
        </w:rPr>
      </w:pPr>
      <w:r w:rsidRPr="00DA5E35">
        <w:rPr>
          <w:rFonts w:ascii="Franklin Gothic Book" w:hAnsi="Franklin Gothic Book"/>
        </w:rPr>
        <w:t xml:space="preserve">A deterministic one-way sensitivity analysis was undertaken to investigate the impact of parameter uncertainty on disaggregated outcomes. Uncertainty ranges were included for the following input parameters: probability of nausea and vomiting, block-related complications or need for rescue analgesia; effectiveness payoff (i.e. pain; inverse VAS); resource utilisation parameters of length of hospital stay and average number of opioid doses required for rescue analgesia; and additional out of pocket costs above the MBS fee for the proposed item and for the comparator. </w:t>
      </w:r>
    </w:p>
    <w:p w14:paraId="4C8C44F5" w14:textId="77777777" w:rsidR="005D5985" w:rsidRPr="00DA5E35" w:rsidRDefault="005D5985" w:rsidP="005D5985">
      <w:pPr>
        <w:rPr>
          <w:rFonts w:ascii="Franklin Gothic Book" w:hAnsi="Franklin Gothic Book"/>
        </w:rPr>
      </w:pPr>
      <w:r w:rsidRPr="00DA5E35">
        <w:rPr>
          <w:rFonts w:ascii="Franklin Gothic Book" w:hAnsi="Franklin Gothic Book"/>
        </w:rPr>
        <w:t xml:space="preserve">Scenario analyses were undertaken to investigate alternative modes of delivery (i.e. inpatient vs ambulatory continuous nerve block) and to compare the intervention to the secondary comparators (i.e. neuraxial block and intravenous opioids). </w:t>
      </w:r>
    </w:p>
    <w:p w14:paraId="3C3E3D6D" w14:textId="35CC3009" w:rsidR="005D5985" w:rsidRDefault="005D5985" w:rsidP="005D5985">
      <w:r w:rsidRPr="00DA5E35">
        <w:rPr>
          <w:rFonts w:ascii="Franklin Gothic Book" w:hAnsi="Franklin Gothic Book"/>
        </w:rPr>
        <w:t xml:space="preserve">Key drivers of the model are summarised in </w:t>
      </w:r>
      <w:r w:rsidRPr="00DA5E35">
        <w:rPr>
          <w:rFonts w:ascii="Franklin Gothic Book" w:hAnsi="Franklin Gothic Book"/>
        </w:rPr>
        <w:fldChar w:fldCharType="begin"/>
      </w:r>
      <w:r w:rsidRPr="00DA5E35">
        <w:rPr>
          <w:rFonts w:ascii="Franklin Gothic Book" w:hAnsi="Franklin Gothic Book"/>
        </w:rPr>
        <w:instrText xml:space="preserve"> REF _Ref69726321 \h </w:instrText>
      </w:r>
      <w:r w:rsidR="00DA5E35">
        <w:rPr>
          <w:rFonts w:ascii="Franklin Gothic Book" w:hAnsi="Franklin Gothic Book"/>
        </w:rPr>
        <w:instrText xml:space="preserve"> \* MERGEFORMAT </w:instrText>
      </w:r>
      <w:r w:rsidRPr="00DA5E35">
        <w:rPr>
          <w:rFonts w:ascii="Franklin Gothic Book" w:hAnsi="Franklin Gothic Book"/>
        </w:rPr>
      </w:r>
      <w:r w:rsidRPr="00DA5E35">
        <w:rPr>
          <w:rFonts w:ascii="Franklin Gothic Book" w:hAnsi="Franklin Gothic Book"/>
        </w:rPr>
        <w:fldChar w:fldCharType="separate"/>
      </w:r>
      <w:r w:rsidR="002C38EC" w:rsidRPr="002C38EC">
        <w:rPr>
          <w:rFonts w:ascii="Franklin Gothic Book" w:hAnsi="Franklin Gothic Book"/>
        </w:rPr>
        <w:t>Table 17</w:t>
      </w:r>
      <w:r w:rsidRPr="00DA5E35">
        <w:rPr>
          <w:rFonts w:ascii="Franklin Gothic Book" w:hAnsi="Franklin Gothic Book"/>
        </w:rPr>
        <w:fldChar w:fldCharType="end"/>
      </w:r>
      <w:r w:rsidRPr="00DA5E35">
        <w:rPr>
          <w:rFonts w:ascii="Franklin Gothic Book" w:hAnsi="Franklin Gothic Book"/>
        </w:rPr>
        <w:t>.</w:t>
      </w:r>
      <w:bookmarkEnd w:id="48"/>
    </w:p>
    <w:p w14:paraId="3AC750F2" w14:textId="4621FABA" w:rsidR="005D5985" w:rsidRPr="00306E38" w:rsidRDefault="005D5985" w:rsidP="00A77206">
      <w:pPr>
        <w:pStyle w:val="Caption"/>
        <w:keepLines/>
      </w:pPr>
      <w:bookmarkStart w:id="50" w:name="_Ref69726321"/>
      <w:r w:rsidRPr="00306E38">
        <w:lastRenderedPageBreak/>
        <w:t>Table </w:t>
      </w:r>
      <w:r>
        <w:fldChar w:fldCharType="begin"/>
      </w:r>
      <w:r>
        <w:instrText>SEQ Table \* ARABIC</w:instrText>
      </w:r>
      <w:r>
        <w:fldChar w:fldCharType="separate"/>
      </w:r>
      <w:r w:rsidR="00210D50">
        <w:rPr>
          <w:noProof/>
        </w:rPr>
        <w:t>17</w:t>
      </w:r>
      <w:r>
        <w:fldChar w:fldCharType="end"/>
      </w:r>
      <w:bookmarkEnd w:id="50"/>
      <w:r w:rsidRPr="00306E38">
        <w:tab/>
        <w:t xml:space="preserve">Key drivers of the </w:t>
      </w:r>
      <w:r>
        <w:t>model (continuous nerve block versus single-injection nerve block)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58"/>
        <w:gridCol w:w="4400"/>
        <w:gridCol w:w="3058"/>
      </w:tblGrid>
      <w:tr w:rsidR="005D5985" w:rsidRPr="00306E38" w14:paraId="00D4713D" w14:textId="77777777">
        <w:trPr>
          <w:cantSplit/>
          <w:trHeight w:val="347"/>
          <w:tblHeader/>
        </w:trPr>
        <w:tc>
          <w:tcPr>
            <w:tcW w:w="864" w:type="pct"/>
            <w:shd w:val="clear" w:color="auto" w:fill="auto"/>
            <w:vAlign w:val="center"/>
          </w:tcPr>
          <w:p w14:paraId="0B791F4C" w14:textId="77777777" w:rsidR="005D5985" w:rsidRPr="00306E38" w:rsidRDefault="005D5985" w:rsidP="00A77206">
            <w:pPr>
              <w:pStyle w:val="TableText"/>
              <w:keepNext/>
              <w:keepLines/>
            </w:pPr>
            <w:bookmarkStart w:id="51" w:name="Title_Table10" w:colFirst="0" w:colLast="0"/>
            <w:bookmarkStart w:id="52" w:name="_Hlk68276626"/>
            <w:r w:rsidRPr="00D059DF">
              <w:rPr>
                <w:rFonts w:eastAsiaTheme="minorHAnsi"/>
                <w:b/>
              </w:rPr>
              <w:t>Description</w:t>
            </w:r>
          </w:p>
        </w:tc>
        <w:tc>
          <w:tcPr>
            <w:tcW w:w="2440" w:type="pct"/>
            <w:shd w:val="clear" w:color="auto" w:fill="auto"/>
            <w:vAlign w:val="center"/>
          </w:tcPr>
          <w:p w14:paraId="40B24FBF" w14:textId="77777777" w:rsidR="005D5985" w:rsidRPr="00306E38" w:rsidRDefault="005D5985" w:rsidP="00A77206">
            <w:pPr>
              <w:pStyle w:val="TableText"/>
              <w:keepNext/>
              <w:keepLines/>
            </w:pPr>
            <w:r w:rsidRPr="00D059DF">
              <w:rPr>
                <w:rFonts w:eastAsiaTheme="minorHAnsi"/>
                <w:b/>
              </w:rPr>
              <w:t>Method/Value</w:t>
            </w:r>
          </w:p>
        </w:tc>
        <w:tc>
          <w:tcPr>
            <w:tcW w:w="1696" w:type="pct"/>
            <w:shd w:val="clear" w:color="auto" w:fill="auto"/>
            <w:vAlign w:val="center"/>
          </w:tcPr>
          <w:p w14:paraId="13AA2184" w14:textId="77777777" w:rsidR="005D5985" w:rsidRPr="00306E38" w:rsidRDefault="005D5985" w:rsidP="00A77206">
            <w:pPr>
              <w:pStyle w:val="TableText"/>
              <w:keepNext/>
              <w:keepLines/>
            </w:pPr>
            <w:r w:rsidRPr="00D059DF">
              <w:rPr>
                <w:rFonts w:eastAsiaTheme="minorHAnsi"/>
                <w:b/>
              </w:rPr>
              <w:t>Impact</w:t>
            </w:r>
          </w:p>
        </w:tc>
      </w:tr>
      <w:bookmarkEnd w:id="51"/>
      <w:tr w:rsidR="005D5985" w:rsidRPr="00306E38" w14:paraId="6145157A" w14:textId="77777777">
        <w:trPr>
          <w:cantSplit/>
          <w:trHeight w:val="1557"/>
        </w:trPr>
        <w:tc>
          <w:tcPr>
            <w:tcW w:w="864" w:type="pct"/>
            <w:shd w:val="clear" w:color="auto" w:fill="auto"/>
            <w:vAlign w:val="center"/>
          </w:tcPr>
          <w:p w14:paraId="7108F20C" w14:textId="77777777" w:rsidR="005D5985" w:rsidRPr="00306E38" w:rsidRDefault="005D5985" w:rsidP="00A77206">
            <w:pPr>
              <w:pStyle w:val="TableText"/>
              <w:keepNext/>
              <w:keepLines/>
              <w:rPr>
                <w:lang w:val="en-US"/>
              </w:rPr>
            </w:pPr>
            <w:r w:rsidRPr="00306E38">
              <w:rPr>
                <w:lang w:val="en-US"/>
              </w:rPr>
              <w:t>Effectiveness payoff</w:t>
            </w:r>
          </w:p>
        </w:tc>
        <w:tc>
          <w:tcPr>
            <w:tcW w:w="2440" w:type="pct"/>
            <w:shd w:val="clear" w:color="auto" w:fill="auto"/>
            <w:vAlign w:val="center"/>
          </w:tcPr>
          <w:p w14:paraId="7F3A9BBC" w14:textId="77777777" w:rsidR="005D5985" w:rsidRPr="00306E38" w:rsidRDefault="005D5985" w:rsidP="00A77206">
            <w:pPr>
              <w:pStyle w:val="TableText"/>
              <w:keepNext/>
              <w:keepLines/>
              <w:rPr>
                <w:lang w:val="en-US"/>
              </w:rPr>
            </w:pPr>
            <w:r w:rsidRPr="00306E38">
              <w:rPr>
                <w:lang w:val="en-US"/>
              </w:rPr>
              <w:t>Postoperative pain experienced at 48 hours following knee surgery measured on a 0</w:t>
            </w:r>
            <w:r>
              <w:rPr>
                <w:lang w:val="en-US"/>
              </w:rPr>
              <w:t>–</w:t>
            </w:r>
            <w:r w:rsidRPr="00306E38">
              <w:rPr>
                <w:lang w:val="en-US"/>
              </w:rPr>
              <w:t>10 VAS.</w:t>
            </w:r>
          </w:p>
          <w:p w14:paraId="06757DE7" w14:textId="77777777" w:rsidR="005D5985" w:rsidRPr="00306E38" w:rsidRDefault="005D5985" w:rsidP="00A77206">
            <w:pPr>
              <w:pStyle w:val="TableText"/>
              <w:keepNext/>
              <w:keepLines/>
              <w:rPr>
                <w:lang w:val="en-US"/>
              </w:rPr>
            </w:pPr>
            <w:r w:rsidRPr="00306E38">
              <w:rPr>
                <w:lang w:val="en-US"/>
              </w:rPr>
              <w:t xml:space="preserve">The inverse of the reported VAS scores, for </w:t>
            </w:r>
            <w:r>
              <w:rPr>
                <w:lang w:val="en-US"/>
              </w:rPr>
              <w:t>continuous nerve block</w:t>
            </w:r>
            <w:r w:rsidRPr="00306E38">
              <w:rPr>
                <w:lang w:val="en-US"/>
              </w:rPr>
              <w:t xml:space="preserve"> and </w:t>
            </w:r>
            <w:r>
              <w:rPr>
                <w:lang w:val="en-US"/>
              </w:rPr>
              <w:t>single-injection nerve block</w:t>
            </w:r>
            <w:r w:rsidRPr="00306E38">
              <w:rPr>
                <w:lang w:val="en-US"/>
              </w:rPr>
              <w:t>, were used as model inputs for the CEA. These inputs were each associated with a 95% CI for sensitivity analysis.</w:t>
            </w:r>
          </w:p>
        </w:tc>
        <w:tc>
          <w:tcPr>
            <w:tcW w:w="1696" w:type="pct"/>
            <w:shd w:val="clear" w:color="auto" w:fill="auto"/>
            <w:vAlign w:val="center"/>
          </w:tcPr>
          <w:p w14:paraId="646BAB1B" w14:textId="77777777" w:rsidR="005D5985" w:rsidRDefault="005D5985" w:rsidP="00A77206">
            <w:pPr>
              <w:pStyle w:val="TableText"/>
              <w:keepNext/>
              <w:keepLines/>
              <w:rPr>
                <w:i/>
                <w:lang w:val="en-US"/>
              </w:rPr>
            </w:pPr>
            <w:r w:rsidRPr="00306E38">
              <w:rPr>
                <w:i/>
                <w:lang w:val="en-US"/>
              </w:rPr>
              <w:t>High, direction of effect (i.e. if favours intervention or comparator) is uncertain</w:t>
            </w:r>
            <w:r>
              <w:rPr>
                <w:i/>
                <w:lang w:val="en-US"/>
              </w:rPr>
              <w:t xml:space="preserve">. </w:t>
            </w:r>
          </w:p>
          <w:p w14:paraId="119020C0" w14:textId="77777777" w:rsidR="005D5985" w:rsidRPr="00306E38" w:rsidRDefault="005D5985" w:rsidP="00A77206">
            <w:pPr>
              <w:pStyle w:val="TableText"/>
              <w:keepNext/>
              <w:keepLines/>
              <w:rPr>
                <w:i/>
                <w:lang w:val="en-US"/>
              </w:rPr>
            </w:pPr>
            <w:r>
              <w:rPr>
                <w:i/>
                <w:lang w:val="en-US"/>
              </w:rPr>
              <w:t>Note: clinical assessment found a significant and clinically meaningful difference in post-surgical pain at 48 hours in favour of continuous nerve block.</w:t>
            </w:r>
            <w:r w:rsidRPr="00306E38">
              <w:rPr>
                <w:i/>
                <w:lang w:val="en-US"/>
              </w:rPr>
              <w:t xml:space="preserve"> </w:t>
            </w:r>
          </w:p>
        </w:tc>
      </w:tr>
      <w:tr w:rsidR="005D5985" w:rsidRPr="00306E38" w14:paraId="644DD660" w14:textId="77777777">
        <w:trPr>
          <w:cantSplit/>
          <w:trHeight w:val="1557"/>
        </w:trPr>
        <w:tc>
          <w:tcPr>
            <w:tcW w:w="864" w:type="pct"/>
            <w:shd w:val="clear" w:color="auto" w:fill="auto"/>
            <w:vAlign w:val="center"/>
          </w:tcPr>
          <w:p w14:paraId="3255DE36" w14:textId="77777777" w:rsidR="005D5985" w:rsidRPr="00306E38" w:rsidRDefault="005D5985" w:rsidP="00A77206">
            <w:pPr>
              <w:pStyle w:val="TableText"/>
              <w:keepNext/>
              <w:keepLines/>
              <w:rPr>
                <w:lang w:val="en-US"/>
              </w:rPr>
            </w:pPr>
            <w:r>
              <w:rPr>
                <w:lang w:val="en-US"/>
              </w:rPr>
              <w:t>Relative duration of hospital stay</w:t>
            </w:r>
          </w:p>
        </w:tc>
        <w:tc>
          <w:tcPr>
            <w:tcW w:w="2440" w:type="pct"/>
            <w:shd w:val="clear" w:color="auto" w:fill="auto"/>
            <w:vAlign w:val="center"/>
          </w:tcPr>
          <w:p w14:paraId="233A7EE2" w14:textId="77777777" w:rsidR="005D5985" w:rsidRDefault="005D5985" w:rsidP="00A77206">
            <w:pPr>
              <w:pStyle w:val="TableText"/>
              <w:keepNext/>
              <w:keepLines/>
              <w:rPr>
                <w:lang w:val="en-US"/>
              </w:rPr>
            </w:pPr>
            <w:r>
              <w:rPr>
                <w:lang w:val="en-US"/>
              </w:rPr>
              <w:t>Length of hospital stay inputs were informed by an existing SR, which reported a non-significant difference after knee surgery with continuous or single-injection nerve block.</w:t>
            </w:r>
          </w:p>
          <w:p w14:paraId="16225F99" w14:textId="77777777" w:rsidR="005D5985" w:rsidRPr="00306E38" w:rsidRDefault="005D5985" w:rsidP="00A77206">
            <w:pPr>
              <w:pStyle w:val="TableText"/>
              <w:keepNext/>
              <w:keepLines/>
              <w:rPr>
                <w:lang w:val="en-US"/>
              </w:rPr>
            </w:pPr>
            <w:r>
              <w:rPr>
                <w:lang w:val="en-US"/>
              </w:rPr>
              <w:t xml:space="preserve">These inputs were each associated with a 95% CI for sensitivity analysis. </w:t>
            </w:r>
          </w:p>
        </w:tc>
        <w:tc>
          <w:tcPr>
            <w:tcW w:w="1696" w:type="pct"/>
            <w:shd w:val="clear" w:color="auto" w:fill="auto"/>
            <w:vAlign w:val="center"/>
          </w:tcPr>
          <w:p w14:paraId="3FBA2C9A" w14:textId="77777777" w:rsidR="005D5985" w:rsidRPr="00306E38" w:rsidRDefault="005D5985" w:rsidP="00A77206">
            <w:pPr>
              <w:pStyle w:val="TableText"/>
              <w:keepNext/>
              <w:keepLines/>
              <w:rPr>
                <w:i/>
                <w:lang w:val="en-US"/>
              </w:rPr>
            </w:pPr>
            <w:r>
              <w:rPr>
                <w:i/>
                <w:lang w:val="en-US"/>
              </w:rPr>
              <w:t xml:space="preserve">High impact on incremental costs, </w:t>
            </w:r>
            <w:r w:rsidRPr="00306E38">
              <w:rPr>
                <w:i/>
                <w:lang w:val="en-US"/>
              </w:rPr>
              <w:t>direction of effect (i.e. if favours intervention or comparator) is uncertain</w:t>
            </w:r>
            <w:r>
              <w:rPr>
                <w:i/>
                <w:lang w:val="en-US"/>
              </w:rPr>
              <w:t>.</w:t>
            </w:r>
          </w:p>
        </w:tc>
      </w:tr>
      <w:tr w:rsidR="005D5985" w:rsidRPr="00306E38" w14:paraId="1DE6263A" w14:textId="77777777">
        <w:trPr>
          <w:cantSplit/>
          <w:trHeight w:val="1557"/>
        </w:trPr>
        <w:tc>
          <w:tcPr>
            <w:tcW w:w="864" w:type="pct"/>
            <w:shd w:val="clear" w:color="auto" w:fill="auto"/>
            <w:vAlign w:val="center"/>
          </w:tcPr>
          <w:p w14:paraId="19261731" w14:textId="77777777" w:rsidR="005D5985" w:rsidRPr="00306E38" w:rsidRDefault="005D5985" w:rsidP="00A77206">
            <w:pPr>
              <w:pStyle w:val="TableText"/>
              <w:keepNext/>
              <w:keepLines/>
              <w:rPr>
                <w:lang w:val="en-US"/>
              </w:rPr>
            </w:pPr>
            <w:r>
              <w:rPr>
                <w:lang w:val="en-US"/>
              </w:rPr>
              <w:t>Relative out-of-pocket costs for the nerve block procedure</w:t>
            </w:r>
          </w:p>
        </w:tc>
        <w:tc>
          <w:tcPr>
            <w:tcW w:w="2440" w:type="pct"/>
            <w:shd w:val="clear" w:color="auto" w:fill="auto"/>
            <w:vAlign w:val="center"/>
          </w:tcPr>
          <w:p w14:paraId="65545F02" w14:textId="77777777" w:rsidR="005D5985" w:rsidRPr="00306E38" w:rsidRDefault="005D5985" w:rsidP="00A77206">
            <w:pPr>
              <w:pStyle w:val="TableText"/>
              <w:keepNext/>
              <w:keepLines/>
              <w:rPr>
                <w:lang w:val="en-US"/>
              </w:rPr>
            </w:pPr>
            <w:r>
              <w:rPr>
                <w:lang w:val="en-US"/>
              </w:rPr>
              <w:t>Out-of-pocket costs (above the MBS fee) were included for both continuous and single-injection nerve blocks. In the absence of data on out-of-pocket costs for item 22041, these inputs were set equal across arms in the base case. They were varied, individually, in sensitivity analysis using an arbitrary ±20%.</w:t>
            </w:r>
          </w:p>
        </w:tc>
        <w:tc>
          <w:tcPr>
            <w:tcW w:w="1696" w:type="pct"/>
            <w:shd w:val="clear" w:color="auto" w:fill="auto"/>
            <w:vAlign w:val="center"/>
          </w:tcPr>
          <w:p w14:paraId="70CDB002" w14:textId="77777777" w:rsidR="005D5985" w:rsidRPr="00306E38" w:rsidRDefault="005D5985" w:rsidP="00A77206">
            <w:pPr>
              <w:pStyle w:val="TableText"/>
              <w:keepNext/>
              <w:keepLines/>
              <w:rPr>
                <w:i/>
                <w:lang w:val="en-US"/>
              </w:rPr>
            </w:pPr>
            <w:r>
              <w:rPr>
                <w:i/>
                <w:lang w:val="en-US"/>
              </w:rPr>
              <w:t>High impact on incremental costs. Impact dependent on relative value of out-of-pocket costs across arms. Lack of data for MBS item 22041 inhibited further exploration of this issue.</w:t>
            </w:r>
          </w:p>
        </w:tc>
      </w:tr>
      <w:tr w:rsidR="005D5985" w:rsidRPr="00306E38" w14:paraId="1812F33B" w14:textId="77777777">
        <w:trPr>
          <w:cantSplit/>
          <w:trHeight w:val="1027"/>
        </w:trPr>
        <w:tc>
          <w:tcPr>
            <w:tcW w:w="864" w:type="pct"/>
            <w:shd w:val="clear" w:color="auto" w:fill="auto"/>
            <w:vAlign w:val="center"/>
          </w:tcPr>
          <w:p w14:paraId="21554F52" w14:textId="77777777" w:rsidR="005D5985" w:rsidRPr="00306E38" w:rsidRDefault="005D5985" w:rsidP="00A77206">
            <w:pPr>
              <w:pStyle w:val="TableText"/>
              <w:keepNext/>
              <w:keepLines/>
              <w:rPr>
                <w:lang w:val="en-US"/>
              </w:rPr>
            </w:pPr>
            <w:r w:rsidRPr="00306E38">
              <w:rPr>
                <w:lang w:val="en-US"/>
              </w:rPr>
              <w:t xml:space="preserve">Setting for </w:t>
            </w:r>
            <w:r>
              <w:rPr>
                <w:lang w:val="en-US"/>
              </w:rPr>
              <w:t>continuous nerve block</w:t>
            </w:r>
            <w:r w:rsidRPr="00306E38">
              <w:rPr>
                <w:lang w:val="en-US"/>
              </w:rPr>
              <w:t xml:space="preserve"> (inpatient vs ambulatory)</w:t>
            </w:r>
            <w:r w:rsidRPr="00306E38">
              <w:rPr>
                <w:vertAlign w:val="superscript"/>
                <w:lang w:val="en-US"/>
              </w:rPr>
              <w:t>a</w:t>
            </w:r>
          </w:p>
        </w:tc>
        <w:tc>
          <w:tcPr>
            <w:tcW w:w="2440" w:type="pct"/>
            <w:shd w:val="clear" w:color="auto" w:fill="auto"/>
            <w:vAlign w:val="center"/>
          </w:tcPr>
          <w:p w14:paraId="60D0C4DE" w14:textId="77777777" w:rsidR="005D5985" w:rsidRPr="00306E38" w:rsidRDefault="005D5985" w:rsidP="00A77206">
            <w:pPr>
              <w:pStyle w:val="TableText"/>
              <w:keepNext/>
              <w:keepLines/>
              <w:rPr>
                <w:lang w:val="en-US"/>
              </w:rPr>
            </w:pPr>
            <w:r w:rsidRPr="00306E38">
              <w:rPr>
                <w:lang w:val="en-US"/>
              </w:rPr>
              <w:t xml:space="preserve">Scenario analysis using alternate cost inputs to capture the alternate practice for patients who can be discharged with the catheter in place. </w:t>
            </w:r>
          </w:p>
          <w:p w14:paraId="441D6ECF" w14:textId="77777777" w:rsidR="005D5985" w:rsidRPr="00306E38" w:rsidRDefault="005D5985" w:rsidP="00A77206">
            <w:pPr>
              <w:pStyle w:val="TableText"/>
              <w:keepNext/>
              <w:keepLines/>
              <w:rPr>
                <w:lang w:val="en-US"/>
              </w:rPr>
            </w:pPr>
            <w:r w:rsidRPr="00306E38">
              <w:rPr>
                <w:lang w:val="en-US"/>
              </w:rPr>
              <w:t>No change to the clinical evidence used.</w:t>
            </w:r>
          </w:p>
        </w:tc>
        <w:tc>
          <w:tcPr>
            <w:tcW w:w="1696" w:type="pct"/>
            <w:shd w:val="clear" w:color="auto" w:fill="auto"/>
            <w:vAlign w:val="center"/>
          </w:tcPr>
          <w:p w14:paraId="3830E633" w14:textId="77777777" w:rsidR="005D5985" w:rsidRPr="00306E38" w:rsidRDefault="005D5985" w:rsidP="00A77206">
            <w:pPr>
              <w:pStyle w:val="TableText"/>
              <w:keepNext/>
              <w:keepLines/>
            </w:pPr>
            <w:r w:rsidRPr="00306E38">
              <w:rPr>
                <w:i/>
                <w:lang w:val="en-US"/>
              </w:rPr>
              <w:t>High, this scenario favours the comparator.</w:t>
            </w:r>
            <w:r w:rsidRPr="00306E38">
              <w:t xml:space="preserve"> </w:t>
            </w:r>
          </w:p>
          <w:p w14:paraId="46FBF4B0" w14:textId="77777777" w:rsidR="005D5985" w:rsidRPr="00306E38" w:rsidRDefault="005D5985" w:rsidP="00A77206">
            <w:pPr>
              <w:pStyle w:val="TableText"/>
              <w:keepNext/>
              <w:keepLines/>
              <w:rPr>
                <w:i/>
                <w:lang w:val="en-US"/>
              </w:rPr>
            </w:pPr>
            <w:r w:rsidRPr="00306E38">
              <w:rPr>
                <w:i/>
                <w:lang w:val="en-US"/>
              </w:rPr>
              <w:t>Use of alternative cost assumptions increased incremental costs.</w:t>
            </w:r>
          </w:p>
          <w:p w14:paraId="4AE6ECB0" w14:textId="77777777" w:rsidR="005D5985" w:rsidRPr="00306E38" w:rsidRDefault="005D5985" w:rsidP="00A77206">
            <w:pPr>
              <w:pStyle w:val="TableText"/>
              <w:keepNext/>
              <w:keepLines/>
            </w:pPr>
            <w:r w:rsidRPr="00306E38">
              <w:rPr>
                <w:i/>
                <w:lang w:val="en-US"/>
              </w:rPr>
              <w:t>Note: separate clinical evidence for the ambulatory setting was</w:t>
            </w:r>
            <w:r>
              <w:rPr>
                <w:i/>
                <w:lang w:val="en-US"/>
              </w:rPr>
              <w:t xml:space="preserve"> </w:t>
            </w:r>
            <w:r w:rsidRPr="00306E38">
              <w:rPr>
                <w:i/>
                <w:lang w:val="en-US"/>
              </w:rPr>
              <w:t>n</w:t>
            </w:r>
            <w:r>
              <w:rPr>
                <w:i/>
                <w:lang w:val="en-US"/>
              </w:rPr>
              <w:t>o</w:t>
            </w:r>
            <w:r w:rsidRPr="00306E38">
              <w:rPr>
                <w:i/>
                <w:lang w:val="en-US"/>
              </w:rPr>
              <w:t xml:space="preserve">t available. </w:t>
            </w:r>
          </w:p>
        </w:tc>
      </w:tr>
    </w:tbl>
    <w:p w14:paraId="2A09E95D" w14:textId="77777777" w:rsidR="005D5985" w:rsidRPr="00306E38" w:rsidRDefault="005D5985" w:rsidP="00A77206">
      <w:pPr>
        <w:pStyle w:val="Notes-TableFigure"/>
        <w:keepNext/>
        <w:keepLines/>
      </w:pPr>
      <w:bookmarkStart w:id="53" w:name="_Hlk68276635"/>
      <w:bookmarkEnd w:id="52"/>
      <w:r w:rsidRPr="00D059DF">
        <w:rPr>
          <w:b/>
        </w:rPr>
        <w:t>Abbreviations</w:t>
      </w:r>
      <w:r w:rsidRPr="00D059DF">
        <w:t xml:space="preserve">: </w:t>
      </w:r>
      <w:r w:rsidRPr="00D059DF">
        <w:rPr>
          <w:b/>
          <w:bCs/>
        </w:rPr>
        <w:t>CEA</w:t>
      </w:r>
      <w:r>
        <w:t xml:space="preserve"> = cost-effectiveness analysis</w:t>
      </w:r>
      <w:r w:rsidRPr="0064596F">
        <w:t>;</w:t>
      </w:r>
      <w:r>
        <w:t xml:space="preserve"> </w:t>
      </w:r>
      <w:r>
        <w:rPr>
          <w:b/>
          <w:bCs/>
        </w:rPr>
        <w:t xml:space="preserve">CI </w:t>
      </w:r>
      <w:r>
        <w:t>= confidence interval</w:t>
      </w:r>
      <w:r w:rsidRPr="00306E38">
        <w:t xml:space="preserve"> </w:t>
      </w:r>
    </w:p>
    <w:p w14:paraId="1571D999" w14:textId="2B657409" w:rsidR="005D5985" w:rsidRDefault="005D5985" w:rsidP="00A77206">
      <w:pPr>
        <w:pStyle w:val="Notes-TableFigure"/>
        <w:keepNext/>
        <w:keepLines/>
      </w:pPr>
      <w:r w:rsidRPr="00D059DF">
        <w:rPr>
          <w:b/>
        </w:rPr>
        <w:t>Notes</w:t>
      </w:r>
      <w:r w:rsidRPr="00D059DF">
        <w:t>:</w:t>
      </w:r>
      <w:r w:rsidR="00652476">
        <w:rPr>
          <w:b/>
          <w:bCs/>
        </w:rPr>
        <w:t xml:space="preserve"> </w:t>
      </w:r>
      <w:r w:rsidRPr="00306E38">
        <w:rPr>
          <w:b/>
          <w:bCs/>
        </w:rPr>
        <w:t>a</w:t>
      </w:r>
      <w:r>
        <w:t xml:space="preserve"> =</w:t>
      </w:r>
      <w:r w:rsidRPr="00D059DF">
        <w:t xml:space="preserve"> </w:t>
      </w:r>
      <w:r w:rsidRPr="00E51D78">
        <w:t>Number</w:t>
      </w:r>
      <w:r w:rsidRPr="00306E38">
        <w:t xml:space="preserve"> of ambulatory patients as a proportion of likely use remains unknown</w:t>
      </w:r>
      <w:r>
        <w:t xml:space="preserve"> (noted in the ratified PICO)</w:t>
      </w:r>
      <w:r w:rsidRPr="00306E38">
        <w:t>—a weighted average could not be reliably defined</w:t>
      </w:r>
      <w:r>
        <w:t>,</w:t>
      </w:r>
      <w:r w:rsidRPr="00306E38">
        <w:t xml:space="preserve"> therefore an alternate scenario was considered. </w:t>
      </w:r>
    </w:p>
    <w:p w14:paraId="4A0F24B4" w14:textId="3CF4B2B9" w:rsidR="00652476" w:rsidRPr="00306E38" w:rsidRDefault="00652476" w:rsidP="005D5985">
      <w:pPr>
        <w:pStyle w:val="Notes-TableFigure"/>
      </w:pPr>
      <w:r>
        <w:t>Source: DCAR Table 16</w:t>
      </w:r>
    </w:p>
    <w:p w14:paraId="4BB56C9E" w14:textId="77777777" w:rsidR="005D5985" w:rsidRPr="00DA5E35" w:rsidRDefault="005D5985" w:rsidP="005D5985">
      <w:pPr>
        <w:rPr>
          <w:rFonts w:ascii="Franklin Gothic Book" w:hAnsi="Franklin Gothic Book"/>
        </w:rPr>
      </w:pPr>
      <w:r w:rsidRPr="00DA5E35">
        <w:rPr>
          <w:rFonts w:ascii="Franklin Gothic Book" w:hAnsi="Franklin Gothic Book"/>
        </w:rPr>
        <w:t>The effectiveness payoff was found to be a key driver of the economic results. Nevertheless, the evidence suggested that continuous nerve block has a statistically and clinically significant positive effect on post-surgical pain at 48 hours relative to single-injection nerve block. Based on the input variables for post-surgical pain, there was high certainty that continuous nerve block was associated with a positive incremental effect.</w:t>
      </w:r>
    </w:p>
    <w:p w14:paraId="0A14BF6B" w14:textId="77777777" w:rsidR="005D5985" w:rsidRPr="00DA5E35" w:rsidRDefault="005D5985" w:rsidP="005D5985">
      <w:pPr>
        <w:rPr>
          <w:rFonts w:ascii="Franklin Gothic Book" w:hAnsi="Franklin Gothic Book"/>
        </w:rPr>
      </w:pPr>
      <w:r w:rsidRPr="00DA5E35">
        <w:rPr>
          <w:rFonts w:ascii="Franklin Gothic Book" w:hAnsi="Franklin Gothic Book"/>
        </w:rPr>
        <w:t>Differences in opioid/supplementary analgesia consumption had minimal impact on the incremental cost. No outcome data on opioid dependence were identified; therefore, any related economic issues could not be assessed.</w:t>
      </w:r>
    </w:p>
    <w:p w14:paraId="5900336D" w14:textId="77777777" w:rsidR="005D5985" w:rsidRPr="00DA5E35" w:rsidRDefault="005D5985" w:rsidP="005D5985">
      <w:pPr>
        <w:rPr>
          <w:rFonts w:ascii="Franklin Gothic Book" w:hAnsi="Franklin Gothic Book"/>
        </w:rPr>
      </w:pPr>
      <w:r w:rsidRPr="00DA5E35">
        <w:rPr>
          <w:rFonts w:ascii="Franklin Gothic Book" w:hAnsi="Franklin Gothic Book"/>
        </w:rPr>
        <w:t xml:space="preserve">Use of a disposable elastomeric infusion pump increases the incremental cost; however, a separate clinical assessment of the safety/effectiveness was not possible, so it was unknown whether this increased incremental cost was also associated with improved incremental benefits. </w:t>
      </w:r>
    </w:p>
    <w:bookmarkEnd w:id="53"/>
    <w:p w14:paraId="77C1C857" w14:textId="4C0DDCB9" w:rsidR="005D5985" w:rsidRDefault="005D5985" w:rsidP="005D5985">
      <w:r w:rsidRPr="00DA5E35">
        <w:rPr>
          <w:rFonts w:ascii="Franklin Gothic Book" w:hAnsi="Franklin Gothic Book"/>
        </w:rPr>
        <w:t xml:space="preserve">The results of key univariate sensitivity analyses and scenario analyses are summarised in </w:t>
      </w:r>
      <w:r w:rsidRPr="00DA5E35">
        <w:rPr>
          <w:rFonts w:ascii="Franklin Gothic Book" w:hAnsi="Franklin Gothic Book"/>
        </w:rPr>
        <w:fldChar w:fldCharType="begin"/>
      </w:r>
      <w:r w:rsidRPr="00DA5E35">
        <w:rPr>
          <w:rFonts w:ascii="Franklin Gothic Book" w:hAnsi="Franklin Gothic Book"/>
        </w:rPr>
        <w:instrText xml:space="preserve"> REF _Ref69726347 \h  \* MERGEFORMAT </w:instrText>
      </w:r>
      <w:r w:rsidRPr="00DA5E35">
        <w:rPr>
          <w:rFonts w:ascii="Franklin Gothic Book" w:hAnsi="Franklin Gothic Book"/>
        </w:rPr>
      </w:r>
      <w:r w:rsidRPr="00DA5E35">
        <w:rPr>
          <w:rFonts w:ascii="Franklin Gothic Book" w:hAnsi="Franklin Gothic Book"/>
        </w:rPr>
        <w:fldChar w:fldCharType="separate"/>
      </w:r>
      <w:r w:rsidR="009D69F0" w:rsidRPr="009D69F0">
        <w:rPr>
          <w:rFonts w:ascii="Franklin Gothic Book" w:hAnsi="Franklin Gothic Book"/>
        </w:rPr>
        <w:t>Table 18</w:t>
      </w:r>
      <w:r w:rsidRPr="00DA5E35">
        <w:rPr>
          <w:rFonts w:ascii="Franklin Gothic Book" w:hAnsi="Franklin Gothic Book"/>
        </w:rPr>
        <w:fldChar w:fldCharType="end"/>
      </w:r>
      <w:r>
        <w:t>.</w:t>
      </w:r>
    </w:p>
    <w:p w14:paraId="602FB973" w14:textId="755BAC52" w:rsidR="005D5985" w:rsidRPr="00663838" w:rsidRDefault="005D5985" w:rsidP="00A77206">
      <w:pPr>
        <w:pStyle w:val="Caption"/>
        <w:keepLines/>
      </w:pPr>
      <w:bookmarkStart w:id="54" w:name="_Ref69726347"/>
      <w:r w:rsidRPr="00663838">
        <w:lastRenderedPageBreak/>
        <w:t>Table </w:t>
      </w:r>
      <w:r>
        <w:fldChar w:fldCharType="begin"/>
      </w:r>
      <w:r>
        <w:instrText>SEQ Table \* ARABIC</w:instrText>
      </w:r>
      <w:r>
        <w:fldChar w:fldCharType="separate"/>
      </w:r>
      <w:r w:rsidR="00210D50">
        <w:rPr>
          <w:noProof/>
        </w:rPr>
        <w:t>18</w:t>
      </w:r>
      <w:r>
        <w:fldChar w:fldCharType="end"/>
      </w:r>
      <w:bookmarkEnd w:id="54"/>
      <w:r w:rsidRPr="00663838">
        <w:tab/>
        <w:t>Key sensitivity and scenario analyses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953"/>
        <w:gridCol w:w="2405"/>
        <w:gridCol w:w="2106"/>
      </w:tblGrid>
      <w:tr w:rsidR="005D5985" w:rsidRPr="00663838" w14:paraId="3929159E" w14:textId="77777777">
        <w:trPr>
          <w:cantSplit/>
          <w:trHeight w:val="420"/>
          <w:tblHeader/>
        </w:trPr>
        <w:tc>
          <w:tcPr>
            <w:tcW w:w="1415" w:type="pct"/>
            <w:shd w:val="clear" w:color="auto" w:fill="auto"/>
            <w:vAlign w:val="center"/>
          </w:tcPr>
          <w:p w14:paraId="21EA56C2" w14:textId="77777777" w:rsidR="005D5985" w:rsidRPr="00663838" w:rsidRDefault="005D5985" w:rsidP="00A77206">
            <w:pPr>
              <w:pStyle w:val="TableText"/>
              <w:keepNext/>
              <w:keepLines/>
            </w:pPr>
            <w:bookmarkStart w:id="55" w:name="Title_Table11" w:colFirst="0" w:colLast="0"/>
            <w:bookmarkStart w:id="56" w:name="_Hlk68276702"/>
            <w:r w:rsidRPr="00663838">
              <w:rPr>
                <w:b/>
              </w:rPr>
              <w:t>Analyses</w:t>
            </w:r>
          </w:p>
        </w:tc>
        <w:tc>
          <w:tcPr>
            <w:tcW w:w="1083" w:type="pct"/>
            <w:shd w:val="clear" w:color="auto" w:fill="auto"/>
            <w:vAlign w:val="center"/>
          </w:tcPr>
          <w:p w14:paraId="360F0C1F" w14:textId="77777777" w:rsidR="005D5985" w:rsidRPr="00663838" w:rsidRDefault="005D5985" w:rsidP="00A77206">
            <w:pPr>
              <w:pStyle w:val="TableText"/>
              <w:keepNext/>
              <w:keepLines/>
            </w:pPr>
            <w:r w:rsidRPr="00663838">
              <w:rPr>
                <w:b/>
              </w:rPr>
              <w:t>Incremental cost</w:t>
            </w:r>
          </w:p>
        </w:tc>
        <w:tc>
          <w:tcPr>
            <w:tcW w:w="1334" w:type="pct"/>
            <w:shd w:val="clear" w:color="auto" w:fill="auto"/>
            <w:vAlign w:val="center"/>
          </w:tcPr>
          <w:p w14:paraId="7A50CB36" w14:textId="77777777" w:rsidR="005D5985" w:rsidRPr="00663838" w:rsidRDefault="005D5985" w:rsidP="00A77206">
            <w:pPr>
              <w:pStyle w:val="TableText"/>
              <w:keepNext/>
              <w:keepLines/>
            </w:pPr>
            <w:r w:rsidRPr="00663838">
              <w:rPr>
                <w:b/>
              </w:rPr>
              <w:t>Incremental improvement in pain</w:t>
            </w:r>
          </w:p>
        </w:tc>
        <w:tc>
          <w:tcPr>
            <w:tcW w:w="1168" w:type="pct"/>
            <w:shd w:val="clear" w:color="auto" w:fill="auto"/>
            <w:vAlign w:val="center"/>
          </w:tcPr>
          <w:p w14:paraId="0890E18A" w14:textId="77777777" w:rsidR="005D5985" w:rsidRPr="00663838" w:rsidRDefault="005D5985" w:rsidP="00A77206">
            <w:pPr>
              <w:pStyle w:val="TableText"/>
              <w:keepNext/>
              <w:keepLines/>
            </w:pPr>
            <w:r w:rsidRPr="00663838">
              <w:rPr>
                <w:b/>
              </w:rPr>
              <w:t>ICER</w:t>
            </w:r>
            <w:r w:rsidRPr="00663838">
              <w:rPr>
                <w:b/>
                <w:vertAlign w:val="superscript"/>
              </w:rPr>
              <w:t>a</w:t>
            </w:r>
          </w:p>
        </w:tc>
      </w:tr>
      <w:bookmarkEnd w:id="55"/>
      <w:tr w:rsidR="005D5985" w:rsidRPr="00663838" w14:paraId="6346E88B" w14:textId="77777777">
        <w:trPr>
          <w:cantSplit/>
        </w:trPr>
        <w:tc>
          <w:tcPr>
            <w:tcW w:w="1415" w:type="pct"/>
            <w:tcBorders>
              <w:bottom w:val="single" w:sz="4" w:space="0" w:color="auto"/>
            </w:tcBorders>
          </w:tcPr>
          <w:p w14:paraId="782F27DC" w14:textId="77777777" w:rsidR="005D5985" w:rsidRPr="00D059DF" w:rsidRDefault="005D5985" w:rsidP="00A77206">
            <w:pPr>
              <w:pStyle w:val="TableText"/>
              <w:keepNext/>
              <w:keepLines/>
              <w:rPr>
                <w:rFonts w:eastAsiaTheme="minorHAnsi"/>
                <w:b/>
              </w:rPr>
            </w:pPr>
            <w:r w:rsidRPr="00D059DF">
              <w:rPr>
                <w:rFonts w:eastAsiaTheme="minorHAnsi"/>
                <w:b/>
              </w:rPr>
              <w:t>Base case</w:t>
            </w:r>
          </w:p>
        </w:tc>
        <w:tc>
          <w:tcPr>
            <w:tcW w:w="1083" w:type="pct"/>
            <w:tcBorders>
              <w:bottom w:val="single" w:sz="4" w:space="0" w:color="auto"/>
            </w:tcBorders>
          </w:tcPr>
          <w:p w14:paraId="44191E7B" w14:textId="77777777" w:rsidR="005D5985" w:rsidRPr="00D059DF" w:rsidRDefault="005D5985" w:rsidP="00A77206">
            <w:pPr>
              <w:pStyle w:val="TableText"/>
              <w:keepNext/>
              <w:keepLines/>
              <w:rPr>
                <w:rFonts w:eastAsiaTheme="minorHAnsi"/>
                <w:b/>
              </w:rPr>
            </w:pPr>
            <w:r>
              <w:rPr>
                <w:rFonts w:eastAsia="Calibri"/>
                <w:b/>
              </w:rPr>
              <w:t>$</w:t>
            </w:r>
            <w:r w:rsidRPr="00663838">
              <w:rPr>
                <w:rFonts w:eastAsia="Calibri"/>
                <w:b/>
              </w:rPr>
              <w:t>154.37</w:t>
            </w:r>
          </w:p>
        </w:tc>
        <w:tc>
          <w:tcPr>
            <w:tcW w:w="1334" w:type="pct"/>
            <w:tcBorders>
              <w:bottom w:val="single" w:sz="4" w:space="0" w:color="auto"/>
            </w:tcBorders>
          </w:tcPr>
          <w:p w14:paraId="12B31C65" w14:textId="77777777" w:rsidR="005D5985" w:rsidRPr="00D059DF" w:rsidRDefault="005D5985" w:rsidP="00A77206">
            <w:pPr>
              <w:pStyle w:val="TableText"/>
              <w:keepNext/>
              <w:keepLines/>
              <w:rPr>
                <w:rFonts w:eastAsiaTheme="minorHAnsi"/>
                <w:b/>
              </w:rPr>
            </w:pPr>
            <w:r w:rsidRPr="00663838">
              <w:rPr>
                <w:rFonts w:eastAsia="Calibri"/>
                <w:b/>
              </w:rPr>
              <w:t>1.35</w:t>
            </w:r>
          </w:p>
        </w:tc>
        <w:tc>
          <w:tcPr>
            <w:tcW w:w="1168" w:type="pct"/>
            <w:tcBorders>
              <w:bottom w:val="single" w:sz="4" w:space="0" w:color="auto"/>
            </w:tcBorders>
          </w:tcPr>
          <w:p w14:paraId="7C54FBA5" w14:textId="77777777" w:rsidR="005D5985" w:rsidRPr="00D059DF" w:rsidRDefault="005D5985" w:rsidP="00A77206">
            <w:pPr>
              <w:pStyle w:val="TableText"/>
              <w:keepNext/>
              <w:keepLines/>
              <w:rPr>
                <w:rFonts w:eastAsiaTheme="minorHAnsi"/>
                <w:b/>
              </w:rPr>
            </w:pPr>
            <w:r>
              <w:rPr>
                <w:rFonts w:eastAsia="Calibri"/>
                <w:b/>
              </w:rPr>
              <w:t>$</w:t>
            </w:r>
            <w:r w:rsidRPr="00663838">
              <w:rPr>
                <w:rFonts w:eastAsia="Calibri"/>
                <w:b/>
              </w:rPr>
              <w:t>114.35</w:t>
            </w:r>
          </w:p>
        </w:tc>
      </w:tr>
      <w:tr w:rsidR="005D5985" w:rsidRPr="00DC7C5C" w14:paraId="5C0C7CAB" w14:textId="77777777">
        <w:trPr>
          <w:cantSplit/>
        </w:trPr>
        <w:tc>
          <w:tcPr>
            <w:tcW w:w="5000" w:type="pct"/>
            <w:gridSpan w:val="4"/>
            <w:shd w:val="clear" w:color="auto" w:fill="auto"/>
          </w:tcPr>
          <w:p w14:paraId="32540339" w14:textId="77777777" w:rsidR="005D5985" w:rsidRPr="00D059DF" w:rsidRDefault="005D5985" w:rsidP="00A77206">
            <w:pPr>
              <w:pStyle w:val="TableText"/>
              <w:keepNext/>
              <w:keepLines/>
              <w:rPr>
                <w:rFonts w:eastAsia="Calibri"/>
              </w:rPr>
            </w:pPr>
            <w:r w:rsidRPr="00663838">
              <w:rPr>
                <w:b/>
                <w:bCs/>
                <w:i/>
                <w:iCs/>
              </w:rPr>
              <w:t>Effectiveness payoffs (for DSA)</w:t>
            </w:r>
          </w:p>
        </w:tc>
      </w:tr>
      <w:tr w:rsidR="005D5985" w:rsidRPr="00306E38" w14:paraId="35D8C5D9" w14:textId="77777777">
        <w:trPr>
          <w:cantSplit/>
        </w:trPr>
        <w:tc>
          <w:tcPr>
            <w:tcW w:w="1415" w:type="pct"/>
          </w:tcPr>
          <w:p w14:paraId="66179997" w14:textId="77777777" w:rsidR="005D5985" w:rsidRPr="00306E38" w:rsidRDefault="005D5985" w:rsidP="00A77206">
            <w:pPr>
              <w:pStyle w:val="TableText"/>
              <w:keepNext/>
              <w:keepLines/>
              <w:rPr>
                <w:bCs/>
              </w:rPr>
            </w:pPr>
            <w:r w:rsidRPr="00306E38">
              <w:rPr>
                <w:bCs/>
              </w:rPr>
              <w:t>Pain (0 to 10 scale)</w:t>
            </w:r>
            <w:r w:rsidRPr="00306E38">
              <w:rPr>
                <w:bCs/>
                <w:vertAlign w:val="superscript"/>
              </w:rPr>
              <w:t>b</w:t>
            </w:r>
            <w:r w:rsidRPr="00306E38">
              <w:rPr>
                <w:bCs/>
              </w:rPr>
              <w:t xml:space="preserve"> associated with </w:t>
            </w:r>
            <w:r>
              <w:rPr>
                <w:bCs/>
              </w:rPr>
              <w:t xml:space="preserve">continuous nerve block </w:t>
            </w:r>
          </w:p>
          <w:p w14:paraId="326C1E28" w14:textId="77777777" w:rsidR="005D5985" w:rsidRPr="00306E38" w:rsidRDefault="005D5985" w:rsidP="00A77206">
            <w:pPr>
              <w:pStyle w:val="TableText"/>
              <w:keepNext/>
              <w:keepLines/>
              <w:rPr>
                <w:bCs/>
              </w:rPr>
            </w:pPr>
            <w:r w:rsidRPr="00306E38">
              <w:rPr>
                <w:bCs/>
              </w:rPr>
              <w:t>(95% CI: 6.</w:t>
            </w:r>
            <w:r>
              <w:rPr>
                <w:bCs/>
              </w:rPr>
              <w:t>81</w:t>
            </w:r>
            <w:r w:rsidRPr="00306E38">
              <w:rPr>
                <w:bCs/>
              </w:rPr>
              <w:t xml:space="preserve"> to 7.</w:t>
            </w:r>
            <w:r>
              <w:rPr>
                <w:bCs/>
              </w:rPr>
              <w:t>83</w:t>
            </w:r>
            <w:r w:rsidRPr="00306E38">
              <w:rPr>
                <w:bCs/>
              </w:rPr>
              <w:t>)</w:t>
            </w:r>
          </w:p>
        </w:tc>
        <w:tc>
          <w:tcPr>
            <w:tcW w:w="1083" w:type="pct"/>
          </w:tcPr>
          <w:p w14:paraId="78CDB85F" w14:textId="77777777" w:rsidR="005D5985" w:rsidRPr="00D059DF" w:rsidRDefault="005D5985" w:rsidP="00A77206">
            <w:pPr>
              <w:pStyle w:val="TableText"/>
              <w:keepNext/>
              <w:keepLines/>
              <w:rPr>
                <w:rFonts w:eastAsia="Calibri"/>
              </w:rPr>
            </w:pPr>
            <w:r>
              <w:rPr>
                <w:rFonts w:eastAsia="Calibri"/>
                <w:bCs/>
              </w:rPr>
              <w:t>$154.37</w:t>
            </w:r>
          </w:p>
        </w:tc>
        <w:tc>
          <w:tcPr>
            <w:tcW w:w="1334" w:type="pct"/>
          </w:tcPr>
          <w:p w14:paraId="07271E89" w14:textId="77777777" w:rsidR="005D5985" w:rsidRDefault="005D5985" w:rsidP="00A77206">
            <w:pPr>
              <w:pStyle w:val="TableText"/>
              <w:keepNext/>
              <w:keepLines/>
              <w:rPr>
                <w:rFonts w:eastAsia="Calibri"/>
                <w:bCs/>
              </w:rPr>
            </w:pPr>
            <w:r>
              <w:rPr>
                <w:rFonts w:eastAsia="Calibri"/>
                <w:bCs/>
              </w:rPr>
              <w:t>0.84</w:t>
            </w:r>
          </w:p>
          <w:p w14:paraId="02CB115D" w14:textId="77777777" w:rsidR="005D5985" w:rsidRPr="00306E38" w:rsidRDefault="005D5985" w:rsidP="00A77206">
            <w:pPr>
              <w:pStyle w:val="TableText"/>
              <w:keepNext/>
              <w:keepLines/>
              <w:rPr>
                <w:rFonts w:eastAsia="Calibri"/>
                <w:bCs/>
              </w:rPr>
            </w:pPr>
            <w:r>
              <w:rPr>
                <w:rFonts w:eastAsia="Calibri"/>
                <w:bCs/>
              </w:rPr>
              <w:t>1.86</w:t>
            </w:r>
          </w:p>
        </w:tc>
        <w:tc>
          <w:tcPr>
            <w:tcW w:w="1168" w:type="pct"/>
          </w:tcPr>
          <w:p w14:paraId="4365DAFA" w14:textId="77777777" w:rsidR="005D5985" w:rsidRPr="00306E38" w:rsidRDefault="005D5985" w:rsidP="00A77206">
            <w:pPr>
              <w:pStyle w:val="TableText"/>
              <w:keepNext/>
              <w:keepLines/>
              <w:rPr>
                <w:rFonts w:eastAsia="Calibri"/>
                <w:bCs/>
              </w:rPr>
            </w:pPr>
            <w:r>
              <w:rPr>
                <w:rFonts w:eastAsia="Calibri"/>
                <w:bCs/>
              </w:rPr>
              <w:t>$183.99</w:t>
            </w:r>
          </w:p>
          <w:p w14:paraId="358E7985" w14:textId="77777777" w:rsidR="005D5985" w:rsidRPr="00306E38" w:rsidRDefault="005D5985" w:rsidP="00A77206">
            <w:pPr>
              <w:pStyle w:val="TableText"/>
              <w:keepNext/>
              <w:keepLines/>
              <w:rPr>
                <w:rFonts w:eastAsia="Calibri"/>
                <w:bCs/>
              </w:rPr>
            </w:pPr>
            <w:r>
              <w:rPr>
                <w:rFonts w:eastAsia="Calibri"/>
                <w:bCs/>
              </w:rPr>
              <w:t>$82.91</w:t>
            </w:r>
          </w:p>
        </w:tc>
      </w:tr>
      <w:tr w:rsidR="005D5985" w:rsidRPr="00306E38" w14:paraId="4F282AA2" w14:textId="77777777">
        <w:trPr>
          <w:cantSplit/>
        </w:trPr>
        <w:tc>
          <w:tcPr>
            <w:tcW w:w="1415" w:type="pct"/>
          </w:tcPr>
          <w:p w14:paraId="582AEA33" w14:textId="77777777" w:rsidR="005D5985" w:rsidRPr="00306E38" w:rsidRDefault="005D5985" w:rsidP="00A77206">
            <w:pPr>
              <w:pStyle w:val="TableText"/>
              <w:keepNext/>
              <w:keepLines/>
              <w:rPr>
                <w:bCs/>
              </w:rPr>
            </w:pPr>
            <w:r w:rsidRPr="00306E38">
              <w:rPr>
                <w:bCs/>
              </w:rPr>
              <w:t>Pain (0 to 10 scale)</w:t>
            </w:r>
            <w:r w:rsidRPr="00306E38">
              <w:rPr>
                <w:bCs/>
                <w:vertAlign w:val="superscript"/>
              </w:rPr>
              <w:t>b</w:t>
            </w:r>
            <w:r w:rsidRPr="00306E38">
              <w:rPr>
                <w:bCs/>
              </w:rPr>
              <w:t xml:space="preserve"> associated with </w:t>
            </w:r>
            <w:r>
              <w:rPr>
                <w:bCs/>
              </w:rPr>
              <w:t>single-injection nerve block</w:t>
            </w:r>
            <w:r w:rsidRPr="00306E38">
              <w:rPr>
                <w:bCs/>
              </w:rPr>
              <w:t xml:space="preserve"> </w:t>
            </w:r>
          </w:p>
          <w:p w14:paraId="0167949A" w14:textId="77777777" w:rsidR="005D5985" w:rsidRPr="00306E38" w:rsidRDefault="005D5985" w:rsidP="00A77206">
            <w:pPr>
              <w:pStyle w:val="TableText"/>
              <w:keepNext/>
              <w:keepLines/>
              <w:rPr>
                <w:bCs/>
              </w:rPr>
            </w:pPr>
            <w:r w:rsidRPr="00306E38">
              <w:rPr>
                <w:bCs/>
              </w:rPr>
              <w:t>(95% CI: 5.6</w:t>
            </w:r>
            <w:r>
              <w:rPr>
                <w:bCs/>
              </w:rPr>
              <w:t>9</w:t>
            </w:r>
            <w:r w:rsidRPr="00306E38">
              <w:rPr>
                <w:bCs/>
              </w:rPr>
              <w:t xml:space="preserve"> to 6.</w:t>
            </w:r>
            <w:r>
              <w:rPr>
                <w:bCs/>
              </w:rPr>
              <w:t>25</w:t>
            </w:r>
            <w:r w:rsidRPr="00306E38">
              <w:rPr>
                <w:bCs/>
              </w:rPr>
              <w:t>)</w:t>
            </w:r>
          </w:p>
        </w:tc>
        <w:tc>
          <w:tcPr>
            <w:tcW w:w="1083" w:type="pct"/>
          </w:tcPr>
          <w:p w14:paraId="7DBC84E6" w14:textId="77777777" w:rsidR="005D5985" w:rsidRPr="00D059DF" w:rsidRDefault="005D5985" w:rsidP="00A77206">
            <w:pPr>
              <w:pStyle w:val="TableText"/>
              <w:keepNext/>
              <w:keepLines/>
              <w:rPr>
                <w:rFonts w:eastAsia="Calibri"/>
              </w:rPr>
            </w:pPr>
            <w:r>
              <w:rPr>
                <w:rFonts w:eastAsia="Calibri"/>
                <w:bCs/>
              </w:rPr>
              <w:t>$154.37</w:t>
            </w:r>
          </w:p>
        </w:tc>
        <w:tc>
          <w:tcPr>
            <w:tcW w:w="1334" w:type="pct"/>
          </w:tcPr>
          <w:p w14:paraId="44436B29" w14:textId="77777777" w:rsidR="005D5985" w:rsidRPr="00306E38" w:rsidRDefault="005D5985" w:rsidP="00A77206">
            <w:pPr>
              <w:pStyle w:val="TableText"/>
              <w:keepNext/>
              <w:keepLines/>
              <w:rPr>
                <w:rFonts w:eastAsia="Calibri"/>
                <w:bCs/>
              </w:rPr>
            </w:pPr>
            <w:r w:rsidRPr="00306E38">
              <w:rPr>
                <w:rFonts w:eastAsia="Calibri"/>
                <w:bCs/>
              </w:rPr>
              <w:t>1.</w:t>
            </w:r>
            <w:r>
              <w:rPr>
                <w:rFonts w:eastAsia="Calibri"/>
                <w:bCs/>
              </w:rPr>
              <w:t>63</w:t>
            </w:r>
          </w:p>
          <w:p w14:paraId="6972CFCB" w14:textId="77777777" w:rsidR="005D5985" w:rsidRPr="00306E38" w:rsidRDefault="005D5985" w:rsidP="00A77206">
            <w:pPr>
              <w:pStyle w:val="TableText"/>
              <w:keepNext/>
              <w:keepLines/>
              <w:rPr>
                <w:rFonts w:eastAsia="Calibri"/>
                <w:bCs/>
              </w:rPr>
            </w:pPr>
            <w:r>
              <w:rPr>
                <w:rFonts w:eastAsia="Calibri"/>
                <w:bCs/>
              </w:rPr>
              <w:t>1.07</w:t>
            </w:r>
          </w:p>
        </w:tc>
        <w:tc>
          <w:tcPr>
            <w:tcW w:w="1168" w:type="pct"/>
          </w:tcPr>
          <w:p w14:paraId="749A9F05" w14:textId="77777777" w:rsidR="005D5985" w:rsidRPr="00306E38" w:rsidRDefault="005D5985" w:rsidP="00A77206">
            <w:pPr>
              <w:pStyle w:val="TableText"/>
              <w:keepNext/>
              <w:keepLines/>
              <w:rPr>
                <w:rFonts w:eastAsia="Calibri"/>
                <w:bCs/>
              </w:rPr>
            </w:pPr>
            <w:r>
              <w:rPr>
                <w:rFonts w:eastAsia="Calibri"/>
                <w:bCs/>
              </w:rPr>
              <w:t>$94.65</w:t>
            </w:r>
          </w:p>
          <w:p w14:paraId="6AD381D1" w14:textId="77777777" w:rsidR="005D5985" w:rsidRPr="00306E38" w:rsidRDefault="005D5985" w:rsidP="00A77206">
            <w:pPr>
              <w:pStyle w:val="TableText"/>
              <w:keepNext/>
              <w:keepLines/>
              <w:rPr>
                <w:rFonts w:eastAsia="Calibri"/>
                <w:bCs/>
              </w:rPr>
            </w:pPr>
            <w:r>
              <w:rPr>
                <w:rFonts w:eastAsia="Calibri"/>
                <w:bCs/>
              </w:rPr>
              <w:t>$144.54</w:t>
            </w:r>
          </w:p>
        </w:tc>
      </w:tr>
      <w:tr w:rsidR="005D5985" w:rsidRPr="00306E38" w14:paraId="2AA84542" w14:textId="77777777">
        <w:trPr>
          <w:cantSplit/>
        </w:trPr>
        <w:tc>
          <w:tcPr>
            <w:tcW w:w="1415" w:type="pct"/>
            <w:tcBorders>
              <w:bottom w:val="single" w:sz="4" w:space="0" w:color="auto"/>
            </w:tcBorders>
          </w:tcPr>
          <w:p w14:paraId="52F85E7E" w14:textId="77777777" w:rsidR="005D5985" w:rsidRPr="00306E38" w:rsidRDefault="005D5985" w:rsidP="00A77206">
            <w:pPr>
              <w:pStyle w:val="TableText"/>
              <w:keepNext/>
              <w:keepLines/>
              <w:rPr>
                <w:bCs/>
              </w:rPr>
            </w:pPr>
            <w:r w:rsidRPr="00306E38">
              <w:rPr>
                <w:bCs/>
              </w:rPr>
              <w:t>Two-way sensitivity analysis on pain:</w:t>
            </w:r>
          </w:p>
          <w:p w14:paraId="1D4DF938" w14:textId="77777777" w:rsidR="005D5985" w:rsidRPr="00306E38" w:rsidRDefault="005D5985" w:rsidP="00A77206">
            <w:pPr>
              <w:pStyle w:val="TableText"/>
              <w:keepNext/>
              <w:keepLines/>
              <w:rPr>
                <w:bCs/>
              </w:rPr>
            </w:pPr>
            <w:r w:rsidRPr="00306E38">
              <w:rPr>
                <w:bCs/>
              </w:rPr>
              <w:t>cNB: 6.</w:t>
            </w:r>
            <w:r>
              <w:rPr>
                <w:bCs/>
              </w:rPr>
              <w:t>81</w:t>
            </w:r>
            <w:r w:rsidRPr="00306E38">
              <w:rPr>
                <w:bCs/>
              </w:rPr>
              <w:t>; sNB: 5.6</w:t>
            </w:r>
            <w:r>
              <w:rPr>
                <w:bCs/>
              </w:rPr>
              <w:t>9</w:t>
            </w:r>
          </w:p>
          <w:p w14:paraId="535E8CF8" w14:textId="77777777" w:rsidR="005D5985" w:rsidRPr="00306E38" w:rsidRDefault="005D5985" w:rsidP="00A77206">
            <w:pPr>
              <w:pStyle w:val="TableText"/>
              <w:keepNext/>
              <w:keepLines/>
              <w:rPr>
                <w:bCs/>
              </w:rPr>
            </w:pPr>
            <w:r w:rsidRPr="00306E38">
              <w:rPr>
                <w:bCs/>
              </w:rPr>
              <w:t>cNB: 6.</w:t>
            </w:r>
            <w:r>
              <w:rPr>
                <w:bCs/>
              </w:rPr>
              <w:t>81</w:t>
            </w:r>
            <w:r w:rsidRPr="00306E38">
              <w:rPr>
                <w:bCs/>
              </w:rPr>
              <w:t>; sNB: 6.</w:t>
            </w:r>
            <w:r>
              <w:rPr>
                <w:bCs/>
              </w:rPr>
              <w:t>25</w:t>
            </w:r>
          </w:p>
          <w:p w14:paraId="6D52E5B3" w14:textId="77777777" w:rsidR="005D5985" w:rsidRPr="00306E38" w:rsidRDefault="005D5985" w:rsidP="00A77206">
            <w:pPr>
              <w:pStyle w:val="TableText"/>
              <w:keepNext/>
              <w:keepLines/>
              <w:rPr>
                <w:bCs/>
              </w:rPr>
            </w:pPr>
            <w:r w:rsidRPr="00306E38">
              <w:rPr>
                <w:bCs/>
              </w:rPr>
              <w:t>cNB: 7.</w:t>
            </w:r>
            <w:r>
              <w:rPr>
                <w:bCs/>
              </w:rPr>
              <w:t>83</w:t>
            </w:r>
            <w:r w:rsidRPr="00306E38">
              <w:rPr>
                <w:bCs/>
              </w:rPr>
              <w:t>; sNB: 5.6</w:t>
            </w:r>
            <w:r>
              <w:rPr>
                <w:bCs/>
              </w:rPr>
              <w:t>9</w:t>
            </w:r>
          </w:p>
          <w:p w14:paraId="2042FB8A" w14:textId="77777777" w:rsidR="005D5985" w:rsidRPr="00306E38" w:rsidRDefault="005D5985" w:rsidP="00A77206">
            <w:pPr>
              <w:pStyle w:val="TableText"/>
              <w:keepNext/>
              <w:keepLines/>
              <w:rPr>
                <w:bCs/>
              </w:rPr>
            </w:pPr>
            <w:r w:rsidRPr="00306E38">
              <w:rPr>
                <w:bCs/>
              </w:rPr>
              <w:t>cNB: 7.</w:t>
            </w:r>
            <w:r>
              <w:rPr>
                <w:bCs/>
              </w:rPr>
              <w:t>83</w:t>
            </w:r>
            <w:r w:rsidRPr="00306E38">
              <w:rPr>
                <w:bCs/>
              </w:rPr>
              <w:t>; sNB: 6.</w:t>
            </w:r>
            <w:r>
              <w:rPr>
                <w:bCs/>
              </w:rPr>
              <w:t>25</w:t>
            </w:r>
          </w:p>
        </w:tc>
        <w:tc>
          <w:tcPr>
            <w:tcW w:w="1083" w:type="pct"/>
            <w:tcBorders>
              <w:bottom w:val="single" w:sz="4" w:space="0" w:color="auto"/>
            </w:tcBorders>
          </w:tcPr>
          <w:p w14:paraId="44B8AC2F" w14:textId="77777777" w:rsidR="005D5985" w:rsidRPr="00306E38" w:rsidRDefault="005D5985" w:rsidP="00A77206">
            <w:pPr>
              <w:pStyle w:val="TableText"/>
              <w:keepNext/>
              <w:keepLines/>
              <w:rPr>
                <w:rFonts w:eastAsia="Calibri"/>
                <w:bCs/>
              </w:rPr>
            </w:pPr>
          </w:p>
          <w:p w14:paraId="7BB252C0" w14:textId="77777777" w:rsidR="005D5985" w:rsidRPr="00306E38" w:rsidRDefault="005D5985" w:rsidP="00A77206">
            <w:pPr>
              <w:pStyle w:val="TableText"/>
              <w:keepNext/>
              <w:keepLines/>
              <w:rPr>
                <w:rFonts w:eastAsia="Calibri"/>
                <w:bCs/>
              </w:rPr>
            </w:pPr>
          </w:p>
          <w:p w14:paraId="031D7B20" w14:textId="77777777" w:rsidR="005D5985" w:rsidRPr="00306E38" w:rsidRDefault="005D5985" w:rsidP="00A77206">
            <w:pPr>
              <w:pStyle w:val="TableText"/>
              <w:keepNext/>
              <w:keepLines/>
              <w:rPr>
                <w:rFonts w:eastAsia="Calibri"/>
                <w:bCs/>
              </w:rPr>
            </w:pPr>
            <w:r>
              <w:rPr>
                <w:rFonts w:eastAsia="Calibri"/>
                <w:bCs/>
              </w:rPr>
              <w:t>$154.37</w:t>
            </w:r>
          </w:p>
          <w:p w14:paraId="1D093958" w14:textId="77777777" w:rsidR="005D5985" w:rsidRPr="00306E38" w:rsidRDefault="005D5985" w:rsidP="00A77206">
            <w:pPr>
              <w:pStyle w:val="TableText"/>
              <w:keepNext/>
              <w:keepLines/>
              <w:rPr>
                <w:rFonts w:eastAsia="Calibri"/>
                <w:bCs/>
              </w:rPr>
            </w:pPr>
          </w:p>
        </w:tc>
        <w:tc>
          <w:tcPr>
            <w:tcW w:w="1334" w:type="pct"/>
            <w:tcBorders>
              <w:bottom w:val="single" w:sz="4" w:space="0" w:color="auto"/>
            </w:tcBorders>
          </w:tcPr>
          <w:p w14:paraId="05E999B9" w14:textId="77777777" w:rsidR="005D5985" w:rsidRPr="00306E38" w:rsidRDefault="005D5985" w:rsidP="00A77206">
            <w:pPr>
              <w:pStyle w:val="TableText"/>
              <w:keepNext/>
              <w:keepLines/>
              <w:rPr>
                <w:rFonts w:eastAsia="Calibri"/>
                <w:bCs/>
              </w:rPr>
            </w:pPr>
          </w:p>
          <w:p w14:paraId="6DBB13E3" w14:textId="77777777" w:rsidR="005D5985" w:rsidRPr="00306E38" w:rsidRDefault="005D5985" w:rsidP="00A77206">
            <w:pPr>
              <w:pStyle w:val="TableText"/>
              <w:keepNext/>
              <w:keepLines/>
              <w:rPr>
                <w:rFonts w:eastAsia="Calibri"/>
                <w:bCs/>
              </w:rPr>
            </w:pPr>
          </w:p>
          <w:p w14:paraId="3CF6E8D2" w14:textId="77777777" w:rsidR="005D5985" w:rsidRPr="00306E38" w:rsidRDefault="005D5985" w:rsidP="00A77206">
            <w:pPr>
              <w:pStyle w:val="TableText"/>
              <w:keepNext/>
              <w:keepLines/>
              <w:rPr>
                <w:rFonts w:eastAsia="Calibri"/>
                <w:bCs/>
              </w:rPr>
            </w:pPr>
            <w:r>
              <w:rPr>
                <w:rFonts w:eastAsia="Calibri"/>
                <w:bCs/>
              </w:rPr>
              <w:t>1.12</w:t>
            </w:r>
          </w:p>
          <w:p w14:paraId="674E95C8" w14:textId="77777777" w:rsidR="005D5985" w:rsidRPr="00306E38" w:rsidRDefault="005D5985" w:rsidP="00A77206">
            <w:pPr>
              <w:pStyle w:val="TableText"/>
              <w:keepNext/>
              <w:keepLines/>
              <w:rPr>
                <w:rFonts w:eastAsia="Calibri"/>
                <w:bCs/>
              </w:rPr>
            </w:pPr>
            <w:r>
              <w:rPr>
                <w:rFonts w:eastAsia="Calibri"/>
                <w:bCs/>
              </w:rPr>
              <w:t>0.56</w:t>
            </w:r>
          </w:p>
          <w:p w14:paraId="4CD4FD29" w14:textId="77777777" w:rsidR="005D5985" w:rsidRDefault="005D5985" w:rsidP="00A77206">
            <w:pPr>
              <w:pStyle w:val="TableText"/>
              <w:keepNext/>
              <w:keepLines/>
              <w:rPr>
                <w:rFonts w:eastAsia="Calibri"/>
              </w:rPr>
            </w:pPr>
            <w:r w:rsidRPr="672C7E19">
              <w:rPr>
                <w:rFonts w:eastAsia="Calibri"/>
              </w:rPr>
              <w:t>2.14</w:t>
            </w:r>
          </w:p>
          <w:p w14:paraId="2200F021" w14:textId="77777777" w:rsidR="005D5985" w:rsidRPr="00693D52" w:rsidRDefault="005D5985" w:rsidP="00A77206">
            <w:pPr>
              <w:pStyle w:val="TableText"/>
              <w:keepNext/>
              <w:keepLines/>
              <w:rPr>
                <w:rFonts w:eastAsia="Calibri"/>
              </w:rPr>
            </w:pPr>
            <w:r w:rsidRPr="672C7E19">
              <w:rPr>
                <w:rFonts w:eastAsia="Calibri"/>
              </w:rPr>
              <w:t>1.58</w:t>
            </w:r>
          </w:p>
        </w:tc>
        <w:tc>
          <w:tcPr>
            <w:tcW w:w="1168" w:type="pct"/>
            <w:tcBorders>
              <w:bottom w:val="single" w:sz="4" w:space="0" w:color="auto"/>
            </w:tcBorders>
          </w:tcPr>
          <w:p w14:paraId="1908DA7D" w14:textId="77777777" w:rsidR="005D5985" w:rsidRPr="00306E38" w:rsidRDefault="005D5985" w:rsidP="00A77206">
            <w:pPr>
              <w:pStyle w:val="TableText"/>
              <w:keepNext/>
              <w:keepLines/>
              <w:rPr>
                <w:rFonts w:eastAsia="Calibri"/>
                <w:bCs/>
              </w:rPr>
            </w:pPr>
          </w:p>
          <w:p w14:paraId="03B29F3E" w14:textId="77777777" w:rsidR="005D5985" w:rsidRPr="00306E38" w:rsidRDefault="005D5985" w:rsidP="00A77206">
            <w:pPr>
              <w:pStyle w:val="TableText"/>
              <w:keepNext/>
              <w:keepLines/>
              <w:rPr>
                <w:rFonts w:eastAsia="Calibri"/>
                <w:bCs/>
              </w:rPr>
            </w:pPr>
          </w:p>
          <w:p w14:paraId="7693B8FB" w14:textId="77777777" w:rsidR="005D5985" w:rsidRPr="00306E38" w:rsidRDefault="005D5985" w:rsidP="00A77206">
            <w:pPr>
              <w:pStyle w:val="TableText"/>
              <w:keepNext/>
              <w:keepLines/>
              <w:rPr>
                <w:rFonts w:eastAsia="Calibri"/>
                <w:bCs/>
              </w:rPr>
            </w:pPr>
            <w:r>
              <w:rPr>
                <w:rFonts w:eastAsia="Calibri"/>
                <w:bCs/>
              </w:rPr>
              <w:t>$137.83</w:t>
            </w:r>
          </w:p>
          <w:p w14:paraId="1C2C5C83" w14:textId="77777777" w:rsidR="005D5985" w:rsidRPr="00306E38" w:rsidRDefault="005D5985" w:rsidP="00A77206">
            <w:pPr>
              <w:pStyle w:val="TableText"/>
              <w:keepNext/>
              <w:keepLines/>
              <w:rPr>
                <w:rFonts w:eastAsia="Calibri"/>
                <w:bCs/>
              </w:rPr>
            </w:pPr>
            <w:r>
              <w:rPr>
                <w:rFonts w:eastAsia="Calibri"/>
                <w:bCs/>
              </w:rPr>
              <w:t>$277.15</w:t>
            </w:r>
          </w:p>
          <w:p w14:paraId="6CE5D3A5" w14:textId="77777777" w:rsidR="005D5985" w:rsidRPr="00306E38" w:rsidRDefault="005D5985" w:rsidP="00A77206">
            <w:pPr>
              <w:pStyle w:val="TableText"/>
              <w:keepNext/>
              <w:keepLines/>
              <w:rPr>
                <w:rFonts w:eastAsia="Calibri"/>
                <w:bCs/>
              </w:rPr>
            </w:pPr>
            <w:r>
              <w:rPr>
                <w:rFonts w:eastAsia="Calibri"/>
                <w:bCs/>
              </w:rPr>
              <w:t>$72.04</w:t>
            </w:r>
          </w:p>
          <w:p w14:paraId="47F55AC6" w14:textId="77777777" w:rsidR="005D5985" w:rsidRPr="00306E38" w:rsidRDefault="005D5985" w:rsidP="00A77206">
            <w:pPr>
              <w:pStyle w:val="TableText"/>
              <w:keepNext/>
              <w:keepLines/>
              <w:rPr>
                <w:rFonts w:eastAsia="Calibri"/>
                <w:bCs/>
              </w:rPr>
            </w:pPr>
            <w:r>
              <w:rPr>
                <w:rFonts w:eastAsia="Calibri"/>
                <w:bCs/>
              </w:rPr>
              <w:t>$97.70</w:t>
            </w:r>
          </w:p>
        </w:tc>
      </w:tr>
      <w:tr w:rsidR="005D5985" w:rsidRPr="00306E38" w14:paraId="03923BDF" w14:textId="77777777">
        <w:trPr>
          <w:cantSplit/>
        </w:trPr>
        <w:tc>
          <w:tcPr>
            <w:tcW w:w="5000" w:type="pct"/>
            <w:gridSpan w:val="4"/>
          </w:tcPr>
          <w:p w14:paraId="1475BAF6" w14:textId="77777777" w:rsidR="005D5985" w:rsidRPr="00306E38" w:rsidRDefault="005D5985" w:rsidP="00A77206">
            <w:pPr>
              <w:pStyle w:val="TableText"/>
              <w:keepNext/>
              <w:keepLines/>
              <w:rPr>
                <w:rFonts w:eastAsia="Calibri"/>
                <w:bCs/>
              </w:rPr>
            </w:pPr>
            <w:r>
              <w:rPr>
                <w:b/>
                <w:i/>
                <w:iCs/>
              </w:rPr>
              <w:t>Resource use inputs (length of hospital stay)</w:t>
            </w:r>
          </w:p>
        </w:tc>
      </w:tr>
      <w:tr w:rsidR="005D5985" w:rsidRPr="00306E38" w14:paraId="08A79E9E" w14:textId="77777777">
        <w:trPr>
          <w:cantSplit/>
        </w:trPr>
        <w:tc>
          <w:tcPr>
            <w:tcW w:w="1415" w:type="pct"/>
          </w:tcPr>
          <w:p w14:paraId="1C0F9EF3" w14:textId="77777777" w:rsidR="005D5985" w:rsidRPr="00306E38" w:rsidRDefault="005D5985" w:rsidP="00A77206">
            <w:pPr>
              <w:pStyle w:val="TableText"/>
              <w:keepNext/>
              <w:keepLines/>
              <w:rPr>
                <w:bCs/>
              </w:rPr>
            </w:pPr>
            <w:r>
              <w:rPr>
                <w:bCs/>
              </w:rPr>
              <w:t>Duration of hospital stay, continuous nerve block (95% CI: 3.54 to 3.68)</w:t>
            </w:r>
          </w:p>
        </w:tc>
        <w:tc>
          <w:tcPr>
            <w:tcW w:w="1083" w:type="pct"/>
          </w:tcPr>
          <w:p w14:paraId="1E5187F4" w14:textId="77777777" w:rsidR="005D5985" w:rsidRDefault="005D5985" w:rsidP="00A77206">
            <w:pPr>
              <w:pStyle w:val="TableText"/>
              <w:keepNext/>
              <w:keepLines/>
              <w:rPr>
                <w:rFonts w:eastAsia="Calibri"/>
                <w:bCs/>
              </w:rPr>
            </w:pPr>
            <w:r>
              <w:rPr>
                <w:rFonts w:eastAsia="Calibri"/>
                <w:bCs/>
              </w:rPr>
              <w:t>$79.78</w:t>
            </w:r>
          </w:p>
          <w:p w14:paraId="38D94D8B" w14:textId="77777777" w:rsidR="005D5985" w:rsidRDefault="005D5985" w:rsidP="00A77206">
            <w:pPr>
              <w:pStyle w:val="TableText"/>
              <w:keepNext/>
              <w:keepLines/>
              <w:rPr>
                <w:rFonts w:eastAsia="Calibri"/>
                <w:bCs/>
              </w:rPr>
            </w:pPr>
            <w:r>
              <w:rPr>
                <w:rFonts w:eastAsia="Calibri"/>
                <w:bCs/>
              </w:rPr>
              <w:t>$228.96</w:t>
            </w:r>
          </w:p>
        </w:tc>
        <w:tc>
          <w:tcPr>
            <w:tcW w:w="1334" w:type="pct"/>
          </w:tcPr>
          <w:p w14:paraId="0380A64A" w14:textId="77777777" w:rsidR="005D5985" w:rsidRDefault="005D5985" w:rsidP="00A77206">
            <w:pPr>
              <w:pStyle w:val="TableText"/>
              <w:keepNext/>
              <w:keepLines/>
              <w:rPr>
                <w:rFonts w:eastAsia="Calibri"/>
                <w:bCs/>
              </w:rPr>
            </w:pPr>
            <w:r>
              <w:rPr>
                <w:rFonts w:eastAsia="Calibri"/>
                <w:bCs/>
              </w:rPr>
              <w:t>1.35</w:t>
            </w:r>
          </w:p>
          <w:p w14:paraId="797821B9" w14:textId="77777777" w:rsidR="005D5985" w:rsidRPr="00306E38" w:rsidRDefault="005D5985" w:rsidP="00A77206">
            <w:pPr>
              <w:pStyle w:val="TableText"/>
              <w:keepNext/>
              <w:keepLines/>
              <w:rPr>
                <w:rFonts w:eastAsia="Calibri"/>
                <w:bCs/>
              </w:rPr>
            </w:pPr>
          </w:p>
        </w:tc>
        <w:tc>
          <w:tcPr>
            <w:tcW w:w="1168" w:type="pct"/>
          </w:tcPr>
          <w:p w14:paraId="10B2A2EE" w14:textId="77777777" w:rsidR="005D5985" w:rsidRDefault="005D5985" w:rsidP="00A77206">
            <w:pPr>
              <w:pStyle w:val="TableText"/>
              <w:keepNext/>
              <w:keepLines/>
              <w:rPr>
                <w:rFonts w:eastAsia="Calibri"/>
                <w:bCs/>
              </w:rPr>
            </w:pPr>
            <w:r>
              <w:rPr>
                <w:rFonts w:eastAsia="Calibri"/>
                <w:bCs/>
              </w:rPr>
              <w:t>$59.10</w:t>
            </w:r>
          </w:p>
          <w:p w14:paraId="30214D84" w14:textId="77777777" w:rsidR="005D5985" w:rsidRPr="00306E38" w:rsidRDefault="005D5985" w:rsidP="00A77206">
            <w:pPr>
              <w:pStyle w:val="TableText"/>
              <w:keepNext/>
              <w:keepLines/>
              <w:rPr>
                <w:rFonts w:eastAsia="Calibri"/>
                <w:bCs/>
              </w:rPr>
            </w:pPr>
            <w:r>
              <w:rPr>
                <w:rFonts w:eastAsia="Calibri"/>
                <w:bCs/>
              </w:rPr>
              <w:t>$169.60</w:t>
            </w:r>
          </w:p>
        </w:tc>
      </w:tr>
      <w:tr w:rsidR="005D5985" w:rsidRPr="00306E38" w14:paraId="0A232DC9" w14:textId="77777777">
        <w:trPr>
          <w:cantSplit/>
        </w:trPr>
        <w:tc>
          <w:tcPr>
            <w:tcW w:w="1415" w:type="pct"/>
          </w:tcPr>
          <w:p w14:paraId="217CC8D3" w14:textId="77777777" w:rsidR="005D5985" w:rsidRPr="00306E38" w:rsidRDefault="005D5985" w:rsidP="00A77206">
            <w:pPr>
              <w:pStyle w:val="TableText"/>
              <w:keepNext/>
              <w:keepLines/>
              <w:rPr>
                <w:bCs/>
              </w:rPr>
            </w:pPr>
            <w:r>
              <w:rPr>
                <w:bCs/>
              </w:rPr>
              <w:t>Duration of hospital stay, single-injection nerve block (95% CI: 3.68 to 3.81)</w:t>
            </w:r>
          </w:p>
        </w:tc>
        <w:tc>
          <w:tcPr>
            <w:tcW w:w="1083" w:type="pct"/>
          </w:tcPr>
          <w:p w14:paraId="4B310DAF" w14:textId="77777777" w:rsidR="005D5985" w:rsidRDefault="005D5985" w:rsidP="00A77206">
            <w:pPr>
              <w:pStyle w:val="TableText"/>
              <w:keepNext/>
              <w:keepLines/>
              <w:rPr>
                <w:rFonts w:eastAsia="Calibri"/>
                <w:bCs/>
              </w:rPr>
            </w:pPr>
            <w:r>
              <w:rPr>
                <w:rFonts w:eastAsia="Calibri"/>
                <w:bCs/>
              </w:rPr>
              <w:t>$225.86</w:t>
            </w:r>
          </w:p>
          <w:p w14:paraId="33E6D3E8" w14:textId="77777777" w:rsidR="005D5985" w:rsidRDefault="005D5985" w:rsidP="00A77206">
            <w:pPr>
              <w:pStyle w:val="TableText"/>
              <w:keepNext/>
              <w:keepLines/>
              <w:rPr>
                <w:rFonts w:eastAsia="Calibri"/>
                <w:bCs/>
              </w:rPr>
            </w:pPr>
            <w:r>
              <w:rPr>
                <w:rFonts w:eastAsia="Calibri"/>
                <w:bCs/>
              </w:rPr>
              <w:t>$82.89</w:t>
            </w:r>
          </w:p>
        </w:tc>
        <w:tc>
          <w:tcPr>
            <w:tcW w:w="1334" w:type="pct"/>
          </w:tcPr>
          <w:p w14:paraId="395C433F" w14:textId="77777777" w:rsidR="005D5985" w:rsidRDefault="005D5985" w:rsidP="00A77206">
            <w:pPr>
              <w:pStyle w:val="TableText"/>
              <w:keepNext/>
              <w:keepLines/>
              <w:rPr>
                <w:rFonts w:eastAsia="Calibri"/>
                <w:bCs/>
              </w:rPr>
            </w:pPr>
            <w:r>
              <w:rPr>
                <w:rFonts w:eastAsia="Calibri"/>
                <w:bCs/>
              </w:rPr>
              <w:t>1.35</w:t>
            </w:r>
          </w:p>
          <w:p w14:paraId="238CAB2B" w14:textId="77777777" w:rsidR="005D5985" w:rsidRPr="00306E38" w:rsidRDefault="005D5985" w:rsidP="00A77206">
            <w:pPr>
              <w:pStyle w:val="TableText"/>
              <w:keepNext/>
              <w:keepLines/>
              <w:rPr>
                <w:rFonts w:eastAsia="Calibri"/>
                <w:bCs/>
              </w:rPr>
            </w:pPr>
          </w:p>
        </w:tc>
        <w:tc>
          <w:tcPr>
            <w:tcW w:w="1168" w:type="pct"/>
          </w:tcPr>
          <w:p w14:paraId="668F5DF2" w14:textId="77777777" w:rsidR="005D5985" w:rsidRDefault="005D5985" w:rsidP="00A77206">
            <w:pPr>
              <w:pStyle w:val="TableText"/>
              <w:keepNext/>
              <w:keepLines/>
              <w:rPr>
                <w:rFonts w:eastAsia="Calibri"/>
                <w:bCs/>
              </w:rPr>
            </w:pPr>
            <w:r>
              <w:rPr>
                <w:rFonts w:eastAsia="Calibri"/>
                <w:bCs/>
              </w:rPr>
              <w:t>$167.30</w:t>
            </w:r>
          </w:p>
          <w:p w14:paraId="2513F823" w14:textId="77777777" w:rsidR="005D5985" w:rsidRPr="00306E38" w:rsidRDefault="005D5985" w:rsidP="00A77206">
            <w:pPr>
              <w:pStyle w:val="TableText"/>
              <w:keepNext/>
              <w:keepLines/>
              <w:rPr>
                <w:rFonts w:eastAsia="Calibri"/>
                <w:bCs/>
              </w:rPr>
            </w:pPr>
            <w:r>
              <w:rPr>
                <w:rFonts w:eastAsia="Calibri"/>
                <w:bCs/>
              </w:rPr>
              <w:t>$61.40</w:t>
            </w:r>
          </w:p>
        </w:tc>
      </w:tr>
      <w:tr w:rsidR="005D5985" w:rsidRPr="00306E38" w14:paraId="77756F30" w14:textId="77777777">
        <w:trPr>
          <w:cantSplit/>
        </w:trPr>
        <w:tc>
          <w:tcPr>
            <w:tcW w:w="1415" w:type="pct"/>
          </w:tcPr>
          <w:p w14:paraId="02A02E0C" w14:textId="77777777" w:rsidR="005D5985" w:rsidRPr="00306E38" w:rsidRDefault="005D5985" w:rsidP="00A77206">
            <w:pPr>
              <w:pStyle w:val="TableText"/>
              <w:keepNext/>
              <w:keepLines/>
              <w:rPr>
                <w:bCs/>
              </w:rPr>
            </w:pPr>
            <w:r w:rsidRPr="00306E38">
              <w:rPr>
                <w:bCs/>
              </w:rPr>
              <w:t xml:space="preserve">Two-way sensitivity analysis on </w:t>
            </w:r>
            <w:r>
              <w:rPr>
                <w:bCs/>
              </w:rPr>
              <w:t>length of hospital stay</w:t>
            </w:r>
            <w:r w:rsidRPr="00306E38">
              <w:rPr>
                <w:bCs/>
              </w:rPr>
              <w:t>:</w:t>
            </w:r>
          </w:p>
          <w:p w14:paraId="56133469" w14:textId="77777777" w:rsidR="005D5985" w:rsidRPr="00306E38" w:rsidRDefault="005D5985" w:rsidP="00A77206">
            <w:pPr>
              <w:pStyle w:val="TableText"/>
              <w:keepNext/>
              <w:keepLines/>
              <w:rPr>
                <w:bCs/>
              </w:rPr>
            </w:pPr>
            <w:r w:rsidRPr="00306E38">
              <w:rPr>
                <w:bCs/>
              </w:rPr>
              <w:t xml:space="preserve">cNB: </w:t>
            </w:r>
            <w:r>
              <w:rPr>
                <w:bCs/>
              </w:rPr>
              <w:t>3.54</w:t>
            </w:r>
            <w:r w:rsidRPr="00306E38">
              <w:rPr>
                <w:bCs/>
              </w:rPr>
              <w:t xml:space="preserve">; sNB: </w:t>
            </w:r>
            <w:r>
              <w:rPr>
                <w:bCs/>
              </w:rPr>
              <w:t>3.68</w:t>
            </w:r>
          </w:p>
          <w:p w14:paraId="39CE86E0" w14:textId="77777777" w:rsidR="005D5985" w:rsidRPr="00306E38" w:rsidRDefault="005D5985" w:rsidP="00A77206">
            <w:pPr>
              <w:pStyle w:val="TableText"/>
              <w:keepNext/>
              <w:keepLines/>
              <w:rPr>
                <w:bCs/>
              </w:rPr>
            </w:pPr>
            <w:r w:rsidRPr="00306E38">
              <w:rPr>
                <w:bCs/>
              </w:rPr>
              <w:t xml:space="preserve">cNB: </w:t>
            </w:r>
            <w:r>
              <w:rPr>
                <w:bCs/>
              </w:rPr>
              <w:t>3.54</w:t>
            </w:r>
            <w:r w:rsidRPr="00306E38">
              <w:rPr>
                <w:bCs/>
              </w:rPr>
              <w:t xml:space="preserve">; sNB: </w:t>
            </w:r>
            <w:r>
              <w:rPr>
                <w:bCs/>
              </w:rPr>
              <w:t>3.81</w:t>
            </w:r>
          </w:p>
          <w:p w14:paraId="43190AFA" w14:textId="77777777" w:rsidR="005D5985" w:rsidRPr="00306E38" w:rsidRDefault="005D5985" w:rsidP="00A77206">
            <w:pPr>
              <w:pStyle w:val="TableText"/>
              <w:keepNext/>
              <w:keepLines/>
              <w:rPr>
                <w:bCs/>
              </w:rPr>
            </w:pPr>
            <w:r w:rsidRPr="00306E38">
              <w:rPr>
                <w:bCs/>
              </w:rPr>
              <w:t xml:space="preserve">cNB: </w:t>
            </w:r>
            <w:r>
              <w:rPr>
                <w:bCs/>
              </w:rPr>
              <w:t>3.68</w:t>
            </w:r>
            <w:r w:rsidRPr="00306E38">
              <w:rPr>
                <w:bCs/>
              </w:rPr>
              <w:t xml:space="preserve">; sNB: </w:t>
            </w:r>
            <w:r>
              <w:rPr>
                <w:bCs/>
              </w:rPr>
              <w:t>3.68</w:t>
            </w:r>
          </w:p>
          <w:p w14:paraId="32C6FD3A" w14:textId="77777777" w:rsidR="005D5985" w:rsidRPr="00306E38" w:rsidRDefault="005D5985" w:rsidP="00A77206">
            <w:pPr>
              <w:pStyle w:val="TableText"/>
              <w:keepNext/>
              <w:keepLines/>
              <w:rPr>
                <w:bCs/>
              </w:rPr>
            </w:pPr>
            <w:r w:rsidRPr="00306E38">
              <w:rPr>
                <w:bCs/>
              </w:rPr>
              <w:t xml:space="preserve">cNB: </w:t>
            </w:r>
            <w:r>
              <w:rPr>
                <w:bCs/>
              </w:rPr>
              <w:t>3.68</w:t>
            </w:r>
            <w:r w:rsidRPr="00306E38">
              <w:rPr>
                <w:bCs/>
              </w:rPr>
              <w:t xml:space="preserve">; sNB: </w:t>
            </w:r>
            <w:r>
              <w:rPr>
                <w:bCs/>
              </w:rPr>
              <w:t>3.81</w:t>
            </w:r>
          </w:p>
        </w:tc>
        <w:tc>
          <w:tcPr>
            <w:tcW w:w="1083" w:type="pct"/>
          </w:tcPr>
          <w:p w14:paraId="16ED5CD6" w14:textId="77777777" w:rsidR="005D5985" w:rsidRDefault="005D5985" w:rsidP="00A77206">
            <w:pPr>
              <w:pStyle w:val="TableText"/>
              <w:keepNext/>
              <w:keepLines/>
              <w:rPr>
                <w:rFonts w:eastAsia="Calibri"/>
                <w:bCs/>
              </w:rPr>
            </w:pPr>
          </w:p>
          <w:p w14:paraId="2B0F2B26" w14:textId="77777777" w:rsidR="005D5985" w:rsidRDefault="005D5985" w:rsidP="00A77206">
            <w:pPr>
              <w:pStyle w:val="TableText"/>
              <w:keepNext/>
              <w:keepLines/>
              <w:rPr>
                <w:rFonts w:eastAsia="Calibri"/>
                <w:bCs/>
              </w:rPr>
            </w:pPr>
          </w:p>
          <w:p w14:paraId="7FF72D7D" w14:textId="77777777" w:rsidR="005D5985" w:rsidRDefault="005D5985" w:rsidP="00A77206">
            <w:pPr>
              <w:pStyle w:val="TableText"/>
              <w:keepNext/>
              <w:keepLines/>
              <w:rPr>
                <w:rFonts w:eastAsia="Calibri"/>
                <w:bCs/>
              </w:rPr>
            </w:pPr>
            <w:r>
              <w:rPr>
                <w:rFonts w:eastAsia="Calibri"/>
                <w:bCs/>
              </w:rPr>
              <w:t>$151.26</w:t>
            </w:r>
          </w:p>
          <w:p w14:paraId="489908B3" w14:textId="77777777" w:rsidR="005D5985" w:rsidRDefault="005D5985" w:rsidP="00A77206">
            <w:pPr>
              <w:pStyle w:val="TableText"/>
              <w:keepNext/>
              <w:keepLines/>
              <w:rPr>
                <w:rFonts w:eastAsia="Calibri"/>
                <w:bCs/>
              </w:rPr>
            </w:pPr>
            <w:r>
              <w:rPr>
                <w:rFonts w:eastAsia="Calibri"/>
                <w:bCs/>
              </w:rPr>
              <w:t>$8.30</w:t>
            </w:r>
          </w:p>
          <w:p w14:paraId="31EF9145" w14:textId="77777777" w:rsidR="005D5985" w:rsidRDefault="005D5985" w:rsidP="00A77206">
            <w:pPr>
              <w:pStyle w:val="TableText"/>
              <w:keepNext/>
              <w:keepLines/>
              <w:rPr>
                <w:rFonts w:eastAsia="Calibri"/>
                <w:bCs/>
              </w:rPr>
            </w:pPr>
            <w:r>
              <w:rPr>
                <w:rFonts w:eastAsia="Calibri"/>
                <w:bCs/>
              </w:rPr>
              <w:t>$300.45</w:t>
            </w:r>
          </w:p>
          <w:p w14:paraId="4EA4E087" w14:textId="77777777" w:rsidR="005D5985" w:rsidRDefault="005D5985" w:rsidP="00A77206">
            <w:pPr>
              <w:pStyle w:val="TableText"/>
              <w:keepNext/>
              <w:keepLines/>
              <w:rPr>
                <w:rFonts w:eastAsia="Calibri"/>
                <w:bCs/>
              </w:rPr>
            </w:pPr>
            <w:r>
              <w:rPr>
                <w:rFonts w:eastAsia="Calibri"/>
                <w:bCs/>
              </w:rPr>
              <w:t>$157.48</w:t>
            </w:r>
          </w:p>
        </w:tc>
        <w:tc>
          <w:tcPr>
            <w:tcW w:w="1334" w:type="pct"/>
          </w:tcPr>
          <w:p w14:paraId="26467A6E" w14:textId="77777777" w:rsidR="005D5985" w:rsidRDefault="005D5985" w:rsidP="00A77206">
            <w:pPr>
              <w:pStyle w:val="TableText"/>
              <w:keepNext/>
              <w:keepLines/>
              <w:rPr>
                <w:rFonts w:eastAsia="Calibri"/>
                <w:bCs/>
              </w:rPr>
            </w:pPr>
          </w:p>
          <w:p w14:paraId="78D38A33" w14:textId="77777777" w:rsidR="005D5985" w:rsidRDefault="005D5985" w:rsidP="00A77206">
            <w:pPr>
              <w:pStyle w:val="TableText"/>
              <w:keepNext/>
              <w:keepLines/>
              <w:rPr>
                <w:rFonts w:eastAsia="Calibri"/>
                <w:bCs/>
              </w:rPr>
            </w:pPr>
          </w:p>
          <w:p w14:paraId="6669C83A" w14:textId="77777777" w:rsidR="005D5985" w:rsidRDefault="005D5985" w:rsidP="00A77206">
            <w:pPr>
              <w:pStyle w:val="TableText"/>
              <w:keepNext/>
              <w:keepLines/>
              <w:rPr>
                <w:rFonts w:eastAsia="Calibri"/>
                <w:bCs/>
              </w:rPr>
            </w:pPr>
            <w:r>
              <w:rPr>
                <w:rFonts w:eastAsia="Calibri"/>
                <w:bCs/>
              </w:rPr>
              <w:t>1.35</w:t>
            </w:r>
          </w:p>
          <w:p w14:paraId="03334319" w14:textId="77777777" w:rsidR="005D5985" w:rsidRPr="00306E38" w:rsidRDefault="005D5985" w:rsidP="00A77206">
            <w:pPr>
              <w:pStyle w:val="TableText"/>
              <w:keepNext/>
              <w:keepLines/>
              <w:rPr>
                <w:rFonts w:eastAsia="Calibri"/>
                <w:bCs/>
              </w:rPr>
            </w:pPr>
          </w:p>
        </w:tc>
        <w:tc>
          <w:tcPr>
            <w:tcW w:w="1168" w:type="pct"/>
          </w:tcPr>
          <w:p w14:paraId="60A1CA61" w14:textId="77777777" w:rsidR="005D5985" w:rsidRDefault="005D5985" w:rsidP="00A77206">
            <w:pPr>
              <w:pStyle w:val="TableText"/>
              <w:keepNext/>
              <w:keepLines/>
              <w:rPr>
                <w:rFonts w:eastAsia="Calibri"/>
                <w:bCs/>
              </w:rPr>
            </w:pPr>
          </w:p>
          <w:p w14:paraId="39DDE334" w14:textId="77777777" w:rsidR="005D5985" w:rsidRDefault="005D5985" w:rsidP="00A77206">
            <w:pPr>
              <w:pStyle w:val="TableText"/>
              <w:keepNext/>
              <w:keepLines/>
              <w:rPr>
                <w:rFonts w:eastAsia="Calibri"/>
                <w:bCs/>
              </w:rPr>
            </w:pPr>
          </w:p>
          <w:p w14:paraId="106204F4" w14:textId="77777777" w:rsidR="005D5985" w:rsidRDefault="005D5985" w:rsidP="00A77206">
            <w:pPr>
              <w:pStyle w:val="TableText"/>
              <w:keepNext/>
              <w:keepLines/>
              <w:rPr>
                <w:rFonts w:eastAsia="Calibri"/>
                <w:bCs/>
              </w:rPr>
            </w:pPr>
            <w:r>
              <w:rPr>
                <w:rFonts w:eastAsia="Calibri"/>
                <w:bCs/>
              </w:rPr>
              <w:t>$112.05</w:t>
            </w:r>
          </w:p>
          <w:p w14:paraId="1B64CDEC" w14:textId="77777777" w:rsidR="005D5985" w:rsidRDefault="005D5985" w:rsidP="00A77206">
            <w:pPr>
              <w:pStyle w:val="TableText"/>
              <w:keepNext/>
              <w:keepLines/>
              <w:rPr>
                <w:rFonts w:eastAsia="Calibri"/>
                <w:bCs/>
              </w:rPr>
            </w:pPr>
            <w:r>
              <w:rPr>
                <w:rFonts w:eastAsia="Calibri"/>
                <w:bCs/>
              </w:rPr>
              <w:t>$6.14</w:t>
            </w:r>
          </w:p>
          <w:p w14:paraId="053CA2F1" w14:textId="77777777" w:rsidR="005D5985" w:rsidRDefault="005D5985" w:rsidP="00A77206">
            <w:pPr>
              <w:pStyle w:val="TableText"/>
              <w:keepNext/>
              <w:keepLines/>
              <w:rPr>
                <w:rFonts w:eastAsia="Calibri"/>
                <w:bCs/>
              </w:rPr>
            </w:pPr>
            <w:r>
              <w:rPr>
                <w:rFonts w:eastAsia="Calibri"/>
                <w:bCs/>
              </w:rPr>
              <w:t>$222.55</w:t>
            </w:r>
          </w:p>
          <w:p w14:paraId="0243A09E" w14:textId="77777777" w:rsidR="005D5985" w:rsidRPr="00306E38" w:rsidRDefault="005D5985" w:rsidP="00A77206">
            <w:pPr>
              <w:pStyle w:val="TableText"/>
              <w:keepNext/>
              <w:keepLines/>
              <w:rPr>
                <w:rFonts w:eastAsia="Calibri"/>
                <w:bCs/>
              </w:rPr>
            </w:pPr>
            <w:r>
              <w:rPr>
                <w:rFonts w:eastAsia="Calibri"/>
                <w:bCs/>
              </w:rPr>
              <w:t>$116.65</w:t>
            </w:r>
          </w:p>
        </w:tc>
      </w:tr>
      <w:tr w:rsidR="005D5985" w:rsidRPr="00DC7C5C" w14:paraId="3F7295A1" w14:textId="77777777">
        <w:trPr>
          <w:cantSplit/>
          <w:trHeight w:val="197"/>
        </w:trPr>
        <w:tc>
          <w:tcPr>
            <w:tcW w:w="5000" w:type="pct"/>
            <w:gridSpan w:val="4"/>
            <w:shd w:val="clear" w:color="auto" w:fill="auto"/>
          </w:tcPr>
          <w:p w14:paraId="6F378191" w14:textId="77777777" w:rsidR="005D5985" w:rsidRPr="00C115B7" w:rsidRDefault="005D5985" w:rsidP="00A77206">
            <w:pPr>
              <w:pStyle w:val="TableText"/>
              <w:keepNext/>
              <w:keepLines/>
              <w:rPr>
                <w:b/>
                <w:bCs/>
                <w:i/>
                <w:iCs/>
              </w:rPr>
            </w:pPr>
            <w:r w:rsidRPr="00C115B7">
              <w:rPr>
                <w:b/>
                <w:bCs/>
                <w:i/>
                <w:iCs/>
              </w:rPr>
              <w:t>Comparator (base case: single-injection nerve block)</w:t>
            </w:r>
          </w:p>
        </w:tc>
      </w:tr>
      <w:tr w:rsidR="005D5985" w:rsidRPr="00306E38" w14:paraId="288ECC7C" w14:textId="77777777">
        <w:trPr>
          <w:cantSplit/>
        </w:trPr>
        <w:tc>
          <w:tcPr>
            <w:tcW w:w="1415" w:type="pct"/>
          </w:tcPr>
          <w:p w14:paraId="29E3285E" w14:textId="77777777" w:rsidR="005D5985" w:rsidRPr="00D059DF" w:rsidRDefault="005D5985" w:rsidP="00A77206">
            <w:pPr>
              <w:pStyle w:val="TableText"/>
              <w:keepNext/>
              <w:keepLines/>
            </w:pPr>
            <w:r w:rsidRPr="00D059DF">
              <w:t>Continuous epidural infusion</w:t>
            </w:r>
          </w:p>
        </w:tc>
        <w:tc>
          <w:tcPr>
            <w:tcW w:w="1083" w:type="pct"/>
          </w:tcPr>
          <w:p w14:paraId="0A9060B0" w14:textId="77777777" w:rsidR="005D5985" w:rsidRPr="00864D43" w:rsidRDefault="005D5985" w:rsidP="00A77206">
            <w:pPr>
              <w:pStyle w:val="TableText"/>
              <w:keepNext/>
              <w:keepLines/>
            </w:pPr>
            <w:r w:rsidRPr="00864D43">
              <w:t>-</w:t>
            </w:r>
            <w:r>
              <w:t>$</w:t>
            </w:r>
            <w:r w:rsidRPr="00864D43">
              <w:t>90.15</w:t>
            </w:r>
          </w:p>
        </w:tc>
        <w:tc>
          <w:tcPr>
            <w:tcW w:w="1334" w:type="pct"/>
          </w:tcPr>
          <w:p w14:paraId="5FD9FECD" w14:textId="77777777" w:rsidR="005D5985" w:rsidRPr="00864D43" w:rsidRDefault="005D5985" w:rsidP="00A77206">
            <w:pPr>
              <w:pStyle w:val="TableText"/>
              <w:keepNext/>
              <w:keepLines/>
            </w:pPr>
            <w:r w:rsidRPr="00864D43">
              <w:t>0.44</w:t>
            </w:r>
          </w:p>
        </w:tc>
        <w:tc>
          <w:tcPr>
            <w:tcW w:w="1168" w:type="pct"/>
          </w:tcPr>
          <w:p w14:paraId="4910E786" w14:textId="77777777" w:rsidR="005D5985" w:rsidRPr="00864D43" w:rsidRDefault="005D5985" w:rsidP="00A77206">
            <w:pPr>
              <w:pStyle w:val="TableText"/>
              <w:keepNext/>
              <w:keepLines/>
            </w:pPr>
            <w:r w:rsidRPr="00864D43">
              <w:t>cNB dominant</w:t>
            </w:r>
          </w:p>
        </w:tc>
      </w:tr>
      <w:tr w:rsidR="005D5985" w:rsidRPr="00306E38" w14:paraId="393D876A" w14:textId="77777777">
        <w:trPr>
          <w:cantSplit/>
          <w:trHeight w:val="283"/>
        </w:trPr>
        <w:tc>
          <w:tcPr>
            <w:tcW w:w="1415" w:type="pct"/>
          </w:tcPr>
          <w:p w14:paraId="09476B7F" w14:textId="77777777" w:rsidR="005D5985" w:rsidRPr="00D059DF" w:rsidRDefault="005D5985" w:rsidP="00A77206">
            <w:pPr>
              <w:pStyle w:val="TableText"/>
              <w:keepNext/>
              <w:keepLines/>
            </w:pPr>
            <w:r w:rsidRPr="00D059DF">
              <w:t>Intravenous opioids</w:t>
            </w:r>
          </w:p>
        </w:tc>
        <w:tc>
          <w:tcPr>
            <w:tcW w:w="1083" w:type="pct"/>
          </w:tcPr>
          <w:p w14:paraId="13F38E54" w14:textId="77777777" w:rsidR="005D5985" w:rsidRPr="00D059DF" w:rsidRDefault="005D5985" w:rsidP="00A77206">
            <w:pPr>
              <w:pStyle w:val="TableText"/>
              <w:keepNext/>
              <w:keepLines/>
              <w:rPr>
                <w:rFonts w:eastAsiaTheme="minorHAnsi"/>
              </w:rPr>
            </w:pPr>
            <w:r>
              <w:rPr>
                <w:rFonts w:eastAsiaTheme="minorHAnsi"/>
              </w:rPr>
              <w:t>$</w:t>
            </w:r>
            <w:r w:rsidRPr="00864D43">
              <w:rPr>
                <w:rFonts w:eastAsiaTheme="minorHAnsi"/>
              </w:rPr>
              <w:t>598.19</w:t>
            </w:r>
          </w:p>
        </w:tc>
        <w:tc>
          <w:tcPr>
            <w:tcW w:w="1334" w:type="pct"/>
          </w:tcPr>
          <w:p w14:paraId="01A7DFEC" w14:textId="77777777" w:rsidR="005D5985" w:rsidRPr="00864D43" w:rsidRDefault="005D5985" w:rsidP="00A77206">
            <w:pPr>
              <w:pStyle w:val="TableText"/>
              <w:keepNext/>
              <w:keepLines/>
            </w:pPr>
            <w:r w:rsidRPr="00864D43">
              <w:t>0.34</w:t>
            </w:r>
          </w:p>
        </w:tc>
        <w:tc>
          <w:tcPr>
            <w:tcW w:w="1168" w:type="pct"/>
          </w:tcPr>
          <w:p w14:paraId="20460514" w14:textId="77777777" w:rsidR="005D5985" w:rsidRPr="00864D43" w:rsidRDefault="005D5985" w:rsidP="00A77206">
            <w:pPr>
              <w:pStyle w:val="TableText"/>
              <w:keepNext/>
              <w:keepLines/>
            </w:pPr>
            <w:r>
              <w:t>$</w:t>
            </w:r>
            <w:r w:rsidRPr="00864D43">
              <w:t>1,775.04</w:t>
            </w:r>
          </w:p>
        </w:tc>
      </w:tr>
      <w:tr w:rsidR="005D5985" w:rsidRPr="00BF7EE5" w14:paraId="4F59C3E2" w14:textId="77777777">
        <w:trPr>
          <w:cantSplit/>
          <w:trHeight w:val="283"/>
        </w:trPr>
        <w:tc>
          <w:tcPr>
            <w:tcW w:w="5000" w:type="pct"/>
            <w:gridSpan w:val="4"/>
            <w:shd w:val="clear" w:color="auto" w:fill="auto"/>
          </w:tcPr>
          <w:p w14:paraId="0880C6DD" w14:textId="77777777" w:rsidR="005D5985" w:rsidRPr="00864D43" w:rsidRDefault="005D5985" w:rsidP="00A77206">
            <w:pPr>
              <w:pStyle w:val="TableText"/>
              <w:keepNext/>
              <w:keepLines/>
              <w:rPr>
                <w:rFonts w:eastAsia="Calibri"/>
                <w:b/>
                <w:bCs/>
                <w:i/>
                <w:iCs/>
              </w:rPr>
            </w:pPr>
            <w:r w:rsidRPr="00864D43">
              <w:rPr>
                <w:b/>
                <w:bCs/>
                <w:i/>
                <w:iCs/>
              </w:rPr>
              <w:t>Setting of continuous nerve block (base case: inpatient)</w:t>
            </w:r>
          </w:p>
        </w:tc>
      </w:tr>
      <w:tr w:rsidR="005D5985" w:rsidRPr="00306E38" w14:paraId="23CAF042" w14:textId="77777777">
        <w:trPr>
          <w:cantSplit/>
          <w:trHeight w:val="283"/>
        </w:trPr>
        <w:tc>
          <w:tcPr>
            <w:tcW w:w="1415" w:type="pct"/>
          </w:tcPr>
          <w:p w14:paraId="41BC8666" w14:textId="77777777" w:rsidR="005D5985" w:rsidRPr="00716E13" w:rsidRDefault="005D5985" w:rsidP="00A77206">
            <w:pPr>
              <w:pStyle w:val="TableText"/>
              <w:keepNext/>
              <w:keepLines/>
            </w:pPr>
            <w:r w:rsidRPr="00716E13">
              <w:t xml:space="preserve">Discharged with catheter </w:t>
            </w:r>
            <w:r w:rsidRPr="00716E13">
              <w:rPr>
                <w:vertAlign w:val="superscript"/>
              </w:rPr>
              <w:t>c</w:t>
            </w:r>
          </w:p>
        </w:tc>
        <w:tc>
          <w:tcPr>
            <w:tcW w:w="1083" w:type="pct"/>
          </w:tcPr>
          <w:p w14:paraId="787CD3F6" w14:textId="77777777" w:rsidR="005D5985" w:rsidRPr="00716E13" w:rsidRDefault="005D5985" w:rsidP="00A77206">
            <w:pPr>
              <w:pStyle w:val="TableText"/>
              <w:keepNext/>
              <w:keepLines/>
              <w:rPr>
                <w:rFonts w:eastAsia="Calibri"/>
              </w:rPr>
            </w:pPr>
            <w:r>
              <w:rPr>
                <w:rFonts w:eastAsia="Calibri"/>
              </w:rPr>
              <w:t>$</w:t>
            </w:r>
            <w:r w:rsidRPr="00716E13">
              <w:rPr>
                <w:rFonts w:eastAsia="Calibri"/>
              </w:rPr>
              <w:t>593.17</w:t>
            </w:r>
          </w:p>
        </w:tc>
        <w:tc>
          <w:tcPr>
            <w:tcW w:w="1334" w:type="pct"/>
          </w:tcPr>
          <w:p w14:paraId="67DC8D8F" w14:textId="77777777" w:rsidR="005D5985" w:rsidRPr="00716E13" w:rsidRDefault="005D5985" w:rsidP="00A77206">
            <w:pPr>
              <w:pStyle w:val="TableText"/>
              <w:keepNext/>
              <w:keepLines/>
              <w:rPr>
                <w:rFonts w:eastAsia="Calibri"/>
              </w:rPr>
            </w:pPr>
            <w:r w:rsidRPr="00716E13">
              <w:t>1.350</w:t>
            </w:r>
          </w:p>
        </w:tc>
        <w:tc>
          <w:tcPr>
            <w:tcW w:w="1168" w:type="pct"/>
          </w:tcPr>
          <w:p w14:paraId="132F9745" w14:textId="77777777" w:rsidR="005D5985" w:rsidRPr="00716E13" w:rsidRDefault="005D5985" w:rsidP="00A77206">
            <w:pPr>
              <w:pStyle w:val="TableText"/>
              <w:keepNext/>
              <w:keepLines/>
              <w:rPr>
                <w:rFonts w:eastAsia="Calibri"/>
              </w:rPr>
            </w:pPr>
            <w:r>
              <w:rPr>
                <w:rFonts w:eastAsia="Calibri"/>
              </w:rPr>
              <w:t>$</w:t>
            </w:r>
            <w:r w:rsidRPr="00716E13">
              <w:rPr>
                <w:rFonts w:eastAsia="Calibri"/>
              </w:rPr>
              <w:t>439.39</w:t>
            </w:r>
          </w:p>
        </w:tc>
      </w:tr>
    </w:tbl>
    <w:p w14:paraId="3B6FE4AD" w14:textId="77777777" w:rsidR="005D5985" w:rsidRPr="00306E38" w:rsidRDefault="005D5985" w:rsidP="00A77206">
      <w:pPr>
        <w:pStyle w:val="Notes-TableFigure"/>
        <w:keepNext/>
        <w:keepLines/>
        <w:rPr>
          <w:rFonts w:eastAsia="Calibri"/>
          <w:szCs w:val="20"/>
        </w:rPr>
      </w:pPr>
      <w:bookmarkStart w:id="57" w:name="_Hlk68276759"/>
      <w:bookmarkEnd w:id="56"/>
      <w:r w:rsidRPr="00D059DF">
        <w:rPr>
          <w:b/>
        </w:rPr>
        <w:t>Abbreviations</w:t>
      </w:r>
      <w:r w:rsidRPr="00D059DF">
        <w:t>:</w:t>
      </w:r>
      <w:r>
        <w:t xml:space="preserve"> </w:t>
      </w:r>
      <w:r w:rsidRPr="00D059DF">
        <w:rPr>
          <w:b/>
          <w:bCs/>
        </w:rPr>
        <w:t>CI</w:t>
      </w:r>
      <w:r>
        <w:t xml:space="preserve"> = confidence interval;</w:t>
      </w:r>
      <w:r>
        <w:rPr>
          <w:rFonts w:eastAsia="Calibri"/>
          <w:b/>
          <w:bCs/>
          <w:szCs w:val="20"/>
        </w:rPr>
        <w:t xml:space="preserve"> </w:t>
      </w:r>
      <w:r w:rsidRPr="00306E38">
        <w:rPr>
          <w:rFonts w:eastAsia="Calibri"/>
          <w:b/>
          <w:bCs/>
          <w:szCs w:val="20"/>
        </w:rPr>
        <w:t xml:space="preserve">cNB </w:t>
      </w:r>
      <w:r w:rsidRPr="00306E38">
        <w:rPr>
          <w:rFonts w:eastAsia="Calibri"/>
          <w:szCs w:val="20"/>
        </w:rPr>
        <w:t>= continuous nerve block</w:t>
      </w:r>
      <w:r w:rsidRPr="00D059DF">
        <w:rPr>
          <w:rFonts w:eastAsia="Calibri"/>
          <w:szCs w:val="20"/>
        </w:rPr>
        <w:t xml:space="preserve">; </w:t>
      </w:r>
      <w:r w:rsidRPr="00306E38">
        <w:rPr>
          <w:rFonts w:eastAsia="Calibri"/>
          <w:b/>
          <w:bCs/>
          <w:szCs w:val="20"/>
        </w:rPr>
        <w:t xml:space="preserve">DSA </w:t>
      </w:r>
      <w:r w:rsidRPr="00306E38">
        <w:rPr>
          <w:rFonts w:eastAsia="Calibri"/>
          <w:szCs w:val="20"/>
        </w:rPr>
        <w:t>= deterministic sensitivity analysis;</w:t>
      </w:r>
      <w:r w:rsidRPr="00306E38">
        <w:rPr>
          <w:rFonts w:eastAsia="Calibri"/>
          <w:b/>
          <w:bCs/>
          <w:szCs w:val="20"/>
        </w:rPr>
        <w:t xml:space="preserve"> ICER</w:t>
      </w:r>
      <w:r w:rsidRPr="00306E38">
        <w:rPr>
          <w:rFonts w:eastAsia="Calibri"/>
          <w:szCs w:val="20"/>
        </w:rPr>
        <w:t xml:space="preserve"> = incremental cost-effectiveness ratio; </w:t>
      </w:r>
      <w:r w:rsidRPr="00306E38">
        <w:rPr>
          <w:rFonts w:eastAsia="Calibri"/>
          <w:b/>
          <w:bCs/>
          <w:szCs w:val="20"/>
        </w:rPr>
        <w:t>NB</w:t>
      </w:r>
      <w:r w:rsidRPr="00306E38">
        <w:rPr>
          <w:rFonts w:eastAsia="Calibri"/>
          <w:szCs w:val="20"/>
        </w:rPr>
        <w:t xml:space="preserve"> = nerve block; </w:t>
      </w:r>
      <w:r w:rsidRPr="00306E38">
        <w:rPr>
          <w:rFonts w:eastAsia="Calibri"/>
          <w:b/>
          <w:bCs/>
          <w:szCs w:val="20"/>
        </w:rPr>
        <w:t>sNB</w:t>
      </w:r>
      <w:r w:rsidRPr="00306E38">
        <w:rPr>
          <w:rFonts w:eastAsia="Calibri"/>
          <w:szCs w:val="20"/>
        </w:rPr>
        <w:t xml:space="preserve"> = single</w:t>
      </w:r>
      <w:r>
        <w:rPr>
          <w:rFonts w:eastAsia="Calibri"/>
          <w:szCs w:val="20"/>
        </w:rPr>
        <w:t>-injection</w:t>
      </w:r>
      <w:r w:rsidRPr="00306E38">
        <w:rPr>
          <w:rFonts w:eastAsia="Calibri"/>
          <w:szCs w:val="20"/>
        </w:rPr>
        <w:t xml:space="preserve"> nerve block</w:t>
      </w:r>
    </w:p>
    <w:p w14:paraId="19AA1C50" w14:textId="3017A1BC" w:rsidR="005D5985" w:rsidRPr="00306E38" w:rsidRDefault="005D5985" w:rsidP="00A77206">
      <w:pPr>
        <w:pStyle w:val="Notes-TableFigure"/>
        <w:keepNext/>
        <w:keepLines/>
        <w:rPr>
          <w:rFonts w:eastAsia="Calibri"/>
          <w:szCs w:val="20"/>
        </w:rPr>
      </w:pPr>
      <w:r w:rsidRPr="00D059DF">
        <w:rPr>
          <w:b/>
        </w:rPr>
        <w:t>Notes</w:t>
      </w:r>
      <w:r w:rsidRPr="00D059DF">
        <w:t>:</w:t>
      </w:r>
      <w:r w:rsidR="00652476">
        <w:t xml:space="preserve"> </w:t>
      </w:r>
      <w:r w:rsidRPr="00306E38">
        <w:rPr>
          <w:rFonts w:eastAsia="Calibri"/>
          <w:b/>
          <w:bCs/>
          <w:szCs w:val="20"/>
        </w:rPr>
        <w:t>a</w:t>
      </w:r>
      <w:r>
        <w:rPr>
          <w:rFonts w:eastAsia="Calibri"/>
          <w:szCs w:val="20"/>
        </w:rPr>
        <w:t xml:space="preserve"> =</w:t>
      </w:r>
      <w:r w:rsidRPr="00306E38">
        <w:rPr>
          <w:rFonts w:eastAsia="Calibri"/>
          <w:szCs w:val="20"/>
        </w:rPr>
        <w:t xml:space="preserve"> ICER reports the incremental cost per one-unit improvement in pain (on 10-point scale).</w:t>
      </w:r>
    </w:p>
    <w:p w14:paraId="2E0CEFF2" w14:textId="77777777" w:rsidR="005D5985" w:rsidRPr="00306E38" w:rsidRDefault="005D5985" w:rsidP="00A77206">
      <w:pPr>
        <w:pStyle w:val="Notes-TableFigure"/>
        <w:keepNext/>
        <w:keepLines/>
        <w:rPr>
          <w:rFonts w:eastAsia="Calibri"/>
          <w:szCs w:val="20"/>
        </w:rPr>
      </w:pPr>
      <w:r>
        <w:rPr>
          <w:rFonts w:eastAsia="Calibri"/>
          <w:b/>
          <w:bCs/>
          <w:szCs w:val="20"/>
        </w:rPr>
        <w:t>b</w:t>
      </w:r>
      <w:r>
        <w:rPr>
          <w:rFonts w:eastAsia="Calibri"/>
          <w:szCs w:val="20"/>
        </w:rPr>
        <w:t xml:space="preserve"> =</w:t>
      </w:r>
      <w:r w:rsidRPr="00306E38">
        <w:rPr>
          <w:rFonts w:eastAsia="Calibri"/>
          <w:szCs w:val="20"/>
        </w:rPr>
        <w:t xml:space="preserve"> 10 is no pain</w:t>
      </w:r>
      <w:r>
        <w:rPr>
          <w:rFonts w:eastAsia="Calibri"/>
          <w:szCs w:val="20"/>
        </w:rPr>
        <w:t>,</w:t>
      </w:r>
      <w:r w:rsidRPr="00306E38">
        <w:rPr>
          <w:rFonts w:eastAsia="Calibri"/>
          <w:szCs w:val="20"/>
        </w:rPr>
        <w:t xml:space="preserve"> 0 is worst pain imaginable</w:t>
      </w:r>
    </w:p>
    <w:p w14:paraId="415DEA4F" w14:textId="5C239277" w:rsidR="005D5985" w:rsidRDefault="005D5985" w:rsidP="005D5985">
      <w:pPr>
        <w:pStyle w:val="Notes-TableFigure"/>
        <w:rPr>
          <w:rFonts w:eastAsia="Calibri"/>
          <w:szCs w:val="20"/>
        </w:rPr>
      </w:pPr>
      <w:r w:rsidRPr="00306E38">
        <w:rPr>
          <w:rFonts w:eastAsia="Calibri"/>
          <w:b/>
          <w:bCs/>
          <w:szCs w:val="20"/>
        </w:rPr>
        <w:t>c</w:t>
      </w:r>
      <w:r>
        <w:rPr>
          <w:rFonts w:eastAsia="Calibri"/>
          <w:szCs w:val="20"/>
        </w:rPr>
        <w:t xml:space="preserve"> =</w:t>
      </w:r>
      <w:r w:rsidRPr="00306E38">
        <w:rPr>
          <w:rFonts w:eastAsia="Calibri"/>
          <w:szCs w:val="20"/>
        </w:rPr>
        <w:t xml:space="preserve"> This scenario considers patients discharged with the catheter in place, including costs for elastomeric infusion pump.</w:t>
      </w:r>
    </w:p>
    <w:p w14:paraId="423F56CB" w14:textId="0776FF19" w:rsidR="00652476" w:rsidRDefault="00652476" w:rsidP="005D5985">
      <w:pPr>
        <w:pStyle w:val="Notes-TableFigure"/>
        <w:rPr>
          <w:rFonts w:eastAsia="Calibri"/>
          <w:szCs w:val="20"/>
        </w:rPr>
      </w:pPr>
      <w:r>
        <w:rPr>
          <w:rFonts w:eastAsia="Calibri"/>
          <w:szCs w:val="20"/>
        </w:rPr>
        <w:t>Source: DCAR Table 17.</w:t>
      </w:r>
    </w:p>
    <w:p w14:paraId="4AF2B8E8" w14:textId="0CFAACCD" w:rsidR="005D5985" w:rsidRPr="00306E38" w:rsidRDefault="005D5985" w:rsidP="005D5985">
      <w:pPr>
        <w:pStyle w:val="Heading2"/>
        <w:numPr>
          <w:ilvl w:val="0"/>
          <w:numId w:val="0"/>
        </w:numPr>
        <w:ind w:left="576" w:hanging="576"/>
      </w:pPr>
      <w:bookmarkStart w:id="58" w:name="_Toc150966061"/>
      <w:bookmarkStart w:id="59" w:name="_Toc153401637"/>
      <w:bookmarkEnd w:id="57"/>
      <w:r w:rsidRPr="00306E38">
        <w:t>1</w:t>
      </w:r>
      <w:r w:rsidR="00EE61CE">
        <w:t>4</w:t>
      </w:r>
      <w:r w:rsidRPr="00306E38">
        <w:t>.</w:t>
      </w:r>
      <w:r w:rsidRPr="00306E38">
        <w:tab/>
        <w:t>Financial/budgetary impacts</w:t>
      </w:r>
      <w:bookmarkEnd w:id="58"/>
      <w:bookmarkEnd w:id="59"/>
    </w:p>
    <w:p w14:paraId="5CAC7ECF" w14:textId="77777777" w:rsidR="005D5985" w:rsidRPr="00DA5E35" w:rsidRDefault="005D5985" w:rsidP="005D5985">
      <w:pPr>
        <w:rPr>
          <w:rFonts w:ascii="Franklin Gothic Book" w:hAnsi="Franklin Gothic Book"/>
        </w:rPr>
      </w:pPr>
      <w:r w:rsidRPr="00DA5E35">
        <w:rPr>
          <w:rFonts w:ascii="Franklin Gothic Book" w:hAnsi="Franklin Gothic Book"/>
        </w:rPr>
        <w:t>Anticipated use of the proposed health technology was estimated using a market share approach involving 2 components:</w:t>
      </w:r>
    </w:p>
    <w:p w14:paraId="6089C5EE" w14:textId="77777777" w:rsidR="005D5985" w:rsidRPr="00DA5E35" w:rsidRDefault="005D5985" w:rsidP="005D5985">
      <w:pPr>
        <w:pStyle w:val="ListParagraph"/>
        <w:numPr>
          <w:ilvl w:val="0"/>
          <w:numId w:val="15"/>
        </w:numPr>
      </w:pPr>
      <w:r w:rsidRPr="00DA5E35">
        <w:t>estimated rate of substitution of current MBS services by the proposed health technology</w:t>
      </w:r>
    </w:p>
    <w:p w14:paraId="207B2988" w14:textId="77777777" w:rsidR="005D5985" w:rsidRPr="00DA5E35" w:rsidRDefault="005D5985" w:rsidP="005D5985">
      <w:pPr>
        <w:pStyle w:val="ListParagraph"/>
        <w:numPr>
          <w:ilvl w:val="0"/>
          <w:numId w:val="15"/>
        </w:numPr>
      </w:pPr>
      <w:r w:rsidRPr="00DA5E35">
        <w:t>estimated potential growth of the market after listing of the proposed health technology.</w:t>
      </w:r>
    </w:p>
    <w:p w14:paraId="2FF519BA" w14:textId="77777777" w:rsidR="005D5985" w:rsidRPr="00DA5E35" w:rsidRDefault="005D5985" w:rsidP="005D5985">
      <w:pPr>
        <w:rPr>
          <w:rFonts w:ascii="Franklin Gothic Book" w:hAnsi="Franklin Gothic Book"/>
        </w:rPr>
      </w:pPr>
      <w:r w:rsidRPr="00DA5E35">
        <w:rPr>
          <w:rFonts w:ascii="Franklin Gothic Book" w:hAnsi="Franklin Gothic Book"/>
        </w:rPr>
        <w:lastRenderedPageBreak/>
        <w:t xml:space="preserve">The primary comparator was single-injection nerve block. Single-injection peripheral nerve blocks are currently reimbursed via MBS item 22041. The financial analysis assumed that a proportion of claims for MBS item 22041 would be substituted by the proposed health technology, should it be listed. </w:t>
      </w:r>
    </w:p>
    <w:p w14:paraId="68E8CDCF" w14:textId="77777777" w:rsidR="005D5985" w:rsidRPr="00DA5E35" w:rsidRDefault="005D5985" w:rsidP="005D5985">
      <w:pPr>
        <w:rPr>
          <w:rFonts w:ascii="Franklin Gothic Book" w:hAnsi="Franklin Gothic Book"/>
        </w:rPr>
      </w:pPr>
      <w:r w:rsidRPr="00DA5E35">
        <w:rPr>
          <w:rFonts w:ascii="Franklin Gothic Book" w:hAnsi="Franklin Gothic Book"/>
        </w:rPr>
        <w:t>In the ratified PICO, the applicant indicated that some use of the existing single-injection nerve block item may be due to claims for continuous nerve blocks in lieu of a more appropriate item. Nevertheless, no data were available to support estimates of such leakage in practice, and lack of an MBS item may, in fact, be limiting uptake of continuous nerve blocks. Whilst substitution was modelled, the extent to which this anticipated shift reflected a change in claims practices rather than a true shift in clinical practice from single-injection to continuous catheter peripheral nerve blocks was uncertain.</w:t>
      </w:r>
    </w:p>
    <w:p w14:paraId="462C64DA" w14:textId="77777777" w:rsidR="005D5985" w:rsidRPr="00DA5E35" w:rsidRDefault="005D5985" w:rsidP="005D5985">
      <w:pPr>
        <w:rPr>
          <w:rFonts w:ascii="Franklin Gothic Book" w:hAnsi="Franklin Gothic Book"/>
        </w:rPr>
      </w:pPr>
      <w:r w:rsidRPr="00DA5E35">
        <w:rPr>
          <w:rFonts w:ascii="Franklin Gothic Book" w:hAnsi="Franklin Gothic Book"/>
        </w:rPr>
        <w:t>The financial analysis considered that the overall number of MBS claims for peripheral nerve blocks would likely grow should the proposed MBS item be listed. To inform estimates of market growth, data on the overall use of catheters for peripheral nerve blocks were considered. After accounting for continuous nerve blocks that would substitute for existing single-injection nerve block services, the total number of continuous nerve block services—that is, both substituted services and additional MBS services—was derived as a percentage of all peripheral nerve block services.</w:t>
      </w:r>
    </w:p>
    <w:p w14:paraId="3025D331" w14:textId="77777777" w:rsidR="005D5985" w:rsidRPr="00DA5E35" w:rsidRDefault="005D5985" w:rsidP="005D5985">
      <w:pPr>
        <w:rPr>
          <w:rFonts w:ascii="Franklin Gothic Book" w:hAnsi="Franklin Gothic Book"/>
        </w:rPr>
      </w:pPr>
      <w:r w:rsidRPr="00DA5E35">
        <w:rPr>
          <w:rFonts w:ascii="Franklin Gothic Book" w:hAnsi="Franklin Gothic Book"/>
        </w:rPr>
        <w:t>In year 1 of the financial analysis (financial year [FY] 2024–25), a total of 28,758 continuous catheter peripheral nerve block services was estimated, including 11,329 services anticipated to replace MBS item 22041 claims and 17,429 additional services reflecting a growth in the MBS market of peripheral nerve block services. For the services anticipated to replace MBS item 22041 claims, the value of MBS item 22041 reflected a cost offset for the net financial impact calculations.</w:t>
      </w:r>
    </w:p>
    <w:p w14:paraId="3623CA08" w14:textId="77777777" w:rsidR="005D5985" w:rsidRPr="00DA5E35" w:rsidRDefault="005D5985" w:rsidP="005D5985">
      <w:pPr>
        <w:rPr>
          <w:rFonts w:ascii="Franklin Gothic Book" w:hAnsi="Franklin Gothic Book"/>
        </w:rPr>
      </w:pPr>
      <w:r w:rsidRPr="00DA5E35">
        <w:rPr>
          <w:rFonts w:ascii="Franklin Gothic Book" w:hAnsi="Franklin Gothic Book"/>
        </w:rPr>
        <w:t>Changes in use of other health technologies beyond the substituted single-injection nerve block services were not considered in the base case. Given the reported widespread utilisation of continuous nerve blocks, it was assumed that significant changes in the use and cost of other health technologies would not be expected should the proposed MBS item be listed.</w:t>
      </w:r>
    </w:p>
    <w:p w14:paraId="160A5679" w14:textId="68DB0959" w:rsidR="005D5985" w:rsidRDefault="005D5985" w:rsidP="005D5985">
      <w:r w:rsidRPr="00DA5E35">
        <w:rPr>
          <w:rFonts w:ascii="Franklin Gothic Book" w:hAnsi="Franklin Gothic Book"/>
        </w:rPr>
        <w:t xml:space="preserve">The financial implications to the MBS resulting from the proposed listing of continuous nerve block using a catheter technique are summarised in </w:t>
      </w:r>
      <w:r w:rsidRPr="00DA5E35">
        <w:rPr>
          <w:rFonts w:ascii="Franklin Gothic Book" w:hAnsi="Franklin Gothic Book"/>
        </w:rPr>
        <w:fldChar w:fldCharType="begin"/>
      </w:r>
      <w:r w:rsidRPr="00DA5E35">
        <w:rPr>
          <w:rFonts w:ascii="Franklin Gothic Book" w:hAnsi="Franklin Gothic Book"/>
        </w:rPr>
        <w:instrText xml:space="preserve"> REF _Ref69726382 \h </w:instrText>
      </w:r>
      <w:r w:rsidR="00DA5E35">
        <w:rPr>
          <w:rFonts w:ascii="Franklin Gothic Book" w:hAnsi="Franklin Gothic Book"/>
        </w:rPr>
        <w:instrText xml:space="preserve"> \* MERGEFORMAT </w:instrText>
      </w:r>
      <w:r w:rsidRPr="00DA5E35">
        <w:rPr>
          <w:rFonts w:ascii="Franklin Gothic Book" w:hAnsi="Franklin Gothic Book"/>
        </w:rPr>
      </w:r>
      <w:r w:rsidRPr="00DA5E35">
        <w:rPr>
          <w:rFonts w:ascii="Franklin Gothic Book" w:hAnsi="Franklin Gothic Book"/>
        </w:rPr>
        <w:fldChar w:fldCharType="separate"/>
      </w:r>
      <w:r w:rsidR="009D69F0" w:rsidRPr="009D69F0">
        <w:rPr>
          <w:rFonts w:ascii="Franklin Gothic Book" w:hAnsi="Franklin Gothic Book"/>
        </w:rPr>
        <w:t>Table 19</w:t>
      </w:r>
      <w:r w:rsidRPr="00DA5E35">
        <w:rPr>
          <w:rFonts w:ascii="Franklin Gothic Book" w:hAnsi="Franklin Gothic Book"/>
        </w:rPr>
        <w:fldChar w:fldCharType="end"/>
      </w:r>
      <w:r w:rsidRPr="00DA5E35">
        <w:rPr>
          <w:rFonts w:ascii="Franklin Gothic Book" w:hAnsi="Franklin Gothic Book"/>
        </w:rPr>
        <w:t>.</w:t>
      </w:r>
      <w:r w:rsidRPr="00306E38">
        <w:t xml:space="preserve"> </w:t>
      </w:r>
    </w:p>
    <w:p w14:paraId="25A410F6" w14:textId="58EECAEF" w:rsidR="005D5985" w:rsidRPr="00306E38" w:rsidRDefault="005D5985" w:rsidP="005D5985">
      <w:pPr>
        <w:pStyle w:val="Caption"/>
      </w:pPr>
      <w:bookmarkStart w:id="60" w:name="_Ref69726382"/>
      <w:r w:rsidRPr="00306E38">
        <w:t>Table </w:t>
      </w:r>
      <w:r>
        <w:fldChar w:fldCharType="begin"/>
      </w:r>
      <w:r>
        <w:instrText>SEQ Table \* ARABIC</w:instrText>
      </w:r>
      <w:r>
        <w:fldChar w:fldCharType="separate"/>
      </w:r>
      <w:r w:rsidR="00210D50">
        <w:rPr>
          <w:noProof/>
        </w:rPr>
        <w:t>19</w:t>
      </w:r>
      <w:r>
        <w:fldChar w:fldCharType="end"/>
      </w:r>
      <w:bookmarkEnd w:id="60"/>
      <w:r w:rsidRPr="00306E38">
        <w:tab/>
        <w:t xml:space="preserve">Net financial implications </w:t>
      </w:r>
      <w:r w:rsidRPr="00CE28E3">
        <w:t xml:space="preserve">to the </w:t>
      </w:r>
      <w:r>
        <w:t>MBS</w:t>
      </w:r>
      <w:r w:rsidRPr="00CE28E3">
        <w:t xml:space="preserve"> </w:t>
      </w:r>
      <w:r w:rsidRPr="00306E38">
        <w:t xml:space="preserve">of continuous nerve block using a catheter technique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6"/>
        <w:gridCol w:w="949"/>
        <w:gridCol w:w="949"/>
        <w:gridCol w:w="948"/>
        <w:gridCol w:w="948"/>
        <w:gridCol w:w="948"/>
        <w:gridCol w:w="948"/>
      </w:tblGrid>
      <w:tr w:rsidR="005D5985" w:rsidRPr="00306E38" w14:paraId="1FDEDD47" w14:textId="77777777">
        <w:trPr>
          <w:tblHeader/>
        </w:trPr>
        <w:tc>
          <w:tcPr>
            <w:tcW w:w="1844" w:type="pct"/>
            <w:shd w:val="clear" w:color="auto" w:fill="auto"/>
            <w:tcMar>
              <w:top w:w="0" w:type="dxa"/>
              <w:left w:w="108" w:type="dxa"/>
              <w:bottom w:w="0" w:type="dxa"/>
              <w:right w:w="108" w:type="dxa"/>
            </w:tcMar>
          </w:tcPr>
          <w:p w14:paraId="222B7F44" w14:textId="77777777" w:rsidR="005D5985" w:rsidRPr="00306E38" w:rsidRDefault="005D5985" w:rsidP="00A77206">
            <w:pPr>
              <w:pStyle w:val="TableText"/>
              <w:spacing w:before="0" w:after="0"/>
            </w:pPr>
            <w:r w:rsidRPr="005B0D8A">
              <w:rPr>
                <w:b/>
              </w:rPr>
              <w:t xml:space="preserve">Parameter </w:t>
            </w:r>
          </w:p>
        </w:tc>
        <w:tc>
          <w:tcPr>
            <w:tcW w:w="526" w:type="pct"/>
            <w:shd w:val="clear" w:color="auto" w:fill="auto"/>
            <w:tcMar>
              <w:top w:w="0" w:type="dxa"/>
              <w:left w:w="108" w:type="dxa"/>
              <w:bottom w:w="0" w:type="dxa"/>
              <w:right w:w="108" w:type="dxa"/>
            </w:tcMar>
            <w:vAlign w:val="center"/>
            <w:hideMark/>
          </w:tcPr>
          <w:p w14:paraId="79BE1BA2" w14:textId="77777777" w:rsidR="005D5985" w:rsidRPr="00306E38" w:rsidRDefault="005D5985" w:rsidP="00A77206">
            <w:pPr>
              <w:pStyle w:val="TableText"/>
              <w:spacing w:before="0" w:after="0"/>
            </w:pPr>
            <w:r w:rsidRPr="005B0D8A">
              <w:rPr>
                <w:b/>
              </w:rPr>
              <w:t xml:space="preserve">FY </w:t>
            </w:r>
            <w:r>
              <w:rPr>
                <w:b/>
              </w:rPr>
              <w:br/>
            </w:r>
            <w:r w:rsidRPr="005B0D8A">
              <w:rPr>
                <w:b/>
              </w:rPr>
              <w:t>2024–25</w:t>
            </w:r>
          </w:p>
        </w:tc>
        <w:tc>
          <w:tcPr>
            <w:tcW w:w="526" w:type="pct"/>
            <w:shd w:val="clear" w:color="auto" w:fill="auto"/>
            <w:tcMar>
              <w:top w:w="0" w:type="dxa"/>
              <w:left w:w="108" w:type="dxa"/>
              <w:bottom w:w="0" w:type="dxa"/>
              <w:right w:w="108" w:type="dxa"/>
            </w:tcMar>
            <w:vAlign w:val="center"/>
            <w:hideMark/>
          </w:tcPr>
          <w:p w14:paraId="0D36FE15" w14:textId="77777777" w:rsidR="005D5985" w:rsidRPr="00306E38" w:rsidRDefault="005D5985" w:rsidP="00A77206">
            <w:pPr>
              <w:pStyle w:val="TableText"/>
              <w:spacing w:before="0" w:after="0"/>
            </w:pPr>
            <w:r w:rsidRPr="005B0D8A">
              <w:rPr>
                <w:b/>
              </w:rPr>
              <w:t xml:space="preserve">FY </w:t>
            </w:r>
            <w:r>
              <w:rPr>
                <w:b/>
              </w:rPr>
              <w:br/>
            </w:r>
            <w:r w:rsidRPr="005B0D8A">
              <w:rPr>
                <w:b/>
              </w:rPr>
              <w:t>2025–26</w:t>
            </w:r>
          </w:p>
        </w:tc>
        <w:tc>
          <w:tcPr>
            <w:tcW w:w="526" w:type="pct"/>
            <w:shd w:val="clear" w:color="auto" w:fill="auto"/>
            <w:tcMar>
              <w:top w:w="0" w:type="dxa"/>
              <w:left w:w="108" w:type="dxa"/>
              <w:bottom w:w="0" w:type="dxa"/>
              <w:right w:w="108" w:type="dxa"/>
            </w:tcMar>
            <w:vAlign w:val="center"/>
            <w:hideMark/>
          </w:tcPr>
          <w:p w14:paraId="11BE1238" w14:textId="77777777" w:rsidR="005D5985" w:rsidRPr="00306E38" w:rsidRDefault="005D5985" w:rsidP="00A77206">
            <w:pPr>
              <w:pStyle w:val="TableText"/>
              <w:spacing w:before="0" w:after="0"/>
            </w:pPr>
            <w:r w:rsidRPr="005B0D8A">
              <w:rPr>
                <w:b/>
              </w:rPr>
              <w:t xml:space="preserve">FY </w:t>
            </w:r>
            <w:r>
              <w:rPr>
                <w:b/>
              </w:rPr>
              <w:br/>
            </w:r>
            <w:r w:rsidRPr="005B0D8A">
              <w:rPr>
                <w:b/>
              </w:rPr>
              <w:t>2026–27</w:t>
            </w:r>
          </w:p>
        </w:tc>
        <w:tc>
          <w:tcPr>
            <w:tcW w:w="526" w:type="pct"/>
            <w:shd w:val="clear" w:color="auto" w:fill="auto"/>
            <w:tcMar>
              <w:top w:w="0" w:type="dxa"/>
              <w:left w:w="108" w:type="dxa"/>
              <w:bottom w:w="0" w:type="dxa"/>
              <w:right w:w="108" w:type="dxa"/>
            </w:tcMar>
            <w:vAlign w:val="center"/>
            <w:hideMark/>
          </w:tcPr>
          <w:p w14:paraId="43CDB6B9" w14:textId="77777777" w:rsidR="005D5985" w:rsidRPr="00306E38" w:rsidRDefault="005D5985" w:rsidP="00A77206">
            <w:pPr>
              <w:pStyle w:val="TableText"/>
              <w:spacing w:before="0" w:after="0"/>
            </w:pPr>
            <w:r w:rsidRPr="005B0D8A">
              <w:rPr>
                <w:b/>
              </w:rPr>
              <w:t xml:space="preserve">FY </w:t>
            </w:r>
            <w:r>
              <w:rPr>
                <w:b/>
              </w:rPr>
              <w:br/>
            </w:r>
            <w:r w:rsidRPr="005B0D8A">
              <w:rPr>
                <w:b/>
              </w:rPr>
              <w:t>2027–28</w:t>
            </w:r>
          </w:p>
        </w:tc>
        <w:tc>
          <w:tcPr>
            <w:tcW w:w="526" w:type="pct"/>
            <w:shd w:val="clear" w:color="auto" w:fill="auto"/>
            <w:tcMar>
              <w:top w:w="0" w:type="dxa"/>
              <w:left w:w="108" w:type="dxa"/>
              <w:bottom w:w="0" w:type="dxa"/>
              <w:right w:w="108" w:type="dxa"/>
            </w:tcMar>
            <w:vAlign w:val="center"/>
            <w:hideMark/>
          </w:tcPr>
          <w:p w14:paraId="45E7C2E1" w14:textId="77777777" w:rsidR="005D5985" w:rsidRPr="00306E38" w:rsidRDefault="005D5985" w:rsidP="00A77206">
            <w:pPr>
              <w:pStyle w:val="TableText"/>
              <w:spacing w:before="0" w:after="0"/>
            </w:pPr>
            <w:r w:rsidRPr="005B0D8A">
              <w:rPr>
                <w:b/>
              </w:rPr>
              <w:t xml:space="preserve">FY </w:t>
            </w:r>
            <w:r>
              <w:rPr>
                <w:b/>
              </w:rPr>
              <w:br/>
            </w:r>
            <w:r w:rsidRPr="005B0D8A">
              <w:rPr>
                <w:b/>
              </w:rPr>
              <w:t>2028–29</w:t>
            </w:r>
          </w:p>
        </w:tc>
        <w:tc>
          <w:tcPr>
            <w:tcW w:w="526" w:type="pct"/>
            <w:shd w:val="clear" w:color="auto" w:fill="auto"/>
            <w:tcMar>
              <w:top w:w="0" w:type="dxa"/>
              <w:left w:w="108" w:type="dxa"/>
              <w:bottom w:w="0" w:type="dxa"/>
              <w:right w:w="108" w:type="dxa"/>
            </w:tcMar>
            <w:hideMark/>
          </w:tcPr>
          <w:p w14:paraId="672C0C40" w14:textId="77777777" w:rsidR="005D5985" w:rsidRPr="00306E38" w:rsidRDefault="005D5985" w:rsidP="00A77206">
            <w:pPr>
              <w:pStyle w:val="TableText"/>
              <w:spacing w:before="0" w:after="0"/>
            </w:pPr>
            <w:r w:rsidRPr="005B0D8A">
              <w:rPr>
                <w:b/>
              </w:rPr>
              <w:t xml:space="preserve">FY </w:t>
            </w:r>
            <w:r>
              <w:rPr>
                <w:b/>
              </w:rPr>
              <w:br/>
            </w:r>
            <w:r w:rsidRPr="005B0D8A">
              <w:rPr>
                <w:b/>
              </w:rPr>
              <w:t>2029–30</w:t>
            </w:r>
          </w:p>
        </w:tc>
      </w:tr>
      <w:tr w:rsidR="005D5985" w:rsidRPr="00306E38" w14:paraId="5BBFE750" w14:textId="77777777">
        <w:tc>
          <w:tcPr>
            <w:tcW w:w="5000" w:type="pct"/>
            <w:gridSpan w:val="7"/>
            <w:shd w:val="clear" w:color="auto" w:fill="auto"/>
            <w:tcMar>
              <w:top w:w="0" w:type="dxa"/>
              <w:left w:w="108" w:type="dxa"/>
              <w:bottom w:w="0" w:type="dxa"/>
              <w:right w:w="108" w:type="dxa"/>
            </w:tcMar>
            <w:hideMark/>
          </w:tcPr>
          <w:p w14:paraId="43DBA118" w14:textId="77777777" w:rsidR="005D5985" w:rsidRPr="00306E38" w:rsidRDefault="005D5985" w:rsidP="00A77206">
            <w:pPr>
              <w:pStyle w:val="TableText"/>
              <w:spacing w:before="0" w:after="0"/>
              <w:rPr>
                <w:b/>
                <w:bCs/>
              </w:rPr>
            </w:pPr>
            <w:r w:rsidRPr="00306E38">
              <w:rPr>
                <w:b/>
                <w:bCs/>
              </w:rPr>
              <w:t>Estimated use and cost of the proposed health technology</w:t>
            </w:r>
          </w:p>
        </w:tc>
      </w:tr>
      <w:tr w:rsidR="005D5985" w:rsidRPr="00306E38" w14:paraId="7E139A80" w14:textId="77777777">
        <w:tc>
          <w:tcPr>
            <w:tcW w:w="1844" w:type="pct"/>
            <w:tcMar>
              <w:top w:w="0" w:type="dxa"/>
              <w:left w:w="108" w:type="dxa"/>
              <w:bottom w:w="0" w:type="dxa"/>
              <w:right w:w="108" w:type="dxa"/>
            </w:tcMar>
            <w:vAlign w:val="center"/>
            <w:hideMark/>
          </w:tcPr>
          <w:p w14:paraId="6C19E0D8" w14:textId="77777777" w:rsidR="005D5985" w:rsidRPr="00306E38" w:rsidRDefault="005D5985" w:rsidP="00A77206">
            <w:pPr>
              <w:pStyle w:val="TableText"/>
              <w:spacing w:before="0" w:after="0"/>
            </w:pPr>
            <w:r w:rsidRPr="00306E38">
              <w:t>Number of MBS services for continuous NB</w:t>
            </w:r>
            <w:r>
              <w:t xml:space="preserve"> (75% benefit: $81.75)</w:t>
            </w:r>
          </w:p>
        </w:tc>
        <w:tc>
          <w:tcPr>
            <w:tcW w:w="526" w:type="pct"/>
            <w:tcMar>
              <w:top w:w="0" w:type="dxa"/>
              <w:left w:w="108" w:type="dxa"/>
              <w:bottom w:w="0" w:type="dxa"/>
              <w:right w:w="108" w:type="dxa"/>
            </w:tcMar>
            <w:vAlign w:val="center"/>
          </w:tcPr>
          <w:p w14:paraId="37D3B72E" w14:textId="77777777" w:rsidR="005D5985" w:rsidRPr="00306E38" w:rsidRDefault="005D5985" w:rsidP="00A77206">
            <w:pPr>
              <w:pStyle w:val="TableText"/>
              <w:spacing w:before="0" w:after="0"/>
            </w:pPr>
            <w:r w:rsidRPr="00306E38">
              <w:t>28,758</w:t>
            </w:r>
          </w:p>
        </w:tc>
        <w:tc>
          <w:tcPr>
            <w:tcW w:w="526" w:type="pct"/>
            <w:tcMar>
              <w:top w:w="0" w:type="dxa"/>
              <w:left w:w="108" w:type="dxa"/>
              <w:bottom w:w="0" w:type="dxa"/>
              <w:right w:w="108" w:type="dxa"/>
            </w:tcMar>
            <w:vAlign w:val="center"/>
          </w:tcPr>
          <w:p w14:paraId="50272B2A" w14:textId="77777777" w:rsidR="005D5985" w:rsidRPr="00306E38" w:rsidRDefault="005D5985" w:rsidP="00A77206">
            <w:pPr>
              <w:pStyle w:val="TableText"/>
              <w:spacing w:before="0" w:after="0"/>
            </w:pPr>
            <w:r w:rsidRPr="00306E38">
              <w:t>30,195</w:t>
            </w:r>
          </w:p>
        </w:tc>
        <w:tc>
          <w:tcPr>
            <w:tcW w:w="526" w:type="pct"/>
            <w:tcMar>
              <w:top w:w="0" w:type="dxa"/>
              <w:left w:w="108" w:type="dxa"/>
              <w:bottom w:w="0" w:type="dxa"/>
              <w:right w:w="108" w:type="dxa"/>
            </w:tcMar>
            <w:vAlign w:val="center"/>
          </w:tcPr>
          <w:p w14:paraId="09AFC0BB" w14:textId="77777777" w:rsidR="005D5985" w:rsidRPr="00306E38" w:rsidRDefault="005D5985" w:rsidP="00A77206">
            <w:pPr>
              <w:pStyle w:val="TableText"/>
              <w:spacing w:before="0" w:after="0"/>
            </w:pPr>
            <w:r w:rsidRPr="00306E38">
              <w:t>31,705</w:t>
            </w:r>
          </w:p>
        </w:tc>
        <w:tc>
          <w:tcPr>
            <w:tcW w:w="526" w:type="pct"/>
            <w:tcMar>
              <w:top w:w="0" w:type="dxa"/>
              <w:left w:w="108" w:type="dxa"/>
              <w:bottom w:w="0" w:type="dxa"/>
              <w:right w:w="108" w:type="dxa"/>
            </w:tcMar>
            <w:vAlign w:val="center"/>
          </w:tcPr>
          <w:p w14:paraId="36816A93" w14:textId="77777777" w:rsidR="005D5985" w:rsidRPr="00306E38" w:rsidRDefault="005D5985" w:rsidP="00A77206">
            <w:pPr>
              <w:pStyle w:val="TableText"/>
              <w:spacing w:before="0" w:after="0"/>
            </w:pPr>
            <w:r w:rsidRPr="00306E38">
              <w:t>33,290</w:t>
            </w:r>
          </w:p>
        </w:tc>
        <w:tc>
          <w:tcPr>
            <w:tcW w:w="526" w:type="pct"/>
            <w:tcMar>
              <w:top w:w="0" w:type="dxa"/>
              <w:left w:w="108" w:type="dxa"/>
              <w:bottom w:w="0" w:type="dxa"/>
              <w:right w:w="108" w:type="dxa"/>
            </w:tcMar>
            <w:vAlign w:val="center"/>
          </w:tcPr>
          <w:p w14:paraId="1DE25C6D" w14:textId="77777777" w:rsidR="005D5985" w:rsidRPr="00306E38" w:rsidRDefault="005D5985" w:rsidP="00A77206">
            <w:pPr>
              <w:pStyle w:val="TableText"/>
              <w:spacing w:before="0" w:after="0"/>
            </w:pPr>
            <w:r w:rsidRPr="00306E38">
              <w:t>34,955</w:t>
            </w:r>
          </w:p>
        </w:tc>
        <w:tc>
          <w:tcPr>
            <w:tcW w:w="526" w:type="pct"/>
            <w:tcMar>
              <w:top w:w="0" w:type="dxa"/>
              <w:left w:w="108" w:type="dxa"/>
              <w:bottom w:w="0" w:type="dxa"/>
              <w:right w:w="108" w:type="dxa"/>
            </w:tcMar>
            <w:vAlign w:val="center"/>
          </w:tcPr>
          <w:p w14:paraId="10007EF8" w14:textId="77777777" w:rsidR="005D5985" w:rsidRPr="00306E38" w:rsidRDefault="005D5985" w:rsidP="00A77206">
            <w:pPr>
              <w:pStyle w:val="TableText"/>
              <w:spacing w:before="0" w:after="0"/>
            </w:pPr>
            <w:r>
              <w:t>36,703</w:t>
            </w:r>
          </w:p>
        </w:tc>
      </w:tr>
      <w:tr w:rsidR="005D5985" w:rsidRPr="00306E38" w14:paraId="4D55F5DC" w14:textId="77777777">
        <w:tc>
          <w:tcPr>
            <w:tcW w:w="1844" w:type="pct"/>
            <w:tcMar>
              <w:top w:w="0" w:type="dxa"/>
              <w:left w:w="108" w:type="dxa"/>
              <w:bottom w:w="0" w:type="dxa"/>
              <w:right w:w="108" w:type="dxa"/>
            </w:tcMar>
            <w:vAlign w:val="center"/>
            <w:hideMark/>
          </w:tcPr>
          <w:p w14:paraId="511B195C" w14:textId="77777777" w:rsidR="005D5985" w:rsidRPr="00306E38" w:rsidRDefault="005D5985" w:rsidP="00A77206">
            <w:pPr>
              <w:pStyle w:val="TableText"/>
              <w:spacing w:before="0" w:after="0"/>
            </w:pPr>
            <w:r w:rsidRPr="00306E38">
              <w:t>Cost to the MBS (</w:t>
            </w:r>
            <w:r>
              <w:t>with appropriate copayments excluded; $</w:t>
            </w:r>
            <w:r w:rsidRPr="00306E38">
              <w:t> million)</w:t>
            </w:r>
          </w:p>
        </w:tc>
        <w:tc>
          <w:tcPr>
            <w:tcW w:w="526" w:type="pct"/>
            <w:tcMar>
              <w:top w:w="0" w:type="dxa"/>
              <w:left w:w="108" w:type="dxa"/>
              <w:bottom w:w="0" w:type="dxa"/>
              <w:right w:w="108" w:type="dxa"/>
            </w:tcMar>
            <w:vAlign w:val="center"/>
          </w:tcPr>
          <w:p w14:paraId="17A8B7D0" w14:textId="77777777" w:rsidR="005D5985" w:rsidRPr="00306E38" w:rsidRDefault="005D5985" w:rsidP="00A77206">
            <w:pPr>
              <w:pStyle w:val="TableText"/>
              <w:spacing w:before="0" w:after="0"/>
            </w:pPr>
            <w:r w:rsidRPr="00306E38">
              <w:t>2.</w:t>
            </w:r>
            <w:r>
              <w:t>35</w:t>
            </w:r>
          </w:p>
        </w:tc>
        <w:tc>
          <w:tcPr>
            <w:tcW w:w="526" w:type="pct"/>
            <w:tcMar>
              <w:top w:w="0" w:type="dxa"/>
              <w:left w:w="108" w:type="dxa"/>
              <w:bottom w:w="0" w:type="dxa"/>
              <w:right w:w="108" w:type="dxa"/>
            </w:tcMar>
            <w:vAlign w:val="center"/>
          </w:tcPr>
          <w:p w14:paraId="3EA074CA" w14:textId="77777777" w:rsidR="005D5985" w:rsidRPr="00306E38" w:rsidRDefault="005D5985" w:rsidP="00A77206">
            <w:pPr>
              <w:pStyle w:val="TableText"/>
              <w:spacing w:before="0" w:after="0"/>
            </w:pPr>
            <w:r w:rsidRPr="00306E38">
              <w:t>2.</w:t>
            </w:r>
            <w:r>
              <w:t>47</w:t>
            </w:r>
          </w:p>
        </w:tc>
        <w:tc>
          <w:tcPr>
            <w:tcW w:w="526" w:type="pct"/>
            <w:tcMar>
              <w:top w:w="0" w:type="dxa"/>
              <w:left w:w="108" w:type="dxa"/>
              <w:bottom w:w="0" w:type="dxa"/>
              <w:right w:w="108" w:type="dxa"/>
            </w:tcMar>
            <w:vAlign w:val="center"/>
          </w:tcPr>
          <w:p w14:paraId="2CAD3523" w14:textId="77777777" w:rsidR="005D5985" w:rsidRPr="00306E38" w:rsidRDefault="005D5985" w:rsidP="00A77206">
            <w:pPr>
              <w:pStyle w:val="TableText"/>
              <w:spacing w:before="0" w:after="0"/>
            </w:pPr>
            <w:r w:rsidRPr="00306E38">
              <w:t>2.</w:t>
            </w:r>
            <w:r>
              <w:t>59</w:t>
            </w:r>
          </w:p>
        </w:tc>
        <w:tc>
          <w:tcPr>
            <w:tcW w:w="526" w:type="pct"/>
            <w:tcMar>
              <w:top w:w="0" w:type="dxa"/>
              <w:left w:w="108" w:type="dxa"/>
              <w:bottom w:w="0" w:type="dxa"/>
              <w:right w:w="108" w:type="dxa"/>
            </w:tcMar>
            <w:vAlign w:val="center"/>
          </w:tcPr>
          <w:p w14:paraId="0BDC4BB2" w14:textId="77777777" w:rsidR="005D5985" w:rsidRPr="00306E38" w:rsidRDefault="005D5985" w:rsidP="00A77206">
            <w:pPr>
              <w:pStyle w:val="TableText"/>
              <w:spacing w:before="0" w:after="0"/>
            </w:pPr>
            <w:r w:rsidRPr="00306E38">
              <w:t>2.</w:t>
            </w:r>
            <w:r>
              <w:t>72</w:t>
            </w:r>
          </w:p>
        </w:tc>
        <w:tc>
          <w:tcPr>
            <w:tcW w:w="526" w:type="pct"/>
            <w:tcMar>
              <w:top w:w="0" w:type="dxa"/>
              <w:left w:w="108" w:type="dxa"/>
              <w:bottom w:w="0" w:type="dxa"/>
              <w:right w:w="108" w:type="dxa"/>
            </w:tcMar>
            <w:vAlign w:val="center"/>
          </w:tcPr>
          <w:p w14:paraId="1D50A62F" w14:textId="77777777" w:rsidR="005D5985" w:rsidRPr="00306E38" w:rsidRDefault="005D5985" w:rsidP="00A77206">
            <w:pPr>
              <w:pStyle w:val="TableText"/>
              <w:spacing w:before="0" w:after="0"/>
            </w:pPr>
            <w:r w:rsidRPr="00306E38">
              <w:t>2.</w:t>
            </w:r>
            <w:r>
              <w:t>86</w:t>
            </w:r>
          </w:p>
        </w:tc>
        <w:tc>
          <w:tcPr>
            <w:tcW w:w="526" w:type="pct"/>
            <w:tcMar>
              <w:top w:w="0" w:type="dxa"/>
              <w:left w:w="108" w:type="dxa"/>
              <w:bottom w:w="0" w:type="dxa"/>
              <w:right w:w="108" w:type="dxa"/>
            </w:tcMar>
            <w:vAlign w:val="center"/>
          </w:tcPr>
          <w:p w14:paraId="3A042D98" w14:textId="77777777" w:rsidR="005D5985" w:rsidRPr="00306E38" w:rsidRDefault="005D5985" w:rsidP="00A77206">
            <w:pPr>
              <w:pStyle w:val="TableText"/>
              <w:spacing w:before="0" w:after="0"/>
            </w:pPr>
            <w:r>
              <w:t>3.00</w:t>
            </w:r>
          </w:p>
        </w:tc>
      </w:tr>
      <w:tr w:rsidR="005D5985" w:rsidRPr="00306E38" w14:paraId="44BCCBC6" w14:textId="77777777">
        <w:tc>
          <w:tcPr>
            <w:tcW w:w="5000" w:type="pct"/>
            <w:gridSpan w:val="7"/>
            <w:shd w:val="clear" w:color="auto" w:fill="auto"/>
            <w:tcMar>
              <w:top w:w="0" w:type="dxa"/>
              <w:left w:w="108" w:type="dxa"/>
              <w:bottom w:w="0" w:type="dxa"/>
              <w:right w:w="108" w:type="dxa"/>
            </w:tcMar>
            <w:hideMark/>
          </w:tcPr>
          <w:p w14:paraId="75C5EA5C" w14:textId="77777777" w:rsidR="005D5985" w:rsidRPr="00306E38" w:rsidRDefault="005D5985" w:rsidP="00A77206">
            <w:pPr>
              <w:pStyle w:val="TableText"/>
              <w:spacing w:before="0" w:after="0"/>
              <w:rPr>
                <w:b/>
                <w:bCs/>
              </w:rPr>
            </w:pPr>
            <w:r w:rsidRPr="00306E38">
              <w:rPr>
                <w:b/>
                <w:bCs/>
              </w:rPr>
              <w:t>Change in use and cost of other health technologies</w:t>
            </w:r>
          </w:p>
        </w:tc>
      </w:tr>
      <w:tr w:rsidR="005D5985" w:rsidRPr="00306E38" w14:paraId="2197ECFA" w14:textId="77777777">
        <w:tc>
          <w:tcPr>
            <w:tcW w:w="1844" w:type="pct"/>
            <w:tcMar>
              <w:top w:w="0" w:type="dxa"/>
              <w:left w:w="108" w:type="dxa"/>
              <w:bottom w:w="0" w:type="dxa"/>
              <w:right w:w="108" w:type="dxa"/>
            </w:tcMar>
            <w:vAlign w:val="center"/>
            <w:hideMark/>
          </w:tcPr>
          <w:p w14:paraId="19E24A9E" w14:textId="77777777" w:rsidR="005D5985" w:rsidRPr="00306E38" w:rsidRDefault="005D5985" w:rsidP="00A77206">
            <w:pPr>
              <w:pStyle w:val="TableText"/>
              <w:spacing w:before="0" w:after="0"/>
            </w:pPr>
            <w:r w:rsidRPr="00306E38">
              <w:t xml:space="preserve">Number of </w:t>
            </w:r>
            <w:r>
              <w:t xml:space="preserve">22041 </w:t>
            </w:r>
            <w:r w:rsidRPr="00306E38">
              <w:t xml:space="preserve">services </w:t>
            </w:r>
            <w:r>
              <w:t>(75% benefit: $32.70)</w:t>
            </w:r>
          </w:p>
        </w:tc>
        <w:tc>
          <w:tcPr>
            <w:tcW w:w="526" w:type="pct"/>
            <w:tcMar>
              <w:top w:w="0" w:type="dxa"/>
              <w:left w:w="108" w:type="dxa"/>
              <w:bottom w:w="0" w:type="dxa"/>
              <w:right w:w="108" w:type="dxa"/>
            </w:tcMar>
            <w:vAlign w:val="center"/>
          </w:tcPr>
          <w:p w14:paraId="19554127" w14:textId="77777777" w:rsidR="005D5985" w:rsidRPr="00306E38" w:rsidRDefault="005D5985" w:rsidP="00A77206">
            <w:pPr>
              <w:pStyle w:val="TableText"/>
              <w:spacing w:before="0" w:after="0"/>
            </w:pPr>
            <w:r>
              <w:t>-</w:t>
            </w:r>
            <w:r w:rsidRPr="00306E38">
              <w:t>11,329</w:t>
            </w:r>
          </w:p>
        </w:tc>
        <w:tc>
          <w:tcPr>
            <w:tcW w:w="526" w:type="pct"/>
            <w:tcMar>
              <w:top w:w="0" w:type="dxa"/>
              <w:left w:w="108" w:type="dxa"/>
              <w:bottom w:w="0" w:type="dxa"/>
              <w:right w:w="108" w:type="dxa"/>
            </w:tcMar>
            <w:vAlign w:val="center"/>
          </w:tcPr>
          <w:p w14:paraId="76B14005" w14:textId="77777777" w:rsidR="005D5985" w:rsidRPr="00306E38" w:rsidRDefault="005D5985" w:rsidP="00A77206">
            <w:pPr>
              <w:pStyle w:val="TableText"/>
              <w:spacing w:before="0" w:after="0"/>
            </w:pPr>
            <w:r>
              <w:t>-</w:t>
            </w:r>
            <w:r w:rsidRPr="00306E38">
              <w:t>11,895</w:t>
            </w:r>
          </w:p>
        </w:tc>
        <w:tc>
          <w:tcPr>
            <w:tcW w:w="526" w:type="pct"/>
            <w:tcMar>
              <w:top w:w="0" w:type="dxa"/>
              <w:left w:w="108" w:type="dxa"/>
              <w:bottom w:w="0" w:type="dxa"/>
              <w:right w:w="108" w:type="dxa"/>
            </w:tcMar>
            <w:vAlign w:val="center"/>
          </w:tcPr>
          <w:p w14:paraId="08F1EB44" w14:textId="77777777" w:rsidR="005D5985" w:rsidRPr="00306E38" w:rsidRDefault="005D5985" w:rsidP="00A77206">
            <w:pPr>
              <w:pStyle w:val="TableText"/>
              <w:spacing w:before="0" w:after="0"/>
            </w:pPr>
            <w:r>
              <w:t>-</w:t>
            </w:r>
            <w:r w:rsidRPr="00306E38">
              <w:t>12,490</w:t>
            </w:r>
          </w:p>
        </w:tc>
        <w:tc>
          <w:tcPr>
            <w:tcW w:w="526" w:type="pct"/>
            <w:tcMar>
              <w:top w:w="0" w:type="dxa"/>
              <w:left w:w="108" w:type="dxa"/>
              <w:bottom w:w="0" w:type="dxa"/>
              <w:right w:w="108" w:type="dxa"/>
            </w:tcMar>
            <w:vAlign w:val="center"/>
          </w:tcPr>
          <w:p w14:paraId="43DB5576" w14:textId="77777777" w:rsidR="005D5985" w:rsidRPr="00306E38" w:rsidRDefault="005D5985" w:rsidP="00A77206">
            <w:pPr>
              <w:pStyle w:val="TableText"/>
              <w:spacing w:before="0" w:after="0"/>
            </w:pPr>
            <w:r>
              <w:t>-</w:t>
            </w:r>
            <w:r w:rsidRPr="00306E38">
              <w:t>13,114</w:t>
            </w:r>
          </w:p>
        </w:tc>
        <w:tc>
          <w:tcPr>
            <w:tcW w:w="526" w:type="pct"/>
            <w:tcMar>
              <w:top w:w="0" w:type="dxa"/>
              <w:left w:w="108" w:type="dxa"/>
              <w:bottom w:w="0" w:type="dxa"/>
              <w:right w:w="108" w:type="dxa"/>
            </w:tcMar>
            <w:vAlign w:val="center"/>
          </w:tcPr>
          <w:p w14:paraId="506A6DD4" w14:textId="77777777" w:rsidR="005D5985" w:rsidRPr="00306E38" w:rsidRDefault="005D5985" w:rsidP="00A77206">
            <w:pPr>
              <w:pStyle w:val="TableText"/>
              <w:spacing w:before="0" w:after="0"/>
            </w:pPr>
            <w:r>
              <w:t>-</w:t>
            </w:r>
            <w:r w:rsidRPr="00306E38">
              <w:t>13,770</w:t>
            </w:r>
          </w:p>
        </w:tc>
        <w:tc>
          <w:tcPr>
            <w:tcW w:w="526" w:type="pct"/>
            <w:tcMar>
              <w:top w:w="0" w:type="dxa"/>
              <w:left w:w="108" w:type="dxa"/>
              <w:bottom w:w="0" w:type="dxa"/>
              <w:right w:w="108" w:type="dxa"/>
            </w:tcMar>
            <w:vAlign w:val="center"/>
          </w:tcPr>
          <w:p w14:paraId="1E042F51" w14:textId="77777777" w:rsidR="005D5985" w:rsidRPr="00306E38" w:rsidRDefault="005D5985" w:rsidP="00A77206">
            <w:pPr>
              <w:pStyle w:val="TableText"/>
              <w:spacing w:before="0" w:after="0"/>
            </w:pPr>
            <w:r>
              <w:t>-14,459</w:t>
            </w:r>
          </w:p>
        </w:tc>
      </w:tr>
      <w:tr w:rsidR="005D5985" w:rsidRPr="00306E38" w14:paraId="6D1F9469" w14:textId="77777777">
        <w:tc>
          <w:tcPr>
            <w:tcW w:w="1844" w:type="pct"/>
            <w:tcMar>
              <w:top w:w="0" w:type="dxa"/>
              <w:left w:w="108" w:type="dxa"/>
              <w:bottom w:w="0" w:type="dxa"/>
              <w:right w:w="108" w:type="dxa"/>
            </w:tcMar>
            <w:vAlign w:val="center"/>
            <w:hideMark/>
          </w:tcPr>
          <w:p w14:paraId="5C6AEF49" w14:textId="77777777" w:rsidR="005D5985" w:rsidRPr="00306E38" w:rsidRDefault="005D5985" w:rsidP="00A77206">
            <w:pPr>
              <w:pStyle w:val="TableText"/>
              <w:spacing w:before="0" w:after="0"/>
            </w:pPr>
            <w:r>
              <w:t>C</w:t>
            </w:r>
            <w:r w:rsidRPr="00306E38">
              <w:t>hange in cost to the MBS (</w:t>
            </w:r>
            <w:r>
              <w:t>with appropriate copayments excluded; $</w:t>
            </w:r>
            <w:r w:rsidRPr="00306E38">
              <w:t> million)</w:t>
            </w:r>
          </w:p>
        </w:tc>
        <w:tc>
          <w:tcPr>
            <w:tcW w:w="526" w:type="pct"/>
            <w:tcMar>
              <w:top w:w="0" w:type="dxa"/>
              <w:left w:w="108" w:type="dxa"/>
              <w:bottom w:w="0" w:type="dxa"/>
              <w:right w:w="108" w:type="dxa"/>
            </w:tcMar>
            <w:vAlign w:val="center"/>
          </w:tcPr>
          <w:p w14:paraId="0D6AB3C4" w14:textId="77777777" w:rsidR="005D5985" w:rsidRPr="00306E38" w:rsidRDefault="005D5985" w:rsidP="00A77206">
            <w:pPr>
              <w:pStyle w:val="TableText"/>
              <w:spacing w:before="0" w:after="0"/>
            </w:pPr>
            <w:r>
              <w:t>-</w:t>
            </w:r>
            <w:r w:rsidRPr="00306E38">
              <w:t>0.37</w:t>
            </w:r>
          </w:p>
        </w:tc>
        <w:tc>
          <w:tcPr>
            <w:tcW w:w="526" w:type="pct"/>
            <w:tcMar>
              <w:top w:w="0" w:type="dxa"/>
              <w:left w:w="108" w:type="dxa"/>
              <w:bottom w:w="0" w:type="dxa"/>
              <w:right w:w="108" w:type="dxa"/>
            </w:tcMar>
            <w:vAlign w:val="center"/>
          </w:tcPr>
          <w:p w14:paraId="517F1D6D" w14:textId="77777777" w:rsidR="005D5985" w:rsidRPr="00306E38" w:rsidRDefault="005D5985" w:rsidP="00A77206">
            <w:pPr>
              <w:pStyle w:val="TableText"/>
              <w:spacing w:before="0" w:after="0"/>
            </w:pPr>
            <w:r>
              <w:t>-</w:t>
            </w:r>
            <w:r w:rsidRPr="00306E38">
              <w:t>0.39</w:t>
            </w:r>
          </w:p>
        </w:tc>
        <w:tc>
          <w:tcPr>
            <w:tcW w:w="526" w:type="pct"/>
            <w:tcMar>
              <w:top w:w="0" w:type="dxa"/>
              <w:left w:w="108" w:type="dxa"/>
              <w:bottom w:w="0" w:type="dxa"/>
              <w:right w:w="108" w:type="dxa"/>
            </w:tcMar>
            <w:vAlign w:val="center"/>
          </w:tcPr>
          <w:p w14:paraId="1498B36B" w14:textId="77777777" w:rsidR="005D5985" w:rsidRPr="00306E38" w:rsidRDefault="005D5985" w:rsidP="00A77206">
            <w:pPr>
              <w:pStyle w:val="TableText"/>
              <w:spacing w:before="0" w:after="0"/>
            </w:pPr>
            <w:r>
              <w:t>-</w:t>
            </w:r>
            <w:r w:rsidRPr="00306E38">
              <w:t>0.41</w:t>
            </w:r>
          </w:p>
        </w:tc>
        <w:tc>
          <w:tcPr>
            <w:tcW w:w="526" w:type="pct"/>
            <w:tcMar>
              <w:top w:w="0" w:type="dxa"/>
              <w:left w:w="108" w:type="dxa"/>
              <w:bottom w:w="0" w:type="dxa"/>
              <w:right w:w="108" w:type="dxa"/>
            </w:tcMar>
            <w:vAlign w:val="center"/>
          </w:tcPr>
          <w:p w14:paraId="4127DB06" w14:textId="77777777" w:rsidR="005D5985" w:rsidRPr="00306E38" w:rsidRDefault="005D5985" w:rsidP="00A77206">
            <w:pPr>
              <w:pStyle w:val="TableText"/>
              <w:spacing w:before="0" w:after="0"/>
            </w:pPr>
            <w:r>
              <w:t>-</w:t>
            </w:r>
            <w:r w:rsidRPr="00306E38">
              <w:t>0.43</w:t>
            </w:r>
          </w:p>
        </w:tc>
        <w:tc>
          <w:tcPr>
            <w:tcW w:w="526" w:type="pct"/>
            <w:tcMar>
              <w:top w:w="0" w:type="dxa"/>
              <w:left w:w="108" w:type="dxa"/>
              <w:bottom w:w="0" w:type="dxa"/>
              <w:right w:w="108" w:type="dxa"/>
            </w:tcMar>
            <w:vAlign w:val="center"/>
          </w:tcPr>
          <w:p w14:paraId="310A5623" w14:textId="77777777" w:rsidR="005D5985" w:rsidRPr="00306E38" w:rsidRDefault="005D5985" w:rsidP="00A77206">
            <w:pPr>
              <w:pStyle w:val="TableText"/>
              <w:spacing w:before="0" w:after="0"/>
            </w:pPr>
            <w:r>
              <w:t>-</w:t>
            </w:r>
            <w:r w:rsidRPr="00306E38">
              <w:t>0.45</w:t>
            </w:r>
          </w:p>
        </w:tc>
        <w:tc>
          <w:tcPr>
            <w:tcW w:w="526" w:type="pct"/>
            <w:tcMar>
              <w:top w:w="0" w:type="dxa"/>
              <w:left w:w="108" w:type="dxa"/>
              <w:bottom w:w="0" w:type="dxa"/>
              <w:right w:w="108" w:type="dxa"/>
            </w:tcMar>
            <w:vAlign w:val="center"/>
          </w:tcPr>
          <w:p w14:paraId="74975833" w14:textId="77777777" w:rsidR="005D5985" w:rsidRPr="00306E38" w:rsidRDefault="005D5985" w:rsidP="00A77206">
            <w:pPr>
              <w:pStyle w:val="TableText"/>
              <w:spacing w:before="0" w:after="0"/>
            </w:pPr>
            <w:r>
              <w:t>-0.47</w:t>
            </w:r>
          </w:p>
        </w:tc>
      </w:tr>
      <w:tr w:rsidR="005D5985" w:rsidRPr="00306E38" w14:paraId="7EA6E76B" w14:textId="77777777">
        <w:tc>
          <w:tcPr>
            <w:tcW w:w="1844" w:type="pct"/>
            <w:shd w:val="clear" w:color="auto" w:fill="auto"/>
            <w:tcMar>
              <w:top w:w="0" w:type="dxa"/>
              <w:left w:w="108" w:type="dxa"/>
              <w:bottom w:w="0" w:type="dxa"/>
              <w:right w:w="108" w:type="dxa"/>
            </w:tcMar>
            <w:hideMark/>
          </w:tcPr>
          <w:p w14:paraId="6F8D71F5" w14:textId="77777777" w:rsidR="005D5985" w:rsidRPr="00306E38" w:rsidRDefault="005D5985" w:rsidP="00A77206">
            <w:pPr>
              <w:pStyle w:val="TableText"/>
              <w:spacing w:before="0" w:after="0"/>
              <w:rPr>
                <w:b/>
                <w:bCs/>
              </w:rPr>
            </w:pPr>
            <w:r w:rsidRPr="00306E38">
              <w:rPr>
                <w:b/>
                <w:bCs/>
              </w:rPr>
              <w:t>Net financial impact to the MBS (</w:t>
            </w:r>
            <w:r>
              <w:rPr>
                <w:b/>
                <w:bCs/>
              </w:rPr>
              <w:t>$</w:t>
            </w:r>
            <w:r w:rsidRPr="00293F03">
              <w:t> </w:t>
            </w:r>
            <w:r w:rsidRPr="00306E38">
              <w:rPr>
                <w:b/>
                <w:bCs/>
              </w:rPr>
              <w:t>million)</w:t>
            </w:r>
          </w:p>
        </w:tc>
        <w:tc>
          <w:tcPr>
            <w:tcW w:w="526" w:type="pct"/>
            <w:shd w:val="clear" w:color="auto" w:fill="auto"/>
            <w:tcMar>
              <w:top w:w="0" w:type="dxa"/>
              <w:left w:w="108" w:type="dxa"/>
              <w:bottom w:w="0" w:type="dxa"/>
              <w:right w:w="108" w:type="dxa"/>
            </w:tcMar>
          </w:tcPr>
          <w:p w14:paraId="2059C0E9" w14:textId="77777777" w:rsidR="005D5985" w:rsidRPr="00306E38" w:rsidRDefault="005D5985" w:rsidP="00A77206">
            <w:pPr>
              <w:pStyle w:val="TableText"/>
              <w:spacing w:before="0" w:after="0"/>
              <w:rPr>
                <w:b/>
                <w:bCs/>
              </w:rPr>
            </w:pPr>
            <w:r w:rsidRPr="00306E38">
              <w:rPr>
                <w:b/>
                <w:bCs/>
              </w:rPr>
              <w:t>1.</w:t>
            </w:r>
            <w:r>
              <w:rPr>
                <w:b/>
                <w:bCs/>
              </w:rPr>
              <w:t>98</w:t>
            </w:r>
          </w:p>
        </w:tc>
        <w:tc>
          <w:tcPr>
            <w:tcW w:w="526" w:type="pct"/>
            <w:shd w:val="clear" w:color="auto" w:fill="auto"/>
            <w:tcMar>
              <w:top w:w="0" w:type="dxa"/>
              <w:left w:w="108" w:type="dxa"/>
              <w:bottom w:w="0" w:type="dxa"/>
              <w:right w:w="108" w:type="dxa"/>
            </w:tcMar>
          </w:tcPr>
          <w:p w14:paraId="2E4A7CB1" w14:textId="77777777" w:rsidR="005D5985" w:rsidRPr="00306E38" w:rsidRDefault="005D5985" w:rsidP="00A77206">
            <w:pPr>
              <w:pStyle w:val="TableText"/>
              <w:spacing w:before="0" w:after="0"/>
              <w:rPr>
                <w:b/>
                <w:bCs/>
              </w:rPr>
            </w:pPr>
            <w:r>
              <w:rPr>
                <w:b/>
                <w:bCs/>
              </w:rPr>
              <w:t>2.08</w:t>
            </w:r>
          </w:p>
        </w:tc>
        <w:tc>
          <w:tcPr>
            <w:tcW w:w="526" w:type="pct"/>
            <w:shd w:val="clear" w:color="auto" w:fill="auto"/>
            <w:tcMar>
              <w:top w:w="0" w:type="dxa"/>
              <w:left w:w="108" w:type="dxa"/>
              <w:bottom w:w="0" w:type="dxa"/>
              <w:right w:w="108" w:type="dxa"/>
            </w:tcMar>
          </w:tcPr>
          <w:p w14:paraId="7A9E682A" w14:textId="77777777" w:rsidR="005D5985" w:rsidRPr="00306E38" w:rsidRDefault="005D5985" w:rsidP="00A77206">
            <w:pPr>
              <w:pStyle w:val="TableText"/>
              <w:spacing w:before="0" w:after="0"/>
              <w:rPr>
                <w:b/>
                <w:bCs/>
              </w:rPr>
            </w:pPr>
            <w:r w:rsidRPr="00306E38">
              <w:rPr>
                <w:b/>
                <w:bCs/>
              </w:rPr>
              <w:t>2.</w:t>
            </w:r>
            <w:r>
              <w:rPr>
                <w:b/>
                <w:bCs/>
              </w:rPr>
              <w:t>18</w:t>
            </w:r>
          </w:p>
        </w:tc>
        <w:tc>
          <w:tcPr>
            <w:tcW w:w="526" w:type="pct"/>
            <w:shd w:val="clear" w:color="auto" w:fill="auto"/>
            <w:tcMar>
              <w:top w:w="0" w:type="dxa"/>
              <w:left w:w="108" w:type="dxa"/>
              <w:bottom w:w="0" w:type="dxa"/>
              <w:right w:w="108" w:type="dxa"/>
            </w:tcMar>
          </w:tcPr>
          <w:p w14:paraId="2A0F199B" w14:textId="77777777" w:rsidR="005D5985" w:rsidRPr="00306E38" w:rsidRDefault="005D5985" w:rsidP="00A77206">
            <w:pPr>
              <w:pStyle w:val="TableText"/>
              <w:spacing w:before="0" w:after="0"/>
              <w:rPr>
                <w:b/>
                <w:bCs/>
              </w:rPr>
            </w:pPr>
            <w:r w:rsidRPr="00306E38">
              <w:rPr>
                <w:b/>
                <w:bCs/>
              </w:rPr>
              <w:t>2.</w:t>
            </w:r>
            <w:r>
              <w:rPr>
                <w:b/>
                <w:bCs/>
              </w:rPr>
              <w:t>29</w:t>
            </w:r>
          </w:p>
        </w:tc>
        <w:tc>
          <w:tcPr>
            <w:tcW w:w="526" w:type="pct"/>
            <w:shd w:val="clear" w:color="auto" w:fill="auto"/>
            <w:tcMar>
              <w:top w:w="0" w:type="dxa"/>
              <w:left w:w="108" w:type="dxa"/>
              <w:bottom w:w="0" w:type="dxa"/>
              <w:right w:w="108" w:type="dxa"/>
            </w:tcMar>
          </w:tcPr>
          <w:p w14:paraId="20561D03" w14:textId="77777777" w:rsidR="005D5985" w:rsidRPr="00306E38" w:rsidRDefault="005D5985" w:rsidP="00A77206">
            <w:pPr>
              <w:pStyle w:val="TableText"/>
              <w:spacing w:before="0" w:after="0"/>
              <w:rPr>
                <w:b/>
                <w:bCs/>
              </w:rPr>
            </w:pPr>
            <w:r w:rsidRPr="00306E38">
              <w:rPr>
                <w:b/>
                <w:bCs/>
              </w:rPr>
              <w:t>2.</w:t>
            </w:r>
            <w:r>
              <w:rPr>
                <w:b/>
                <w:bCs/>
              </w:rPr>
              <w:t>41</w:t>
            </w:r>
          </w:p>
        </w:tc>
        <w:tc>
          <w:tcPr>
            <w:tcW w:w="526" w:type="pct"/>
            <w:shd w:val="clear" w:color="auto" w:fill="auto"/>
            <w:tcMar>
              <w:top w:w="0" w:type="dxa"/>
              <w:left w:w="108" w:type="dxa"/>
              <w:bottom w:w="0" w:type="dxa"/>
              <w:right w:w="108" w:type="dxa"/>
            </w:tcMar>
          </w:tcPr>
          <w:p w14:paraId="22A3BD6E" w14:textId="77777777" w:rsidR="005D5985" w:rsidRPr="00306E38" w:rsidRDefault="005D5985" w:rsidP="00A77206">
            <w:pPr>
              <w:pStyle w:val="TableText"/>
              <w:spacing w:before="0" w:after="0"/>
              <w:rPr>
                <w:b/>
                <w:bCs/>
              </w:rPr>
            </w:pPr>
            <w:r w:rsidRPr="00306E38">
              <w:rPr>
                <w:b/>
                <w:bCs/>
              </w:rPr>
              <w:t>2.</w:t>
            </w:r>
            <w:r>
              <w:rPr>
                <w:b/>
                <w:bCs/>
              </w:rPr>
              <w:t>53</w:t>
            </w:r>
          </w:p>
        </w:tc>
      </w:tr>
    </w:tbl>
    <w:p w14:paraId="6408F87E" w14:textId="77777777" w:rsidR="005D5985" w:rsidRPr="00306E38" w:rsidRDefault="005D5985" w:rsidP="00D85574">
      <w:pPr>
        <w:pStyle w:val="TableFooter"/>
        <w:spacing w:before="0"/>
      </w:pPr>
      <w:r w:rsidRPr="00D059DF">
        <w:rPr>
          <w:b/>
          <w:snapToGrid w:val="0"/>
        </w:rPr>
        <w:t>Abbreviations</w:t>
      </w:r>
      <w:r>
        <w:t xml:space="preserve">: </w:t>
      </w:r>
      <w:r w:rsidRPr="00D059DF">
        <w:rPr>
          <w:b/>
          <w:bCs/>
        </w:rPr>
        <w:t>FY</w:t>
      </w:r>
      <w:r w:rsidRPr="00306E38">
        <w:t xml:space="preserve"> = financial year; </w:t>
      </w:r>
      <w:r w:rsidRPr="00D059DF">
        <w:rPr>
          <w:b/>
          <w:bCs/>
        </w:rPr>
        <w:t>MBS</w:t>
      </w:r>
      <w:r w:rsidRPr="00306E38">
        <w:t xml:space="preserve"> = Medicare Benefits Schedule; </w:t>
      </w:r>
      <w:r w:rsidRPr="00D059DF">
        <w:rPr>
          <w:b/>
          <w:bCs/>
        </w:rPr>
        <w:t>NB</w:t>
      </w:r>
      <w:r w:rsidRPr="00306E38">
        <w:t xml:space="preserve"> = nerve block</w:t>
      </w:r>
    </w:p>
    <w:p w14:paraId="4D7B6411" w14:textId="68F761A5" w:rsidR="00652476" w:rsidRDefault="00652476" w:rsidP="00652476">
      <w:pPr>
        <w:pStyle w:val="TableFooter"/>
        <w:spacing w:before="0"/>
      </w:pPr>
      <w:r>
        <w:t>Source: DCAR Table 18</w:t>
      </w:r>
    </w:p>
    <w:p w14:paraId="4731E718" w14:textId="77777777" w:rsidR="005D5985" w:rsidRPr="00DA5E35" w:rsidRDefault="005D5985" w:rsidP="00A77206">
      <w:pPr>
        <w:keepNext/>
        <w:keepLines/>
        <w:rPr>
          <w:rFonts w:ascii="Franklin Gothic Book" w:hAnsi="Franklin Gothic Book"/>
          <w:b/>
          <w:bCs/>
          <w:sz w:val="24"/>
          <w:szCs w:val="24"/>
        </w:rPr>
      </w:pPr>
      <w:r w:rsidRPr="00DA5E35">
        <w:rPr>
          <w:rFonts w:ascii="Franklin Gothic Book" w:hAnsi="Franklin Gothic Book"/>
          <w:b/>
          <w:bCs/>
          <w:sz w:val="24"/>
          <w:szCs w:val="24"/>
        </w:rPr>
        <w:lastRenderedPageBreak/>
        <w:t>Out-of-pocket costs</w:t>
      </w:r>
    </w:p>
    <w:p w14:paraId="607B5E15" w14:textId="77777777" w:rsidR="005D5985" w:rsidRPr="00DA5E35" w:rsidRDefault="005D5985" w:rsidP="00A77206">
      <w:pPr>
        <w:keepNext/>
        <w:keepLines/>
        <w:rPr>
          <w:rFonts w:ascii="Franklin Gothic Book" w:hAnsi="Franklin Gothic Book"/>
        </w:rPr>
      </w:pPr>
      <w:r w:rsidRPr="00DA5E35">
        <w:rPr>
          <w:rFonts w:ascii="Franklin Gothic Book" w:hAnsi="Franklin Gothic Book"/>
        </w:rPr>
        <w:t>The net financial impact was calculated using the 75% benefits of the proposed MBS item and of MBS item 22041. While this accounted for the direct financial impact to the MBS, it did not capture patient out-of-pocket costs. In the ratified PICO, the applicant suggested that actual cost for the service would be approximately $303.56. This is higher than the proposed fee of $109.00 (75% benefit: $81.75), indicating out-of-pocket costs are likely. The difference between the actual cost and the proposed fee in the ratified PICO—based on the value of one RVG unit at the time the PICO was published—was $198.80/patient. Inflating the estimated service cost by the same indexation rate observed for the proposed item fee between publication of the PICO and this financial analysis (+4.06%) derived an estimated cost of approximately $315.88 and a difference of $206.88 between the service cost and the item fee. Including the 25% of the MBS fee not funded through Medicare ($27.25), this equated to a total gap of $234.13.</w:t>
      </w:r>
    </w:p>
    <w:p w14:paraId="77D527B6" w14:textId="77777777" w:rsidR="005D5985" w:rsidRPr="00DA5E35" w:rsidRDefault="005D5985" w:rsidP="005D5985">
      <w:pPr>
        <w:rPr>
          <w:rFonts w:ascii="Franklin Gothic Book" w:hAnsi="Franklin Gothic Book"/>
        </w:rPr>
      </w:pPr>
      <w:r w:rsidRPr="00DA5E35">
        <w:rPr>
          <w:rFonts w:ascii="Franklin Gothic Book" w:hAnsi="Franklin Gothic Book"/>
        </w:rPr>
        <w:t>Department of Health and Aged Care data indicated that, of patients who had an MBS item 22031 service in a private setting within Australia in FY 2021–22, 98% had an out-of-pocket cost.</w:t>
      </w:r>
      <w:r w:rsidRPr="00DA5E35">
        <w:rPr>
          <w:rStyle w:val="FootnoteReference"/>
          <w:rFonts w:ascii="Franklin Gothic Book" w:hAnsi="Franklin Gothic Book"/>
        </w:rPr>
        <w:footnoteReference w:id="20"/>
      </w:r>
      <w:r w:rsidRPr="00DA5E35">
        <w:rPr>
          <w:rFonts w:ascii="Franklin Gothic Book" w:hAnsi="Franklin Gothic Book"/>
        </w:rPr>
        <w:t xml:space="preserve"> According to the Department of Health and Aged Care’s Medical Costs Finder website, the typical out-of-pocket cost for each patient was $204. The current MBS fee for item 22031</w:t>
      </w:r>
      <w:r w:rsidRPr="00DA5E35">
        <w:rPr>
          <w:rStyle w:val="FootnoteReference"/>
          <w:rFonts w:ascii="Franklin Gothic Book" w:hAnsi="Franklin Gothic Book"/>
        </w:rPr>
        <w:footnoteReference w:id="21"/>
      </w:r>
      <w:r w:rsidRPr="00DA5E35">
        <w:rPr>
          <w:rFonts w:ascii="Franklin Gothic Book" w:hAnsi="Franklin Gothic Book"/>
        </w:rPr>
        <w:t xml:space="preserve"> is, similar to the proposed item, costed at 5 basic units per the RVG for anaesthesia services (MBS fee as of 1 November 2023: $109.00).</w:t>
      </w:r>
      <w:r w:rsidRPr="00DA5E35">
        <w:rPr>
          <w:rStyle w:val="FootnoteReference"/>
          <w:rFonts w:ascii="Franklin Gothic Book" w:hAnsi="Franklin Gothic Book"/>
        </w:rPr>
        <w:footnoteReference w:id="22"/>
      </w:r>
      <w:r w:rsidRPr="00DA5E35">
        <w:rPr>
          <w:rFonts w:ascii="Franklin Gothic Book" w:hAnsi="Franklin Gothic Book"/>
        </w:rPr>
        <w:t xml:space="preserve"> This item could therefore be expected to have a similar level of complexity, given RVG item fees are a measure of complexity. Out-of-pocket cost data for MBS item 22041 were not available on the Medical Costs Finder website.</w:t>
      </w:r>
    </w:p>
    <w:p w14:paraId="47617A63" w14:textId="77777777" w:rsidR="005D5985" w:rsidRPr="00DA5E35" w:rsidRDefault="005D5985" w:rsidP="005D5985">
      <w:pPr>
        <w:rPr>
          <w:rFonts w:ascii="Franklin Gothic Book" w:hAnsi="Franklin Gothic Book"/>
          <w:b/>
          <w:bCs/>
          <w:sz w:val="24"/>
          <w:szCs w:val="24"/>
        </w:rPr>
      </w:pPr>
      <w:r w:rsidRPr="00DA5E35">
        <w:rPr>
          <w:rFonts w:ascii="Franklin Gothic Book" w:hAnsi="Franklin Gothic Book"/>
          <w:b/>
          <w:bCs/>
          <w:sz w:val="24"/>
          <w:szCs w:val="24"/>
        </w:rPr>
        <w:t>Uncertainties</w:t>
      </w:r>
    </w:p>
    <w:p w14:paraId="01A0F8D1" w14:textId="186F9DFC" w:rsidR="005D5985" w:rsidRPr="00DA5E35" w:rsidRDefault="005D5985" w:rsidP="005D5985">
      <w:pPr>
        <w:rPr>
          <w:rFonts w:ascii="Franklin Gothic Book" w:hAnsi="Franklin Gothic Book"/>
        </w:rPr>
      </w:pPr>
      <w:r w:rsidRPr="00DA5E35">
        <w:rPr>
          <w:rFonts w:ascii="Franklin Gothic Book" w:hAnsi="Franklin Gothic Book"/>
        </w:rPr>
        <w:t xml:space="preserve">Sensitivity analyses were included for assumptions relating to the growth rate for peripheral nerve block services, the substitution rate for MBS item 22041, and the overall use of catheters for peripheral nerve blocks. The latter had the largest impact on the anticipated net financial impact of the proposed listing, likely because this input parameter impacted the estimated market growth for MBS-subsidised peripheral nerve block services. Across the deterministic sensitivity analyses conducted, the net financial impact to the MBS was estimated at $1.41 million to $2.62 million in year 1 of listing (FY 2024–25; </w:t>
      </w:r>
      <w:r w:rsidRPr="00DA5E35">
        <w:rPr>
          <w:rFonts w:ascii="Franklin Gothic Book" w:hAnsi="Franklin Gothic Book"/>
        </w:rPr>
        <w:fldChar w:fldCharType="begin"/>
      </w:r>
      <w:r w:rsidRPr="00DA5E35">
        <w:rPr>
          <w:rFonts w:ascii="Franklin Gothic Book" w:hAnsi="Franklin Gothic Book"/>
        </w:rPr>
        <w:instrText xml:space="preserve"> REF _Ref152597811 \h </w:instrText>
      </w:r>
      <w:r w:rsidR="00DA5E35">
        <w:rPr>
          <w:rFonts w:ascii="Franklin Gothic Book" w:hAnsi="Franklin Gothic Book"/>
        </w:rPr>
        <w:instrText xml:space="preserve"> \* MERGEFORMAT </w:instrText>
      </w:r>
      <w:r w:rsidRPr="00DA5E35">
        <w:rPr>
          <w:rFonts w:ascii="Franklin Gothic Book" w:hAnsi="Franklin Gothic Book"/>
        </w:rPr>
      </w:r>
      <w:r w:rsidRPr="00DA5E35">
        <w:rPr>
          <w:rFonts w:ascii="Franklin Gothic Book" w:hAnsi="Franklin Gothic Book"/>
        </w:rPr>
        <w:fldChar w:fldCharType="separate"/>
      </w:r>
      <w:r w:rsidR="009D69F0" w:rsidRPr="009D69F0">
        <w:rPr>
          <w:rFonts w:ascii="Franklin Gothic Book" w:hAnsi="Franklin Gothic Book"/>
        </w:rPr>
        <w:t>Table 20</w:t>
      </w:r>
      <w:r w:rsidRPr="00DA5E35">
        <w:rPr>
          <w:rFonts w:ascii="Franklin Gothic Book" w:hAnsi="Franklin Gothic Book"/>
        </w:rPr>
        <w:fldChar w:fldCharType="end"/>
      </w:r>
      <w:r w:rsidRPr="00DA5E35">
        <w:rPr>
          <w:rFonts w:ascii="Franklin Gothic Book" w:hAnsi="Franklin Gothic Book"/>
        </w:rPr>
        <w:t>).</w:t>
      </w:r>
    </w:p>
    <w:p w14:paraId="17761D08" w14:textId="5ECC01F4" w:rsidR="005D5985" w:rsidRDefault="005D5985" w:rsidP="00A77206">
      <w:pPr>
        <w:pStyle w:val="Caption"/>
        <w:keepLines/>
      </w:pPr>
      <w:bookmarkStart w:id="61" w:name="_Ref152597811"/>
      <w:r w:rsidRPr="00CA5282">
        <w:lastRenderedPageBreak/>
        <w:t>Table </w:t>
      </w:r>
      <w:r>
        <w:fldChar w:fldCharType="begin"/>
      </w:r>
      <w:r>
        <w:instrText>SEQ Table \* ARABIC</w:instrText>
      </w:r>
      <w:r>
        <w:fldChar w:fldCharType="separate"/>
      </w:r>
      <w:r w:rsidR="00210D50">
        <w:rPr>
          <w:noProof/>
        </w:rPr>
        <w:t>20</w:t>
      </w:r>
      <w:r>
        <w:fldChar w:fldCharType="end"/>
      </w:r>
      <w:bookmarkEnd w:id="61"/>
      <w:r w:rsidRPr="00CA5282">
        <w:tab/>
        <w:t>Sensitivity analysis calculation of net financial impact to MBS</w:t>
      </w:r>
    </w:p>
    <w:tbl>
      <w:tblPr>
        <w:tblStyle w:val="TableGrid"/>
        <w:tblW w:w="5000" w:type="pct"/>
        <w:tblLook w:val="04A0" w:firstRow="1" w:lastRow="0" w:firstColumn="1" w:lastColumn="0" w:noHBand="0" w:noVBand="1"/>
      </w:tblPr>
      <w:tblGrid>
        <w:gridCol w:w="3541"/>
        <w:gridCol w:w="913"/>
        <w:gridCol w:w="913"/>
        <w:gridCol w:w="913"/>
        <w:gridCol w:w="912"/>
        <w:gridCol w:w="912"/>
        <w:gridCol w:w="912"/>
      </w:tblGrid>
      <w:tr w:rsidR="005D5985" w:rsidRPr="00306E38" w14:paraId="6062509B" w14:textId="77777777">
        <w:trPr>
          <w:cantSplit/>
          <w:tblHeader/>
        </w:trPr>
        <w:tc>
          <w:tcPr>
            <w:tcW w:w="1963" w:type="pct"/>
            <w:shd w:val="clear" w:color="auto" w:fill="auto"/>
          </w:tcPr>
          <w:p w14:paraId="29446ABD" w14:textId="77777777" w:rsidR="005D5985" w:rsidRPr="00306E38" w:rsidRDefault="005D5985" w:rsidP="00A77206">
            <w:pPr>
              <w:pStyle w:val="TableText"/>
              <w:keepNext/>
              <w:keepLines/>
            </w:pPr>
            <w:r w:rsidRPr="005B0D8A">
              <w:rPr>
                <w:b/>
              </w:rPr>
              <w:t>Scenario</w:t>
            </w:r>
          </w:p>
        </w:tc>
        <w:tc>
          <w:tcPr>
            <w:tcW w:w="506" w:type="pct"/>
            <w:shd w:val="clear" w:color="auto" w:fill="auto"/>
            <w:vAlign w:val="center"/>
          </w:tcPr>
          <w:p w14:paraId="40BFA7CB" w14:textId="77777777" w:rsidR="005D5985" w:rsidRPr="00306E38" w:rsidRDefault="005D5985" w:rsidP="00A77206">
            <w:pPr>
              <w:pStyle w:val="TableText"/>
              <w:keepNext/>
              <w:keepLines/>
            </w:pPr>
            <w:r w:rsidRPr="005B0D8A">
              <w:rPr>
                <w:b/>
              </w:rPr>
              <w:t>FY 2024–25</w:t>
            </w:r>
          </w:p>
        </w:tc>
        <w:tc>
          <w:tcPr>
            <w:tcW w:w="506" w:type="pct"/>
            <w:shd w:val="clear" w:color="auto" w:fill="auto"/>
            <w:vAlign w:val="center"/>
          </w:tcPr>
          <w:p w14:paraId="1394F1C0" w14:textId="77777777" w:rsidR="005D5985" w:rsidRPr="00306E38" w:rsidRDefault="005D5985" w:rsidP="00A77206">
            <w:pPr>
              <w:pStyle w:val="TableText"/>
              <w:keepNext/>
              <w:keepLines/>
            </w:pPr>
            <w:r w:rsidRPr="005B0D8A">
              <w:rPr>
                <w:b/>
              </w:rPr>
              <w:t>FY 2025–26</w:t>
            </w:r>
          </w:p>
        </w:tc>
        <w:tc>
          <w:tcPr>
            <w:tcW w:w="506" w:type="pct"/>
            <w:shd w:val="clear" w:color="auto" w:fill="auto"/>
            <w:vAlign w:val="center"/>
          </w:tcPr>
          <w:p w14:paraId="540B0A32" w14:textId="77777777" w:rsidR="005D5985" w:rsidRPr="00306E38" w:rsidRDefault="005D5985" w:rsidP="00A77206">
            <w:pPr>
              <w:pStyle w:val="TableText"/>
              <w:keepNext/>
              <w:keepLines/>
            </w:pPr>
            <w:r w:rsidRPr="005B0D8A">
              <w:rPr>
                <w:b/>
              </w:rPr>
              <w:t>FY 2026–27</w:t>
            </w:r>
          </w:p>
        </w:tc>
        <w:tc>
          <w:tcPr>
            <w:tcW w:w="506" w:type="pct"/>
            <w:shd w:val="clear" w:color="auto" w:fill="auto"/>
            <w:vAlign w:val="center"/>
          </w:tcPr>
          <w:p w14:paraId="469309E3" w14:textId="77777777" w:rsidR="005D5985" w:rsidRPr="00306E38" w:rsidRDefault="005D5985" w:rsidP="00A77206">
            <w:pPr>
              <w:pStyle w:val="TableText"/>
              <w:keepNext/>
              <w:keepLines/>
            </w:pPr>
            <w:r w:rsidRPr="005B0D8A">
              <w:rPr>
                <w:b/>
              </w:rPr>
              <w:t>FY 2027–28</w:t>
            </w:r>
          </w:p>
        </w:tc>
        <w:tc>
          <w:tcPr>
            <w:tcW w:w="506" w:type="pct"/>
            <w:shd w:val="clear" w:color="auto" w:fill="auto"/>
            <w:vAlign w:val="center"/>
          </w:tcPr>
          <w:p w14:paraId="11EF2E9F" w14:textId="77777777" w:rsidR="005D5985" w:rsidRPr="00306E38" w:rsidRDefault="005D5985" w:rsidP="00A77206">
            <w:pPr>
              <w:pStyle w:val="TableText"/>
              <w:keepNext/>
              <w:keepLines/>
            </w:pPr>
            <w:r w:rsidRPr="005B0D8A">
              <w:rPr>
                <w:b/>
              </w:rPr>
              <w:t>FY 2028–29</w:t>
            </w:r>
          </w:p>
        </w:tc>
        <w:tc>
          <w:tcPr>
            <w:tcW w:w="506" w:type="pct"/>
            <w:shd w:val="clear" w:color="auto" w:fill="auto"/>
          </w:tcPr>
          <w:p w14:paraId="1FDC457B" w14:textId="77777777" w:rsidR="005D5985" w:rsidRPr="00306E38" w:rsidRDefault="005D5985" w:rsidP="00A77206">
            <w:pPr>
              <w:pStyle w:val="TableText"/>
              <w:keepNext/>
              <w:keepLines/>
            </w:pPr>
            <w:r w:rsidRPr="005B0D8A">
              <w:rPr>
                <w:b/>
              </w:rPr>
              <w:t>FY 2029–30</w:t>
            </w:r>
          </w:p>
        </w:tc>
      </w:tr>
      <w:tr w:rsidR="005D5985" w:rsidRPr="00306E38" w14:paraId="0DD54FC2" w14:textId="77777777">
        <w:trPr>
          <w:cantSplit/>
        </w:trPr>
        <w:tc>
          <w:tcPr>
            <w:tcW w:w="1963" w:type="pct"/>
            <w:tcBorders>
              <w:bottom w:val="single" w:sz="4" w:space="0" w:color="auto"/>
            </w:tcBorders>
            <w:shd w:val="clear" w:color="auto" w:fill="auto"/>
          </w:tcPr>
          <w:p w14:paraId="36BB2ABE" w14:textId="77777777" w:rsidR="005D5985" w:rsidRPr="00306E38" w:rsidRDefault="005D5985" w:rsidP="00A77206">
            <w:pPr>
              <w:pStyle w:val="TableText"/>
              <w:keepNext/>
              <w:keepLines/>
            </w:pPr>
            <w:r w:rsidRPr="00306E38">
              <w:t>Base case (</w:t>
            </w:r>
            <w:r>
              <w:t>$</w:t>
            </w:r>
            <w:r w:rsidRPr="00306E38">
              <w:t> million)</w:t>
            </w:r>
          </w:p>
        </w:tc>
        <w:tc>
          <w:tcPr>
            <w:tcW w:w="506" w:type="pct"/>
            <w:tcBorders>
              <w:bottom w:val="single" w:sz="4" w:space="0" w:color="auto"/>
            </w:tcBorders>
            <w:shd w:val="clear" w:color="auto" w:fill="auto"/>
          </w:tcPr>
          <w:p w14:paraId="45638C19" w14:textId="77777777" w:rsidR="005D5985" w:rsidRPr="00306E38" w:rsidRDefault="005D5985" w:rsidP="00A77206">
            <w:pPr>
              <w:pStyle w:val="TableText"/>
              <w:keepNext/>
              <w:keepLines/>
            </w:pPr>
            <w:r w:rsidRPr="00306E38">
              <w:rPr>
                <w:b/>
                <w:bCs/>
              </w:rPr>
              <w:t>1.</w:t>
            </w:r>
            <w:r>
              <w:rPr>
                <w:b/>
                <w:bCs/>
              </w:rPr>
              <w:t>98</w:t>
            </w:r>
          </w:p>
        </w:tc>
        <w:tc>
          <w:tcPr>
            <w:tcW w:w="506" w:type="pct"/>
            <w:tcBorders>
              <w:bottom w:val="single" w:sz="4" w:space="0" w:color="auto"/>
            </w:tcBorders>
            <w:shd w:val="clear" w:color="auto" w:fill="auto"/>
          </w:tcPr>
          <w:p w14:paraId="17026317" w14:textId="77777777" w:rsidR="005D5985" w:rsidRPr="00306E38" w:rsidRDefault="005D5985" w:rsidP="00A77206">
            <w:pPr>
              <w:pStyle w:val="TableText"/>
              <w:keepNext/>
              <w:keepLines/>
            </w:pPr>
            <w:r>
              <w:rPr>
                <w:b/>
                <w:bCs/>
              </w:rPr>
              <w:t>2.08</w:t>
            </w:r>
          </w:p>
        </w:tc>
        <w:tc>
          <w:tcPr>
            <w:tcW w:w="506" w:type="pct"/>
            <w:tcBorders>
              <w:bottom w:val="single" w:sz="4" w:space="0" w:color="auto"/>
            </w:tcBorders>
            <w:shd w:val="clear" w:color="auto" w:fill="auto"/>
          </w:tcPr>
          <w:p w14:paraId="51A0322F" w14:textId="77777777" w:rsidR="005D5985" w:rsidRPr="00306E38" w:rsidRDefault="005D5985" w:rsidP="00A77206">
            <w:pPr>
              <w:pStyle w:val="TableText"/>
              <w:keepNext/>
              <w:keepLines/>
            </w:pPr>
            <w:r>
              <w:rPr>
                <w:b/>
                <w:bCs/>
              </w:rPr>
              <w:t>2.18</w:t>
            </w:r>
          </w:p>
        </w:tc>
        <w:tc>
          <w:tcPr>
            <w:tcW w:w="506" w:type="pct"/>
            <w:tcBorders>
              <w:bottom w:val="single" w:sz="4" w:space="0" w:color="auto"/>
            </w:tcBorders>
            <w:shd w:val="clear" w:color="auto" w:fill="auto"/>
          </w:tcPr>
          <w:p w14:paraId="09B22432" w14:textId="77777777" w:rsidR="005D5985" w:rsidRPr="00306E38" w:rsidRDefault="005D5985" w:rsidP="00A77206">
            <w:pPr>
              <w:pStyle w:val="TableText"/>
              <w:keepNext/>
              <w:keepLines/>
            </w:pPr>
            <w:r w:rsidRPr="00306E38">
              <w:rPr>
                <w:b/>
                <w:bCs/>
              </w:rPr>
              <w:t>2.</w:t>
            </w:r>
            <w:r>
              <w:rPr>
                <w:b/>
                <w:bCs/>
              </w:rPr>
              <w:t>29</w:t>
            </w:r>
          </w:p>
        </w:tc>
        <w:tc>
          <w:tcPr>
            <w:tcW w:w="506" w:type="pct"/>
            <w:tcBorders>
              <w:bottom w:val="single" w:sz="4" w:space="0" w:color="auto"/>
            </w:tcBorders>
            <w:shd w:val="clear" w:color="auto" w:fill="auto"/>
          </w:tcPr>
          <w:p w14:paraId="122353F4" w14:textId="77777777" w:rsidR="005D5985" w:rsidRPr="00306E38" w:rsidRDefault="005D5985" w:rsidP="00A77206">
            <w:pPr>
              <w:pStyle w:val="TableText"/>
              <w:keepNext/>
              <w:keepLines/>
            </w:pPr>
            <w:r w:rsidRPr="00306E38">
              <w:rPr>
                <w:b/>
                <w:bCs/>
              </w:rPr>
              <w:t>2.</w:t>
            </w:r>
            <w:r>
              <w:rPr>
                <w:b/>
                <w:bCs/>
              </w:rPr>
              <w:t>41</w:t>
            </w:r>
          </w:p>
        </w:tc>
        <w:tc>
          <w:tcPr>
            <w:tcW w:w="506" w:type="pct"/>
            <w:tcBorders>
              <w:bottom w:val="single" w:sz="4" w:space="0" w:color="auto"/>
            </w:tcBorders>
            <w:shd w:val="clear" w:color="auto" w:fill="auto"/>
          </w:tcPr>
          <w:p w14:paraId="70587D8C" w14:textId="77777777" w:rsidR="005D5985" w:rsidRPr="00306E38" w:rsidRDefault="005D5985" w:rsidP="00A77206">
            <w:pPr>
              <w:pStyle w:val="TableText"/>
              <w:keepNext/>
              <w:keepLines/>
            </w:pPr>
            <w:r w:rsidRPr="00306E38">
              <w:rPr>
                <w:b/>
                <w:bCs/>
              </w:rPr>
              <w:t>2.</w:t>
            </w:r>
            <w:r>
              <w:rPr>
                <w:b/>
                <w:bCs/>
              </w:rPr>
              <w:t>53</w:t>
            </w:r>
          </w:p>
        </w:tc>
      </w:tr>
      <w:tr w:rsidR="005D5985" w:rsidRPr="00306E38" w14:paraId="2385C6A5" w14:textId="77777777">
        <w:trPr>
          <w:cantSplit/>
        </w:trPr>
        <w:tc>
          <w:tcPr>
            <w:tcW w:w="1963" w:type="pct"/>
            <w:tcBorders>
              <w:right w:val="nil"/>
            </w:tcBorders>
            <w:shd w:val="clear" w:color="auto" w:fill="auto"/>
          </w:tcPr>
          <w:p w14:paraId="4B618E88" w14:textId="77777777" w:rsidR="005D5985" w:rsidRPr="00306E38" w:rsidRDefault="005D5985" w:rsidP="00A77206">
            <w:pPr>
              <w:pStyle w:val="TableText"/>
              <w:keepNext/>
              <w:keepLines/>
              <w:rPr>
                <w:b/>
                <w:bCs/>
                <w:i/>
                <w:iCs/>
              </w:rPr>
            </w:pPr>
            <w:r w:rsidRPr="00306E38">
              <w:rPr>
                <w:b/>
                <w:bCs/>
                <w:i/>
                <w:iCs/>
              </w:rPr>
              <w:t>One-way deterministic analysis</w:t>
            </w:r>
          </w:p>
        </w:tc>
        <w:tc>
          <w:tcPr>
            <w:tcW w:w="506" w:type="pct"/>
            <w:tcBorders>
              <w:left w:val="nil"/>
              <w:right w:val="nil"/>
            </w:tcBorders>
            <w:shd w:val="clear" w:color="auto" w:fill="auto"/>
          </w:tcPr>
          <w:p w14:paraId="78A5D510" w14:textId="77777777" w:rsidR="005D5985" w:rsidRPr="00306E38" w:rsidRDefault="005D5985" w:rsidP="00A77206">
            <w:pPr>
              <w:pStyle w:val="TableText"/>
              <w:keepNext/>
              <w:keepLines/>
            </w:pPr>
          </w:p>
        </w:tc>
        <w:tc>
          <w:tcPr>
            <w:tcW w:w="506" w:type="pct"/>
            <w:tcBorders>
              <w:left w:val="nil"/>
              <w:right w:val="nil"/>
            </w:tcBorders>
            <w:shd w:val="clear" w:color="auto" w:fill="auto"/>
          </w:tcPr>
          <w:p w14:paraId="0CEBC8F7" w14:textId="77777777" w:rsidR="005D5985" w:rsidRPr="00306E38" w:rsidRDefault="005D5985" w:rsidP="00A77206">
            <w:pPr>
              <w:pStyle w:val="TableText"/>
              <w:keepNext/>
              <w:keepLines/>
            </w:pPr>
          </w:p>
        </w:tc>
        <w:tc>
          <w:tcPr>
            <w:tcW w:w="506" w:type="pct"/>
            <w:tcBorders>
              <w:left w:val="nil"/>
              <w:right w:val="nil"/>
            </w:tcBorders>
            <w:shd w:val="clear" w:color="auto" w:fill="auto"/>
          </w:tcPr>
          <w:p w14:paraId="4C8972D6" w14:textId="77777777" w:rsidR="005D5985" w:rsidRPr="00306E38" w:rsidRDefault="005D5985" w:rsidP="00A77206">
            <w:pPr>
              <w:pStyle w:val="TableText"/>
              <w:keepNext/>
              <w:keepLines/>
            </w:pPr>
          </w:p>
        </w:tc>
        <w:tc>
          <w:tcPr>
            <w:tcW w:w="506" w:type="pct"/>
            <w:tcBorders>
              <w:left w:val="nil"/>
              <w:right w:val="nil"/>
            </w:tcBorders>
            <w:shd w:val="clear" w:color="auto" w:fill="auto"/>
          </w:tcPr>
          <w:p w14:paraId="5007640B" w14:textId="77777777" w:rsidR="005D5985" w:rsidRPr="00306E38" w:rsidRDefault="005D5985" w:rsidP="00A77206">
            <w:pPr>
              <w:pStyle w:val="TableText"/>
              <w:keepNext/>
              <w:keepLines/>
            </w:pPr>
          </w:p>
        </w:tc>
        <w:tc>
          <w:tcPr>
            <w:tcW w:w="506" w:type="pct"/>
            <w:tcBorders>
              <w:left w:val="nil"/>
              <w:right w:val="nil"/>
            </w:tcBorders>
            <w:shd w:val="clear" w:color="auto" w:fill="auto"/>
          </w:tcPr>
          <w:p w14:paraId="4695CDD7" w14:textId="77777777" w:rsidR="005D5985" w:rsidRPr="00306E38" w:rsidRDefault="005D5985" w:rsidP="00A77206">
            <w:pPr>
              <w:pStyle w:val="TableText"/>
              <w:keepNext/>
              <w:keepLines/>
            </w:pPr>
          </w:p>
        </w:tc>
        <w:tc>
          <w:tcPr>
            <w:tcW w:w="506" w:type="pct"/>
            <w:tcBorders>
              <w:left w:val="nil"/>
            </w:tcBorders>
            <w:shd w:val="clear" w:color="auto" w:fill="auto"/>
          </w:tcPr>
          <w:p w14:paraId="7C0694C2" w14:textId="77777777" w:rsidR="005D5985" w:rsidRPr="00306E38" w:rsidRDefault="005D5985" w:rsidP="00A77206">
            <w:pPr>
              <w:pStyle w:val="TableText"/>
              <w:keepNext/>
              <w:keepLines/>
            </w:pPr>
          </w:p>
        </w:tc>
      </w:tr>
      <w:tr w:rsidR="005D5985" w:rsidRPr="00306E38" w14:paraId="65885302" w14:textId="77777777">
        <w:trPr>
          <w:cantSplit/>
        </w:trPr>
        <w:tc>
          <w:tcPr>
            <w:tcW w:w="1963" w:type="pct"/>
            <w:shd w:val="clear" w:color="auto" w:fill="auto"/>
          </w:tcPr>
          <w:p w14:paraId="5E227EA2" w14:textId="77777777" w:rsidR="005D5985" w:rsidRPr="00306E38" w:rsidRDefault="005D5985" w:rsidP="00A77206">
            <w:pPr>
              <w:pStyle w:val="TableText"/>
              <w:keepNext/>
              <w:keepLines/>
            </w:pPr>
            <w:r w:rsidRPr="00306E38">
              <w:t>Growth rate of peripheral NBs</w:t>
            </w:r>
          </w:p>
          <w:p w14:paraId="6C60ECC2" w14:textId="77777777" w:rsidR="005D5985" w:rsidRPr="00306E38" w:rsidRDefault="005D5985" w:rsidP="00A77206">
            <w:pPr>
              <w:pStyle w:val="TableText"/>
              <w:keepNext/>
              <w:keepLines/>
            </w:pPr>
            <w:r w:rsidRPr="00306E38">
              <w:t>5.0% p.a. ±20% (</w:t>
            </w:r>
            <w:r>
              <w:t>$</w:t>
            </w:r>
            <w:r w:rsidRPr="00306E38">
              <w:t xml:space="preserve"> million) </w:t>
            </w:r>
          </w:p>
        </w:tc>
        <w:tc>
          <w:tcPr>
            <w:tcW w:w="506" w:type="pct"/>
            <w:shd w:val="clear" w:color="auto" w:fill="auto"/>
          </w:tcPr>
          <w:p w14:paraId="5D67BB7F" w14:textId="77777777" w:rsidR="005D5985" w:rsidRPr="00306E38" w:rsidRDefault="005D5985" w:rsidP="00A77206">
            <w:pPr>
              <w:pStyle w:val="TableText"/>
              <w:keepNext/>
              <w:keepLines/>
            </w:pPr>
            <w:r w:rsidRPr="00306E38">
              <w:t>1.</w:t>
            </w:r>
            <w:r>
              <w:t>94</w:t>
            </w:r>
            <w:r w:rsidRPr="00306E38">
              <w:t xml:space="preserve"> to </w:t>
            </w:r>
            <w:r>
              <w:t>2.02</w:t>
            </w:r>
          </w:p>
        </w:tc>
        <w:tc>
          <w:tcPr>
            <w:tcW w:w="506" w:type="pct"/>
            <w:shd w:val="clear" w:color="auto" w:fill="auto"/>
          </w:tcPr>
          <w:p w14:paraId="6F90DC10" w14:textId="77777777" w:rsidR="005D5985" w:rsidRPr="00306E38" w:rsidRDefault="005D5985" w:rsidP="00A77206">
            <w:pPr>
              <w:pStyle w:val="TableText"/>
              <w:keepNext/>
              <w:keepLines/>
            </w:pPr>
            <w:r>
              <w:t>2.02</w:t>
            </w:r>
            <w:r w:rsidRPr="00306E38">
              <w:t xml:space="preserve"> to 2.</w:t>
            </w:r>
            <w:r>
              <w:t>14</w:t>
            </w:r>
          </w:p>
        </w:tc>
        <w:tc>
          <w:tcPr>
            <w:tcW w:w="506" w:type="pct"/>
            <w:shd w:val="clear" w:color="auto" w:fill="auto"/>
          </w:tcPr>
          <w:p w14:paraId="2357455B" w14:textId="77777777" w:rsidR="005D5985" w:rsidRPr="00306E38" w:rsidRDefault="005D5985" w:rsidP="00A77206">
            <w:pPr>
              <w:pStyle w:val="TableText"/>
              <w:keepNext/>
              <w:keepLines/>
            </w:pPr>
            <w:r>
              <w:t>2.10</w:t>
            </w:r>
            <w:r w:rsidRPr="00306E38">
              <w:t xml:space="preserve"> to 2.</w:t>
            </w:r>
            <w:r>
              <w:t>27</w:t>
            </w:r>
          </w:p>
        </w:tc>
        <w:tc>
          <w:tcPr>
            <w:tcW w:w="506" w:type="pct"/>
            <w:shd w:val="clear" w:color="auto" w:fill="auto"/>
          </w:tcPr>
          <w:p w14:paraId="660C6B21" w14:textId="77777777" w:rsidR="005D5985" w:rsidRPr="00306E38" w:rsidRDefault="005D5985" w:rsidP="00A77206">
            <w:pPr>
              <w:pStyle w:val="TableText"/>
              <w:keepNext/>
              <w:keepLines/>
            </w:pPr>
            <w:r>
              <w:t>2.19</w:t>
            </w:r>
            <w:r w:rsidRPr="00306E38">
              <w:t xml:space="preserve"> to 2.</w:t>
            </w:r>
            <w:r>
              <w:t>40</w:t>
            </w:r>
          </w:p>
        </w:tc>
        <w:tc>
          <w:tcPr>
            <w:tcW w:w="506" w:type="pct"/>
            <w:shd w:val="clear" w:color="auto" w:fill="auto"/>
          </w:tcPr>
          <w:p w14:paraId="0576BE3D" w14:textId="77777777" w:rsidR="005D5985" w:rsidRPr="00306E38" w:rsidRDefault="005D5985" w:rsidP="00A77206">
            <w:pPr>
              <w:pStyle w:val="TableText"/>
              <w:keepNext/>
              <w:keepLines/>
            </w:pPr>
            <w:r>
              <w:t>2.27</w:t>
            </w:r>
            <w:r w:rsidRPr="00306E38">
              <w:t xml:space="preserve"> to 2.</w:t>
            </w:r>
            <w:r>
              <w:t>55</w:t>
            </w:r>
          </w:p>
        </w:tc>
        <w:tc>
          <w:tcPr>
            <w:tcW w:w="506" w:type="pct"/>
            <w:shd w:val="clear" w:color="auto" w:fill="auto"/>
          </w:tcPr>
          <w:p w14:paraId="376CD731" w14:textId="77777777" w:rsidR="005D5985" w:rsidRPr="00306E38" w:rsidRDefault="005D5985" w:rsidP="00A77206">
            <w:pPr>
              <w:pStyle w:val="TableText"/>
              <w:keepNext/>
              <w:keepLines/>
            </w:pPr>
            <w:r w:rsidRPr="00306E38">
              <w:t>2.</w:t>
            </w:r>
            <w:r>
              <w:t>36</w:t>
            </w:r>
            <w:r w:rsidRPr="00306E38">
              <w:t xml:space="preserve"> to 2.</w:t>
            </w:r>
            <w:r>
              <w:t>70</w:t>
            </w:r>
          </w:p>
        </w:tc>
      </w:tr>
      <w:tr w:rsidR="005D5985" w:rsidRPr="00306E38" w14:paraId="6134052A" w14:textId="77777777">
        <w:trPr>
          <w:cantSplit/>
        </w:trPr>
        <w:tc>
          <w:tcPr>
            <w:tcW w:w="1963" w:type="pct"/>
            <w:shd w:val="clear" w:color="auto" w:fill="auto"/>
          </w:tcPr>
          <w:p w14:paraId="39E55642" w14:textId="77777777" w:rsidR="005D5985" w:rsidRPr="00306E38" w:rsidRDefault="005D5985" w:rsidP="00A77206">
            <w:pPr>
              <w:pStyle w:val="TableText"/>
              <w:keepNext/>
              <w:keepLines/>
            </w:pPr>
            <w:r w:rsidRPr="00306E38">
              <w:t>Substitution rate</w:t>
            </w:r>
            <w:r>
              <w:t xml:space="preserve"> for</w:t>
            </w:r>
            <w:r w:rsidRPr="00306E38">
              <w:t xml:space="preserve"> single</w:t>
            </w:r>
            <w:r>
              <w:t>-injection</w:t>
            </w:r>
            <w:r w:rsidRPr="00306E38">
              <w:t xml:space="preserve"> NB item</w:t>
            </w:r>
          </w:p>
          <w:p w14:paraId="2E2AF659" w14:textId="77777777" w:rsidR="005D5985" w:rsidRPr="00306E38" w:rsidRDefault="005D5985" w:rsidP="00A77206">
            <w:pPr>
              <w:pStyle w:val="TableText"/>
              <w:keepNext/>
              <w:keepLines/>
            </w:pPr>
            <w:r w:rsidRPr="00306E38">
              <w:t>10.0% ±20% (</w:t>
            </w:r>
            <w:r>
              <w:t>$</w:t>
            </w:r>
            <w:r w:rsidRPr="00306E38">
              <w:t> million)</w:t>
            </w:r>
          </w:p>
        </w:tc>
        <w:tc>
          <w:tcPr>
            <w:tcW w:w="506" w:type="pct"/>
            <w:shd w:val="clear" w:color="auto" w:fill="auto"/>
          </w:tcPr>
          <w:p w14:paraId="41397C0A" w14:textId="77777777" w:rsidR="005D5985" w:rsidRPr="00306E38" w:rsidRDefault="005D5985" w:rsidP="00A77206">
            <w:pPr>
              <w:pStyle w:val="TableText"/>
              <w:keepNext/>
              <w:keepLines/>
            </w:pPr>
            <w:r w:rsidRPr="00306E38">
              <w:t>1.</w:t>
            </w:r>
            <w:r>
              <w:t>85</w:t>
            </w:r>
            <w:r w:rsidRPr="00306E38">
              <w:t xml:space="preserve"> to </w:t>
            </w:r>
            <w:r>
              <w:t>2.11</w:t>
            </w:r>
          </w:p>
        </w:tc>
        <w:tc>
          <w:tcPr>
            <w:tcW w:w="506" w:type="pct"/>
            <w:shd w:val="clear" w:color="auto" w:fill="auto"/>
          </w:tcPr>
          <w:p w14:paraId="55585EF4" w14:textId="77777777" w:rsidR="005D5985" w:rsidRPr="00306E38" w:rsidRDefault="005D5985" w:rsidP="00A77206">
            <w:pPr>
              <w:pStyle w:val="TableText"/>
              <w:keepNext/>
              <w:keepLines/>
            </w:pPr>
            <w:r w:rsidRPr="00306E38">
              <w:t>1.</w:t>
            </w:r>
            <w:r>
              <w:t>95</w:t>
            </w:r>
            <w:r w:rsidRPr="00306E38">
              <w:t xml:space="preserve"> to 2.</w:t>
            </w:r>
            <w:r>
              <w:t>21</w:t>
            </w:r>
          </w:p>
        </w:tc>
        <w:tc>
          <w:tcPr>
            <w:tcW w:w="506" w:type="pct"/>
            <w:shd w:val="clear" w:color="auto" w:fill="auto"/>
          </w:tcPr>
          <w:p w14:paraId="3A3F8FE2" w14:textId="77777777" w:rsidR="005D5985" w:rsidRPr="00306E38" w:rsidRDefault="005D5985" w:rsidP="00A77206">
            <w:pPr>
              <w:pStyle w:val="TableText"/>
              <w:keepNext/>
              <w:keepLines/>
            </w:pPr>
            <w:r>
              <w:t>2.04</w:t>
            </w:r>
            <w:r w:rsidRPr="00306E38">
              <w:t xml:space="preserve"> to 2.</w:t>
            </w:r>
            <w:r>
              <w:t>32</w:t>
            </w:r>
          </w:p>
        </w:tc>
        <w:tc>
          <w:tcPr>
            <w:tcW w:w="506" w:type="pct"/>
            <w:shd w:val="clear" w:color="auto" w:fill="auto"/>
          </w:tcPr>
          <w:p w14:paraId="337F9164" w14:textId="77777777" w:rsidR="005D5985" w:rsidRPr="00306E38" w:rsidRDefault="005D5985" w:rsidP="00A77206">
            <w:pPr>
              <w:pStyle w:val="TableText"/>
              <w:keepNext/>
              <w:keepLines/>
            </w:pPr>
            <w:r>
              <w:t>2.15</w:t>
            </w:r>
            <w:r w:rsidRPr="00306E38">
              <w:t xml:space="preserve"> to 2.</w:t>
            </w:r>
            <w:r>
              <w:t>44</w:t>
            </w:r>
          </w:p>
        </w:tc>
        <w:tc>
          <w:tcPr>
            <w:tcW w:w="506" w:type="pct"/>
            <w:shd w:val="clear" w:color="auto" w:fill="auto"/>
          </w:tcPr>
          <w:p w14:paraId="3FF97D53" w14:textId="77777777" w:rsidR="005D5985" w:rsidRPr="00306E38" w:rsidRDefault="005D5985" w:rsidP="00A77206">
            <w:pPr>
              <w:pStyle w:val="TableText"/>
              <w:keepNext/>
              <w:keepLines/>
            </w:pPr>
            <w:r w:rsidRPr="00306E38">
              <w:t>2.</w:t>
            </w:r>
            <w:r>
              <w:t>25</w:t>
            </w:r>
            <w:r w:rsidRPr="00306E38">
              <w:t xml:space="preserve"> to 2.</w:t>
            </w:r>
            <w:r>
              <w:t>56</w:t>
            </w:r>
          </w:p>
        </w:tc>
        <w:tc>
          <w:tcPr>
            <w:tcW w:w="506" w:type="pct"/>
            <w:shd w:val="clear" w:color="auto" w:fill="auto"/>
          </w:tcPr>
          <w:p w14:paraId="6149A461" w14:textId="77777777" w:rsidR="005D5985" w:rsidRPr="00306E38" w:rsidRDefault="005D5985" w:rsidP="00A77206">
            <w:pPr>
              <w:pStyle w:val="TableText"/>
              <w:keepNext/>
              <w:keepLines/>
            </w:pPr>
            <w:r w:rsidRPr="00306E38">
              <w:t>2.</w:t>
            </w:r>
            <w:r>
              <w:t>37</w:t>
            </w:r>
            <w:r w:rsidRPr="00306E38">
              <w:t xml:space="preserve"> to 2.</w:t>
            </w:r>
            <w:r>
              <w:t>69</w:t>
            </w:r>
          </w:p>
        </w:tc>
      </w:tr>
      <w:tr w:rsidR="005D5985" w:rsidRPr="00306E38" w14:paraId="357802D2" w14:textId="77777777">
        <w:trPr>
          <w:cantSplit/>
        </w:trPr>
        <w:tc>
          <w:tcPr>
            <w:tcW w:w="1963" w:type="pct"/>
            <w:tcBorders>
              <w:bottom w:val="single" w:sz="4" w:space="0" w:color="auto"/>
            </w:tcBorders>
            <w:shd w:val="clear" w:color="auto" w:fill="auto"/>
          </w:tcPr>
          <w:p w14:paraId="23B6F3A0" w14:textId="77777777" w:rsidR="005D5985" w:rsidRPr="00306E38" w:rsidRDefault="005D5985" w:rsidP="00A77206">
            <w:pPr>
              <w:pStyle w:val="TableText"/>
              <w:keepNext/>
              <w:keepLines/>
            </w:pPr>
            <w:r w:rsidRPr="00306E38">
              <w:t>Use of catheter for peripheral NB</w:t>
            </w:r>
          </w:p>
          <w:p w14:paraId="3CAD1306" w14:textId="77777777" w:rsidR="005D5985" w:rsidRPr="00306E38" w:rsidRDefault="005D5985" w:rsidP="00A77206">
            <w:pPr>
              <w:pStyle w:val="TableText"/>
              <w:keepNext/>
              <w:keepLines/>
            </w:pPr>
            <w:r w:rsidRPr="00306E38">
              <w:t>22.0% ±20% (</w:t>
            </w:r>
            <w:r>
              <w:t>$</w:t>
            </w:r>
            <w:r w:rsidRPr="00306E38">
              <w:t> million)</w:t>
            </w:r>
          </w:p>
        </w:tc>
        <w:tc>
          <w:tcPr>
            <w:tcW w:w="506" w:type="pct"/>
            <w:tcBorders>
              <w:bottom w:val="single" w:sz="4" w:space="0" w:color="auto"/>
            </w:tcBorders>
            <w:shd w:val="clear" w:color="auto" w:fill="auto"/>
          </w:tcPr>
          <w:p w14:paraId="56BF951C" w14:textId="77777777" w:rsidR="005D5985" w:rsidRPr="00306E38" w:rsidRDefault="005D5985" w:rsidP="00A77206">
            <w:pPr>
              <w:pStyle w:val="TableText"/>
              <w:keepNext/>
              <w:keepLines/>
            </w:pPr>
            <w:r w:rsidRPr="00306E38">
              <w:t>1.</w:t>
            </w:r>
            <w:r>
              <w:t>41</w:t>
            </w:r>
            <w:r w:rsidRPr="00306E38">
              <w:t xml:space="preserve"> to 2.</w:t>
            </w:r>
            <w:r>
              <w:t>62</w:t>
            </w:r>
          </w:p>
        </w:tc>
        <w:tc>
          <w:tcPr>
            <w:tcW w:w="506" w:type="pct"/>
            <w:tcBorders>
              <w:bottom w:val="single" w:sz="4" w:space="0" w:color="auto"/>
            </w:tcBorders>
            <w:shd w:val="clear" w:color="auto" w:fill="auto"/>
          </w:tcPr>
          <w:p w14:paraId="0EC83B67" w14:textId="77777777" w:rsidR="005D5985" w:rsidRPr="00306E38" w:rsidRDefault="005D5985" w:rsidP="00A77206">
            <w:pPr>
              <w:pStyle w:val="TableText"/>
              <w:keepNext/>
              <w:keepLines/>
            </w:pPr>
            <w:r w:rsidRPr="00306E38">
              <w:t>1.</w:t>
            </w:r>
            <w:r>
              <w:t>48</w:t>
            </w:r>
            <w:r w:rsidRPr="00306E38">
              <w:t xml:space="preserve"> to 2.</w:t>
            </w:r>
            <w:r>
              <w:t>75</w:t>
            </w:r>
          </w:p>
        </w:tc>
        <w:tc>
          <w:tcPr>
            <w:tcW w:w="506" w:type="pct"/>
            <w:tcBorders>
              <w:bottom w:val="single" w:sz="4" w:space="0" w:color="auto"/>
            </w:tcBorders>
            <w:shd w:val="clear" w:color="auto" w:fill="auto"/>
          </w:tcPr>
          <w:p w14:paraId="329B84EF" w14:textId="77777777" w:rsidR="005D5985" w:rsidRPr="00306E38" w:rsidRDefault="005D5985" w:rsidP="00A77206">
            <w:pPr>
              <w:pStyle w:val="TableText"/>
              <w:keepNext/>
              <w:keepLines/>
            </w:pPr>
            <w:r w:rsidRPr="00306E38">
              <w:t>1.</w:t>
            </w:r>
            <w:r>
              <w:t>55</w:t>
            </w:r>
            <w:r w:rsidRPr="00306E38">
              <w:t xml:space="preserve"> to 2.</w:t>
            </w:r>
            <w:r>
              <w:t>89</w:t>
            </w:r>
          </w:p>
        </w:tc>
        <w:tc>
          <w:tcPr>
            <w:tcW w:w="506" w:type="pct"/>
            <w:tcBorders>
              <w:bottom w:val="single" w:sz="4" w:space="0" w:color="auto"/>
            </w:tcBorders>
            <w:shd w:val="clear" w:color="auto" w:fill="auto"/>
          </w:tcPr>
          <w:p w14:paraId="1347863D" w14:textId="77777777" w:rsidR="005D5985" w:rsidRPr="00306E38" w:rsidRDefault="005D5985" w:rsidP="00A77206">
            <w:pPr>
              <w:pStyle w:val="TableText"/>
              <w:keepNext/>
              <w:keepLines/>
            </w:pPr>
            <w:r w:rsidRPr="00306E38">
              <w:t>1.</w:t>
            </w:r>
            <w:r>
              <w:t>63</w:t>
            </w:r>
            <w:r w:rsidRPr="00306E38">
              <w:t xml:space="preserve"> to </w:t>
            </w:r>
            <w:r>
              <w:t>3.03</w:t>
            </w:r>
          </w:p>
        </w:tc>
        <w:tc>
          <w:tcPr>
            <w:tcW w:w="506" w:type="pct"/>
            <w:tcBorders>
              <w:bottom w:val="single" w:sz="4" w:space="0" w:color="auto"/>
            </w:tcBorders>
            <w:shd w:val="clear" w:color="auto" w:fill="auto"/>
          </w:tcPr>
          <w:p w14:paraId="39F59B97" w14:textId="77777777" w:rsidR="005D5985" w:rsidRPr="00306E38" w:rsidRDefault="005D5985" w:rsidP="00A77206">
            <w:pPr>
              <w:pStyle w:val="TableText"/>
              <w:keepNext/>
              <w:keepLines/>
            </w:pPr>
            <w:r w:rsidRPr="00306E38">
              <w:t>1.</w:t>
            </w:r>
            <w:r>
              <w:t>71</w:t>
            </w:r>
            <w:r w:rsidRPr="00306E38">
              <w:t xml:space="preserve"> to </w:t>
            </w:r>
            <w:r>
              <w:t>3.18</w:t>
            </w:r>
          </w:p>
        </w:tc>
        <w:tc>
          <w:tcPr>
            <w:tcW w:w="506" w:type="pct"/>
            <w:tcBorders>
              <w:bottom w:val="single" w:sz="4" w:space="0" w:color="auto"/>
            </w:tcBorders>
            <w:shd w:val="clear" w:color="auto" w:fill="auto"/>
          </w:tcPr>
          <w:p w14:paraId="1E5EC9FF" w14:textId="77777777" w:rsidR="005D5985" w:rsidRPr="00306E38" w:rsidRDefault="005D5985" w:rsidP="00A77206">
            <w:pPr>
              <w:pStyle w:val="TableText"/>
              <w:keepNext/>
              <w:keepLines/>
            </w:pPr>
            <w:r w:rsidRPr="00306E38">
              <w:t>1.</w:t>
            </w:r>
            <w:r>
              <w:t>80</w:t>
            </w:r>
            <w:r w:rsidRPr="00306E38">
              <w:t xml:space="preserve"> to 3.</w:t>
            </w:r>
            <w:r>
              <w:t>34</w:t>
            </w:r>
          </w:p>
        </w:tc>
      </w:tr>
      <w:tr w:rsidR="005D5985" w:rsidRPr="00306E38" w14:paraId="6F302AC9" w14:textId="77777777">
        <w:trPr>
          <w:cantSplit/>
        </w:trPr>
        <w:tc>
          <w:tcPr>
            <w:tcW w:w="1963" w:type="pct"/>
            <w:tcBorders>
              <w:right w:val="nil"/>
            </w:tcBorders>
            <w:shd w:val="clear" w:color="auto" w:fill="auto"/>
          </w:tcPr>
          <w:p w14:paraId="5810FB31" w14:textId="77777777" w:rsidR="005D5985" w:rsidRPr="00306E38" w:rsidRDefault="005D5985" w:rsidP="00A77206">
            <w:pPr>
              <w:pStyle w:val="TableText"/>
              <w:keepNext/>
              <w:keepLines/>
              <w:rPr>
                <w:b/>
                <w:bCs/>
                <w:i/>
                <w:iCs/>
              </w:rPr>
            </w:pPr>
            <w:r w:rsidRPr="00306E38">
              <w:rPr>
                <w:b/>
                <w:bCs/>
                <w:i/>
                <w:iCs/>
              </w:rPr>
              <w:t>Scenario analysis</w:t>
            </w:r>
          </w:p>
        </w:tc>
        <w:tc>
          <w:tcPr>
            <w:tcW w:w="506" w:type="pct"/>
            <w:tcBorders>
              <w:left w:val="nil"/>
              <w:right w:val="nil"/>
            </w:tcBorders>
            <w:shd w:val="clear" w:color="auto" w:fill="auto"/>
          </w:tcPr>
          <w:p w14:paraId="1E817CE4" w14:textId="77777777" w:rsidR="005D5985" w:rsidRPr="00306E38" w:rsidRDefault="005D5985" w:rsidP="00A77206">
            <w:pPr>
              <w:pStyle w:val="TableText"/>
              <w:keepNext/>
              <w:keepLines/>
            </w:pPr>
          </w:p>
        </w:tc>
        <w:tc>
          <w:tcPr>
            <w:tcW w:w="506" w:type="pct"/>
            <w:tcBorders>
              <w:left w:val="nil"/>
              <w:right w:val="nil"/>
            </w:tcBorders>
            <w:shd w:val="clear" w:color="auto" w:fill="auto"/>
          </w:tcPr>
          <w:p w14:paraId="68A0F47E" w14:textId="77777777" w:rsidR="005D5985" w:rsidRPr="00306E38" w:rsidRDefault="005D5985" w:rsidP="00A77206">
            <w:pPr>
              <w:pStyle w:val="TableText"/>
              <w:keepNext/>
              <w:keepLines/>
            </w:pPr>
          </w:p>
        </w:tc>
        <w:tc>
          <w:tcPr>
            <w:tcW w:w="506" w:type="pct"/>
            <w:tcBorders>
              <w:left w:val="nil"/>
              <w:right w:val="nil"/>
            </w:tcBorders>
            <w:shd w:val="clear" w:color="auto" w:fill="auto"/>
          </w:tcPr>
          <w:p w14:paraId="01D0726C" w14:textId="77777777" w:rsidR="005D5985" w:rsidRPr="00306E38" w:rsidRDefault="005D5985" w:rsidP="00A77206">
            <w:pPr>
              <w:pStyle w:val="TableText"/>
              <w:keepNext/>
              <w:keepLines/>
            </w:pPr>
          </w:p>
        </w:tc>
        <w:tc>
          <w:tcPr>
            <w:tcW w:w="506" w:type="pct"/>
            <w:tcBorders>
              <w:left w:val="nil"/>
              <w:right w:val="nil"/>
            </w:tcBorders>
            <w:shd w:val="clear" w:color="auto" w:fill="auto"/>
          </w:tcPr>
          <w:p w14:paraId="34C25B3F" w14:textId="77777777" w:rsidR="005D5985" w:rsidRPr="00306E38" w:rsidRDefault="005D5985" w:rsidP="00A77206">
            <w:pPr>
              <w:pStyle w:val="TableText"/>
              <w:keepNext/>
              <w:keepLines/>
            </w:pPr>
          </w:p>
        </w:tc>
        <w:tc>
          <w:tcPr>
            <w:tcW w:w="506" w:type="pct"/>
            <w:tcBorders>
              <w:left w:val="nil"/>
              <w:right w:val="nil"/>
            </w:tcBorders>
            <w:shd w:val="clear" w:color="auto" w:fill="auto"/>
          </w:tcPr>
          <w:p w14:paraId="1F335AB4" w14:textId="77777777" w:rsidR="005D5985" w:rsidRPr="00306E38" w:rsidRDefault="005D5985" w:rsidP="00A77206">
            <w:pPr>
              <w:pStyle w:val="TableText"/>
              <w:keepNext/>
              <w:keepLines/>
            </w:pPr>
          </w:p>
        </w:tc>
        <w:tc>
          <w:tcPr>
            <w:tcW w:w="506" w:type="pct"/>
            <w:tcBorders>
              <w:left w:val="nil"/>
            </w:tcBorders>
            <w:shd w:val="clear" w:color="auto" w:fill="auto"/>
          </w:tcPr>
          <w:p w14:paraId="102B7B91" w14:textId="77777777" w:rsidR="005D5985" w:rsidRPr="00306E38" w:rsidRDefault="005D5985" w:rsidP="00A77206">
            <w:pPr>
              <w:pStyle w:val="TableText"/>
              <w:keepNext/>
              <w:keepLines/>
            </w:pPr>
          </w:p>
        </w:tc>
      </w:tr>
      <w:tr w:rsidR="005D5985" w:rsidRPr="00306E38" w14:paraId="21806129" w14:textId="77777777">
        <w:trPr>
          <w:cantSplit/>
        </w:trPr>
        <w:tc>
          <w:tcPr>
            <w:tcW w:w="1963" w:type="pct"/>
            <w:shd w:val="clear" w:color="auto" w:fill="auto"/>
          </w:tcPr>
          <w:p w14:paraId="25E65B4E" w14:textId="77777777" w:rsidR="005D5985" w:rsidRPr="00306E38" w:rsidRDefault="005D5985" w:rsidP="00A77206">
            <w:pPr>
              <w:pStyle w:val="TableText"/>
              <w:keepNext/>
              <w:keepLines/>
            </w:pPr>
            <w:r w:rsidRPr="00306E38">
              <w:t>Include consultation fee prior to discharge (</w:t>
            </w:r>
            <w:r>
              <w:t>$</w:t>
            </w:r>
            <w:r w:rsidRPr="00306E38">
              <w:t> million)</w:t>
            </w:r>
          </w:p>
        </w:tc>
        <w:tc>
          <w:tcPr>
            <w:tcW w:w="506" w:type="pct"/>
            <w:shd w:val="clear" w:color="auto" w:fill="auto"/>
          </w:tcPr>
          <w:p w14:paraId="11498399" w14:textId="77777777" w:rsidR="005D5985" w:rsidRPr="00306E38" w:rsidRDefault="005D5985" w:rsidP="00A77206">
            <w:pPr>
              <w:pStyle w:val="TableText"/>
              <w:keepNext/>
              <w:keepLines/>
            </w:pPr>
            <w:r>
              <w:t>3.02</w:t>
            </w:r>
          </w:p>
        </w:tc>
        <w:tc>
          <w:tcPr>
            <w:tcW w:w="506" w:type="pct"/>
            <w:shd w:val="clear" w:color="auto" w:fill="auto"/>
          </w:tcPr>
          <w:p w14:paraId="4C4A4A44" w14:textId="77777777" w:rsidR="005D5985" w:rsidRPr="00306E38" w:rsidRDefault="005D5985" w:rsidP="00A77206">
            <w:pPr>
              <w:pStyle w:val="TableText"/>
              <w:keepNext/>
              <w:keepLines/>
            </w:pPr>
            <w:r>
              <w:t>3.17</w:t>
            </w:r>
          </w:p>
        </w:tc>
        <w:tc>
          <w:tcPr>
            <w:tcW w:w="506" w:type="pct"/>
            <w:shd w:val="clear" w:color="auto" w:fill="auto"/>
          </w:tcPr>
          <w:p w14:paraId="590FE9B2" w14:textId="77777777" w:rsidR="005D5985" w:rsidRPr="00306E38" w:rsidRDefault="005D5985" w:rsidP="00A77206">
            <w:pPr>
              <w:pStyle w:val="TableText"/>
              <w:keepNext/>
              <w:keepLines/>
            </w:pPr>
            <w:r w:rsidRPr="00306E38">
              <w:t>3.</w:t>
            </w:r>
            <w:r>
              <w:t>33</w:t>
            </w:r>
          </w:p>
        </w:tc>
        <w:tc>
          <w:tcPr>
            <w:tcW w:w="506" w:type="pct"/>
            <w:shd w:val="clear" w:color="auto" w:fill="auto"/>
          </w:tcPr>
          <w:p w14:paraId="52852715" w14:textId="77777777" w:rsidR="005D5985" w:rsidRPr="00306E38" w:rsidRDefault="005D5985" w:rsidP="00A77206">
            <w:pPr>
              <w:pStyle w:val="TableText"/>
              <w:keepNext/>
              <w:keepLines/>
            </w:pPr>
            <w:r w:rsidRPr="00306E38">
              <w:t>3.</w:t>
            </w:r>
            <w:r>
              <w:t>50</w:t>
            </w:r>
          </w:p>
        </w:tc>
        <w:tc>
          <w:tcPr>
            <w:tcW w:w="506" w:type="pct"/>
            <w:shd w:val="clear" w:color="auto" w:fill="auto"/>
          </w:tcPr>
          <w:p w14:paraId="59392D2A" w14:textId="77777777" w:rsidR="005D5985" w:rsidRPr="00306E38" w:rsidRDefault="005D5985" w:rsidP="00A77206">
            <w:pPr>
              <w:pStyle w:val="TableText"/>
              <w:keepNext/>
              <w:keepLines/>
            </w:pPr>
            <w:r w:rsidRPr="00306E38">
              <w:t>3.</w:t>
            </w:r>
            <w:r>
              <w:t>67</w:t>
            </w:r>
          </w:p>
        </w:tc>
        <w:tc>
          <w:tcPr>
            <w:tcW w:w="506" w:type="pct"/>
            <w:shd w:val="clear" w:color="auto" w:fill="auto"/>
          </w:tcPr>
          <w:p w14:paraId="01868A9D" w14:textId="77777777" w:rsidR="005D5985" w:rsidRPr="00306E38" w:rsidRDefault="005D5985" w:rsidP="00A77206">
            <w:pPr>
              <w:pStyle w:val="TableText"/>
              <w:keepNext/>
              <w:keepLines/>
            </w:pPr>
            <w:r w:rsidRPr="00306E38">
              <w:t>3.</w:t>
            </w:r>
            <w:r>
              <w:t>85</w:t>
            </w:r>
          </w:p>
        </w:tc>
      </w:tr>
    </w:tbl>
    <w:p w14:paraId="551C173E" w14:textId="77777777" w:rsidR="005D5985" w:rsidRDefault="005D5985" w:rsidP="00A77206">
      <w:pPr>
        <w:pStyle w:val="TableFigureFooter"/>
        <w:keepNext/>
        <w:keepLines/>
        <w:spacing w:before="0"/>
        <w:contextualSpacing/>
        <w:rPr>
          <w:bCs/>
        </w:rPr>
      </w:pPr>
      <w:r w:rsidRPr="00F4360D">
        <w:rPr>
          <w:b/>
        </w:rPr>
        <w:t>Abbreviations:</w:t>
      </w:r>
      <w:r w:rsidRPr="005E3F64">
        <w:rPr>
          <w:b/>
        </w:rPr>
        <w:t xml:space="preserve"> FY</w:t>
      </w:r>
      <w:r w:rsidRPr="00F4360D">
        <w:rPr>
          <w:b/>
        </w:rPr>
        <w:t xml:space="preserve"> </w:t>
      </w:r>
      <w:r w:rsidRPr="005E3F64">
        <w:rPr>
          <w:bCs/>
        </w:rPr>
        <w:t>= financial year</w:t>
      </w:r>
      <w:r w:rsidRPr="00D059DF">
        <w:rPr>
          <w:bCs/>
        </w:rPr>
        <w:t>;</w:t>
      </w:r>
      <w:r w:rsidRPr="00F4360D">
        <w:rPr>
          <w:b/>
        </w:rPr>
        <w:t xml:space="preserve"> </w:t>
      </w:r>
      <w:r w:rsidRPr="005E3F64">
        <w:rPr>
          <w:b/>
        </w:rPr>
        <w:t>MBS</w:t>
      </w:r>
      <w:r w:rsidRPr="00F4360D">
        <w:rPr>
          <w:b/>
        </w:rPr>
        <w:t xml:space="preserve"> </w:t>
      </w:r>
      <w:r w:rsidRPr="005E3F64">
        <w:rPr>
          <w:bCs/>
        </w:rPr>
        <w:t>= Medicare Benefits Schedule</w:t>
      </w:r>
      <w:r w:rsidRPr="00D059DF">
        <w:rPr>
          <w:bCs/>
        </w:rPr>
        <w:t>;</w:t>
      </w:r>
      <w:r w:rsidRPr="00F4360D">
        <w:rPr>
          <w:b/>
        </w:rPr>
        <w:t xml:space="preserve"> </w:t>
      </w:r>
      <w:r w:rsidRPr="005E3F64">
        <w:rPr>
          <w:b/>
        </w:rPr>
        <w:t>NB</w:t>
      </w:r>
      <w:r w:rsidRPr="00F4360D">
        <w:rPr>
          <w:b/>
        </w:rPr>
        <w:t xml:space="preserve"> </w:t>
      </w:r>
      <w:r w:rsidRPr="005E3F64">
        <w:rPr>
          <w:bCs/>
        </w:rPr>
        <w:t>= nerve block</w:t>
      </w:r>
      <w:r>
        <w:rPr>
          <w:bCs/>
        </w:rPr>
        <w:t xml:space="preserve">, </w:t>
      </w:r>
      <w:r>
        <w:rPr>
          <w:b/>
        </w:rPr>
        <w:t xml:space="preserve">p.a. </w:t>
      </w:r>
      <w:r>
        <w:rPr>
          <w:bCs/>
        </w:rPr>
        <w:t>= per annum</w:t>
      </w:r>
    </w:p>
    <w:p w14:paraId="68CBA1F2" w14:textId="531AA171" w:rsidR="00652476" w:rsidRPr="005E3F64" w:rsidRDefault="00652476" w:rsidP="00D85574">
      <w:pPr>
        <w:pStyle w:val="TableFigureFooter"/>
        <w:spacing w:before="0"/>
        <w:contextualSpacing/>
        <w:rPr>
          <w:bCs/>
        </w:rPr>
      </w:pPr>
      <w:r>
        <w:rPr>
          <w:bCs/>
        </w:rPr>
        <w:t>Source: DCAR Table 19</w:t>
      </w:r>
    </w:p>
    <w:p w14:paraId="31B49774" w14:textId="7F956920" w:rsidR="005D5985" w:rsidRPr="00DA5E35" w:rsidRDefault="005D5985" w:rsidP="005D5985">
      <w:pPr>
        <w:rPr>
          <w:rFonts w:ascii="Franklin Gothic Book" w:hAnsi="Franklin Gothic Book"/>
        </w:rPr>
      </w:pPr>
      <w:r w:rsidRPr="00DA5E35">
        <w:rPr>
          <w:rFonts w:ascii="Franklin Gothic Book" w:hAnsi="Franklin Gothic Book"/>
        </w:rPr>
        <w:t xml:space="preserve">Should listing of the proposed item elicit an actual change in practice away from single-injection nerve blocks to continuous nerve blockade in some cases, there may be some additional impacts on the net financial impact calculations. In the ratified PICO, the applicant acknowledged that a consultation (claimed under MBS item 18222, 18225 or 17640 prior to discharge) may be required for a patient with a catheter nerve block as part of post-anaesthesia care. A scenario analysis considering the additional cost for this consultation as part of the intervention cost was associated with an estimated net financial impact to the MBS of approximately $3.02 million in year 1 of listing (FY 2024–25; </w:t>
      </w:r>
      <w:r w:rsidRPr="00DA5E35">
        <w:rPr>
          <w:rFonts w:ascii="Franklin Gothic Book" w:hAnsi="Franklin Gothic Book"/>
        </w:rPr>
        <w:fldChar w:fldCharType="begin"/>
      </w:r>
      <w:r w:rsidRPr="00DA5E35">
        <w:rPr>
          <w:rFonts w:ascii="Franklin Gothic Book" w:hAnsi="Franklin Gothic Book"/>
        </w:rPr>
        <w:instrText xml:space="preserve"> REF _Ref152597811 \h  \* MERGEFORMAT </w:instrText>
      </w:r>
      <w:r w:rsidRPr="00DA5E35">
        <w:rPr>
          <w:rFonts w:ascii="Franklin Gothic Book" w:hAnsi="Franklin Gothic Book"/>
        </w:rPr>
      </w:r>
      <w:r w:rsidRPr="00DA5E35">
        <w:rPr>
          <w:rFonts w:ascii="Franklin Gothic Book" w:hAnsi="Franklin Gothic Book"/>
        </w:rPr>
        <w:fldChar w:fldCharType="separate"/>
      </w:r>
      <w:r w:rsidRPr="00DA5E35">
        <w:rPr>
          <w:rFonts w:ascii="Franklin Gothic Book" w:hAnsi="Franklin Gothic Book"/>
        </w:rPr>
        <w:t>Table 19</w:t>
      </w:r>
      <w:r w:rsidRPr="00DA5E35">
        <w:rPr>
          <w:rFonts w:ascii="Franklin Gothic Book" w:hAnsi="Franklin Gothic Book"/>
        </w:rPr>
        <w:fldChar w:fldCharType="end"/>
      </w:r>
      <w:r w:rsidRPr="00DA5E35">
        <w:rPr>
          <w:rFonts w:ascii="Franklin Gothic Book" w:hAnsi="Franklin Gothic Book"/>
        </w:rPr>
        <w:t>). However, these additional consultations would not be expected after all catheter nerve blocks, so expected costs were likely overestimated in this scenario. Moreover, such attendances may be required for any mode of postoperative analgesia; whether use of a catheter nerve block impacts the proportion of patients requiring such a consultation is unknown.</w:t>
      </w:r>
    </w:p>
    <w:p w14:paraId="78230AEA" w14:textId="77777777" w:rsidR="005D5985" w:rsidRPr="00DA5E35" w:rsidRDefault="005D5985" w:rsidP="005D5985">
      <w:pPr>
        <w:rPr>
          <w:rFonts w:ascii="Franklin Gothic Book" w:hAnsi="Franklin Gothic Book"/>
        </w:rPr>
      </w:pPr>
      <w:r w:rsidRPr="00DA5E35">
        <w:rPr>
          <w:rFonts w:ascii="Franklin Gothic Book" w:hAnsi="Franklin Gothic Book"/>
        </w:rPr>
        <w:t xml:space="preserve">Moreover, should the proposed listing elicit a change in practice, the additional use of catheters and infusion pumps—in particular, an elastomeric infusion pump system, which has a unit cost of approximately $300/patient—and anaesthesia medication (e.g. local anaesthesia medication such as ropivacaine) resulting from these substitutions would pose additional costs to hospitals and/or patients. The overall net financial impact of any such shifts may be offset by cost savings through reductions in opioid consumption and hospital length of stay; however, clinical evidence on these outcomes was mixed. These costs were not accounted for in the financial analyses presented. </w:t>
      </w:r>
    </w:p>
    <w:p w14:paraId="7366A1AD" w14:textId="5C8867D1" w:rsidR="005D5985" w:rsidRPr="00306E38" w:rsidRDefault="005D5985" w:rsidP="005D5985">
      <w:pPr>
        <w:pStyle w:val="Heading2"/>
        <w:numPr>
          <w:ilvl w:val="0"/>
          <w:numId w:val="0"/>
        </w:numPr>
        <w:ind w:left="576" w:hanging="576"/>
      </w:pPr>
      <w:bookmarkStart w:id="62" w:name="_Toc150966062"/>
      <w:bookmarkStart w:id="63" w:name="_Toc153401638"/>
      <w:r w:rsidRPr="00306E38">
        <w:t>1</w:t>
      </w:r>
      <w:r w:rsidR="00EE61CE">
        <w:t>5</w:t>
      </w:r>
      <w:r w:rsidRPr="00306E38">
        <w:t>.</w:t>
      </w:r>
      <w:r w:rsidRPr="00306E38">
        <w:tab/>
        <w:t>Other relevant information</w:t>
      </w:r>
      <w:bookmarkEnd w:id="62"/>
      <w:bookmarkEnd w:id="63"/>
    </w:p>
    <w:p w14:paraId="7676A387" w14:textId="1BE891DA" w:rsidR="00A77206" w:rsidRDefault="005D5985" w:rsidP="00A77206">
      <w:pPr>
        <w:rPr>
          <w:rFonts w:ascii="Franklin Gothic Book" w:hAnsi="Franklin Gothic Book"/>
        </w:rPr>
      </w:pPr>
      <w:r w:rsidRPr="00DA5E35">
        <w:rPr>
          <w:rFonts w:ascii="Franklin Gothic Book" w:hAnsi="Franklin Gothic Book"/>
        </w:rPr>
        <w:t>Nil.</w:t>
      </w:r>
      <w:r w:rsidR="00A77206">
        <w:rPr>
          <w:rFonts w:ascii="Franklin Gothic Book" w:hAnsi="Franklin Gothic Book"/>
        </w:rPr>
        <w:br w:type="page"/>
      </w:r>
    </w:p>
    <w:p w14:paraId="3D2EA9B4" w14:textId="77777777" w:rsidR="00EE61CE" w:rsidRDefault="00EE61CE" w:rsidP="00EE61CE">
      <w:pPr>
        <w:pStyle w:val="Heading2"/>
        <w:numPr>
          <w:ilvl w:val="0"/>
          <w:numId w:val="0"/>
        </w:numPr>
      </w:pPr>
      <w:r>
        <w:lastRenderedPageBreak/>
        <w:t>16.</w:t>
      </w:r>
      <w:r>
        <w:tab/>
        <w:t>Key issues from ESC to MSAC</w:t>
      </w:r>
    </w:p>
    <w:p w14:paraId="19AB8D00" w14:textId="77777777" w:rsidR="00EE61CE" w:rsidRDefault="00EE61CE" w:rsidP="00EE61CE">
      <w:pPr>
        <w:pStyle w:val="BoxName0"/>
      </w:pPr>
      <w:r>
        <w:t>Main issues for MSAC consideration</w:t>
      </w:r>
    </w:p>
    <w:p w14:paraId="654D0BA5" w14:textId="77777777" w:rsidR="00EE61CE" w:rsidRDefault="00EE61CE" w:rsidP="00EE61CE">
      <w:pPr>
        <w:pStyle w:val="BoxHeading"/>
      </w:pPr>
      <w:r>
        <w:t>Clinical issues:</w:t>
      </w:r>
    </w:p>
    <w:p w14:paraId="57C4A031" w14:textId="77777777" w:rsidR="00EE61CE" w:rsidRDefault="00EE61CE" w:rsidP="00EE61CE">
      <w:pPr>
        <w:pStyle w:val="BoxBullet"/>
      </w:pPr>
      <w:r>
        <w:t>There were uncertainties about the extent of assumptions that can be made based on the exemplar case of knee surgery. As the proposed MBS item would apply to a variety of indications and surgeries in a broad patient population, it was uncertain whether the findings from the exemplar case can be generalised to all other indications. The proportion of continuous nerve blocks that would be knee surgeries was not estimated.</w:t>
      </w:r>
    </w:p>
    <w:p w14:paraId="2D425D2E" w14:textId="77777777" w:rsidR="00EE61CE" w:rsidRPr="0079457D" w:rsidRDefault="00EE61CE" w:rsidP="00EE61CE">
      <w:pPr>
        <w:pStyle w:val="BoxBullet"/>
        <w:rPr>
          <w:b/>
          <w:bCs/>
        </w:rPr>
      </w:pPr>
      <w:r>
        <w:t xml:space="preserve">There was limited evidence for the use of continuous nerve block across other indications. </w:t>
      </w:r>
    </w:p>
    <w:p w14:paraId="65FD7E55" w14:textId="77777777" w:rsidR="00EE61CE" w:rsidRDefault="00EE61CE" w:rsidP="00EE61CE">
      <w:pPr>
        <w:pStyle w:val="BoxBullet"/>
        <w:rPr>
          <w:b/>
          <w:bCs/>
        </w:rPr>
      </w:pPr>
      <w:r>
        <w:t>There was a lack of evidence showing patient-centred experiences and outcomes, quality of life, length of hospital stay, and value-based care aspects such as overall costs of the procedure and clinical benefits.</w:t>
      </w:r>
    </w:p>
    <w:p w14:paraId="48E46DCD" w14:textId="77777777" w:rsidR="00EE61CE" w:rsidRDefault="00EE61CE" w:rsidP="00EE61CE">
      <w:pPr>
        <w:pStyle w:val="BoxBullet"/>
        <w:rPr>
          <w:color w:val="000000" w:themeColor="text1"/>
        </w:rPr>
      </w:pPr>
      <w:r>
        <w:rPr>
          <w:color w:val="000000" w:themeColor="text1"/>
        </w:rPr>
        <w:t>T</w:t>
      </w:r>
      <w:r w:rsidRPr="003E34DA">
        <w:rPr>
          <w:color w:val="000000" w:themeColor="text1"/>
        </w:rPr>
        <w:t xml:space="preserve">he applicant </w:t>
      </w:r>
      <w:r>
        <w:rPr>
          <w:color w:val="000000" w:themeColor="text1"/>
        </w:rPr>
        <w:t>stated</w:t>
      </w:r>
      <w:r w:rsidRPr="003E34DA">
        <w:rPr>
          <w:color w:val="000000" w:themeColor="text1"/>
        </w:rPr>
        <w:t xml:space="preserve"> that usage of continuous nerve blocks is increasing and in many instances is becoming standard of care. </w:t>
      </w:r>
    </w:p>
    <w:p w14:paraId="7E553307" w14:textId="77777777" w:rsidR="00EE61CE" w:rsidRDefault="00EE61CE" w:rsidP="00EE61CE">
      <w:pPr>
        <w:pStyle w:val="BoxHeading"/>
      </w:pPr>
      <w:r>
        <w:t>Economic issues:</w:t>
      </w:r>
    </w:p>
    <w:p w14:paraId="2593806A" w14:textId="77777777" w:rsidR="00EE61CE" w:rsidRDefault="00EE61CE" w:rsidP="00EE61CE">
      <w:pPr>
        <w:pStyle w:val="BoxBullet"/>
      </w:pPr>
      <w:r>
        <w:t>The cost-effectiveness analysis addressed pain but not reduction in post-operative opioid use. There was a lack of economic evidence addressing opioid reduction as a goal of the intervention.</w:t>
      </w:r>
    </w:p>
    <w:p w14:paraId="26B23980" w14:textId="77777777" w:rsidR="00EE61CE" w:rsidRDefault="00EE61CE" w:rsidP="00EE61CE">
      <w:pPr>
        <w:pStyle w:val="BoxBullet"/>
      </w:pPr>
      <w:r>
        <w:t>There was uncertainty in the interpretation of ICERs expressed in terms of cost per unit of improvement in pain.</w:t>
      </w:r>
    </w:p>
    <w:p w14:paraId="1E54B8EC" w14:textId="77777777" w:rsidR="00EE61CE" w:rsidRDefault="00EE61CE" w:rsidP="00EE61CE">
      <w:pPr>
        <w:pStyle w:val="BoxBullet"/>
      </w:pPr>
      <w:r>
        <w:t>There was substantial uncertainty in the ICERs due to the lack of data. It may be helpful to present sensitivity analyses in terms of the impact on the ICER, not only on disaggregated costs and outcomes.</w:t>
      </w:r>
    </w:p>
    <w:p w14:paraId="3346EBE9" w14:textId="77777777" w:rsidR="00EE61CE" w:rsidRDefault="00EE61CE" w:rsidP="00EE61CE">
      <w:pPr>
        <w:pStyle w:val="BoxBullet"/>
      </w:pPr>
      <w:r>
        <w:t>There was a lack of economic evidence on surgical indications other than the exemplar case of knee surgery. There was uncertainty whether the exemplar case can be assumed to be typical, an upper bound, etc.</w:t>
      </w:r>
    </w:p>
    <w:p w14:paraId="42D509A2" w14:textId="77777777" w:rsidR="00EE61CE" w:rsidRPr="00773F02" w:rsidRDefault="00EE61CE" w:rsidP="00EE61CE">
      <w:pPr>
        <w:pStyle w:val="BoxBullet"/>
      </w:pPr>
      <w:r>
        <w:t xml:space="preserve">ESC considered that the economic evaluation was likely of limited value for decision-making on this application, however ESC considered it was unlikely to be able to be improved in the near future due to the limited data available. </w:t>
      </w:r>
    </w:p>
    <w:p w14:paraId="01DF6A57" w14:textId="77777777" w:rsidR="00EE61CE" w:rsidRPr="006B4E4A" w:rsidRDefault="00EE61CE" w:rsidP="00EE61CE">
      <w:pPr>
        <w:keepNext/>
        <w:spacing w:before="240"/>
        <w:outlineLvl w:val="1"/>
        <w:rPr>
          <w:rFonts w:ascii="Franklin Gothic Book" w:hAnsi="Franklin Gothic Book" w:cs="Arial"/>
          <w:b/>
          <w:bCs/>
          <w:iCs/>
          <w:sz w:val="24"/>
          <w:szCs w:val="28"/>
          <w:lang w:eastAsia="en-AU"/>
        </w:rPr>
      </w:pPr>
      <w:r w:rsidRPr="006B4E4A">
        <w:rPr>
          <w:rFonts w:ascii="Franklin Gothic Book" w:hAnsi="Franklin Gothic Book" w:cs="Arial"/>
          <w:b/>
          <w:bCs/>
          <w:iCs/>
          <w:sz w:val="24"/>
          <w:szCs w:val="28"/>
          <w:lang w:eastAsia="en-AU"/>
        </w:rPr>
        <w:t>ESC discussion</w:t>
      </w:r>
    </w:p>
    <w:p w14:paraId="72FF40F4" w14:textId="77777777" w:rsidR="00EE61CE" w:rsidRPr="00773F02" w:rsidRDefault="00EE61CE" w:rsidP="00EE61CE">
      <w:pPr>
        <w:rPr>
          <w:rFonts w:ascii="Franklin Gothic Book" w:hAnsi="Franklin Gothic Book"/>
        </w:rPr>
      </w:pPr>
      <w:r w:rsidRPr="00773F02">
        <w:rPr>
          <w:rFonts w:ascii="Franklin Gothic Book" w:hAnsi="Franklin Gothic Book"/>
        </w:rPr>
        <w:t>ESC noted that this application from the Australian Society of Anaesthetists request</w:t>
      </w:r>
      <w:r>
        <w:rPr>
          <w:rFonts w:ascii="Franklin Gothic Book" w:hAnsi="Franklin Gothic Book"/>
        </w:rPr>
        <w:t>ed</w:t>
      </w:r>
      <w:r w:rsidRPr="00773F02">
        <w:rPr>
          <w:rFonts w:ascii="Franklin Gothic Book" w:hAnsi="Franklin Gothic Book"/>
        </w:rPr>
        <w:t xml:space="preserve"> Medicare Benefits Schedule (MBS) listing of continuous peripheral nerve block for moderate to severe pain after limb or trunk surgery.</w:t>
      </w:r>
    </w:p>
    <w:p w14:paraId="456BB712" w14:textId="77777777" w:rsidR="00EE61CE" w:rsidRDefault="00EE61CE" w:rsidP="00EE61CE">
      <w:pPr>
        <w:rPr>
          <w:rFonts w:ascii="Franklin Gothic Book" w:hAnsi="Franklin Gothic Book"/>
        </w:rPr>
      </w:pPr>
      <w:r w:rsidRPr="00773F02">
        <w:rPr>
          <w:rFonts w:ascii="Franklin Gothic Book" w:hAnsi="Franklin Gothic Book"/>
        </w:rPr>
        <w:t>ESC noted that, in April 2017, MSAC had considered continuous catheter blockade of peripheral nerves for post-operative pain management (</w:t>
      </w:r>
      <w:hyperlink r:id="rId9" w:history="1">
        <w:r w:rsidRPr="00773F02">
          <w:rPr>
            <w:rStyle w:val="Hyperlink"/>
            <w:rFonts w:ascii="Franklin Gothic Book" w:hAnsi="Franklin Gothic Book"/>
          </w:rPr>
          <w:t>application 1308</w:t>
        </w:r>
      </w:hyperlink>
      <w:r w:rsidRPr="00773F02">
        <w:rPr>
          <w:rFonts w:ascii="Franklin Gothic Book" w:hAnsi="Franklin Gothic Book"/>
        </w:rPr>
        <w:t>: local anaesthetic nerve blockade for post-surgical analgesia) in the context of a broader application encompassing minor, major and continuous peripheral nerve block. MSAC did not support application 1308 due to concerns with the population/patient cohort, broadness of the nerve block indications, clinical evidence, out-of-pocket expenses and health care gain.</w:t>
      </w:r>
      <w:r>
        <w:rPr>
          <w:rFonts w:ascii="Franklin Gothic Book" w:hAnsi="Franklin Gothic Book"/>
        </w:rPr>
        <w:t xml:space="preserve"> ESC noted the</w:t>
      </w:r>
      <w:r w:rsidRPr="002F5956">
        <w:rPr>
          <w:rFonts w:ascii="Franklin Gothic Book" w:hAnsi="Franklin Gothic Book"/>
        </w:rPr>
        <w:t xml:space="preserve"> MBS Reviews Taskforce subsequently addressed the issues of plexus or nerve (minor and major) blocks via Recommendation 16 of the Anaesthesia Clinical Committee (ACC) Report</w:t>
      </w:r>
      <w:r>
        <w:rPr>
          <w:rFonts w:ascii="Franklin Gothic Book" w:hAnsi="Franklin Gothic Book"/>
        </w:rPr>
        <w:t>,</w:t>
      </w:r>
      <w:r w:rsidRPr="002F5956">
        <w:rPr>
          <w:rFonts w:ascii="Franklin Gothic Book" w:hAnsi="Franklin Gothic Book"/>
        </w:rPr>
        <w:t xml:space="preserve"> which saw the introduction of MBS item 22041</w:t>
      </w:r>
      <w:r>
        <w:rPr>
          <w:rFonts w:ascii="Franklin Gothic Book" w:hAnsi="Franklin Gothic Book"/>
        </w:rPr>
        <w:t xml:space="preserve"> for p</w:t>
      </w:r>
      <w:r w:rsidRPr="00072D3A">
        <w:rPr>
          <w:rFonts w:ascii="Franklin Gothic Book" w:hAnsi="Franklin Gothic Book"/>
        </w:rPr>
        <w:t>erioperative introduction of a plexus or nerve block proximal to the lower leg or forearm for post operative pain management</w:t>
      </w:r>
      <w:r>
        <w:rPr>
          <w:rFonts w:ascii="Franklin Gothic Book" w:hAnsi="Franklin Gothic Book"/>
        </w:rPr>
        <w:t xml:space="preserve"> </w:t>
      </w:r>
      <w:r w:rsidRPr="002F5956">
        <w:rPr>
          <w:rFonts w:ascii="Franklin Gothic Book" w:hAnsi="Franklin Gothic Book"/>
        </w:rPr>
        <w:t>on 1 November 2019</w:t>
      </w:r>
      <w:r>
        <w:rPr>
          <w:rFonts w:ascii="Franklin Gothic Book" w:hAnsi="Franklin Gothic Book"/>
        </w:rPr>
        <w:t>.</w:t>
      </w:r>
    </w:p>
    <w:p w14:paraId="505B03A2" w14:textId="77777777" w:rsidR="00EE61CE" w:rsidRDefault="00EE61CE" w:rsidP="00EE61CE">
      <w:pPr>
        <w:rPr>
          <w:rFonts w:ascii="Franklin Gothic Book" w:hAnsi="Franklin Gothic Book"/>
        </w:rPr>
      </w:pPr>
      <w:r w:rsidRPr="00773F02">
        <w:rPr>
          <w:rFonts w:ascii="Franklin Gothic Book" w:hAnsi="Franklin Gothic Book"/>
        </w:rPr>
        <w:lastRenderedPageBreak/>
        <w:t xml:space="preserve">ESC noted </w:t>
      </w:r>
      <w:r>
        <w:rPr>
          <w:rFonts w:ascii="Franklin Gothic Book" w:hAnsi="Franklin Gothic Book"/>
        </w:rPr>
        <w:t xml:space="preserve">nerve blockade has become more common in clinical practice since the original application and </w:t>
      </w:r>
      <w:r w:rsidRPr="00773F02">
        <w:rPr>
          <w:rFonts w:ascii="Franklin Gothic Book" w:hAnsi="Franklin Gothic Book"/>
        </w:rPr>
        <w:t xml:space="preserve">that continuous nerve block is approaching standard of care for several types of major joint surgery. In the absence of an MBS item for a continuous catheter, continuous nerve block </w:t>
      </w:r>
      <w:r>
        <w:rPr>
          <w:rFonts w:ascii="Franklin Gothic Book" w:hAnsi="Franklin Gothic Book"/>
        </w:rPr>
        <w:t>may be</w:t>
      </w:r>
      <w:r w:rsidRPr="00773F02">
        <w:rPr>
          <w:rFonts w:ascii="Franklin Gothic Book" w:hAnsi="Franklin Gothic Book"/>
        </w:rPr>
        <w:t xml:space="preserve"> being claimed under items for single-injection nerve block.</w:t>
      </w:r>
    </w:p>
    <w:p w14:paraId="4EA72C60" w14:textId="77777777" w:rsidR="00EE61CE" w:rsidRPr="00773F02" w:rsidRDefault="00EE61CE" w:rsidP="00EE61CE">
      <w:pPr>
        <w:rPr>
          <w:rFonts w:ascii="Franklin Gothic Book" w:hAnsi="Franklin Gothic Book"/>
        </w:rPr>
      </w:pPr>
      <w:r w:rsidRPr="00773F02">
        <w:rPr>
          <w:rFonts w:ascii="Franklin Gothic Book" w:hAnsi="Franklin Gothic Book"/>
        </w:rPr>
        <w:t xml:space="preserve">ESC noted that this treatment </w:t>
      </w:r>
      <w:r>
        <w:rPr>
          <w:rFonts w:ascii="Franklin Gothic Book" w:hAnsi="Franklin Gothic Book"/>
        </w:rPr>
        <w:t>wa</w:t>
      </w:r>
      <w:r w:rsidRPr="00773F02">
        <w:rPr>
          <w:rFonts w:ascii="Franklin Gothic Book" w:hAnsi="Franklin Gothic Book"/>
        </w:rPr>
        <w:t xml:space="preserve">s </w:t>
      </w:r>
      <w:r>
        <w:rPr>
          <w:rFonts w:ascii="Franklin Gothic Book" w:hAnsi="Franklin Gothic Book"/>
        </w:rPr>
        <w:t>proposed to be</w:t>
      </w:r>
      <w:r w:rsidRPr="00773F02">
        <w:rPr>
          <w:rFonts w:ascii="Franklin Gothic Book" w:hAnsi="Franklin Gothic Book"/>
        </w:rPr>
        <w:t xml:space="preserve"> used for post-operative pain arising from any surgery likely to cause moderate to severe pain lasting 12 hours or more, such as joint arthroplasty and significant soft tissue injuries, that cannot be covered with a single-injection nerve block. Treatment </w:t>
      </w:r>
      <w:r>
        <w:rPr>
          <w:rFonts w:ascii="Franklin Gothic Book" w:hAnsi="Franklin Gothic Book"/>
        </w:rPr>
        <w:t>would be</w:t>
      </w:r>
      <w:r w:rsidRPr="00773F02">
        <w:rPr>
          <w:rFonts w:ascii="Franklin Gothic Book" w:hAnsi="Franklin Gothic Book"/>
        </w:rPr>
        <w:t xml:space="preserve"> pre-emptively offered based on an expectation of moderate to severe post-operative pain (and not after pain has manifested). ESC noted that continuous peripheral nerve block may be suitable if systemic opioids are not recommended for reasons such as opioid sensitivity, tolerance or dependence; or if there are co-morbidities rendering parenteral opioid administration inappropriate, such as respiratory insufficiency, asthma, head injuries, myasthenia gravis, or chronic pain before joint surgery. </w:t>
      </w:r>
      <w:r>
        <w:rPr>
          <w:rFonts w:ascii="Franklin Gothic Book" w:hAnsi="Franklin Gothic Book"/>
        </w:rPr>
        <w:t>The use of c</w:t>
      </w:r>
      <w:r w:rsidRPr="00773F02">
        <w:rPr>
          <w:rFonts w:ascii="Franklin Gothic Book" w:hAnsi="Franklin Gothic Book"/>
        </w:rPr>
        <w:t>ontinuous nerve block could also reduce routine opioid prescribing in the management of post-operative pain.</w:t>
      </w:r>
    </w:p>
    <w:p w14:paraId="7E5E467F" w14:textId="77777777" w:rsidR="00EE61CE" w:rsidRPr="00773F02" w:rsidRDefault="00EE61CE" w:rsidP="00EE61CE">
      <w:pPr>
        <w:rPr>
          <w:rFonts w:ascii="Franklin Gothic Book" w:hAnsi="Franklin Gothic Book"/>
        </w:rPr>
      </w:pPr>
      <w:r w:rsidRPr="00771909">
        <w:rPr>
          <w:rFonts w:ascii="Franklin Gothic Book" w:hAnsi="Franklin Gothic Book"/>
        </w:rPr>
        <w:t xml:space="preserve">ESC noted and welcomed consultation input from 2 professional organisations, and 6 individuals, all of whom were medical specialists. </w:t>
      </w:r>
      <w:r w:rsidRPr="00773F02">
        <w:rPr>
          <w:rFonts w:ascii="Franklin Gothic Book" w:hAnsi="Franklin Gothic Book"/>
        </w:rPr>
        <w:t xml:space="preserve">ESC noted that consultation feedback, mostly from specialist medical practitioners, stated the benefits of continuous nerve block </w:t>
      </w:r>
      <w:r>
        <w:rPr>
          <w:rFonts w:ascii="Franklin Gothic Book" w:hAnsi="Franklin Gothic Book"/>
        </w:rPr>
        <w:t>were</w:t>
      </w:r>
      <w:r w:rsidRPr="00773F02">
        <w:rPr>
          <w:rFonts w:ascii="Franklin Gothic Book" w:hAnsi="Franklin Gothic Book"/>
        </w:rPr>
        <w:t xml:space="preserve"> the provision of constant analgesia, avoidance of opioids, enhanced recovery, reduced hospital stays and increased mobilisation. Feedback also noted the lack of evidence for safety and effectiveness of opioids. ESC noted feedback that the proposed fees were </w:t>
      </w:r>
      <w:r>
        <w:rPr>
          <w:rFonts w:ascii="Franklin Gothic Book" w:hAnsi="Franklin Gothic Book"/>
        </w:rPr>
        <w:t xml:space="preserve">not likely to reflect the cost to the patient. </w:t>
      </w:r>
    </w:p>
    <w:p w14:paraId="01C37E5C" w14:textId="77777777" w:rsidR="00EE61CE" w:rsidRPr="00773F02" w:rsidRDefault="00EE61CE" w:rsidP="00EE61CE">
      <w:pPr>
        <w:rPr>
          <w:rFonts w:ascii="Franklin Gothic Book" w:hAnsi="Franklin Gothic Book"/>
        </w:rPr>
      </w:pPr>
      <w:r w:rsidRPr="00773F02">
        <w:rPr>
          <w:rFonts w:ascii="Franklin Gothic Book" w:hAnsi="Franklin Gothic Book"/>
        </w:rPr>
        <w:t xml:space="preserve">ESC considered that </w:t>
      </w:r>
      <w:r>
        <w:rPr>
          <w:rFonts w:ascii="Franklin Gothic Book" w:hAnsi="Franklin Gothic Book"/>
        </w:rPr>
        <w:t xml:space="preserve">one of the main outcome measures was length of hospital stay. ESC considered that the length of a patient’s hospital stay is influenced by many factors apart from pain management. Other factors influencing length of hospital stay may include upper vs lower limb (as upper limb patients can mobilise earlier), age, practice of the individual surgeon, availability of physiotherapy and rehabilitation services, collaboration between the surgeon and physiotherapists, supports available at home and differing practices between public and private hospitals.  </w:t>
      </w:r>
    </w:p>
    <w:p w14:paraId="43D34B97" w14:textId="77777777" w:rsidR="00EE61CE" w:rsidRPr="00773F02" w:rsidRDefault="00EE61CE" w:rsidP="00EE61CE">
      <w:pPr>
        <w:rPr>
          <w:rFonts w:ascii="Franklin Gothic Book" w:hAnsi="Franklin Gothic Book"/>
        </w:rPr>
      </w:pPr>
      <w:r w:rsidRPr="00773F02">
        <w:rPr>
          <w:rFonts w:ascii="Franklin Gothic Book" w:hAnsi="Franklin Gothic Book"/>
        </w:rPr>
        <w:t xml:space="preserve">ESC noted the MBS item descriptor was for post-operative pain management of limb and trunk surgeries. ESC considered the wording of the item descriptor to be </w:t>
      </w:r>
      <w:r>
        <w:rPr>
          <w:rFonts w:ascii="Franklin Gothic Book" w:hAnsi="Franklin Gothic Book"/>
        </w:rPr>
        <w:t>reasonable</w:t>
      </w:r>
      <w:r w:rsidRPr="00773F02">
        <w:rPr>
          <w:rFonts w:ascii="Franklin Gothic Book" w:hAnsi="Franklin Gothic Book"/>
        </w:rPr>
        <w:t>. ESC noted that application 1308 included an 85% benefit for out-of-hospital use, as do the item descriptors for MBS item 22031 (intrathecal or epidural injection with or without a catheter for an initial injection) and MBS item 22036 (intrathecal or epidural injection using an in</w:t>
      </w:r>
      <w:r>
        <w:rPr>
          <w:rFonts w:ascii="Franklin Gothic Book" w:hAnsi="Franklin Gothic Book"/>
        </w:rPr>
        <w:t>-</w:t>
      </w:r>
      <w:r w:rsidRPr="00773F02">
        <w:rPr>
          <w:rFonts w:ascii="Franklin Gothic Book" w:hAnsi="Franklin Gothic Book"/>
        </w:rPr>
        <w:t xml:space="preserve">situ catheter for a subsequent injection). ESC considered that </w:t>
      </w:r>
      <w:r>
        <w:rPr>
          <w:rFonts w:ascii="Franklin Gothic Book" w:hAnsi="Franklin Gothic Book"/>
        </w:rPr>
        <w:t>a 75% benefit was more appropriate</w:t>
      </w:r>
      <w:r w:rsidRPr="00773F02">
        <w:rPr>
          <w:rFonts w:ascii="Franklin Gothic Book" w:hAnsi="Franklin Gothic Book"/>
        </w:rPr>
        <w:t>, based on the proposed use as a surgical item</w:t>
      </w:r>
      <w:r>
        <w:rPr>
          <w:rFonts w:ascii="Franklin Gothic Book" w:hAnsi="Franklin Gothic Book"/>
        </w:rPr>
        <w:t xml:space="preserve"> and that 85% would not be appropriate</w:t>
      </w:r>
      <w:r w:rsidRPr="00773F02">
        <w:rPr>
          <w:rFonts w:ascii="Franklin Gothic Book" w:hAnsi="Franklin Gothic Book"/>
        </w:rPr>
        <w:t>.</w:t>
      </w:r>
    </w:p>
    <w:p w14:paraId="1C07B43B" w14:textId="77777777" w:rsidR="00EE61CE" w:rsidRPr="00773F02" w:rsidRDefault="00EE61CE" w:rsidP="00EE61CE">
      <w:pPr>
        <w:rPr>
          <w:rFonts w:ascii="Franklin Gothic Book" w:hAnsi="Franklin Gothic Book"/>
        </w:rPr>
      </w:pPr>
      <w:r w:rsidRPr="00773F02">
        <w:rPr>
          <w:rFonts w:ascii="Franklin Gothic Book" w:hAnsi="Franklin Gothic Book"/>
        </w:rPr>
        <w:t>ESC noted the proposed addition to the treatment algorithm. Considerations for continuous nerve block include pain that is amendable to nerve block; settings where epidural anaesthesia would be inappropriate, contraindicated or ineffective due to anatomical considerations; in patients where simple parenteral opiate regimens are unsuitable (such as people who are very young, older, cognitively or physically disabled, opiate sensitive or dependent, or with co-morbidities); and in elective procedures with short planned post-operative stay. Although the procedure would be restricted to administration in an in-patient hospital setting, the applicant noted that a general practitioner (GP) anaesthetist may also undertake this procedure.</w:t>
      </w:r>
    </w:p>
    <w:p w14:paraId="6E99F3C7" w14:textId="77777777" w:rsidR="00EE61CE" w:rsidRPr="00773F02" w:rsidRDefault="00EE61CE" w:rsidP="00EE61CE">
      <w:pPr>
        <w:rPr>
          <w:rFonts w:ascii="Franklin Gothic Book" w:hAnsi="Franklin Gothic Book"/>
        </w:rPr>
      </w:pPr>
      <w:r w:rsidRPr="00773F02">
        <w:rPr>
          <w:rFonts w:ascii="Franklin Gothic Book" w:hAnsi="Franklin Gothic Book"/>
        </w:rPr>
        <w:t xml:space="preserve">ESC noted that the clinical trial data </w:t>
      </w:r>
      <w:r>
        <w:rPr>
          <w:rFonts w:ascii="Franklin Gothic Book" w:hAnsi="Franklin Gothic Book"/>
        </w:rPr>
        <w:t xml:space="preserve">supporting this application </w:t>
      </w:r>
      <w:r w:rsidRPr="00773F02">
        <w:rPr>
          <w:rFonts w:ascii="Franklin Gothic Book" w:hAnsi="Franklin Gothic Book"/>
        </w:rPr>
        <w:t>consisted of 21 studies, including 9 randomised controlled trials (RCTs) on knee surgery, 3 RCTs on trauma surgery and 9 systemic reviews of secondary indications. ESC noted that the department-contracted assessment report (DCAR) used an exemplar case of orthopaedic knee surgery as the basis for the clinical and economic evaluations</w:t>
      </w:r>
      <w:r>
        <w:rPr>
          <w:rFonts w:ascii="Franklin Gothic Book" w:hAnsi="Franklin Gothic Book"/>
        </w:rPr>
        <w:t>.</w:t>
      </w:r>
      <w:r w:rsidRPr="00773F02">
        <w:rPr>
          <w:rFonts w:ascii="Franklin Gothic Book" w:hAnsi="Franklin Gothic Book"/>
        </w:rPr>
        <w:t xml:space="preserve"> </w:t>
      </w:r>
      <w:r>
        <w:rPr>
          <w:rFonts w:ascii="Franklin Gothic Book" w:hAnsi="Franklin Gothic Book"/>
        </w:rPr>
        <w:t>The decision to use an exemplar case was</w:t>
      </w:r>
      <w:r w:rsidRPr="00773F02">
        <w:rPr>
          <w:rFonts w:ascii="Franklin Gothic Book" w:hAnsi="Franklin Gothic Book"/>
        </w:rPr>
        <w:t xml:space="preserve"> due to the broad range of indications within the overall eligible population</w:t>
      </w:r>
      <w:r>
        <w:rPr>
          <w:rFonts w:ascii="Franklin Gothic Book" w:hAnsi="Franklin Gothic Book"/>
        </w:rPr>
        <w:t>.</w:t>
      </w:r>
      <w:r w:rsidRPr="00773F02">
        <w:rPr>
          <w:rFonts w:ascii="Franklin Gothic Book" w:hAnsi="Franklin Gothic Book"/>
        </w:rPr>
        <w:t xml:space="preserve"> Knee surgery was chosen because it provided the strongest amount of evidence that aligned with the PICO criteria.</w:t>
      </w:r>
    </w:p>
    <w:p w14:paraId="232A09EA" w14:textId="77777777" w:rsidR="00EE61CE" w:rsidRPr="00773F02" w:rsidRDefault="00EE61CE" w:rsidP="00EE61CE">
      <w:pPr>
        <w:rPr>
          <w:rFonts w:ascii="Franklin Gothic Book" w:hAnsi="Franklin Gothic Book"/>
        </w:rPr>
      </w:pPr>
      <w:r w:rsidRPr="00773F02">
        <w:rPr>
          <w:rFonts w:ascii="Franklin Gothic Book" w:hAnsi="Franklin Gothic Book"/>
        </w:rPr>
        <w:lastRenderedPageBreak/>
        <w:t xml:space="preserve">ESC considered that there were uncertainties about the assumptions that could be made about the position of the exemplar case in the variety of surgeries to which this item would apply. ESC questioned whether the exemplar case was typical in its cost-effectiveness, or whether it might </w:t>
      </w:r>
      <w:r>
        <w:rPr>
          <w:rFonts w:ascii="Franklin Gothic Book" w:hAnsi="Franklin Gothic Book"/>
        </w:rPr>
        <w:t>represent</w:t>
      </w:r>
      <w:r w:rsidRPr="00773F02">
        <w:rPr>
          <w:rFonts w:ascii="Franklin Gothic Book" w:hAnsi="Franklin Gothic Book"/>
        </w:rPr>
        <w:t xml:space="preserve"> an upper or lower bound.</w:t>
      </w:r>
      <w:r w:rsidRPr="00773F02">
        <w:rPr>
          <w:rStyle w:val="Strong"/>
          <w:rFonts w:ascii="Franklin Gothic Book" w:hAnsi="Franklin Gothic Book"/>
          <w:b w:val="0"/>
          <w:bCs w:val="0"/>
        </w:rPr>
        <w:t xml:space="preserve"> ESC considered that </w:t>
      </w:r>
      <w:r>
        <w:rPr>
          <w:rStyle w:val="Strong"/>
          <w:rFonts w:ascii="Franklin Gothic Book" w:hAnsi="Franklin Gothic Book"/>
          <w:b w:val="0"/>
          <w:bCs w:val="0"/>
        </w:rPr>
        <w:t>along with pain management</w:t>
      </w:r>
      <w:r w:rsidRPr="00773F02">
        <w:rPr>
          <w:rStyle w:val="Strong"/>
          <w:rFonts w:ascii="Franklin Gothic Book" w:hAnsi="Franklin Gothic Book"/>
          <w:b w:val="0"/>
          <w:bCs w:val="0"/>
        </w:rPr>
        <w:t xml:space="preserve"> </w:t>
      </w:r>
      <w:r>
        <w:rPr>
          <w:rStyle w:val="Strong"/>
          <w:rFonts w:ascii="Franklin Gothic Book" w:hAnsi="Franklin Gothic Book"/>
          <w:b w:val="0"/>
          <w:bCs w:val="0"/>
        </w:rPr>
        <w:t>there are many other variables that influence patient outcomes</w:t>
      </w:r>
      <w:r w:rsidRPr="00773F02">
        <w:rPr>
          <w:rStyle w:val="Strong"/>
          <w:rFonts w:ascii="Franklin Gothic Book" w:hAnsi="Franklin Gothic Book"/>
          <w:b w:val="0"/>
          <w:bCs w:val="0"/>
        </w:rPr>
        <w:t xml:space="preserve"> for total knee replacement</w:t>
      </w:r>
      <w:r>
        <w:rPr>
          <w:rStyle w:val="Strong"/>
          <w:rFonts w:ascii="Franklin Gothic Book" w:hAnsi="Franklin Gothic Book"/>
          <w:b w:val="0"/>
          <w:bCs w:val="0"/>
        </w:rPr>
        <w:t xml:space="preserve">, making it </w:t>
      </w:r>
      <w:r w:rsidRPr="00773F02">
        <w:rPr>
          <w:rStyle w:val="Strong"/>
          <w:rFonts w:ascii="Franklin Gothic Book" w:hAnsi="Franklin Gothic Book"/>
          <w:b w:val="0"/>
          <w:bCs w:val="0"/>
        </w:rPr>
        <w:t xml:space="preserve">uncertain whether the findings from the exemplar case can be </w:t>
      </w:r>
      <w:r>
        <w:rPr>
          <w:rStyle w:val="Strong"/>
          <w:rFonts w:ascii="Franklin Gothic Book" w:hAnsi="Franklin Gothic Book"/>
          <w:b w:val="0"/>
          <w:bCs w:val="0"/>
        </w:rPr>
        <w:t xml:space="preserve">reasonably generalised </w:t>
      </w:r>
      <w:r w:rsidRPr="00773F02">
        <w:rPr>
          <w:rStyle w:val="Strong"/>
          <w:rFonts w:ascii="Franklin Gothic Book" w:hAnsi="Franklin Gothic Book"/>
          <w:b w:val="0"/>
          <w:bCs w:val="0"/>
        </w:rPr>
        <w:t>to other indications.</w:t>
      </w:r>
      <w:r>
        <w:rPr>
          <w:rStyle w:val="Strong"/>
          <w:rFonts w:ascii="Franklin Gothic Book" w:hAnsi="Franklin Gothic Book"/>
          <w:b w:val="0"/>
          <w:bCs w:val="0"/>
        </w:rPr>
        <w:t xml:space="preserve"> ESC considered that if the applicant could provide information on the estimated proportion of continuous nerve blocks that would be knee surgeries, this would help MSAC to consider the generalisability of the exemplar.</w:t>
      </w:r>
    </w:p>
    <w:p w14:paraId="1ECB09C9" w14:textId="77777777" w:rsidR="00EE61CE" w:rsidRPr="00773F02" w:rsidRDefault="00EE61CE" w:rsidP="00EE61CE">
      <w:pPr>
        <w:rPr>
          <w:rFonts w:ascii="Franklin Gothic Book" w:hAnsi="Franklin Gothic Book"/>
        </w:rPr>
      </w:pPr>
      <w:r w:rsidRPr="00773F02">
        <w:rPr>
          <w:rFonts w:ascii="Franklin Gothic Book" w:hAnsi="Franklin Gothic Book"/>
        </w:rPr>
        <w:t xml:space="preserve">ESC </w:t>
      </w:r>
      <w:r>
        <w:rPr>
          <w:rFonts w:ascii="Franklin Gothic Book" w:hAnsi="Franklin Gothic Book"/>
        </w:rPr>
        <w:t>considered</w:t>
      </w:r>
      <w:r w:rsidRPr="00773F02">
        <w:rPr>
          <w:rFonts w:ascii="Franklin Gothic Book" w:hAnsi="Franklin Gothic Book"/>
        </w:rPr>
        <w:t xml:space="preserve"> that it was challenging to provide overall conclusions on the appropriateness of </w:t>
      </w:r>
      <w:r>
        <w:rPr>
          <w:rFonts w:ascii="Franklin Gothic Book" w:hAnsi="Franklin Gothic Book"/>
        </w:rPr>
        <w:t>continuous nerve block</w:t>
      </w:r>
      <w:r w:rsidRPr="00773F02">
        <w:rPr>
          <w:rFonts w:ascii="Franklin Gothic Book" w:hAnsi="Franklin Gothic Book"/>
        </w:rPr>
        <w:t xml:space="preserve"> due to the broad nature of the patient population and types of nerve block that would be eligible (that is, any limb or trunk surgery associated with moderate to severe post-operative pain), particularly when evidence for supplementary indications conflicted with the exemplar case. ESC noted that, to present evidence for the broadest range of indications, published systematic review evidence was presented for the supplementary indications. While efforts were made to select reviews that explicitly met the PICO criteria, some had applicability concerns relating to the interventions, comparators and/or supplementary or concomitant analgesia. For these reasons, the exemplar case presented the most directly applicable evidence to Australian practice, albeit for a subgroup of the overall eligible population. The application positioned continuous nerve block primarily as an alternative to single-injection nerve block for limb and trunk surgeries; however, evidence from the exemplar indication in relation to one of the secondary comparators (neuraxial nerve block) was insufficient to draw meaningful conclusions.</w:t>
      </w:r>
    </w:p>
    <w:p w14:paraId="6E432B33" w14:textId="77777777" w:rsidR="00EE61CE" w:rsidRPr="00773F02" w:rsidRDefault="00EE61CE" w:rsidP="00EE61CE">
      <w:pPr>
        <w:rPr>
          <w:rFonts w:ascii="Franklin Gothic Book" w:hAnsi="Franklin Gothic Book"/>
        </w:rPr>
      </w:pPr>
      <w:r w:rsidRPr="00773F02">
        <w:rPr>
          <w:rFonts w:ascii="Franklin Gothic Book" w:hAnsi="Franklin Gothic Book"/>
        </w:rPr>
        <w:t xml:space="preserve">Regarding comparative safety, ESC noted that, for the exemplar case, there was no evidence </w:t>
      </w:r>
      <w:r>
        <w:rPr>
          <w:rFonts w:ascii="Franklin Gothic Book" w:hAnsi="Franklin Gothic Book"/>
        </w:rPr>
        <w:t xml:space="preserve">available </w:t>
      </w:r>
      <w:r w:rsidRPr="00773F02">
        <w:rPr>
          <w:rFonts w:ascii="Franklin Gothic Book" w:hAnsi="Franklin Gothic Book"/>
        </w:rPr>
        <w:t>for mortality, local anaesthesia toxicit</w:t>
      </w:r>
      <w:r>
        <w:rPr>
          <w:rFonts w:ascii="Franklin Gothic Book" w:hAnsi="Franklin Gothic Book"/>
        </w:rPr>
        <w:t>y</w:t>
      </w:r>
      <w:r w:rsidRPr="00773F02">
        <w:rPr>
          <w:rFonts w:ascii="Franklin Gothic Book" w:hAnsi="Franklin Gothic Book"/>
        </w:rPr>
        <w:t xml:space="preserve"> or block-related complications for continuous nerve block. Compared with single-injection nerve block</w:t>
      </w:r>
      <w:r>
        <w:rPr>
          <w:rFonts w:ascii="Franklin Gothic Book" w:hAnsi="Franklin Gothic Book"/>
        </w:rPr>
        <w:t xml:space="preserve"> (the primary comparator)</w:t>
      </w:r>
      <w:r w:rsidRPr="00773F02">
        <w:rPr>
          <w:rFonts w:ascii="Franklin Gothic Book" w:hAnsi="Franklin Gothic Book"/>
        </w:rPr>
        <w:t xml:space="preserve">, two RCTs reported nausea and vomiting, </w:t>
      </w:r>
      <w:r>
        <w:rPr>
          <w:rFonts w:ascii="Franklin Gothic Book" w:hAnsi="Franklin Gothic Book"/>
        </w:rPr>
        <w:t>and</w:t>
      </w:r>
      <w:r w:rsidRPr="00773F02">
        <w:rPr>
          <w:rFonts w:ascii="Franklin Gothic Book" w:hAnsi="Franklin Gothic Book"/>
        </w:rPr>
        <w:t xml:space="preserve"> there was no statistically significant difference between the two methods. Compared with systemic opioids, three RCTs reported nausea and vomiting at 48 and 72 hours, with a statistically significant difference favouring continuous nerve block. Compared with neuraxial nerve block, one RCT reported nausea and vomiting, </w:t>
      </w:r>
      <w:r>
        <w:rPr>
          <w:rFonts w:ascii="Franklin Gothic Book" w:hAnsi="Franklin Gothic Book"/>
        </w:rPr>
        <w:t xml:space="preserve">and </w:t>
      </w:r>
      <w:r w:rsidRPr="00773F02">
        <w:rPr>
          <w:rFonts w:ascii="Franklin Gothic Book" w:hAnsi="Franklin Gothic Book"/>
        </w:rPr>
        <w:t>there was no statistically significant difference between the two methods.</w:t>
      </w:r>
      <w:r>
        <w:rPr>
          <w:rFonts w:ascii="Franklin Gothic Book" w:hAnsi="Franklin Gothic Book"/>
        </w:rPr>
        <w:t xml:space="preserve"> Overall, ESC considered the applicant’s claim of non-inferior safety was likely reasonable.</w:t>
      </w:r>
    </w:p>
    <w:p w14:paraId="21DD32CC" w14:textId="77777777" w:rsidR="00EE61CE" w:rsidRPr="00773F02" w:rsidRDefault="00EE61CE" w:rsidP="00EE61CE">
      <w:pPr>
        <w:rPr>
          <w:rFonts w:ascii="Franklin Gothic Book" w:hAnsi="Franklin Gothic Book"/>
        </w:rPr>
      </w:pPr>
      <w:r w:rsidRPr="31C7E969">
        <w:rPr>
          <w:rFonts w:ascii="Franklin Gothic Book" w:hAnsi="Franklin Gothic Book"/>
        </w:rPr>
        <w:t>For comparative effectiveness, ESC noted the claims from the applicant that in comparison to the available alternatives a continuous nerve block allows reduced length of stay in hospital; earlier mobilisation and faster recovery time; decreased rates of opioid use and prescribing, and therefore, the potential for reduced opioid dependence; better post-operative pain control (especially reduction of rebound pain), better ongoing analgesia, and prevention of development of chronic pain due to better post-operative pain management; and less pressure on hospital resources. ESC recalled that, in its review of application 1308 at its April 2017 meeting, MSAC had expressed concern that data on the length of hospital stay, recovery time, post-surgical chronic pain and quality of life were very limited or not presented. Patient-centred outcomes were also lacking. MSAC had considered that, if available, these data may have enabled a cost-utility analysis to assist decision-making. ESC noted that these outcomes were also missing from the RCTs included in this application but considered that trial data on reduced length of hospital stay were unlikely to become available. Additionally, ESC noted that in its experience, patients who have had surgery performed on their lower limbs may have longer hospital stays than patients who have had surgery involving their upper limbs, due to decreased mobilisation</w:t>
      </w:r>
      <w:r>
        <w:rPr>
          <w:rFonts w:ascii="Franklin Gothic Book" w:hAnsi="Franklin Gothic Book"/>
        </w:rPr>
        <w:t>.</w:t>
      </w:r>
      <w:r w:rsidRPr="31C7E969">
        <w:rPr>
          <w:rFonts w:ascii="Franklin Gothic Book" w:hAnsi="Franklin Gothic Book"/>
        </w:rPr>
        <w:t xml:space="preserve"> ESC therefore considered this raised uncertainty around the applicability of the effectiveness evidence for the exemplar. </w:t>
      </w:r>
    </w:p>
    <w:p w14:paraId="3DF28BE9" w14:textId="77777777" w:rsidR="00EE61CE" w:rsidRPr="00773F02" w:rsidRDefault="00EE61CE" w:rsidP="00EE61CE">
      <w:pPr>
        <w:rPr>
          <w:rFonts w:ascii="Franklin Gothic Book" w:hAnsi="Franklin Gothic Book"/>
        </w:rPr>
      </w:pPr>
      <w:r w:rsidRPr="00773F02">
        <w:rPr>
          <w:rFonts w:ascii="Franklin Gothic Book" w:hAnsi="Franklin Gothic Book"/>
        </w:rPr>
        <w:t>ESC noted that</w:t>
      </w:r>
      <w:r w:rsidRPr="00C43C28">
        <w:rPr>
          <w:rFonts w:ascii="Franklin Gothic Book" w:hAnsi="Franklin Gothic Book"/>
        </w:rPr>
        <w:t xml:space="preserve"> </w:t>
      </w:r>
      <w:r w:rsidRPr="00773F02">
        <w:rPr>
          <w:rFonts w:ascii="Franklin Gothic Book" w:hAnsi="Franklin Gothic Book"/>
        </w:rPr>
        <w:t>for the exemplar case, compared with single-injection nerve block</w:t>
      </w:r>
      <w:r>
        <w:rPr>
          <w:rFonts w:ascii="Franklin Gothic Book" w:hAnsi="Franklin Gothic Book"/>
        </w:rPr>
        <w:t xml:space="preserve"> (the primary comparator)</w:t>
      </w:r>
      <w:r w:rsidRPr="00773F02">
        <w:rPr>
          <w:rFonts w:ascii="Franklin Gothic Book" w:hAnsi="Franklin Gothic Book"/>
        </w:rPr>
        <w:t xml:space="preserve">, three RCTs reported statistically significant differences for patient-reported post-operative pain scores at 48 hours in favour of continuous nerve block. There were no significant </w:t>
      </w:r>
      <w:r w:rsidRPr="00773F02">
        <w:rPr>
          <w:rFonts w:ascii="Franklin Gothic Book" w:hAnsi="Franklin Gothic Book"/>
        </w:rPr>
        <w:lastRenderedPageBreak/>
        <w:t>differences between 48 and 72 hours</w:t>
      </w:r>
      <w:r>
        <w:rPr>
          <w:rFonts w:ascii="Franklin Gothic Book" w:hAnsi="Franklin Gothic Book"/>
        </w:rPr>
        <w:t xml:space="preserve"> post-operatively</w:t>
      </w:r>
      <w:r w:rsidRPr="00773F02">
        <w:rPr>
          <w:rFonts w:ascii="Franklin Gothic Book" w:hAnsi="Franklin Gothic Book"/>
        </w:rPr>
        <w:t xml:space="preserve">. Compared with systemic opioids, one RCT reported statistically significant differences for opioid consumption for breakthrough pain at 72 hours </w:t>
      </w:r>
      <w:r>
        <w:rPr>
          <w:rFonts w:ascii="Franklin Gothic Book" w:hAnsi="Franklin Gothic Book"/>
        </w:rPr>
        <w:t>post-operatively</w:t>
      </w:r>
      <w:r w:rsidRPr="00773F02">
        <w:rPr>
          <w:rFonts w:ascii="Franklin Gothic Book" w:hAnsi="Franklin Gothic Book"/>
        </w:rPr>
        <w:t xml:space="preserve"> in favour of continuous nerve block, one RCT reported a significantly lower incidence of chronic post-operative pain at 3 and 6 months </w:t>
      </w:r>
      <w:r>
        <w:rPr>
          <w:rFonts w:ascii="Franklin Gothic Book" w:hAnsi="Franklin Gothic Book"/>
        </w:rPr>
        <w:t>post-operatively</w:t>
      </w:r>
      <w:r w:rsidRPr="00773F02">
        <w:rPr>
          <w:rFonts w:ascii="Franklin Gothic Book" w:hAnsi="Franklin Gothic Book"/>
        </w:rPr>
        <w:t xml:space="preserve"> in favour of continuous nerve block, and two RCTs reported a statistically significant difference for block reattempt or failure at 48–72 hours </w:t>
      </w:r>
      <w:r>
        <w:rPr>
          <w:rFonts w:ascii="Franklin Gothic Book" w:hAnsi="Franklin Gothic Book"/>
        </w:rPr>
        <w:t>post-operatively</w:t>
      </w:r>
      <w:r w:rsidRPr="00773F02">
        <w:rPr>
          <w:rFonts w:ascii="Franklin Gothic Book" w:hAnsi="Franklin Gothic Book"/>
        </w:rPr>
        <w:t xml:space="preserve"> in favour of systemic opioids. There were no differences in patient-reported post-operative pain scores, patient satisfaction, supplementary analgesia or hospital length of stay. Compared with neuraxial block, two RCTs reported statistically significant differences in the use of rescue analgesia at 48–72 hours </w:t>
      </w:r>
      <w:r>
        <w:rPr>
          <w:rFonts w:ascii="Franklin Gothic Book" w:hAnsi="Franklin Gothic Book"/>
        </w:rPr>
        <w:t>post-operatively</w:t>
      </w:r>
      <w:r w:rsidRPr="00773F02">
        <w:rPr>
          <w:rFonts w:ascii="Franklin Gothic Book" w:hAnsi="Franklin Gothic Book"/>
        </w:rPr>
        <w:t xml:space="preserve"> in favour of continuous nerve block, one RCT reported opioid consumption for breakthrough pain at 48 hours </w:t>
      </w:r>
      <w:r>
        <w:rPr>
          <w:rFonts w:ascii="Franklin Gothic Book" w:hAnsi="Franklin Gothic Book"/>
        </w:rPr>
        <w:t xml:space="preserve">post-operatively </w:t>
      </w:r>
      <w:r w:rsidRPr="00773F02">
        <w:rPr>
          <w:rFonts w:ascii="Franklin Gothic Book" w:hAnsi="Franklin Gothic Book"/>
        </w:rPr>
        <w:t>in favour of continuous nerve block, and one RCT reported statistically significant patient satisfaction in favour of continuous nerve block.</w:t>
      </w:r>
      <w:r>
        <w:rPr>
          <w:rFonts w:ascii="Franklin Gothic Book" w:hAnsi="Franklin Gothic Book"/>
        </w:rPr>
        <w:t xml:space="preserve"> ESC considered the effectiveness evidence was inconsistent in direction between the different comparators.</w:t>
      </w:r>
    </w:p>
    <w:p w14:paraId="1CEE2E48" w14:textId="77777777" w:rsidR="00EE61CE" w:rsidRPr="00773F02" w:rsidRDefault="00EE61CE" w:rsidP="00EE61CE">
      <w:pPr>
        <w:pStyle w:val="NormalBeforeBullet0"/>
      </w:pPr>
      <w:r w:rsidRPr="00773F02">
        <w:t xml:space="preserve">Overall, ESC </w:t>
      </w:r>
      <w:r>
        <w:t>considered</w:t>
      </w:r>
      <w:r w:rsidRPr="00773F02">
        <w:t xml:space="preserve"> that, for patients undergoing knee surgery for moderate to severe post-operative pain expected to last 12 hours or longer, the </w:t>
      </w:r>
      <w:r>
        <w:t xml:space="preserve">effectiveness </w:t>
      </w:r>
      <w:r w:rsidRPr="00773F02">
        <w:t>evidence suggest</w:t>
      </w:r>
      <w:r>
        <w:t>ed</w:t>
      </w:r>
      <w:r w:rsidRPr="00773F02">
        <w:t xml:space="preserve"> that continuous peripheral nerve block ha</w:t>
      </w:r>
      <w:r>
        <w:t>d</w:t>
      </w:r>
      <w:r w:rsidRPr="00773F02">
        <w:t>:</w:t>
      </w:r>
    </w:p>
    <w:p w14:paraId="78724251" w14:textId="77777777" w:rsidR="00EE61CE" w:rsidRPr="00773F02" w:rsidRDefault="00EE61CE" w:rsidP="00EE61CE">
      <w:pPr>
        <w:pStyle w:val="Bullet"/>
        <w:numPr>
          <w:ilvl w:val="0"/>
          <w:numId w:val="33"/>
        </w:numPr>
        <w:spacing w:before="0"/>
        <w:rPr>
          <w:rFonts w:ascii="Franklin Gothic Book" w:hAnsi="Franklin Gothic Book"/>
        </w:rPr>
      </w:pPr>
      <w:r w:rsidRPr="00773F02">
        <w:rPr>
          <w:rFonts w:ascii="Franklin Gothic Book" w:hAnsi="Franklin Gothic Book"/>
        </w:rPr>
        <w:t>superior effectiveness (based on uncertain evidence) and non-inferior safety compared to single-injection nerve block</w:t>
      </w:r>
    </w:p>
    <w:p w14:paraId="5267062D" w14:textId="77777777" w:rsidR="00EE61CE" w:rsidRPr="00773F02" w:rsidRDefault="00EE61CE" w:rsidP="00EE61CE">
      <w:pPr>
        <w:pStyle w:val="BulletLast"/>
        <w:numPr>
          <w:ilvl w:val="0"/>
          <w:numId w:val="33"/>
        </w:numPr>
      </w:pPr>
      <w:r w:rsidRPr="00773F02">
        <w:t>superior effectiveness (based on uncertain evidence) and non-inferior safety compared to systemic opioids.</w:t>
      </w:r>
    </w:p>
    <w:p w14:paraId="5564C3CA" w14:textId="77777777" w:rsidR="00EE61CE" w:rsidRPr="00773F02" w:rsidRDefault="00EE61CE" w:rsidP="00EE61CE">
      <w:pPr>
        <w:rPr>
          <w:rFonts w:ascii="Franklin Gothic Book" w:hAnsi="Franklin Gothic Book"/>
        </w:rPr>
      </w:pPr>
      <w:r>
        <w:rPr>
          <w:rFonts w:ascii="Franklin Gothic Book" w:hAnsi="Franklin Gothic Book"/>
        </w:rPr>
        <w:t>ESC considered t</w:t>
      </w:r>
      <w:r w:rsidRPr="00773F02">
        <w:rPr>
          <w:rFonts w:ascii="Franklin Gothic Book" w:hAnsi="Franklin Gothic Book"/>
        </w:rPr>
        <w:t>here was insufficient evidence to draw conclusions on the relative effectiveness of continuous peripheral nerve block compared to neuraxial nerve block.</w:t>
      </w:r>
    </w:p>
    <w:p w14:paraId="15B7F540" w14:textId="77777777" w:rsidR="00EE61CE" w:rsidRPr="00773F02" w:rsidRDefault="00EE61CE" w:rsidP="00EE61CE">
      <w:pPr>
        <w:rPr>
          <w:rFonts w:ascii="Franklin Gothic Book" w:hAnsi="Franklin Gothic Book"/>
        </w:rPr>
      </w:pPr>
      <w:r w:rsidRPr="00773F02">
        <w:rPr>
          <w:rFonts w:ascii="Franklin Gothic Book" w:hAnsi="Franklin Gothic Book"/>
        </w:rPr>
        <w:t xml:space="preserve">ESC noted that given the reported current wide utilisation of continuous nerve blocks for post-operative pain management, significant implementation issues were not anticipated for use in hospital in-patients. </w:t>
      </w:r>
      <w:r>
        <w:rPr>
          <w:rFonts w:ascii="Franklin Gothic Book" w:hAnsi="Franklin Gothic Book"/>
        </w:rPr>
        <w:t>ESC noted t</w:t>
      </w:r>
      <w:r w:rsidRPr="00773F02">
        <w:rPr>
          <w:rFonts w:ascii="Franklin Gothic Book" w:hAnsi="Franklin Gothic Book"/>
        </w:rPr>
        <w:t>here are no guidelines for ambulatory patients, so use in these patients is the responsibility of hospitals, where quality programs already exist.</w:t>
      </w:r>
      <w:r w:rsidRPr="00773F02" w:rsidDel="00A42632">
        <w:rPr>
          <w:rFonts w:ascii="Franklin Gothic Book" w:hAnsi="Franklin Gothic Book"/>
        </w:rPr>
        <w:t xml:space="preserve"> </w:t>
      </w:r>
    </w:p>
    <w:p w14:paraId="4D485C0F" w14:textId="77777777" w:rsidR="00EE61CE" w:rsidRPr="00773F02" w:rsidRDefault="00EE61CE" w:rsidP="00EE61CE">
      <w:pPr>
        <w:rPr>
          <w:rFonts w:ascii="Franklin Gothic Book" w:hAnsi="Franklin Gothic Book"/>
        </w:rPr>
      </w:pPr>
      <w:r w:rsidRPr="00773F02">
        <w:rPr>
          <w:rFonts w:ascii="Franklin Gothic Book" w:hAnsi="Franklin Gothic Book"/>
        </w:rPr>
        <w:t xml:space="preserve">ESC noted that the economic evaluation was a cost-effectiveness analysis (CEA) using a </w:t>
      </w:r>
      <w:r>
        <w:rPr>
          <w:rFonts w:ascii="Franklin Gothic Book" w:hAnsi="Franklin Gothic Book"/>
        </w:rPr>
        <w:t xml:space="preserve">simple </w:t>
      </w:r>
      <w:r w:rsidRPr="00773F02">
        <w:rPr>
          <w:rFonts w:ascii="Franklin Gothic Book" w:hAnsi="Franklin Gothic Book"/>
        </w:rPr>
        <w:t>decision tree structure and a time horizon of 5 days</w:t>
      </w:r>
      <w:r>
        <w:rPr>
          <w:rFonts w:ascii="Franklin Gothic Book" w:hAnsi="Franklin Gothic Book"/>
        </w:rPr>
        <w:t>, against the primary comparator of single nerve block</w:t>
      </w:r>
      <w:r w:rsidRPr="00773F02">
        <w:rPr>
          <w:rFonts w:ascii="Franklin Gothic Book" w:hAnsi="Franklin Gothic Book"/>
        </w:rPr>
        <w:t>. The outcome was improvement in post-operative pain</w:t>
      </w:r>
      <w:r>
        <w:rPr>
          <w:rFonts w:ascii="Franklin Gothic Book" w:hAnsi="Franklin Gothic Book"/>
        </w:rPr>
        <w:t>, as</w:t>
      </w:r>
      <w:r w:rsidRPr="00773F02">
        <w:rPr>
          <w:rFonts w:ascii="Franklin Gothic Book" w:hAnsi="Franklin Gothic Book"/>
        </w:rPr>
        <w:t xml:space="preserve"> measured on a 10-point</w:t>
      </w:r>
      <w:r>
        <w:rPr>
          <w:rFonts w:ascii="Franklin Gothic Book" w:hAnsi="Franklin Gothic Book"/>
        </w:rPr>
        <w:t xml:space="preserve"> visual analogue</w:t>
      </w:r>
      <w:r w:rsidRPr="00773F02">
        <w:rPr>
          <w:rFonts w:ascii="Franklin Gothic Book" w:hAnsi="Franklin Gothic Book"/>
        </w:rPr>
        <w:t xml:space="preserve"> scale. ESC noted that the PICO stated that a cost-utility analysis would be appropriate, but</w:t>
      </w:r>
      <w:r>
        <w:rPr>
          <w:rFonts w:ascii="Franklin Gothic Book" w:hAnsi="Franklin Gothic Book"/>
        </w:rPr>
        <w:t xml:space="preserve"> agreed with</w:t>
      </w:r>
      <w:r w:rsidRPr="00773F02">
        <w:rPr>
          <w:rFonts w:ascii="Franklin Gothic Book" w:hAnsi="Franklin Gothic Book"/>
        </w:rPr>
        <w:t xml:space="preserve"> the DCAR that this was infeasible due to the </w:t>
      </w:r>
      <w:r>
        <w:rPr>
          <w:rFonts w:ascii="Franklin Gothic Book" w:hAnsi="Franklin Gothic Book"/>
        </w:rPr>
        <w:t xml:space="preserve">lack of </w:t>
      </w:r>
      <w:r w:rsidRPr="00773F02">
        <w:rPr>
          <w:rFonts w:ascii="Franklin Gothic Book" w:hAnsi="Franklin Gothic Book"/>
        </w:rPr>
        <w:t>available evidence and short time horizon.</w:t>
      </w:r>
    </w:p>
    <w:p w14:paraId="6C00940C" w14:textId="77777777" w:rsidR="00EE61CE" w:rsidRPr="00773F02" w:rsidRDefault="00EE61CE" w:rsidP="00EE61CE">
      <w:pPr>
        <w:rPr>
          <w:rFonts w:ascii="Franklin Gothic Book" w:hAnsi="Franklin Gothic Book"/>
        </w:rPr>
      </w:pPr>
      <w:r w:rsidRPr="00773F02">
        <w:rPr>
          <w:rFonts w:ascii="Franklin Gothic Book" w:hAnsi="Franklin Gothic Book"/>
        </w:rPr>
        <w:t>ESC considered that the pain scale</w:t>
      </w:r>
      <w:r>
        <w:rPr>
          <w:rFonts w:ascii="Franklin Gothic Book" w:hAnsi="Franklin Gothic Book"/>
        </w:rPr>
        <w:t xml:space="preserve"> outcome</w:t>
      </w:r>
      <w:r w:rsidRPr="00773F02">
        <w:rPr>
          <w:rFonts w:ascii="Franklin Gothic Book" w:hAnsi="Franklin Gothic Book"/>
        </w:rPr>
        <w:t xml:space="preserve"> may not fully capture the clinical need</w:t>
      </w:r>
      <w:r>
        <w:rPr>
          <w:rFonts w:ascii="Franklin Gothic Book" w:hAnsi="Franklin Gothic Book"/>
        </w:rPr>
        <w:t>, nor outcomes such as mobilisation and early discharge from hospital</w:t>
      </w:r>
      <w:r w:rsidRPr="00773F02">
        <w:rPr>
          <w:rFonts w:ascii="Franklin Gothic Book" w:hAnsi="Franklin Gothic Book"/>
        </w:rPr>
        <w:t xml:space="preserve">. ESC noted that there were two elements described in the clinical need: the medical necessity of managing post-operative pain and the need to reduce routine opioid prescriptions. ESC considered that the CEA only addressed the first element. Differences in rescue analgesia captured opioids as a cost item but not as an outcome or benefit (that is, it did not capture the impact on opioid consumption except as a cost). </w:t>
      </w:r>
      <w:r>
        <w:rPr>
          <w:rFonts w:ascii="Franklin Gothic Book" w:hAnsi="Franklin Gothic Book"/>
        </w:rPr>
        <w:t xml:space="preserve">ESC also considered it was unclear how rescue analgesia related to risk of opioid dependency. The parameter included in the evaluation was any or no rescue analgesia, but ESC questioned whether the total consumption of opioids in the postoperative period might better reflect the risk of dependency. </w:t>
      </w:r>
      <w:r w:rsidRPr="00773F02">
        <w:rPr>
          <w:rFonts w:ascii="Franklin Gothic Book" w:hAnsi="Franklin Gothic Book"/>
        </w:rPr>
        <w:t>ESC considered that there was a mismatch between the rationale for the intervention and the economic evidence but acknowledged that this was</w:t>
      </w:r>
      <w:r>
        <w:rPr>
          <w:rFonts w:ascii="Franklin Gothic Book" w:hAnsi="Franklin Gothic Book"/>
        </w:rPr>
        <w:t xml:space="preserve"> probably</w:t>
      </w:r>
      <w:r w:rsidRPr="00773F02">
        <w:rPr>
          <w:rFonts w:ascii="Franklin Gothic Book" w:hAnsi="Franklin Gothic Book"/>
        </w:rPr>
        <w:t xml:space="preserve"> unavoidable given the limitations of the data.</w:t>
      </w:r>
    </w:p>
    <w:p w14:paraId="6D3C8013" w14:textId="77777777" w:rsidR="00EE61CE" w:rsidRPr="00773F02" w:rsidRDefault="00EE61CE" w:rsidP="00EE61CE">
      <w:pPr>
        <w:rPr>
          <w:rFonts w:ascii="Franklin Gothic Book" w:hAnsi="Franklin Gothic Book"/>
        </w:rPr>
      </w:pPr>
      <w:r w:rsidRPr="00773F02">
        <w:rPr>
          <w:rFonts w:ascii="Franklin Gothic Book" w:hAnsi="Franklin Gothic Book"/>
        </w:rPr>
        <w:t xml:space="preserve">ESC noted the </w:t>
      </w:r>
      <w:r>
        <w:rPr>
          <w:rFonts w:ascii="Franklin Gothic Book" w:hAnsi="Franklin Gothic Book"/>
        </w:rPr>
        <w:t xml:space="preserve">DCAR reported the ICER </w:t>
      </w:r>
      <w:r w:rsidRPr="00773F02">
        <w:rPr>
          <w:rFonts w:ascii="Franklin Gothic Book" w:hAnsi="Franklin Gothic Book"/>
        </w:rPr>
        <w:t>was $114.35</w:t>
      </w:r>
      <w:r w:rsidRPr="0089057C">
        <w:rPr>
          <w:rFonts w:ascii="Franklin Gothic Book" w:hAnsi="Franklin Gothic Book"/>
        </w:rPr>
        <w:t xml:space="preserve"> </w:t>
      </w:r>
      <w:r w:rsidRPr="00773F02">
        <w:rPr>
          <w:rFonts w:ascii="Franklin Gothic Book" w:hAnsi="Franklin Gothic Book"/>
        </w:rPr>
        <w:t xml:space="preserve">per unit of pain improvement </w:t>
      </w:r>
      <w:r>
        <w:rPr>
          <w:rFonts w:ascii="Franklin Gothic Book" w:hAnsi="Franklin Gothic Book"/>
        </w:rPr>
        <w:t>on a 10-point visual analogue scale</w:t>
      </w:r>
      <w:r w:rsidRPr="00773F02">
        <w:rPr>
          <w:rFonts w:ascii="Franklin Gothic Book" w:hAnsi="Franklin Gothic Book"/>
        </w:rPr>
        <w:t xml:space="preserve">, and that the mean difference in pain in the base case was –1.35. However, ESC considered that a considerable limitation of the economic evaluation was that it was difficult to </w:t>
      </w:r>
      <w:r>
        <w:rPr>
          <w:rFonts w:ascii="Franklin Gothic Book" w:hAnsi="Franklin Gothic Book"/>
        </w:rPr>
        <w:t>contextualise</w:t>
      </w:r>
      <w:r w:rsidRPr="00773F02">
        <w:rPr>
          <w:rFonts w:ascii="Franklin Gothic Book" w:hAnsi="Franklin Gothic Book"/>
        </w:rPr>
        <w:t xml:space="preserve"> the value of a one-unit improvement in pain. ESC noted that a study </w:t>
      </w:r>
      <w:r w:rsidRPr="00773F02">
        <w:rPr>
          <w:rFonts w:ascii="Franklin Gothic Book" w:hAnsi="Franklin Gothic Book"/>
        </w:rPr>
        <w:lastRenderedPageBreak/>
        <w:t>by Laigaard et al. (2021)</w:t>
      </w:r>
      <w:r>
        <w:rPr>
          <w:rStyle w:val="FootnoteReference"/>
          <w:rFonts w:ascii="Franklin Gothic Book" w:hAnsi="Franklin Gothic Book"/>
        </w:rPr>
        <w:footnoteReference w:id="23"/>
      </w:r>
      <w:r w:rsidRPr="00773F02">
        <w:rPr>
          <w:rFonts w:ascii="Franklin Gothic Book" w:hAnsi="Franklin Gothic Book"/>
        </w:rPr>
        <w:t xml:space="preserve"> reported a minimal clinically important difference in pain of 15 mm and considered that this may be equivalent to a change in pain score of 1.5 units</w:t>
      </w:r>
      <w:r>
        <w:rPr>
          <w:rFonts w:ascii="Franklin Gothic Book" w:hAnsi="Franklin Gothic Book"/>
        </w:rPr>
        <w:t xml:space="preserve"> on a 10-point scale, although it did not capture quality of life</w:t>
      </w:r>
      <w:r w:rsidRPr="00773F02">
        <w:rPr>
          <w:rFonts w:ascii="Franklin Gothic Book" w:hAnsi="Franklin Gothic Book"/>
        </w:rPr>
        <w:t xml:space="preserve">. ESC noted that </w:t>
      </w:r>
      <w:r>
        <w:rPr>
          <w:rFonts w:ascii="Franklin Gothic Book" w:hAnsi="Franklin Gothic Book"/>
        </w:rPr>
        <w:t xml:space="preserve">the DCAR stated that </w:t>
      </w:r>
      <w:r w:rsidRPr="00773F02">
        <w:rPr>
          <w:rFonts w:ascii="Franklin Gothic Book" w:hAnsi="Franklin Gothic Book"/>
        </w:rPr>
        <w:t>it was not possible to incorporate other relevant outcomes into the model, such as health-related quality of life, rate of chronic pain and risk of opioid dependency.</w:t>
      </w:r>
    </w:p>
    <w:p w14:paraId="450A5283" w14:textId="77777777" w:rsidR="00EE61CE" w:rsidRPr="00773F02" w:rsidRDefault="00EE61CE" w:rsidP="00EE61CE">
      <w:pPr>
        <w:rPr>
          <w:rFonts w:ascii="Franklin Gothic Book" w:hAnsi="Franklin Gothic Book"/>
        </w:rPr>
      </w:pPr>
      <w:r w:rsidRPr="00773F02">
        <w:rPr>
          <w:rFonts w:ascii="Franklin Gothic Book" w:hAnsi="Franklin Gothic Book"/>
        </w:rPr>
        <w:t>ESC noted that the key drivers of the model were effectiveness payoff (post-operative pain), relative duration of hospital stay, relative out-of-pocket costs for the nerve block procedure, and whether the continuous nerve block was performed in inpatient or ambulatory setting.</w:t>
      </w:r>
      <w:r>
        <w:rPr>
          <w:rFonts w:ascii="Franklin Gothic Book" w:hAnsi="Franklin Gothic Book"/>
        </w:rPr>
        <w:t xml:space="preserve"> ESC considered that the extent of impact was described relative to the base case, and so it was hard to gauge whether an impact was meaningful given the uncertainty around the value of a one-unit improvement in pain in the first place. </w:t>
      </w:r>
      <w:r w:rsidRPr="00773F02">
        <w:rPr>
          <w:rFonts w:ascii="Franklin Gothic Book" w:hAnsi="Franklin Gothic Book"/>
        </w:rPr>
        <w:t xml:space="preserve">ESC noted the pre-ESC response that ultrasound costs should not be included, </w:t>
      </w:r>
      <w:r>
        <w:rPr>
          <w:rFonts w:ascii="Franklin Gothic Book" w:hAnsi="Franklin Gothic Book"/>
        </w:rPr>
        <w:t>however</w:t>
      </w:r>
      <w:r w:rsidRPr="00773F02">
        <w:rPr>
          <w:rFonts w:ascii="Franklin Gothic Book" w:hAnsi="Franklin Gothic Book"/>
        </w:rPr>
        <w:t xml:space="preserve"> ESC considered that, because the perspective is that of the healthcare system, hospital costs </w:t>
      </w:r>
      <w:r>
        <w:rPr>
          <w:rFonts w:ascii="Franklin Gothic Book" w:hAnsi="Franklin Gothic Book"/>
        </w:rPr>
        <w:t>including ultrasound costs</w:t>
      </w:r>
      <w:r w:rsidRPr="00773F02">
        <w:rPr>
          <w:rFonts w:ascii="Franklin Gothic Book" w:hAnsi="Franklin Gothic Book"/>
        </w:rPr>
        <w:t xml:space="preserve"> were relevant.</w:t>
      </w:r>
    </w:p>
    <w:p w14:paraId="380C3DF0" w14:textId="77777777" w:rsidR="00EE61CE" w:rsidRDefault="00EE61CE" w:rsidP="00EE61CE">
      <w:pPr>
        <w:rPr>
          <w:rFonts w:ascii="Franklin Gothic Book" w:hAnsi="Franklin Gothic Book"/>
        </w:rPr>
      </w:pPr>
      <w:r w:rsidRPr="00773F02">
        <w:rPr>
          <w:rFonts w:ascii="Franklin Gothic Book" w:hAnsi="Franklin Gothic Book"/>
        </w:rPr>
        <w:t xml:space="preserve">ESC </w:t>
      </w:r>
      <w:r>
        <w:rPr>
          <w:rFonts w:ascii="Franklin Gothic Book" w:hAnsi="Franklin Gothic Book"/>
        </w:rPr>
        <w:t>considered</w:t>
      </w:r>
      <w:r w:rsidRPr="00773F02">
        <w:rPr>
          <w:rFonts w:ascii="Franklin Gothic Book" w:hAnsi="Franklin Gothic Book"/>
        </w:rPr>
        <w:t xml:space="preserve"> there was a high degree of uncertainty in the input data for hospital length of stay (not reported for the exemplar case), which had a large impact on incremental cost. Additionally, rehospitalisation due to pain was proposed in the PICO but was not captured in the model (as it was not reported for the exemplar case).</w:t>
      </w:r>
    </w:p>
    <w:p w14:paraId="48B0EB91" w14:textId="77777777" w:rsidR="00EE61CE" w:rsidRPr="00773F02" w:rsidRDefault="00EE61CE" w:rsidP="00EE61CE">
      <w:pPr>
        <w:rPr>
          <w:rFonts w:ascii="Franklin Gothic Book" w:hAnsi="Franklin Gothic Book"/>
        </w:rPr>
      </w:pPr>
      <w:r>
        <w:rPr>
          <w:rFonts w:ascii="Franklin Gothic Book" w:hAnsi="Franklin Gothic Book"/>
        </w:rPr>
        <w:t xml:space="preserve">ESC considered that the economic evaluation was likely of limited value for decision-making on this application, however ESC also considered it was unlikely to be able to be improved in the near future due to the limited data available. </w:t>
      </w:r>
    </w:p>
    <w:p w14:paraId="4649E92D" w14:textId="77777777" w:rsidR="00EE61CE" w:rsidRPr="00773F02" w:rsidRDefault="00EE61CE" w:rsidP="00EE61CE">
      <w:pPr>
        <w:rPr>
          <w:rFonts w:ascii="Franklin Gothic Book" w:hAnsi="Franklin Gothic Book"/>
        </w:rPr>
      </w:pPr>
      <w:r w:rsidRPr="00773F02">
        <w:rPr>
          <w:rFonts w:ascii="Franklin Gothic Book" w:hAnsi="Franklin Gothic Book"/>
        </w:rPr>
        <w:t>Regarding out-of-pocket costs, ESC noted that there was a gap of $206.88 between the estimated cost for the service ($315.88) and the proposed MBS fee ($109.00). Adding 25% of the MBS fee increased the gap to $234.13. ESC noted that there were no data on out-of-pocket costs for the comparator, so the base case assumed they were equal to the costs for the intervention. For MBS item 22031, in the private setting in 2021–22, 98% of services had out-of-pocket costs, typically $204. No out-of-pocket cost data were available for MBS item 22041</w:t>
      </w:r>
      <w:r>
        <w:rPr>
          <w:rFonts w:ascii="Franklin Gothic Book" w:hAnsi="Franklin Gothic Book"/>
        </w:rPr>
        <w:t xml:space="preserve"> so there was no evidence of incremental difference between the intervention and comparator costs for this element</w:t>
      </w:r>
      <w:r w:rsidRPr="00773F02">
        <w:rPr>
          <w:rFonts w:ascii="Franklin Gothic Book" w:hAnsi="Franklin Gothic Book"/>
        </w:rPr>
        <w:t xml:space="preserve">. </w:t>
      </w:r>
    </w:p>
    <w:p w14:paraId="1C833279" w14:textId="77777777" w:rsidR="00EE61CE" w:rsidRPr="00773F02" w:rsidRDefault="00EE61CE" w:rsidP="00EE61CE">
      <w:pPr>
        <w:rPr>
          <w:rFonts w:ascii="Franklin Gothic Book" w:hAnsi="Franklin Gothic Book"/>
        </w:rPr>
      </w:pPr>
      <w:r w:rsidRPr="00773F02">
        <w:rPr>
          <w:rFonts w:ascii="Franklin Gothic Book" w:hAnsi="Franklin Gothic Book"/>
        </w:rPr>
        <w:t>ESC noted that the proposed fee corresponded to a value of 5 basic units as per the relative value guide for anaesthesia</w:t>
      </w:r>
      <w:r>
        <w:rPr>
          <w:rFonts w:ascii="Franklin Gothic Book" w:hAnsi="Franklin Gothic Book"/>
        </w:rPr>
        <w:t>, and that this was</w:t>
      </w:r>
      <w:r w:rsidRPr="00773F02">
        <w:rPr>
          <w:rFonts w:ascii="Franklin Gothic Book" w:hAnsi="Franklin Gothic Book"/>
        </w:rPr>
        <w:t xml:space="preserve"> the same level of complexity as for MBS item 22031. ESC considered that this was appropriate for the proposed item, and that it would be performed by clinicians with a variety of experience. Continuous nerve block can be done pre-operatively by the </w:t>
      </w:r>
      <w:r>
        <w:rPr>
          <w:rFonts w:ascii="Franklin Gothic Book" w:hAnsi="Franklin Gothic Book"/>
        </w:rPr>
        <w:t xml:space="preserve">anaesthetists who will be involved in the peri-operative care of patients. Typically </w:t>
      </w:r>
      <w:r w:rsidRPr="00773F02">
        <w:rPr>
          <w:rFonts w:ascii="Franklin Gothic Book" w:hAnsi="Franklin Gothic Book"/>
        </w:rPr>
        <w:t>for less experienced clinicians</w:t>
      </w:r>
      <w:r>
        <w:rPr>
          <w:rFonts w:ascii="Franklin Gothic Book" w:hAnsi="Franklin Gothic Book"/>
        </w:rPr>
        <w:t xml:space="preserve"> the continuous nerve block may</w:t>
      </w:r>
      <w:r w:rsidRPr="00773F02">
        <w:rPr>
          <w:rFonts w:ascii="Franklin Gothic Book" w:hAnsi="Franklin Gothic Book"/>
        </w:rPr>
        <w:t xml:space="preserve"> take </w:t>
      </w:r>
      <w:r>
        <w:rPr>
          <w:rFonts w:ascii="Franklin Gothic Book" w:hAnsi="Franklin Gothic Book"/>
        </w:rPr>
        <w:t>40-60</w:t>
      </w:r>
      <w:r w:rsidRPr="00773F02">
        <w:rPr>
          <w:rFonts w:ascii="Franklin Gothic Book" w:hAnsi="Franklin Gothic Book"/>
        </w:rPr>
        <w:t> minutes</w:t>
      </w:r>
      <w:r>
        <w:rPr>
          <w:rFonts w:ascii="Franklin Gothic Book" w:hAnsi="Franklin Gothic Book"/>
        </w:rPr>
        <w:t xml:space="preserve"> to perform</w:t>
      </w:r>
      <w:r w:rsidRPr="00773F02">
        <w:rPr>
          <w:rFonts w:ascii="Franklin Gothic Book" w:hAnsi="Franklin Gothic Book"/>
        </w:rPr>
        <w:t xml:space="preserve">, while for experienced clinicians, it </w:t>
      </w:r>
      <w:r>
        <w:rPr>
          <w:rFonts w:ascii="Franklin Gothic Book" w:hAnsi="Franklin Gothic Book"/>
        </w:rPr>
        <w:t>may</w:t>
      </w:r>
      <w:r w:rsidRPr="00773F02">
        <w:rPr>
          <w:rFonts w:ascii="Franklin Gothic Book" w:hAnsi="Franklin Gothic Book"/>
        </w:rPr>
        <w:t xml:space="preserve"> take 5–10 minutes.</w:t>
      </w:r>
    </w:p>
    <w:p w14:paraId="70341E9A" w14:textId="77777777" w:rsidR="00EE61CE" w:rsidRPr="00773F02" w:rsidRDefault="00EE61CE" w:rsidP="00EE61CE">
      <w:pPr>
        <w:rPr>
          <w:rFonts w:ascii="Franklin Gothic Book" w:hAnsi="Franklin Gothic Book"/>
        </w:rPr>
      </w:pPr>
      <w:r w:rsidRPr="00773F02">
        <w:rPr>
          <w:rFonts w:ascii="Franklin Gothic Book" w:hAnsi="Franklin Gothic Book"/>
        </w:rPr>
        <w:t xml:space="preserve">ESC noted the pre-ESC response </w:t>
      </w:r>
      <w:r>
        <w:rPr>
          <w:rFonts w:ascii="Franklin Gothic Book" w:hAnsi="Franklin Gothic Book"/>
        </w:rPr>
        <w:t>stated</w:t>
      </w:r>
      <w:r w:rsidRPr="00773F02">
        <w:rPr>
          <w:rFonts w:ascii="Franklin Gothic Book" w:hAnsi="Franklin Gothic Book"/>
        </w:rPr>
        <w:t xml:space="preserve"> that costs would be offset by shorter hospital stays and reductions in opioid use. However, as noted, length of stay was not reported in the RCTs for the exemplar case (this was partially addressed in the sensitivity analysis, using a 95% confidence interval for length of stay). The applicant’s pre-ESC response also asked that the committee consider </w:t>
      </w:r>
      <w:r>
        <w:rPr>
          <w:rFonts w:ascii="Franklin Gothic Book" w:hAnsi="Franklin Gothic Book"/>
        </w:rPr>
        <w:t>that reduced length of stay may enable more patients to be treated, therefore increasing</w:t>
      </w:r>
      <w:r w:rsidRPr="00773F02">
        <w:rPr>
          <w:rFonts w:ascii="Franklin Gothic Book" w:hAnsi="Franklin Gothic Book"/>
        </w:rPr>
        <w:t xml:space="preserve"> the</w:t>
      </w:r>
      <w:r>
        <w:rPr>
          <w:rFonts w:ascii="Franklin Gothic Book" w:hAnsi="Franklin Gothic Book"/>
        </w:rPr>
        <w:t xml:space="preserve"> hospital’s</w:t>
      </w:r>
      <w:r w:rsidRPr="00773F02">
        <w:rPr>
          <w:rFonts w:ascii="Franklin Gothic Book" w:hAnsi="Franklin Gothic Book"/>
        </w:rPr>
        <w:t xml:space="preserve"> capacity to conduct additional episodes of care</w:t>
      </w:r>
      <w:r>
        <w:rPr>
          <w:rFonts w:ascii="Franklin Gothic Book" w:hAnsi="Franklin Gothic Book"/>
        </w:rPr>
        <w:t>. However,</w:t>
      </w:r>
      <w:r w:rsidRPr="00773F02">
        <w:rPr>
          <w:rFonts w:ascii="Franklin Gothic Book" w:hAnsi="Franklin Gothic Book"/>
        </w:rPr>
        <w:t xml:space="preserve"> ESC considered that this was </w:t>
      </w:r>
      <w:r>
        <w:rPr>
          <w:rFonts w:ascii="Franklin Gothic Book" w:hAnsi="Franklin Gothic Book"/>
        </w:rPr>
        <w:t>appropriately omitted from</w:t>
      </w:r>
      <w:r w:rsidRPr="00773F02">
        <w:rPr>
          <w:rFonts w:ascii="Franklin Gothic Book" w:hAnsi="Franklin Gothic Book"/>
        </w:rPr>
        <w:t xml:space="preserve"> th</w:t>
      </w:r>
      <w:r>
        <w:rPr>
          <w:rFonts w:ascii="Franklin Gothic Book" w:hAnsi="Franklin Gothic Book"/>
        </w:rPr>
        <w:t>e base-case analysis as hospital capacity is not directly related to the resources or health outcomes for the patient population. ESC noted the MSAC Guidelines</w:t>
      </w:r>
      <w:r>
        <w:rPr>
          <w:rStyle w:val="FootnoteReference"/>
          <w:rFonts w:ascii="Franklin Gothic Book" w:hAnsi="Franklin Gothic Book"/>
        </w:rPr>
        <w:footnoteReference w:id="24"/>
      </w:r>
      <w:r>
        <w:rPr>
          <w:rFonts w:ascii="Franklin Gothic Book" w:hAnsi="Franklin Gothic Book"/>
        </w:rPr>
        <w:t xml:space="preserve"> state that discussion of ‘organisational aspects’ (consequences that flow </w:t>
      </w:r>
      <w:r>
        <w:rPr>
          <w:rFonts w:ascii="Franklin Gothic Book" w:hAnsi="Franklin Gothic Book"/>
        </w:rPr>
        <w:lastRenderedPageBreak/>
        <w:t>from implementation in the organisation of the healthcare system) may be included in assessments under ‘other relevant considerations’</w:t>
      </w:r>
      <w:r w:rsidRPr="00773F02">
        <w:rPr>
          <w:rFonts w:ascii="Franklin Gothic Book" w:hAnsi="Franklin Gothic Book"/>
        </w:rPr>
        <w:t xml:space="preserve">. </w:t>
      </w:r>
    </w:p>
    <w:p w14:paraId="1A86E133" w14:textId="77777777" w:rsidR="00EE61CE" w:rsidRPr="00773F02" w:rsidRDefault="00EE61CE" w:rsidP="00EE61CE">
      <w:pPr>
        <w:rPr>
          <w:rStyle w:val="Strong"/>
          <w:rFonts w:ascii="Franklin Gothic Book" w:hAnsi="Franklin Gothic Book"/>
          <w:b w:val="0"/>
          <w:bCs w:val="0"/>
        </w:rPr>
      </w:pPr>
      <w:r w:rsidRPr="00773F02">
        <w:rPr>
          <w:rStyle w:val="Strong"/>
          <w:rFonts w:ascii="Franklin Gothic Book" w:hAnsi="Franklin Gothic Book"/>
          <w:b w:val="0"/>
          <w:bCs w:val="0"/>
        </w:rPr>
        <w:t xml:space="preserve">ESC noted that the net financial impact to the MBS was estimated to be $1.98 million in year 1 increasing to $2.53 million in year 6. ESC noted that the financial impacts assumed substitution </w:t>
      </w:r>
      <w:r>
        <w:rPr>
          <w:rStyle w:val="Strong"/>
          <w:rFonts w:ascii="Franklin Gothic Book" w:hAnsi="Franklin Gothic Book"/>
          <w:b w:val="0"/>
          <w:bCs w:val="0"/>
        </w:rPr>
        <w:t>of</w:t>
      </w:r>
      <w:r w:rsidRPr="00773F02">
        <w:rPr>
          <w:rStyle w:val="Strong"/>
          <w:rFonts w:ascii="Franklin Gothic Book" w:hAnsi="Franklin Gothic Book"/>
          <w:b w:val="0"/>
          <w:bCs w:val="0"/>
        </w:rPr>
        <w:t xml:space="preserve"> MBS item 22041 (but not for MBS items 22031 or 22036). ESC considered that it was uncertain whether this would be a true shift or change in claiming. </w:t>
      </w:r>
      <w:r>
        <w:rPr>
          <w:rStyle w:val="Strong"/>
          <w:rFonts w:ascii="Franklin Gothic Book" w:hAnsi="Franklin Gothic Book"/>
          <w:b w:val="0"/>
          <w:bCs w:val="0"/>
        </w:rPr>
        <w:t xml:space="preserve">ESC noted </w:t>
      </w:r>
      <w:r w:rsidRPr="00773F02">
        <w:rPr>
          <w:rStyle w:val="Strong"/>
          <w:rFonts w:ascii="Franklin Gothic Book" w:hAnsi="Franklin Gothic Book"/>
          <w:b w:val="0"/>
          <w:bCs w:val="0"/>
        </w:rPr>
        <w:t>PASC</w:t>
      </w:r>
      <w:r>
        <w:rPr>
          <w:rStyle w:val="Strong"/>
          <w:rFonts w:ascii="Franklin Gothic Book" w:hAnsi="Franklin Gothic Book"/>
          <w:b w:val="0"/>
          <w:bCs w:val="0"/>
        </w:rPr>
        <w:t xml:space="preserve"> had</w:t>
      </w:r>
      <w:r w:rsidRPr="00773F02">
        <w:rPr>
          <w:rStyle w:val="Strong"/>
          <w:rFonts w:ascii="Franklin Gothic Book" w:hAnsi="Franklin Gothic Book"/>
          <w:b w:val="0"/>
          <w:bCs w:val="0"/>
        </w:rPr>
        <w:t xml:space="preserve"> advised that 10% would be a true substitution, while there was 22% catheter use in the Australian and New Zealand Registry of Regional Anaesthesia. ESC also noted that the financial impacts assumed a 5% annual growth in the number of peripheral nerve blocks.</w:t>
      </w:r>
    </w:p>
    <w:p w14:paraId="437A20B1" w14:textId="77777777" w:rsidR="00EE61CE" w:rsidRPr="00773F02" w:rsidRDefault="00EE61CE" w:rsidP="00EE61CE">
      <w:pPr>
        <w:rPr>
          <w:rStyle w:val="Strong"/>
          <w:rFonts w:ascii="Franklin Gothic Book" w:hAnsi="Franklin Gothic Book"/>
          <w:b w:val="0"/>
          <w:bCs w:val="0"/>
        </w:rPr>
      </w:pPr>
      <w:r w:rsidRPr="00773F02">
        <w:rPr>
          <w:rFonts w:ascii="Franklin Gothic Book" w:hAnsi="Franklin Gothic Book"/>
        </w:rPr>
        <w:t xml:space="preserve">ESC considered whether, like other procedures performed in hospital, aftercare should be included as part of the service. ESC noted that the department’s </w:t>
      </w:r>
      <w:r>
        <w:rPr>
          <w:rFonts w:ascii="Franklin Gothic Book" w:hAnsi="Franklin Gothic Book"/>
        </w:rPr>
        <w:t xml:space="preserve">policy </w:t>
      </w:r>
      <w:r w:rsidRPr="00773F02">
        <w:rPr>
          <w:rFonts w:ascii="Franklin Gothic Book" w:hAnsi="Franklin Gothic Book"/>
        </w:rPr>
        <w:t xml:space="preserve">preference that aftercare </w:t>
      </w:r>
      <w:r>
        <w:rPr>
          <w:rFonts w:ascii="Franklin Gothic Book" w:hAnsi="Franklin Gothic Book"/>
        </w:rPr>
        <w:t>should</w:t>
      </w:r>
      <w:r w:rsidRPr="00773F02">
        <w:rPr>
          <w:rFonts w:ascii="Franklin Gothic Book" w:hAnsi="Franklin Gothic Book"/>
        </w:rPr>
        <w:t xml:space="preserve"> not be included for this service, as it is not included in other MBS items involving anaesthesia.</w:t>
      </w:r>
    </w:p>
    <w:p w14:paraId="2BCF2EF9" w14:textId="77777777" w:rsidR="00EE61CE" w:rsidRDefault="00EE61CE" w:rsidP="00EE61CE">
      <w:pPr>
        <w:pStyle w:val="Heading2"/>
        <w:numPr>
          <w:ilvl w:val="0"/>
          <w:numId w:val="0"/>
        </w:numPr>
      </w:pPr>
      <w:r>
        <w:t>17.</w:t>
      </w:r>
      <w:r>
        <w:tab/>
        <w:t>Applicant comments on MSAC’s Public Summary Document</w:t>
      </w:r>
    </w:p>
    <w:p w14:paraId="4649E2FE" w14:textId="7E73F25E" w:rsidR="00EE61CE" w:rsidRPr="008E027A" w:rsidRDefault="008E027A" w:rsidP="00EE61CE">
      <w:pPr>
        <w:rPr>
          <w:rFonts w:ascii="Franklin Gothic Book" w:hAnsi="Franklin Gothic Book"/>
        </w:rPr>
      </w:pPr>
      <w:r w:rsidRPr="008E027A">
        <w:rPr>
          <w:rFonts w:ascii="Franklin Gothic Book" w:hAnsi="Franklin Gothic Book"/>
        </w:rPr>
        <w:t>The applicant had no comment.</w:t>
      </w:r>
    </w:p>
    <w:p w14:paraId="1B9610A1" w14:textId="77777777" w:rsidR="00EE61CE" w:rsidRDefault="00EE61CE" w:rsidP="00EE61CE">
      <w:pPr>
        <w:pStyle w:val="Heading2"/>
        <w:numPr>
          <w:ilvl w:val="0"/>
          <w:numId w:val="0"/>
        </w:numPr>
      </w:pPr>
      <w:r>
        <w:t>18.</w:t>
      </w:r>
      <w:r>
        <w:tab/>
        <w:t>Further information on MSAC</w:t>
      </w:r>
    </w:p>
    <w:p w14:paraId="4B2F8593" w14:textId="58518A75" w:rsidR="001820AB" w:rsidRPr="00EE61CE" w:rsidRDefault="00EE61CE" w:rsidP="00EE61CE">
      <w:pPr>
        <w:pStyle w:val="BodyText"/>
        <w:rPr>
          <w:rFonts w:ascii="Franklin Gothic Book" w:hAnsi="Franklin Gothic Book" w:cstheme="minorBidi"/>
          <w:b/>
          <w:bCs/>
          <w:i/>
          <w:iCs/>
          <w:sz w:val="22"/>
        </w:rPr>
      </w:pPr>
      <w:r w:rsidRPr="00F309FA">
        <w:rPr>
          <w:rFonts w:ascii="Franklin Gothic Book" w:hAnsi="Franklin Gothic Book"/>
          <w:bCs/>
          <w:iCs/>
          <w:sz w:val="22"/>
        </w:rPr>
        <w:t xml:space="preserve">MSAC Terms of Reference and other information are available on the MSAC Website: </w:t>
      </w:r>
      <w:hyperlink r:id="rId10" w:tooltip="Link to the MSAC website" w:history="1">
        <w:r w:rsidRPr="00F309FA">
          <w:rPr>
            <w:rStyle w:val="Hyperlink"/>
            <w:rFonts w:ascii="Franklin Gothic Book" w:hAnsi="Franklin Gothic Book"/>
            <w:bCs/>
            <w:iCs/>
            <w:sz w:val="22"/>
          </w:rPr>
          <w:t>visit the MSAC website</w:t>
        </w:r>
      </w:hyperlink>
    </w:p>
    <w:sectPr w:rsidR="001820AB" w:rsidRPr="00EE61C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1FEE1" w14:textId="77777777" w:rsidR="00A22C3D" w:rsidRDefault="00A22C3D" w:rsidP="005D5985">
      <w:pPr>
        <w:spacing w:after="0"/>
      </w:pPr>
      <w:r>
        <w:separator/>
      </w:r>
    </w:p>
  </w:endnote>
  <w:endnote w:type="continuationSeparator" w:id="0">
    <w:p w14:paraId="3FC05068" w14:textId="77777777" w:rsidR="00A22C3D" w:rsidRDefault="00A22C3D" w:rsidP="005D5985">
      <w:pPr>
        <w:spacing w:after="0"/>
      </w:pPr>
      <w:r>
        <w:continuationSeparator/>
      </w:r>
    </w:p>
  </w:endnote>
  <w:endnote w:type="continuationNotice" w:id="1">
    <w:p w14:paraId="6671E363" w14:textId="77777777" w:rsidR="00A22C3D" w:rsidRDefault="00A22C3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cademy Engraved LET">
    <w:altName w:val="Colonna MT"/>
    <w:charset w:val="00"/>
    <w:family w:val="roman"/>
    <w:pitch w:val="default"/>
  </w:font>
  <w:font w:name="Tahoma">
    <w:panose1 w:val="020B0604030504040204"/>
    <w:charset w:val="00"/>
    <w:family w:val="swiss"/>
    <w:pitch w:val="variable"/>
    <w:sig w:usb0="E1002EFF" w:usb1="C000605B" w:usb2="00000029" w:usb3="00000000" w:csb0="000101FF" w:csb1="00000000"/>
  </w:font>
  <w:font w:name="Microsoft Tai Le">
    <w:panose1 w:val="020B0502040204020203"/>
    <w:charset w:val="00"/>
    <w:family w:val="swiss"/>
    <w:pitch w:val="variable"/>
    <w:sig w:usb0="00000003" w:usb1="00000000" w:usb2="40000000" w:usb3="00000000" w:csb0="00000001" w:csb1="00000000"/>
  </w:font>
  <w:font w:name="Book Antiqua">
    <w:panose1 w:val="02040602050305030304"/>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869E1" w14:textId="77777777" w:rsidR="0014231B" w:rsidRDefault="001423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038808"/>
      <w:docPartObj>
        <w:docPartGallery w:val="Page Numbers (Bottom of Page)"/>
        <w:docPartUnique/>
      </w:docPartObj>
    </w:sdtPr>
    <w:sdtEndPr>
      <w:rPr>
        <w:noProof/>
      </w:rPr>
    </w:sdtEndPr>
    <w:sdtContent>
      <w:p w14:paraId="05138CFA" w14:textId="2A46D5FD" w:rsidR="002E4709" w:rsidRDefault="00785F48" w:rsidP="00785F48">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C67BD" w14:textId="77777777" w:rsidR="0014231B" w:rsidRDefault="00142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7BB77" w14:textId="77777777" w:rsidR="00A22C3D" w:rsidRDefault="00A22C3D" w:rsidP="005D5985">
      <w:pPr>
        <w:spacing w:after="0"/>
      </w:pPr>
      <w:r>
        <w:separator/>
      </w:r>
    </w:p>
  </w:footnote>
  <w:footnote w:type="continuationSeparator" w:id="0">
    <w:p w14:paraId="6D4FA3BE" w14:textId="77777777" w:rsidR="00A22C3D" w:rsidRDefault="00A22C3D" w:rsidP="005D5985">
      <w:pPr>
        <w:spacing w:after="0"/>
      </w:pPr>
      <w:r>
        <w:continuationSeparator/>
      </w:r>
    </w:p>
  </w:footnote>
  <w:footnote w:type="continuationNotice" w:id="1">
    <w:p w14:paraId="5AC70C2A" w14:textId="77777777" w:rsidR="00A22C3D" w:rsidRDefault="00A22C3D">
      <w:pPr>
        <w:spacing w:after="0"/>
      </w:pPr>
    </w:p>
  </w:footnote>
  <w:footnote w:id="2">
    <w:p w14:paraId="5CC8886D" w14:textId="3B366627" w:rsidR="00F927CF" w:rsidRDefault="001C7713">
      <w:pPr>
        <w:pStyle w:val="FootnoteText"/>
      </w:pPr>
      <w:r>
        <w:rPr>
          <w:rStyle w:val="FootnoteReference"/>
        </w:rPr>
        <w:footnoteRef/>
      </w:r>
      <w:r>
        <w:t xml:space="preserve"> </w:t>
      </w:r>
      <w:hyperlink r:id="rId1" w:history="1">
        <w:r w:rsidR="00F927CF" w:rsidRPr="000B3FCB">
          <w:rPr>
            <w:rStyle w:val="Hyperlink"/>
          </w:rPr>
          <w:t>http://www.msac.gov.au/internet/msac/publishing.nsf/Content/1308-public</w:t>
        </w:r>
      </w:hyperlink>
    </w:p>
  </w:footnote>
  <w:footnote w:id="3">
    <w:p w14:paraId="1D953589" w14:textId="77777777" w:rsidR="005D5985" w:rsidRPr="00F2037A" w:rsidRDefault="005D5985" w:rsidP="005D5985">
      <w:pPr>
        <w:pStyle w:val="TableFooter"/>
      </w:pPr>
      <w:r w:rsidRPr="008E617D">
        <w:rPr>
          <w:vertAlign w:val="superscript"/>
        </w:rPr>
        <w:footnoteRef/>
      </w:r>
      <w:r w:rsidRPr="00F2037A">
        <w:t xml:space="preserve"> Anaesthesia Clinical Committee. 2017. </w:t>
      </w:r>
      <w:r w:rsidRPr="00B06113">
        <w:rPr>
          <w:i/>
          <w:iCs/>
        </w:rPr>
        <w:t xml:space="preserve">MBS Review – Final taskforce reports, findings and recommendations </w:t>
      </w:r>
      <w:r w:rsidRPr="001E3E6E">
        <w:t xml:space="preserve">[Online]. Available at: </w:t>
      </w:r>
      <w:hyperlink r:id="rId2" w:history="1">
        <w:r w:rsidRPr="001E3E6E">
          <w:rPr>
            <w:rStyle w:val="Hyperlink"/>
          </w:rPr>
          <w:t>https://www.health.gov.au/resources/publications/taskforce-endorsed-report-anaesthesia-clinical-committee?language=en</w:t>
        </w:r>
      </w:hyperlink>
      <w:r w:rsidRPr="001E3E6E">
        <w:t xml:space="preserve"> </w:t>
      </w:r>
    </w:p>
  </w:footnote>
  <w:footnote w:id="4">
    <w:p w14:paraId="0033858A" w14:textId="77777777" w:rsidR="005D5985" w:rsidRPr="00F2037A" w:rsidRDefault="005D5985" w:rsidP="005D5985">
      <w:pPr>
        <w:pStyle w:val="TableFooter"/>
      </w:pPr>
      <w:r w:rsidRPr="008E617D">
        <w:rPr>
          <w:vertAlign w:val="superscript"/>
        </w:rPr>
        <w:footnoteRef/>
      </w:r>
      <w:r w:rsidRPr="008E617D">
        <w:rPr>
          <w:vertAlign w:val="superscript"/>
        </w:rPr>
        <w:t xml:space="preserve"> </w:t>
      </w:r>
      <w:r w:rsidRPr="00F2037A">
        <w:t>Yellow highlight</w:t>
      </w:r>
      <w:r w:rsidRPr="00B06113">
        <w:t>s</w:t>
      </w:r>
      <w:r w:rsidRPr="001E3E6E">
        <w:t xml:space="preserve"> indicate addition compared to the item descriptor as per the PICO document. The underlined word is the suggested change to the wording of the existing item on single-injection nerve block suggested by the applicant in the PICO document.</w:t>
      </w:r>
    </w:p>
  </w:footnote>
  <w:footnote w:id="5">
    <w:p w14:paraId="5396BE85" w14:textId="77777777" w:rsidR="005D5985" w:rsidRPr="00F2037A" w:rsidRDefault="005D5985" w:rsidP="005D5985">
      <w:pPr>
        <w:pStyle w:val="TableFooter"/>
      </w:pPr>
      <w:r w:rsidRPr="00315928">
        <w:rPr>
          <w:vertAlign w:val="superscript"/>
        </w:rPr>
        <w:footnoteRef/>
      </w:r>
      <w:r w:rsidRPr="00315928">
        <w:rPr>
          <w:vertAlign w:val="superscript"/>
        </w:rPr>
        <w:t xml:space="preserve"> </w:t>
      </w:r>
      <w:r w:rsidRPr="00F2037A">
        <w:t>Medical Servi</w:t>
      </w:r>
      <w:r w:rsidRPr="00B06113">
        <w:t>ces Advisory Committee</w:t>
      </w:r>
      <w:r w:rsidRPr="001E3E6E">
        <w:t xml:space="preserve">. 2023. MSAC application 1741 Continuous nerve blockade using a catheter technique, ratified PICO confirmation. Available at: </w:t>
      </w:r>
      <w:hyperlink r:id="rId3" w:history="1">
        <w:r w:rsidRPr="00CD38EF">
          <w:rPr>
            <w:rStyle w:val="Hyperlink"/>
          </w:rPr>
          <w:t>http://www.msac.gov.au/internet/msac/publishing.nsf/Content/1741-public</w:t>
        </w:r>
      </w:hyperlink>
      <w:r>
        <w:t xml:space="preserve"> </w:t>
      </w:r>
    </w:p>
  </w:footnote>
  <w:footnote w:id="6">
    <w:p w14:paraId="5917E7C8" w14:textId="77777777" w:rsidR="005D5985" w:rsidRPr="004B0BFE" w:rsidRDefault="005D5985" w:rsidP="005D5985">
      <w:pPr>
        <w:pStyle w:val="TableFooter"/>
      </w:pPr>
      <w:r w:rsidRPr="00DA18D9">
        <w:rPr>
          <w:vertAlign w:val="superscript"/>
        </w:rPr>
        <w:footnoteRef/>
      </w:r>
      <w:r w:rsidRPr="004B0BFE">
        <w:t xml:space="preserve"> </w:t>
      </w:r>
      <w:r w:rsidRPr="00F2037A">
        <w:t>Australian Institute of Health and Welfare.</w:t>
      </w:r>
      <w:r w:rsidRPr="00B06113">
        <w:t xml:space="preserve"> 2023. </w:t>
      </w:r>
      <w:r w:rsidRPr="001E3E6E">
        <w:t xml:space="preserve">Admitted patient care 2021-22 4 Why did people receive care. Available at: </w:t>
      </w:r>
      <w:hyperlink r:id="rId4" w:history="1">
        <w:r w:rsidRPr="00CD38EF">
          <w:rPr>
            <w:rStyle w:val="Hyperlink"/>
          </w:rPr>
          <w:t>https://www.aihw.gov.au/reports-data/myhospitals/sectors/admitted-patients</w:t>
        </w:r>
      </w:hyperlink>
      <w:r>
        <w:t xml:space="preserve"> </w:t>
      </w:r>
    </w:p>
  </w:footnote>
  <w:footnote w:id="7">
    <w:p w14:paraId="0523C85D" w14:textId="77777777" w:rsidR="005D5985" w:rsidRPr="004B0BFE" w:rsidRDefault="005D5985" w:rsidP="005D5985">
      <w:pPr>
        <w:pStyle w:val="TableFooter"/>
      </w:pPr>
      <w:r w:rsidRPr="00DA18D9">
        <w:rPr>
          <w:vertAlign w:val="superscript"/>
        </w:rPr>
        <w:footnoteRef/>
      </w:r>
      <w:r w:rsidRPr="004B0BFE">
        <w:t xml:space="preserve"> </w:t>
      </w:r>
      <w:r w:rsidRPr="00F2037A">
        <w:t>Australian Institute of Health and Welfare.</w:t>
      </w:r>
      <w:r w:rsidRPr="00B06113">
        <w:t xml:space="preserve"> 2023. Admitted patient care 2021-22 5 What services were provided. Available at: </w:t>
      </w:r>
      <w:hyperlink r:id="rId5" w:history="1">
        <w:r w:rsidRPr="00CD38EF">
          <w:rPr>
            <w:rStyle w:val="Hyperlink"/>
          </w:rPr>
          <w:t>https://www.aihw.gov.au/reports-data/myhospitals/sectors/admitted-patients</w:t>
        </w:r>
      </w:hyperlink>
    </w:p>
  </w:footnote>
  <w:footnote w:id="8">
    <w:p w14:paraId="48CA500E" w14:textId="77777777" w:rsidR="005D5985" w:rsidRPr="00D059DF" w:rsidRDefault="005D5985" w:rsidP="005D5985">
      <w:pPr>
        <w:pStyle w:val="TableFooter"/>
        <w:rPr>
          <w:lang w:val="de-DE"/>
        </w:rPr>
      </w:pPr>
      <w:r w:rsidRPr="00DA18D9">
        <w:rPr>
          <w:vertAlign w:val="superscript"/>
        </w:rPr>
        <w:footnoteRef/>
      </w:r>
      <w:r w:rsidRPr="00DA18D9">
        <w:rPr>
          <w:vertAlign w:val="superscript"/>
        </w:rPr>
        <w:t xml:space="preserve"> </w:t>
      </w:r>
      <w:r w:rsidRPr="00F2037A">
        <w:t xml:space="preserve">Hirst, G. C., Lang, S. A., Dust, W. N., Cassidy, J. D. &amp; Yip, R. W. 1996. Femoral nerve block. Single injection versus continuous infusion for total knee arthroplasty. </w:t>
      </w:r>
      <w:r w:rsidRPr="00D059DF">
        <w:rPr>
          <w:lang w:val="de-DE"/>
        </w:rPr>
        <w:t>Reg Anesth, 21, 292-7.</w:t>
      </w:r>
    </w:p>
  </w:footnote>
  <w:footnote w:id="9">
    <w:p w14:paraId="146E12BD" w14:textId="77777777" w:rsidR="005D5985" w:rsidRPr="004B0BFE" w:rsidRDefault="005D5985" w:rsidP="005D5985">
      <w:pPr>
        <w:pStyle w:val="TableFooter"/>
      </w:pPr>
      <w:r w:rsidRPr="00DA18D9">
        <w:rPr>
          <w:vertAlign w:val="superscript"/>
        </w:rPr>
        <w:footnoteRef/>
      </w:r>
      <w:r w:rsidRPr="00D059DF">
        <w:rPr>
          <w:lang w:val="de-DE"/>
        </w:rPr>
        <w:t xml:space="preserve"> Kim, M. K., Moon, H. Y., Ryu, C. G., Kang, H., Lee, H. J. &amp; Shin, H. Y. 2019. </w:t>
      </w:r>
      <w:r w:rsidRPr="00F2037A">
        <w:t>The analgesic efficacy of the continuous adductor canal block compared to continuous intravenous fentanyl infusion with a single-shot adductor canal block in total knee arthroplasty: a randomized controlled trial. Korean J Pain, 32, 30-38.</w:t>
      </w:r>
    </w:p>
  </w:footnote>
  <w:footnote w:id="10">
    <w:p w14:paraId="5DD1947B" w14:textId="77777777" w:rsidR="005D5985" w:rsidRPr="004B0BFE" w:rsidRDefault="005D5985" w:rsidP="005D5985">
      <w:pPr>
        <w:pStyle w:val="TableFooter"/>
      </w:pPr>
      <w:r w:rsidRPr="00DA18D9">
        <w:rPr>
          <w:vertAlign w:val="superscript"/>
        </w:rPr>
        <w:footnoteRef/>
      </w:r>
      <w:r w:rsidRPr="00DA18D9">
        <w:rPr>
          <w:vertAlign w:val="superscript"/>
        </w:rPr>
        <w:t xml:space="preserve"> </w:t>
      </w:r>
      <w:r w:rsidRPr="00F2037A">
        <w:t>Park, C. K., Cho, C. K., Lee, G. G. &amp; Lee, J. H. 2010. Optimizing dose infusion of 0.125% bupivacaine for continuous femoral nerve block after total knee replacement. Korean J Anesthesiol, 58, 468-76.</w:t>
      </w:r>
    </w:p>
  </w:footnote>
  <w:footnote w:id="11">
    <w:p w14:paraId="4C3A18E3" w14:textId="77777777" w:rsidR="005D5985" w:rsidRPr="004B0BFE" w:rsidRDefault="005D5985" w:rsidP="005D5985">
      <w:pPr>
        <w:pStyle w:val="TableFooter"/>
      </w:pPr>
      <w:r w:rsidRPr="00DA18D9">
        <w:rPr>
          <w:vertAlign w:val="superscript"/>
        </w:rPr>
        <w:footnoteRef/>
      </w:r>
      <w:r w:rsidRPr="004B0BFE">
        <w:t xml:space="preserve"> </w:t>
      </w:r>
      <w:r w:rsidRPr="00F2037A">
        <w:t xml:space="preserve">Sreenath, M. K., A., K.; Manchala, K.; Anusha, D., V., B.; Reddy, B., V. 2022. Continuous epidural analgesia versus continuous femoral nerve block in management of post-operative pain in patients undergoing unilateral total knee </w:t>
      </w:r>
      <w:r w:rsidRPr="00B06113">
        <w:t xml:space="preserve">arthroplasty: An open labelled randomized controlled trial. European </w:t>
      </w:r>
      <w:r w:rsidRPr="001E3E6E">
        <w:t>Journal of Molecular &amp; Clinical Medicine, 9(1), 711-718.</w:t>
      </w:r>
    </w:p>
  </w:footnote>
  <w:footnote w:id="12">
    <w:p w14:paraId="6BD98D03" w14:textId="77777777" w:rsidR="005D5985" w:rsidRPr="004B0BFE" w:rsidRDefault="005D5985" w:rsidP="005D5985">
      <w:pPr>
        <w:pStyle w:val="TableFooter"/>
      </w:pPr>
      <w:r w:rsidRPr="00DA18D9">
        <w:rPr>
          <w:vertAlign w:val="superscript"/>
        </w:rPr>
        <w:footnoteRef/>
      </w:r>
      <w:r w:rsidRPr="00DA18D9">
        <w:rPr>
          <w:vertAlign w:val="superscript"/>
        </w:rPr>
        <w:t xml:space="preserve"> </w:t>
      </w:r>
      <w:r w:rsidRPr="00F2037A">
        <w:t>Yacout, A. G. &amp; Elhoshy, H. S. 2023. Continuous femoral nerve block enhances outcome of spinal anaesthesia in preventing perioperative cardiac complications in patients with cardiac risk. Egyptian Journal of Anaesthesia, 39, 177-184.</w:t>
      </w:r>
    </w:p>
  </w:footnote>
  <w:footnote w:id="13">
    <w:p w14:paraId="1403900C" w14:textId="77777777" w:rsidR="005D5985" w:rsidRPr="004B0BFE" w:rsidRDefault="005D5985" w:rsidP="005D5985">
      <w:pPr>
        <w:pStyle w:val="TableFooter"/>
      </w:pPr>
      <w:r w:rsidRPr="00DA18D9">
        <w:rPr>
          <w:vertAlign w:val="superscript"/>
        </w:rPr>
        <w:footnoteRef/>
      </w:r>
      <w:r w:rsidRPr="004B0BFE">
        <w:t xml:space="preserve"> </w:t>
      </w:r>
      <w:r w:rsidRPr="00F2037A">
        <w:t>Lee, J. J., Choi, S. S., Lee, M. K., Lim, B. G. &amp; Hur, W. 2012. Effect of continuous psoas compartment block and intravenous patient controlled analgesia on postoperative pain control after total knee arthroplasty. Korean J Anesthesiol, 62, 47-51.</w:t>
      </w:r>
    </w:p>
  </w:footnote>
  <w:footnote w:id="14">
    <w:p w14:paraId="67B9DBD2" w14:textId="77777777" w:rsidR="005D5985" w:rsidRPr="004B0BFE" w:rsidRDefault="005D5985" w:rsidP="005D5985">
      <w:pPr>
        <w:pStyle w:val="TableFooter"/>
      </w:pPr>
      <w:r w:rsidRPr="00DA18D9">
        <w:rPr>
          <w:vertAlign w:val="superscript"/>
        </w:rPr>
        <w:footnoteRef/>
      </w:r>
      <w:r w:rsidRPr="004B0BFE">
        <w:t xml:space="preserve"> </w:t>
      </w:r>
      <w:r w:rsidRPr="00F2037A">
        <w:t>Peng, L., Ren, L., Qin, P., Chen, J., Feng, P., Lin, H. &amp; Su, M. 2014. Continuous Femoral Nerve Block versus Intravenous Patient Controlled Analgesia for Knee Mobility and Long-Term P</w:t>
      </w:r>
      <w:r w:rsidRPr="00F6591B">
        <w:t>ain in Patients Receiving Total Knee Replacement: A Randomized Controlled Trial. Evid Based Complement Alternat Med, 2014, 569107.</w:t>
      </w:r>
    </w:p>
  </w:footnote>
  <w:footnote w:id="15">
    <w:p w14:paraId="603301B8" w14:textId="77777777" w:rsidR="005D5985" w:rsidRPr="004B0BFE" w:rsidRDefault="005D5985" w:rsidP="005D5985">
      <w:pPr>
        <w:pStyle w:val="TableFooter"/>
      </w:pPr>
      <w:r w:rsidRPr="00DA18D9">
        <w:rPr>
          <w:vertAlign w:val="superscript"/>
        </w:rPr>
        <w:footnoteRef/>
      </w:r>
      <w:r w:rsidRPr="00DA18D9">
        <w:rPr>
          <w:vertAlign w:val="superscript"/>
        </w:rPr>
        <w:t xml:space="preserve"> </w:t>
      </w:r>
      <w:r w:rsidRPr="00F2037A">
        <w:t>Yu, Y. L., Cao, D. H., Chen, B., Yang, Z. H. &amp; You, K. Z. 2018. Continuous femoral nerve block and patient-controlled intravenous postoperative analgesia on Th1/Th2 in patients undergoing total knee arthroplasty. J Biol Regul Homeost Agents, 32, 641-647.</w:t>
      </w:r>
    </w:p>
  </w:footnote>
  <w:footnote w:id="16">
    <w:p w14:paraId="1FD5E868" w14:textId="77777777" w:rsidR="005D5985" w:rsidRPr="004B0BFE" w:rsidRDefault="005D5985" w:rsidP="005D5985">
      <w:pPr>
        <w:pStyle w:val="TableFooter"/>
      </w:pPr>
      <w:r w:rsidRPr="00DA18D9">
        <w:rPr>
          <w:vertAlign w:val="superscript"/>
        </w:rPr>
        <w:footnoteRef/>
      </w:r>
      <w:r w:rsidRPr="00DA18D9">
        <w:rPr>
          <w:vertAlign w:val="superscript"/>
        </w:rPr>
        <w:t xml:space="preserve"> </w:t>
      </w:r>
      <w:r w:rsidRPr="00F6591B">
        <w:t>Dodds, R. D. McMeniman, P.J. Krippner, R</w:t>
      </w:r>
      <w:r w:rsidRPr="001E3E6E">
        <w:t>. Myers, P. T. 1995. Comparison of intravenous pethidine infusion with ‘3 in 1’ lumbar plexus block after anterior cruciate ligament reconstruction. The Knee, 2(1), 43-46.</w:t>
      </w:r>
    </w:p>
  </w:footnote>
  <w:footnote w:id="17">
    <w:p w14:paraId="6C419B38" w14:textId="77777777" w:rsidR="005D5985" w:rsidRDefault="005D5985" w:rsidP="005D5985">
      <w:pPr>
        <w:pStyle w:val="TableFooter"/>
      </w:pPr>
      <w:r>
        <w:rPr>
          <w:rStyle w:val="FootnoteReference"/>
        </w:rPr>
        <w:footnoteRef/>
      </w:r>
      <w:r>
        <w:t xml:space="preserve"> </w:t>
      </w:r>
      <w:r w:rsidRPr="00C63CAD">
        <w:t>Sterne, J. A. C., Savović, J., Page, M. J., Elbers, R. G., Blencowe, N. S., Boutron, I., Cates, C. J., Cheng, H. Y., Corbett, M. S., Eldridge, S. M., Emberson, J. R., Hernán, M. A., Hopewell, S., Hróbjartsson, A., Junqueira, D. R., Jüni, P., Kirkham, J. J., Lasserson, T., Li, T., McAleenan, A., Reeves, B. C., Shepperd, S., Shrier, I., Stewart, L. A., Tilling, K., White, I. R., Whiting, P. F. &amp; Higgins, J. P. T. 2019. RoB 2: a revised tool for assessing risk of bias in randomised trials. B</w:t>
      </w:r>
      <w:r>
        <w:t>MJ</w:t>
      </w:r>
      <w:r w:rsidRPr="00C63CAD">
        <w:t>, 366, l4898.</w:t>
      </w:r>
    </w:p>
  </w:footnote>
  <w:footnote w:id="18">
    <w:p w14:paraId="2BECB173" w14:textId="77777777" w:rsidR="005D5985" w:rsidRDefault="005D5985" w:rsidP="005D5985">
      <w:pPr>
        <w:pStyle w:val="TableFooter"/>
      </w:pPr>
      <w:r w:rsidRPr="00DA18D9">
        <w:rPr>
          <w:vertAlign w:val="superscript"/>
        </w:rPr>
        <w:footnoteRef/>
      </w:r>
      <w:r w:rsidRPr="004B0BFE">
        <w:t xml:space="preserve"> </w:t>
      </w:r>
      <w:r w:rsidRPr="00F2037A">
        <w:t>Shea, B. J., Reeves, B. C., Wells, G., Thuku, M., Hamel, C., Moran, J., Moher, D., Tugwell, P., Welch, V., Kristjansson, E. &amp; Henry, D. A. 2017. AMSTAR 2: a critical appraisal tool for systematic reviews that include randomised or non-randomised studies of healthcare interventions, or both. BMJ</w:t>
      </w:r>
      <w:r w:rsidRPr="00B06113">
        <w:t>, 358, j4008.</w:t>
      </w:r>
    </w:p>
  </w:footnote>
  <w:footnote w:id="19">
    <w:p w14:paraId="3260573A" w14:textId="77777777" w:rsidR="005D5985" w:rsidRPr="007F5EB4" w:rsidRDefault="005D5985" w:rsidP="005D5985">
      <w:pPr>
        <w:pStyle w:val="TableFooter"/>
      </w:pPr>
      <w:r w:rsidRPr="007F5EB4">
        <w:rPr>
          <w:rStyle w:val="FootnoteReference"/>
        </w:rPr>
        <w:footnoteRef/>
      </w:r>
      <w:r w:rsidRPr="007F5EB4">
        <w:t xml:space="preserve"> </w:t>
      </w:r>
      <w:r w:rsidRPr="004B0BFE">
        <w:t>Blom, A. W., Donovan, R. L., Beswick, A. D., Whitehouse, M. R. &amp; Kunutsor, S. K. 2021. Common elective orthopaedic procedures and their clinical effectiveness: umbrella review of level 1 evidence. B</w:t>
      </w:r>
      <w:r w:rsidRPr="00F2037A">
        <w:t>MJ, 374, n1511.</w:t>
      </w:r>
    </w:p>
  </w:footnote>
  <w:footnote w:id="20">
    <w:p w14:paraId="34FF2CBB" w14:textId="77777777" w:rsidR="005D5985" w:rsidRDefault="005D5985" w:rsidP="005D5985">
      <w:pPr>
        <w:pStyle w:val="TableFooter"/>
      </w:pPr>
      <w:r>
        <w:rPr>
          <w:rStyle w:val="FootnoteReference"/>
        </w:rPr>
        <w:footnoteRef/>
      </w:r>
      <w:r>
        <w:t xml:space="preserve"> </w:t>
      </w:r>
      <w:r w:rsidRPr="00B8589F">
        <w:t>Department of Health and Aged Care. 2023. Medical Costs Finder [Online]. Available</w:t>
      </w:r>
      <w:r>
        <w:t xml:space="preserve"> at</w:t>
      </w:r>
      <w:r w:rsidRPr="00B8589F">
        <w:t xml:space="preserve">: </w:t>
      </w:r>
      <w:hyperlink r:id="rId6" w:history="1">
        <w:r w:rsidRPr="00CD38EF">
          <w:rPr>
            <w:rStyle w:val="Hyperlink"/>
          </w:rPr>
          <w:t>https://www.health.gov.au/resources/apps-and-tools/medical-costs-finder</w:t>
        </w:r>
      </w:hyperlink>
      <w:r>
        <w:t xml:space="preserve"> </w:t>
      </w:r>
      <w:r w:rsidRPr="00B8589F">
        <w:t>[Accessed 14 November 2023].</w:t>
      </w:r>
    </w:p>
  </w:footnote>
  <w:footnote w:id="21">
    <w:p w14:paraId="3C63C18C" w14:textId="77777777" w:rsidR="005D5985" w:rsidRDefault="005D5985" w:rsidP="005D5985">
      <w:pPr>
        <w:pStyle w:val="TableFooter"/>
      </w:pPr>
      <w:r>
        <w:rPr>
          <w:rStyle w:val="FootnoteReference"/>
        </w:rPr>
        <w:footnoteRef/>
      </w:r>
      <w:r>
        <w:t xml:space="preserve"> MBS item 22031: </w:t>
      </w:r>
      <w:r w:rsidRPr="00C00068">
        <w:t>Intrathecal or epidural injection (initial) of a therapeutic substance or substances, with or without insertion of a catheter, in association with anaesthesia and surgery, for postoperative pain management</w:t>
      </w:r>
      <w:r>
        <w:t>.</w:t>
      </w:r>
    </w:p>
  </w:footnote>
  <w:footnote w:id="22">
    <w:p w14:paraId="5A04F9DD" w14:textId="77777777" w:rsidR="005D5985" w:rsidRDefault="005D5985" w:rsidP="005D5985">
      <w:pPr>
        <w:pStyle w:val="TableFooter"/>
      </w:pPr>
      <w:r>
        <w:rPr>
          <w:rStyle w:val="FootnoteReference"/>
        </w:rPr>
        <w:footnoteRef/>
      </w:r>
      <w:r>
        <w:t xml:space="preserve"> </w:t>
      </w:r>
      <w:r w:rsidRPr="007F5EB4">
        <w:t xml:space="preserve">Department of Health and Aged Care. 2023. MBS Online [Online]. Available: </w:t>
      </w:r>
      <w:hyperlink r:id="rId7" w:history="1">
        <w:r w:rsidRPr="00CD38EF">
          <w:rPr>
            <w:rStyle w:val="Hyperlink"/>
          </w:rPr>
          <w:t>http://www.mbsonline.gov.au/</w:t>
        </w:r>
      </w:hyperlink>
      <w:r>
        <w:t xml:space="preserve"> </w:t>
      </w:r>
      <w:r w:rsidRPr="007F5EB4">
        <w:t>[Accessed 14 November 2023].</w:t>
      </w:r>
    </w:p>
  </w:footnote>
  <w:footnote w:id="23">
    <w:p w14:paraId="3F4504DC" w14:textId="77777777" w:rsidR="00EE61CE" w:rsidRDefault="00EE61CE" w:rsidP="00EE61CE">
      <w:pPr>
        <w:pStyle w:val="FootnoteText"/>
      </w:pPr>
      <w:r>
        <w:rPr>
          <w:rStyle w:val="FootnoteReference"/>
        </w:rPr>
        <w:footnoteRef/>
      </w:r>
      <w:r>
        <w:t xml:space="preserve"> </w:t>
      </w:r>
      <w:r w:rsidRPr="00782954">
        <w:rPr>
          <w:rFonts w:cstheme="minorHAnsi"/>
        </w:rPr>
        <w:t xml:space="preserve">Laigaard, J., Pedersen, C., Rønsbo, T. N., Mathiesen, O. &amp; Karlsen, A. P. H. 2021. Minimal clinically important differences in randomised clinical trials on pain management after total hip and knee arthroplasty: a systematic review. </w:t>
      </w:r>
      <w:r w:rsidRPr="00782954">
        <w:rPr>
          <w:rFonts w:cstheme="minorHAnsi"/>
          <w:i/>
        </w:rPr>
        <w:t>Br J Anaesth,</w:t>
      </w:r>
      <w:r w:rsidRPr="00782954">
        <w:rPr>
          <w:rFonts w:cstheme="minorHAnsi"/>
        </w:rPr>
        <w:t xml:space="preserve"> 126</w:t>
      </w:r>
      <w:r w:rsidRPr="00782954">
        <w:rPr>
          <w:rFonts w:cstheme="minorHAnsi"/>
          <w:b/>
        </w:rPr>
        <w:t>,</w:t>
      </w:r>
      <w:r w:rsidRPr="00782954">
        <w:rPr>
          <w:rFonts w:cstheme="minorHAnsi"/>
        </w:rPr>
        <w:t xml:space="preserve"> 1029-1037</w:t>
      </w:r>
    </w:p>
  </w:footnote>
  <w:footnote w:id="24">
    <w:p w14:paraId="55D84E9A" w14:textId="77777777" w:rsidR="00EE61CE" w:rsidRDefault="00EE61CE" w:rsidP="00EE61CE">
      <w:pPr>
        <w:pStyle w:val="FootnoteText"/>
      </w:pPr>
      <w:r>
        <w:rPr>
          <w:rStyle w:val="FootnoteReference"/>
        </w:rPr>
        <w:footnoteRef/>
      </w:r>
      <w:r>
        <w:t xml:space="preserve"> MSAC Guidelines, Technical Guidance 29.3. </w:t>
      </w:r>
      <w:r w:rsidRPr="00597A61">
        <w:t>http://www.msac.gov.au/internet/msac/publishing.nsf/Content/MSAC-Guidelines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DD13B" w14:textId="77777777" w:rsidR="0014231B" w:rsidRDefault="001423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9867D" w14:textId="77777777" w:rsidR="0014231B" w:rsidRDefault="001423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44C1B" w14:textId="77777777" w:rsidR="0014231B" w:rsidRDefault="001423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779BF"/>
    <w:multiLevelType w:val="hybridMultilevel"/>
    <w:tmpl w:val="D12C2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FF556F"/>
    <w:multiLevelType w:val="hybridMultilevel"/>
    <w:tmpl w:val="6BC035C4"/>
    <w:lvl w:ilvl="0" w:tplc="FB942214">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80E1931"/>
    <w:multiLevelType w:val="hybridMultilevel"/>
    <w:tmpl w:val="F6D2750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8C647D"/>
    <w:multiLevelType w:val="hybridMultilevel"/>
    <w:tmpl w:val="85DCE3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7C0EE4"/>
    <w:multiLevelType w:val="multilevel"/>
    <w:tmpl w:val="45FC285E"/>
    <w:styleLink w:val="ESSectionheading-numbered"/>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4A03BE4"/>
    <w:multiLevelType w:val="multilevel"/>
    <w:tmpl w:val="BD026EAE"/>
    <w:lvl w:ilvl="0">
      <w:start w:val="2"/>
      <w:numFmt w:val="decimal"/>
      <w:lvlText w:val="%1"/>
      <w:lvlJc w:val="left"/>
      <w:pPr>
        <w:ind w:left="530" w:hanging="530"/>
      </w:pPr>
      <w:rPr>
        <w:rFonts w:hint="default"/>
      </w:rPr>
    </w:lvl>
    <w:lvl w:ilvl="1">
      <w:start w:val="1"/>
      <w:numFmt w:val="decimal"/>
      <w:lvlText w:val="%1.%2"/>
      <w:lvlJc w:val="left"/>
      <w:pPr>
        <w:ind w:left="530" w:hanging="5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7575C58"/>
    <w:multiLevelType w:val="multilevel"/>
    <w:tmpl w:val="BE44A646"/>
    <w:lvl w:ilvl="0">
      <w:start w:val="1"/>
      <w:numFmt w:val="bullet"/>
      <w:pStyle w:val="InstructionBulletpoint"/>
      <w:lvlText w:val=""/>
      <w:lvlJc w:val="left"/>
      <w:pPr>
        <w:ind w:left="720" w:hanging="360"/>
      </w:pPr>
      <w:rPr>
        <w:rFonts w:ascii="Symbol" w:hAnsi="Symbol" w:hint="default"/>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AC7F5E"/>
    <w:multiLevelType w:val="multilevel"/>
    <w:tmpl w:val="1D745C88"/>
    <w:lvl w:ilvl="0">
      <w:start w:val="1"/>
      <w:numFmt w:val="decimal"/>
      <w:lvlText w:val="%1"/>
      <w:lvlJc w:val="left"/>
      <w:pPr>
        <w:ind w:left="432" w:hanging="432"/>
      </w:pPr>
      <w:rPr>
        <w:color w:val="FFFFFF" w:themeColor="background1"/>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9AD7FF3"/>
    <w:multiLevelType w:val="hybridMultilevel"/>
    <w:tmpl w:val="AACE42C6"/>
    <w:lvl w:ilvl="0" w:tplc="97985234">
      <w:start w:val="1050"/>
      <w:numFmt w:val="bullet"/>
      <w:lvlText w:val="-"/>
      <w:lvlJc w:val="left"/>
      <w:pPr>
        <w:ind w:left="360" w:hanging="360"/>
      </w:pPr>
      <w:rPr>
        <w:rFonts w:ascii="Arial Narrow" w:eastAsia="Times New Roman" w:hAnsi="Arial Narrow"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A5E246B"/>
    <w:multiLevelType w:val="hybridMultilevel"/>
    <w:tmpl w:val="C4F2253C"/>
    <w:lvl w:ilvl="0" w:tplc="B0E28340">
      <w:start w:val="1"/>
      <w:numFmt w:val="decimal"/>
      <w:pStyle w:val="ESHeading1"/>
      <w:lvlText w:val="%1."/>
      <w:lvlJc w:val="left"/>
      <w:pPr>
        <w:ind w:left="216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2CC94821"/>
    <w:multiLevelType w:val="hybridMultilevel"/>
    <w:tmpl w:val="07A237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F2F5791"/>
    <w:multiLevelType w:val="hybridMultilevel"/>
    <w:tmpl w:val="54967E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2D5244"/>
    <w:multiLevelType w:val="hybridMultilevel"/>
    <w:tmpl w:val="00E250B2"/>
    <w:lvl w:ilvl="0" w:tplc="32AE89D0">
      <w:start w:val="1"/>
      <w:numFmt w:val="bullet"/>
      <w:pStyle w:val="Das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18456D1"/>
    <w:multiLevelType w:val="hybridMultilevel"/>
    <w:tmpl w:val="D3A04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6AF268A"/>
    <w:multiLevelType w:val="hybridMultilevel"/>
    <w:tmpl w:val="5A84C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B5205BD"/>
    <w:multiLevelType w:val="hybridMultilevel"/>
    <w:tmpl w:val="21EE29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B557698"/>
    <w:multiLevelType w:val="hybridMultilevel"/>
    <w:tmpl w:val="00A2B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04E3779"/>
    <w:multiLevelType w:val="hybridMultilevel"/>
    <w:tmpl w:val="E4EA69E0"/>
    <w:lvl w:ilvl="0" w:tplc="97985234">
      <w:start w:val="1050"/>
      <w:numFmt w:val="bullet"/>
      <w:lvlText w:val="-"/>
      <w:lvlJc w:val="left"/>
      <w:pPr>
        <w:ind w:left="720" w:hanging="360"/>
      </w:pPr>
      <w:rPr>
        <w:rFonts w:ascii="Arial Narrow" w:eastAsia="Times New Roman" w:hAnsi="Arial Narrow"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47C09CE"/>
    <w:multiLevelType w:val="multilevel"/>
    <w:tmpl w:val="9D988226"/>
    <w:lvl w:ilvl="0">
      <w:start w:val="77"/>
      <w:numFmt w:val="decimal"/>
      <w:lvlText w:val="%1"/>
      <w:lvlJc w:val="left"/>
      <w:pPr>
        <w:ind w:left="360" w:hanging="360"/>
      </w:pPr>
      <w:rPr>
        <w:rFonts w:eastAsia="Times New Roman" w:cs="Times New Roman" w:hint="default"/>
        <w:b/>
      </w:rPr>
    </w:lvl>
    <w:lvl w:ilvl="1">
      <w:start w:val="2"/>
      <w:numFmt w:val="decimal"/>
      <w:lvlText w:val="%1.%2"/>
      <w:lvlJc w:val="left"/>
      <w:pPr>
        <w:ind w:left="417" w:hanging="360"/>
      </w:pPr>
      <w:rPr>
        <w:rFonts w:eastAsia="Times New Roman" w:cs="Times New Roman" w:hint="default"/>
        <w:b/>
      </w:rPr>
    </w:lvl>
    <w:lvl w:ilvl="2">
      <w:start w:val="1"/>
      <w:numFmt w:val="decimal"/>
      <w:lvlText w:val="%1.%2.%3"/>
      <w:lvlJc w:val="left"/>
      <w:pPr>
        <w:ind w:left="834" w:hanging="720"/>
      </w:pPr>
      <w:rPr>
        <w:rFonts w:eastAsia="Times New Roman" w:cs="Times New Roman" w:hint="default"/>
        <w:b/>
      </w:rPr>
    </w:lvl>
    <w:lvl w:ilvl="3">
      <w:start w:val="1"/>
      <w:numFmt w:val="decimal"/>
      <w:lvlText w:val="%1.%2.%3.%4"/>
      <w:lvlJc w:val="left"/>
      <w:pPr>
        <w:ind w:left="891" w:hanging="720"/>
      </w:pPr>
      <w:rPr>
        <w:rFonts w:eastAsia="Times New Roman" w:cs="Times New Roman" w:hint="default"/>
        <w:b/>
      </w:rPr>
    </w:lvl>
    <w:lvl w:ilvl="4">
      <w:start w:val="1"/>
      <w:numFmt w:val="decimal"/>
      <w:lvlText w:val="%1.%2.%3.%4.%5"/>
      <w:lvlJc w:val="left"/>
      <w:pPr>
        <w:ind w:left="1308" w:hanging="1080"/>
      </w:pPr>
      <w:rPr>
        <w:rFonts w:eastAsia="Times New Roman" w:cs="Times New Roman" w:hint="default"/>
        <w:b/>
      </w:rPr>
    </w:lvl>
    <w:lvl w:ilvl="5">
      <w:start w:val="1"/>
      <w:numFmt w:val="decimal"/>
      <w:lvlText w:val="%1.%2.%3.%4.%5.%6"/>
      <w:lvlJc w:val="left"/>
      <w:pPr>
        <w:ind w:left="1365" w:hanging="1080"/>
      </w:pPr>
      <w:rPr>
        <w:rFonts w:eastAsia="Times New Roman" w:cs="Times New Roman" w:hint="default"/>
        <w:b/>
      </w:rPr>
    </w:lvl>
    <w:lvl w:ilvl="6">
      <w:start w:val="1"/>
      <w:numFmt w:val="decimal"/>
      <w:lvlText w:val="%1.%2.%3.%4.%5.%6.%7"/>
      <w:lvlJc w:val="left"/>
      <w:pPr>
        <w:ind w:left="1782" w:hanging="1440"/>
      </w:pPr>
      <w:rPr>
        <w:rFonts w:eastAsia="Times New Roman" w:cs="Times New Roman" w:hint="default"/>
        <w:b/>
      </w:rPr>
    </w:lvl>
    <w:lvl w:ilvl="7">
      <w:start w:val="1"/>
      <w:numFmt w:val="decimal"/>
      <w:lvlText w:val="%1.%2.%3.%4.%5.%6.%7.%8"/>
      <w:lvlJc w:val="left"/>
      <w:pPr>
        <w:ind w:left="1839" w:hanging="1440"/>
      </w:pPr>
      <w:rPr>
        <w:rFonts w:eastAsia="Times New Roman" w:cs="Times New Roman" w:hint="default"/>
        <w:b/>
      </w:rPr>
    </w:lvl>
    <w:lvl w:ilvl="8">
      <w:start w:val="1"/>
      <w:numFmt w:val="decimal"/>
      <w:lvlText w:val="%1.%2.%3.%4.%5.%6.%7.%8.%9"/>
      <w:lvlJc w:val="left"/>
      <w:pPr>
        <w:ind w:left="2256" w:hanging="1800"/>
      </w:pPr>
      <w:rPr>
        <w:rFonts w:eastAsia="Times New Roman" w:cs="Times New Roman" w:hint="default"/>
        <w:b/>
      </w:rPr>
    </w:lvl>
  </w:abstractNum>
  <w:abstractNum w:abstractNumId="20" w15:restartNumberingAfterBreak="0">
    <w:nsid w:val="47095746"/>
    <w:multiLevelType w:val="hybridMultilevel"/>
    <w:tmpl w:val="9D287834"/>
    <w:lvl w:ilvl="0" w:tplc="E18AF33C">
      <w:start w:val="1"/>
      <w:numFmt w:val="bullet"/>
      <w:pStyle w:val="Instructionaltext-bullet"/>
      <w:lvlText w:val=""/>
      <w:lvlJc w:val="left"/>
      <w:pPr>
        <w:ind w:left="720" w:hanging="360"/>
      </w:pPr>
      <w:rPr>
        <w:rFonts w:ascii="Symbol" w:hAnsi="Symbol" w:cs="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533840B5"/>
    <w:multiLevelType w:val="multilevel"/>
    <w:tmpl w:val="3B768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D834283"/>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5DEE41DF"/>
    <w:multiLevelType w:val="hybridMultilevel"/>
    <w:tmpl w:val="71705B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1D57994"/>
    <w:multiLevelType w:val="hybridMultilevel"/>
    <w:tmpl w:val="FA3C69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6284BB1"/>
    <w:multiLevelType w:val="hybridMultilevel"/>
    <w:tmpl w:val="F8A44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BF7DDE"/>
    <w:multiLevelType w:val="multilevel"/>
    <w:tmpl w:val="2180A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9A829A3"/>
    <w:multiLevelType w:val="hybridMultilevel"/>
    <w:tmpl w:val="2C68F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A312550"/>
    <w:multiLevelType w:val="hybridMultilevel"/>
    <w:tmpl w:val="56FC97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D384A67"/>
    <w:multiLevelType w:val="multilevel"/>
    <w:tmpl w:val="A5FEA4E2"/>
    <w:lvl w:ilvl="0">
      <w:start w:val="1"/>
      <w:numFmt w:val="decimal"/>
      <w:pStyle w:val="Heading1"/>
      <w:lvlText w:val="Section %1"/>
      <w:lvlJc w:val="left"/>
      <w:pPr>
        <w:ind w:left="0" w:firstLine="0"/>
      </w:pPr>
      <w:rPr>
        <w:rFonts w:hint="default"/>
      </w:rPr>
    </w:lvl>
    <w:lvl w:ilvl="1">
      <w:start w:val="1"/>
      <w:numFmt w:val="decimal"/>
      <w:pStyle w:val="Heading2"/>
      <w:lvlText w:val="%1.%2"/>
      <w:lvlJc w:val="left"/>
      <w:pPr>
        <w:ind w:left="0" w:firstLine="0"/>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2">
      <w:start w:val="1"/>
      <w:numFmt w:val="decimal"/>
      <w:lvlRestart w:val="1"/>
      <w:pStyle w:val="Heading3"/>
      <w:lvlText w:val="%1.%2.%3"/>
      <w:lvlJc w:val="left"/>
      <w:pPr>
        <w:ind w:left="284" w:firstLine="0"/>
      </w:pPr>
      <w:rPr>
        <w:rFonts w:hint="default"/>
      </w:rPr>
    </w:lvl>
    <w:lvl w:ilvl="3">
      <w:start w:val="1"/>
      <w:numFmt w:val="decimal"/>
      <w:lvlText w:val="(%4)"/>
      <w:lvlJc w:val="left"/>
      <w:pPr>
        <w:ind w:left="81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3AF57DC"/>
    <w:multiLevelType w:val="hybridMultilevel"/>
    <w:tmpl w:val="AD0EA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AD3D47"/>
    <w:multiLevelType w:val="multilevel"/>
    <w:tmpl w:val="2A30E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F181516"/>
    <w:multiLevelType w:val="hybridMultilevel"/>
    <w:tmpl w:val="FF9EE7EA"/>
    <w:lvl w:ilvl="0" w:tplc="99525AAE">
      <w:start w:val="1"/>
      <w:numFmt w:val="decimal"/>
      <w:pStyle w:val="Nnumberedlist"/>
      <w:lvlText w:val="%1."/>
      <w:lvlJc w:val="left"/>
      <w:pPr>
        <w:tabs>
          <w:tab w:val="num" w:pos="1440"/>
        </w:tabs>
        <w:ind w:left="1440" w:hanging="360"/>
      </w:pPr>
    </w:lvl>
    <w:lvl w:ilvl="1" w:tplc="389C2200" w:tentative="1">
      <w:start w:val="1"/>
      <w:numFmt w:val="lowerLetter"/>
      <w:lvlText w:val="%2."/>
      <w:lvlJc w:val="left"/>
      <w:pPr>
        <w:tabs>
          <w:tab w:val="num" w:pos="2160"/>
        </w:tabs>
        <w:ind w:left="2160" w:hanging="360"/>
      </w:pPr>
    </w:lvl>
    <w:lvl w:ilvl="2" w:tplc="C3F8B188" w:tentative="1">
      <w:start w:val="1"/>
      <w:numFmt w:val="lowerRoman"/>
      <w:lvlText w:val="%3."/>
      <w:lvlJc w:val="right"/>
      <w:pPr>
        <w:tabs>
          <w:tab w:val="num" w:pos="2880"/>
        </w:tabs>
        <w:ind w:left="2880" w:hanging="180"/>
      </w:pPr>
    </w:lvl>
    <w:lvl w:ilvl="3" w:tplc="391E97F0" w:tentative="1">
      <w:start w:val="1"/>
      <w:numFmt w:val="decimal"/>
      <w:lvlText w:val="%4."/>
      <w:lvlJc w:val="left"/>
      <w:pPr>
        <w:tabs>
          <w:tab w:val="num" w:pos="3600"/>
        </w:tabs>
        <w:ind w:left="3600" w:hanging="360"/>
      </w:pPr>
    </w:lvl>
    <w:lvl w:ilvl="4" w:tplc="4F42265E" w:tentative="1">
      <w:start w:val="1"/>
      <w:numFmt w:val="lowerLetter"/>
      <w:lvlText w:val="%5."/>
      <w:lvlJc w:val="left"/>
      <w:pPr>
        <w:tabs>
          <w:tab w:val="num" w:pos="4320"/>
        </w:tabs>
        <w:ind w:left="4320" w:hanging="360"/>
      </w:pPr>
    </w:lvl>
    <w:lvl w:ilvl="5" w:tplc="30546058" w:tentative="1">
      <w:start w:val="1"/>
      <w:numFmt w:val="lowerRoman"/>
      <w:lvlText w:val="%6."/>
      <w:lvlJc w:val="right"/>
      <w:pPr>
        <w:tabs>
          <w:tab w:val="num" w:pos="5040"/>
        </w:tabs>
        <w:ind w:left="5040" w:hanging="180"/>
      </w:pPr>
    </w:lvl>
    <w:lvl w:ilvl="6" w:tplc="6E10F0C6" w:tentative="1">
      <w:start w:val="1"/>
      <w:numFmt w:val="decimal"/>
      <w:lvlText w:val="%7."/>
      <w:lvlJc w:val="left"/>
      <w:pPr>
        <w:tabs>
          <w:tab w:val="num" w:pos="5760"/>
        </w:tabs>
        <w:ind w:left="5760" w:hanging="360"/>
      </w:pPr>
    </w:lvl>
    <w:lvl w:ilvl="7" w:tplc="70B07B9C" w:tentative="1">
      <w:start w:val="1"/>
      <w:numFmt w:val="lowerLetter"/>
      <w:lvlText w:val="%8."/>
      <w:lvlJc w:val="left"/>
      <w:pPr>
        <w:tabs>
          <w:tab w:val="num" w:pos="6480"/>
        </w:tabs>
        <w:ind w:left="6480" w:hanging="360"/>
      </w:pPr>
    </w:lvl>
    <w:lvl w:ilvl="8" w:tplc="9BF48AAC" w:tentative="1">
      <w:start w:val="1"/>
      <w:numFmt w:val="lowerRoman"/>
      <w:lvlText w:val="%9."/>
      <w:lvlJc w:val="right"/>
      <w:pPr>
        <w:tabs>
          <w:tab w:val="num" w:pos="7200"/>
        </w:tabs>
        <w:ind w:left="7200" w:hanging="180"/>
      </w:pPr>
    </w:lvl>
  </w:abstractNum>
  <w:num w:numId="1" w16cid:durableId="1029987801">
    <w:abstractNumId w:val="20"/>
  </w:num>
  <w:num w:numId="2" w16cid:durableId="733504836">
    <w:abstractNumId w:val="29"/>
  </w:num>
  <w:num w:numId="3" w16cid:durableId="1552693459">
    <w:abstractNumId w:val="33"/>
  </w:num>
  <w:num w:numId="4" w16cid:durableId="1034497585">
    <w:abstractNumId w:val="1"/>
  </w:num>
  <w:num w:numId="5" w16cid:durableId="1064524647">
    <w:abstractNumId w:val="7"/>
  </w:num>
  <w:num w:numId="6" w16cid:durableId="1453286331">
    <w:abstractNumId w:val="10"/>
  </w:num>
  <w:num w:numId="7" w16cid:durableId="923876591">
    <w:abstractNumId w:val="13"/>
  </w:num>
  <w:num w:numId="8" w16cid:durableId="1285888309">
    <w:abstractNumId w:val="28"/>
  </w:num>
  <w:num w:numId="9" w16cid:durableId="759178826">
    <w:abstractNumId w:val="16"/>
  </w:num>
  <w:num w:numId="10" w16cid:durableId="436414451">
    <w:abstractNumId w:val="3"/>
  </w:num>
  <w:num w:numId="11" w16cid:durableId="1584336963">
    <w:abstractNumId w:val="4"/>
  </w:num>
  <w:num w:numId="12" w16cid:durableId="173150406">
    <w:abstractNumId w:val="24"/>
  </w:num>
  <w:num w:numId="13" w16cid:durableId="969894879">
    <w:abstractNumId w:val="14"/>
  </w:num>
  <w:num w:numId="14" w16cid:durableId="188951129">
    <w:abstractNumId w:val="18"/>
  </w:num>
  <w:num w:numId="15" w16cid:durableId="1481263356">
    <w:abstractNumId w:val="12"/>
  </w:num>
  <w:num w:numId="16" w16cid:durableId="520700889">
    <w:abstractNumId w:val="25"/>
  </w:num>
  <w:num w:numId="17" w16cid:durableId="231549894">
    <w:abstractNumId w:val="17"/>
  </w:num>
  <w:num w:numId="18" w16cid:durableId="153837014">
    <w:abstractNumId w:val="5"/>
  </w:num>
  <w:num w:numId="19" w16cid:durableId="584728657">
    <w:abstractNumId w:val="9"/>
  </w:num>
  <w:num w:numId="20" w16cid:durableId="900477978">
    <w:abstractNumId w:val="0"/>
  </w:num>
  <w:num w:numId="21" w16cid:durableId="107242384">
    <w:abstractNumId w:val="15"/>
  </w:num>
  <w:num w:numId="22" w16cid:durableId="1234664167">
    <w:abstractNumId w:val="11"/>
  </w:num>
  <w:num w:numId="23" w16cid:durableId="1376277482">
    <w:abstractNumId w:val="19"/>
  </w:num>
  <w:num w:numId="24" w16cid:durableId="40178141">
    <w:abstractNumId w:val="23"/>
  </w:num>
  <w:num w:numId="25" w16cid:durableId="181671136">
    <w:abstractNumId w:val="6"/>
  </w:num>
  <w:num w:numId="26" w16cid:durableId="49696426">
    <w:abstractNumId w:val="8"/>
  </w:num>
  <w:num w:numId="27" w16cid:durableId="7623393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27130503">
    <w:abstractNumId w:val="22"/>
  </w:num>
  <w:num w:numId="29" w16cid:durableId="18165271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43645762">
    <w:abstractNumId w:val="29"/>
  </w:num>
  <w:num w:numId="31" w16cid:durableId="533427368">
    <w:abstractNumId w:val="29"/>
  </w:num>
  <w:num w:numId="32" w16cid:durableId="217018774">
    <w:abstractNumId w:val="2"/>
  </w:num>
  <w:num w:numId="33" w16cid:durableId="310837810">
    <w:abstractNumId w:val="31"/>
  </w:num>
  <w:num w:numId="34" w16cid:durableId="974288032">
    <w:abstractNumId w:val="21"/>
  </w:num>
  <w:num w:numId="35" w16cid:durableId="2094349315">
    <w:abstractNumId w:val="26"/>
  </w:num>
  <w:num w:numId="36" w16cid:durableId="91173537">
    <w:abstractNumId w:val="32"/>
  </w:num>
  <w:num w:numId="37" w16cid:durableId="283312500">
    <w:abstractNumId w:val="30"/>
  </w:num>
  <w:num w:numId="38" w16cid:durableId="122552930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3FE"/>
    <w:rsid w:val="00000040"/>
    <w:rsid w:val="0000069F"/>
    <w:rsid w:val="000016AE"/>
    <w:rsid w:val="0000363D"/>
    <w:rsid w:val="00004562"/>
    <w:rsid w:val="00005ADD"/>
    <w:rsid w:val="00006D7C"/>
    <w:rsid w:val="00011957"/>
    <w:rsid w:val="00015257"/>
    <w:rsid w:val="00015CB7"/>
    <w:rsid w:val="00016B1F"/>
    <w:rsid w:val="00017253"/>
    <w:rsid w:val="000207F1"/>
    <w:rsid w:val="00020FFB"/>
    <w:rsid w:val="00022A5F"/>
    <w:rsid w:val="00025CBA"/>
    <w:rsid w:val="00027155"/>
    <w:rsid w:val="00031111"/>
    <w:rsid w:val="00031F91"/>
    <w:rsid w:val="000323EE"/>
    <w:rsid w:val="00033BD1"/>
    <w:rsid w:val="00034A6D"/>
    <w:rsid w:val="00036E70"/>
    <w:rsid w:val="00041A67"/>
    <w:rsid w:val="0004597D"/>
    <w:rsid w:val="00045EF3"/>
    <w:rsid w:val="00045FD0"/>
    <w:rsid w:val="00046265"/>
    <w:rsid w:val="00050301"/>
    <w:rsid w:val="0005044D"/>
    <w:rsid w:val="0005066D"/>
    <w:rsid w:val="000515EC"/>
    <w:rsid w:val="00051C90"/>
    <w:rsid w:val="00056435"/>
    <w:rsid w:val="00056A1C"/>
    <w:rsid w:val="00063458"/>
    <w:rsid w:val="00063A78"/>
    <w:rsid w:val="000640AA"/>
    <w:rsid w:val="00064B4A"/>
    <w:rsid w:val="00064C1C"/>
    <w:rsid w:val="000651C1"/>
    <w:rsid w:val="0007071B"/>
    <w:rsid w:val="00072D3A"/>
    <w:rsid w:val="00074BF3"/>
    <w:rsid w:val="000758DE"/>
    <w:rsid w:val="00080075"/>
    <w:rsid w:val="00081DA1"/>
    <w:rsid w:val="000848E2"/>
    <w:rsid w:val="00087830"/>
    <w:rsid w:val="000903A1"/>
    <w:rsid w:val="00090605"/>
    <w:rsid w:val="00091077"/>
    <w:rsid w:val="00093AC5"/>
    <w:rsid w:val="00093BF8"/>
    <w:rsid w:val="00095DC6"/>
    <w:rsid w:val="00097532"/>
    <w:rsid w:val="00097F64"/>
    <w:rsid w:val="000A15DC"/>
    <w:rsid w:val="000A19F9"/>
    <w:rsid w:val="000A5444"/>
    <w:rsid w:val="000A6314"/>
    <w:rsid w:val="000A6B32"/>
    <w:rsid w:val="000B090D"/>
    <w:rsid w:val="000B17C8"/>
    <w:rsid w:val="000B2954"/>
    <w:rsid w:val="000B31AA"/>
    <w:rsid w:val="000B33A9"/>
    <w:rsid w:val="000B3514"/>
    <w:rsid w:val="000B4CBF"/>
    <w:rsid w:val="000B6000"/>
    <w:rsid w:val="000C0CA7"/>
    <w:rsid w:val="000C2BF3"/>
    <w:rsid w:val="000C55E9"/>
    <w:rsid w:val="000C6F8E"/>
    <w:rsid w:val="000C744E"/>
    <w:rsid w:val="000D27C4"/>
    <w:rsid w:val="000D4C97"/>
    <w:rsid w:val="000D566B"/>
    <w:rsid w:val="000D5A18"/>
    <w:rsid w:val="000D6C41"/>
    <w:rsid w:val="000D7483"/>
    <w:rsid w:val="000E2B45"/>
    <w:rsid w:val="000E4555"/>
    <w:rsid w:val="000E6CAF"/>
    <w:rsid w:val="000F1D73"/>
    <w:rsid w:val="000F3054"/>
    <w:rsid w:val="000F3096"/>
    <w:rsid w:val="000F3DC1"/>
    <w:rsid w:val="000F4986"/>
    <w:rsid w:val="00100334"/>
    <w:rsid w:val="00102E98"/>
    <w:rsid w:val="00102EDF"/>
    <w:rsid w:val="00103E28"/>
    <w:rsid w:val="00104992"/>
    <w:rsid w:val="001049D0"/>
    <w:rsid w:val="00104DA0"/>
    <w:rsid w:val="001054EB"/>
    <w:rsid w:val="00110240"/>
    <w:rsid w:val="00112DC3"/>
    <w:rsid w:val="001137FA"/>
    <w:rsid w:val="00115394"/>
    <w:rsid w:val="00121148"/>
    <w:rsid w:val="001212AD"/>
    <w:rsid w:val="0012161C"/>
    <w:rsid w:val="001217C7"/>
    <w:rsid w:val="001219AD"/>
    <w:rsid w:val="001234C6"/>
    <w:rsid w:val="00123DB5"/>
    <w:rsid w:val="001241A3"/>
    <w:rsid w:val="00132CF9"/>
    <w:rsid w:val="001331CA"/>
    <w:rsid w:val="00133702"/>
    <w:rsid w:val="00133B09"/>
    <w:rsid w:val="00136BD0"/>
    <w:rsid w:val="00136D85"/>
    <w:rsid w:val="001403FF"/>
    <w:rsid w:val="00142112"/>
    <w:rsid w:val="001421D8"/>
    <w:rsid w:val="0014231B"/>
    <w:rsid w:val="00145863"/>
    <w:rsid w:val="00145D95"/>
    <w:rsid w:val="00146FBF"/>
    <w:rsid w:val="00147F35"/>
    <w:rsid w:val="001510EF"/>
    <w:rsid w:val="00152524"/>
    <w:rsid w:val="00156544"/>
    <w:rsid w:val="001621F2"/>
    <w:rsid w:val="001623C1"/>
    <w:rsid w:val="00162522"/>
    <w:rsid w:val="00163979"/>
    <w:rsid w:val="001641E6"/>
    <w:rsid w:val="00167EA3"/>
    <w:rsid w:val="00170443"/>
    <w:rsid w:val="001716D9"/>
    <w:rsid w:val="00173F54"/>
    <w:rsid w:val="00174F1A"/>
    <w:rsid w:val="00181C7E"/>
    <w:rsid w:val="001820AB"/>
    <w:rsid w:val="0018357E"/>
    <w:rsid w:val="001844D2"/>
    <w:rsid w:val="00184ADB"/>
    <w:rsid w:val="00184B2B"/>
    <w:rsid w:val="0018524A"/>
    <w:rsid w:val="00194601"/>
    <w:rsid w:val="001954BB"/>
    <w:rsid w:val="00195E22"/>
    <w:rsid w:val="001A0140"/>
    <w:rsid w:val="001A0FC7"/>
    <w:rsid w:val="001A27F8"/>
    <w:rsid w:val="001B0906"/>
    <w:rsid w:val="001B0AB5"/>
    <w:rsid w:val="001B5C81"/>
    <w:rsid w:val="001B6267"/>
    <w:rsid w:val="001B6809"/>
    <w:rsid w:val="001C0D20"/>
    <w:rsid w:val="001C0F5D"/>
    <w:rsid w:val="001C11A5"/>
    <w:rsid w:val="001C272C"/>
    <w:rsid w:val="001C2B9E"/>
    <w:rsid w:val="001C3EF5"/>
    <w:rsid w:val="001C5A18"/>
    <w:rsid w:val="001C7713"/>
    <w:rsid w:val="001D1A85"/>
    <w:rsid w:val="001D1E24"/>
    <w:rsid w:val="001D3B79"/>
    <w:rsid w:val="001D614A"/>
    <w:rsid w:val="001D75AC"/>
    <w:rsid w:val="001E19E4"/>
    <w:rsid w:val="001E5C3A"/>
    <w:rsid w:val="001E6E2B"/>
    <w:rsid w:val="001E7808"/>
    <w:rsid w:val="001F2759"/>
    <w:rsid w:val="001F432B"/>
    <w:rsid w:val="001F4DE6"/>
    <w:rsid w:val="001F6BD4"/>
    <w:rsid w:val="00200C28"/>
    <w:rsid w:val="00202F30"/>
    <w:rsid w:val="00205172"/>
    <w:rsid w:val="0021094B"/>
    <w:rsid w:val="00210D50"/>
    <w:rsid w:val="00212141"/>
    <w:rsid w:val="0021393D"/>
    <w:rsid w:val="00214B5A"/>
    <w:rsid w:val="00216237"/>
    <w:rsid w:val="00217AA3"/>
    <w:rsid w:val="0022054D"/>
    <w:rsid w:val="00220E4C"/>
    <w:rsid w:val="00222348"/>
    <w:rsid w:val="0022391E"/>
    <w:rsid w:val="00224082"/>
    <w:rsid w:val="00224F89"/>
    <w:rsid w:val="00225C94"/>
    <w:rsid w:val="00226368"/>
    <w:rsid w:val="00227500"/>
    <w:rsid w:val="00232B19"/>
    <w:rsid w:val="00233C62"/>
    <w:rsid w:val="00233ECF"/>
    <w:rsid w:val="00235312"/>
    <w:rsid w:val="0023646B"/>
    <w:rsid w:val="002377CE"/>
    <w:rsid w:val="00237C49"/>
    <w:rsid w:val="00240D49"/>
    <w:rsid w:val="002439F5"/>
    <w:rsid w:val="0024569D"/>
    <w:rsid w:val="0024665E"/>
    <w:rsid w:val="00246DAE"/>
    <w:rsid w:val="002471F1"/>
    <w:rsid w:val="002505B5"/>
    <w:rsid w:val="002528CC"/>
    <w:rsid w:val="00254467"/>
    <w:rsid w:val="002606FF"/>
    <w:rsid w:val="00261292"/>
    <w:rsid w:val="00263522"/>
    <w:rsid w:val="0026355B"/>
    <w:rsid w:val="00264396"/>
    <w:rsid w:val="00265893"/>
    <w:rsid w:val="002664F4"/>
    <w:rsid w:val="002679DD"/>
    <w:rsid w:val="00271DB2"/>
    <w:rsid w:val="00273226"/>
    <w:rsid w:val="00274583"/>
    <w:rsid w:val="00274E67"/>
    <w:rsid w:val="00275E2A"/>
    <w:rsid w:val="00275F91"/>
    <w:rsid w:val="0028176C"/>
    <w:rsid w:val="002841CA"/>
    <w:rsid w:val="00284242"/>
    <w:rsid w:val="002854B5"/>
    <w:rsid w:val="002857E5"/>
    <w:rsid w:val="00287532"/>
    <w:rsid w:val="0029066D"/>
    <w:rsid w:val="00293D08"/>
    <w:rsid w:val="00295D3C"/>
    <w:rsid w:val="00296466"/>
    <w:rsid w:val="002969FD"/>
    <w:rsid w:val="00296C54"/>
    <w:rsid w:val="0029758D"/>
    <w:rsid w:val="00297A42"/>
    <w:rsid w:val="002A1378"/>
    <w:rsid w:val="002A1B82"/>
    <w:rsid w:val="002A315A"/>
    <w:rsid w:val="002A61EF"/>
    <w:rsid w:val="002A680A"/>
    <w:rsid w:val="002A751B"/>
    <w:rsid w:val="002B3BB5"/>
    <w:rsid w:val="002B3DD7"/>
    <w:rsid w:val="002C0A91"/>
    <w:rsid w:val="002C29B1"/>
    <w:rsid w:val="002C38EC"/>
    <w:rsid w:val="002C413E"/>
    <w:rsid w:val="002D19F2"/>
    <w:rsid w:val="002D1A34"/>
    <w:rsid w:val="002D3093"/>
    <w:rsid w:val="002D3699"/>
    <w:rsid w:val="002D4E98"/>
    <w:rsid w:val="002D5833"/>
    <w:rsid w:val="002D6154"/>
    <w:rsid w:val="002E0AF2"/>
    <w:rsid w:val="002E16EF"/>
    <w:rsid w:val="002E2DBF"/>
    <w:rsid w:val="002E3687"/>
    <w:rsid w:val="002E3B5E"/>
    <w:rsid w:val="002E422D"/>
    <w:rsid w:val="002E4709"/>
    <w:rsid w:val="002F28D4"/>
    <w:rsid w:val="002F2F16"/>
    <w:rsid w:val="002F34F7"/>
    <w:rsid w:val="002F3CBD"/>
    <w:rsid w:val="002F53D0"/>
    <w:rsid w:val="002F5956"/>
    <w:rsid w:val="002F63FB"/>
    <w:rsid w:val="00302F51"/>
    <w:rsid w:val="00305546"/>
    <w:rsid w:val="00306CBB"/>
    <w:rsid w:val="00310000"/>
    <w:rsid w:val="003104C3"/>
    <w:rsid w:val="003129F7"/>
    <w:rsid w:val="00312F69"/>
    <w:rsid w:val="0031516D"/>
    <w:rsid w:val="00315928"/>
    <w:rsid w:val="00317D06"/>
    <w:rsid w:val="0032061E"/>
    <w:rsid w:val="00320FEB"/>
    <w:rsid w:val="00324F15"/>
    <w:rsid w:val="0032754E"/>
    <w:rsid w:val="00336D1B"/>
    <w:rsid w:val="00342E52"/>
    <w:rsid w:val="00343BA9"/>
    <w:rsid w:val="00344A4A"/>
    <w:rsid w:val="00345BB2"/>
    <w:rsid w:val="0034740B"/>
    <w:rsid w:val="00354554"/>
    <w:rsid w:val="00361D00"/>
    <w:rsid w:val="00365EED"/>
    <w:rsid w:val="00365EF6"/>
    <w:rsid w:val="00367B69"/>
    <w:rsid w:val="003738F1"/>
    <w:rsid w:val="0037751C"/>
    <w:rsid w:val="00377E64"/>
    <w:rsid w:val="003804C0"/>
    <w:rsid w:val="003813FD"/>
    <w:rsid w:val="003822A8"/>
    <w:rsid w:val="00383023"/>
    <w:rsid w:val="00384AA7"/>
    <w:rsid w:val="00386C33"/>
    <w:rsid w:val="0038718B"/>
    <w:rsid w:val="00391159"/>
    <w:rsid w:val="00392BCC"/>
    <w:rsid w:val="00395E2E"/>
    <w:rsid w:val="00397F37"/>
    <w:rsid w:val="003A16D0"/>
    <w:rsid w:val="003A36CC"/>
    <w:rsid w:val="003A4D57"/>
    <w:rsid w:val="003A53FE"/>
    <w:rsid w:val="003A5A38"/>
    <w:rsid w:val="003A656B"/>
    <w:rsid w:val="003A6FC5"/>
    <w:rsid w:val="003B0922"/>
    <w:rsid w:val="003B13A8"/>
    <w:rsid w:val="003B1580"/>
    <w:rsid w:val="003B668D"/>
    <w:rsid w:val="003B6715"/>
    <w:rsid w:val="003B79E5"/>
    <w:rsid w:val="003C1241"/>
    <w:rsid w:val="003C6887"/>
    <w:rsid w:val="003D0ECD"/>
    <w:rsid w:val="003D29C0"/>
    <w:rsid w:val="003D29E6"/>
    <w:rsid w:val="003D2C6D"/>
    <w:rsid w:val="003D3BD9"/>
    <w:rsid w:val="003D40F1"/>
    <w:rsid w:val="003D7221"/>
    <w:rsid w:val="003E22E1"/>
    <w:rsid w:val="003E34DA"/>
    <w:rsid w:val="003E4A2B"/>
    <w:rsid w:val="003E6A61"/>
    <w:rsid w:val="003E7B83"/>
    <w:rsid w:val="003F070A"/>
    <w:rsid w:val="003F0B62"/>
    <w:rsid w:val="003F219C"/>
    <w:rsid w:val="003F2892"/>
    <w:rsid w:val="003F52EE"/>
    <w:rsid w:val="003F657C"/>
    <w:rsid w:val="003F7D16"/>
    <w:rsid w:val="0040093F"/>
    <w:rsid w:val="0040192B"/>
    <w:rsid w:val="004047D5"/>
    <w:rsid w:val="00404CE0"/>
    <w:rsid w:val="00407A4C"/>
    <w:rsid w:val="004119DA"/>
    <w:rsid w:val="00412369"/>
    <w:rsid w:val="004133CA"/>
    <w:rsid w:val="00413C96"/>
    <w:rsid w:val="00414186"/>
    <w:rsid w:val="00414412"/>
    <w:rsid w:val="0041587E"/>
    <w:rsid w:val="00415BB6"/>
    <w:rsid w:val="0041798E"/>
    <w:rsid w:val="004179E1"/>
    <w:rsid w:val="004213CC"/>
    <w:rsid w:val="00421AAE"/>
    <w:rsid w:val="00421B63"/>
    <w:rsid w:val="00424F11"/>
    <w:rsid w:val="00426176"/>
    <w:rsid w:val="0043113A"/>
    <w:rsid w:val="004321BD"/>
    <w:rsid w:val="00434ED5"/>
    <w:rsid w:val="00435B0E"/>
    <w:rsid w:val="00435F58"/>
    <w:rsid w:val="00440904"/>
    <w:rsid w:val="00441D75"/>
    <w:rsid w:val="004451AF"/>
    <w:rsid w:val="00445504"/>
    <w:rsid w:val="00447B41"/>
    <w:rsid w:val="00454483"/>
    <w:rsid w:val="00456D9F"/>
    <w:rsid w:val="00462A71"/>
    <w:rsid w:val="00462F0D"/>
    <w:rsid w:val="0046533A"/>
    <w:rsid w:val="004721B3"/>
    <w:rsid w:val="00472E80"/>
    <w:rsid w:val="00473542"/>
    <w:rsid w:val="00476223"/>
    <w:rsid w:val="004773CA"/>
    <w:rsid w:val="00477433"/>
    <w:rsid w:val="00481242"/>
    <w:rsid w:val="00483306"/>
    <w:rsid w:val="004857F0"/>
    <w:rsid w:val="00485923"/>
    <w:rsid w:val="00487068"/>
    <w:rsid w:val="00490830"/>
    <w:rsid w:val="00491C8C"/>
    <w:rsid w:val="00492680"/>
    <w:rsid w:val="00492BB8"/>
    <w:rsid w:val="00493202"/>
    <w:rsid w:val="00493286"/>
    <w:rsid w:val="0049405A"/>
    <w:rsid w:val="0049517B"/>
    <w:rsid w:val="004977AB"/>
    <w:rsid w:val="004A1530"/>
    <w:rsid w:val="004A667E"/>
    <w:rsid w:val="004B0583"/>
    <w:rsid w:val="004B16B2"/>
    <w:rsid w:val="004B3B7D"/>
    <w:rsid w:val="004B5074"/>
    <w:rsid w:val="004B5C88"/>
    <w:rsid w:val="004B6AF2"/>
    <w:rsid w:val="004B7F39"/>
    <w:rsid w:val="004C21AC"/>
    <w:rsid w:val="004C48A8"/>
    <w:rsid w:val="004C4D68"/>
    <w:rsid w:val="004C75CE"/>
    <w:rsid w:val="004C7DD4"/>
    <w:rsid w:val="004D066E"/>
    <w:rsid w:val="004D111B"/>
    <w:rsid w:val="004D4627"/>
    <w:rsid w:val="004E0ECE"/>
    <w:rsid w:val="004E1CA4"/>
    <w:rsid w:val="004E6319"/>
    <w:rsid w:val="004E65D7"/>
    <w:rsid w:val="004E6ED7"/>
    <w:rsid w:val="004E7C3F"/>
    <w:rsid w:val="004F24B9"/>
    <w:rsid w:val="004F24FB"/>
    <w:rsid w:val="004F32F3"/>
    <w:rsid w:val="004F38A0"/>
    <w:rsid w:val="004F552E"/>
    <w:rsid w:val="00500934"/>
    <w:rsid w:val="005040A4"/>
    <w:rsid w:val="005042B3"/>
    <w:rsid w:val="0050673A"/>
    <w:rsid w:val="005069E3"/>
    <w:rsid w:val="00510B33"/>
    <w:rsid w:val="00512DE6"/>
    <w:rsid w:val="005144E2"/>
    <w:rsid w:val="00515C5A"/>
    <w:rsid w:val="0052198B"/>
    <w:rsid w:val="0052204B"/>
    <w:rsid w:val="00522F2A"/>
    <w:rsid w:val="00524B28"/>
    <w:rsid w:val="00527C4C"/>
    <w:rsid w:val="00531A94"/>
    <w:rsid w:val="00533DF0"/>
    <w:rsid w:val="00540BB8"/>
    <w:rsid w:val="00541DE3"/>
    <w:rsid w:val="005444E5"/>
    <w:rsid w:val="005468BA"/>
    <w:rsid w:val="00546CF7"/>
    <w:rsid w:val="005513CE"/>
    <w:rsid w:val="00551B83"/>
    <w:rsid w:val="00552C2A"/>
    <w:rsid w:val="0055433F"/>
    <w:rsid w:val="00554706"/>
    <w:rsid w:val="00561BC3"/>
    <w:rsid w:val="00562E61"/>
    <w:rsid w:val="005667D2"/>
    <w:rsid w:val="00566F5C"/>
    <w:rsid w:val="005701B4"/>
    <w:rsid w:val="00570288"/>
    <w:rsid w:val="00570753"/>
    <w:rsid w:val="005719D6"/>
    <w:rsid w:val="00575197"/>
    <w:rsid w:val="00575DD6"/>
    <w:rsid w:val="00580A89"/>
    <w:rsid w:val="00581FC2"/>
    <w:rsid w:val="0058321F"/>
    <w:rsid w:val="005834CE"/>
    <w:rsid w:val="00584A52"/>
    <w:rsid w:val="00586C9B"/>
    <w:rsid w:val="0059033F"/>
    <w:rsid w:val="00590CBC"/>
    <w:rsid w:val="00594AB0"/>
    <w:rsid w:val="00595B4F"/>
    <w:rsid w:val="00595FAF"/>
    <w:rsid w:val="005975E8"/>
    <w:rsid w:val="00597A61"/>
    <w:rsid w:val="005A2240"/>
    <w:rsid w:val="005A4337"/>
    <w:rsid w:val="005A51A1"/>
    <w:rsid w:val="005A561E"/>
    <w:rsid w:val="005A630E"/>
    <w:rsid w:val="005A7D11"/>
    <w:rsid w:val="005B318B"/>
    <w:rsid w:val="005B3C80"/>
    <w:rsid w:val="005B40C5"/>
    <w:rsid w:val="005B4B1A"/>
    <w:rsid w:val="005B4B51"/>
    <w:rsid w:val="005C590E"/>
    <w:rsid w:val="005D0619"/>
    <w:rsid w:val="005D0FAC"/>
    <w:rsid w:val="005D141F"/>
    <w:rsid w:val="005D2272"/>
    <w:rsid w:val="005D22E2"/>
    <w:rsid w:val="005D335E"/>
    <w:rsid w:val="005D41DD"/>
    <w:rsid w:val="005D5985"/>
    <w:rsid w:val="005D708F"/>
    <w:rsid w:val="005D7C2E"/>
    <w:rsid w:val="005E3922"/>
    <w:rsid w:val="005E3944"/>
    <w:rsid w:val="005E5456"/>
    <w:rsid w:val="005F07CD"/>
    <w:rsid w:val="005F6F78"/>
    <w:rsid w:val="005F70AB"/>
    <w:rsid w:val="00605472"/>
    <w:rsid w:val="00605F5A"/>
    <w:rsid w:val="00607078"/>
    <w:rsid w:val="0060756F"/>
    <w:rsid w:val="00607FAF"/>
    <w:rsid w:val="006106B3"/>
    <w:rsid w:val="00610DBF"/>
    <w:rsid w:val="00612562"/>
    <w:rsid w:val="00614D01"/>
    <w:rsid w:val="006162F2"/>
    <w:rsid w:val="00617340"/>
    <w:rsid w:val="006178B7"/>
    <w:rsid w:val="00617A56"/>
    <w:rsid w:val="00617E28"/>
    <w:rsid w:val="00617FFB"/>
    <w:rsid w:val="006218D8"/>
    <w:rsid w:val="00622C4A"/>
    <w:rsid w:val="0062306B"/>
    <w:rsid w:val="006239C5"/>
    <w:rsid w:val="00623EC8"/>
    <w:rsid w:val="00625178"/>
    <w:rsid w:val="00627217"/>
    <w:rsid w:val="0062751D"/>
    <w:rsid w:val="006316C0"/>
    <w:rsid w:val="00631BF1"/>
    <w:rsid w:val="00631C32"/>
    <w:rsid w:val="00633AA2"/>
    <w:rsid w:val="006352CD"/>
    <w:rsid w:val="006357F3"/>
    <w:rsid w:val="00640374"/>
    <w:rsid w:val="00643287"/>
    <w:rsid w:val="00643C3B"/>
    <w:rsid w:val="0064528A"/>
    <w:rsid w:val="00645CDF"/>
    <w:rsid w:val="00647F33"/>
    <w:rsid w:val="00650FEA"/>
    <w:rsid w:val="00652476"/>
    <w:rsid w:val="00653934"/>
    <w:rsid w:val="00653A21"/>
    <w:rsid w:val="00655EB2"/>
    <w:rsid w:val="006600D2"/>
    <w:rsid w:val="00660243"/>
    <w:rsid w:val="00661AE4"/>
    <w:rsid w:val="00664D01"/>
    <w:rsid w:val="00664F87"/>
    <w:rsid w:val="0066640A"/>
    <w:rsid w:val="00666EC3"/>
    <w:rsid w:val="0066716D"/>
    <w:rsid w:val="006676AD"/>
    <w:rsid w:val="00667DF4"/>
    <w:rsid w:val="00670B33"/>
    <w:rsid w:val="00670E67"/>
    <w:rsid w:val="00675319"/>
    <w:rsid w:val="00675855"/>
    <w:rsid w:val="00675D31"/>
    <w:rsid w:val="00677812"/>
    <w:rsid w:val="00682864"/>
    <w:rsid w:val="006836A5"/>
    <w:rsid w:val="00684088"/>
    <w:rsid w:val="00684411"/>
    <w:rsid w:val="00684E03"/>
    <w:rsid w:val="006916EF"/>
    <w:rsid w:val="00693DEF"/>
    <w:rsid w:val="00695294"/>
    <w:rsid w:val="00695461"/>
    <w:rsid w:val="00696B7B"/>
    <w:rsid w:val="006A0A91"/>
    <w:rsid w:val="006A15BF"/>
    <w:rsid w:val="006A391D"/>
    <w:rsid w:val="006A3B6D"/>
    <w:rsid w:val="006A50E6"/>
    <w:rsid w:val="006A5A1F"/>
    <w:rsid w:val="006A5A50"/>
    <w:rsid w:val="006A6A87"/>
    <w:rsid w:val="006A74C7"/>
    <w:rsid w:val="006B089C"/>
    <w:rsid w:val="006B0C3A"/>
    <w:rsid w:val="006B1B5F"/>
    <w:rsid w:val="006B1D10"/>
    <w:rsid w:val="006B2B2C"/>
    <w:rsid w:val="006B370C"/>
    <w:rsid w:val="006B4040"/>
    <w:rsid w:val="006B4E4A"/>
    <w:rsid w:val="006B5127"/>
    <w:rsid w:val="006B7614"/>
    <w:rsid w:val="006C034F"/>
    <w:rsid w:val="006C1870"/>
    <w:rsid w:val="006C2543"/>
    <w:rsid w:val="006C4BDB"/>
    <w:rsid w:val="006C66F3"/>
    <w:rsid w:val="006D00DD"/>
    <w:rsid w:val="006D1E7B"/>
    <w:rsid w:val="006D1FBC"/>
    <w:rsid w:val="006E1F14"/>
    <w:rsid w:val="006E3807"/>
    <w:rsid w:val="006E4413"/>
    <w:rsid w:val="006E64D0"/>
    <w:rsid w:val="006F0CEB"/>
    <w:rsid w:val="006F2CD2"/>
    <w:rsid w:val="006F510D"/>
    <w:rsid w:val="006F517C"/>
    <w:rsid w:val="006F5688"/>
    <w:rsid w:val="00701373"/>
    <w:rsid w:val="0070160E"/>
    <w:rsid w:val="00702515"/>
    <w:rsid w:val="007036E6"/>
    <w:rsid w:val="00703F41"/>
    <w:rsid w:val="00710624"/>
    <w:rsid w:val="0071148E"/>
    <w:rsid w:val="00711AFE"/>
    <w:rsid w:val="0071552D"/>
    <w:rsid w:val="007156D6"/>
    <w:rsid w:val="00716025"/>
    <w:rsid w:val="007214D0"/>
    <w:rsid w:val="00722351"/>
    <w:rsid w:val="007253EE"/>
    <w:rsid w:val="00726FA8"/>
    <w:rsid w:val="0073093A"/>
    <w:rsid w:val="00730FD6"/>
    <w:rsid w:val="00731FD2"/>
    <w:rsid w:val="00732A92"/>
    <w:rsid w:val="00732FF3"/>
    <w:rsid w:val="00734774"/>
    <w:rsid w:val="00734A06"/>
    <w:rsid w:val="007353E6"/>
    <w:rsid w:val="00736EC1"/>
    <w:rsid w:val="007379CA"/>
    <w:rsid w:val="00741EEA"/>
    <w:rsid w:val="007429F7"/>
    <w:rsid w:val="00743782"/>
    <w:rsid w:val="00744A48"/>
    <w:rsid w:val="00745A99"/>
    <w:rsid w:val="00746258"/>
    <w:rsid w:val="00746DD1"/>
    <w:rsid w:val="00747D99"/>
    <w:rsid w:val="00750A59"/>
    <w:rsid w:val="00750F9C"/>
    <w:rsid w:val="00753976"/>
    <w:rsid w:val="00753A7E"/>
    <w:rsid w:val="00753D25"/>
    <w:rsid w:val="00756A5F"/>
    <w:rsid w:val="0076086E"/>
    <w:rsid w:val="007623DC"/>
    <w:rsid w:val="00762420"/>
    <w:rsid w:val="00764BD9"/>
    <w:rsid w:val="0076695F"/>
    <w:rsid w:val="00767E80"/>
    <w:rsid w:val="00771608"/>
    <w:rsid w:val="00771909"/>
    <w:rsid w:val="00773F02"/>
    <w:rsid w:val="0077427B"/>
    <w:rsid w:val="0077681B"/>
    <w:rsid w:val="00781200"/>
    <w:rsid w:val="007846EC"/>
    <w:rsid w:val="00785F48"/>
    <w:rsid w:val="00790415"/>
    <w:rsid w:val="0079317D"/>
    <w:rsid w:val="0079457D"/>
    <w:rsid w:val="00794CDB"/>
    <w:rsid w:val="007971F4"/>
    <w:rsid w:val="00797BCD"/>
    <w:rsid w:val="007A0A41"/>
    <w:rsid w:val="007A4B25"/>
    <w:rsid w:val="007A4D6E"/>
    <w:rsid w:val="007A5682"/>
    <w:rsid w:val="007A5D3D"/>
    <w:rsid w:val="007A6A1D"/>
    <w:rsid w:val="007B0892"/>
    <w:rsid w:val="007B105F"/>
    <w:rsid w:val="007B17C7"/>
    <w:rsid w:val="007B191B"/>
    <w:rsid w:val="007B476C"/>
    <w:rsid w:val="007B6861"/>
    <w:rsid w:val="007B7F9B"/>
    <w:rsid w:val="007C18B9"/>
    <w:rsid w:val="007C1DA4"/>
    <w:rsid w:val="007C49BD"/>
    <w:rsid w:val="007C4C2D"/>
    <w:rsid w:val="007C7B48"/>
    <w:rsid w:val="007D3781"/>
    <w:rsid w:val="007D53E8"/>
    <w:rsid w:val="007D715E"/>
    <w:rsid w:val="007E16D1"/>
    <w:rsid w:val="007E2115"/>
    <w:rsid w:val="007E25A5"/>
    <w:rsid w:val="007E65AD"/>
    <w:rsid w:val="007E6A36"/>
    <w:rsid w:val="007E715A"/>
    <w:rsid w:val="007F0531"/>
    <w:rsid w:val="007F0C84"/>
    <w:rsid w:val="007F2607"/>
    <w:rsid w:val="007F4288"/>
    <w:rsid w:val="007F5006"/>
    <w:rsid w:val="007F5199"/>
    <w:rsid w:val="007F606D"/>
    <w:rsid w:val="0080018A"/>
    <w:rsid w:val="008033AB"/>
    <w:rsid w:val="00803C3E"/>
    <w:rsid w:val="00803F31"/>
    <w:rsid w:val="00805098"/>
    <w:rsid w:val="00807D3F"/>
    <w:rsid w:val="00807E31"/>
    <w:rsid w:val="008107B2"/>
    <w:rsid w:val="008118CA"/>
    <w:rsid w:val="008143C2"/>
    <w:rsid w:val="00817AA2"/>
    <w:rsid w:val="008208B8"/>
    <w:rsid w:val="00820AD0"/>
    <w:rsid w:val="00820E30"/>
    <w:rsid w:val="008215AA"/>
    <w:rsid w:val="00827089"/>
    <w:rsid w:val="0082750B"/>
    <w:rsid w:val="0083148F"/>
    <w:rsid w:val="00831510"/>
    <w:rsid w:val="0083737C"/>
    <w:rsid w:val="008376B7"/>
    <w:rsid w:val="00837B84"/>
    <w:rsid w:val="00837EFF"/>
    <w:rsid w:val="0084641B"/>
    <w:rsid w:val="00847E2A"/>
    <w:rsid w:val="00851D1F"/>
    <w:rsid w:val="00854AA7"/>
    <w:rsid w:val="0086054E"/>
    <w:rsid w:val="0086281D"/>
    <w:rsid w:val="00863AA3"/>
    <w:rsid w:val="00867B65"/>
    <w:rsid w:val="00870EAB"/>
    <w:rsid w:val="00874F69"/>
    <w:rsid w:val="00877842"/>
    <w:rsid w:val="008808CA"/>
    <w:rsid w:val="00880A5B"/>
    <w:rsid w:val="00880E9E"/>
    <w:rsid w:val="00882212"/>
    <w:rsid w:val="00883254"/>
    <w:rsid w:val="00883CCA"/>
    <w:rsid w:val="00884170"/>
    <w:rsid w:val="0088530A"/>
    <w:rsid w:val="00887449"/>
    <w:rsid w:val="0089057C"/>
    <w:rsid w:val="00891A26"/>
    <w:rsid w:val="00893784"/>
    <w:rsid w:val="0089438E"/>
    <w:rsid w:val="008947BE"/>
    <w:rsid w:val="008A0EDD"/>
    <w:rsid w:val="008A370A"/>
    <w:rsid w:val="008B08E4"/>
    <w:rsid w:val="008B0B32"/>
    <w:rsid w:val="008B2BB7"/>
    <w:rsid w:val="008B400C"/>
    <w:rsid w:val="008B5D9A"/>
    <w:rsid w:val="008C06C5"/>
    <w:rsid w:val="008C2D29"/>
    <w:rsid w:val="008C4CA1"/>
    <w:rsid w:val="008C6281"/>
    <w:rsid w:val="008C6C46"/>
    <w:rsid w:val="008D06D7"/>
    <w:rsid w:val="008D3033"/>
    <w:rsid w:val="008D3EB8"/>
    <w:rsid w:val="008D55BF"/>
    <w:rsid w:val="008D5AB3"/>
    <w:rsid w:val="008D69E4"/>
    <w:rsid w:val="008D772F"/>
    <w:rsid w:val="008E027A"/>
    <w:rsid w:val="008E0E43"/>
    <w:rsid w:val="008E1FFB"/>
    <w:rsid w:val="008E4B6C"/>
    <w:rsid w:val="008E4FB4"/>
    <w:rsid w:val="008E617D"/>
    <w:rsid w:val="008F343C"/>
    <w:rsid w:val="009009FB"/>
    <w:rsid w:val="00900BF2"/>
    <w:rsid w:val="009015DE"/>
    <w:rsid w:val="00902389"/>
    <w:rsid w:val="009045F5"/>
    <w:rsid w:val="00906A56"/>
    <w:rsid w:val="009077D0"/>
    <w:rsid w:val="00907B4F"/>
    <w:rsid w:val="00910D04"/>
    <w:rsid w:val="009132EB"/>
    <w:rsid w:val="0091436B"/>
    <w:rsid w:val="009154B6"/>
    <w:rsid w:val="009164F7"/>
    <w:rsid w:val="00917A82"/>
    <w:rsid w:val="0092315B"/>
    <w:rsid w:val="0093367F"/>
    <w:rsid w:val="00935678"/>
    <w:rsid w:val="00940389"/>
    <w:rsid w:val="00941555"/>
    <w:rsid w:val="00942DC7"/>
    <w:rsid w:val="009448A0"/>
    <w:rsid w:val="00946574"/>
    <w:rsid w:val="00946F6C"/>
    <w:rsid w:val="009478DD"/>
    <w:rsid w:val="00950329"/>
    <w:rsid w:val="00950822"/>
    <w:rsid w:val="00951195"/>
    <w:rsid w:val="009530E0"/>
    <w:rsid w:val="00955394"/>
    <w:rsid w:val="00957D44"/>
    <w:rsid w:val="00963B1D"/>
    <w:rsid w:val="009658B0"/>
    <w:rsid w:val="00967D5A"/>
    <w:rsid w:val="009735A4"/>
    <w:rsid w:val="0097403E"/>
    <w:rsid w:val="009836EB"/>
    <w:rsid w:val="00984367"/>
    <w:rsid w:val="009845FE"/>
    <w:rsid w:val="00987AD0"/>
    <w:rsid w:val="00990DC0"/>
    <w:rsid w:val="00993611"/>
    <w:rsid w:val="009939CA"/>
    <w:rsid w:val="00994B23"/>
    <w:rsid w:val="009A0E0A"/>
    <w:rsid w:val="009A26F1"/>
    <w:rsid w:val="009A2884"/>
    <w:rsid w:val="009A34E6"/>
    <w:rsid w:val="009A455B"/>
    <w:rsid w:val="009A5CE4"/>
    <w:rsid w:val="009A7BAD"/>
    <w:rsid w:val="009A7BEA"/>
    <w:rsid w:val="009B353D"/>
    <w:rsid w:val="009C0719"/>
    <w:rsid w:val="009C3E78"/>
    <w:rsid w:val="009C7804"/>
    <w:rsid w:val="009D225E"/>
    <w:rsid w:val="009D22CA"/>
    <w:rsid w:val="009D69F0"/>
    <w:rsid w:val="009E00AD"/>
    <w:rsid w:val="009E1578"/>
    <w:rsid w:val="009E19B7"/>
    <w:rsid w:val="009E357A"/>
    <w:rsid w:val="009E442B"/>
    <w:rsid w:val="009E6812"/>
    <w:rsid w:val="009E7C8F"/>
    <w:rsid w:val="009F1628"/>
    <w:rsid w:val="009F2D62"/>
    <w:rsid w:val="009F394A"/>
    <w:rsid w:val="009F47A5"/>
    <w:rsid w:val="009F5A8C"/>
    <w:rsid w:val="009F6D3E"/>
    <w:rsid w:val="00A003E2"/>
    <w:rsid w:val="00A01803"/>
    <w:rsid w:val="00A01BE9"/>
    <w:rsid w:val="00A02E64"/>
    <w:rsid w:val="00A0755E"/>
    <w:rsid w:val="00A105B7"/>
    <w:rsid w:val="00A11247"/>
    <w:rsid w:val="00A133AE"/>
    <w:rsid w:val="00A13471"/>
    <w:rsid w:val="00A13C6A"/>
    <w:rsid w:val="00A149D5"/>
    <w:rsid w:val="00A15FCA"/>
    <w:rsid w:val="00A165B3"/>
    <w:rsid w:val="00A17C76"/>
    <w:rsid w:val="00A2111D"/>
    <w:rsid w:val="00A21145"/>
    <w:rsid w:val="00A21DF2"/>
    <w:rsid w:val="00A22C3D"/>
    <w:rsid w:val="00A26845"/>
    <w:rsid w:val="00A26A04"/>
    <w:rsid w:val="00A3039A"/>
    <w:rsid w:val="00A303CB"/>
    <w:rsid w:val="00A3195F"/>
    <w:rsid w:val="00A36511"/>
    <w:rsid w:val="00A36A2C"/>
    <w:rsid w:val="00A37567"/>
    <w:rsid w:val="00A403A5"/>
    <w:rsid w:val="00A4086C"/>
    <w:rsid w:val="00A416B6"/>
    <w:rsid w:val="00A4191D"/>
    <w:rsid w:val="00A41E55"/>
    <w:rsid w:val="00A4205D"/>
    <w:rsid w:val="00A42632"/>
    <w:rsid w:val="00A43C79"/>
    <w:rsid w:val="00A4404F"/>
    <w:rsid w:val="00A4626A"/>
    <w:rsid w:val="00A50823"/>
    <w:rsid w:val="00A511F6"/>
    <w:rsid w:val="00A51C0E"/>
    <w:rsid w:val="00A55167"/>
    <w:rsid w:val="00A57597"/>
    <w:rsid w:val="00A6013A"/>
    <w:rsid w:val="00A615DE"/>
    <w:rsid w:val="00A62555"/>
    <w:rsid w:val="00A633EB"/>
    <w:rsid w:val="00A658B7"/>
    <w:rsid w:val="00A66106"/>
    <w:rsid w:val="00A6616D"/>
    <w:rsid w:val="00A673D0"/>
    <w:rsid w:val="00A67B12"/>
    <w:rsid w:val="00A70179"/>
    <w:rsid w:val="00A74101"/>
    <w:rsid w:val="00A77206"/>
    <w:rsid w:val="00A77955"/>
    <w:rsid w:val="00A812DB"/>
    <w:rsid w:val="00A82402"/>
    <w:rsid w:val="00A86681"/>
    <w:rsid w:val="00A86D87"/>
    <w:rsid w:val="00A8772A"/>
    <w:rsid w:val="00A9012C"/>
    <w:rsid w:val="00A910AA"/>
    <w:rsid w:val="00A921A9"/>
    <w:rsid w:val="00A924C1"/>
    <w:rsid w:val="00A92FBA"/>
    <w:rsid w:val="00A93892"/>
    <w:rsid w:val="00A94F4B"/>
    <w:rsid w:val="00A97EA5"/>
    <w:rsid w:val="00AA0299"/>
    <w:rsid w:val="00AA1A91"/>
    <w:rsid w:val="00AA523D"/>
    <w:rsid w:val="00AB14E9"/>
    <w:rsid w:val="00AB3CF8"/>
    <w:rsid w:val="00AB4ED0"/>
    <w:rsid w:val="00AB58D6"/>
    <w:rsid w:val="00AB59E6"/>
    <w:rsid w:val="00AB61FF"/>
    <w:rsid w:val="00AB62BD"/>
    <w:rsid w:val="00AB7C8D"/>
    <w:rsid w:val="00AC124A"/>
    <w:rsid w:val="00AC3458"/>
    <w:rsid w:val="00AC3465"/>
    <w:rsid w:val="00AC4A17"/>
    <w:rsid w:val="00AC767A"/>
    <w:rsid w:val="00AD0A6A"/>
    <w:rsid w:val="00AD0CD6"/>
    <w:rsid w:val="00AD51B7"/>
    <w:rsid w:val="00AE00E0"/>
    <w:rsid w:val="00AE054E"/>
    <w:rsid w:val="00AE0E16"/>
    <w:rsid w:val="00AE4DEC"/>
    <w:rsid w:val="00AE4FC0"/>
    <w:rsid w:val="00AE52D0"/>
    <w:rsid w:val="00AF0090"/>
    <w:rsid w:val="00AF1F8F"/>
    <w:rsid w:val="00AF20C8"/>
    <w:rsid w:val="00AF248D"/>
    <w:rsid w:val="00AF2CF6"/>
    <w:rsid w:val="00AF3704"/>
    <w:rsid w:val="00AF4C30"/>
    <w:rsid w:val="00AF5E79"/>
    <w:rsid w:val="00AF72F5"/>
    <w:rsid w:val="00AF742C"/>
    <w:rsid w:val="00B013C7"/>
    <w:rsid w:val="00B02DA4"/>
    <w:rsid w:val="00B02DB4"/>
    <w:rsid w:val="00B03AB9"/>
    <w:rsid w:val="00B05BB0"/>
    <w:rsid w:val="00B05F63"/>
    <w:rsid w:val="00B06CD5"/>
    <w:rsid w:val="00B07F15"/>
    <w:rsid w:val="00B157CE"/>
    <w:rsid w:val="00B166C5"/>
    <w:rsid w:val="00B178EA"/>
    <w:rsid w:val="00B2191E"/>
    <w:rsid w:val="00B22F7C"/>
    <w:rsid w:val="00B2627D"/>
    <w:rsid w:val="00B2724C"/>
    <w:rsid w:val="00B31BC4"/>
    <w:rsid w:val="00B33763"/>
    <w:rsid w:val="00B338EC"/>
    <w:rsid w:val="00B37AA9"/>
    <w:rsid w:val="00B404C9"/>
    <w:rsid w:val="00B40FCC"/>
    <w:rsid w:val="00B413BB"/>
    <w:rsid w:val="00B42DB6"/>
    <w:rsid w:val="00B508FB"/>
    <w:rsid w:val="00B50FFE"/>
    <w:rsid w:val="00B51CE7"/>
    <w:rsid w:val="00B523C7"/>
    <w:rsid w:val="00B55646"/>
    <w:rsid w:val="00B556FB"/>
    <w:rsid w:val="00B55C79"/>
    <w:rsid w:val="00B646C7"/>
    <w:rsid w:val="00B65F79"/>
    <w:rsid w:val="00B7364D"/>
    <w:rsid w:val="00B73C4C"/>
    <w:rsid w:val="00B75368"/>
    <w:rsid w:val="00B775A1"/>
    <w:rsid w:val="00B77E82"/>
    <w:rsid w:val="00B80686"/>
    <w:rsid w:val="00B82B6C"/>
    <w:rsid w:val="00B831DA"/>
    <w:rsid w:val="00B83B0A"/>
    <w:rsid w:val="00B83B1D"/>
    <w:rsid w:val="00B8708C"/>
    <w:rsid w:val="00B949FB"/>
    <w:rsid w:val="00B954ED"/>
    <w:rsid w:val="00BA15B3"/>
    <w:rsid w:val="00BA43BB"/>
    <w:rsid w:val="00BB21E9"/>
    <w:rsid w:val="00BB4D8D"/>
    <w:rsid w:val="00BB4FCE"/>
    <w:rsid w:val="00BB53E7"/>
    <w:rsid w:val="00BB5DC7"/>
    <w:rsid w:val="00BC0147"/>
    <w:rsid w:val="00BC16E9"/>
    <w:rsid w:val="00BC3D26"/>
    <w:rsid w:val="00BD05DB"/>
    <w:rsid w:val="00BD151C"/>
    <w:rsid w:val="00BD4988"/>
    <w:rsid w:val="00BD4E9D"/>
    <w:rsid w:val="00BD53B6"/>
    <w:rsid w:val="00BD5DEC"/>
    <w:rsid w:val="00BD69D7"/>
    <w:rsid w:val="00BD6CCC"/>
    <w:rsid w:val="00BD7332"/>
    <w:rsid w:val="00BD7489"/>
    <w:rsid w:val="00BE0A21"/>
    <w:rsid w:val="00BF2EC7"/>
    <w:rsid w:val="00BF3604"/>
    <w:rsid w:val="00BF3FD1"/>
    <w:rsid w:val="00BF6BAE"/>
    <w:rsid w:val="00C00226"/>
    <w:rsid w:val="00C00B9E"/>
    <w:rsid w:val="00C036A9"/>
    <w:rsid w:val="00C0758D"/>
    <w:rsid w:val="00C10507"/>
    <w:rsid w:val="00C118EE"/>
    <w:rsid w:val="00C12C63"/>
    <w:rsid w:val="00C134A9"/>
    <w:rsid w:val="00C14E9C"/>
    <w:rsid w:val="00C15A36"/>
    <w:rsid w:val="00C25504"/>
    <w:rsid w:val="00C261B6"/>
    <w:rsid w:val="00C2625B"/>
    <w:rsid w:val="00C27E00"/>
    <w:rsid w:val="00C311EE"/>
    <w:rsid w:val="00C32271"/>
    <w:rsid w:val="00C335FB"/>
    <w:rsid w:val="00C33833"/>
    <w:rsid w:val="00C407E2"/>
    <w:rsid w:val="00C429DD"/>
    <w:rsid w:val="00C42B25"/>
    <w:rsid w:val="00C42CD6"/>
    <w:rsid w:val="00C4397B"/>
    <w:rsid w:val="00C43C28"/>
    <w:rsid w:val="00C4582D"/>
    <w:rsid w:val="00C4591A"/>
    <w:rsid w:val="00C5078C"/>
    <w:rsid w:val="00C5094B"/>
    <w:rsid w:val="00C5105C"/>
    <w:rsid w:val="00C57A2B"/>
    <w:rsid w:val="00C57C8B"/>
    <w:rsid w:val="00C634EF"/>
    <w:rsid w:val="00C66B0C"/>
    <w:rsid w:val="00C70225"/>
    <w:rsid w:val="00C7181B"/>
    <w:rsid w:val="00C75E3E"/>
    <w:rsid w:val="00C77B4C"/>
    <w:rsid w:val="00C81CA9"/>
    <w:rsid w:val="00C81F28"/>
    <w:rsid w:val="00C82D98"/>
    <w:rsid w:val="00C8559D"/>
    <w:rsid w:val="00C9222B"/>
    <w:rsid w:val="00C93A7D"/>
    <w:rsid w:val="00C9520B"/>
    <w:rsid w:val="00C95581"/>
    <w:rsid w:val="00C95DD6"/>
    <w:rsid w:val="00C96E18"/>
    <w:rsid w:val="00CA0BFD"/>
    <w:rsid w:val="00CA0FBF"/>
    <w:rsid w:val="00CA204A"/>
    <w:rsid w:val="00CA3B77"/>
    <w:rsid w:val="00CA5E29"/>
    <w:rsid w:val="00CA6498"/>
    <w:rsid w:val="00CA767E"/>
    <w:rsid w:val="00CB1CF6"/>
    <w:rsid w:val="00CB205B"/>
    <w:rsid w:val="00CB2351"/>
    <w:rsid w:val="00CB3273"/>
    <w:rsid w:val="00CB6ED1"/>
    <w:rsid w:val="00CC078D"/>
    <w:rsid w:val="00CC0F80"/>
    <w:rsid w:val="00CC3365"/>
    <w:rsid w:val="00CC420E"/>
    <w:rsid w:val="00CD06E5"/>
    <w:rsid w:val="00CD0C8D"/>
    <w:rsid w:val="00CD1A06"/>
    <w:rsid w:val="00CD29C8"/>
    <w:rsid w:val="00CD4E8F"/>
    <w:rsid w:val="00CD64D0"/>
    <w:rsid w:val="00CE0846"/>
    <w:rsid w:val="00CE1FFF"/>
    <w:rsid w:val="00CE6B36"/>
    <w:rsid w:val="00CE6B79"/>
    <w:rsid w:val="00CE7757"/>
    <w:rsid w:val="00CE7DAD"/>
    <w:rsid w:val="00CF2ED0"/>
    <w:rsid w:val="00CF3172"/>
    <w:rsid w:val="00CF53C8"/>
    <w:rsid w:val="00CF54E5"/>
    <w:rsid w:val="00CF5942"/>
    <w:rsid w:val="00CF6729"/>
    <w:rsid w:val="00CF7787"/>
    <w:rsid w:val="00D03C62"/>
    <w:rsid w:val="00D05CD7"/>
    <w:rsid w:val="00D11E15"/>
    <w:rsid w:val="00D144DF"/>
    <w:rsid w:val="00D20679"/>
    <w:rsid w:val="00D2454E"/>
    <w:rsid w:val="00D26786"/>
    <w:rsid w:val="00D26CE7"/>
    <w:rsid w:val="00D27A3A"/>
    <w:rsid w:val="00D27D2A"/>
    <w:rsid w:val="00D305AF"/>
    <w:rsid w:val="00D31C8E"/>
    <w:rsid w:val="00D37B4C"/>
    <w:rsid w:val="00D41E0C"/>
    <w:rsid w:val="00D42B82"/>
    <w:rsid w:val="00D43740"/>
    <w:rsid w:val="00D4676D"/>
    <w:rsid w:val="00D51CF7"/>
    <w:rsid w:val="00D55BD1"/>
    <w:rsid w:val="00D5675F"/>
    <w:rsid w:val="00D568FA"/>
    <w:rsid w:val="00D57CDC"/>
    <w:rsid w:val="00D618DF"/>
    <w:rsid w:val="00D642D5"/>
    <w:rsid w:val="00D7235C"/>
    <w:rsid w:val="00D82B9A"/>
    <w:rsid w:val="00D84539"/>
    <w:rsid w:val="00D85574"/>
    <w:rsid w:val="00D918F8"/>
    <w:rsid w:val="00D931E1"/>
    <w:rsid w:val="00D93F3A"/>
    <w:rsid w:val="00D9696A"/>
    <w:rsid w:val="00D96ACD"/>
    <w:rsid w:val="00D97086"/>
    <w:rsid w:val="00DA03D4"/>
    <w:rsid w:val="00DA18D9"/>
    <w:rsid w:val="00DA20D5"/>
    <w:rsid w:val="00DA25F6"/>
    <w:rsid w:val="00DA36DD"/>
    <w:rsid w:val="00DA3A65"/>
    <w:rsid w:val="00DA4FBA"/>
    <w:rsid w:val="00DA5E35"/>
    <w:rsid w:val="00DA6002"/>
    <w:rsid w:val="00DA6216"/>
    <w:rsid w:val="00DA69D2"/>
    <w:rsid w:val="00DB0012"/>
    <w:rsid w:val="00DB07D2"/>
    <w:rsid w:val="00DB0CF3"/>
    <w:rsid w:val="00DB1FD3"/>
    <w:rsid w:val="00DB34CE"/>
    <w:rsid w:val="00DB73D3"/>
    <w:rsid w:val="00DB752E"/>
    <w:rsid w:val="00DC0C08"/>
    <w:rsid w:val="00DC2FA9"/>
    <w:rsid w:val="00DC48F7"/>
    <w:rsid w:val="00DC5247"/>
    <w:rsid w:val="00DC7393"/>
    <w:rsid w:val="00DD2012"/>
    <w:rsid w:val="00DD3E04"/>
    <w:rsid w:val="00DD524E"/>
    <w:rsid w:val="00DD59BE"/>
    <w:rsid w:val="00DD59CF"/>
    <w:rsid w:val="00DD5D47"/>
    <w:rsid w:val="00DD7844"/>
    <w:rsid w:val="00DE07E8"/>
    <w:rsid w:val="00DE4F18"/>
    <w:rsid w:val="00DE5BAE"/>
    <w:rsid w:val="00DE6C59"/>
    <w:rsid w:val="00DF0530"/>
    <w:rsid w:val="00DF0CCA"/>
    <w:rsid w:val="00DF3E61"/>
    <w:rsid w:val="00E010CA"/>
    <w:rsid w:val="00E021B9"/>
    <w:rsid w:val="00E02753"/>
    <w:rsid w:val="00E036FE"/>
    <w:rsid w:val="00E05A8E"/>
    <w:rsid w:val="00E06F0E"/>
    <w:rsid w:val="00E0785A"/>
    <w:rsid w:val="00E111A2"/>
    <w:rsid w:val="00E12F93"/>
    <w:rsid w:val="00E14400"/>
    <w:rsid w:val="00E14F28"/>
    <w:rsid w:val="00E16AC5"/>
    <w:rsid w:val="00E204BB"/>
    <w:rsid w:val="00E27163"/>
    <w:rsid w:val="00E3001F"/>
    <w:rsid w:val="00E32C41"/>
    <w:rsid w:val="00E34314"/>
    <w:rsid w:val="00E360A1"/>
    <w:rsid w:val="00E41A74"/>
    <w:rsid w:val="00E50862"/>
    <w:rsid w:val="00E53A4F"/>
    <w:rsid w:val="00E53DD5"/>
    <w:rsid w:val="00E549A1"/>
    <w:rsid w:val="00E54B62"/>
    <w:rsid w:val="00E5672A"/>
    <w:rsid w:val="00E56D9D"/>
    <w:rsid w:val="00E62ECA"/>
    <w:rsid w:val="00E66554"/>
    <w:rsid w:val="00E66A7F"/>
    <w:rsid w:val="00E72E90"/>
    <w:rsid w:val="00E7594B"/>
    <w:rsid w:val="00E75953"/>
    <w:rsid w:val="00E7677F"/>
    <w:rsid w:val="00E768F0"/>
    <w:rsid w:val="00E76F99"/>
    <w:rsid w:val="00E7783C"/>
    <w:rsid w:val="00E801E4"/>
    <w:rsid w:val="00E83950"/>
    <w:rsid w:val="00E8664E"/>
    <w:rsid w:val="00E91970"/>
    <w:rsid w:val="00E94857"/>
    <w:rsid w:val="00E97D51"/>
    <w:rsid w:val="00EA0D81"/>
    <w:rsid w:val="00EA25C2"/>
    <w:rsid w:val="00EA5181"/>
    <w:rsid w:val="00EA5719"/>
    <w:rsid w:val="00EA681A"/>
    <w:rsid w:val="00EB3719"/>
    <w:rsid w:val="00EB518E"/>
    <w:rsid w:val="00EB51A3"/>
    <w:rsid w:val="00EB5737"/>
    <w:rsid w:val="00EC058F"/>
    <w:rsid w:val="00EC0E35"/>
    <w:rsid w:val="00EC11D6"/>
    <w:rsid w:val="00EC1999"/>
    <w:rsid w:val="00EC2B33"/>
    <w:rsid w:val="00EC346F"/>
    <w:rsid w:val="00EC392F"/>
    <w:rsid w:val="00EC594E"/>
    <w:rsid w:val="00EC6B72"/>
    <w:rsid w:val="00EC7FED"/>
    <w:rsid w:val="00ED789C"/>
    <w:rsid w:val="00EE1020"/>
    <w:rsid w:val="00EE61CE"/>
    <w:rsid w:val="00EF04D9"/>
    <w:rsid w:val="00EF067A"/>
    <w:rsid w:val="00EF0907"/>
    <w:rsid w:val="00EF0F80"/>
    <w:rsid w:val="00EF2A28"/>
    <w:rsid w:val="00EF70F8"/>
    <w:rsid w:val="00EF7A13"/>
    <w:rsid w:val="00F01239"/>
    <w:rsid w:val="00F01711"/>
    <w:rsid w:val="00F01D82"/>
    <w:rsid w:val="00F025E5"/>
    <w:rsid w:val="00F03BF7"/>
    <w:rsid w:val="00F03FE7"/>
    <w:rsid w:val="00F04054"/>
    <w:rsid w:val="00F05C17"/>
    <w:rsid w:val="00F1137A"/>
    <w:rsid w:val="00F1590E"/>
    <w:rsid w:val="00F15A21"/>
    <w:rsid w:val="00F16672"/>
    <w:rsid w:val="00F166D2"/>
    <w:rsid w:val="00F17814"/>
    <w:rsid w:val="00F17839"/>
    <w:rsid w:val="00F214B7"/>
    <w:rsid w:val="00F2176E"/>
    <w:rsid w:val="00F219C1"/>
    <w:rsid w:val="00F22480"/>
    <w:rsid w:val="00F22F4D"/>
    <w:rsid w:val="00F23A58"/>
    <w:rsid w:val="00F26648"/>
    <w:rsid w:val="00F27369"/>
    <w:rsid w:val="00F2764C"/>
    <w:rsid w:val="00F27D76"/>
    <w:rsid w:val="00F30832"/>
    <w:rsid w:val="00F310E8"/>
    <w:rsid w:val="00F32875"/>
    <w:rsid w:val="00F3381D"/>
    <w:rsid w:val="00F33E9E"/>
    <w:rsid w:val="00F34101"/>
    <w:rsid w:val="00F34D92"/>
    <w:rsid w:val="00F43A34"/>
    <w:rsid w:val="00F46464"/>
    <w:rsid w:val="00F46C13"/>
    <w:rsid w:val="00F46C68"/>
    <w:rsid w:val="00F47ECD"/>
    <w:rsid w:val="00F50612"/>
    <w:rsid w:val="00F52C3B"/>
    <w:rsid w:val="00F56407"/>
    <w:rsid w:val="00F57449"/>
    <w:rsid w:val="00F601C9"/>
    <w:rsid w:val="00F60FA2"/>
    <w:rsid w:val="00F62A3D"/>
    <w:rsid w:val="00F64E26"/>
    <w:rsid w:val="00F64F8B"/>
    <w:rsid w:val="00F6556D"/>
    <w:rsid w:val="00F66EF6"/>
    <w:rsid w:val="00F73C77"/>
    <w:rsid w:val="00F750F9"/>
    <w:rsid w:val="00F757FF"/>
    <w:rsid w:val="00F778F2"/>
    <w:rsid w:val="00F80693"/>
    <w:rsid w:val="00F81589"/>
    <w:rsid w:val="00F822E0"/>
    <w:rsid w:val="00F927CF"/>
    <w:rsid w:val="00F94F0A"/>
    <w:rsid w:val="00F9775D"/>
    <w:rsid w:val="00FA088F"/>
    <w:rsid w:val="00FA1A44"/>
    <w:rsid w:val="00FA318A"/>
    <w:rsid w:val="00FA50F8"/>
    <w:rsid w:val="00FA5525"/>
    <w:rsid w:val="00FA5CA0"/>
    <w:rsid w:val="00FA5F14"/>
    <w:rsid w:val="00FB06EF"/>
    <w:rsid w:val="00FB1B7C"/>
    <w:rsid w:val="00FB34A0"/>
    <w:rsid w:val="00FB5DA9"/>
    <w:rsid w:val="00FB63E6"/>
    <w:rsid w:val="00FB6459"/>
    <w:rsid w:val="00FB6BFE"/>
    <w:rsid w:val="00FC21FE"/>
    <w:rsid w:val="00FC2992"/>
    <w:rsid w:val="00FC3A7B"/>
    <w:rsid w:val="00FC4B96"/>
    <w:rsid w:val="00FC7E87"/>
    <w:rsid w:val="00FD0980"/>
    <w:rsid w:val="00FD53EC"/>
    <w:rsid w:val="00FD6C40"/>
    <w:rsid w:val="00FD7B39"/>
    <w:rsid w:val="00FE03FE"/>
    <w:rsid w:val="00FE1E99"/>
    <w:rsid w:val="00FE283A"/>
    <w:rsid w:val="00FE3143"/>
    <w:rsid w:val="00FE3463"/>
    <w:rsid w:val="00FE3F75"/>
    <w:rsid w:val="00FE733F"/>
    <w:rsid w:val="00FF1173"/>
    <w:rsid w:val="00FF153C"/>
    <w:rsid w:val="00FF2645"/>
    <w:rsid w:val="00FF2914"/>
    <w:rsid w:val="00FF2CCE"/>
    <w:rsid w:val="00FF2E0B"/>
    <w:rsid w:val="00FF333A"/>
    <w:rsid w:val="00FF4544"/>
    <w:rsid w:val="00FF4C62"/>
    <w:rsid w:val="00FF5251"/>
    <w:rsid w:val="00FF6612"/>
    <w:rsid w:val="00FF6684"/>
    <w:rsid w:val="00FF6A3F"/>
    <w:rsid w:val="021071F5"/>
    <w:rsid w:val="02BC25F0"/>
    <w:rsid w:val="0308E6E8"/>
    <w:rsid w:val="035A5351"/>
    <w:rsid w:val="038C3E69"/>
    <w:rsid w:val="041A5ABC"/>
    <w:rsid w:val="044356E3"/>
    <w:rsid w:val="04567967"/>
    <w:rsid w:val="047CD1D2"/>
    <w:rsid w:val="054812B7"/>
    <w:rsid w:val="054DF3A7"/>
    <w:rsid w:val="0554228F"/>
    <w:rsid w:val="0648D883"/>
    <w:rsid w:val="0720747D"/>
    <w:rsid w:val="0754C27B"/>
    <w:rsid w:val="07B69028"/>
    <w:rsid w:val="07CE8995"/>
    <w:rsid w:val="0898C879"/>
    <w:rsid w:val="09A32318"/>
    <w:rsid w:val="09DE98EA"/>
    <w:rsid w:val="0A025B7D"/>
    <w:rsid w:val="0A0BDCDA"/>
    <w:rsid w:val="0A9F96C1"/>
    <w:rsid w:val="0B9E2BDE"/>
    <w:rsid w:val="0BC64C94"/>
    <w:rsid w:val="0C124B5E"/>
    <w:rsid w:val="0DE74988"/>
    <w:rsid w:val="0EC095BA"/>
    <w:rsid w:val="0F187A8B"/>
    <w:rsid w:val="11060497"/>
    <w:rsid w:val="124150B8"/>
    <w:rsid w:val="12B59A44"/>
    <w:rsid w:val="1434DEAC"/>
    <w:rsid w:val="143BCF18"/>
    <w:rsid w:val="1479BEC6"/>
    <w:rsid w:val="14C1C0E7"/>
    <w:rsid w:val="175B11C6"/>
    <w:rsid w:val="18435664"/>
    <w:rsid w:val="19EFF29B"/>
    <w:rsid w:val="1A7116B0"/>
    <w:rsid w:val="1A86C8C6"/>
    <w:rsid w:val="1AB16A8B"/>
    <w:rsid w:val="1B0C0284"/>
    <w:rsid w:val="1CDEE284"/>
    <w:rsid w:val="1DC5F294"/>
    <w:rsid w:val="1DCB823A"/>
    <w:rsid w:val="1E9EF993"/>
    <w:rsid w:val="1F77E11E"/>
    <w:rsid w:val="201B5F4E"/>
    <w:rsid w:val="217BD603"/>
    <w:rsid w:val="2312E66C"/>
    <w:rsid w:val="2368E14B"/>
    <w:rsid w:val="23A62578"/>
    <w:rsid w:val="23B3ADDF"/>
    <w:rsid w:val="23E9B164"/>
    <w:rsid w:val="2460C9F7"/>
    <w:rsid w:val="24FE51B2"/>
    <w:rsid w:val="250521ED"/>
    <w:rsid w:val="250EE5EC"/>
    <w:rsid w:val="25693335"/>
    <w:rsid w:val="26492008"/>
    <w:rsid w:val="26D9FE52"/>
    <w:rsid w:val="2866BEEB"/>
    <w:rsid w:val="28DC7C9A"/>
    <w:rsid w:val="297EB5F6"/>
    <w:rsid w:val="29A1509C"/>
    <w:rsid w:val="29A5A830"/>
    <w:rsid w:val="2C7BF417"/>
    <w:rsid w:val="2D3A61E4"/>
    <w:rsid w:val="2E26F3C0"/>
    <w:rsid w:val="2F10792C"/>
    <w:rsid w:val="2FC3433E"/>
    <w:rsid w:val="31011960"/>
    <w:rsid w:val="31BF2925"/>
    <w:rsid w:val="31C7E969"/>
    <w:rsid w:val="31D44097"/>
    <w:rsid w:val="34A9B39C"/>
    <w:rsid w:val="3553559C"/>
    <w:rsid w:val="35C54A0D"/>
    <w:rsid w:val="36707EA9"/>
    <w:rsid w:val="37F4C9B1"/>
    <w:rsid w:val="39085F6E"/>
    <w:rsid w:val="391D4006"/>
    <w:rsid w:val="3AC8E12F"/>
    <w:rsid w:val="3E4D7389"/>
    <w:rsid w:val="3EA87CBA"/>
    <w:rsid w:val="3EBAED0C"/>
    <w:rsid w:val="3F7EE625"/>
    <w:rsid w:val="3FA5BC49"/>
    <w:rsid w:val="4133CA50"/>
    <w:rsid w:val="41521DA7"/>
    <w:rsid w:val="4156A0DA"/>
    <w:rsid w:val="41BA99D7"/>
    <w:rsid w:val="4265F963"/>
    <w:rsid w:val="427D2887"/>
    <w:rsid w:val="435956B4"/>
    <w:rsid w:val="43C11E29"/>
    <w:rsid w:val="447ED1EE"/>
    <w:rsid w:val="44C88E3A"/>
    <w:rsid w:val="44DEB1EB"/>
    <w:rsid w:val="44EDD202"/>
    <w:rsid w:val="45CC1BEA"/>
    <w:rsid w:val="46BDF4F8"/>
    <w:rsid w:val="46D4BF75"/>
    <w:rsid w:val="46E005FF"/>
    <w:rsid w:val="4701E8C0"/>
    <w:rsid w:val="4825F9ED"/>
    <w:rsid w:val="496B4335"/>
    <w:rsid w:val="4982BF5E"/>
    <w:rsid w:val="4A33A010"/>
    <w:rsid w:val="4AA3663B"/>
    <w:rsid w:val="4DF2BED0"/>
    <w:rsid w:val="4E45DAD9"/>
    <w:rsid w:val="4EA557A7"/>
    <w:rsid w:val="4FF6BF68"/>
    <w:rsid w:val="50F3C4E5"/>
    <w:rsid w:val="510B83E6"/>
    <w:rsid w:val="5190D962"/>
    <w:rsid w:val="5371BB52"/>
    <w:rsid w:val="53CD66F9"/>
    <w:rsid w:val="55EF8914"/>
    <w:rsid w:val="572A4A88"/>
    <w:rsid w:val="577EA78D"/>
    <w:rsid w:val="57C7338E"/>
    <w:rsid w:val="57FC93EC"/>
    <w:rsid w:val="5893CF1F"/>
    <w:rsid w:val="592CC8D0"/>
    <w:rsid w:val="596FFA52"/>
    <w:rsid w:val="5A2B08FF"/>
    <w:rsid w:val="5A39814F"/>
    <w:rsid w:val="5AF312EF"/>
    <w:rsid w:val="5AFE4D87"/>
    <w:rsid w:val="5B70D970"/>
    <w:rsid w:val="5C4209CC"/>
    <w:rsid w:val="5D0F72BD"/>
    <w:rsid w:val="5F407BB9"/>
    <w:rsid w:val="6093F094"/>
    <w:rsid w:val="618C143D"/>
    <w:rsid w:val="62508FF3"/>
    <w:rsid w:val="628C79C4"/>
    <w:rsid w:val="646F16D0"/>
    <w:rsid w:val="646FAE48"/>
    <w:rsid w:val="64F86B8B"/>
    <w:rsid w:val="651E449F"/>
    <w:rsid w:val="65A3621F"/>
    <w:rsid w:val="66A73513"/>
    <w:rsid w:val="66CB1F3E"/>
    <w:rsid w:val="67C5A16B"/>
    <w:rsid w:val="688FF2B1"/>
    <w:rsid w:val="69A40ADB"/>
    <w:rsid w:val="6CB17BB8"/>
    <w:rsid w:val="6CFC455E"/>
    <w:rsid w:val="6D645FA1"/>
    <w:rsid w:val="6E03E595"/>
    <w:rsid w:val="6E3C062C"/>
    <w:rsid w:val="70BDF61E"/>
    <w:rsid w:val="73FA509D"/>
    <w:rsid w:val="74B4632B"/>
    <w:rsid w:val="74DC3229"/>
    <w:rsid w:val="74F7845E"/>
    <w:rsid w:val="75300A8F"/>
    <w:rsid w:val="7570AB60"/>
    <w:rsid w:val="758162BD"/>
    <w:rsid w:val="75E21E79"/>
    <w:rsid w:val="7815DBDF"/>
    <w:rsid w:val="7977219B"/>
    <w:rsid w:val="79B6B62D"/>
    <w:rsid w:val="7A65FBB4"/>
    <w:rsid w:val="7AF9D8F3"/>
    <w:rsid w:val="7B84A37C"/>
    <w:rsid w:val="7C5D27DF"/>
    <w:rsid w:val="7CCF59B9"/>
    <w:rsid w:val="7EA36E26"/>
    <w:rsid w:val="7F0AA8E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CC75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3FE"/>
    <w:pPr>
      <w:spacing w:after="240" w:line="240" w:lineRule="auto"/>
    </w:pPr>
  </w:style>
  <w:style w:type="paragraph" w:styleId="Heading1">
    <w:name w:val="heading 1"/>
    <w:basedOn w:val="Normal"/>
    <w:next w:val="Normal"/>
    <w:link w:val="Heading1Char"/>
    <w:uiPriority w:val="9"/>
    <w:qFormat/>
    <w:rsid w:val="00F57449"/>
    <w:pPr>
      <w:keepNext/>
      <w:keepLines/>
      <w:numPr>
        <w:numId w:val="2"/>
      </w:numPr>
      <w:pBdr>
        <w:bottom w:val="single" w:sz="4" w:space="1" w:color="auto"/>
      </w:pBdr>
      <w:spacing w:before="600" w:after="480"/>
      <w:outlineLvl w:val="0"/>
    </w:pPr>
    <w:rPr>
      <w:rFonts w:ascii="Franklin Gothic Medium" w:eastAsiaTheme="majorEastAsia" w:hAnsi="Franklin Gothic Medium" w:cstheme="majorBidi"/>
      <w:sz w:val="44"/>
      <w:szCs w:val="32"/>
    </w:rPr>
  </w:style>
  <w:style w:type="paragraph" w:styleId="Heading2">
    <w:name w:val="heading 2"/>
    <w:basedOn w:val="Normal"/>
    <w:next w:val="Normal"/>
    <w:link w:val="Heading2Char"/>
    <w:uiPriority w:val="9"/>
    <w:unhideWhenUsed/>
    <w:qFormat/>
    <w:rsid w:val="00F57449"/>
    <w:pPr>
      <w:keepNext/>
      <w:keepLines/>
      <w:numPr>
        <w:ilvl w:val="1"/>
        <w:numId w:val="2"/>
      </w:numPr>
      <w:spacing w:before="360"/>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Normal"/>
    <w:next w:val="Normal"/>
    <w:link w:val="Heading3Char"/>
    <w:uiPriority w:val="9"/>
    <w:unhideWhenUsed/>
    <w:qFormat/>
    <w:rsid w:val="00F57449"/>
    <w:pPr>
      <w:keepNext/>
      <w:keepLines/>
      <w:numPr>
        <w:ilvl w:val="2"/>
        <w:numId w:val="2"/>
      </w:numPr>
      <w:tabs>
        <w:tab w:val="left" w:pos="851"/>
      </w:tabs>
      <w:spacing w:before="360" w:after="200"/>
      <w:outlineLvl w:val="2"/>
    </w:pPr>
    <w:rPr>
      <w:rFonts w:ascii="Franklin Gothic Medium" w:eastAsiaTheme="majorEastAsia" w:hAnsi="Franklin Gothic Medium" w:cstheme="majorBidi"/>
      <w:sz w:val="24"/>
      <w:szCs w:val="24"/>
    </w:rPr>
  </w:style>
  <w:style w:type="paragraph" w:styleId="Heading4">
    <w:name w:val="heading 4"/>
    <w:basedOn w:val="Heading3"/>
    <w:next w:val="Normal"/>
    <w:link w:val="Heading4Char"/>
    <w:uiPriority w:val="9"/>
    <w:unhideWhenUsed/>
    <w:qFormat/>
    <w:rsid w:val="005D5985"/>
    <w:pPr>
      <w:numPr>
        <w:ilvl w:val="0"/>
        <w:numId w:val="0"/>
      </w:numPr>
      <w:ind w:left="864" w:hanging="864"/>
      <w:outlineLvl w:val="3"/>
    </w:pPr>
    <w:rPr>
      <w:i/>
    </w:rPr>
  </w:style>
  <w:style w:type="paragraph" w:styleId="Heading5">
    <w:name w:val="heading 5"/>
    <w:basedOn w:val="Normal"/>
    <w:next w:val="Normal"/>
    <w:link w:val="Heading5Char"/>
    <w:uiPriority w:val="9"/>
    <w:unhideWhenUsed/>
    <w:qFormat/>
    <w:rsid w:val="005D5985"/>
    <w:pPr>
      <w:keepNext/>
      <w:keepLines/>
      <w:spacing w:before="40" w:after="0" w:line="259" w:lineRule="auto"/>
      <w:ind w:left="1008" w:hanging="1008"/>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unhideWhenUsed/>
    <w:qFormat/>
    <w:rsid w:val="005D5985"/>
    <w:pPr>
      <w:keepNext/>
      <w:keepLines/>
      <w:spacing w:before="40" w:after="0" w:line="276" w:lineRule="auto"/>
      <w:ind w:left="1152" w:hanging="1152"/>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D5985"/>
    <w:pPr>
      <w:keepNext/>
      <w:keepLines/>
      <w:spacing w:before="40" w:after="0" w:line="259" w:lineRule="auto"/>
      <w:ind w:left="1296" w:hanging="1296"/>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D5985"/>
    <w:pPr>
      <w:keepNext/>
      <w:keepLines/>
      <w:spacing w:before="40" w:after="0" w:line="259"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D5985"/>
    <w:pPr>
      <w:keepNext/>
      <w:keepLines/>
      <w:spacing w:before="40" w:after="0" w:line="259"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Summary box,Table Gridbeth,RTI AMCP Table,new style,ASD Table,HealthConsult,CMA Table Template,YHEC table,HTAtableplain,Dossier table,Section 3- footnotes,PBAC table,MSD Table Grid,Lash Style Table"/>
    <w:basedOn w:val="TableNormal"/>
    <w:uiPriority w:val="39"/>
    <w:rsid w:val="00FE0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altext">
    <w:name w:val="Instructional text"/>
    <w:basedOn w:val="Normal"/>
    <w:link w:val="InstructionaltextChar"/>
    <w:qFormat/>
    <w:rsid w:val="00FE03FE"/>
    <w:pPr>
      <w:spacing w:before="120" w:after="160" w:line="259" w:lineRule="auto"/>
    </w:pPr>
    <w:rPr>
      <w:rFonts w:ascii="Franklin Gothic Book" w:hAnsi="Franklin Gothic Book"/>
      <w:color w:val="258221"/>
    </w:rPr>
  </w:style>
  <w:style w:type="character" w:customStyle="1" w:styleId="InstructionaltextChar">
    <w:name w:val="Instructional text Char"/>
    <w:basedOn w:val="DefaultParagraphFont"/>
    <w:link w:val="Instructionaltext"/>
    <w:rsid w:val="00FE03FE"/>
    <w:rPr>
      <w:rFonts w:ascii="Franklin Gothic Book" w:hAnsi="Franklin Gothic Book"/>
      <w:color w:val="258221"/>
    </w:rPr>
  </w:style>
  <w:style w:type="paragraph" w:customStyle="1" w:styleId="Instructionaltext-bullet">
    <w:name w:val="Instructional text - bullet"/>
    <w:basedOn w:val="Instructionaltext"/>
    <w:qFormat/>
    <w:rsid w:val="00FE03FE"/>
    <w:pPr>
      <w:numPr>
        <w:numId w:val="1"/>
      </w:numPr>
      <w:tabs>
        <w:tab w:val="num" w:pos="360"/>
      </w:tabs>
      <w:spacing w:before="0" w:after="0"/>
      <w:ind w:left="714" w:hanging="357"/>
    </w:pPr>
  </w:style>
  <w:style w:type="character" w:customStyle="1" w:styleId="Heading1Char">
    <w:name w:val="Heading 1 Char"/>
    <w:basedOn w:val="DefaultParagraphFont"/>
    <w:link w:val="Heading1"/>
    <w:uiPriority w:val="9"/>
    <w:rsid w:val="00F57449"/>
    <w:rPr>
      <w:rFonts w:ascii="Franklin Gothic Medium" w:eastAsiaTheme="majorEastAsia" w:hAnsi="Franklin Gothic Medium" w:cstheme="majorBidi"/>
      <w:sz w:val="44"/>
      <w:szCs w:val="32"/>
    </w:rPr>
  </w:style>
  <w:style w:type="character" w:customStyle="1" w:styleId="Heading2Char">
    <w:name w:val="Heading 2 Char"/>
    <w:basedOn w:val="DefaultParagraphFont"/>
    <w:link w:val="Heading2"/>
    <w:uiPriority w:val="9"/>
    <w:rsid w:val="00F57449"/>
    <w:rPr>
      <w:rFonts w:ascii="Franklin Gothic Medium" w:eastAsiaTheme="majorEastAsia" w:hAnsi="Franklin Gothic Medium" w:cstheme="majorBidi"/>
      <w:color w:val="000000" w:themeColor="text1"/>
      <w:sz w:val="32"/>
      <w:szCs w:val="26"/>
    </w:rPr>
  </w:style>
  <w:style w:type="character" w:customStyle="1" w:styleId="Heading3Char">
    <w:name w:val="Heading 3 Char"/>
    <w:basedOn w:val="DefaultParagraphFont"/>
    <w:link w:val="Heading3"/>
    <w:uiPriority w:val="9"/>
    <w:rsid w:val="00F57449"/>
    <w:rPr>
      <w:rFonts w:ascii="Franklin Gothic Medium" w:eastAsiaTheme="majorEastAsia" w:hAnsi="Franklin Gothic Medium" w:cstheme="majorBidi"/>
      <w:sz w:val="24"/>
      <w:szCs w:val="24"/>
    </w:rPr>
  </w:style>
  <w:style w:type="character" w:customStyle="1" w:styleId="Heading4Char">
    <w:name w:val="Heading 4 Char"/>
    <w:basedOn w:val="DefaultParagraphFont"/>
    <w:link w:val="Heading4"/>
    <w:uiPriority w:val="9"/>
    <w:rsid w:val="005D5985"/>
    <w:rPr>
      <w:rFonts w:ascii="Franklin Gothic Medium" w:eastAsiaTheme="majorEastAsia" w:hAnsi="Franklin Gothic Medium" w:cstheme="majorBidi"/>
      <w:i/>
      <w:sz w:val="24"/>
      <w:szCs w:val="24"/>
    </w:rPr>
  </w:style>
  <w:style w:type="character" w:customStyle="1" w:styleId="Heading5Char">
    <w:name w:val="Heading 5 Char"/>
    <w:basedOn w:val="DefaultParagraphFont"/>
    <w:link w:val="Heading5"/>
    <w:uiPriority w:val="9"/>
    <w:rsid w:val="005D5985"/>
    <w:rPr>
      <w:rFonts w:asciiTheme="majorHAnsi" w:eastAsiaTheme="majorEastAsia" w:hAnsiTheme="majorHAnsi" w:cstheme="majorBidi"/>
      <w:b/>
      <w:bCs/>
    </w:rPr>
  </w:style>
  <w:style w:type="character" w:customStyle="1" w:styleId="Heading6Char">
    <w:name w:val="Heading 6 Char"/>
    <w:basedOn w:val="DefaultParagraphFont"/>
    <w:link w:val="Heading6"/>
    <w:uiPriority w:val="9"/>
    <w:rsid w:val="005D5985"/>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5D5985"/>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5D598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D5985"/>
    <w:rPr>
      <w:rFonts w:asciiTheme="majorHAnsi" w:eastAsiaTheme="majorEastAsia" w:hAnsiTheme="majorHAnsi" w:cstheme="majorBidi"/>
      <w:i/>
      <w:iCs/>
      <w:color w:val="272727" w:themeColor="text1" w:themeTint="D8"/>
      <w:sz w:val="21"/>
      <w:szCs w:val="21"/>
    </w:rPr>
  </w:style>
  <w:style w:type="paragraph" w:customStyle="1" w:styleId="TableText">
    <w:name w:val="Table Text"/>
    <w:basedOn w:val="Normal"/>
    <w:link w:val="TableTextChar"/>
    <w:qFormat/>
    <w:rsid w:val="005D5985"/>
    <w:pPr>
      <w:spacing w:before="40" w:after="40"/>
    </w:pPr>
    <w:rPr>
      <w:rFonts w:ascii="Arial Narrow" w:eastAsia="SimSun" w:hAnsi="Arial Narrow"/>
      <w:sz w:val="20"/>
    </w:rPr>
  </w:style>
  <w:style w:type="paragraph" w:customStyle="1" w:styleId="TableHeading">
    <w:name w:val="TableHeading"/>
    <w:basedOn w:val="Normal"/>
    <w:link w:val="TableHeadingChar"/>
    <w:qFormat/>
    <w:rsid w:val="005D5985"/>
    <w:pPr>
      <w:keepNext/>
      <w:spacing w:before="120" w:after="60"/>
    </w:pPr>
    <w:rPr>
      <w:rFonts w:ascii="Arial Narrow" w:eastAsia="SimSun" w:hAnsi="Arial Narrow"/>
      <w:b/>
      <w:sz w:val="20"/>
    </w:rPr>
  </w:style>
  <w:style w:type="paragraph" w:styleId="CommentText">
    <w:name w:val="annotation text"/>
    <w:basedOn w:val="Normal"/>
    <w:link w:val="CommentTextChar"/>
    <w:uiPriority w:val="99"/>
    <w:unhideWhenUsed/>
    <w:rsid w:val="005D5985"/>
    <w:pPr>
      <w:spacing w:before="120"/>
    </w:pPr>
    <w:rPr>
      <w:rFonts w:ascii="Calibri" w:eastAsia="Times New Roman" w:hAnsi="Calibri" w:cs="Times New Roman"/>
      <w:color w:val="000000"/>
      <w:szCs w:val="24"/>
      <w:lang w:eastAsia="en-AU"/>
    </w:rPr>
  </w:style>
  <w:style w:type="character" w:customStyle="1" w:styleId="CommentTextChar">
    <w:name w:val="Comment Text Char"/>
    <w:basedOn w:val="DefaultParagraphFont"/>
    <w:link w:val="CommentText"/>
    <w:uiPriority w:val="99"/>
    <w:rsid w:val="005D5985"/>
    <w:rPr>
      <w:rFonts w:ascii="Calibri" w:eastAsia="Times New Roman" w:hAnsi="Calibri" w:cs="Times New Roman"/>
      <w:color w:val="000000"/>
      <w:szCs w:val="24"/>
      <w:lang w:eastAsia="en-AU"/>
    </w:rPr>
  </w:style>
  <w:style w:type="character" w:styleId="CommentReference">
    <w:name w:val="annotation reference"/>
    <w:aliases w:val="Table Title"/>
    <w:basedOn w:val="DefaultParagraphFont"/>
    <w:uiPriority w:val="99"/>
    <w:unhideWhenUsed/>
    <w:qFormat/>
    <w:rsid w:val="005D5985"/>
    <w:rPr>
      <w:sz w:val="16"/>
      <w:szCs w:val="16"/>
    </w:rPr>
  </w:style>
  <w:style w:type="character" w:customStyle="1" w:styleId="TableTextChar">
    <w:name w:val="Table Text Char"/>
    <w:basedOn w:val="DefaultParagraphFont"/>
    <w:link w:val="TableText"/>
    <w:rsid w:val="005D5985"/>
    <w:rPr>
      <w:rFonts w:ascii="Arial Narrow" w:eastAsia="SimSun" w:hAnsi="Arial Narrow"/>
      <w:sz w:val="20"/>
    </w:rPr>
  </w:style>
  <w:style w:type="character" w:customStyle="1" w:styleId="TableHeadingChar">
    <w:name w:val="TableHeading Char"/>
    <w:link w:val="TableHeading"/>
    <w:rsid w:val="005D5985"/>
    <w:rPr>
      <w:rFonts w:ascii="Arial Narrow" w:eastAsia="SimSun" w:hAnsi="Arial Narrow"/>
      <w:b/>
      <w:sz w:val="20"/>
    </w:rPr>
  </w:style>
  <w:style w:type="paragraph" w:styleId="BalloonText">
    <w:name w:val="Balloon Text"/>
    <w:basedOn w:val="Normal"/>
    <w:link w:val="BalloonTextChar"/>
    <w:uiPriority w:val="99"/>
    <w:semiHidden/>
    <w:unhideWhenUsed/>
    <w:rsid w:val="005D5985"/>
    <w:pPr>
      <w:spacing w:before="120" w:after="0"/>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5D5985"/>
    <w:rPr>
      <w:rFonts w:ascii="Segoe UI" w:eastAsia="SimSun" w:hAnsi="Segoe UI" w:cs="Segoe UI"/>
      <w:sz w:val="18"/>
      <w:szCs w:val="18"/>
    </w:rPr>
  </w:style>
  <w:style w:type="paragraph" w:styleId="CommentSubject">
    <w:name w:val="annotation subject"/>
    <w:basedOn w:val="CommentText"/>
    <w:next w:val="CommentText"/>
    <w:link w:val="CommentSubjectChar"/>
    <w:uiPriority w:val="99"/>
    <w:semiHidden/>
    <w:unhideWhenUsed/>
    <w:rsid w:val="005D5985"/>
    <w:pPr>
      <w:spacing w:after="160"/>
    </w:pPr>
    <w:rPr>
      <w:rFonts w:asciiTheme="minorHAnsi" w:eastAsiaTheme="minorHAnsi" w:hAnsiTheme="minorHAnsi" w:cstheme="minorBidi"/>
      <w:b/>
      <w:bCs/>
      <w:color w:val="auto"/>
      <w:sz w:val="20"/>
      <w:szCs w:val="20"/>
      <w:lang w:eastAsia="en-US"/>
    </w:rPr>
  </w:style>
  <w:style w:type="character" w:customStyle="1" w:styleId="CommentSubjectChar">
    <w:name w:val="Comment Subject Char"/>
    <w:basedOn w:val="CommentTextChar"/>
    <w:link w:val="CommentSubject"/>
    <w:uiPriority w:val="99"/>
    <w:semiHidden/>
    <w:rsid w:val="005D5985"/>
    <w:rPr>
      <w:rFonts w:ascii="Calibri" w:eastAsia="Times New Roman" w:hAnsi="Calibri" w:cs="Times New Roman"/>
      <w:b/>
      <w:bCs/>
      <w:color w:val="000000"/>
      <w:sz w:val="20"/>
      <w:szCs w:val="20"/>
      <w:lang w:eastAsia="en-AU"/>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link w:val="CaptionChar"/>
    <w:qFormat/>
    <w:rsid w:val="005D5985"/>
    <w:pPr>
      <w:keepNext/>
      <w:spacing w:before="360" w:after="120"/>
      <w:ind w:left="993" w:hanging="993"/>
    </w:pPr>
    <w:rPr>
      <w:rFonts w:ascii="Arial Narrow" w:eastAsia="Times New Roman" w:hAnsi="Arial Narrow" w:cs="Times New Roman"/>
      <w:b/>
      <w:bCs/>
      <w:sz w:val="20"/>
      <w:szCs w:val="20"/>
    </w:rPr>
  </w:style>
  <w:style w:type="table" w:customStyle="1" w:styleId="TableGrid1">
    <w:name w:val="Table Grid1"/>
    <w:basedOn w:val="TableNormal"/>
    <w:next w:val="TableGrid"/>
    <w:locked/>
    <w:rsid w:val="005D5985"/>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cademy Engraved LET" w:hAnsi="Academy Engraved LET"/>
        <w:b w:val="0"/>
        <w:sz w:val="20"/>
      </w:rPr>
    </w:tblStyle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w:basedOn w:val="DefaultParagraphFont"/>
    <w:link w:val="Caption"/>
    <w:rsid w:val="005D5985"/>
    <w:rPr>
      <w:rFonts w:ascii="Arial Narrow" w:eastAsia="Times New Roman" w:hAnsi="Arial Narrow" w:cs="Times New Roman"/>
      <w:b/>
      <w:bCs/>
      <w:sz w:val="20"/>
      <w:szCs w:val="20"/>
    </w:rPr>
  </w:style>
  <w:style w:type="paragraph" w:customStyle="1" w:styleId="TableFigNote">
    <w:name w:val="TableFigNote"/>
    <w:basedOn w:val="Normal"/>
    <w:qFormat/>
    <w:rsid w:val="005D5985"/>
    <w:pPr>
      <w:spacing w:before="120" w:after="360"/>
      <w:contextualSpacing/>
    </w:pPr>
    <w:rPr>
      <w:rFonts w:ascii="Franklin Gothic Book" w:eastAsia="SimSun" w:hAnsi="Franklin Gothic Book"/>
      <w:sz w:val="18"/>
    </w:rPr>
  </w:style>
  <w:style w:type="paragraph" w:styleId="ListParagraph">
    <w:name w:val="List Paragraph"/>
    <w:basedOn w:val="Normal"/>
    <w:link w:val="ListParagraphChar"/>
    <w:uiPriority w:val="34"/>
    <w:qFormat/>
    <w:rsid w:val="005D5985"/>
    <w:pPr>
      <w:spacing w:before="120" w:after="160" w:line="259" w:lineRule="auto"/>
      <w:ind w:left="720"/>
      <w:contextualSpacing/>
    </w:pPr>
    <w:rPr>
      <w:rFonts w:ascii="Franklin Gothic Book" w:eastAsia="SimSun" w:hAnsi="Franklin Gothic Book"/>
    </w:rPr>
  </w:style>
  <w:style w:type="character" w:styleId="Strong">
    <w:name w:val="Strong"/>
    <w:basedOn w:val="DefaultParagraphFont"/>
    <w:uiPriority w:val="22"/>
    <w:qFormat/>
    <w:rsid w:val="005D5985"/>
    <w:rPr>
      <w:b/>
      <w:bCs/>
    </w:rPr>
  </w:style>
  <w:style w:type="paragraph" w:customStyle="1" w:styleId="TableName">
    <w:name w:val="TableName"/>
    <w:basedOn w:val="Normal"/>
    <w:qFormat/>
    <w:rsid w:val="005D5985"/>
    <w:pPr>
      <w:keepNext/>
      <w:spacing w:before="120"/>
      <w:ind w:left="1418" w:hanging="1418"/>
    </w:pPr>
    <w:rPr>
      <w:rFonts w:ascii="Franklin Gothic Medium" w:eastAsia="SimSun" w:hAnsi="Franklin Gothic Medium"/>
    </w:rPr>
  </w:style>
  <w:style w:type="paragraph" w:customStyle="1" w:styleId="TableFigNoteHangingLast">
    <w:name w:val="TableFigNoteHanging Last"/>
    <w:basedOn w:val="TableFigNote"/>
    <w:qFormat/>
    <w:rsid w:val="005D5985"/>
    <w:pPr>
      <w:ind w:left="142" w:hanging="142"/>
    </w:pPr>
  </w:style>
  <w:style w:type="paragraph" w:customStyle="1" w:styleId="TableTextCA">
    <w:name w:val="Table Text CA"/>
    <w:basedOn w:val="TableText"/>
    <w:qFormat/>
    <w:rsid w:val="005D5985"/>
    <w:pPr>
      <w:jc w:val="center"/>
    </w:pPr>
  </w:style>
  <w:style w:type="paragraph" w:customStyle="1" w:styleId="TableHeadingCA">
    <w:name w:val="Table Heading CA"/>
    <w:basedOn w:val="TableHeading0"/>
    <w:qFormat/>
    <w:rsid w:val="005D5985"/>
    <w:pPr>
      <w:jc w:val="center"/>
    </w:pPr>
  </w:style>
  <w:style w:type="paragraph" w:customStyle="1" w:styleId="TableHeading0">
    <w:name w:val="Table Heading"/>
    <w:basedOn w:val="Normal"/>
    <w:qFormat/>
    <w:rsid w:val="005D5985"/>
    <w:pPr>
      <w:spacing w:before="120" w:after="60"/>
    </w:pPr>
    <w:rPr>
      <w:rFonts w:ascii="Arial Narrow" w:eastAsia="SimSun" w:hAnsi="Arial Narrow"/>
      <w:b/>
      <w:sz w:val="20"/>
    </w:rPr>
  </w:style>
  <w:style w:type="paragraph" w:customStyle="1" w:styleId="TableFigNoteLast">
    <w:name w:val="TableFigNote Last"/>
    <w:basedOn w:val="TableFigNote"/>
    <w:qFormat/>
    <w:rsid w:val="005D5985"/>
  </w:style>
  <w:style w:type="paragraph" w:customStyle="1" w:styleId="2ChapterText">
    <w:name w:val="2ChapterText"/>
    <w:basedOn w:val="Normal"/>
    <w:qFormat/>
    <w:rsid w:val="005D5985"/>
    <w:pPr>
      <w:spacing w:before="120" w:after="160" w:line="259" w:lineRule="auto"/>
    </w:pPr>
    <w:rPr>
      <w:rFonts w:ascii="Franklin Gothic Book" w:eastAsia="SimSun" w:hAnsi="Franklin Gothic Book"/>
      <w:shd w:val="clear" w:color="auto" w:fill="B4C6E7" w:themeFill="accent1" w:themeFillTint="66"/>
    </w:rPr>
  </w:style>
  <w:style w:type="paragraph" w:customStyle="1" w:styleId="1ExplanatoryText">
    <w:name w:val="1ExplanatoryText"/>
    <w:basedOn w:val="Normal"/>
    <w:qFormat/>
    <w:rsid w:val="005D5985"/>
    <w:pPr>
      <w:shd w:val="clear" w:color="auto" w:fill="C5E0B3" w:themeFill="accent6" w:themeFillTint="66"/>
      <w:spacing w:before="120" w:after="160" w:line="259" w:lineRule="auto"/>
    </w:pPr>
    <w:rPr>
      <w:rFonts w:ascii="Franklin Gothic Book" w:eastAsia="SimSun" w:hAnsi="Franklin Gothic Book"/>
    </w:rPr>
  </w:style>
  <w:style w:type="character" w:styleId="Hyperlink">
    <w:name w:val="Hyperlink"/>
    <w:basedOn w:val="DefaultParagraphFont"/>
    <w:uiPriority w:val="99"/>
    <w:unhideWhenUsed/>
    <w:rsid w:val="005D5985"/>
    <w:rPr>
      <w:color w:val="0070C0"/>
      <w:u w:val="single"/>
    </w:rPr>
  </w:style>
  <w:style w:type="paragraph" w:styleId="TOC1">
    <w:name w:val="toc 1"/>
    <w:basedOn w:val="Normal"/>
    <w:next w:val="Normal"/>
    <w:autoRedefine/>
    <w:uiPriority w:val="39"/>
    <w:unhideWhenUsed/>
    <w:rsid w:val="005D5985"/>
    <w:pPr>
      <w:spacing w:before="120" w:after="120" w:line="259" w:lineRule="auto"/>
    </w:pPr>
    <w:rPr>
      <w:rFonts w:eastAsia="SimSun" w:cstheme="minorHAnsi"/>
      <w:b/>
      <w:bCs/>
      <w:caps/>
      <w:sz w:val="20"/>
      <w:szCs w:val="20"/>
    </w:rPr>
  </w:style>
  <w:style w:type="paragraph" w:styleId="TOC2">
    <w:name w:val="toc 2"/>
    <w:basedOn w:val="Normal"/>
    <w:next w:val="Normal"/>
    <w:autoRedefine/>
    <w:uiPriority w:val="39"/>
    <w:unhideWhenUsed/>
    <w:rsid w:val="005D5985"/>
    <w:pPr>
      <w:spacing w:after="0" w:line="259" w:lineRule="auto"/>
      <w:ind w:left="220"/>
    </w:pPr>
    <w:rPr>
      <w:rFonts w:eastAsia="SimSun" w:cstheme="minorHAnsi"/>
      <w:smallCaps/>
      <w:sz w:val="20"/>
      <w:szCs w:val="20"/>
    </w:rPr>
  </w:style>
  <w:style w:type="paragraph" w:styleId="TOC3">
    <w:name w:val="toc 3"/>
    <w:basedOn w:val="Normal"/>
    <w:next w:val="Normal"/>
    <w:autoRedefine/>
    <w:uiPriority w:val="39"/>
    <w:unhideWhenUsed/>
    <w:rsid w:val="005D5985"/>
    <w:pPr>
      <w:tabs>
        <w:tab w:val="left" w:pos="1100"/>
        <w:tab w:val="right" w:leader="dot" w:pos="9016"/>
      </w:tabs>
      <w:spacing w:after="0" w:line="259" w:lineRule="auto"/>
      <w:ind w:left="440"/>
    </w:pPr>
    <w:rPr>
      <w:rFonts w:eastAsia="SimSun" w:cstheme="minorHAnsi"/>
      <w:i/>
      <w:iCs/>
      <w:noProof/>
      <w:sz w:val="20"/>
      <w:szCs w:val="20"/>
    </w:rPr>
  </w:style>
  <w:style w:type="character" w:styleId="FollowedHyperlink">
    <w:name w:val="FollowedHyperlink"/>
    <w:basedOn w:val="DefaultParagraphFont"/>
    <w:uiPriority w:val="99"/>
    <w:semiHidden/>
    <w:unhideWhenUsed/>
    <w:rsid w:val="005D5985"/>
    <w:rPr>
      <w:color w:val="954F72" w:themeColor="followedHyperlink"/>
      <w:u w:val="single"/>
    </w:rPr>
  </w:style>
  <w:style w:type="paragraph" w:styleId="TOC9">
    <w:name w:val="toc 9"/>
    <w:basedOn w:val="Normal"/>
    <w:next w:val="Normal"/>
    <w:autoRedefine/>
    <w:uiPriority w:val="39"/>
    <w:unhideWhenUsed/>
    <w:rsid w:val="005D5985"/>
    <w:pPr>
      <w:spacing w:after="0" w:line="259" w:lineRule="auto"/>
      <w:ind w:left="1760"/>
    </w:pPr>
    <w:rPr>
      <w:rFonts w:eastAsia="SimSun" w:cstheme="minorHAnsi"/>
      <w:sz w:val="18"/>
      <w:szCs w:val="18"/>
    </w:rPr>
  </w:style>
  <w:style w:type="paragraph" w:styleId="Date">
    <w:name w:val="Date"/>
    <w:basedOn w:val="Normal"/>
    <w:next w:val="Normal"/>
    <w:link w:val="DateChar"/>
    <w:rsid w:val="005D5985"/>
    <w:pPr>
      <w:spacing w:before="1134" w:after="800" w:line="259" w:lineRule="auto"/>
      <w:ind w:left="4536"/>
    </w:pPr>
    <w:rPr>
      <w:rFonts w:ascii="Arial" w:eastAsia="Times New Roman" w:hAnsi="Arial" w:cs="Tahoma"/>
      <w:b/>
      <w:sz w:val="36"/>
      <w:lang w:eastAsia="en-AU"/>
    </w:rPr>
  </w:style>
  <w:style w:type="character" w:customStyle="1" w:styleId="DateChar">
    <w:name w:val="Date Char"/>
    <w:basedOn w:val="DefaultParagraphFont"/>
    <w:link w:val="Date"/>
    <w:rsid w:val="005D5985"/>
    <w:rPr>
      <w:rFonts w:ascii="Arial" w:eastAsia="Times New Roman" w:hAnsi="Arial" w:cs="Tahoma"/>
      <w:b/>
      <w:sz w:val="36"/>
      <w:lang w:eastAsia="en-AU"/>
    </w:rPr>
  </w:style>
  <w:style w:type="paragraph" w:customStyle="1" w:styleId="PublicationTitle">
    <w:name w:val="PublicationTitle"/>
    <w:basedOn w:val="Normal"/>
    <w:rsid w:val="005D5985"/>
    <w:pPr>
      <w:tabs>
        <w:tab w:val="left" w:pos="4536"/>
      </w:tabs>
      <w:spacing w:before="4536" w:after="800" w:line="480" w:lineRule="exact"/>
      <w:ind w:left="4536" w:right="113"/>
      <w:jc w:val="right"/>
    </w:pPr>
    <w:rPr>
      <w:rFonts w:ascii="Arial" w:eastAsia="Times New Roman" w:hAnsi="Arial" w:cs="Tahoma"/>
      <w:b/>
      <w:i/>
      <w:sz w:val="44"/>
      <w:lang w:eastAsia="en-AU"/>
    </w:rPr>
  </w:style>
  <w:style w:type="paragraph" w:customStyle="1" w:styleId="Sub-title">
    <w:name w:val="Sub-title"/>
    <w:basedOn w:val="Normal"/>
    <w:locked/>
    <w:rsid w:val="005D5985"/>
    <w:pPr>
      <w:spacing w:before="1701" w:after="160" w:line="259" w:lineRule="auto"/>
      <w:ind w:left="4536"/>
    </w:pPr>
    <w:rPr>
      <w:rFonts w:ascii="Arial" w:eastAsia="Times New Roman" w:hAnsi="Arial" w:cs="Tahoma"/>
      <w:b/>
      <w:sz w:val="32"/>
      <w:lang w:eastAsia="en-AU"/>
    </w:rPr>
  </w:style>
  <w:style w:type="paragraph" w:customStyle="1" w:styleId="Nnumberedlist">
    <w:name w:val="Nnumbered list"/>
    <w:basedOn w:val="Normal"/>
    <w:rsid w:val="005D5985"/>
    <w:pPr>
      <w:numPr>
        <w:numId w:val="3"/>
      </w:numPr>
      <w:spacing w:before="120" w:after="160" w:line="259" w:lineRule="auto"/>
      <w:jc w:val="both"/>
    </w:pPr>
    <w:rPr>
      <w:rFonts w:ascii="Calibri" w:eastAsia="Times New Roman" w:hAnsi="Calibri" w:cs="Tahoma"/>
      <w:lang w:eastAsia="en-AU"/>
    </w:rPr>
  </w:style>
  <w:style w:type="paragraph" w:styleId="TOCHeading">
    <w:name w:val="TOC Heading"/>
    <w:basedOn w:val="Heading1"/>
    <w:next w:val="Normal"/>
    <w:uiPriority w:val="39"/>
    <w:unhideWhenUsed/>
    <w:qFormat/>
    <w:rsid w:val="005D5985"/>
    <w:pPr>
      <w:numPr>
        <w:numId w:val="0"/>
      </w:numPr>
      <w:pBdr>
        <w:bottom w:val="none" w:sz="0" w:space="0" w:color="auto"/>
      </w:pBdr>
      <w:spacing w:before="240" w:after="0" w:line="259" w:lineRule="auto"/>
      <w:outlineLvl w:val="9"/>
    </w:pPr>
    <w:rPr>
      <w:rFonts w:asciiTheme="majorHAnsi" w:hAnsiTheme="majorHAnsi"/>
      <w:color w:val="2F5496" w:themeColor="accent1" w:themeShade="BF"/>
      <w:sz w:val="32"/>
      <w:lang w:val="en-US"/>
    </w:rPr>
  </w:style>
  <w:style w:type="paragraph" w:styleId="TOC4">
    <w:name w:val="toc 4"/>
    <w:basedOn w:val="Normal"/>
    <w:next w:val="Normal"/>
    <w:autoRedefine/>
    <w:uiPriority w:val="39"/>
    <w:unhideWhenUsed/>
    <w:rsid w:val="005D5985"/>
    <w:pPr>
      <w:spacing w:after="0" w:line="259" w:lineRule="auto"/>
      <w:ind w:left="660"/>
    </w:pPr>
    <w:rPr>
      <w:rFonts w:eastAsia="SimSun" w:cstheme="minorHAnsi"/>
      <w:sz w:val="18"/>
      <w:szCs w:val="18"/>
    </w:rPr>
  </w:style>
  <w:style w:type="paragraph" w:styleId="TOC5">
    <w:name w:val="toc 5"/>
    <w:basedOn w:val="Normal"/>
    <w:next w:val="Normal"/>
    <w:autoRedefine/>
    <w:uiPriority w:val="39"/>
    <w:unhideWhenUsed/>
    <w:rsid w:val="005D5985"/>
    <w:pPr>
      <w:spacing w:after="0" w:line="259" w:lineRule="auto"/>
      <w:ind w:left="880"/>
    </w:pPr>
    <w:rPr>
      <w:rFonts w:eastAsia="SimSun" w:cstheme="minorHAnsi"/>
      <w:sz w:val="18"/>
      <w:szCs w:val="18"/>
    </w:rPr>
  </w:style>
  <w:style w:type="paragraph" w:styleId="TOC6">
    <w:name w:val="toc 6"/>
    <w:basedOn w:val="Normal"/>
    <w:next w:val="Normal"/>
    <w:autoRedefine/>
    <w:uiPriority w:val="39"/>
    <w:unhideWhenUsed/>
    <w:rsid w:val="005D5985"/>
    <w:pPr>
      <w:spacing w:after="0" w:line="259" w:lineRule="auto"/>
      <w:ind w:left="1100"/>
    </w:pPr>
    <w:rPr>
      <w:rFonts w:eastAsia="SimSun" w:cstheme="minorHAnsi"/>
      <w:sz w:val="18"/>
      <w:szCs w:val="18"/>
    </w:rPr>
  </w:style>
  <w:style w:type="paragraph" w:styleId="TOC7">
    <w:name w:val="toc 7"/>
    <w:basedOn w:val="Normal"/>
    <w:next w:val="Normal"/>
    <w:autoRedefine/>
    <w:uiPriority w:val="39"/>
    <w:unhideWhenUsed/>
    <w:rsid w:val="005D5985"/>
    <w:pPr>
      <w:spacing w:after="0" w:line="259" w:lineRule="auto"/>
      <w:ind w:left="1320"/>
    </w:pPr>
    <w:rPr>
      <w:rFonts w:eastAsia="SimSun" w:cstheme="minorHAnsi"/>
      <w:sz w:val="18"/>
      <w:szCs w:val="18"/>
    </w:rPr>
  </w:style>
  <w:style w:type="paragraph" w:styleId="TOC8">
    <w:name w:val="toc 8"/>
    <w:basedOn w:val="Normal"/>
    <w:next w:val="Normal"/>
    <w:autoRedefine/>
    <w:uiPriority w:val="39"/>
    <w:unhideWhenUsed/>
    <w:rsid w:val="005D5985"/>
    <w:pPr>
      <w:spacing w:after="0" w:line="259" w:lineRule="auto"/>
      <w:ind w:left="1540"/>
    </w:pPr>
    <w:rPr>
      <w:rFonts w:eastAsia="SimSun" w:cstheme="minorHAnsi"/>
      <w:sz w:val="18"/>
      <w:szCs w:val="18"/>
    </w:rPr>
  </w:style>
  <w:style w:type="paragraph" w:customStyle="1" w:styleId="In-tableHeading">
    <w:name w:val="In-table Heading"/>
    <w:qFormat/>
    <w:rsid w:val="005D5985"/>
    <w:pPr>
      <w:keepNext/>
      <w:spacing w:after="0" w:line="240" w:lineRule="auto"/>
    </w:pPr>
    <w:rPr>
      <w:rFonts w:ascii="Arial Narrow" w:eastAsiaTheme="majorEastAsia" w:hAnsi="Arial Narrow" w:cs="Times New Roman"/>
      <w:b/>
      <w:sz w:val="20"/>
      <w:szCs w:val="24"/>
      <w:lang w:val="en-US" w:eastAsia="en-AU"/>
    </w:rPr>
  </w:style>
  <w:style w:type="paragraph" w:customStyle="1" w:styleId="TableFigureFooter">
    <w:name w:val="Table/Figure Footer"/>
    <w:basedOn w:val="Normal"/>
    <w:link w:val="TableFigureFooterChar"/>
    <w:qFormat/>
    <w:rsid w:val="005D5985"/>
    <w:pPr>
      <w:tabs>
        <w:tab w:val="left" w:pos="284"/>
      </w:tabs>
      <w:spacing w:before="120" w:after="360"/>
    </w:pPr>
    <w:rPr>
      <w:rFonts w:ascii="Arial Narrow" w:eastAsia="Times New Roman" w:hAnsi="Arial Narrow" w:cs="Arial"/>
      <w:snapToGrid w:val="0"/>
      <w:sz w:val="18"/>
      <w:lang w:eastAsia="en-AU"/>
    </w:rPr>
  </w:style>
  <w:style w:type="character" w:customStyle="1" w:styleId="TableFigureFooterChar">
    <w:name w:val="Table/Figure Footer Char"/>
    <w:link w:val="TableFigureFooter"/>
    <w:rsid w:val="005D5985"/>
    <w:rPr>
      <w:rFonts w:ascii="Arial Narrow" w:eastAsia="Times New Roman" w:hAnsi="Arial Narrow" w:cs="Arial"/>
      <w:snapToGrid w:val="0"/>
      <w:sz w:val="18"/>
      <w:lang w:eastAsia="en-AU"/>
    </w:rPr>
  </w:style>
  <w:style w:type="character" w:styleId="Emphasis">
    <w:name w:val="Emphasis"/>
    <w:uiPriority w:val="20"/>
    <w:qFormat/>
    <w:rsid w:val="005D5985"/>
    <w:rPr>
      <w:i/>
      <w:iCs/>
    </w:rPr>
  </w:style>
  <w:style w:type="paragraph" w:styleId="Header">
    <w:name w:val="header"/>
    <w:basedOn w:val="Normal"/>
    <w:link w:val="HeaderChar"/>
    <w:uiPriority w:val="99"/>
    <w:unhideWhenUsed/>
    <w:rsid w:val="005D5985"/>
    <w:pPr>
      <w:tabs>
        <w:tab w:val="center" w:pos="4513"/>
        <w:tab w:val="right" w:pos="9026"/>
      </w:tabs>
      <w:spacing w:before="120" w:after="0"/>
    </w:pPr>
    <w:rPr>
      <w:rFonts w:ascii="Franklin Gothic Book" w:eastAsia="SimSun" w:hAnsi="Franklin Gothic Book"/>
    </w:rPr>
  </w:style>
  <w:style w:type="character" w:customStyle="1" w:styleId="HeaderChar">
    <w:name w:val="Header Char"/>
    <w:basedOn w:val="DefaultParagraphFont"/>
    <w:link w:val="Header"/>
    <w:uiPriority w:val="99"/>
    <w:rsid w:val="005D5985"/>
    <w:rPr>
      <w:rFonts w:ascii="Franklin Gothic Book" w:eastAsia="SimSun" w:hAnsi="Franklin Gothic Book"/>
    </w:rPr>
  </w:style>
  <w:style w:type="paragraph" w:styleId="Footer">
    <w:name w:val="footer"/>
    <w:basedOn w:val="Normal"/>
    <w:link w:val="FooterChar"/>
    <w:uiPriority w:val="99"/>
    <w:unhideWhenUsed/>
    <w:rsid w:val="005D5985"/>
    <w:pPr>
      <w:tabs>
        <w:tab w:val="center" w:pos="4513"/>
        <w:tab w:val="right" w:pos="9026"/>
      </w:tabs>
      <w:spacing w:before="120" w:after="0"/>
    </w:pPr>
    <w:rPr>
      <w:rFonts w:ascii="Franklin Gothic Book" w:eastAsia="SimSun" w:hAnsi="Franklin Gothic Book"/>
    </w:rPr>
  </w:style>
  <w:style w:type="character" w:customStyle="1" w:styleId="FooterChar">
    <w:name w:val="Footer Char"/>
    <w:basedOn w:val="DefaultParagraphFont"/>
    <w:link w:val="Footer"/>
    <w:uiPriority w:val="99"/>
    <w:rsid w:val="005D5985"/>
    <w:rPr>
      <w:rFonts w:ascii="Franklin Gothic Book" w:eastAsia="SimSun" w:hAnsi="Franklin Gothic Book"/>
    </w:rPr>
  </w:style>
  <w:style w:type="paragraph" w:customStyle="1" w:styleId="Tablenotes">
    <w:name w:val="Tablenotes"/>
    <w:basedOn w:val="Normal"/>
    <w:link w:val="TablenotesChar"/>
    <w:qFormat/>
    <w:rsid w:val="005D5985"/>
    <w:pPr>
      <w:widowControl w:val="0"/>
      <w:spacing w:before="120" w:after="120"/>
      <w:contextualSpacing/>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5D5985"/>
    <w:rPr>
      <w:rFonts w:ascii="Arial Narrow" w:eastAsia="Times New Roman" w:hAnsi="Arial Narrow" w:cs="Arial"/>
      <w:snapToGrid w:val="0"/>
      <w:sz w:val="18"/>
      <w:szCs w:val="20"/>
    </w:rPr>
  </w:style>
  <w:style w:type="character" w:customStyle="1" w:styleId="ListParagraphChar">
    <w:name w:val="List Paragraph Char"/>
    <w:basedOn w:val="DefaultParagraphFont"/>
    <w:link w:val="ListParagraph"/>
    <w:uiPriority w:val="34"/>
    <w:rsid w:val="005D5985"/>
    <w:rPr>
      <w:rFonts w:ascii="Franklin Gothic Book" w:eastAsia="SimSun" w:hAnsi="Franklin Gothic Book"/>
    </w:rPr>
  </w:style>
  <w:style w:type="table" w:customStyle="1" w:styleId="TableGridLight1">
    <w:name w:val="Table Grid Light1"/>
    <w:basedOn w:val="TableNormal"/>
    <w:uiPriority w:val="40"/>
    <w:rsid w:val="005D5985"/>
    <w:pPr>
      <w:spacing w:after="0" w:line="240" w:lineRule="auto"/>
    </w:pPr>
    <w:rPr>
      <w:rFonts w:eastAsia="SimSun"/>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F2F2F2" w:themeFill="background1" w:themeFillShade="F2"/>
      </w:tcPr>
    </w:tblStylePr>
  </w:style>
  <w:style w:type="paragraph" w:customStyle="1" w:styleId="Bullet">
    <w:name w:val="Bullet"/>
    <w:basedOn w:val="Normal"/>
    <w:qFormat/>
    <w:rsid w:val="005D5985"/>
    <w:pPr>
      <w:numPr>
        <w:numId w:val="4"/>
      </w:numPr>
      <w:spacing w:before="120" w:after="120"/>
    </w:pPr>
    <w:rPr>
      <w:rFonts w:eastAsia="SimSun"/>
    </w:rPr>
  </w:style>
  <w:style w:type="paragraph" w:customStyle="1" w:styleId="TableFigureHeading">
    <w:name w:val="Table/Figure Heading"/>
    <w:next w:val="In-tableHeading"/>
    <w:link w:val="TableFigureHeadingChar"/>
    <w:qFormat/>
    <w:rsid w:val="005D5985"/>
    <w:pPr>
      <w:keepNext/>
      <w:spacing w:after="0" w:line="240" w:lineRule="auto"/>
    </w:pPr>
    <w:rPr>
      <w:rFonts w:ascii="Arial Narrow" w:eastAsiaTheme="majorEastAsia" w:hAnsi="Arial Narrow" w:cstheme="majorBidi"/>
      <w:b/>
      <w:bCs/>
      <w:sz w:val="20"/>
      <w:szCs w:val="24"/>
      <w:lang w:eastAsia="en-AU"/>
    </w:rPr>
  </w:style>
  <w:style w:type="character" w:customStyle="1" w:styleId="TableFigureHeadingChar">
    <w:name w:val="Table/Figure Heading Char"/>
    <w:basedOn w:val="DefaultParagraphFont"/>
    <w:link w:val="TableFigureHeading"/>
    <w:rsid w:val="005D5985"/>
    <w:rPr>
      <w:rFonts w:ascii="Arial Narrow" w:eastAsiaTheme="majorEastAsia" w:hAnsi="Arial Narrow" w:cstheme="majorBidi"/>
      <w:b/>
      <w:bCs/>
      <w:sz w:val="20"/>
      <w:szCs w:val="24"/>
      <w:lang w:eastAsia="en-AU"/>
    </w:rPr>
  </w:style>
  <w:style w:type="paragraph" w:customStyle="1" w:styleId="Tabletext0">
    <w:name w:val="Table text"/>
    <w:basedOn w:val="Normal"/>
    <w:link w:val="TabletextChar0"/>
    <w:qFormat/>
    <w:rsid w:val="005D5985"/>
    <w:pPr>
      <w:spacing w:before="40" w:after="40"/>
      <w:jc w:val="both"/>
    </w:pPr>
    <w:rPr>
      <w:rFonts w:ascii="Arial Narrow" w:eastAsia="Times New Roman" w:hAnsi="Arial Narrow" w:cs="Tahoma"/>
      <w:sz w:val="20"/>
      <w:szCs w:val="20"/>
      <w:lang w:eastAsia="en-AU"/>
    </w:rPr>
  </w:style>
  <w:style w:type="character" w:customStyle="1" w:styleId="TabletextChar0">
    <w:name w:val="Table text Char"/>
    <w:link w:val="Tabletext0"/>
    <w:rsid w:val="005D5985"/>
    <w:rPr>
      <w:rFonts w:ascii="Arial Narrow" w:eastAsia="Times New Roman" w:hAnsi="Arial Narrow" w:cs="Tahoma"/>
      <w:sz w:val="20"/>
      <w:szCs w:val="20"/>
      <w:lang w:eastAsia="en-AU"/>
    </w:rPr>
  </w:style>
  <w:style w:type="paragraph" w:customStyle="1" w:styleId="Tablenotes0">
    <w:name w:val="Table notes"/>
    <w:basedOn w:val="Normal"/>
    <w:link w:val="TablenotesChar0"/>
    <w:qFormat/>
    <w:rsid w:val="005D5985"/>
    <w:pPr>
      <w:spacing w:before="120" w:line="259" w:lineRule="auto"/>
      <w:contextualSpacing/>
      <w:jc w:val="both"/>
    </w:pPr>
    <w:rPr>
      <w:rFonts w:ascii="Arial Narrow" w:eastAsia="SimSun" w:hAnsi="Arial Narrow" w:cs="Arial"/>
      <w:sz w:val="18"/>
    </w:rPr>
  </w:style>
  <w:style w:type="character" w:customStyle="1" w:styleId="TablenotesChar0">
    <w:name w:val="Table notes Char"/>
    <w:basedOn w:val="DefaultParagraphFont"/>
    <w:link w:val="Tablenotes0"/>
    <w:rsid w:val="005D5985"/>
    <w:rPr>
      <w:rFonts w:ascii="Arial Narrow" w:eastAsia="SimSun" w:hAnsi="Arial Narrow" w:cs="Arial"/>
      <w:sz w:val="18"/>
    </w:rPr>
  </w:style>
  <w:style w:type="numbering" w:customStyle="1" w:styleId="ESSectionheading-numbered">
    <w:name w:val="ES. Section heading - numbered"/>
    <w:uiPriority w:val="99"/>
    <w:rsid w:val="005D5985"/>
    <w:pPr>
      <w:numPr>
        <w:numId w:val="18"/>
      </w:numPr>
    </w:pPr>
  </w:style>
  <w:style w:type="paragraph" w:customStyle="1" w:styleId="2-SectionHeading">
    <w:name w:val="2-Section Heading"/>
    <w:qFormat/>
    <w:rsid w:val="005D5985"/>
    <w:pPr>
      <w:keepNext/>
      <w:spacing w:before="240" w:after="120" w:line="240" w:lineRule="auto"/>
      <w:ind w:left="720" w:hanging="720"/>
      <w:outlineLvl w:val="0"/>
    </w:pPr>
    <w:rPr>
      <w:rFonts w:eastAsia="Times New Roman" w:cs="Arial"/>
      <w:b/>
      <w:snapToGrid w:val="0"/>
      <w:sz w:val="32"/>
      <w:szCs w:val="32"/>
      <w:lang w:eastAsia="en-AU"/>
    </w:rPr>
  </w:style>
  <w:style w:type="paragraph" w:customStyle="1" w:styleId="3-BodyText">
    <w:name w:val="3-Body Text"/>
    <w:basedOn w:val="ListParagraph"/>
    <w:qFormat/>
    <w:rsid w:val="005D5985"/>
    <w:pPr>
      <w:spacing w:after="120" w:line="240" w:lineRule="auto"/>
      <w:ind w:hanging="720"/>
      <w:contextualSpacing w:val="0"/>
      <w:jc w:val="both"/>
    </w:pPr>
    <w:rPr>
      <w:rFonts w:asciiTheme="minorHAnsi" w:eastAsia="Times New Roman" w:hAnsiTheme="minorHAnsi" w:cs="Arial"/>
      <w:snapToGrid w:val="0"/>
      <w:sz w:val="24"/>
      <w:szCs w:val="24"/>
      <w:lang w:eastAsia="en-AU"/>
    </w:rPr>
  </w:style>
  <w:style w:type="paragraph" w:customStyle="1" w:styleId="BoxName">
    <w:name w:val="Box Name"/>
    <w:basedOn w:val="Normal"/>
    <w:qFormat/>
    <w:rsid w:val="005D5985"/>
    <w:pPr>
      <w:pBdr>
        <w:top w:val="single" w:sz="4" w:space="4" w:color="auto"/>
        <w:left w:val="single" w:sz="4" w:space="4" w:color="auto"/>
        <w:bottom w:val="single" w:sz="4" w:space="4" w:color="auto"/>
        <w:right w:val="single" w:sz="4" w:space="4" w:color="auto"/>
      </w:pBdr>
      <w:spacing w:before="120" w:after="120"/>
    </w:pPr>
    <w:rPr>
      <w:rFonts w:ascii="Franklin Gothic Medium" w:eastAsia="SimSun" w:hAnsi="Franklin Gothic Medium"/>
      <w:sz w:val="21"/>
    </w:rPr>
  </w:style>
  <w:style w:type="character" w:customStyle="1" w:styleId="InstructionBulletpointChar">
    <w:name w:val="Instruction Bullet point Char"/>
    <w:basedOn w:val="DefaultParagraphFont"/>
    <w:link w:val="InstructionBulletpoint"/>
    <w:uiPriority w:val="3"/>
    <w:locked/>
    <w:rsid w:val="005D5985"/>
    <w:rPr>
      <w:rFonts w:ascii="Calibri" w:hAnsi="Calibri" w:cs="Calibri"/>
      <w:color w:val="0070C0"/>
      <w:sz w:val="24"/>
    </w:rPr>
  </w:style>
  <w:style w:type="paragraph" w:customStyle="1" w:styleId="InstructionBulletpoint">
    <w:name w:val="Instruction Bullet point"/>
    <w:basedOn w:val="Normal"/>
    <w:link w:val="InstructionBulletpointChar"/>
    <w:uiPriority w:val="3"/>
    <w:qFormat/>
    <w:rsid w:val="005D5985"/>
    <w:pPr>
      <w:numPr>
        <w:numId w:val="5"/>
      </w:numPr>
      <w:spacing w:before="120" w:after="120"/>
      <w:ind w:left="714" w:hanging="357"/>
    </w:pPr>
    <w:rPr>
      <w:rFonts w:ascii="Calibri" w:hAnsi="Calibri" w:cs="Calibri"/>
      <w:color w:val="0070C0"/>
      <w:sz w:val="24"/>
    </w:rPr>
  </w:style>
  <w:style w:type="character" w:customStyle="1" w:styleId="TableFooterChar">
    <w:name w:val="Table Footer Char"/>
    <w:link w:val="TableFooter"/>
    <w:locked/>
    <w:rsid w:val="005D5985"/>
    <w:rPr>
      <w:rFonts w:ascii="Arial Narrow" w:eastAsia="Times New Roman" w:hAnsi="Arial Narrow" w:cs="Arial"/>
      <w:sz w:val="18"/>
      <w:szCs w:val="20"/>
    </w:rPr>
  </w:style>
  <w:style w:type="paragraph" w:customStyle="1" w:styleId="TableFooter">
    <w:name w:val="Table Footer"/>
    <w:basedOn w:val="Normal"/>
    <w:link w:val="TableFooterChar"/>
    <w:qFormat/>
    <w:rsid w:val="005D5985"/>
    <w:pPr>
      <w:widowControl w:val="0"/>
      <w:snapToGrid w:val="0"/>
      <w:spacing w:before="120"/>
      <w:contextualSpacing/>
      <w:jc w:val="both"/>
    </w:pPr>
    <w:rPr>
      <w:rFonts w:ascii="Arial Narrow" w:eastAsia="Times New Roman" w:hAnsi="Arial Narrow" w:cs="Arial"/>
      <w:sz w:val="18"/>
      <w:szCs w:val="20"/>
    </w:rPr>
  </w:style>
  <w:style w:type="table" w:customStyle="1" w:styleId="PBACTableStyle">
    <w:name w:val="PBAC Table Style"/>
    <w:basedOn w:val="TableGrid10"/>
    <w:uiPriority w:val="99"/>
    <w:rsid w:val="005D5985"/>
    <w:pPr>
      <w:widowControl w:val="0"/>
      <w:spacing w:before="120" w:after="0" w:line="240" w:lineRule="auto"/>
      <w:contextualSpacing/>
      <w:jc w:val="center"/>
    </w:pPr>
    <w:rPr>
      <w:rFonts w:ascii="Arial Narrow" w:hAnsi="Arial Narrow"/>
      <w:color w:val="000000" w:themeColor="text1"/>
      <w:sz w:val="20"/>
      <w:szCs w:val="20"/>
      <w:lang w:val="en-US"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wordWrap/>
        <w:spacing w:beforeLines="0" w:before="100" w:beforeAutospacing="1" w:afterLines="0" w:after="100" w:afterAutospacing="1" w:line="240" w:lineRule="auto"/>
        <w:ind w:leftChars="0" w:left="0" w:rightChars="0" w:right="0" w:firstLineChars="0" w:firstLine="0"/>
        <w:contextualSpacing/>
        <w:jc w:val="center"/>
      </w:pPr>
      <w:rPr>
        <w:rFonts w:ascii="Microsoft Tai Le" w:hAnsi="Microsoft Tai Le" w:hint="default"/>
        <w:b/>
        <w:sz w:val="20"/>
        <w:szCs w:val="20"/>
      </w:rPr>
    </w:tblStylePr>
    <w:tblStylePr w:type="lastRow">
      <w:rPr>
        <w:i/>
        <w:iCs/>
      </w:rPr>
      <w:tblPr/>
      <w:tcPr>
        <w:tcBorders>
          <w:tl2br w:val="none" w:sz="0" w:space="0" w:color="auto"/>
          <w:tr2bl w:val="none" w:sz="0" w:space="0" w:color="auto"/>
        </w:tcBorders>
      </w:tcPr>
    </w:tblStylePr>
    <w:tblStylePr w:type="firstCol">
      <w:pPr>
        <w:wordWrap/>
        <w:spacing w:beforeLines="0" w:before="100" w:beforeAutospacing="1" w:afterLines="0" w:after="100" w:afterAutospacing="1" w:line="240" w:lineRule="auto"/>
        <w:ind w:leftChars="0" w:left="0" w:rightChars="0" w:right="0"/>
        <w:contextualSpacing/>
        <w:jc w:val="left"/>
      </w:pPr>
      <w:rPr>
        <w:rFonts w:ascii="Microsoft Tai Le" w:hAnsi="Microsoft Tai Le" w:hint="default"/>
        <w:sz w:val="20"/>
        <w:szCs w:val="20"/>
      </w:rPr>
    </w:tblStylePr>
    <w:tblStylePr w:type="lastCol">
      <w:pPr>
        <w:wordWrap/>
        <w:spacing w:beforeLines="0" w:before="100" w:beforeAutospacing="1" w:afterLines="0" w:after="100" w:afterAutospacing="1" w:line="240" w:lineRule="auto"/>
        <w:ind w:leftChars="0" w:left="0" w:rightChars="0" w:right="0" w:firstLineChars="0" w:firstLine="0"/>
        <w:contextualSpacing/>
      </w:pPr>
      <w:rPr>
        <w:rFonts w:ascii="Microsoft Tai Le" w:hAnsi="Microsoft Tai Le" w:hint="default"/>
        <w:i/>
        <w:iCs/>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styleId="TableGrid10">
    <w:name w:val="Table Grid 1"/>
    <w:basedOn w:val="TableNormal"/>
    <w:uiPriority w:val="99"/>
    <w:semiHidden/>
    <w:unhideWhenUsed/>
    <w:rsid w:val="005D5985"/>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MSACESParagraphChar">
    <w:name w:val="MSAC ES Paragraph Char"/>
    <w:basedOn w:val="DefaultParagraphFont"/>
    <w:link w:val="MSACESParagraph"/>
    <w:uiPriority w:val="1"/>
    <w:locked/>
    <w:rsid w:val="005D5985"/>
    <w:rPr>
      <w:rFonts w:ascii="Times New Roman" w:hAnsi="Times New Roman" w:cs="Times New Roman"/>
      <w:sz w:val="24"/>
    </w:rPr>
  </w:style>
  <w:style w:type="paragraph" w:customStyle="1" w:styleId="MSACESParagraph">
    <w:name w:val="MSAC ES Paragraph"/>
    <w:link w:val="MSACESParagraphChar"/>
    <w:uiPriority w:val="1"/>
    <w:qFormat/>
    <w:rsid w:val="005D5985"/>
    <w:pPr>
      <w:spacing w:after="240" w:line="240" w:lineRule="auto"/>
    </w:pPr>
    <w:rPr>
      <w:rFonts w:ascii="Times New Roman" w:hAnsi="Times New Roman" w:cs="Times New Roman"/>
      <w:sz w:val="24"/>
    </w:rPr>
  </w:style>
  <w:style w:type="paragraph" w:styleId="FootnoteText">
    <w:name w:val="footnote text"/>
    <w:basedOn w:val="Normal"/>
    <w:link w:val="FootnoteTextChar"/>
    <w:uiPriority w:val="99"/>
    <w:unhideWhenUsed/>
    <w:rsid w:val="005D5985"/>
    <w:pPr>
      <w:spacing w:before="120" w:after="0"/>
    </w:pPr>
    <w:rPr>
      <w:rFonts w:eastAsia="SimSun"/>
      <w:sz w:val="18"/>
      <w:szCs w:val="20"/>
    </w:rPr>
  </w:style>
  <w:style w:type="character" w:customStyle="1" w:styleId="FootnoteTextChar">
    <w:name w:val="Footnote Text Char"/>
    <w:basedOn w:val="DefaultParagraphFont"/>
    <w:link w:val="FootnoteText"/>
    <w:uiPriority w:val="99"/>
    <w:rsid w:val="005D5985"/>
    <w:rPr>
      <w:rFonts w:eastAsia="SimSun"/>
      <w:sz w:val="18"/>
      <w:szCs w:val="20"/>
    </w:rPr>
  </w:style>
  <w:style w:type="character" w:styleId="FootnoteReference">
    <w:name w:val="footnote reference"/>
    <w:basedOn w:val="DefaultParagraphFont"/>
    <w:unhideWhenUsed/>
    <w:rsid w:val="005D5985"/>
    <w:rPr>
      <w:vertAlign w:val="superscript"/>
    </w:rPr>
  </w:style>
  <w:style w:type="paragraph" w:customStyle="1" w:styleId="TableFigNoteHanging">
    <w:name w:val="TableFigNoteHanging"/>
    <w:basedOn w:val="TableFigNoteHangingLast"/>
    <w:qFormat/>
    <w:rsid w:val="005D5985"/>
    <w:pPr>
      <w:spacing w:after="0"/>
      <w:contextualSpacing w:val="0"/>
    </w:pPr>
    <w:rPr>
      <w:rFonts w:asciiTheme="minorHAnsi" w:hAnsiTheme="minorHAnsi"/>
    </w:rPr>
  </w:style>
  <w:style w:type="table" w:customStyle="1" w:styleId="TableGrid2">
    <w:name w:val="Table Grid2"/>
    <w:basedOn w:val="TableNormal"/>
    <w:next w:val="TableGrid"/>
    <w:uiPriority w:val="59"/>
    <w:rsid w:val="005D5985"/>
    <w:pPr>
      <w:spacing w:after="240" w:line="240" w:lineRule="auto"/>
      <w:ind w:left="720"/>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boxheading">
    <w:name w:val="Summary box heading"/>
    <w:basedOn w:val="Normal"/>
    <w:rsid w:val="005D5985"/>
    <w:pPr>
      <w:spacing w:before="120" w:after="100" w:afterAutospacing="1" w:line="259" w:lineRule="auto"/>
      <w:jc w:val="both"/>
    </w:pPr>
    <w:rPr>
      <w:rFonts w:ascii="Arial Narrow" w:eastAsia="Times New Roman" w:hAnsi="Arial Narrow" w:cs="Tahoma"/>
      <w:b/>
      <w:lang w:eastAsia="en-AU"/>
    </w:rPr>
  </w:style>
  <w:style w:type="paragraph" w:customStyle="1" w:styleId="TableText1">
    <w:name w:val="TableText"/>
    <w:basedOn w:val="Normal"/>
    <w:link w:val="TableTextChar1"/>
    <w:rsid w:val="005D5985"/>
    <w:pPr>
      <w:keepNext/>
      <w:spacing w:before="40" w:after="40" w:line="259" w:lineRule="auto"/>
      <w:jc w:val="both"/>
    </w:pPr>
    <w:rPr>
      <w:rFonts w:ascii="Arial Narrow" w:eastAsia="Times New Roman" w:hAnsi="Arial Narrow" w:cs="Tahoma"/>
      <w:sz w:val="18"/>
      <w:lang w:eastAsia="en-AU"/>
    </w:rPr>
  </w:style>
  <w:style w:type="character" w:customStyle="1" w:styleId="TableTextChar1">
    <w:name w:val="TableText Char"/>
    <w:link w:val="TableText1"/>
    <w:rsid w:val="005D5985"/>
    <w:rPr>
      <w:rFonts w:ascii="Arial Narrow" w:eastAsia="Times New Roman" w:hAnsi="Arial Narrow" w:cs="Tahoma"/>
      <w:sz w:val="18"/>
      <w:lang w:eastAsia="en-AU"/>
    </w:rPr>
  </w:style>
  <w:style w:type="paragraph" w:customStyle="1" w:styleId="References">
    <w:name w:val="References"/>
    <w:basedOn w:val="Normal"/>
    <w:rsid w:val="005D5985"/>
    <w:pPr>
      <w:keepLines/>
      <w:spacing w:before="120" w:line="312" w:lineRule="auto"/>
      <w:ind w:left="1440" w:hanging="720"/>
    </w:pPr>
    <w:rPr>
      <w:rFonts w:ascii="Calibri" w:eastAsia="Times New Roman" w:hAnsi="Calibri" w:cs="Tahoma"/>
      <w:lang w:eastAsia="en-AU"/>
    </w:rPr>
  </w:style>
  <w:style w:type="paragraph" w:styleId="Title">
    <w:name w:val="Title"/>
    <w:basedOn w:val="Normal"/>
    <w:next w:val="Normal"/>
    <w:link w:val="TitleChar"/>
    <w:qFormat/>
    <w:rsid w:val="005D5985"/>
    <w:pPr>
      <w:spacing w:before="480"/>
      <w:jc w:val="center"/>
    </w:pPr>
    <w:rPr>
      <w:rFonts w:ascii="Arial" w:eastAsia="Times New Roman" w:hAnsi="Arial" w:cs="Arial"/>
      <w:b/>
      <w:bCs/>
      <w:color w:val="000080"/>
      <w:sz w:val="36"/>
      <w:szCs w:val="36"/>
      <w:lang w:eastAsia="en-AU"/>
    </w:rPr>
  </w:style>
  <w:style w:type="character" w:customStyle="1" w:styleId="TitleChar">
    <w:name w:val="Title Char"/>
    <w:basedOn w:val="DefaultParagraphFont"/>
    <w:link w:val="Title"/>
    <w:rsid w:val="005D5985"/>
    <w:rPr>
      <w:rFonts w:ascii="Arial" w:eastAsia="Times New Roman" w:hAnsi="Arial" w:cs="Arial"/>
      <w:b/>
      <w:bCs/>
      <w:color w:val="000080"/>
      <w:sz w:val="36"/>
      <w:szCs w:val="36"/>
      <w:lang w:eastAsia="en-AU"/>
    </w:rPr>
  </w:style>
  <w:style w:type="paragraph" w:styleId="Subtitle">
    <w:name w:val="Subtitle"/>
    <w:basedOn w:val="Normal"/>
    <w:next w:val="Normal"/>
    <w:link w:val="SubtitleChar"/>
    <w:qFormat/>
    <w:rsid w:val="005D5985"/>
    <w:pPr>
      <w:spacing w:before="120"/>
      <w:jc w:val="center"/>
    </w:pPr>
    <w:rPr>
      <w:rFonts w:ascii="Arial" w:eastAsia="Times New Roman" w:hAnsi="Arial" w:cs="Arial"/>
      <w:b/>
      <w:bCs/>
      <w:i/>
      <w:color w:val="000080"/>
      <w:sz w:val="28"/>
      <w:szCs w:val="28"/>
      <w:lang w:eastAsia="en-AU"/>
    </w:rPr>
  </w:style>
  <w:style w:type="character" w:customStyle="1" w:styleId="SubtitleChar">
    <w:name w:val="Subtitle Char"/>
    <w:basedOn w:val="DefaultParagraphFont"/>
    <w:link w:val="Subtitle"/>
    <w:rsid w:val="005D5985"/>
    <w:rPr>
      <w:rFonts w:ascii="Arial" w:eastAsia="Times New Roman" w:hAnsi="Arial" w:cs="Arial"/>
      <w:b/>
      <w:bCs/>
      <w:i/>
      <w:color w:val="000080"/>
      <w:sz w:val="28"/>
      <w:szCs w:val="28"/>
      <w:lang w:eastAsia="en-AU"/>
    </w:rPr>
  </w:style>
  <w:style w:type="paragraph" w:customStyle="1" w:styleId="ESHeading1">
    <w:name w:val="ES Heading1"/>
    <w:basedOn w:val="Heading2"/>
    <w:next w:val="Normal"/>
    <w:qFormat/>
    <w:rsid w:val="005D5985"/>
    <w:pPr>
      <w:numPr>
        <w:ilvl w:val="0"/>
        <w:numId w:val="6"/>
      </w:numPr>
      <w:spacing w:before="240"/>
    </w:pPr>
  </w:style>
  <w:style w:type="paragraph" w:customStyle="1" w:styleId="NormalBeforeBullet">
    <w:name w:val="Normal Before Bullet"/>
    <w:basedOn w:val="Normal"/>
    <w:qFormat/>
    <w:rsid w:val="005D5985"/>
    <w:pPr>
      <w:keepNext/>
      <w:spacing w:before="120" w:after="120"/>
    </w:pPr>
    <w:rPr>
      <w:rFonts w:eastAsia="SimSun"/>
    </w:rPr>
  </w:style>
  <w:style w:type="paragraph" w:customStyle="1" w:styleId="Dash">
    <w:name w:val="Dash"/>
    <w:basedOn w:val="Bullet"/>
    <w:qFormat/>
    <w:rsid w:val="005D5985"/>
    <w:pPr>
      <w:numPr>
        <w:numId w:val="7"/>
      </w:numPr>
      <w:spacing w:after="40"/>
      <w:ind w:left="714" w:hanging="357"/>
    </w:pPr>
  </w:style>
  <w:style w:type="character" w:customStyle="1" w:styleId="UnresolvedMention1">
    <w:name w:val="Unresolved Mention1"/>
    <w:basedOn w:val="DefaultParagraphFont"/>
    <w:uiPriority w:val="99"/>
    <w:semiHidden/>
    <w:unhideWhenUsed/>
    <w:rsid w:val="005D5985"/>
    <w:rPr>
      <w:color w:val="605E5C"/>
      <w:shd w:val="clear" w:color="auto" w:fill="E1DFDD"/>
    </w:rPr>
  </w:style>
  <w:style w:type="paragraph" w:customStyle="1" w:styleId="Instructionaltext-afterfiguretable">
    <w:name w:val="Instructional text - after figure/table"/>
    <w:basedOn w:val="Instructionaltext"/>
    <w:qFormat/>
    <w:rsid w:val="005D5985"/>
    <w:pPr>
      <w:spacing w:before="360"/>
    </w:pPr>
    <w:rPr>
      <w:rFonts w:eastAsia="SimSun"/>
    </w:rPr>
  </w:style>
  <w:style w:type="paragraph" w:customStyle="1" w:styleId="Guidelinescross-ref">
    <w:name w:val="Guidelines cross-ref"/>
    <w:basedOn w:val="Normal"/>
    <w:qFormat/>
    <w:rsid w:val="005D5985"/>
    <w:pPr>
      <w:spacing w:before="240" w:line="259" w:lineRule="auto"/>
    </w:pPr>
    <w:rPr>
      <w:rFonts w:ascii="Franklin Gothic Book" w:eastAsia="SimSun" w:hAnsi="Franklin Gothic Book"/>
      <w:b/>
      <w:color w:val="0070C0"/>
      <w:sz w:val="24"/>
    </w:rPr>
  </w:style>
  <w:style w:type="paragraph" w:styleId="Revision">
    <w:name w:val="Revision"/>
    <w:hidden/>
    <w:uiPriority w:val="99"/>
    <w:semiHidden/>
    <w:rsid w:val="005D5985"/>
    <w:pPr>
      <w:spacing w:after="0" w:line="240" w:lineRule="auto"/>
    </w:pPr>
    <w:rPr>
      <w:rFonts w:ascii="Franklin Gothic Book" w:eastAsia="SimSun" w:hAnsi="Franklin Gothic Book"/>
    </w:rPr>
  </w:style>
  <w:style w:type="character" w:customStyle="1" w:styleId="UnresolvedMention2">
    <w:name w:val="Unresolved Mention2"/>
    <w:basedOn w:val="DefaultParagraphFont"/>
    <w:uiPriority w:val="99"/>
    <w:semiHidden/>
    <w:unhideWhenUsed/>
    <w:rsid w:val="005D5985"/>
    <w:rPr>
      <w:color w:val="605E5C"/>
      <w:shd w:val="clear" w:color="auto" w:fill="E1DFDD"/>
    </w:rPr>
  </w:style>
  <w:style w:type="character" w:styleId="UnresolvedMention">
    <w:name w:val="Unresolved Mention"/>
    <w:basedOn w:val="DefaultParagraphFont"/>
    <w:uiPriority w:val="99"/>
    <w:semiHidden/>
    <w:unhideWhenUsed/>
    <w:rsid w:val="005D5985"/>
    <w:rPr>
      <w:color w:val="605E5C"/>
      <w:shd w:val="clear" w:color="auto" w:fill="E1DFDD"/>
    </w:rPr>
  </w:style>
  <w:style w:type="character" w:customStyle="1" w:styleId="cf01">
    <w:name w:val="cf01"/>
    <w:basedOn w:val="DefaultParagraphFont"/>
    <w:rsid w:val="005D5985"/>
    <w:rPr>
      <w:rFonts w:ascii="Segoe UI" w:hAnsi="Segoe UI" w:cs="Segoe UI" w:hint="default"/>
      <w:sz w:val="18"/>
      <w:szCs w:val="18"/>
    </w:rPr>
  </w:style>
  <w:style w:type="paragraph" w:styleId="NormalWeb">
    <w:name w:val="Normal (Web)"/>
    <w:basedOn w:val="Normal"/>
    <w:uiPriority w:val="99"/>
    <w:semiHidden/>
    <w:unhideWhenUsed/>
    <w:rsid w:val="005D5985"/>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p">
    <w:name w:val="p"/>
    <w:basedOn w:val="Normal"/>
    <w:rsid w:val="005D5985"/>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h2">
    <w:name w:val="h2"/>
    <w:basedOn w:val="DefaultParagraphFont"/>
    <w:rsid w:val="005D5985"/>
  </w:style>
  <w:style w:type="character" w:customStyle="1" w:styleId="headingendmark">
    <w:name w:val="headingendmark"/>
    <w:basedOn w:val="DefaultParagraphFont"/>
    <w:rsid w:val="005D5985"/>
  </w:style>
  <w:style w:type="paragraph" w:customStyle="1" w:styleId="EndNoteBibliographyTitle">
    <w:name w:val="EndNote Bibliography Title"/>
    <w:basedOn w:val="Normal"/>
    <w:link w:val="EndNoteBibliographyTitleChar"/>
    <w:rsid w:val="005D5985"/>
    <w:pPr>
      <w:spacing w:before="120" w:after="0" w:line="259" w:lineRule="auto"/>
      <w:jc w:val="center"/>
    </w:pPr>
    <w:rPr>
      <w:rFonts w:ascii="Academy Engraved LET" w:eastAsia="SimSun" w:hAnsi="Academy Engraved LET"/>
      <w:noProof/>
      <w:lang w:val="en-US"/>
    </w:rPr>
  </w:style>
  <w:style w:type="character" w:customStyle="1" w:styleId="EndNoteBibliographyTitleChar">
    <w:name w:val="EndNote Bibliography Title Char"/>
    <w:basedOn w:val="DefaultParagraphFont"/>
    <w:link w:val="EndNoteBibliographyTitle"/>
    <w:rsid w:val="005D5985"/>
    <w:rPr>
      <w:rFonts w:ascii="Academy Engraved LET" w:eastAsia="SimSun" w:hAnsi="Academy Engraved LET"/>
      <w:noProof/>
      <w:lang w:val="en-US"/>
    </w:rPr>
  </w:style>
  <w:style w:type="paragraph" w:customStyle="1" w:styleId="EndNoteBibliography">
    <w:name w:val="EndNote Bibliography"/>
    <w:basedOn w:val="Normal"/>
    <w:link w:val="EndNoteBibliographyChar"/>
    <w:rsid w:val="005D5985"/>
    <w:pPr>
      <w:spacing w:before="120" w:after="160"/>
    </w:pPr>
    <w:rPr>
      <w:rFonts w:ascii="Academy Engraved LET" w:eastAsia="SimSun" w:hAnsi="Academy Engraved LET"/>
      <w:noProof/>
      <w:lang w:val="en-US"/>
    </w:rPr>
  </w:style>
  <w:style w:type="character" w:customStyle="1" w:styleId="EndNoteBibliographyChar">
    <w:name w:val="EndNote Bibliography Char"/>
    <w:basedOn w:val="DefaultParagraphFont"/>
    <w:link w:val="EndNoteBibliography"/>
    <w:rsid w:val="005D5985"/>
    <w:rPr>
      <w:rFonts w:ascii="Academy Engraved LET" w:eastAsia="SimSun" w:hAnsi="Academy Engraved LET"/>
      <w:noProof/>
      <w:lang w:val="en-US"/>
    </w:rPr>
  </w:style>
  <w:style w:type="character" w:customStyle="1" w:styleId="ui-provider">
    <w:name w:val="ui-provider"/>
    <w:basedOn w:val="DefaultParagraphFont"/>
    <w:rsid w:val="005D5985"/>
  </w:style>
  <w:style w:type="character" w:customStyle="1" w:styleId="cell">
    <w:name w:val="cell"/>
    <w:basedOn w:val="DefaultParagraphFont"/>
    <w:rsid w:val="005D5985"/>
  </w:style>
  <w:style w:type="character" w:customStyle="1" w:styleId="block">
    <w:name w:val="block"/>
    <w:basedOn w:val="DefaultParagraphFont"/>
    <w:rsid w:val="005D5985"/>
  </w:style>
  <w:style w:type="paragraph" w:customStyle="1" w:styleId="Notes-TableFigure">
    <w:name w:val="Notes - Table/Figure"/>
    <w:basedOn w:val="Normal"/>
    <w:link w:val="Notes-TableFigureChar"/>
    <w:qFormat/>
    <w:rsid w:val="005D5985"/>
    <w:pPr>
      <w:spacing w:after="360"/>
      <w:contextualSpacing/>
      <w:jc w:val="both"/>
    </w:pPr>
    <w:rPr>
      <w:rFonts w:ascii="Arial Narrow" w:eastAsia="SimSun" w:hAnsi="Arial Narrow"/>
      <w:sz w:val="18"/>
      <w:lang w:val="en-US"/>
    </w:rPr>
  </w:style>
  <w:style w:type="character" w:customStyle="1" w:styleId="Notes-TableFigureChar">
    <w:name w:val="Notes - Table/Figure Char"/>
    <w:basedOn w:val="DefaultParagraphFont"/>
    <w:link w:val="Notes-TableFigure"/>
    <w:rsid w:val="005D5985"/>
    <w:rPr>
      <w:rFonts w:ascii="Arial Narrow" w:eastAsia="SimSun" w:hAnsi="Arial Narrow"/>
      <w:sz w:val="18"/>
      <w:lang w:val="en-US"/>
    </w:rPr>
  </w:style>
  <w:style w:type="table" w:customStyle="1" w:styleId="OPTUMTableNormal1">
    <w:name w:val="OPTUM Table Normal1"/>
    <w:basedOn w:val="TableNormal"/>
    <w:rsid w:val="005D5985"/>
    <w:pPr>
      <w:spacing w:before="40" w:after="20" w:line="240" w:lineRule="auto"/>
      <w:jc w:val="both"/>
    </w:pPr>
    <w:rPr>
      <w:rFonts w:ascii="Calibri" w:eastAsia="Times New Roman" w:hAnsi="Calibri" w:cs="Times New Roman"/>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OPTUMTableNormal">
    <w:name w:val="OPTUM Table Normal"/>
    <w:basedOn w:val="TableNormal"/>
    <w:rsid w:val="005D5985"/>
    <w:pPr>
      <w:spacing w:before="40" w:after="20" w:line="240" w:lineRule="auto"/>
      <w:jc w:val="both"/>
    </w:pPr>
    <w:rPr>
      <w:rFonts w:ascii="Calibri" w:eastAsia="Times New Roman" w:hAnsi="Calibri" w:cs="Times New Roman"/>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TableGrid110">
    <w:name w:val="Table Grid110"/>
    <w:basedOn w:val="TableNormal"/>
    <w:rsid w:val="005D5985"/>
    <w:pPr>
      <w:widowControl w:val="0"/>
      <w:spacing w:after="0" w:line="260" w:lineRule="atLeast"/>
    </w:pPr>
    <w:rPr>
      <w:rFonts w:ascii="Arial Narrow" w:eastAsia="Calibri" w:hAnsi="Arial Narrow" w:cs="Times New Roman"/>
      <w:sz w:val="20"/>
      <w:szCs w:val="20"/>
      <w:lang w:val="de-CH"/>
    </w:rPr>
    <w:tblPr>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rPr>
        <w:sz w:val="20"/>
      </w:rPr>
      <w:tblPr/>
      <w:tcPr>
        <w:shd w:val="clear" w:color="auto" w:fill="D9D9D9"/>
      </w:tcPr>
    </w:tblStylePr>
    <w:tblStylePr w:type="lastRow">
      <w:rPr>
        <w:sz w:val="20"/>
      </w:rPr>
    </w:tblStylePr>
    <w:tblStylePr w:type="band1Vert">
      <w:rPr>
        <w:rFonts w:ascii="Academy Engraved LET" w:hAnsi="Academy Engraved LET"/>
        <w:sz w:val="20"/>
      </w:rPr>
    </w:tblStylePr>
    <w:tblStylePr w:type="band2Vert">
      <w:rPr>
        <w:rFonts w:ascii="Academy Engraved LET" w:hAnsi="Academy Engraved LET"/>
        <w:sz w:val="20"/>
      </w:rPr>
    </w:tblStylePr>
  </w:style>
  <w:style w:type="character" w:styleId="Mention">
    <w:name w:val="Mention"/>
    <w:basedOn w:val="DefaultParagraphFont"/>
    <w:uiPriority w:val="99"/>
    <w:unhideWhenUsed/>
    <w:rsid w:val="005D5985"/>
    <w:rPr>
      <w:color w:val="2B579A"/>
      <w:shd w:val="clear" w:color="auto" w:fill="E1DFDD"/>
    </w:rPr>
  </w:style>
  <w:style w:type="character" w:customStyle="1" w:styleId="label">
    <w:name w:val="label"/>
    <w:basedOn w:val="DefaultParagraphFont"/>
    <w:rsid w:val="005D5985"/>
  </w:style>
  <w:style w:type="character" w:customStyle="1" w:styleId="cell-value">
    <w:name w:val="cell-value"/>
    <w:basedOn w:val="DefaultParagraphFont"/>
    <w:rsid w:val="005D5985"/>
  </w:style>
  <w:style w:type="character" w:customStyle="1" w:styleId="quality-sign">
    <w:name w:val="quality-sign"/>
    <w:basedOn w:val="DefaultParagraphFont"/>
    <w:rsid w:val="005D5985"/>
  </w:style>
  <w:style w:type="character" w:customStyle="1" w:styleId="quality-text">
    <w:name w:val="quality-text"/>
    <w:basedOn w:val="DefaultParagraphFont"/>
    <w:rsid w:val="005D5985"/>
  </w:style>
  <w:style w:type="character" w:customStyle="1" w:styleId="comma">
    <w:name w:val="comma"/>
    <w:basedOn w:val="DefaultParagraphFont"/>
    <w:rsid w:val="005D5985"/>
  </w:style>
  <w:style w:type="paragraph" w:customStyle="1" w:styleId="Default">
    <w:name w:val="Default"/>
    <w:rsid w:val="005D5985"/>
    <w:pPr>
      <w:autoSpaceDE w:val="0"/>
      <w:autoSpaceDN w:val="0"/>
      <w:adjustRightInd w:val="0"/>
      <w:spacing w:after="0" w:line="240" w:lineRule="auto"/>
    </w:pPr>
    <w:rPr>
      <w:rFonts w:ascii="Arial Narrow" w:eastAsia="SimSun" w:hAnsi="Arial Narrow" w:cs="Arial Narrow"/>
      <w:color w:val="000000"/>
      <w:sz w:val="24"/>
      <w:szCs w:val="24"/>
      <w:lang w:val="en-GB"/>
      <w14:ligatures w14:val="standardContextual"/>
    </w:rPr>
  </w:style>
  <w:style w:type="paragraph" w:customStyle="1" w:styleId="BoxName0">
    <w:name w:val="BoxName"/>
    <w:basedOn w:val="Normal"/>
    <w:rsid w:val="00DB1FD3"/>
    <w:pPr>
      <w:keepNext/>
      <w:pBdr>
        <w:top w:val="single" w:sz="4" w:space="4" w:color="000000"/>
        <w:left w:val="single" w:sz="4" w:space="4" w:color="000000"/>
        <w:bottom w:val="single" w:sz="4" w:space="4" w:color="000000"/>
        <w:right w:val="single" w:sz="4" w:space="4" w:color="000000"/>
      </w:pBdr>
      <w:spacing w:before="240"/>
      <w:ind w:left="1077" w:hanging="1077"/>
    </w:pPr>
    <w:rPr>
      <w:rFonts w:ascii="Franklin Gothic Book" w:eastAsia="Times New Roman" w:hAnsi="Franklin Gothic Book" w:cs="Times New Roman"/>
      <w:b/>
      <w:bCs/>
      <w:color w:val="000000"/>
      <w:sz w:val="24"/>
      <w:szCs w:val="20"/>
      <w:lang w:eastAsia="en-AU"/>
    </w:rPr>
  </w:style>
  <w:style w:type="paragraph" w:customStyle="1" w:styleId="BoxHeading">
    <w:name w:val="BoxHeading"/>
    <w:basedOn w:val="Normal"/>
    <w:rsid w:val="00DB1FD3"/>
    <w:pPr>
      <w:keepNext/>
      <w:pBdr>
        <w:top w:val="single" w:sz="4" w:space="4" w:color="000000"/>
        <w:left w:val="single" w:sz="4" w:space="4" w:color="000000"/>
        <w:bottom w:val="single" w:sz="4" w:space="4" w:color="000000"/>
        <w:right w:val="single" w:sz="4" w:space="4" w:color="000000"/>
      </w:pBdr>
      <w:spacing w:before="120" w:after="60"/>
    </w:pPr>
    <w:rPr>
      <w:rFonts w:ascii="Franklin Gothic Book" w:eastAsia="Times New Roman" w:hAnsi="Franklin Gothic Book" w:cs="Times New Roman"/>
      <w:b/>
      <w:bCs/>
      <w:color w:val="000000"/>
      <w:szCs w:val="20"/>
      <w:lang w:eastAsia="en-AU"/>
    </w:rPr>
  </w:style>
  <w:style w:type="paragraph" w:customStyle="1" w:styleId="BoxBullet">
    <w:name w:val="BoxBullet"/>
    <w:basedOn w:val="Normal"/>
    <w:rsid w:val="00DB1FD3"/>
    <w:pPr>
      <w:numPr>
        <w:numId w:val="32"/>
      </w:numPr>
      <w:pBdr>
        <w:top w:val="single" w:sz="4" w:space="4" w:color="000000"/>
        <w:left w:val="single" w:sz="4" w:space="4" w:color="000000"/>
        <w:bottom w:val="single" w:sz="4" w:space="4" w:color="000000"/>
        <w:right w:val="single" w:sz="4" w:space="4" w:color="000000"/>
      </w:pBdr>
      <w:spacing w:after="120"/>
    </w:pPr>
    <w:rPr>
      <w:rFonts w:ascii="Franklin Gothic Book" w:eastAsia="Times New Roman" w:hAnsi="Franklin Gothic Book" w:cs="Times New Roman"/>
      <w:color w:val="000000"/>
      <w:szCs w:val="20"/>
      <w:lang w:eastAsia="en-AU"/>
    </w:rPr>
  </w:style>
  <w:style w:type="paragraph" w:customStyle="1" w:styleId="BulletBeforeDash">
    <w:name w:val="BulletBeforeDash"/>
    <w:basedOn w:val="Normal"/>
    <w:rsid w:val="00773F02"/>
    <w:pPr>
      <w:numPr>
        <w:numId w:val="33"/>
      </w:numPr>
      <w:spacing w:after="0"/>
    </w:pPr>
    <w:rPr>
      <w:rFonts w:ascii="Franklin Gothic Book" w:eastAsia="Times New Roman" w:hAnsi="Franklin Gothic Book" w:cs="Times New Roman"/>
      <w:color w:val="000000"/>
      <w:szCs w:val="20"/>
      <w:lang w:eastAsia="en-AU"/>
    </w:rPr>
  </w:style>
  <w:style w:type="paragraph" w:customStyle="1" w:styleId="BulletLast">
    <w:name w:val="BulletLast"/>
    <w:basedOn w:val="Bullet"/>
    <w:qFormat/>
    <w:rsid w:val="00773F02"/>
    <w:pPr>
      <w:numPr>
        <w:numId w:val="0"/>
      </w:numPr>
      <w:spacing w:before="0" w:after="240"/>
      <w:ind w:left="720" w:hanging="360"/>
    </w:pPr>
    <w:rPr>
      <w:rFonts w:ascii="Franklin Gothic Book" w:eastAsia="Times New Roman" w:hAnsi="Franklin Gothic Book" w:cs="Times New Roman"/>
      <w:color w:val="000000"/>
      <w:szCs w:val="20"/>
      <w:lang w:eastAsia="en-AU"/>
    </w:rPr>
  </w:style>
  <w:style w:type="paragraph" w:customStyle="1" w:styleId="NormalBeforeBullet0">
    <w:name w:val="NormalBeforeBullet"/>
    <w:basedOn w:val="Normal"/>
    <w:qFormat/>
    <w:rsid w:val="00773F02"/>
    <w:pPr>
      <w:keepNext/>
      <w:spacing w:after="120"/>
    </w:pPr>
    <w:rPr>
      <w:rFonts w:ascii="Franklin Gothic Book" w:eastAsia="Times New Roman" w:hAnsi="Franklin Gothic Book" w:cs="Times New Roman"/>
      <w:color w:val="000000"/>
      <w:szCs w:val="20"/>
      <w:lang w:eastAsia="en-AU"/>
    </w:rPr>
  </w:style>
  <w:style w:type="paragraph" w:customStyle="1" w:styleId="paragraph">
    <w:name w:val="paragraph"/>
    <w:basedOn w:val="Normal"/>
    <w:rsid w:val="00EE61CE"/>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EE61CE"/>
  </w:style>
  <w:style w:type="character" w:customStyle="1" w:styleId="eop">
    <w:name w:val="eop"/>
    <w:basedOn w:val="DefaultParagraphFont"/>
    <w:rsid w:val="00EE61CE"/>
  </w:style>
  <w:style w:type="paragraph" w:styleId="BodyText">
    <w:name w:val="Body Text"/>
    <w:basedOn w:val="Normal"/>
    <w:link w:val="BodyTextChar"/>
    <w:rsid w:val="00EE61CE"/>
    <w:pPr>
      <w:widowControl w:val="0"/>
      <w:spacing w:before="120" w:after="0"/>
      <w:jc w:val="both"/>
    </w:pPr>
    <w:rPr>
      <w:rFonts w:ascii="Book Antiqua" w:eastAsia="Times New Roman" w:hAnsi="Book Antiqua" w:cs="Times New Roman"/>
      <w:sz w:val="24"/>
      <w:szCs w:val="20"/>
    </w:rPr>
  </w:style>
  <w:style w:type="character" w:customStyle="1" w:styleId="BodyTextChar">
    <w:name w:val="Body Text Char"/>
    <w:basedOn w:val="DefaultParagraphFont"/>
    <w:link w:val="BodyText"/>
    <w:rsid w:val="00EE61CE"/>
    <w:rPr>
      <w:rFonts w:ascii="Book Antiqua" w:eastAsia="Times New Roman" w:hAnsi="Book Antiqu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027183">
      <w:bodyDiv w:val="1"/>
      <w:marLeft w:val="0"/>
      <w:marRight w:val="0"/>
      <w:marTop w:val="0"/>
      <w:marBottom w:val="0"/>
      <w:divBdr>
        <w:top w:val="none" w:sz="0" w:space="0" w:color="auto"/>
        <w:left w:val="none" w:sz="0" w:space="0" w:color="auto"/>
        <w:bottom w:val="none" w:sz="0" w:space="0" w:color="auto"/>
        <w:right w:val="none" w:sz="0" w:space="0" w:color="auto"/>
      </w:divBdr>
    </w:div>
    <w:div w:id="513151460">
      <w:bodyDiv w:val="1"/>
      <w:marLeft w:val="0"/>
      <w:marRight w:val="0"/>
      <w:marTop w:val="0"/>
      <w:marBottom w:val="0"/>
      <w:divBdr>
        <w:top w:val="none" w:sz="0" w:space="0" w:color="auto"/>
        <w:left w:val="none" w:sz="0" w:space="0" w:color="auto"/>
        <w:bottom w:val="none" w:sz="0" w:space="0" w:color="auto"/>
        <w:right w:val="none" w:sz="0" w:space="0" w:color="auto"/>
      </w:divBdr>
    </w:div>
    <w:div w:id="963390064">
      <w:bodyDiv w:val="1"/>
      <w:marLeft w:val="0"/>
      <w:marRight w:val="0"/>
      <w:marTop w:val="0"/>
      <w:marBottom w:val="0"/>
      <w:divBdr>
        <w:top w:val="none" w:sz="0" w:space="0" w:color="auto"/>
        <w:left w:val="none" w:sz="0" w:space="0" w:color="auto"/>
        <w:bottom w:val="none" w:sz="0" w:space="0" w:color="auto"/>
        <w:right w:val="none" w:sz="0" w:space="0" w:color="auto"/>
      </w:divBdr>
      <w:divsChild>
        <w:div w:id="986322563">
          <w:marLeft w:val="0"/>
          <w:marRight w:val="0"/>
          <w:marTop w:val="0"/>
          <w:marBottom w:val="0"/>
          <w:divBdr>
            <w:top w:val="none" w:sz="0" w:space="0" w:color="auto"/>
            <w:left w:val="none" w:sz="0" w:space="0" w:color="auto"/>
            <w:bottom w:val="none" w:sz="0" w:space="0" w:color="auto"/>
            <w:right w:val="none" w:sz="0" w:space="0" w:color="auto"/>
          </w:divBdr>
          <w:divsChild>
            <w:div w:id="650446716">
              <w:marLeft w:val="0"/>
              <w:marRight w:val="0"/>
              <w:marTop w:val="0"/>
              <w:marBottom w:val="0"/>
              <w:divBdr>
                <w:top w:val="none" w:sz="0" w:space="0" w:color="auto"/>
                <w:left w:val="none" w:sz="0" w:space="0" w:color="auto"/>
                <w:bottom w:val="none" w:sz="0" w:space="0" w:color="auto"/>
                <w:right w:val="none" w:sz="0" w:space="0" w:color="auto"/>
              </w:divBdr>
            </w:div>
            <w:div w:id="1672181192">
              <w:marLeft w:val="0"/>
              <w:marRight w:val="0"/>
              <w:marTop w:val="0"/>
              <w:marBottom w:val="0"/>
              <w:divBdr>
                <w:top w:val="none" w:sz="0" w:space="0" w:color="auto"/>
                <w:left w:val="none" w:sz="0" w:space="0" w:color="auto"/>
                <w:bottom w:val="none" w:sz="0" w:space="0" w:color="auto"/>
                <w:right w:val="none" w:sz="0" w:space="0" w:color="auto"/>
              </w:divBdr>
            </w:div>
            <w:div w:id="1760831590">
              <w:marLeft w:val="0"/>
              <w:marRight w:val="0"/>
              <w:marTop w:val="0"/>
              <w:marBottom w:val="0"/>
              <w:divBdr>
                <w:top w:val="none" w:sz="0" w:space="0" w:color="auto"/>
                <w:left w:val="none" w:sz="0" w:space="0" w:color="auto"/>
                <w:bottom w:val="none" w:sz="0" w:space="0" w:color="auto"/>
                <w:right w:val="none" w:sz="0" w:space="0" w:color="auto"/>
              </w:divBdr>
            </w:div>
            <w:div w:id="2024352613">
              <w:marLeft w:val="0"/>
              <w:marRight w:val="0"/>
              <w:marTop w:val="0"/>
              <w:marBottom w:val="0"/>
              <w:divBdr>
                <w:top w:val="none" w:sz="0" w:space="0" w:color="auto"/>
                <w:left w:val="none" w:sz="0" w:space="0" w:color="auto"/>
                <w:bottom w:val="none" w:sz="0" w:space="0" w:color="auto"/>
                <w:right w:val="none" w:sz="0" w:space="0" w:color="auto"/>
              </w:divBdr>
            </w:div>
          </w:divsChild>
        </w:div>
        <w:div w:id="2083218225">
          <w:marLeft w:val="0"/>
          <w:marRight w:val="0"/>
          <w:marTop w:val="0"/>
          <w:marBottom w:val="0"/>
          <w:divBdr>
            <w:top w:val="none" w:sz="0" w:space="0" w:color="auto"/>
            <w:left w:val="none" w:sz="0" w:space="0" w:color="auto"/>
            <w:bottom w:val="none" w:sz="0" w:space="0" w:color="auto"/>
            <w:right w:val="none" w:sz="0" w:space="0" w:color="auto"/>
          </w:divBdr>
          <w:divsChild>
            <w:div w:id="315842505">
              <w:marLeft w:val="0"/>
              <w:marRight w:val="0"/>
              <w:marTop w:val="0"/>
              <w:marBottom w:val="0"/>
              <w:divBdr>
                <w:top w:val="none" w:sz="0" w:space="0" w:color="auto"/>
                <w:left w:val="none" w:sz="0" w:space="0" w:color="auto"/>
                <w:bottom w:val="none" w:sz="0" w:space="0" w:color="auto"/>
                <w:right w:val="none" w:sz="0" w:space="0" w:color="auto"/>
              </w:divBdr>
            </w:div>
            <w:div w:id="531383773">
              <w:marLeft w:val="0"/>
              <w:marRight w:val="0"/>
              <w:marTop w:val="0"/>
              <w:marBottom w:val="0"/>
              <w:divBdr>
                <w:top w:val="none" w:sz="0" w:space="0" w:color="auto"/>
                <w:left w:val="none" w:sz="0" w:space="0" w:color="auto"/>
                <w:bottom w:val="none" w:sz="0" w:space="0" w:color="auto"/>
                <w:right w:val="none" w:sz="0" w:space="0" w:color="auto"/>
              </w:divBdr>
            </w:div>
            <w:div w:id="1302350706">
              <w:marLeft w:val="0"/>
              <w:marRight w:val="0"/>
              <w:marTop w:val="0"/>
              <w:marBottom w:val="0"/>
              <w:divBdr>
                <w:top w:val="none" w:sz="0" w:space="0" w:color="auto"/>
                <w:left w:val="none" w:sz="0" w:space="0" w:color="auto"/>
                <w:bottom w:val="none" w:sz="0" w:space="0" w:color="auto"/>
                <w:right w:val="none" w:sz="0" w:space="0" w:color="auto"/>
              </w:divBdr>
            </w:div>
            <w:div w:id="1431269765">
              <w:marLeft w:val="0"/>
              <w:marRight w:val="0"/>
              <w:marTop w:val="0"/>
              <w:marBottom w:val="0"/>
              <w:divBdr>
                <w:top w:val="none" w:sz="0" w:space="0" w:color="auto"/>
                <w:left w:val="none" w:sz="0" w:space="0" w:color="auto"/>
                <w:bottom w:val="none" w:sz="0" w:space="0" w:color="auto"/>
                <w:right w:val="none" w:sz="0" w:space="0" w:color="auto"/>
              </w:divBdr>
            </w:div>
            <w:div w:id="1627349689">
              <w:marLeft w:val="0"/>
              <w:marRight w:val="0"/>
              <w:marTop w:val="0"/>
              <w:marBottom w:val="0"/>
              <w:divBdr>
                <w:top w:val="none" w:sz="0" w:space="0" w:color="auto"/>
                <w:left w:val="none" w:sz="0" w:space="0" w:color="auto"/>
                <w:bottom w:val="none" w:sz="0" w:space="0" w:color="auto"/>
                <w:right w:val="none" w:sz="0" w:space="0" w:color="auto"/>
              </w:divBdr>
            </w:div>
            <w:div w:id="171634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278379">
      <w:bodyDiv w:val="1"/>
      <w:marLeft w:val="0"/>
      <w:marRight w:val="0"/>
      <w:marTop w:val="0"/>
      <w:marBottom w:val="0"/>
      <w:divBdr>
        <w:top w:val="none" w:sz="0" w:space="0" w:color="auto"/>
        <w:left w:val="none" w:sz="0" w:space="0" w:color="auto"/>
        <w:bottom w:val="none" w:sz="0" w:space="0" w:color="auto"/>
        <w:right w:val="none" w:sz="0" w:space="0" w:color="auto"/>
      </w:divBdr>
    </w:div>
    <w:div w:id="1505046417">
      <w:bodyDiv w:val="1"/>
      <w:marLeft w:val="0"/>
      <w:marRight w:val="0"/>
      <w:marTop w:val="0"/>
      <w:marBottom w:val="0"/>
      <w:divBdr>
        <w:top w:val="none" w:sz="0" w:space="0" w:color="auto"/>
        <w:left w:val="none" w:sz="0" w:space="0" w:color="auto"/>
        <w:bottom w:val="none" w:sz="0" w:space="0" w:color="auto"/>
        <w:right w:val="none" w:sz="0" w:space="0" w:color="auto"/>
      </w:divBdr>
    </w:div>
    <w:div w:id="1568346657">
      <w:bodyDiv w:val="1"/>
      <w:marLeft w:val="0"/>
      <w:marRight w:val="0"/>
      <w:marTop w:val="0"/>
      <w:marBottom w:val="0"/>
      <w:divBdr>
        <w:top w:val="none" w:sz="0" w:space="0" w:color="auto"/>
        <w:left w:val="none" w:sz="0" w:space="0" w:color="auto"/>
        <w:bottom w:val="none" w:sz="0" w:space="0" w:color="auto"/>
        <w:right w:val="none" w:sz="0" w:space="0" w:color="auto"/>
      </w:divBdr>
    </w:div>
    <w:div w:id="1736583180">
      <w:bodyDiv w:val="1"/>
      <w:marLeft w:val="0"/>
      <w:marRight w:val="0"/>
      <w:marTop w:val="0"/>
      <w:marBottom w:val="0"/>
      <w:divBdr>
        <w:top w:val="none" w:sz="0" w:space="0" w:color="auto"/>
        <w:left w:val="none" w:sz="0" w:space="0" w:color="auto"/>
        <w:bottom w:val="none" w:sz="0" w:space="0" w:color="auto"/>
        <w:right w:val="none" w:sz="0" w:space="0" w:color="auto"/>
      </w:divBdr>
    </w:div>
    <w:div w:id="2140342292">
      <w:bodyDiv w:val="1"/>
      <w:marLeft w:val="0"/>
      <w:marRight w:val="0"/>
      <w:marTop w:val="0"/>
      <w:marBottom w:val="0"/>
      <w:divBdr>
        <w:top w:val="none" w:sz="0" w:space="0" w:color="auto"/>
        <w:left w:val="none" w:sz="0" w:space="0" w:color="auto"/>
        <w:bottom w:val="none" w:sz="0" w:space="0" w:color="auto"/>
        <w:right w:val="none" w:sz="0" w:space="0" w:color="auto"/>
      </w:divBdr>
      <w:divsChild>
        <w:div w:id="783812465">
          <w:marLeft w:val="0"/>
          <w:marRight w:val="0"/>
          <w:marTop w:val="0"/>
          <w:marBottom w:val="0"/>
          <w:divBdr>
            <w:top w:val="none" w:sz="0" w:space="0" w:color="auto"/>
            <w:left w:val="none" w:sz="0" w:space="0" w:color="auto"/>
            <w:bottom w:val="none" w:sz="0" w:space="0" w:color="auto"/>
            <w:right w:val="none" w:sz="0" w:space="0" w:color="auto"/>
          </w:divBdr>
          <w:divsChild>
            <w:div w:id="54818368">
              <w:marLeft w:val="0"/>
              <w:marRight w:val="0"/>
              <w:marTop w:val="0"/>
              <w:marBottom w:val="0"/>
              <w:divBdr>
                <w:top w:val="none" w:sz="0" w:space="0" w:color="auto"/>
                <w:left w:val="none" w:sz="0" w:space="0" w:color="auto"/>
                <w:bottom w:val="none" w:sz="0" w:space="0" w:color="auto"/>
                <w:right w:val="none" w:sz="0" w:space="0" w:color="auto"/>
              </w:divBdr>
            </w:div>
            <w:div w:id="358513437">
              <w:marLeft w:val="0"/>
              <w:marRight w:val="0"/>
              <w:marTop w:val="0"/>
              <w:marBottom w:val="0"/>
              <w:divBdr>
                <w:top w:val="none" w:sz="0" w:space="0" w:color="auto"/>
                <w:left w:val="none" w:sz="0" w:space="0" w:color="auto"/>
                <w:bottom w:val="none" w:sz="0" w:space="0" w:color="auto"/>
                <w:right w:val="none" w:sz="0" w:space="0" w:color="auto"/>
              </w:divBdr>
            </w:div>
            <w:div w:id="384254228">
              <w:marLeft w:val="0"/>
              <w:marRight w:val="0"/>
              <w:marTop w:val="0"/>
              <w:marBottom w:val="0"/>
              <w:divBdr>
                <w:top w:val="none" w:sz="0" w:space="0" w:color="auto"/>
                <w:left w:val="none" w:sz="0" w:space="0" w:color="auto"/>
                <w:bottom w:val="none" w:sz="0" w:space="0" w:color="auto"/>
                <w:right w:val="none" w:sz="0" w:space="0" w:color="auto"/>
              </w:divBdr>
            </w:div>
            <w:div w:id="527573522">
              <w:marLeft w:val="0"/>
              <w:marRight w:val="0"/>
              <w:marTop w:val="0"/>
              <w:marBottom w:val="0"/>
              <w:divBdr>
                <w:top w:val="none" w:sz="0" w:space="0" w:color="auto"/>
                <w:left w:val="none" w:sz="0" w:space="0" w:color="auto"/>
                <w:bottom w:val="none" w:sz="0" w:space="0" w:color="auto"/>
                <w:right w:val="none" w:sz="0" w:space="0" w:color="auto"/>
              </w:divBdr>
            </w:div>
            <w:div w:id="762335699">
              <w:marLeft w:val="0"/>
              <w:marRight w:val="0"/>
              <w:marTop w:val="0"/>
              <w:marBottom w:val="0"/>
              <w:divBdr>
                <w:top w:val="none" w:sz="0" w:space="0" w:color="auto"/>
                <w:left w:val="none" w:sz="0" w:space="0" w:color="auto"/>
                <w:bottom w:val="none" w:sz="0" w:space="0" w:color="auto"/>
                <w:right w:val="none" w:sz="0" w:space="0" w:color="auto"/>
              </w:divBdr>
            </w:div>
            <w:div w:id="1181235762">
              <w:marLeft w:val="0"/>
              <w:marRight w:val="0"/>
              <w:marTop w:val="0"/>
              <w:marBottom w:val="0"/>
              <w:divBdr>
                <w:top w:val="none" w:sz="0" w:space="0" w:color="auto"/>
                <w:left w:val="none" w:sz="0" w:space="0" w:color="auto"/>
                <w:bottom w:val="none" w:sz="0" w:space="0" w:color="auto"/>
                <w:right w:val="none" w:sz="0" w:space="0" w:color="auto"/>
              </w:divBdr>
            </w:div>
          </w:divsChild>
        </w:div>
        <w:div w:id="1186291091">
          <w:marLeft w:val="0"/>
          <w:marRight w:val="0"/>
          <w:marTop w:val="0"/>
          <w:marBottom w:val="0"/>
          <w:divBdr>
            <w:top w:val="none" w:sz="0" w:space="0" w:color="auto"/>
            <w:left w:val="none" w:sz="0" w:space="0" w:color="auto"/>
            <w:bottom w:val="none" w:sz="0" w:space="0" w:color="auto"/>
            <w:right w:val="none" w:sz="0" w:space="0" w:color="auto"/>
          </w:divBdr>
          <w:divsChild>
            <w:div w:id="391391694">
              <w:marLeft w:val="0"/>
              <w:marRight w:val="0"/>
              <w:marTop w:val="0"/>
              <w:marBottom w:val="0"/>
              <w:divBdr>
                <w:top w:val="none" w:sz="0" w:space="0" w:color="auto"/>
                <w:left w:val="none" w:sz="0" w:space="0" w:color="auto"/>
                <w:bottom w:val="none" w:sz="0" w:space="0" w:color="auto"/>
                <w:right w:val="none" w:sz="0" w:space="0" w:color="auto"/>
              </w:divBdr>
            </w:div>
            <w:div w:id="478499474">
              <w:marLeft w:val="0"/>
              <w:marRight w:val="0"/>
              <w:marTop w:val="0"/>
              <w:marBottom w:val="0"/>
              <w:divBdr>
                <w:top w:val="none" w:sz="0" w:space="0" w:color="auto"/>
                <w:left w:val="none" w:sz="0" w:space="0" w:color="auto"/>
                <w:bottom w:val="none" w:sz="0" w:space="0" w:color="auto"/>
                <w:right w:val="none" w:sz="0" w:space="0" w:color="auto"/>
              </w:divBdr>
            </w:div>
            <w:div w:id="1396002655">
              <w:marLeft w:val="0"/>
              <w:marRight w:val="0"/>
              <w:marTop w:val="0"/>
              <w:marBottom w:val="0"/>
              <w:divBdr>
                <w:top w:val="none" w:sz="0" w:space="0" w:color="auto"/>
                <w:left w:val="none" w:sz="0" w:space="0" w:color="auto"/>
                <w:bottom w:val="none" w:sz="0" w:space="0" w:color="auto"/>
                <w:right w:val="none" w:sz="0" w:space="0" w:color="auto"/>
              </w:divBdr>
            </w:div>
            <w:div w:id="176561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ac.gov.a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msac.gov.au/internet/msac/publishing.nsf/Content/Home-1" TargetMode="External"/><Relationship Id="rId4" Type="http://schemas.openxmlformats.org/officeDocument/2006/relationships/settings" Target="settings.xml"/><Relationship Id="rId9" Type="http://schemas.openxmlformats.org/officeDocument/2006/relationships/hyperlink" Target="http://www.msac.gov.au/internet/msac/publishing.nsf/Content/1308-public"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msac.gov.au/internet/msac/publishing.nsf/Content/1741-public" TargetMode="External"/><Relationship Id="rId7" Type="http://schemas.openxmlformats.org/officeDocument/2006/relationships/hyperlink" Target="http://www.mbsonline.gov.au/" TargetMode="External"/><Relationship Id="rId2" Type="http://schemas.openxmlformats.org/officeDocument/2006/relationships/hyperlink" Target="https://www.health.gov.au/resources/publications/taskforce-endorsed-report-anaesthesia-clinical-committee?language=en" TargetMode="External"/><Relationship Id="rId1" Type="http://schemas.openxmlformats.org/officeDocument/2006/relationships/hyperlink" Target="http://www.msac.gov.au/internet/msac/publishing.nsf/Content/1308-public" TargetMode="External"/><Relationship Id="rId6" Type="http://schemas.openxmlformats.org/officeDocument/2006/relationships/hyperlink" Target="https://www.health.gov.au/resources/apps-and-tools/medical-costs-finder" TargetMode="External"/><Relationship Id="rId5" Type="http://schemas.openxmlformats.org/officeDocument/2006/relationships/hyperlink" Target="https://www.aihw.gov.au/reports-data/myhospitals/sectors/admitted-patients" TargetMode="External"/><Relationship Id="rId4" Type="http://schemas.openxmlformats.org/officeDocument/2006/relationships/hyperlink" Target="https://www.aihw.gov.au/reports-data/myhospitals/sectors/admitted-pati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EB818-854D-4EC3-B270-EB15EE9FE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15263</Words>
  <Characters>87005</Characters>
  <Application>Microsoft Office Word</Application>
  <DocSecurity>0</DocSecurity>
  <Lines>725</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102064</CharactersWithSpaces>
  <SharedDoc>false</SharedDoc>
  <HLinks>
    <vt:vector size="72" baseType="variant">
      <vt:variant>
        <vt:i4>6684716</vt:i4>
      </vt:variant>
      <vt:variant>
        <vt:i4>144</vt:i4>
      </vt:variant>
      <vt:variant>
        <vt:i4>0</vt:i4>
      </vt:variant>
      <vt:variant>
        <vt:i4>5</vt:i4>
      </vt:variant>
      <vt:variant>
        <vt:lpwstr>http://msac.gov.au/internet/msac/publishing.nsf/Content/Home-1</vt:lpwstr>
      </vt:variant>
      <vt:variant>
        <vt:lpwstr/>
      </vt:variant>
      <vt:variant>
        <vt:i4>2949224</vt:i4>
      </vt:variant>
      <vt:variant>
        <vt:i4>141</vt:i4>
      </vt:variant>
      <vt:variant>
        <vt:i4>0</vt:i4>
      </vt:variant>
      <vt:variant>
        <vt:i4>5</vt:i4>
      </vt:variant>
      <vt:variant>
        <vt:lpwstr>http://www.msac.gov.au/internet/msac/publishing.nsf/Content/1308-public</vt:lpwstr>
      </vt:variant>
      <vt:variant>
        <vt:lpwstr/>
      </vt:variant>
      <vt:variant>
        <vt:i4>3997744</vt:i4>
      </vt:variant>
      <vt:variant>
        <vt:i4>0</vt:i4>
      </vt:variant>
      <vt:variant>
        <vt:i4>0</vt:i4>
      </vt:variant>
      <vt:variant>
        <vt:i4>5</vt:i4>
      </vt:variant>
      <vt:variant>
        <vt:lpwstr>http://www.msac.gov.au/</vt:lpwstr>
      </vt:variant>
      <vt:variant>
        <vt:lpwstr/>
      </vt:variant>
      <vt:variant>
        <vt:i4>524357</vt:i4>
      </vt:variant>
      <vt:variant>
        <vt:i4>18</vt:i4>
      </vt:variant>
      <vt:variant>
        <vt:i4>0</vt:i4>
      </vt:variant>
      <vt:variant>
        <vt:i4>5</vt:i4>
      </vt:variant>
      <vt:variant>
        <vt:lpwstr>http://www.mbsonline.gov.au/</vt:lpwstr>
      </vt:variant>
      <vt:variant>
        <vt:lpwstr/>
      </vt:variant>
      <vt:variant>
        <vt:i4>2228331</vt:i4>
      </vt:variant>
      <vt:variant>
        <vt:i4>15</vt:i4>
      </vt:variant>
      <vt:variant>
        <vt:i4>0</vt:i4>
      </vt:variant>
      <vt:variant>
        <vt:i4>5</vt:i4>
      </vt:variant>
      <vt:variant>
        <vt:lpwstr>https://www.health.gov.au/resources/apps-and-tools/medical-costs-finder</vt:lpwstr>
      </vt:variant>
      <vt:variant>
        <vt:lpwstr/>
      </vt:variant>
      <vt:variant>
        <vt:i4>8257658</vt:i4>
      </vt:variant>
      <vt:variant>
        <vt:i4>12</vt:i4>
      </vt:variant>
      <vt:variant>
        <vt:i4>0</vt:i4>
      </vt:variant>
      <vt:variant>
        <vt:i4>5</vt:i4>
      </vt:variant>
      <vt:variant>
        <vt:lpwstr>https://www.aihw.gov.au/reports-data/myhospitals/sectors/admitted-patients</vt:lpwstr>
      </vt:variant>
      <vt:variant>
        <vt:lpwstr/>
      </vt:variant>
      <vt:variant>
        <vt:i4>8257658</vt:i4>
      </vt:variant>
      <vt:variant>
        <vt:i4>9</vt:i4>
      </vt:variant>
      <vt:variant>
        <vt:i4>0</vt:i4>
      </vt:variant>
      <vt:variant>
        <vt:i4>5</vt:i4>
      </vt:variant>
      <vt:variant>
        <vt:lpwstr>https://www.aihw.gov.au/reports-data/myhospitals/sectors/admitted-patients</vt:lpwstr>
      </vt:variant>
      <vt:variant>
        <vt:lpwstr/>
      </vt:variant>
      <vt:variant>
        <vt:i4>2097260</vt:i4>
      </vt:variant>
      <vt:variant>
        <vt:i4>6</vt:i4>
      </vt:variant>
      <vt:variant>
        <vt:i4>0</vt:i4>
      </vt:variant>
      <vt:variant>
        <vt:i4>5</vt:i4>
      </vt:variant>
      <vt:variant>
        <vt:lpwstr>http://www.msac.gov.au/internet/msac/publishing.nsf/Content/1741-public</vt:lpwstr>
      </vt:variant>
      <vt:variant>
        <vt:lpwstr/>
      </vt:variant>
      <vt:variant>
        <vt:i4>524313</vt:i4>
      </vt:variant>
      <vt:variant>
        <vt:i4>3</vt:i4>
      </vt:variant>
      <vt:variant>
        <vt:i4>0</vt:i4>
      </vt:variant>
      <vt:variant>
        <vt:i4>5</vt:i4>
      </vt:variant>
      <vt:variant>
        <vt:lpwstr>https://www.health.gov.au/resources/publications/taskforce-endorsed-report-anaesthesia-clinical-committee?language=en</vt:lpwstr>
      </vt:variant>
      <vt:variant>
        <vt:lpwstr/>
      </vt:variant>
      <vt:variant>
        <vt:i4>2949224</vt:i4>
      </vt:variant>
      <vt:variant>
        <vt:i4>0</vt:i4>
      </vt:variant>
      <vt:variant>
        <vt:i4>0</vt:i4>
      </vt:variant>
      <vt:variant>
        <vt:i4>5</vt:i4>
      </vt:variant>
      <vt:variant>
        <vt:lpwstr>http://www.msac.gov.au/internet/msac/publishing.nsf/Content/1308-public</vt:lpwstr>
      </vt:variant>
      <vt:variant>
        <vt:lpwstr/>
      </vt:variant>
      <vt:variant>
        <vt:i4>8257631</vt:i4>
      </vt:variant>
      <vt:variant>
        <vt:i4>3</vt:i4>
      </vt:variant>
      <vt:variant>
        <vt:i4>0</vt:i4>
      </vt:variant>
      <vt:variant>
        <vt:i4>5</vt:i4>
      </vt:variant>
      <vt:variant>
        <vt:lpwstr>mailto:Gabrielle.Lockett@health.gov.au</vt:lpwstr>
      </vt:variant>
      <vt:variant>
        <vt:lpwstr/>
      </vt:variant>
      <vt:variant>
        <vt:i4>6291539</vt:i4>
      </vt:variant>
      <vt:variant>
        <vt:i4>0</vt:i4>
      </vt:variant>
      <vt:variant>
        <vt:i4>0</vt:i4>
      </vt:variant>
      <vt:variant>
        <vt:i4>5</vt:i4>
      </vt:variant>
      <vt:variant>
        <vt:lpwstr>mailto:Geoffrey.Simpson@health.gov.au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2024-06-05T03:27:00Z</dcterms:created>
  <dcterms:modified xsi:type="dcterms:W3CDTF">2024-06-05T03:27:00Z</dcterms:modified>
</cp:coreProperties>
</file>