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61E517CC" w:rsidR="006478E7" w:rsidRPr="00490FBB" w:rsidRDefault="006478E7" w:rsidP="006478E7">
      <w:pPr>
        <w:spacing w:before="120" w:after="120" w:line="312" w:lineRule="auto"/>
        <w:jc w:val="center"/>
      </w:pPr>
    </w:p>
    <w:p w14:paraId="50B6D781" w14:textId="39B83C18"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AB7050">
        <w:rPr>
          <w:sz w:val="48"/>
          <w:szCs w:val="48"/>
        </w:rPr>
        <w:t>1741</w:t>
      </w:r>
    </w:p>
    <w:p w14:paraId="11765312" w14:textId="2ED5DC4D" w:rsidR="006478E7" w:rsidRPr="00490FBB" w:rsidRDefault="00A12933" w:rsidP="006478E7">
      <w:pPr>
        <w:pStyle w:val="Heading10"/>
        <w:jc w:val="center"/>
        <w:rPr>
          <w:sz w:val="48"/>
          <w:szCs w:val="48"/>
        </w:rPr>
      </w:pPr>
      <w:bookmarkStart w:id="0" w:name="_Hlk126665191"/>
      <w:r w:rsidRPr="00A12933">
        <w:rPr>
          <w:color w:val="548DD4"/>
          <w:sz w:val="48"/>
          <w:szCs w:val="48"/>
        </w:rPr>
        <w:t>Continuous nerve blockade using a catheter technique</w:t>
      </w:r>
      <w:bookmarkEnd w:id="0"/>
    </w:p>
    <w:p w14:paraId="23900CA0" w14:textId="50D27D65" w:rsidR="006478E7" w:rsidRPr="00490FBB" w:rsidRDefault="006478E7" w:rsidP="00622A85">
      <w:pPr>
        <w:pStyle w:val="Heading1"/>
      </w:pPr>
      <w:r w:rsidRPr="00490FBB">
        <w:t>PICO Confirmation</w:t>
      </w:r>
    </w:p>
    <w:p w14:paraId="3B017B6A" w14:textId="77777777" w:rsidR="00FD0132" w:rsidRDefault="00FD0132">
      <w:pPr>
        <w:spacing w:after="160" w:line="259" w:lineRule="auto"/>
        <w:rPr>
          <w:rFonts w:ascii="Franklin Gothic Medium" w:eastAsiaTheme="majorEastAsia" w:hAnsi="Franklin Gothic Medium" w:cstheme="majorBidi"/>
          <w:color w:val="000000" w:themeColor="text1"/>
          <w:sz w:val="32"/>
          <w:szCs w:val="26"/>
        </w:rPr>
      </w:pPr>
      <w:r>
        <w:br w:type="page"/>
      </w:r>
    </w:p>
    <w:p w14:paraId="219312C8" w14:textId="36216A8D" w:rsidR="006478E7" w:rsidRPr="00D52956" w:rsidRDefault="006478E7" w:rsidP="00BB0FFB">
      <w:pPr>
        <w:pStyle w:val="Heading2"/>
      </w:pPr>
      <w:r w:rsidRPr="00D52956">
        <w:lastRenderedPageBreak/>
        <w:t>Summary of PI</w:t>
      </w:r>
      <w:r w:rsidR="00235B21">
        <w:t xml:space="preserve">CO criteria to define </w:t>
      </w:r>
      <w:r w:rsidRPr="00D52956">
        <w:t>question(s) to be addressed in an Assessment Report to the Medical Services Advisory Committee (MSAC)</w:t>
      </w:r>
    </w:p>
    <w:p w14:paraId="224459F3" w14:textId="0E84872B" w:rsidR="00D52956" w:rsidRDefault="00D52956" w:rsidP="0097504D">
      <w:pPr>
        <w:pStyle w:val="TableHeading"/>
      </w:pPr>
      <w:bookmarkStart w:id="1" w:name="_Ref69732160"/>
      <w:bookmarkStart w:id="2" w:name="_Ref69732155"/>
      <w:r>
        <w:t>Table</w:t>
      </w:r>
      <w:r w:rsidR="00FD4C65">
        <w:t> </w:t>
      </w:r>
      <w:r>
        <w:fldChar w:fldCharType="begin"/>
      </w:r>
      <w:r>
        <w:instrText>SEQ Table \* ARABIC</w:instrText>
      </w:r>
      <w:r>
        <w:fldChar w:fldCharType="separate"/>
      </w:r>
      <w:r w:rsidR="00B65CEE">
        <w:rPr>
          <w:noProof/>
        </w:rPr>
        <w:t>1</w:t>
      </w:r>
      <w:r>
        <w:fldChar w:fldCharType="end"/>
      </w:r>
      <w:bookmarkEnd w:id="1"/>
      <w:r>
        <w:tab/>
        <w:t xml:space="preserve">PICO for </w:t>
      </w:r>
      <w:bookmarkEnd w:id="2"/>
      <w:r w:rsidR="0078564C">
        <w:t xml:space="preserve">continuous </w:t>
      </w:r>
      <w:r w:rsidR="004A55C2" w:rsidRPr="00FB5A10">
        <w:t>peripheral</w:t>
      </w:r>
      <w:r w:rsidR="004A55C2">
        <w:t xml:space="preserve"> </w:t>
      </w:r>
      <w:r w:rsidR="0078564C">
        <w:t>nerve block</w:t>
      </w:r>
      <w:r>
        <w:t xml:space="preserve"> </w:t>
      </w:r>
      <w:r w:rsidR="009C3165">
        <w:t>for</w:t>
      </w:r>
      <w:r w:rsidR="0078564C">
        <w:t xml:space="preserve"> post</w:t>
      </w:r>
      <w:r w:rsidR="00C01C10">
        <w:t>operative</w:t>
      </w:r>
      <w:r w:rsidR="0078564C">
        <w:t xml:space="preserve"> pain</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PICO for continuous peripheral nerve block for postoperative pain"/>
        <w:tblDescription w:val="PICO criteria for the assessment"/>
      </w:tblPr>
      <w:tblGrid>
        <w:gridCol w:w="1923"/>
        <w:gridCol w:w="7643"/>
      </w:tblGrid>
      <w:tr w:rsidR="006478E7" w:rsidRPr="00490FBB" w14:paraId="2A509B30" w14:textId="77777777" w:rsidTr="38BE887E">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EE2071">
            <w:pPr>
              <w:pStyle w:val="Tabletext"/>
              <w:rPr>
                <w:b/>
              </w:rPr>
            </w:pPr>
            <w:bookmarkStart w:id="3"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EE2071">
            <w:pPr>
              <w:pStyle w:val="Tabletext"/>
              <w:rPr>
                <w:b/>
              </w:rPr>
            </w:pPr>
            <w:r w:rsidRPr="00490FBB">
              <w:rPr>
                <w:b/>
              </w:rPr>
              <w:t>Description</w:t>
            </w:r>
          </w:p>
        </w:tc>
      </w:tr>
      <w:bookmarkEnd w:id="3"/>
      <w:tr w:rsidR="006478E7" w:rsidRPr="00490FBB" w14:paraId="78E0BB65" w14:textId="77777777" w:rsidTr="006478E7">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490FBB" w:rsidRDefault="00F660E8" w:rsidP="00B65CEE">
            <w:pPr>
              <w:pStyle w:val="Tabletext"/>
              <w:spacing w:before="120" w:after="120"/>
              <w:rPr>
                <w:rFonts w:cs="Arial"/>
              </w:rPr>
            </w:pPr>
            <w:r>
              <w:rPr>
                <w:rFonts w:cs="Arial"/>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64E1D326" w:rsidR="006478E7" w:rsidRPr="00D52956" w:rsidRDefault="008702DE" w:rsidP="00B65CEE">
            <w:pPr>
              <w:pStyle w:val="Tabletext"/>
              <w:spacing w:before="120" w:after="120"/>
            </w:pPr>
            <w:r>
              <w:t>P</w:t>
            </w:r>
            <w:r w:rsidR="00964A12" w:rsidRPr="00964A12">
              <w:t xml:space="preserve">atients undergoing surgery associated with </w:t>
            </w:r>
            <w:r w:rsidR="00477932">
              <w:t xml:space="preserve">moderate to severe </w:t>
            </w:r>
            <w:r w:rsidR="00964A12" w:rsidRPr="00964A12">
              <w:t>post</w:t>
            </w:r>
            <w:r w:rsidR="00C01C10">
              <w:t>operative</w:t>
            </w:r>
            <w:r w:rsidR="00964A12" w:rsidRPr="00964A12">
              <w:t xml:space="preserve"> pain</w:t>
            </w:r>
            <w:r w:rsidR="0055667C">
              <w:t xml:space="preserve"> </w:t>
            </w:r>
            <w:r w:rsidR="00D2400E">
              <w:t xml:space="preserve">that is </w:t>
            </w:r>
            <w:r w:rsidR="0055667C">
              <w:t>expected to</w:t>
            </w:r>
            <w:r w:rsidR="00964A12" w:rsidRPr="00964A12">
              <w:t xml:space="preserve"> last 12 hours or longer</w:t>
            </w:r>
          </w:p>
        </w:tc>
      </w:tr>
      <w:tr w:rsidR="006478E7" w:rsidRPr="00490FBB" w14:paraId="654E13A9"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B65CEE">
            <w:pPr>
              <w:pStyle w:val="Tabletext"/>
              <w:spacing w:before="120" w:after="120"/>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6E169DC6" w:rsidR="006478E7" w:rsidRPr="00D52956" w:rsidRDefault="00964A12" w:rsidP="00B65CEE">
            <w:pPr>
              <w:pStyle w:val="Tabletext"/>
              <w:spacing w:before="120" w:after="120"/>
            </w:pPr>
            <w:r>
              <w:t xml:space="preserve">Continuous </w:t>
            </w:r>
            <w:r w:rsidR="0097504D" w:rsidRPr="00FB5A10">
              <w:t>peripheral</w:t>
            </w:r>
            <w:r w:rsidR="0097504D">
              <w:t xml:space="preserve"> </w:t>
            </w:r>
            <w:r>
              <w:t>nerve block</w:t>
            </w:r>
            <w:r w:rsidR="001A3CBF">
              <w:t xml:space="preserve"> </w:t>
            </w:r>
          </w:p>
        </w:tc>
      </w:tr>
      <w:tr w:rsidR="006478E7" w:rsidRPr="00490FBB" w14:paraId="1F5647C3" w14:textId="77777777" w:rsidTr="006478E7">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490FBB" w:rsidRDefault="006478E7" w:rsidP="00B65CEE">
            <w:pPr>
              <w:pStyle w:val="Tabletext"/>
              <w:spacing w:before="120" w:after="120"/>
              <w:rPr>
                <w:rFonts w:cs="Arial"/>
              </w:rPr>
            </w:pPr>
            <w:r w:rsidRPr="00490FBB">
              <w:rPr>
                <w:rFonts w:cs="Arial"/>
              </w:rPr>
              <w:t>Comparator</w:t>
            </w:r>
            <w:r w:rsidR="00D83062">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4A1F3BFA" w14:textId="5FEDDE66" w:rsidR="006478E7" w:rsidRDefault="009E0CE9" w:rsidP="00BF0E19">
            <w:pPr>
              <w:pStyle w:val="Tabletext"/>
            </w:pPr>
            <w:r w:rsidRPr="00860089">
              <w:rPr>
                <w:u w:val="single"/>
              </w:rPr>
              <w:t>Primary</w:t>
            </w:r>
            <w:r w:rsidR="001513AC" w:rsidRPr="00860089">
              <w:rPr>
                <w:u w:val="single"/>
              </w:rPr>
              <w:t xml:space="preserve"> </w:t>
            </w:r>
            <w:r w:rsidR="00FD3035" w:rsidRPr="00860089">
              <w:rPr>
                <w:u w:val="single"/>
              </w:rPr>
              <w:t>comparator</w:t>
            </w:r>
            <w:r>
              <w:t xml:space="preserve">: </w:t>
            </w:r>
            <w:r w:rsidR="00FD3035">
              <w:t xml:space="preserve"> </w:t>
            </w:r>
            <w:r w:rsidR="00FD3035">
              <w:br/>
            </w:r>
            <w:r w:rsidR="00B852B9">
              <w:t>Single injection block</w:t>
            </w:r>
          </w:p>
          <w:p w14:paraId="7E690E4B" w14:textId="0A0C9B1C" w:rsidR="00DE1F3F" w:rsidRPr="00D52956" w:rsidRDefault="009E0CE9" w:rsidP="00B65CEE">
            <w:pPr>
              <w:pStyle w:val="Tabletext"/>
              <w:spacing w:after="120"/>
            </w:pPr>
            <w:r w:rsidRPr="00860089">
              <w:rPr>
                <w:u w:val="single"/>
              </w:rPr>
              <w:t>Secondary</w:t>
            </w:r>
            <w:r w:rsidR="00797F53" w:rsidRPr="00860089">
              <w:rPr>
                <w:u w:val="single"/>
              </w:rPr>
              <w:t xml:space="preserve"> </w:t>
            </w:r>
            <w:r w:rsidR="00FD3035" w:rsidRPr="00860089">
              <w:rPr>
                <w:u w:val="single"/>
              </w:rPr>
              <w:t>comparator</w:t>
            </w:r>
            <w:r w:rsidR="00860089">
              <w:rPr>
                <w:u w:val="single"/>
              </w:rPr>
              <w:t>s</w:t>
            </w:r>
            <w:r>
              <w:t>:</w:t>
            </w:r>
            <w:r w:rsidR="00226543">
              <w:t xml:space="preserve"> </w:t>
            </w:r>
            <w:r w:rsidR="00FD3035">
              <w:t xml:space="preserve"> </w:t>
            </w:r>
            <w:r w:rsidR="00FD3035">
              <w:br/>
              <w:t>S</w:t>
            </w:r>
            <w:r w:rsidR="00797F53">
              <w:t>ystemic opioids</w:t>
            </w:r>
            <w:r w:rsidR="00A55D5B">
              <w:t xml:space="preserve"> </w:t>
            </w:r>
            <w:r w:rsidR="00FD3035">
              <w:br/>
              <w:t>N</w:t>
            </w:r>
            <w:r w:rsidR="00797F53">
              <w:t>euraxial nerve block</w:t>
            </w:r>
            <w:r w:rsidR="00365F5A">
              <w:t xml:space="preserve"> </w:t>
            </w:r>
          </w:p>
        </w:tc>
      </w:tr>
      <w:tr w:rsidR="006478E7" w:rsidRPr="00490FBB" w14:paraId="591B1D2D" w14:textId="77777777" w:rsidTr="00BB169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490FBB" w:rsidRDefault="006478E7" w:rsidP="00B65CEE">
            <w:pPr>
              <w:pStyle w:val="Tabletext"/>
              <w:spacing w:before="120" w:after="120"/>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2F559F22" w14:textId="77777777" w:rsidR="00E01349" w:rsidRPr="00B20CF1" w:rsidRDefault="00E01349" w:rsidP="005C5672">
            <w:pPr>
              <w:pStyle w:val="Tablenotes"/>
              <w:spacing w:after="0"/>
              <w:rPr>
                <w:sz w:val="6"/>
                <w:szCs w:val="8"/>
              </w:rPr>
            </w:pPr>
          </w:p>
          <w:p w14:paraId="2C806DA3" w14:textId="77777777" w:rsidR="00FD0132" w:rsidRPr="00124836" w:rsidRDefault="00FD0132" w:rsidP="00FD0132">
            <w:pPr>
              <w:pStyle w:val="Tablenotes"/>
              <w:spacing w:after="0"/>
              <w:jc w:val="left"/>
              <w:rPr>
                <w:b/>
                <w:bCs/>
                <w:sz w:val="20"/>
              </w:rPr>
            </w:pPr>
            <w:r w:rsidRPr="00124836">
              <w:rPr>
                <w:b/>
                <w:bCs/>
                <w:sz w:val="20"/>
              </w:rPr>
              <w:t>Effectiveness</w:t>
            </w:r>
            <w:r w:rsidRPr="00124836">
              <w:rPr>
                <w:b/>
                <w:bCs/>
                <w:sz w:val="20"/>
              </w:rPr>
              <w:tab/>
            </w:r>
          </w:p>
          <w:p w14:paraId="06CFCFC5" w14:textId="38096DB0" w:rsidR="00FD0132" w:rsidRPr="00FD0132" w:rsidRDefault="00FD0132" w:rsidP="00FD0132">
            <w:pPr>
              <w:pStyle w:val="Tablenotes"/>
              <w:numPr>
                <w:ilvl w:val="0"/>
                <w:numId w:val="42"/>
              </w:numPr>
              <w:spacing w:after="0"/>
              <w:ind w:left="229" w:hanging="141"/>
              <w:jc w:val="left"/>
              <w:rPr>
                <w:sz w:val="20"/>
              </w:rPr>
            </w:pPr>
            <w:r w:rsidRPr="00FD0132">
              <w:rPr>
                <w:sz w:val="20"/>
              </w:rPr>
              <w:t>Patient-reported postoperative pain score</w:t>
            </w:r>
          </w:p>
          <w:p w14:paraId="6D6260CD" w14:textId="5FFE61FA" w:rsidR="00FD0132" w:rsidRPr="00FD0132" w:rsidRDefault="00FD0132" w:rsidP="00FD0132">
            <w:pPr>
              <w:pStyle w:val="Tablenotes"/>
              <w:numPr>
                <w:ilvl w:val="0"/>
                <w:numId w:val="42"/>
              </w:numPr>
              <w:spacing w:after="0"/>
              <w:ind w:left="229" w:hanging="141"/>
              <w:jc w:val="left"/>
              <w:rPr>
                <w:sz w:val="20"/>
              </w:rPr>
            </w:pPr>
            <w:r w:rsidRPr="00FD0132">
              <w:rPr>
                <w:sz w:val="20"/>
              </w:rPr>
              <w:t>Time to first mobilisation post-surgery</w:t>
            </w:r>
          </w:p>
          <w:p w14:paraId="72288710" w14:textId="21D118C9" w:rsidR="00FD0132" w:rsidRPr="00FD0132" w:rsidRDefault="00FD0132" w:rsidP="00FD0132">
            <w:pPr>
              <w:pStyle w:val="Tablenotes"/>
              <w:numPr>
                <w:ilvl w:val="0"/>
                <w:numId w:val="42"/>
              </w:numPr>
              <w:spacing w:after="0"/>
              <w:ind w:left="229" w:hanging="141"/>
              <w:jc w:val="left"/>
              <w:rPr>
                <w:sz w:val="20"/>
              </w:rPr>
            </w:pPr>
            <w:r w:rsidRPr="00FD0132">
              <w:rPr>
                <w:sz w:val="20"/>
              </w:rPr>
              <w:t>Patient satisfaction with analgesia</w:t>
            </w:r>
          </w:p>
          <w:p w14:paraId="17D274EA" w14:textId="6DB08912" w:rsidR="00FD0132" w:rsidRPr="00FD0132" w:rsidRDefault="00FD0132" w:rsidP="00FD0132">
            <w:pPr>
              <w:pStyle w:val="Tablenotes"/>
              <w:numPr>
                <w:ilvl w:val="0"/>
                <w:numId w:val="42"/>
              </w:numPr>
              <w:spacing w:after="0"/>
              <w:ind w:left="229" w:hanging="141"/>
              <w:jc w:val="left"/>
              <w:rPr>
                <w:sz w:val="20"/>
              </w:rPr>
            </w:pPr>
            <w:r w:rsidRPr="00FD0132">
              <w:rPr>
                <w:sz w:val="20"/>
              </w:rPr>
              <w:t>Time to, and rate of supplementary analgesia use</w:t>
            </w:r>
          </w:p>
          <w:p w14:paraId="7FDBF179" w14:textId="28875E44" w:rsidR="00FD0132" w:rsidRPr="00FD0132" w:rsidRDefault="00FD0132" w:rsidP="00FD0132">
            <w:pPr>
              <w:pStyle w:val="Tablenotes"/>
              <w:numPr>
                <w:ilvl w:val="0"/>
                <w:numId w:val="42"/>
              </w:numPr>
              <w:spacing w:after="0"/>
              <w:ind w:left="229" w:hanging="141"/>
              <w:jc w:val="left"/>
              <w:rPr>
                <w:sz w:val="20"/>
              </w:rPr>
            </w:pPr>
            <w:r w:rsidRPr="00FD0132">
              <w:rPr>
                <w:sz w:val="20"/>
              </w:rPr>
              <w:t>Rate of chronic postoperative pain</w:t>
            </w:r>
          </w:p>
          <w:p w14:paraId="33CB9F33" w14:textId="6C3831BD" w:rsidR="00FD0132" w:rsidRPr="00FD0132" w:rsidRDefault="00FD0132" w:rsidP="00FD0132">
            <w:pPr>
              <w:pStyle w:val="Tablenotes"/>
              <w:numPr>
                <w:ilvl w:val="0"/>
                <w:numId w:val="42"/>
              </w:numPr>
              <w:spacing w:after="0"/>
              <w:ind w:left="229" w:hanging="141"/>
              <w:jc w:val="left"/>
              <w:rPr>
                <w:sz w:val="20"/>
              </w:rPr>
            </w:pPr>
            <w:r w:rsidRPr="00FD0132">
              <w:rPr>
                <w:sz w:val="20"/>
              </w:rPr>
              <w:t>Chest infection/pneumonia (consequence of poorly managed severe pain)</w:t>
            </w:r>
          </w:p>
          <w:p w14:paraId="25A74544" w14:textId="42D91419" w:rsidR="00FD0132" w:rsidRPr="00FD0132" w:rsidRDefault="00FD0132" w:rsidP="00FD0132">
            <w:pPr>
              <w:pStyle w:val="Tablenotes"/>
              <w:numPr>
                <w:ilvl w:val="0"/>
                <w:numId w:val="42"/>
              </w:numPr>
              <w:spacing w:after="0"/>
              <w:ind w:left="229" w:hanging="141"/>
              <w:jc w:val="left"/>
              <w:rPr>
                <w:sz w:val="20"/>
              </w:rPr>
            </w:pPr>
            <w:r w:rsidRPr="00FD0132">
              <w:rPr>
                <w:sz w:val="20"/>
              </w:rPr>
              <w:t>Health-related Quality of Life</w:t>
            </w:r>
          </w:p>
          <w:p w14:paraId="10FFD277" w14:textId="77777777" w:rsidR="00FD0132" w:rsidRPr="00124836" w:rsidRDefault="00FD0132" w:rsidP="00B65CEE">
            <w:pPr>
              <w:pStyle w:val="Tablenotes"/>
              <w:spacing w:before="120" w:after="0"/>
              <w:jc w:val="left"/>
              <w:rPr>
                <w:b/>
                <w:bCs/>
                <w:sz w:val="20"/>
              </w:rPr>
            </w:pPr>
            <w:r w:rsidRPr="00124836">
              <w:rPr>
                <w:b/>
                <w:bCs/>
                <w:sz w:val="20"/>
              </w:rPr>
              <w:t>Safety /adverse effects</w:t>
            </w:r>
            <w:r w:rsidRPr="00124836">
              <w:rPr>
                <w:b/>
                <w:bCs/>
                <w:sz w:val="20"/>
              </w:rPr>
              <w:tab/>
            </w:r>
          </w:p>
          <w:p w14:paraId="1D18FE19" w14:textId="24537A42" w:rsidR="00FD0132" w:rsidRPr="00FD0132" w:rsidRDefault="00FD0132" w:rsidP="00124836">
            <w:pPr>
              <w:pStyle w:val="Tablenotes"/>
              <w:numPr>
                <w:ilvl w:val="0"/>
                <w:numId w:val="42"/>
              </w:numPr>
              <w:spacing w:after="0"/>
              <w:ind w:left="229" w:hanging="141"/>
              <w:jc w:val="left"/>
              <w:rPr>
                <w:sz w:val="20"/>
              </w:rPr>
            </w:pPr>
            <w:r w:rsidRPr="00FD0132">
              <w:rPr>
                <w:sz w:val="20"/>
              </w:rPr>
              <w:t>Block-related complications (vascular injury, paraesthesia, motor block, failed block, neurological impairment, pneumothorax)</w:t>
            </w:r>
          </w:p>
          <w:p w14:paraId="62D8C7FE" w14:textId="00B721F9" w:rsidR="00FD0132" w:rsidRPr="00FD0132" w:rsidRDefault="00FD0132" w:rsidP="00124836">
            <w:pPr>
              <w:pStyle w:val="Tablenotes"/>
              <w:numPr>
                <w:ilvl w:val="0"/>
                <w:numId w:val="42"/>
              </w:numPr>
              <w:spacing w:after="0"/>
              <w:ind w:left="229" w:hanging="141"/>
              <w:jc w:val="left"/>
              <w:rPr>
                <w:sz w:val="20"/>
              </w:rPr>
            </w:pPr>
            <w:r w:rsidRPr="00FD0132">
              <w:rPr>
                <w:sz w:val="20"/>
              </w:rPr>
              <w:t>Catheter AEs including insertion site infection</w:t>
            </w:r>
          </w:p>
          <w:p w14:paraId="317D3CFB" w14:textId="4A7AE7EE" w:rsidR="00FD0132" w:rsidRPr="00FD0132" w:rsidRDefault="00FD0132" w:rsidP="00124836">
            <w:pPr>
              <w:pStyle w:val="Tablenotes"/>
              <w:numPr>
                <w:ilvl w:val="0"/>
                <w:numId w:val="42"/>
              </w:numPr>
              <w:spacing w:after="0"/>
              <w:ind w:left="229" w:hanging="141"/>
              <w:jc w:val="left"/>
              <w:rPr>
                <w:sz w:val="20"/>
              </w:rPr>
            </w:pPr>
            <w:r w:rsidRPr="00FD0132">
              <w:rPr>
                <w:sz w:val="20"/>
              </w:rPr>
              <w:t>Local anaesthesia toxicity</w:t>
            </w:r>
          </w:p>
          <w:p w14:paraId="2C993DA1" w14:textId="3E340BF0" w:rsidR="00FD0132" w:rsidRPr="00FD0132" w:rsidRDefault="00FD0132" w:rsidP="00124836">
            <w:pPr>
              <w:pStyle w:val="Tablenotes"/>
              <w:numPr>
                <w:ilvl w:val="0"/>
                <w:numId w:val="42"/>
              </w:numPr>
              <w:spacing w:after="0"/>
              <w:ind w:left="229" w:hanging="141"/>
              <w:jc w:val="left"/>
              <w:rPr>
                <w:sz w:val="20"/>
              </w:rPr>
            </w:pPr>
            <w:r w:rsidRPr="00FD0132">
              <w:rPr>
                <w:sz w:val="20"/>
              </w:rPr>
              <w:t>Death/mortality</w:t>
            </w:r>
          </w:p>
          <w:p w14:paraId="0DDE182B" w14:textId="334FA844" w:rsidR="00FD0132" w:rsidRPr="00FD0132" w:rsidRDefault="00FD0132" w:rsidP="00124836">
            <w:pPr>
              <w:pStyle w:val="Tablenotes"/>
              <w:numPr>
                <w:ilvl w:val="0"/>
                <w:numId w:val="42"/>
              </w:numPr>
              <w:spacing w:after="0"/>
              <w:ind w:left="229" w:hanging="141"/>
              <w:jc w:val="left"/>
              <w:rPr>
                <w:sz w:val="20"/>
              </w:rPr>
            </w:pPr>
            <w:r w:rsidRPr="00FD0132">
              <w:rPr>
                <w:sz w:val="20"/>
              </w:rPr>
              <w:t>Complications or grade ≥3 AEs for systemic analgesia (short-term and long-term)</w:t>
            </w:r>
          </w:p>
          <w:p w14:paraId="17BAFADE" w14:textId="00C3F5FD" w:rsidR="00124836" w:rsidRDefault="00FD0132" w:rsidP="00B65CEE">
            <w:pPr>
              <w:pStyle w:val="Tablenotes"/>
              <w:spacing w:before="120" w:after="0"/>
              <w:jc w:val="left"/>
              <w:rPr>
                <w:sz w:val="20"/>
              </w:rPr>
            </w:pPr>
            <w:r w:rsidRPr="00124836">
              <w:rPr>
                <w:b/>
                <w:bCs/>
                <w:sz w:val="20"/>
              </w:rPr>
              <w:t>Resource Use</w:t>
            </w:r>
            <w:r w:rsidRPr="00FD0132">
              <w:rPr>
                <w:sz w:val="20"/>
              </w:rPr>
              <w:tab/>
            </w:r>
          </w:p>
          <w:p w14:paraId="1C51D276" w14:textId="7A1521B4" w:rsidR="00FD0132" w:rsidRPr="00FD0132" w:rsidRDefault="00FD0132" w:rsidP="00124836">
            <w:pPr>
              <w:pStyle w:val="Tablenotes"/>
              <w:numPr>
                <w:ilvl w:val="0"/>
                <w:numId w:val="42"/>
              </w:numPr>
              <w:spacing w:after="0"/>
              <w:ind w:left="229" w:hanging="141"/>
              <w:jc w:val="left"/>
              <w:rPr>
                <w:sz w:val="20"/>
              </w:rPr>
            </w:pPr>
            <w:r w:rsidRPr="00FD0132">
              <w:rPr>
                <w:sz w:val="20"/>
              </w:rPr>
              <w:t>Block re-attempt (block failure)</w:t>
            </w:r>
          </w:p>
          <w:p w14:paraId="0A03AC1F" w14:textId="1FC67972" w:rsidR="00FD0132" w:rsidRPr="00FD0132" w:rsidRDefault="00FD0132" w:rsidP="00124836">
            <w:pPr>
              <w:pStyle w:val="Tablenotes"/>
              <w:numPr>
                <w:ilvl w:val="0"/>
                <w:numId w:val="42"/>
              </w:numPr>
              <w:spacing w:after="0"/>
              <w:ind w:left="229" w:hanging="141"/>
              <w:jc w:val="left"/>
              <w:rPr>
                <w:sz w:val="20"/>
              </w:rPr>
            </w:pPr>
            <w:r w:rsidRPr="00FD0132">
              <w:rPr>
                <w:sz w:val="20"/>
              </w:rPr>
              <w:t>Hospital length of stay</w:t>
            </w:r>
          </w:p>
          <w:p w14:paraId="49EEDE07" w14:textId="23EB8DB5" w:rsidR="00FD0132" w:rsidRPr="00FD0132" w:rsidRDefault="00FD0132" w:rsidP="00124836">
            <w:pPr>
              <w:pStyle w:val="Tablenotes"/>
              <w:numPr>
                <w:ilvl w:val="0"/>
                <w:numId w:val="42"/>
              </w:numPr>
              <w:spacing w:after="0"/>
              <w:ind w:left="229" w:hanging="141"/>
              <w:jc w:val="left"/>
              <w:rPr>
                <w:sz w:val="20"/>
              </w:rPr>
            </w:pPr>
            <w:r w:rsidRPr="00FD0132">
              <w:rPr>
                <w:sz w:val="20"/>
              </w:rPr>
              <w:t>Re-hospitalisation due to pain</w:t>
            </w:r>
          </w:p>
          <w:p w14:paraId="6BC8984B" w14:textId="3131B65D" w:rsidR="00FD0132" w:rsidRPr="00FD0132" w:rsidRDefault="00FD0132" w:rsidP="00124836">
            <w:pPr>
              <w:pStyle w:val="Tablenotes"/>
              <w:numPr>
                <w:ilvl w:val="0"/>
                <w:numId w:val="42"/>
              </w:numPr>
              <w:spacing w:after="0"/>
              <w:ind w:left="229" w:hanging="141"/>
              <w:jc w:val="left"/>
              <w:rPr>
                <w:sz w:val="20"/>
              </w:rPr>
            </w:pPr>
            <w:r w:rsidRPr="00FD0132">
              <w:rPr>
                <w:sz w:val="20"/>
              </w:rPr>
              <w:t>Analgesic use (note time to supplementary analgesia is an efficacy endpoint)</w:t>
            </w:r>
          </w:p>
          <w:p w14:paraId="098768B7" w14:textId="09A047DF" w:rsidR="00FD0132" w:rsidRPr="00FD0132" w:rsidRDefault="00FD0132" w:rsidP="00124836">
            <w:pPr>
              <w:pStyle w:val="Tablenotes"/>
              <w:numPr>
                <w:ilvl w:val="0"/>
                <w:numId w:val="42"/>
              </w:numPr>
              <w:spacing w:after="0"/>
              <w:ind w:left="229" w:hanging="141"/>
              <w:jc w:val="left"/>
              <w:rPr>
                <w:sz w:val="20"/>
              </w:rPr>
            </w:pPr>
            <w:r w:rsidRPr="00FD0132">
              <w:rPr>
                <w:sz w:val="20"/>
              </w:rPr>
              <w:t>Analgesia requirements post-surgery (including opioid consumption)</w:t>
            </w:r>
          </w:p>
          <w:p w14:paraId="10EFECA9" w14:textId="308E66F6" w:rsidR="00B20CF1" w:rsidRPr="00FD0132" w:rsidRDefault="00FD0132" w:rsidP="00B65CEE">
            <w:pPr>
              <w:pStyle w:val="Tablenotes"/>
              <w:numPr>
                <w:ilvl w:val="0"/>
                <w:numId w:val="42"/>
              </w:numPr>
              <w:ind w:left="233" w:hanging="142"/>
              <w:jc w:val="left"/>
              <w:rPr>
                <w:sz w:val="20"/>
              </w:rPr>
            </w:pPr>
            <w:r w:rsidRPr="00FD0132">
              <w:rPr>
                <w:sz w:val="20"/>
              </w:rPr>
              <w:t>Duration of analgesia</w:t>
            </w:r>
          </w:p>
          <w:p w14:paraId="6F9242D7" w14:textId="31186BE5" w:rsidR="00767BEE" w:rsidRPr="005C5672" w:rsidRDefault="00767BEE" w:rsidP="005C5672">
            <w:pPr>
              <w:pStyle w:val="Tablenotes"/>
              <w:spacing w:after="0"/>
              <w:rPr>
                <w:sz w:val="8"/>
                <w:szCs w:val="10"/>
              </w:rPr>
            </w:pPr>
          </w:p>
        </w:tc>
      </w:tr>
      <w:tr w:rsidR="00BB1698" w:rsidRPr="00490FBB" w14:paraId="4A55FFDB" w14:textId="77777777" w:rsidTr="006478E7">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490FBB" w:rsidRDefault="00BB1698" w:rsidP="00B65CEE">
            <w:pPr>
              <w:pStyle w:val="Tabletext"/>
              <w:spacing w:before="120" w:after="120"/>
              <w:rPr>
                <w:rFonts w:cs="Arial"/>
              </w:rPr>
            </w:pPr>
            <w:r w:rsidRPr="00490FBB">
              <w:rPr>
                <w:rFonts w:cs="Arial"/>
              </w:rPr>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3FF9691A" w:rsidR="00BB1698" w:rsidRPr="00FD4C65" w:rsidRDefault="00BB1698" w:rsidP="00B65CEE">
            <w:pPr>
              <w:pStyle w:val="Tabletext"/>
              <w:spacing w:before="120" w:after="120"/>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008E6EE0">
              <w:rPr>
                <w:color w:val="000000" w:themeColor="text1"/>
              </w:rPr>
              <w:t xml:space="preserve">continuous </w:t>
            </w:r>
            <w:r w:rsidR="004A55C2" w:rsidRPr="00FB5A10">
              <w:t>peripheral</w:t>
            </w:r>
            <w:r w:rsidR="004A55C2">
              <w:t xml:space="preserve"> </w:t>
            </w:r>
            <w:r w:rsidR="008E6EE0">
              <w:rPr>
                <w:color w:val="000000" w:themeColor="text1"/>
              </w:rPr>
              <w:t xml:space="preserve">nerve block </w:t>
            </w:r>
            <w:r w:rsidRPr="00490FBB">
              <w:rPr>
                <w:color w:val="000000" w:themeColor="text1"/>
              </w:rPr>
              <w:t xml:space="preserve">versus </w:t>
            </w:r>
            <w:r w:rsidR="004A55C2">
              <w:rPr>
                <w:color w:val="000000" w:themeColor="text1"/>
              </w:rPr>
              <w:t>single injection nerve block</w:t>
            </w:r>
            <w:r w:rsidR="00EE2071">
              <w:rPr>
                <w:color w:val="000000" w:themeColor="text1"/>
              </w:rPr>
              <w:t>,</w:t>
            </w:r>
            <w:r w:rsidRPr="00490FBB">
              <w:rPr>
                <w:color w:val="000000" w:themeColor="text1"/>
              </w:rPr>
              <w:t xml:space="preserve"> in </w:t>
            </w:r>
            <w:r w:rsidR="008E6EE0">
              <w:rPr>
                <w:color w:val="000000" w:themeColor="text1"/>
              </w:rPr>
              <w:t xml:space="preserve">patients </w:t>
            </w:r>
            <w:r w:rsidR="005152DF">
              <w:rPr>
                <w:color w:val="000000" w:themeColor="text1"/>
              </w:rPr>
              <w:t xml:space="preserve">undergoing </w:t>
            </w:r>
            <w:r w:rsidR="00EE2071">
              <w:rPr>
                <w:color w:val="000000" w:themeColor="text1"/>
              </w:rPr>
              <w:t>surgery</w:t>
            </w:r>
            <w:r w:rsidR="005152DF">
              <w:rPr>
                <w:color w:val="000000" w:themeColor="text1"/>
              </w:rPr>
              <w:t xml:space="preserve"> associated with </w:t>
            </w:r>
            <w:r w:rsidR="00E227F8">
              <w:rPr>
                <w:color w:val="000000" w:themeColor="text1"/>
              </w:rPr>
              <w:t xml:space="preserve">moderate to severe </w:t>
            </w:r>
            <w:r w:rsidR="005152DF">
              <w:rPr>
                <w:color w:val="000000" w:themeColor="text1"/>
              </w:rPr>
              <w:t>post</w:t>
            </w:r>
            <w:r w:rsidR="00C01C10">
              <w:rPr>
                <w:color w:val="000000" w:themeColor="text1"/>
              </w:rPr>
              <w:t>operative</w:t>
            </w:r>
            <w:r w:rsidR="005152DF">
              <w:rPr>
                <w:color w:val="000000" w:themeColor="text1"/>
              </w:rPr>
              <w:t xml:space="preserve"> pain</w:t>
            </w:r>
            <w:r w:rsidR="00773B9F">
              <w:rPr>
                <w:color w:val="000000" w:themeColor="text1"/>
              </w:rPr>
              <w:t xml:space="preserve"> expected to</w:t>
            </w:r>
            <w:r w:rsidR="005152DF">
              <w:rPr>
                <w:color w:val="000000" w:themeColor="text1"/>
              </w:rPr>
              <w:t xml:space="preserve"> last 12 hours or longer</w:t>
            </w:r>
            <w:r w:rsidRPr="00FD4C65">
              <w:rPr>
                <w:color w:val="000000" w:themeColor="text1"/>
              </w:rPr>
              <w:t>?</w:t>
            </w:r>
          </w:p>
        </w:tc>
      </w:tr>
    </w:tbl>
    <w:p w14:paraId="039AA015" w14:textId="72BE7871" w:rsidR="00AD5DDE" w:rsidRDefault="004408F4" w:rsidP="004408F4">
      <w:pPr>
        <w:pStyle w:val="Tablenotes"/>
      </w:pPr>
      <w:r>
        <w:t>AE</w:t>
      </w:r>
      <w:r w:rsidR="00023921">
        <w:t>=</w:t>
      </w:r>
      <w:r>
        <w:t>adverse event.</w:t>
      </w:r>
    </w:p>
    <w:p w14:paraId="5D5376EF" w14:textId="2A7FCAFA" w:rsidR="006478E7" w:rsidRPr="00490FBB" w:rsidRDefault="006478E7" w:rsidP="00E01349">
      <w:r w:rsidRPr="00490FBB">
        <w:br w:type="page"/>
      </w:r>
    </w:p>
    <w:p w14:paraId="53297713" w14:textId="3F32290A" w:rsidR="00912660" w:rsidRDefault="00912660" w:rsidP="00713728">
      <w:pPr>
        <w:pStyle w:val="Heading2"/>
      </w:pPr>
      <w:bookmarkStart w:id="4" w:name="_Ref126925622"/>
      <w:r>
        <w:lastRenderedPageBreak/>
        <w:t>Purpose of application</w:t>
      </w:r>
      <w:bookmarkEnd w:id="4"/>
    </w:p>
    <w:p w14:paraId="04742341" w14:textId="5E41DEF7" w:rsidR="007057CD" w:rsidRDefault="004C2C5E" w:rsidP="002C37CC">
      <w:pPr>
        <w:spacing w:after="240"/>
        <w:rPr>
          <w:iCs/>
        </w:rPr>
      </w:pPr>
      <w:r w:rsidRPr="006E6007">
        <w:rPr>
          <w:iCs/>
        </w:rPr>
        <w:t xml:space="preserve">An application requesting Medicare Benefits Schedule (MBS) listing of </w:t>
      </w:r>
      <w:r w:rsidR="006E6007">
        <w:rPr>
          <w:iCs/>
        </w:rPr>
        <w:t xml:space="preserve">continuous </w:t>
      </w:r>
      <w:r w:rsidR="00425763" w:rsidRPr="006E6007">
        <w:rPr>
          <w:iCs/>
        </w:rPr>
        <w:t>peripheral</w:t>
      </w:r>
      <w:r w:rsidR="00425763">
        <w:rPr>
          <w:iCs/>
        </w:rPr>
        <w:t xml:space="preserve"> </w:t>
      </w:r>
      <w:r w:rsidR="006E6007">
        <w:rPr>
          <w:iCs/>
        </w:rPr>
        <w:t xml:space="preserve">nerve block </w:t>
      </w:r>
      <w:r w:rsidR="00833A9F">
        <w:rPr>
          <w:iCs/>
        </w:rPr>
        <w:t>for post</w:t>
      </w:r>
      <w:r w:rsidR="00C01C10">
        <w:rPr>
          <w:iCs/>
        </w:rPr>
        <w:t>operative</w:t>
      </w:r>
      <w:r w:rsidR="00833A9F">
        <w:rPr>
          <w:iCs/>
        </w:rPr>
        <w:t xml:space="preserve"> pain </w:t>
      </w:r>
      <w:r w:rsidR="006E6007">
        <w:rPr>
          <w:iCs/>
        </w:rPr>
        <w:t xml:space="preserve">was received </w:t>
      </w:r>
      <w:r w:rsidRPr="009A3778">
        <w:rPr>
          <w:iCs/>
        </w:rPr>
        <w:t xml:space="preserve">from the </w:t>
      </w:r>
      <w:r w:rsidR="007403DE" w:rsidRPr="002D5A26">
        <w:rPr>
          <w:iCs/>
        </w:rPr>
        <w:t xml:space="preserve">Australian Society </w:t>
      </w:r>
      <w:r w:rsidR="007403DE">
        <w:rPr>
          <w:iCs/>
        </w:rPr>
        <w:t>o</w:t>
      </w:r>
      <w:r w:rsidR="007403DE" w:rsidRPr="002D5A26">
        <w:rPr>
          <w:iCs/>
        </w:rPr>
        <w:t>f Anaesthetists</w:t>
      </w:r>
      <w:r w:rsidRPr="009A3778">
        <w:rPr>
          <w:iCs/>
        </w:rPr>
        <w:t xml:space="preserve"> by the Department of Health.</w:t>
      </w:r>
      <w:r w:rsidR="00AC4F44">
        <w:rPr>
          <w:iCs/>
        </w:rPr>
        <w:t xml:space="preserve"> </w:t>
      </w:r>
    </w:p>
    <w:p w14:paraId="11ED4225" w14:textId="0D93BADA" w:rsidR="007057CD" w:rsidRPr="00323005" w:rsidRDefault="007057CD" w:rsidP="007057CD">
      <w:pPr>
        <w:spacing w:after="240"/>
        <w:rPr>
          <w:iCs/>
        </w:rPr>
      </w:pPr>
      <w:r>
        <w:rPr>
          <w:iCs/>
        </w:rPr>
        <w:t xml:space="preserve">The proposal is for </w:t>
      </w:r>
      <w:r w:rsidR="00A40D42">
        <w:rPr>
          <w:iCs/>
        </w:rPr>
        <w:t>the</w:t>
      </w:r>
      <w:r>
        <w:rPr>
          <w:iCs/>
        </w:rPr>
        <w:t xml:space="preserve"> continuous block of peripheral nerves. The indication is post</w:t>
      </w:r>
      <w:r w:rsidR="00C01C10">
        <w:rPr>
          <w:iCs/>
        </w:rPr>
        <w:t>operative</w:t>
      </w:r>
      <w:r>
        <w:rPr>
          <w:iCs/>
        </w:rPr>
        <w:t xml:space="preserve"> pain arising from any surgery likely </w:t>
      </w:r>
      <w:r w:rsidR="00BF383E">
        <w:rPr>
          <w:iCs/>
        </w:rPr>
        <w:t xml:space="preserve">to </w:t>
      </w:r>
      <w:r>
        <w:rPr>
          <w:iCs/>
        </w:rPr>
        <w:t>cause moderate to severe pain lasting 12 hours</w:t>
      </w:r>
      <w:r w:rsidR="001E4E50">
        <w:rPr>
          <w:iCs/>
        </w:rPr>
        <w:t xml:space="preserve"> or more</w:t>
      </w:r>
      <w:r>
        <w:rPr>
          <w:iCs/>
        </w:rPr>
        <w:t>.</w:t>
      </w:r>
      <w:r w:rsidR="00017599">
        <w:rPr>
          <w:i/>
        </w:rPr>
        <w:t xml:space="preserve"> </w:t>
      </w:r>
      <w:r w:rsidR="00017599" w:rsidRPr="00A70060">
        <w:rPr>
          <w:iCs/>
        </w:rPr>
        <w:t>T</w:t>
      </w:r>
      <w:r w:rsidR="001F2C5C" w:rsidRPr="00A70060">
        <w:rPr>
          <w:iCs/>
        </w:rPr>
        <w:t xml:space="preserve">his procedure is </w:t>
      </w:r>
      <w:r w:rsidR="00D52367" w:rsidRPr="00A70060">
        <w:rPr>
          <w:iCs/>
        </w:rPr>
        <w:t>now</w:t>
      </w:r>
      <w:r w:rsidR="009B6E11" w:rsidRPr="00A70060">
        <w:rPr>
          <w:iCs/>
        </w:rPr>
        <w:t xml:space="preserve"> approaching</w:t>
      </w:r>
      <w:r w:rsidR="001F2C5C" w:rsidRPr="00A70060">
        <w:rPr>
          <w:iCs/>
        </w:rPr>
        <w:t xml:space="preserve"> </w:t>
      </w:r>
      <w:r w:rsidR="0061738A" w:rsidRPr="00A70060">
        <w:rPr>
          <w:iCs/>
        </w:rPr>
        <w:t>standard of care</w:t>
      </w:r>
      <w:r w:rsidR="00B6166C" w:rsidRPr="00A70060">
        <w:rPr>
          <w:iCs/>
        </w:rPr>
        <w:t xml:space="preserve"> </w:t>
      </w:r>
      <w:r w:rsidR="00D52367" w:rsidRPr="00A70060">
        <w:rPr>
          <w:iCs/>
        </w:rPr>
        <w:t xml:space="preserve">for </w:t>
      </w:r>
      <w:r w:rsidR="00FC170B" w:rsidRPr="00A70060">
        <w:rPr>
          <w:iCs/>
        </w:rPr>
        <w:t xml:space="preserve">several types of </w:t>
      </w:r>
      <w:r w:rsidR="00B6166C" w:rsidRPr="00A70060">
        <w:rPr>
          <w:iCs/>
        </w:rPr>
        <w:t>major joint surgery</w:t>
      </w:r>
      <w:r w:rsidR="00FC170B" w:rsidRPr="00A70060">
        <w:rPr>
          <w:iCs/>
        </w:rPr>
        <w:t xml:space="preserve"> (</w:t>
      </w:r>
      <w:r w:rsidR="00426C29" w:rsidRPr="00A70060">
        <w:rPr>
          <w:iCs/>
        </w:rPr>
        <w:t xml:space="preserve">Chou </w:t>
      </w:r>
      <w:r w:rsidR="00B345FF" w:rsidRPr="00A70060">
        <w:rPr>
          <w:iCs/>
        </w:rPr>
        <w:t xml:space="preserve">et al., </w:t>
      </w:r>
      <w:r w:rsidR="00426C29" w:rsidRPr="00A70060">
        <w:rPr>
          <w:iCs/>
        </w:rPr>
        <w:t>2016</w:t>
      </w:r>
      <w:r w:rsidR="00FC170B" w:rsidRPr="00A70060">
        <w:rPr>
          <w:iCs/>
        </w:rPr>
        <w:t>)</w:t>
      </w:r>
      <w:r w:rsidR="0061738A" w:rsidRPr="00A70060">
        <w:rPr>
          <w:iCs/>
        </w:rPr>
        <w:t>.</w:t>
      </w:r>
      <w:r w:rsidR="0061738A" w:rsidRPr="0061738A">
        <w:rPr>
          <w:i/>
        </w:rPr>
        <w:t xml:space="preserve"> </w:t>
      </w:r>
      <w:r w:rsidR="00323005">
        <w:rPr>
          <w:iCs/>
        </w:rPr>
        <w:t>The applicant claims that a continuous block is superior to a single injection block based on duration of analgesia</w:t>
      </w:r>
      <w:r w:rsidR="00521A10">
        <w:rPr>
          <w:iCs/>
        </w:rPr>
        <w:t xml:space="preserve">, and </w:t>
      </w:r>
      <w:r w:rsidR="00E25898">
        <w:rPr>
          <w:iCs/>
        </w:rPr>
        <w:t xml:space="preserve">is </w:t>
      </w:r>
      <w:r w:rsidR="00521A10">
        <w:rPr>
          <w:iCs/>
        </w:rPr>
        <w:t xml:space="preserve">non-inferior </w:t>
      </w:r>
      <w:r w:rsidR="00E25898">
        <w:rPr>
          <w:iCs/>
        </w:rPr>
        <w:t xml:space="preserve">in terms of </w:t>
      </w:r>
      <w:r w:rsidR="00521A10">
        <w:rPr>
          <w:iCs/>
        </w:rPr>
        <w:t>safety</w:t>
      </w:r>
      <w:r w:rsidR="00323005">
        <w:rPr>
          <w:iCs/>
        </w:rPr>
        <w:t xml:space="preserve">. </w:t>
      </w:r>
    </w:p>
    <w:p w14:paraId="604DB8AA" w14:textId="77777777" w:rsidR="00023408" w:rsidRDefault="007057CD" w:rsidP="007057CD">
      <w:pPr>
        <w:spacing w:after="240"/>
        <w:rPr>
          <w:iCs/>
        </w:rPr>
      </w:pPr>
      <w:r>
        <w:rPr>
          <w:iCs/>
        </w:rPr>
        <w:t>The proposed</w:t>
      </w:r>
      <w:r w:rsidRPr="00064E83">
        <w:rPr>
          <w:iCs/>
        </w:rPr>
        <w:t xml:space="preserve"> nerve block</w:t>
      </w:r>
      <w:r>
        <w:rPr>
          <w:iCs/>
        </w:rPr>
        <w:t xml:space="preserve"> is</w:t>
      </w:r>
      <w:r w:rsidRPr="00064E83">
        <w:rPr>
          <w:iCs/>
        </w:rPr>
        <w:t xml:space="preserve"> performed </w:t>
      </w:r>
      <w:r>
        <w:rPr>
          <w:iCs/>
        </w:rPr>
        <w:t>via</w:t>
      </w:r>
      <w:r w:rsidRPr="00064E83">
        <w:rPr>
          <w:iCs/>
        </w:rPr>
        <w:t xml:space="preserve"> a catheter to allow continuous </w:t>
      </w:r>
      <w:r w:rsidR="000C0AE8">
        <w:rPr>
          <w:iCs/>
        </w:rPr>
        <w:t>analgesia</w:t>
      </w:r>
      <w:r>
        <w:rPr>
          <w:iCs/>
        </w:rPr>
        <w:t xml:space="preserve">. This is a </w:t>
      </w:r>
      <w:r w:rsidRPr="00077801">
        <w:rPr>
          <w:iCs/>
        </w:rPr>
        <w:t xml:space="preserve">regional </w:t>
      </w:r>
      <w:r w:rsidR="00E401E8">
        <w:rPr>
          <w:iCs/>
        </w:rPr>
        <w:t>analgesia</w:t>
      </w:r>
      <w:r w:rsidRPr="00077801">
        <w:rPr>
          <w:iCs/>
        </w:rPr>
        <w:t xml:space="preserve"> technique</w:t>
      </w:r>
      <w:r>
        <w:rPr>
          <w:iCs/>
        </w:rPr>
        <w:t xml:space="preserve"> (as distinct from local, systemic or general anaesthesia).</w:t>
      </w:r>
    </w:p>
    <w:p w14:paraId="2D2526B8" w14:textId="78AE547D" w:rsidR="007057CD" w:rsidRPr="009A3778" w:rsidRDefault="00023408" w:rsidP="007057CD">
      <w:pPr>
        <w:spacing w:after="240"/>
        <w:rPr>
          <w:iCs/>
        </w:rPr>
      </w:pPr>
      <w:r w:rsidRPr="002C1A2F">
        <w:rPr>
          <w:rFonts w:asciiTheme="minorHAnsi" w:hAnsiTheme="minorHAnsi" w:cstheme="minorHAnsi"/>
        </w:rPr>
        <w:t>The item is proposed for the Relative Value Guide for Anaesthesia (RVG) of the MBS described in</w:t>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REF _Ref130047246 \h </w:instrText>
      </w:r>
      <w:r>
        <w:rPr>
          <w:rFonts w:asciiTheme="minorHAnsi" w:hAnsiTheme="minorHAnsi" w:cstheme="minorHAnsi"/>
        </w:rPr>
      </w:r>
      <w:r>
        <w:rPr>
          <w:rFonts w:asciiTheme="minorHAnsi" w:hAnsiTheme="minorHAnsi" w:cstheme="minorHAnsi"/>
        </w:rPr>
        <w:fldChar w:fldCharType="separate"/>
      </w:r>
      <w:r w:rsidR="00B65CEE">
        <w:t xml:space="preserve">Table </w:t>
      </w:r>
      <w:r w:rsidR="00B65CEE">
        <w:rPr>
          <w:noProof/>
        </w:rPr>
        <w:t>2</w:t>
      </w:r>
      <w:r>
        <w:rPr>
          <w:rFonts w:asciiTheme="minorHAnsi" w:hAnsiTheme="minorHAnsi" w:cstheme="minorHAnsi"/>
        </w:rPr>
        <w:fldChar w:fldCharType="end"/>
      </w:r>
      <w:r>
        <w:rPr>
          <w:rFonts w:asciiTheme="minorHAnsi" w:hAnsiTheme="minorHAnsi" w:cstheme="minorHAnsi"/>
        </w:rPr>
        <w:t>.</w:t>
      </w:r>
      <w:r w:rsidR="007057CD">
        <w:rPr>
          <w:iCs/>
        </w:rPr>
        <w:t xml:space="preserve"> </w:t>
      </w:r>
    </w:p>
    <w:p w14:paraId="77CCB2DC" w14:textId="0D49C180" w:rsidR="00655B4E" w:rsidRPr="00490FBB" w:rsidRDefault="00C16E9F" w:rsidP="00C16E9F">
      <w:pPr>
        <w:pStyle w:val="Caption"/>
      </w:pPr>
      <w:bookmarkStart w:id="5" w:name="_Ref130047246"/>
      <w:r>
        <w:t xml:space="preserve">Table </w:t>
      </w:r>
      <w:r>
        <w:fldChar w:fldCharType="begin"/>
      </w:r>
      <w:r>
        <w:instrText xml:space="preserve"> SEQ Table \* ARABIC </w:instrText>
      </w:r>
      <w:r>
        <w:fldChar w:fldCharType="separate"/>
      </w:r>
      <w:r w:rsidR="00B65CEE">
        <w:rPr>
          <w:noProof/>
        </w:rPr>
        <w:t>2</w:t>
      </w:r>
      <w:r>
        <w:fldChar w:fldCharType="end"/>
      </w:r>
      <w:bookmarkEnd w:id="5"/>
      <w:r w:rsidR="00655B4E">
        <w:tab/>
      </w:r>
      <w:r w:rsidR="00413955">
        <w:t>Relevant section of the Schedule for listing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Relevant section of the Schedule for listing"/>
        <w:tblDescription w:val="The table presents summarises the relevant sections of the MBS Schedule where the intervention would be listed."/>
      </w:tblPr>
      <w:tblGrid>
        <w:gridCol w:w="2335"/>
        <w:gridCol w:w="7236"/>
      </w:tblGrid>
      <w:tr w:rsidR="00655B4E" w:rsidRPr="00490FBB" w14:paraId="277ADF0C" w14:textId="77777777" w:rsidTr="0088280E">
        <w:trPr>
          <w:tblHeader/>
        </w:trPr>
        <w:tc>
          <w:tcPr>
            <w:tcW w:w="1220" w:type="pct"/>
          </w:tcPr>
          <w:p w14:paraId="02F6AAF8" w14:textId="634C40D8" w:rsidR="00655B4E" w:rsidRPr="00490FBB" w:rsidRDefault="00413955" w:rsidP="00BC02EB">
            <w:pPr>
              <w:pStyle w:val="TableHeading"/>
              <w:jc w:val="center"/>
            </w:pPr>
            <w:r>
              <w:t>MBS Section</w:t>
            </w:r>
          </w:p>
        </w:tc>
        <w:tc>
          <w:tcPr>
            <w:tcW w:w="3780" w:type="pct"/>
          </w:tcPr>
          <w:p w14:paraId="4C09A81C" w14:textId="3C2D8B2E" w:rsidR="00655B4E" w:rsidRPr="00490FBB" w:rsidRDefault="00413955">
            <w:pPr>
              <w:pStyle w:val="TableHeading"/>
              <w:jc w:val="center"/>
            </w:pPr>
            <w:r>
              <w:t>Description / Title</w:t>
            </w:r>
            <w:r w:rsidR="00655B4E">
              <w:t xml:space="preserve"> </w:t>
            </w:r>
          </w:p>
        </w:tc>
      </w:tr>
      <w:tr w:rsidR="00655B4E" w:rsidRPr="00490FBB" w14:paraId="6B641564" w14:textId="77777777" w:rsidTr="0088280E">
        <w:tc>
          <w:tcPr>
            <w:tcW w:w="1220" w:type="pct"/>
            <w:vAlign w:val="center"/>
          </w:tcPr>
          <w:p w14:paraId="2FCB98DE" w14:textId="0B05C760" w:rsidR="00655B4E" w:rsidRPr="00490FBB" w:rsidRDefault="00413955">
            <w:pPr>
              <w:pStyle w:val="Tabletext"/>
            </w:pPr>
            <w:r w:rsidRPr="00AC4F44">
              <w:rPr>
                <w:iCs/>
              </w:rPr>
              <w:t>Items 22031 to 22041</w:t>
            </w:r>
            <w:r w:rsidR="00C003F5">
              <w:rPr>
                <w:iCs/>
              </w:rPr>
              <w:t xml:space="preserve"> (and Associated Note TN.10.17)</w:t>
            </w:r>
          </w:p>
        </w:tc>
        <w:tc>
          <w:tcPr>
            <w:tcW w:w="3780" w:type="pct"/>
            <w:vAlign w:val="center"/>
          </w:tcPr>
          <w:p w14:paraId="30B43765" w14:textId="2CC575E3" w:rsidR="00655B4E" w:rsidRPr="00490FBB" w:rsidRDefault="00655B4E">
            <w:pPr>
              <w:pStyle w:val="Tabletext"/>
            </w:pPr>
            <w:r w:rsidRPr="00AC4F44">
              <w:rPr>
                <w:iCs/>
              </w:rPr>
              <w:t>Nerve or Plexus Blocks for Post Operative Pai</w:t>
            </w:r>
            <w:r w:rsidR="00413955">
              <w:rPr>
                <w:iCs/>
              </w:rPr>
              <w:t>n</w:t>
            </w:r>
          </w:p>
        </w:tc>
      </w:tr>
      <w:tr w:rsidR="00655B4E" w:rsidRPr="00490FBB" w14:paraId="5561E3F6" w14:textId="77777777" w:rsidTr="0088280E">
        <w:tc>
          <w:tcPr>
            <w:tcW w:w="1220" w:type="pct"/>
            <w:vAlign w:val="center"/>
          </w:tcPr>
          <w:p w14:paraId="67A650A2" w14:textId="551F8050" w:rsidR="00655B4E" w:rsidRPr="00490FBB" w:rsidRDefault="00A85B80">
            <w:pPr>
              <w:pStyle w:val="Tabletext"/>
            </w:pPr>
            <w:r>
              <w:rPr>
                <w:iCs/>
              </w:rPr>
              <w:t>Subgroup</w:t>
            </w:r>
            <w:r w:rsidR="00413955">
              <w:rPr>
                <w:iCs/>
              </w:rPr>
              <w:t xml:space="preserve"> </w:t>
            </w:r>
            <w:r w:rsidR="00413955" w:rsidRPr="00413955">
              <w:rPr>
                <w:iCs/>
              </w:rPr>
              <w:t>19</w:t>
            </w:r>
          </w:p>
        </w:tc>
        <w:tc>
          <w:tcPr>
            <w:tcW w:w="3780" w:type="pct"/>
            <w:vAlign w:val="center"/>
          </w:tcPr>
          <w:p w14:paraId="72703303" w14:textId="6A515968" w:rsidR="00655B4E" w:rsidRPr="00AC4F44" w:rsidRDefault="004B1670">
            <w:pPr>
              <w:pStyle w:val="Tabletext"/>
              <w:rPr>
                <w:iCs/>
              </w:rPr>
            </w:pPr>
            <w:r w:rsidRPr="00413955">
              <w:rPr>
                <w:iCs/>
              </w:rPr>
              <w:t>Therapeutic and Diagnostic Services</w:t>
            </w:r>
          </w:p>
        </w:tc>
      </w:tr>
      <w:tr w:rsidR="00655B4E" w:rsidRPr="00490FBB" w14:paraId="4670B5D6" w14:textId="77777777" w:rsidTr="0088280E">
        <w:tc>
          <w:tcPr>
            <w:tcW w:w="1220" w:type="pct"/>
            <w:vAlign w:val="center"/>
          </w:tcPr>
          <w:p w14:paraId="73E3C487" w14:textId="5C7A4802" w:rsidR="00655B4E" w:rsidRPr="00490FBB" w:rsidRDefault="00A85B80">
            <w:pPr>
              <w:pStyle w:val="Tabletext"/>
            </w:pPr>
            <w:r>
              <w:t xml:space="preserve">Group </w:t>
            </w:r>
            <w:r w:rsidR="00655B4E">
              <w:t>T10</w:t>
            </w:r>
          </w:p>
        </w:tc>
        <w:tc>
          <w:tcPr>
            <w:tcW w:w="3780" w:type="pct"/>
            <w:vAlign w:val="center"/>
          </w:tcPr>
          <w:p w14:paraId="03F76F2D" w14:textId="59BBDF16" w:rsidR="00655B4E" w:rsidRPr="00AC4F44" w:rsidRDefault="00E97DBE" w:rsidP="00E97DBE">
            <w:pPr>
              <w:pStyle w:val="Tabletext"/>
              <w:rPr>
                <w:iCs/>
              </w:rPr>
            </w:pPr>
            <w:r w:rsidRPr="00E97DBE">
              <w:rPr>
                <w:iCs/>
              </w:rPr>
              <w:t xml:space="preserve">Relative </w:t>
            </w:r>
            <w:r w:rsidR="004E7342" w:rsidRPr="00E97DBE">
              <w:rPr>
                <w:iCs/>
              </w:rPr>
              <w:t xml:space="preserve">Value Guide for Anaesthesia </w:t>
            </w:r>
            <w:r w:rsidR="00907A88">
              <w:rPr>
                <w:iCs/>
              </w:rPr>
              <w:t>–</w:t>
            </w:r>
            <w:r w:rsidR="004E7342" w:rsidRPr="00E97DBE">
              <w:rPr>
                <w:iCs/>
              </w:rPr>
              <w:t xml:space="preserve"> Medicare Benefits are only payable for anaesthesia performed in association with an eligible service</w:t>
            </w:r>
          </w:p>
        </w:tc>
      </w:tr>
      <w:tr w:rsidR="00907A88" w:rsidRPr="00490FBB" w14:paraId="69BF0C9D" w14:textId="77777777" w:rsidTr="0088280E">
        <w:tc>
          <w:tcPr>
            <w:tcW w:w="1220" w:type="pct"/>
            <w:vAlign w:val="center"/>
          </w:tcPr>
          <w:p w14:paraId="5A7410C5" w14:textId="454DD5B9" w:rsidR="00907A88" w:rsidRDefault="00856FD3">
            <w:pPr>
              <w:pStyle w:val="Tabletext"/>
            </w:pPr>
            <w:r>
              <w:t xml:space="preserve">CATEGORY </w:t>
            </w:r>
            <w:r w:rsidR="00907A88">
              <w:t>3</w:t>
            </w:r>
          </w:p>
        </w:tc>
        <w:tc>
          <w:tcPr>
            <w:tcW w:w="3780" w:type="pct"/>
            <w:vAlign w:val="center"/>
          </w:tcPr>
          <w:p w14:paraId="31B4376D" w14:textId="19B0632F" w:rsidR="00907A88" w:rsidRPr="00E97DBE" w:rsidRDefault="00FE2CD1" w:rsidP="00E97DBE">
            <w:pPr>
              <w:pStyle w:val="Tabletext"/>
              <w:rPr>
                <w:iCs/>
              </w:rPr>
            </w:pPr>
            <w:r>
              <w:rPr>
                <w:iCs/>
              </w:rPr>
              <w:t>THERAPEUTIC PROCEDURES</w:t>
            </w:r>
          </w:p>
        </w:tc>
      </w:tr>
    </w:tbl>
    <w:p w14:paraId="7D75B063" w14:textId="2D55BA1A" w:rsidR="00655B4E" w:rsidRDefault="00F34701" w:rsidP="00073435">
      <w:pPr>
        <w:pStyle w:val="Tablenotes"/>
        <w:spacing w:after="240"/>
      </w:pPr>
      <w:r>
        <w:t xml:space="preserve">Source: </w:t>
      </w:r>
      <w:r w:rsidRPr="00F34701">
        <w:t>Medicare Benefits Schedule Book</w:t>
      </w:r>
      <w:r>
        <w:t>, 1 July 2022.</w:t>
      </w:r>
    </w:p>
    <w:p w14:paraId="17796F73" w14:textId="65CDE31A" w:rsidR="004F3D8E" w:rsidRDefault="004F3D8E" w:rsidP="004F3D8E">
      <w:pPr>
        <w:spacing w:after="240"/>
        <w:rPr>
          <w:iCs/>
        </w:rPr>
      </w:pPr>
      <w:r>
        <w:rPr>
          <w:iCs/>
        </w:rPr>
        <w:t xml:space="preserve">Existing MBS items for nerve or plexus blocks for postoperative pain in the RVG are presented in </w:t>
      </w:r>
      <w:r>
        <w:rPr>
          <w:iCs/>
        </w:rPr>
        <w:fldChar w:fldCharType="begin"/>
      </w:r>
      <w:r>
        <w:rPr>
          <w:iCs/>
        </w:rPr>
        <w:instrText xml:space="preserve"> REF _Ref117521437 \h </w:instrText>
      </w:r>
      <w:r>
        <w:rPr>
          <w:iCs/>
        </w:rPr>
      </w:r>
      <w:r>
        <w:rPr>
          <w:iCs/>
        </w:rPr>
        <w:fldChar w:fldCharType="separate"/>
      </w:r>
      <w:r w:rsidR="00B65CEE" w:rsidRPr="00490FBB">
        <w:t>Table</w:t>
      </w:r>
      <w:r w:rsidR="00B65CEE">
        <w:t> </w:t>
      </w:r>
      <w:r w:rsidR="00B65CEE">
        <w:rPr>
          <w:noProof/>
        </w:rPr>
        <w:t>3</w:t>
      </w:r>
      <w:r>
        <w:rPr>
          <w:iCs/>
        </w:rPr>
        <w:fldChar w:fldCharType="end"/>
      </w:r>
      <w:r>
        <w:rPr>
          <w:iCs/>
        </w:rPr>
        <w:t xml:space="preserve">. </w:t>
      </w:r>
    </w:p>
    <w:p w14:paraId="28B53E35" w14:textId="42F65907" w:rsidR="004F3D8E" w:rsidRPr="00490FBB" w:rsidRDefault="004F3D8E" w:rsidP="004F3D8E">
      <w:pPr>
        <w:pStyle w:val="TableHeading"/>
      </w:pPr>
      <w:bookmarkStart w:id="6" w:name="_Ref117521437"/>
      <w:r w:rsidRPr="00490FBB">
        <w:t>Table</w:t>
      </w:r>
      <w:r>
        <w:t> </w:t>
      </w:r>
      <w:r>
        <w:fldChar w:fldCharType="begin"/>
      </w:r>
      <w:r>
        <w:instrText>SEQ Table \* ARABIC</w:instrText>
      </w:r>
      <w:r>
        <w:fldChar w:fldCharType="separate"/>
      </w:r>
      <w:r w:rsidR="00B65CEE">
        <w:rPr>
          <w:noProof/>
        </w:rPr>
        <w:t>3</w:t>
      </w:r>
      <w:r>
        <w:fldChar w:fldCharType="end"/>
      </w:r>
      <w:bookmarkEnd w:id="6"/>
      <w:r>
        <w:tab/>
        <w:t xml:space="preserve">Existing MBS items: </w:t>
      </w:r>
      <w:r w:rsidRPr="00211497">
        <w:t>Nerve or Plexus Blocks for Post Operative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Caption w:val="Existing MBS items: Nerve or Plexus Blocks for Post Operative Pain"/>
        <w:tblDescription w:val="The table provides the listing details for the existing MBS items for nerve or plexus blocks (MBS items 22031, 22036, 22041)."/>
      </w:tblPr>
      <w:tblGrid>
        <w:gridCol w:w="632"/>
        <w:gridCol w:w="639"/>
        <w:gridCol w:w="708"/>
        <w:gridCol w:w="2326"/>
        <w:gridCol w:w="2496"/>
        <w:gridCol w:w="852"/>
        <w:gridCol w:w="846"/>
        <w:gridCol w:w="1072"/>
      </w:tblGrid>
      <w:tr w:rsidR="007C4F59" w:rsidRPr="00490FBB" w14:paraId="106FD50A" w14:textId="77777777" w:rsidTr="0088280E">
        <w:trPr>
          <w:tblHeader/>
        </w:trPr>
        <w:tc>
          <w:tcPr>
            <w:tcW w:w="330" w:type="pct"/>
          </w:tcPr>
          <w:p w14:paraId="4C205045" w14:textId="77777777" w:rsidR="004F3D8E" w:rsidRPr="00D638C0" w:rsidRDefault="004F3D8E" w:rsidP="008A7971">
            <w:pPr>
              <w:pStyle w:val="TableHeading"/>
              <w:ind w:left="-57" w:right="-113"/>
            </w:pPr>
            <w:r w:rsidRPr="00D638C0">
              <w:t>MBS</w:t>
            </w:r>
          </w:p>
        </w:tc>
        <w:tc>
          <w:tcPr>
            <w:tcW w:w="334" w:type="pct"/>
          </w:tcPr>
          <w:p w14:paraId="0EB438D1" w14:textId="77777777" w:rsidR="004F3D8E" w:rsidRPr="00D638C0" w:rsidRDefault="004F3D8E" w:rsidP="008A7971">
            <w:pPr>
              <w:pStyle w:val="TableHeading"/>
              <w:ind w:left="-57" w:right="-113"/>
              <w:jc w:val="center"/>
            </w:pPr>
            <w:r w:rsidRPr="00D638C0">
              <w:t>Basic units</w:t>
            </w:r>
          </w:p>
        </w:tc>
        <w:tc>
          <w:tcPr>
            <w:tcW w:w="370" w:type="pct"/>
          </w:tcPr>
          <w:p w14:paraId="32F463EC" w14:textId="77777777" w:rsidR="004F3D8E" w:rsidRPr="00D638C0" w:rsidRDefault="004F3D8E" w:rsidP="008A7971">
            <w:pPr>
              <w:pStyle w:val="TableHeading"/>
              <w:ind w:left="-57" w:right="-113"/>
              <w:jc w:val="center"/>
            </w:pPr>
            <w:r w:rsidRPr="00D638C0">
              <w:t>Fee</w:t>
            </w:r>
          </w:p>
        </w:tc>
        <w:tc>
          <w:tcPr>
            <w:tcW w:w="1215" w:type="pct"/>
          </w:tcPr>
          <w:p w14:paraId="64AA1ED6" w14:textId="77777777" w:rsidR="004F3D8E" w:rsidRPr="00D638C0" w:rsidRDefault="004F3D8E" w:rsidP="008A7971">
            <w:pPr>
              <w:pStyle w:val="TableHeading"/>
              <w:ind w:left="-57" w:right="-113"/>
              <w:jc w:val="center"/>
            </w:pPr>
            <w:r>
              <w:t>*</w:t>
            </w:r>
            <w:r w:rsidRPr="00D638C0">
              <w:t>Administration</w:t>
            </w:r>
          </w:p>
        </w:tc>
        <w:tc>
          <w:tcPr>
            <w:tcW w:w="1304" w:type="pct"/>
          </w:tcPr>
          <w:p w14:paraId="6D6DEA3B" w14:textId="77777777" w:rsidR="004F3D8E" w:rsidRPr="00D638C0" w:rsidRDefault="004F3D8E" w:rsidP="008A7971">
            <w:pPr>
              <w:pStyle w:val="TableHeading"/>
              <w:ind w:left="-57" w:right="-113"/>
              <w:jc w:val="center"/>
            </w:pPr>
            <w:r w:rsidRPr="00D638C0">
              <w:t>Purpose</w:t>
            </w:r>
          </w:p>
        </w:tc>
        <w:tc>
          <w:tcPr>
            <w:tcW w:w="445" w:type="pct"/>
          </w:tcPr>
          <w:p w14:paraId="2CBFC841" w14:textId="77777777" w:rsidR="004F3D8E" w:rsidRDefault="004F3D8E" w:rsidP="008A7971">
            <w:pPr>
              <w:pStyle w:val="TableHeading"/>
              <w:ind w:left="-57" w:right="-113"/>
              <w:jc w:val="center"/>
            </w:pPr>
            <w:r w:rsidRPr="00D638C0">
              <w:t>Explan</w:t>
            </w:r>
            <w:r>
              <w:t>.</w:t>
            </w:r>
            <w:r w:rsidRPr="00D638C0">
              <w:t xml:space="preserve"> Notes</w:t>
            </w:r>
          </w:p>
        </w:tc>
        <w:tc>
          <w:tcPr>
            <w:tcW w:w="442" w:type="pct"/>
          </w:tcPr>
          <w:p w14:paraId="547231F7" w14:textId="77777777" w:rsidR="004F3D8E" w:rsidRPr="00D638C0" w:rsidRDefault="004F3D8E" w:rsidP="008A7971">
            <w:pPr>
              <w:pStyle w:val="TableHeading"/>
              <w:ind w:left="-57" w:right="-113"/>
              <w:jc w:val="center"/>
            </w:pPr>
            <w:r>
              <w:t>Item Start Date</w:t>
            </w:r>
          </w:p>
        </w:tc>
        <w:tc>
          <w:tcPr>
            <w:tcW w:w="560" w:type="pct"/>
          </w:tcPr>
          <w:p w14:paraId="3BF3AE17" w14:textId="77777777" w:rsidR="004F3D8E" w:rsidRDefault="004F3D8E" w:rsidP="008A7971">
            <w:pPr>
              <w:pStyle w:val="TableHeading"/>
              <w:ind w:left="-57" w:right="-113"/>
              <w:jc w:val="center"/>
            </w:pPr>
            <w:r>
              <w:t xml:space="preserve">Description updated </w:t>
            </w:r>
          </w:p>
        </w:tc>
      </w:tr>
      <w:tr w:rsidR="007C4F59" w:rsidRPr="00490FBB" w14:paraId="2E2FC478" w14:textId="77777777" w:rsidTr="0088280E">
        <w:tc>
          <w:tcPr>
            <w:tcW w:w="330" w:type="pct"/>
            <w:vAlign w:val="center"/>
          </w:tcPr>
          <w:p w14:paraId="28EEB45F" w14:textId="77777777" w:rsidR="004F3D8E" w:rsidRPr="00490FBB" w:rsidRDefault="004F3D8E" w:rsidP="008A7971">
            <w:pPr>
              <w:pStyle w:val="Tabletext"/>
              <w:ind w:left="-57" w:right="-113"/>
            </w:pPr>
            <w:r>
              <w:t>22031</w:t>
            </w:r>
          </w:p>
        </w:tc>
        <w:tc>
          <w:tcPr>
            <w:tcW w:w="334" w:type="pct"/>
            <w:vAlign w:val="center"/>
          </w:tcPr>
          <w:p w14:paraId="688A59FB" w14:textId="77777777" w:rsidR="004F3D8E" w:rsidRPr="00490FBB" w:rsidRDefault="004F3D8E" w:rsidP="008A7971">
            <w:pPr>
              <w:pStyle w:val="Tabletext"/>
              <w:ind w:left="-57" w:right="-113"/>
              <w:jc w:val="center"/>
            </w:pPr>
            <w:r>
              <w:t>5</w:t>
            </w:r>
          </w:p>
        </w:tc>
        <w:tc>
          <w:tcPr>
            <w:tcW w:w="370" w:type="pct"/>
            <w:vAlign w:val="center"/>
          </w:tcPr>
          <w:p w14:paraId="1EAAD83D" w14:textId="77777777" w:rsidR="004F3D8E" w:rsidRPr="00490FBB" w:rsidRDefault="004F3D8E" w:rsidP="008A7971">
            <w:pPr>
              <w:pStyle w:val="Tabletext"/>
              <w:ind w:left="-57" w:right="-113"/>
            </w:pPr>
            <w:r w:rsidRPr="005C32E9">
              <w:t>$104.75</w:t>
            </w:r>
          </w:p>
        </w:tc>
        <w:tc>
          <w:tcPr>
            <w:tcW w:w="1215" w:type="pct"/>
          </w:tcPr>
          <w:p w14:paraId="1B365EC6" w14:textId="77777777" w:rsidR="004F3D8E" w:rsidRDefault="004F3D8E" w:rsidP="008A7971">
            <w:pPr>
              <w:pStyle w:val="Tabletext"/>
              <w:ind w:left="-57" w:right="-113"/>
            </w:pPr>
            <w:r>
              <w:t>Intrathecal or epidural injection</w:t>
            </w:r>
          </w:p>
          <w:p w14:paraId="0FDE97C4" w14:textId="77777777" w:rsidR="004F3D8E" w:rsidRDefault="004F3D8E" w:rsidP="008A7971">
            <w:pPr>
              <w:pStyle w:val="Tabletext"/>
              <w:ind w:left="-57" w:right="-113"/>
            </w:pPr>
            <w:r>
              <w:t>With or without a catheter</w:t>
            </w:r>
          </w:p>
        </w:tc>
        <w:tc>
          <w:tcPr>
            <w:tcW w:w="1304" w:type="pct"/>
            <w:vAlign w:val="center"/>
          </w:tcPr>
          <w:p w14:paraId="6970F8C4" w14:textId="77777777" w:rsidR="004F3D8E" w:rsidRPr="00490FBB" w:rsidRDefault="004F3D8E" w:rsidP="008A7971">
            <w:pPr>
              <w:pStyle w:val="Tabletext"/>
              <w:ind w:left="-57" w:right="-113"/>
            </w:pPr>
            <w:r>
              <w:t>In association with anaesthesia and surgery, for postoperative pain management (initial)</w:t>
            </w:r>
          </w:p>
        </w:tc>
        <w:tc>
          <w:tcPr>
            <w:tcW w:w="445" w:type="pct"/>
          </w:tcPr>
          <w:p w14:paraId="2E046ABE" w14:textId="77777777" w:rsidR="004F3D8E" w:rsidRDefault="004F3D8E" w:rsidP="008A7971">
            <w:pPr>
              <w:pStyle w:val="Tabletext"/>
              <w:ind w:left="-57" w:right="-113"/>
            </w:pPr>
            <w:r>
              <w:t>TN.10.17</w:t>
            </w:r>
          </w:p>
        </w:tc>
        <w:tc>
          <w:tcPr>
            <w:tcW w:w="442" w:type="pct"/>
          </w:tcPr>
          <w:p w14:paraId="7A7FD84E" w14:textId="77777777" w:rsidR="004F3D8E" w:rsidRDefault="004F3D8E" w:rsidP="008A7971">
            <w:pPr>
              <w:pStyle w:val="Tabletext"/>
              <w:ind w:left="-57" w:right="-113"/>
            </w:pPr>
            <w:r w:rsidRPr="00961D03">
              <w:t>01-Nov-2005</w:t>
            </w:r>
          </w:p>
        </w:tc>
        <w:tc>
          <w:tcPr>
            <w:tcW w:w="560" w:type="pct"/>
          </w:tcPr>
          <w:p w14:paraId="159A2E03" w14:textId="77777777" w:rsidR="004F3D8E" w:rsidRDefault="004F3D8E" w:rsidP="008A7971">
            <w:pPr>
              <w:pStyle w:val="Tabletext"/>
              <w:ind w:left="-57" w:right="-113"/>
            </w:pPr>
            <w:r w:rsidRPr="00D80858">
              <w:t>01-Nov-2019</w:t>
            </w:r>
          </w:p>
        </w:tc>
      </w:tr>
      <w:tr w:rsidR="007C4F59" w:rsidRPr="00490FBB" w14:paraId="5C316C97" w14:textId="77777777" w:rsidTr="0088280E">
        <w:tc>
          <w:tcPr>
            <w:tcW w:w="330" w:type="pct"/>
            <w:vAlign w:val="center"/>
          </w:tcPr>
          <w:p w14:paraId="7ED6753E" w14:textId="77777777" w:rsidR="004F3D8E" w:rsidRPr="00490FBB" w:rsidRDefault="004F3D8E" w:rsidP="008A7971">
            <w:pPr>
              <w:pStyle w:val="Tabletext"/>
              <w:ind w:left="-57" w:right="-113"/>
            </w:pPr>
            <w:r>
              <w:t>22036</w:t>
            </w:r>
          </w:p>
        </w:tc>
        <w:tc>
          <w:tcPr>
            <w:tcW w:w="334" w:type="pct"/>
            <w:vAlign w:val="center"/>
          </w:tcPr>
          <w:p w14:paraId="045CB51A" w14:textId="77777777" w:rsidR="004F3D8E" w:rsidRPr="00490FBB" w:rsidRDefault="004F3D8E" w:rsidP="008A7971">
            <w:pPr>
              <w:pStyle w:val="Tabletext"/>
              <w:ind w:left="-57" w:right="-113"/>
              <w:jc w:val="center"/>
            </w:pPr>
            <w:r>
              <w:t>3</w:t>
            </w:r>
          </w:p>
        </w:tc>
        <w:tc>
          <w:tcPr>
            <w:tcW w:w="370" w:type="pct"/>
            <w:vAlign w:val="center"/>
          </w:tcPr>
          <w:p w14:paraId="739C575F" w14:textId="77777777" w:rsidR="004F3D8E" w:rsidRPr="00490FBB" w:rsidRDefault="004F3D8E" w:rsidP="008A7971">
            <w:pPr>
              <w:pStyle w:val="Tabletext"/>
              <w:ind w:left="-57" w:right="-113"/>
            </w:pPr>
            <w:r w:rsidRPr="00CA1621">
              <w:t>$62.85</w:t>
            </w:r>
          </w:p>
        </w:tc>
        <w:tc>
          <w:tcPr>
            <w:tcW w:w="1215" w:type="pct"/>
          </w:tcPr>
          <w:p w14:paraId="4FD0C8CD" w14:textId="77777777" w:rsidR="004F3D8E" w:rsidRDefault="004F3D8E" w:rsidP="008A7971">
            <w:pPr>
              <w:pStyle w:val="Tabletext"/>
              <w:ind w:left="-57" w:right="-113"/>
            </w:pPr>
            <w:r>
              <w:t>Intrathecal or epidural injection</w:t>
            </w:r>
          </w:p>
          <w:p w14:paraId="17B452E4" w14:textId="77777777" w:rsidR="004F3D8E" w:rsidRDefault="004F3D8E" w:rsidP="008A7971">
            <w:pPr>
              <w:pStyle w:val="Tabletext"/>
              <w:ind w:left="-57" w:right="-113"/>
            </w:pPr>
            <w:r>
              <w:t xml:space="preserve">Using an </w:t>
            </w:r>
            <w:r w:rsidRPr="002331D1">
              <w:rPr>
                <w:i/>
                <w:iCs/>
              </w:rPr>
              <w:t>in situ</w:t>
            </w:r>
            <w:r>
              <w:t xml:space="preserve"> catheter</w:t>
            </w:r>
          </w:p>
        </w:tc>
        <w:tc>
          <w:tcPr>
            <w:tcW w:w="1304" w:type="pct"/>
            <w:vAlign w:val="center"/>
          </w:tcPr>
          <w:p w14:paraId="7BDCB650" w14:textId="77777777" w:rsidR="004F3D8E" w:rsidRPr="00490FBB" w:rsidRDefault="004F3D8E" w:rsidP="008A7971">
            <w:pPr>
              <w:pStyle w:val="Tabletext"/>
              <w:ind w:left="-57" w:right="-113"/>
            </w:pPr>
            <w:r>
              <w:t>In association with anaesthesia and surgery, for postoperative pain management (subsequent)</w:t>
            </w:r>
          </w:p>
        </w:tc>
        <w:tc>
          <w:tcPr>
            <w:tcW w:w="445" w:type="pct"/>
          </w:tcPr>
          <w:p w14:paraId="5D4B11D3" w14:textId="77777777" w:rsidR="004F3D8E" w:rsidRDefault="004F3D8E" w:rsidP="008A7971">
            <w:pPr>
              <w:pStyle w:val="Tabletext"/>
              <w:ind w:left="-57" w:right="-113"/>
            </w:pPr>
            <w:r>
              <w:t>TN.10.17</w:t>
            </w:r>
          </w:p>
        </w:tc>
        <w:tc>
          <w:tcPr>
            <w:tcW w:w="442" w:type="pct"/>
          </w:tcPr>
          <w:p w14:paraId="23F7A1BF" w14:textId="77777777" w:rsidR="004F3D8E" w:rsidRDefault="004F3D8E" w:rsidP="008A7971">
            <w:pPr>
              <w:pStyle w:val="Tabletext"/>
              <w:ind w:left="-57" w:right="-113"/>
            </w:pPr>
            <w:r w:rsidRPr="00A610C2">
              <w:t>01-Nov-2005</w:t>
            </w:r>
          </w:p>
        </w:tc>
        <w:tc>
          <w:tcPr>
            <w:tcW w:w="560" w:type="pct"/>
          </w:tcPr>
          <w:p w14:paraId="6E04EAE9" w14:textId="77777777" w:rsidR="004F3D8E" w:rsidRDefault="004F3D8E" w:rsidP="008A7971">
            <w:pPr>
              <w:pStyle w:val="Tabletext"/>
              <w:ind w:left="-57" w:right="-113"/>
            </w:pPr>
            <w:r w:rsidRPr="00A610C2">
              <w:t>01-Nov-2005</w:t>
            </w:r>
          </w:p>
        </w:tc>
      </w:tr>
      <w:tr w:rsidR="007C4F59" w:rsidRPr="00490FBB" w14:paraId="03CF9267" w14:textId="77777777" w:rsidTr="0088280E">
        <w:tc>
          <w:tcPr>
            <w:tcW w:w="330" w:type="pct"/>
            <w:vAlign w:val="center"/>
          </w:tcPr>
          <w:p w14:paraId="2D403D00" w14:textId="77777777" w:rsidR="004F3D8E" w:rsidRPr="00490FBB" w:rsidRDefault="004F3D8E" w:rsidP="008A7971">
            <w:pPr>
              <w:pStyle w:val="Tabletext"/>
              <w:ind w:left="-57" w:right="-113"/>
            </w:pPr>
            <w:r w:rsidRPr="00211497">
              <w:t>22041</w:t>
            </w:r>
          </w:p>
        </w:tc>
        <w:tc>
          <w:tcPr>
            <w:tcW w:w="334" w:type="pct"/>
            <w:vAlign w:val="center"/>
          </w:tcPr>
          <w:p w14:paraId="1470EBFD" w14:textId="77777777" w:rsidR="004F3D8E" w:rsidRPr="00490FBB" w:rsidRDefault="004F3D8E" w:rsidP="008A7971">
            <w:pPr>
              <w:pStyle w:val="Tabletext"/>
              <w:ind w:left="-57" w:right="-113"/>
              <w:jc w:val="center"/>
            </w:pPr>
            <w:r>
              <w:t>2</w:t>
            </w:r>
          </w:p>
        </w:tc>
        <w:tc>
          <w:tcPr>
            <w:tcW w:w="370" w:type="pct"/>
            <w:vAlign w:val="center"/>
          </w:tcPr>
          <w:p w14:paraId="4B1A0B39" w14:textId="77777777" w:rsidR="004F3D8E" w:rsidRPr="00490FBB" w:rsidRDefault="004F3D8E" w:rsidP="008A7971">
            <w:pPr>
              <w:pStyle w:val="Tabletext"/>
              <w:ind w:left="-57" w:right="-113"/>
            </w:pPr>
            <w:r w:rsidRPr="00211497">
              <w:t>$41.90</w:t>
            </w:r>
          </w:p>
        </w:tc>
        <w:tc>
          <w:tcPr>
            <w:tcW w:w="1215" w:type="pct"/>
          </w:tcPr>
          <w:p w14:paraId="412D5A08" w14:textId="77777777" w:rsidR="004F3D8E" w:rsidRPr="003E6EE5" w:rsidRDefault="004F3D8E" w:rsidP="008A7971">
            <w:pPr>
              <w:pStyle w:val="Tabletext"/>
              <w:ind w:left="-57" w:right="-113"/>
              <w:rPr>
                <w:i/>
                <w:iCs/>
              </w:rPr>
            </w:pPr>
            <w:r w:rsidRPr="003E6EE5">
              <w:t xml:space="preserve">Plexus or (peripheral) nerve block </w:t>
            </w:r>
            <w:r w:rsidRPr="003E6EE5">
              <w:rPr>
                <w:i/>
                <w:iCs/>
              </w:rPr>
              <w:t>[single injection item]</w:t>
            </w:r>
          </w:p>
        </w:tc>
        <w:tc>
          <w:tcPr>
            <w:tcW w:w="1304" w:type="pct"/>
            <w:vAlign w:val="center"/>
          </w:tcPr>
          <w:p w14:paraId="03E3B3F6" w14:textId="77777777" w:rsidR="004F3D8E" w:rsidRPr="003E6EE5" w:rsidRDefault="004F3D8E" w:rsidP="008A7971">
            <w:pPr>
              <w:pStyle w:val="Tabletext"/>
              <w:ind w:left="-57" w:right="-113"/>
            </w:pPr>
            <w:r w:rsidRPr="003E6EE5">
              <w:t xml:space="preserve">Perioperative. Proximal to the lower leg or forearm for post operative pain management </w:t>
            </w:r>
          </w:p>
        </w:tc>
        <w:tc>
          <w:tcPr>
            <w:tcW w:w="445" w:type="pct"/>
          </w:tcPr>
          <w:p w14:paraId="517B89AE" w14:textId="77777777" w:rsidR="004F3D8E" w:rsidRDefault="004F3D8E" w:rsidP="008A7971">
            <w:pPr>
              <w:pStyle w:val="Tabletext"/>
              <w:ind w:left="-57" w:right="-113"/>
            </w:pPr>
            <w:r>
              <w:t>TN.10.17</w:t>
            </w:r>
          </w:p>
        </w:tc>
        <w:tc>
          <w:tcPr>
            <w:tcW w:w="442" w:type="pct"/>
          </w:tcPr>
          <w:p w14:paraId="0B5DC396" w14:textId="77777777" w:rsidR="004F3D8E" w:rsidRDefault="004F3D8E" w:rsidP="008A7971">
            <w:pPr>
              <w:pStyle w:val="Tabletext"/>
              <w:ind w:left="-57" w:right="-113"/>
            </w:pPr>
            <w:r>
              <w:t>01-Nov-2019</w:t>
            </w:r>
          </w:p>
        </w:tc>
        <w:tc>
          <w:tcPr>
            <w:tcW w:w="560" w:type="pct"/>
          </w:tcPr>
          <w:p w14:paraId="27251022" w14:textId="77777777" w:rsidR="004F3D8E" w:rsidRDefault="004F3D8E" w:rsidP="008A7971">
            <w:pPr>
              <w:pStyle w:val="Tabletext"/>
              <w:ind w:left="-57" w:right="-113"/>
            </w:pPr>
            <w:r>
              <w:t>01-Nov-2019</w:t>
            </w:r>
          </w:p>
        </w:tc>
      </w:tr>
    </w:tbl>
    <w:p w14:paraId="22942D4E" w14:textId="280B63BD" w:rsidR="004F3D8E" w:rsidRDefault="004F3D8E" w:rsidP="00B71C02">
      <w:pPr>
        <w:pStyle w:val="Tablenotes"/>
        <w:spacing w:after="240"/>
        <w:jc w:val="left"/>
      </w:pPr>
      <w:r>
        <w:t xml:space="preserve">Source: </w:t>
      </w:r>
      <w:r w:rsidRPr="00F34701">
        <w:t>Medicare Benefits Schedule Book</w:t>
      </w:r>
      <w:r>
        <w:t>, 1 July 2022.</w:t>
      </w:r>
      <w:r>
        <w:br/>
      </w:r>
      <w:r w:rsidRPr="00E1707E">
        <w:t>Item 22042 is not included. Although it is a peri</w:t>
      </w:r>
      <w:r>
        <w:t>operative</w:t>
      </w:r>
      <w:r w:rsidRPr="00E1707E">
        <w:t xml:space="preserve"> nerve block,</w:t>
      </w:r>
      <w:r>
        <w:t xml:space="preserve"> </w:t>
      </w:r>
      <w:r w:rsidRPr="00E1707E">
        <w:t>note TN.10.17 specifies items 22031 – 22041 only</w:t>
      </w:r>
      <w:r>
        <w:t>,</w:t>
      </w:r>
      <w:r w:rsidRPr="00E1707E">
        <w:t xml:space="preserve"> as </w:t>
      </w:r>
      <w:r>
        <w:t xml:space="preserve">being </w:t>
      </w:r>
      <w:r w:rsidRPr="00E1707E">
        <w:t xml:space="preserve">for </w:t>
      </w:r>
      <w:r>
        <w:t>p</w:t>
      </w:r>
      <w:r w:rsidRPr="00E1707E">
        <w:t xml:space="preserve">ost </w:t>
      </w:r>
      <w:r>
        <w:t>o</w:t>
      </w:r>
      <w:r w:rsidRPr="00E1707E">
        <w:t xml:space="preserve">perative </w:t>
      </w:r>
      <w:r>
        <w:t>p</w:t>
      </w:r>
      <w:r w:rsidRPr="00E1707E">
        <w:t>ain</w:t>
      </w:r>
      <w:r>
        <w:t>.</w:t>
      </w:r>
      <w:r>
        <w:br/>
      </w:r>
      <w:r>
        <w:rPr>
          <w:iCs/>
        </w:rPr>
        <w:t>Items 22031 and 22036 are neuraxial nerve blocks (spinal block via intrathecal injection into spinal canal; or epidural injection into epidural space)</w:t>
      </w:r>
      <w:r w:rsidRPr="00E1707E">
        <w:br/>
        <w:t xml:space="preserve">*There are no </w:t>
      </w:r>
      <w:r>
        <w:t xml:space="preserve">frequency </w:t>
      </w:r>
      <w:r w:rsidRPr="00E1707E">
        <w:t xml:space="preserve">restrictions specified in the descriptor text on claims per year or </w:t>
      </w:r>
      <w:r>
        <w:t>patient episode</w:t>
      </w:r>
      <w:r w:rsidRPr="00E1707E">
        <w:t xml:space="preserve"> for these items.</w:t>
      </w:r>
    </w:p>
    <w:p w14:paraId="0B56BAF5" w14:textId="625B2B90" w:rsidR="00E054C5" w:rsidRPr="00FC42BA" w:rsidRDefault="006D0140" w:rsidP="00080B14">
      <w:r>
        <w:rPr>
          <w:iCs/>
        </w:rPr>
        <w:t xml:space="preserve">MSAC previously considered a related application for </w:t>
      </w:r>
      <w:r w:rsidR="00CE1084">
        <w:rPr>
          <w:iCs/>
        </w:rPr>
        <w:t xml:space="preserve">minor, major and continuous </w:t>
      </w:r>
      <w:r>
        <w:rPr>
          <w:iCs/>
        </w:rPr>
        <w:t>peripheral nerve blocks (</w:t>
      </w:r>
      <w:r w:rsidR="008748CA">
        <w:rPr>
          <w:iCs/>
        </w:rPr>
        <w:t xml:space="preserve">MSAC </w:t>
      </w:r>
      <w:r w:rsidR="00AF0B8A">
        <w:rPr>
          <w:iCs/>
        </w:rPr>
        <w:t xml:space="preserve">Application </w:t>
      </w:r>
      <w:r>
        <w:rPr>
          <w:iCs/>
        </w:rPr>
        <w:t>1308)</w:t>
      </w:r>
      <w:r w:rsidR="00D73CDF">
        <w:rPr>
          <w:iCs/>
        </w:rPr>
        <w:t>. MSAC did not support this application</w:t>
      </w:r>
      <w:r>
        <w:rPr>
          <w:iCs/>
        </w:rPr>
        <w:t xml:space="preserve"> (see</w:t>
      </w:r>
      <w:r w:rsidR="00810C08">
        <w:rPr>
          <w:iCs/>
        </w:rPr>
        <w:t xml:space="preserve"> </w:t>
      </w:r>
      <w:r w:rsidR="006C46A5">
        <w:rPr>
          <w:iCs/>
        </w:rPr>
        <w:t>the list of issues in</w:t>
      </w:r>
      <w:r w:rsidR="004A084B">
        <w:rPr>
          <w:iCs/>
        </w:rPr>
        <w:t xml:space="preserve"> </w:t>
      </w:r>
      <w:r w:rsidR="004A084B">
        <w:rPr>
          <w:iCs/>
        </w:rPr>
        <w:fldChar w:fldCharType="begin"/>
      </w:r>
      <w:r w:rsidR="004A084B">
        <w:rPr>
          <w:iCs/>
        </w:rPr>
        <w:instrText xml:space="preserve"> REF _Ref128134844 \h </w:instrText>
      </w:r>
      <w:r w:rsidR="004A084B">
        <w:rPr>
          <w:iCs/>
        </w:rPr>
      </w:r>
      <w:r w:rsidR="004A084B">
        <w:rPr>
          <w:iCs/>
        </w:rPr>
        <w:fldChar w:fldCharType="separate"/>
      </w:r>
      <w:r w:rsidR="00B65CEE" w:rsidRPr="00A71F15">
        <w:t xml:space="preserve">Table </w:t>
      </w:r>
      <w:r w:rsidR="00B65CEE">
        <w:rPr>
          <w:noProof/>
        </w:rPr>
        <w:t>4</w:t>
      </w:r>
      <w:r w:rsidR="004A084B">
        <w:rPr>
          <w:iCs/>
        </w:rPr>
        <w:fldChar w:fldCharType="end"/>
      </w:r>
      <w:r>
        <w:rPr>
          <w:iCs/>
        </w:rPr>
        <w:t xml:space="preserve">). </w:t>
      </w:r>
      <w:r w:rsidR="000A5575">
        <w:rPr>
          <w:iCs/>
        </w:rPr>
        <w:t>For further details</w:t>
      </w:r>
      <w:r w:rsidR="0083553D">
        <w:rPr>
          <w:iCs/>
        </w:rPr>
        <w:t>, see the Appendix.</w:t>
      </w:r>
    </w:p>
    <w:p w14:paraId="709471AB" w14:textId="77777777" w:rsidR="00FE22F0" w:rsidRDefault="00FE22F0" w:rsidP="003043BC">
      <w:pPr>
        <w:pStyle w:val="Caption"/>
        <w:rPr>
          <w:rFonts w:asciiTheme="minorHAnsi" w:hAnsiTheme="minorHAnsi" w:cstheme="minorHAnsi"/>
        </w:rPr>
        <w:sectPr w:rsidR="00FE22F0" w:rsidSect="00AE6FE0">
          <w:footerReference w:type="even" r:id="rId11"/>
          <w:footerReference w:type="default" r:id="rId12"/>
          <w:pgSz w:w="11906" w:h="16838"/>
          <w:pgMar w:top="682" w:right="1134" w:bottom="1021" w:left="1191" w:header="709" w:footer="709" w:gutter="0"/>
          <w:cols w:space="708"/>
          <w:docGrid w:linePitch="360"/>
        </w:sectPr>
      </w:pPr>
    </w:p>
    <w:p w14:paraId="71409052" w14:textId="66491CFB" w:rsidR="00D96E69" w:rsidRPr="00A71F15" w:rsidRDefault="003043BC" w:rsidP="00DB77D4">
      <w:pPr>
        <w:pStyle w:val="TableHeading"/>
      </w:pPr>
      <w:bookmarkStart w:id="7" w:name="_Ref128134844"/>
      <w:r w:rsidRPr="00A71F15">
        <w:lastRenderedPageBreak/>
        <w:t xml:space="preserve">Table </w:t>
      </w:r>
      <w:r>
        <w:fldChar w:fldCharType="begin"/>
      </w:r>
      <w:r>
        <w:instrText>SEQ Table \* ARABIC</w:instrText>
      </w:r>
      <w:r>
        <w:fldChar w:fldCharType="separate"/>
      </w:r>
      <w:r w:rsidR="00B65CEE">
        <w:rPr>
          <w:noProof/>
        </w:rPr>
        <w:t>4</w:t>
      </w:r>
      <w:r>
        <w:fldChar w:fldCharType="end"/>
      </w:r>
      <w:bookmarkEnd w:id="7"/>
      <w:r w:rsidRPr="00A71F15">
        <w:tab/>
        <w:t>Issues raised by MSAC</w:t>
      </w:r>
      <w:r w:rsidR="00D357BF">
        <w:t xml:space="preserve"> for</w:t>
      </w:r>
      <w:r w:rsidR="00C348FD">
        <w:t xml:space="preserve"> the</w:t>
      </w:r>
      <w:r w:rsidR="00116642" w:rsidRPr="00A71F15">
        <w:t xml:space="preserve"> previous </w:t>
      </w:r>
      <w:r w:rsidR="009900EB">
        <w:t>A</w:t>
      </w:r>
      <w:r w:rsidR="00116642" w:rsidRPr="00A71F15">
        <w:t>pplication</w:t>
      </w:r>
      <w:r w:rsidR="00C348FD">
        <w:t xml:space="preserve"> </w:t>
      </w:r>
      <w:r w:rsidR="00116642" w:rsidRPr="00A71F15">
        <w:t>1308</w:t>
      </w:r>
      <w:r w:rsidR="00C348FD">
        <w:t xml:space="preserve"> (</w:t>
      </w:r>
      <w:r w:rsidR="00B30070" w:rsidRPr="00A71F15">
        <w:t>MSAC meeting April 2017</w:t>
      </w:r>
      <w:r w:rsidR="00C348F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Issues raised by MSAC for the previous Application 1308 (MSAC meeting April 2017)"/>
        <w:tblDescription w:val="The table summarises the issues raised by MSAC for Application 1308 and provides a comment about whether the issues remain or have been addressed."/>
      </w:tblPr>
      <w:tblGrid>
        <w:gridCol w:w="6093"/>
        <w:gridCol w:w="6954"/>
        <w:gridCol w:w="2078"/>
      </w:tblGrid>
      <w:tr w:rsidR="00D018D8" w:rsidRPr="00490FBB" w14:paraId="7B0DA81A" w14:textId="77777777" w:rsidTr="009457A5">
        <w:trPr>
          <w:tblHeader/>
        </w:trPr>
        <w:tc>
          <w:tcPr>
            <w:tcW w:w="2014" w:type="pct"/>
          </w:tcPr>
          <w:p w14:paraId="0EEEA0AA" w14:textId="2F5C8050" w:rsidR="00D018D8" w:rsidRPr="00231AB1" w:rsidRDefault="00D018D8" w:rsidP="00CC4E7F">
            <w:pPr>
              <w:pStyle w:val="TableHeading"/>
              <w:spacing w:before="0" w:after="0"/>
              <w:ind w:left="227" w:right="-57"/>
              <w:jc w:val="center"/>
              <w:rPr>
                <w:rFonts w:cstheme="minorHAnsi"/>
              </w:rPr>
            </w:pPr>
            <w:r w:rsidRPr="00231AB1">
              <w:rPr>
                <w:rFonts w:cstheme="minorHAnsi"/>
              </w:rPr>
              <w:t>Issue</w:t>
            </w:r>
          </w:p>
        </w:tc>
        <w:tc>
          <w:tcPr>
            <w:tcW w:w="2299" w:type="pct"/>
          </w:tcPr>
          <w:p w14:paraId="73964F41" w14:textId="77777777" w:rsidR="00D018D8" w:rsidRPr="00231AB1" w:rsidRDefault="00D018D8" w:rsidP="00CC4E7F">
            <w:pPr>
              <w:pStyle w:val="TableHeading"/>
              <w:spacing w:before="0" w:after="0"/>
              <w:ind w:left="-57" w:right="-57"/>
              <w:jc w:val="center"/>
              <w:rPr>
                <w:rFonts w:cstheme="minorHAnsi"/>
              </w:rPr>
            </w:pPr>
            <w:r w:rsidRPr="00231AB1">
              <w:rPr>
                <w:rFonts w:cstheme="minorHAnsi"/>
              </w:rPr>
              <w:t xml:space="preserve">Comment </w:t>
            </w:r>
          </w:p>
        </w:tc>
        <w:tc>
          <w:tcPr>
            <w:tcW w:w="688" w:type="pct"/>
          </w:tcPr>
          <w:p w14:paraId="686B64FA" w14:textId="77777777" w:rsidR="00D018D8" w:rsidRPr="00231AB1" w:rsidRDefault="00D018D8" w:rsidP="00CC4E7F">
            <w:pPr>
              <w:pStyle w:val="TableHeading"/>
              <w:spacing w:before="0" w:after="0"/>
              <w:ind w:left="-57" w:right="-57"/>
              <w:jc w:val="center"/>
              <w:rPr>
                <w:rFonts w:cstheme="minorHAnsi"/>
              </w:rPr>
            </w:pPr>
            <w:r w:rsidRPr="00231AB1">
              <w:rPr>
                <w:rFonts w:cstheme="minorHAnsi"/>
              </w:rPr>
              <w:t>Addressed In</w:t>
            </w:r>
          </w:p>
        </w:tc>
      </w:tr>
      <w:tr w:rsidR="00052F62" w:rsidRPr="00490FBB" w14:paraId="1D9A4283" w14:textId="77777777" w:rsidTr="009457A5">
        <w:tc>
          <w:tcPr>
            <w:tcW w:w="2014" w:type="pct"/>
          </w:tcPr>
          <w:p w14:paraId="4B208FD1" w14:textId="399FE98F" w:rsidR="00C972EB" w:rsidRPr="00231AB1" w:rsidRDefault="00052F62" w:rsidP="00CC4E7F">
            <w:pPr>
              <w:pStyle w:val="Tabletext"/>
              <w:numPr>
                <w:ilvl w:val="0"/>
                <w:numId w:val="13"/>
              </w:numPr>
              <w:spacing w:before="0" w:after="0"/>
              <w:ind w:left="227" w:right="-57" w:hanging="357"/>
              <w:rPr>
                <w:rFonts w:cstheme="minorHAnsi"/>
              </w:rPr>
            </w:pPr>
            <w:r w:rsidRPr="00231AB1">
              <w:rPr>
                <w:rFonts w:cstheme="minorHAnsi"/>
              </w:rPr>
              <w:t>“it would be more informative if the scope of the application was changed to only consider particular LANBs with demonstrable and clinically significant health outcome benefits to patients and the healthcare system”</w:t>
            </w:r>
            <w:r w:rsidR="00D8612A">
              <w:rPr>
                <w:rFonts w:cstheme="minorHAnsi"/>
              </w:rPr>
              <w:t xml:space="preserve"> </w:t>
            </w:r>
            <w:r w:rsidRPr="00231AB1">
              <w:rPr>
                <w:rFonts w:cstheme="minorHAnsi"/>
              </w:rPr>
              <w:t>(p1)</w:t>
            </w:r>
          </w:p>
          <w:p w14:paraId="13BB2C42" w14:textId="40B71800" w:rsidR="004B0E1D" w:rsidRPr="00231AB1" w:rsidRDefault="00C972EB" w:rsidP="00CC4E7F">
            <w:pPr>
              <w:pStyle w:val="Tabletext"/>
              <w:numPr>
                <w:ilvl w:val="0"/>
                <w:numId w:val="13"/>
              </w:numPr>
              <w:spacing w:before="0" w:after="0"/>
              <w:ind w:left="227" w:right="-57" w:hanging="357"/>
              <w:rPr>
                <w:rFonts w:cstheme="minorHAnsi"/>
              </w:rPr>
            </w:pPr>
            <w:r w:rsidRPr="00231AB1">
              <w:rPr>
                <w:rFonts w:cstheme="minorHAnsi"/>
              </w:rPr>
              <w:t>“MSAC suggested that an alternative approach to seeking MBS funding was to identify particular nerve blocks that have, or are likely to have, clear benefits followed by collection of evidence on these identified ‘high value’ nerve blocks to determine their safety, effectiveness and cost-effectiveness. MSAC suggested that the applicant provide advice on which nerve blocks are most likely to be ‘high value’.” (p3)</w:t>
            </w:r>
          </w:p>
        </w:tc>
        <w:tc>
          <w:tcPr>
            <w:tcW w:w="2299" w:type="pct"/>
          </w:tcPr>
          <w:p w14:paraId="3CDB4B06" w14:textId="1BCAAF02" w:rsidR="00052F62" w:rsidRPr="00231AB1" w:rsidRDefault="00052F62" w:rsidP="00CC4E7F">
            <w:pPr>
              <w:pStyle w:val="Tabletext"/>
              <w:spacing w:before="0" w:after="0"/>
              <w:ind w:left="-57" w:right="-57"/>
              <w:rPr>
                <w:rFonts w:cstheme="minorHAnsi"/>
              </w:rPr>
            </w:pPr>
            <w:r w:rsidRPr="00231AB1">
              <w:rPr>
                <w:rFonts w:cstheme="minorHAnsi"/>
              </w:rPr>
              <w:t xml:space="preserve">The current application relates to a subset of the </w:t>
            </w:r>
            <w:r w:rsidR="00C27A39" w:rsidRPr="00231AB1">
              <w:rPr>
                <w:rFonts w:cstheme="minorHAnsi"/>
              </w:rPr>
              <w:t>population</w:t>
            </w:r>
            <w:r w:rsidRPr="00231AB1">
              <w:rPr>
                <w:rFonts w:cstheme="minorHAnsi"/>
              </w:rPr>
              <w:t xml:space="preserve"> sought in </w:t>
            </w:r>
            <w:r w:rsidR="00B71C02">
              <w:rPr>
                <w:rFonts w:cstheme="minorHAnsi"/>
              </w:rPr>
              <w:t xml:space="preserve">Application </w:t>
            </w:r>
            <w:r w:rsidRPr="00231AB1">
              <w:rPr>
                <w:rFonts w:cstheme="minorHAnsi"/>
              </w:rPr>
              <w:t>1308</w:t>
            </w:r>
            <w:r w:rsidR="00E470E2" w:rsidRPr="00231AB1">
              <w:rPr>
                <w:rFonts w:cstheme="minorHAnsi"/>
              </w:rPr>
              <w:t xml:space="preserve"> </w:t>
            </w:r>
            <w:r w:rsidR="00026D14">
              <w:rPr>
                <w:rFonts w:cstheme="minorHAnsi"/>
              </w:rPr>
              <w:t>that</w:t>
            </w:r>
            <w:r w:rsidR="00026D14" w:rsidRPr="00231AB1">
              <w:rPr>
                <w:rFonts w:cstheme="minorHAnsi"/>
              </w:rPr>
              <w:t xml:space="preserve"> </w:t>
            </w:r>
            <w:r w:rsidR="00910A1A" w:rsidRPr="00231AB1">
              <w:rPr>
                <w:rFonts w:cstheme="minorHAnsi"/>
              </w:rPr>
              <w:t>are</w:t>
            </w:r>
            <w:r w:rsidR="00E470E2" w:rsidRPr="00231AB1">
              <w:rPr>
                <w:rFonts w:cstheme="minorHAnsi"/>
              </w:rPr>
              <w:t xml:space="preserve"> higher need</w:t>
            </w:r>
            <w:r w:rsidR="0053246C" w:rsidRPr="00231AB1">
              <w:rPr>
                <w:rFonts w:cstheme="minorHAnsi"/>
              </w:rPr>
              <w:t xml:space="preserve"> patients</w:t>
            </w:r>
            <w:r w:rsidR="00360062">
              <w:rPr>
                <w:rFonts w:cstheme="minorHAnsi"/>
              </w:rPr>
              <w:t>;</w:t>
            </w:r>
            <w:r w:rsidRPr="00231AB1">
              <w:rPr>
                <w:rFonts w:cstheme="minorHAnsi"/>
              </w:rPr>
              <w:t xml:space="preserve"> that is, for </w:t>
            </w:r>
            <w:r w:rsidR="00E470E2" w:rsidRPr="00231AB1">
              <w:rPr>
                <w:rFonts w:cstheme="minorHAnsi"/>
              </w:rPr>
              <w:t xml:space="preserve">moderate to severe </w:t>
            </w:r>
            <w:r w:rsidRPr="00231AB1">
              <w:rPr>
                <w:rFonts w:cstheme="minorHAnsi"/>
              </w:rPr>
              <w:t>post</w:t>
            </w:r>
            <w:r w:rsidR="00C01C10">
              <w:rPr>
                <w:rFonts w:cstheme="minorHAnsi"/>
              </w:rPr>
              <w:t>operative</w:t>
            </w:r>
            <w:r w:rsidRPr="00231AB1">
              <w:rPr>
                <w:rFonts w:cstheme="minorHAnsi"/>
              </w:rPr>
              <w:t xml:space="preserve"> pain</w:t>
            </w:r>
            <w:r w:rsidR="00910A1A" w:rsidRPr="00231AB1">
              <w:rPr>
                <w:rFonts w:cstheme="minorHAnsi"/>
              </w:rPr>
              <w:t xml:space="preserve"> lasting longer than 12 hours</w:t>
            </w:r>
            <w:r w:rsidRPr="00231AB1">
              <w:rPr>
                <w:rFonts w:cstheme="minorHAnsi"/>
              </w:rPr>
              <w:t xml:space="preserve">. </w:t>
            </w:r>
          </w:p>
          <w:p w14:paraId="31C60AED" w14:textId="180A4BC5" w:rsidR="005D57FF" w:rsidRPr="00231AB1" w:rsidRDefault="005D57FF" w:rsidP="00CC4E7F">
            <w:pPr>
              <w:pStyle w:val="Tabletext"/>
              <w:spacing w:before="0" w:after="0"/>
              <w:ind w:left="-57" w:right="-57"/>
              <w:rPr>
                <w:rFonts w:cstheme="minorHAnsi"/>
              </w:rPr>
            </w:pPr>
            <w:r w:rsidRPr="00231AB1">
              <w:rPr>
                <w:rFonts w:cstheme="minorHAnsi"/>
              </w:rPr>
              <w:t xml:space="preserve">Changes to approved uses for opioids in Australia </w:t>
            </w:r>
            <w:r w:rsidR="00BA5934" w:rsidRPr="00231AB1">
              <w:rPr>
                <w:rFonts w:cstheme="minorHAnsi"/>
              </w:rPr>
              <w:t xml:space="preserve">also </w:t>
            </w:r>
            <w:r w:rsidR="00005BAE" w:rsidRPr="00231AB1">
              <w:rPr>
                <w:rFonts w:cstheme="minorHAnsi"/>
              </w:rPr>
              <w:t xml:space="preserve">mean that there is greater clinical need for </w:t>
            </w:r>
            <w:r w:rsidR="00BA5934" w:rsidRPr="00231AB1">
              <w:rPr>
                <w:rFonts w:cstheme="minorHAnsi"/>
              </w:rPr>
              <w:t xml:space="preserve">alternatives to opioids for managing acute </w:t>
            </w:r>
            <w:r w:rsidR="00042F0B">
              <w:rPr>
                <w:rFonts w:cstheme="minorHAnsi"/>
              </w:rPr>
              <w:t xml:space="preserve">postoperative </w:t>
            </w:r>
            <w:r w:rsidR="00BA5934" w:rsidRPr="00231AB1">
              <w:rPr>
                <w:rFonts w:cstheme="minorHAnsi"/>
              </w:rPr>
              <w:t>pain.</w:t>
            </w:r>
          </w:p>
          <w:p w14:paraId="0E9DAB0F" w14:textId="0ABD4487" w:rsidR="00E43A63" w:rsidRPr="00231AB1" w:rsidRDefault="00D7532E" w:rsidP="00CC4E7F">
            <w:pPr>
              <w:pStyle w:val="Tabletext"/>
              <w:spacing w:before="0" w:after="0"/>
              <w:ind w:left="-57" w:right="-57"/>
              <w:rPr>
                <w:rFonts w:cstheme="minorHAnsi"/>
              </w:rPr>
            </w:pPr>
            <w:r w:rsidRPr="00231AB1">
              <w:rPr>
                <w:rFonts w:cstheme="minorHAnsi"/>
              </w:rPr>
              <w:t xml:space="preserve">Minor and major nerve blocks considered in </w:t>
            </w:r>
            <w:r w:rsidR="009900EB">
              <w:rPr>
                <w:rFonts w:cstheme="minorHAnsi"/>
              </w:rPr>
              <w:t>A</w:t>
            </w:r>
            <w:r w:rsidRPr="00231AB1">
              <w:rPr>
                <w:rFonts w:cstheme="minorHAnsi"/>
              </w:rPr>
              <w:t xml:space="preserve">pplication 1308 are </w:t>
            </w:r>
            <w:r w:rsidR="00E30E83">
              <w:rPr>
                <w:rFonts w:cstheme="minorHAnsi"/>
              </w:rPr>
              <w:t xml:space="preserve">now </w:t>
            </w:r>
            <w:r w:rsidRPr="00231AB1">
              <w:rPr>
                <w:rFonts w:cstheme="minorHAnsi"/>
              </w:rPr>
              <w:t>covered by</w:t>
            </w:r>
            <w:r w:rsidR="006164F5" w:rsidRPr="00231AB1">
              <w:rPr>
                <w:rFonts w:cstheme="minorHAnsi"/>
              </w:rPr>
              <w:t xml:space="preserve"> </w:t>
            </w:r>
            <w:r w:rsidR="00E30E83">
              <w:rPr>
                <w:rFonts w:cstheme="minorHAnsi"/>
              </w:rPr>
              <w:t xml:space="preserve">MBS </w:t>
            </w:r>
            <w:r w:rsidRPr="00231AB1">
              <w:rPr>
                <w:rFonts w:cstheme="minorHAnsi"/>
              </w:rPr>
              <w:t xml:space="preserve">item 22041 </w:t>
            </w:r>
            <w:r w:rsidR="00A75B04">
              <w:rPr>
                <w:rFonts w:cstheme="minorHAnsi"/>
              </w:rPr>
              <w:t xml:space="preserve">(item start date </w:t>
            </w:r>
            <w:r w:rsidR="00941B97">
              <w:rPr>
                <w:rFonts w:cstheme="minorHAnsi"/>
              </w:rPr>
              <w:t xml:space="preserve">1 November 2019) </w:t>
            </w:r>
            <w:r w:rsidRPr="00231AB1">
              <w:rPr>
                <w:rFonts w:cstheme="minorHAnsi"/>
              </w:rPr>
              <w:t>and are not included in the current application.</w:t>
            </w:r>
          </w:p>
        </w:tc>
        <w:tc>
          <w:tcPr>
            <w:tcW w:w="688" w:type="pct"/>
          </w:tcPr>
          <w:p w14:paraId="51B81213" w14:textId="502843BE" w:rsidR="00052F62" w:rsidRPr="00231AB1" w:rsidRDefault="00052F62" w:rsidP="00CC4E7F">
            <w:pPr>
              <w:pStyle w:val="Tabletext"/>
              <w:spacing w:before="0" w:after="0"/>
              <w:ind w:left="-57" w:right="-57"/>
              <w:rPr>
                <w:rFonts w:cstheme="minorHAnsi"/>
              </w:rPr>
            </w:pPr>
            <w:r w:rsidRPr="00231AB1">
              <w:rPr>
                <w:rFonts w:cstheme="minorHAnsi"/>
              </w:rPr>
              <w:t xml:space="preserve">See </w:t>
            </w:r>
            <w:r w:rsidRPr="00231AB1">
              <w:rPr>
                <w:rFonts w:cstheme="minorHAnsi"/>
              </w:rPr>
              <w:fldChar w:fldCharType="begin"/>
            </w:r>
            <w:r w:rsidRPr="00231AB1">
              <w:rPr>
                <w:rFonts w:cstheme="minorHAnsi"/>
              </w:rPr>
              <w:instrText xml:space="preserve"> REF _Ref127782800 \h </w:instrText>
            </w:r>
            <w:r w:rsidR="00231AB1">
              <w:rPr>
                <w:rFonts w:cstheme="minorHAnsi"/>
              </w:rPr>
              <w:instrText xml:space="preserve"> \* MERGEFORMAT </w:instrText>
            </w:r>
            <w:r w:rsidRPr="00231AB1">
              <w:rPr>
                <w:rFonts w:cstheme="minorHAnsi"/>
              </w:rPr>
            </w:r>
            <w:r w:rsidRPr="00231AB1">
              <w:rPr>
                <w:rFonts w:cstheme="minorHAnsi"/>
              </w:rPr>
              <w:fldChar w:fldCharType="separate"/>
            </w:r>
            <w:r w:rsidR="00B65CEE" w:rsidRPr="00713728">
              <w:t>Population</w:t>
            </w:r>
            <w:r w:rsidRPr="00231AB1">
              <w:rPr>
                <w:rFonts w:cstheme="minorHAnsi"/>
              </w:rPr>
              <w:fldChar w:fldCharType="end"/>
            </w:r>
            <w:r w:rsidRPr="00231AB1">
              <w:rPr>
                <w:rFonts w:cstheme="minorHAnsi"/>
              </w:rPr>
              <w:t xml:space="preserve"> – </w:t>
            </w:r>
            <w:r w:rsidRPr="00231AB1">
              <w:rPr>
                <w:rFonts w:cstheme="minorHAnsi"/>
              </w:rPr>
              <w:fldChar w:fldCharType="begin"/>
            </w:r>
            <w:r w:rsidRPr="00231AB1">
              <w:rPr>
                <w:rFonts w:cstheme="minorHAnsi"/>
              </w:rPr>
              <w:instrText xml:space="preserve"> REF _Ref128122259 \h </w:instrText>
            </w:r>
            <w:r w:rsidR="00231AB1">
              <w:rPr>
                <w:rFonts w:cstheme="minorHAnsi"/>
              </w:rPr>
              <w:instrText xml:space="preserve"> \* MERGEFORMAT </w:instrText>
            </w:r>
            <w:r w:rsidRPr="00231AB1">
              <w:rPr>
                <w:rFonts w:cstheme="minorHAnsi"/>
              </w:rPr>
            </w:r>
            <w:r w:rsidRPr="00231AB1">
              <w:rPr>
                <w:rFonts w:cstheme="minorHAnsi"/>
              </w:rPr>
              <w:fldChar w:fldCharType="separate"/>
            </w:r>
            <w:r w:rsidR="00B65CEE">
              <w:t>Clinical need</w:t>
            </w:r>
            <w:r w:rsidRPr="00231AB1">
              <w:rPr>
                <w:rFonts w:cstheme="minorHAnsi"/>
              </w:rPr>
              <w:fldChar w:fldCharType="end"/>
            </w:r>
          </w:p>
        </w:tc>
      </w:tr>
      <w:tr w:rsidR="00C04C9D" w:rsidRPr="00490FBB" w14:paraId="17AB68C9" w14:textId="77777777" w:rsidTr="009457A5">
        <w:tc>
          <w:tcPr>
            <w:tcW w:w="2014" w:type="pct"/>
          </w:tcPr>
          <w:p w14:paraId="1C8E3A17" w14:textId="763831E9" w:rsidR="00C04C9D" w:rsidRPr="00231AB1" w:rsidRDefault="003F3AB8" w:rsidP="00CC4E7F">
            <w:pPr>
              <w:pStyle w:val="Tabletext"/>
              <w:numPr>
                <w:ilvl w:val="0"/>
                <w:numId w:val="12"/>
              </w:numPr>
              <w:spacing w:before="0" w:after="0"/>
              <w:ind w:left="227" w:right="-57"/>
              <w:rPr>
                <w:rFonts w:cstheme="minorHAnsi"/>
              </w:rPr>
            </w:pPr>
            <w:r w:rsidRPr="00231AB1">
              <w:rPr>
                <w:rFonts w:cstheme="minorHAnsi"/>
              </w:rPr>
              <w:t>“</w:t>
            </w:r>
            <w:r w:rsidR="00C04C9D" w:rsidRPr="00231AB1">
              <w:rPr>
                <w:rFonts w:cstheme="minorHAnsi"/>
              </w:rPr>
              <w:t>MSAC accepted that there was a clinical need for LANB. However, MSAC was concerned by uncertainty around the clinical efficacy and cost-effectiveness of the different types of nerve block and the considerable uncertainty regarding the estimates of use and financial impacts.</w:t>
            </w:r>
            <w:r w:rsidRPr="00231AB1">
              <w:rPr>
                <w:rFonts w:cstheme="minorHAnsi"/>
              </w:rPr>
              <w:t>” (p3)</w:t>
            </w:r>
          </w:p>
        </w:tc>
        <w:tc>
          <w:tcPr>
            <w:tcW w:w="2299" w:type="pct"/>
          </w:tcPr>
          <w:p w14:paraId="46B6DF92" w14:textId="18BF29E3" w:rsidR="002151E4" w:rsidRPr="00231AB1" w:rsidRDefault="00042F0B" w:rsidP="00CC4E7F">
            <w:pPr>
              <w:pStyle w:val="Tabletext"/>
              <w:spacing w:before="0" w:after="0"/>
              <w:ind w:left="-57" w:right="-57"/>
              <w:rPr>
                <w:rFonts w:cstheme="minorHAnsi"/>
              </w:rPr>
            </w:pPr>
            <w:r>
              <w:rPr>
                <w:rFonts w:cstheme="minorHAnsi"/>
              </w:rPr>
              <w:t>For Application 1308, MSAC</w:t>
            </w:r>
            <w:r w:rsidRPr="00042F0B">
              <w:rPr>
                <w:rFonts w:cstheme="minorHAnsi"/>
              </w:rPr>
              <w:t xml:space="preserve"> noted </w:t>
            </w:r>
            <w:r>
              <w:rPr>
                <w:rFonts w:cstheme="minorHAnsi"/>
              </w:rPr>
              <w:t xml:space="preserve">the ESC’s comment </w:t>
            </w:r>
            <w:r w:rsidRPr="00042F0B">
              <w:rPr>
                <w:rFonts w:cstheme="minorHAnsi"/>
              </w:rPr>
              <w:t xml:space="preserve">that </w:t>
            </w:r>
            <w:r>
              <w:rPr>
                <w:rFonts w:cstheme="minorHAnsi"/>
              </w:rPr>
              <w:t>“</w:t>
            </w:r>
            <w:r w:rsidRPr="00042F0B">
              <w:rPr>
                <w:rFonts w:cstheme="minorHAnsi"/>
              </w:rPr>
              <w:t xml:space="preserve">evidence for </w:t>
            </w:r>
            <w:r>
              <w:rPr>
                <w:rFonts w:cstheme="minorHAnsi"/>
              </w:rPr>
              <w:t xml:space="preserve">[…] </w:t>
            </w:r>
            <w:r w:rsidRPr="00042F0B">
              <w:rPr>
                <w:rFonts w:cstheme="minorHAnsi"/>
              </w:rPr>
              <w:t xml:space="preserve">nerve blocks </w:t>
            </w:r>
            <w:r>
              <w:rPr>
                <w:rFonts w:cstheme="minorHAnsi"/>
              </w:rPr>
              <w:t xml:space="preserve">[…] </w:t>
            </w:r>
            <w:r w:rsidRPr="00042F0B">
              <w:rPr>
                <w:rFonts w:cstheme="minorHAnsi"/>
              </w:rPr>
              <w:t>was greater than that for comparators such as epidural or intrathecal blocks</w:t>
            </w:r>
            <w:r>
              <w:rPr>
                <w:rFonts w:cstheme="minorHAnsi"/>
              </w:rPr>
              <w:t>”</w:t>
            </w:r>
            <w:r w:rsidR="002151E4" w:rsidRPr="00231AB1">
              <w:rPr>
                <w:rFonts w:cstheme="minorHAnsi"/>
              </w:rPr>
              <w:t xml:space="preserve">. </w:t>
            </w:r>
          </w:p>
          <w:p w14:paraId="17573343" w14:textId="2E9C5528" w:rsidR="00C04C9D" w:rsidRPr="00231AB1" w:rsidRDefault="000A57FD" w:rsidP="00CC4E7F">
            <w:pPr>
              <w:pStyle w:val="Tabletext"/>
              <w:spacing w:before="0" w:after="0"/>
              <w:ind w:left="-57" w:right="-57"/>
              <w:rPr>
                <w:rFonts w:cstheme="minorHAnsi"/>
              </w:rPr>
            </w:pPr>
            <w:r w:rsidRPr="00231AB1">
              <w:rPr>
                <w:rFonts w:cstheme="minorHAnsi"/>
              </w:rPr>
              <w:t>The proposed clinical claim, that continuous blocks are superior to single injection nerve blocks for moderate to severe pain lasting longer than 12 hours will focus on a subset of evidence. The evaluation</w:t>
            </w:r>
            <w:r w:rsidR="008C4E66" w:rsidRPr="00231AB1">
              <w:rPr>
                <w:rFonts w:cstheme="minorHAnsi"/>
              </w:rPr>
              <w:t xml:space="preserve"> can</w:t>
            </w:r>
            <w:r w:rsidRPr="00231AB1">
              <w:rPr>
                <w:rFonts w:cstheme="minorHAnsi"/>
              </w:rPr>
              <w:t xml:space="preserve"> consider evidence</w:t>
            </w:r>
            <w:r w:rsidR="00153C26" w:rsidRPr="00231AB1">
              <w:rPr>
                <w:rFonts w:cstheme="minorHAnsi"/>
              </w:rPr>
              <w:t xml:space="preserve"> of incremental benefit in terms of</w:t>
            </w:r>
            <w:r w:rsidRPr="00231AB1">
              <w:rPr>
                <w:rFonts w:cstheme="minorHAnsi"/>
              </w:rPr>
              <w:t xml:space="preserve"> duration of effect </w:t>
            </w:r>
            <w:r w:rsidR="00153C26" w:rsidRPr="00231AB1">
              <w:rPr>
                <w:rFonts w:cstheme="minorHAnsi"/>
              </w:rPr>
              <w:t>compared with a</w:t>
            </w:r>
            <w:r w:rsidRPr="00231AB1">
              <w:rPr>
                <w:rFonts w:cstheme="minorHAnsi"/>
              </w:rPr>
              <w:t xml:space="preserve"> single injection </w:t>
            </w:r>
            <w:r w:rsidR="00153C26" w:rsidRPr="00231AB1">
              <w:rPr>
                <w:rFonts w:cstheme="minorHAnsi"/>
              </w:rPr>
              <w:t>block</w:t>
            </w:r>
            <w:r w:rsidRPr="00231AB1">
              <w:rPr>
                <w:rFonts w:cstheme="minorHAnsi"/>
              </w:rPr>
              <w:t xml:space="preserve">. </w:t>
            </w:r>
            <w:r w:rsidR="002151E4" w:rsidRPr="00231AB1">
              <w:rPr>
                <w:rFonts w:cstheme="minorHAnsi"/>
              </w:rPr>
              <w:t xml:space="preserve">The comparators considered in </w:t>
            </w:r>
            <w:r w:rsidR="00F848DA">
              <w:rPr>
                <w:rFonts w:cstheme="minorHAnsi"/>
              </w:rPr>
              <w:t xml:space="preserve">Application </w:t>
            </w:r>
            <w:r w:rsidR="002151E4" w:rsidRPr="00231AB1">
              <w:rPr>
                <w:rFonts w:cstheme="minorHAnsi"/>
              </w:rPr>
              <w:t xml:space="preserve">1308 (systemic opioids, neuraxial blocks) </w:t>
            </w:r>
            <w:r w:rsidR="00676E4D" w:rsidRPr="00231AB1">
              <w:rPr>
                <w:rFonts w:cstheme="minorHAnsi"/>
              </w:rPr>
              <w:t>can</w:t>
            </w:r>
            <w:r w:rsidR="002151E4" w:rsidRPr="00231AB1">
              <w:rPr>
                <w:rFonts w:cstheme="minorHAnsi"/>
              </w:rPr>
              <w:t xml:space="preserve"> be secondary comparators for </w:t>
            </w:r>
            <w:r w:rsidR="00F848DA">
              <w:rPr>
                <w:rFonts w:cstheme="minorHAnsi"/>
              </w:rPr>
              <w:t>the current</w:t>
            </w:r>
            <w:r w:rsidR="00F848DA" w:rsidRPr="00231AB1">
              <w:rPr>
                <w:rFonts w:cstheme="minorHAnsi"/>
              </w:rPr>
              <w:t xml:space="preserve"> </w:t>
            </w:r>
            <w:r w:rsidR="002151E4" w:rsidRPr="00231AB1">
              <w:rPr>
                <w:rFonts w:cstheme="minorHAnsi"/>
              </w:rPr>
              <w:t xml:space="preserve">application. </w:t>
            </w:r>
          </w:p>
        </w:tc>
        <w:tc>
          <w:tcPr>
            <w:tcW w:w="688" w:type="pct"/>
          </w:tcPr>
          <w:p w14:paraId="07565FF2" w14:textId="5D2B5826" w:rsidR="00C04C9D" w:rsidRPr="00231AB1" w:rsidRDefault="00A37406" w:rsidP="00CC4E7F">
            <w:pPr>
              <w:pStyle w:val="Tabletext"/>
              <w:spacing w:before="0" w:after="0"/>
              <w:ind w:left="-57" w:right="-57"/>
              <w:rPr>
                <w:rFonts w:cstheme="minorHAnsi"/>
              </w:rPr>
            </w:pPr>
            <w:r w:rsidRPr="00231AB1">
              <w:rPr>
                <w:rFonts w:cstheme="minorHAnsi"/>
              </w:rPr>
              <w:t>See</w:t>
            </w:r>
            <w:r w:rsidR="00D535FE" w:rsidRPr="00231AB1">
              <w:rPr>
                <w:rFonts w:cstheme="minorHAnsi"/>
              </w:rPr>
              <w:t xml:space="preserve"> </w:t>
            </w:r>
            <w:r w:rsidR="00340195" w:rsidRPr="00231AB1">
              <w:rPr>
                <w:rFonts w:cstheme="minorHAnsi"/>
              </w:rPr>
              <w:fldChar w:fldCharType="begin"/>
            </w:r>
            <w:r w:rsidR="00340195" w:rsidRPr="00231AB1">
              <w:rPr>
                <w:rFonts w:cstheme="minorHAnsi"/>
              </w:rPr>
              <w:instrText xml:space="preserve"> REF _Ref129163426 \h </w:instrText>
            </w:r>
            <w:r w:rsidR="00231AB1">
              <w:rPr>
                <w:rFonts w:cstheme="minorHAnsi"/>
              </w:rPr>
              <w:instrText xml:space="preserve"> \* MERGEFORMAT </w:instrText>
            </w:r>
            <w:r w:rsidR="00340195" w:rsidRPr="00231AB1">
              <w:rPr>
                <w:rFonts w:cstheme="minorHAnsi"/>
              </w:rPr>
            </w:r>
            <w:r w:rsidR="00340195" w:rsidRPr="00231AB1">
              <w:rPr>
                <w:rFonts w:cstheme="minorHAnsi"/>
              </w:rPr>
              <w:fldChar w:fldCharType="separate"/>
            </w:r>
            <w:r w:rsidR="00B65CEE" w:rsidRPr="008F1532">
              <w:t>Comparator</w:t>
            </w:r>
            <w:r w:rsidR="00B65CEE">
              <w:t>(s)</w:t>
            </w:r>
            <w:r w:rsidR="00340195" w:rsidRPr="00231AB1">
              <w:rPr>
                <w:rFonts w:cstheme="minorHAnsi"/>
              </w:rPr>
              <w:fldChar w:fldCharType="end"/>
            </w:r>
            <w:r w:rsidR="00D535FE" w:rsidRPr="00231AB1">
              <w:rPr>
                <w:rFonts w:cstheme="minorHAnsi"/>
              </w:rPr>
              <w:t xml:space="preserve"> and</w:t>
            </w:r>
            <w:r w:rsidR="0099781E">
              <w:rPr>
                <w:rFonts w:cstheme="minorHAnsi"/>
              </w:rPr>
              <w:t xml:space="preserve"> </w:t>
            </w:r>
            <w:r w:rsidR="0099781E">
              <w:rPr>
                <w:rFonts w:cstheme="minorHAnsi"/>
              </w:rPr>
              <w:fldChar w:fldCharType="begin"/>
            </w:r>
            <w:r w:rsidR="0099781E">
              <w:rPr>
                <w:rFonts w:cstheme="minorHAnsi"/>
              </w:rPr>
              <w:instrText xml:space="preserve"> REF _Ref129179510 \h </w:instrText>
            </w:r>
            <w:r w:rsidR="0099781E">
              <w:rPr>
                <w:rFonts w:cstheme="minorHAnsi"/>
              </w:rPr>
            </w:r>
            <w:r w:rsidR="0099781E">
              <w:rPr>
                <w:rFonts w:cstheme="minorHAnsi"/>
              </w:rPr>
              <w:fldChar w:fldCharType="separate"/>
            </w:r>
            <w:r w:rsidR="00B65CEE" w:rsidRPr="00490FBB">
              <w:t>Proposed economic evaluation</w:t>
            </w:r>
            <w:r w:rsidR="0099781E">
              <w:rPr>
                <w:rFonts w:cstheme="minorHAnsi"/>
              </w:rPr>
              <w:fldChar w:fldCharType="end"/>
            </w:r>
          </w:p>
        </w:tc>
      </w:tr>
      <w:tr w:rsidR="00D018D8" w:rsidRPr="00490FBB" w14:paraId="5D43BDE5" w14:textId="77777777" w:rsidTr="009457A5">
        <w:tc>
          <w:tcPr>
            <w:tcW w:w="2014" w:type="pct"/>
          </w:tcPr>
          <w:p w14:paraId="10C88924" w14:textId="77B871F4" w:rsidR="00D018D8" w:rsidRPr="00231AB1" w:rsidRDefault="00766A7B" w:rsidP="00CC4E7F">
            <w:pPr>
              <w:pStyle w:val="Tabletext"/>
              <w:numPr>
                <w:ilvl w:val="0"/>
                <w:numId w:val="11"/>
              </w:numPr>
              <w:spacing w:before="0" w:after="0"/>
              <w:ind w:left="227" w:right="-57" w:hanging="357"/>
              <w:rPr>
                <w:rFonts w:cstheme="minorHAnsi"/>
              </w:rPr>
            </w:pPr>
            <w:r w:rsidRPr="00231AB1">
              <w:rPr>
                <w:rFonts w:cstheme="minorHAnsi"/>
              </w:rPr>
              <w:t>“MSAC remained concerned that listing all peripheral nerve blocks on the basis of evidence presented for PVB, TAP block and cPVB may result in nerve blocks that have limited benefits being subsidised on the MBS</w:t>
            </w:r>
            <w:r w:rsidR="00635B00" w:rsidRPr="00231AB1">
              <w:rPr>
                <w:rFonts w:cstheme="minorHAnsi"/>
              </w:rPr>
              <w:t>.” (</w:t>
            </w:r>
            <w:r w:rsidRPr="00231AB1">
              <w:rPr>
                <w:rFonts w:cstheme="minorHAnsi"/>
              </w:rPr>
              <w:t>p2)</w:t>
            </w:r>
          </w:p>
        </w:tc>
        <w:tc>
          <w:tcPr>
            <w:tcW w:w="2299" w:type="pct"/>
          </w:tcPr>
          <w:p w14:paraId="7841E425" w14:textId="47353252" w:rsidR="00D018D8" w:rsidRPr="00231AB1" w:rsidRDefault="00300124" w:rsidP="00CC4E7F">
            <w:pPr>
              <w:pStyle w:val="Tabletext"/>
              <w:spacing w:before="0" w:after="0"/>
              <w:ind w:left="-57" w:right="-57"/>
              <w:rPr>
                <w:rFonts w:cstheme="minorHAnsi"/>
              </w:rPr>
            </w:pPr>
            <w:r w:rsidRPr="00231AB1">
              <w:rPr>
                <w:rFonts w:cstheme="minorHAnsi"/>
              </w:rPr>
              <w:t>The applicat</w:t>
            </w:r>
            <w:r w:rsidR="00DF3A2A" w:rsidRPr="00231AB1">
              <w:rPr>
                <w:rFonts w:cstheme="minorHAnsi"/>
              </w:rPr>
              <w:t>ion</w:t>
            </w:r>
            <w:r w:rsidRPr="00231AB1">
              <w:rPr>
                <w:rFonts w:cstheme="minorHAnsi"/>
              </w:rPr>
              <w:t xml:space="preserve"> has not </w:t>
            </w:r>
            <w:r w:rsidR="00DF3A2A" w:rsidRPr="00231AB1">
              <w:rPr>
                <w:rFonts w:cstheme="minorHAnsi"/>
              </w:rPr>
              <w:t xml:space="preserve">been </w:t>
            </w:r>
            <w:r w:rsidRPr="00231AB1">
              <w:rPr>
                <w:rFonts w:cstheme="minorHAnsi"/>
              </w:rPr>
              <w:t>restrict</w:t>
            </w:r>
            <w:r w:rsidR="00DF3A2A" w:rsidRPr="00231AB1">
              <w:rPr>
                <w:rFonts w:cstheme="minorHAnsi"/>
              </w:rPr>
              <w:t>ed</w:t>
            </w:r>
            <w:r w:rsidRPr="00231AB1">
              <w:rPr>
                <w:rFonts w:cstheme="minorHAnsi"/>
              </w:rPr>
              <w:t xml:space="preserve"> to </w:t>
            </w:r>
            <w:r w:rsidR="00C06FCC" w:rsidRPr="00231AB1">
              <w:rPr>
                <w:rFonts w:cstheme="minorHAnsi"/>
              </w:rPr>
              <w:t>block</w:t>
            </w:r>
            <w:r w:rsidR="00021C51" w:rsidRPr="00231AB1">
              <w:rPr>
                <w:rFonts w:cstheme="minorHAnsi"/>
              </w:rPr>
              <w:t>s</w:t>
            </w:r>
            <w:r w:rsidR="008465B8" w:rsidRPr="00231AB1">
              <w:rPr>
                <w:rFonts w:cstheme="minorHAnsi"/>
              </w:rPr>
              <w:t xml:space="preserve"> </w:t>
            </w:r>
            <w:r w:rsidR="007D0FED" w:rsidRPr="00231AB1">
              <w:rPr>
                <w:rFonts w:cstheme="minorHAnsi"/>
              </w:rPr>
              <w:t xml:space="preserve">of </w:t>
            </w:r>
            <w:r w:rsidRPr="00231AB1">
              <w:rPr>
                <w:rFonts w:cstheme="minorHAnsi"/>
              </w:rPr>
              <w:t xml:space="preserve">specific </w:t>
            </w:r>
            <w:r w:rsidR="007D0FED" w:rsidRPr="00231AB1">
              <w:rPr>
                <w:rFonts w:cstheme="minorHAnsi"/>
              </w:rPr>
              <w:t>nerves</w:t>
            </w:r>
            <w:r w:rsidR="00281830" w:rsidRPr="00231AB1">
              <w:rPr>
                <w:rFonts w:cstheme="minorHAnsi"/>
              </w:rPr>
              <w:t>. This</w:t>
            </w:r>
            <w:r w:rsidR="00747778" w:rsidRPr="00231AB1">
              <w:rPr>
                <w:rFonts w:cstheme="minorHAnsi"/>
              </w:rPr>
              <w:t xml:space="preserve"> approach</w:t>
            </w:r>
            <w:r w:rsidR="00D1619A" w:rsidRPr="00231AB1">
              <w:rPr>
                <w:rFonts w:cstheme="minorHAnsi"/>
              </w:rPr>
              <w:t xml:space="preserve"> </w:t>
            </w:r>
            <w:r w:rsidR="002641EF" w:rsidRPr="00231AB1">
              <w:rPr>
                <w:rFonts w:cstheme="minorHAnsi"/>
              </w:rPr>
              <w:t xml:space="preserve">is consistent with </w:t>
            </w:r>
            <w:r w:rsidR="00747778" w:rsidRPr="00231AB1">
              <w:rPr>
                <w:rFonts w:cstheme="minorHAnsi"/>
              </w:rPr>
              <w:t xml:space="preserve">the </w:t>
            </w:r>
            <w:r w:rsidR="00670482" w:rsidRPr="00231AB1">
              <w:rPr>
                <w:rFonts w:cstheme="minorHAnsi"/>
              </w:rPr>
              <w:t xml:space="preserve">existing </w:t>
            </w:r>
            <w:r w:rsidR="00747778" w:rsidRPr="00231AB1">
              <w:rPr>
                <w:rFonts w:cstheme="minorHAnsi"/>
              </w:rPr>
              <w:t xml:space="preserve">MBS </w:t>
            </w:r>
            <w:r w:rsidR="00DD7BDC" w:rsidRPr="00231AB1">
              <w:rPr>
                <w:rFonts w:cstheme="minorHAnsi"/>
              </w:rPr>
              <w:t xml:space="preserve">item </w:t>
            </w:r>
            <w:r w:rsidR="00747778" w:rsidRPr="00231AB1">
              <w:rPr>
                <w:rFonts w:cstheme="minorHAnsi"/>
              </w:rPr>
              <w:t>(</w:t>
            </w:r>
            <w:r w:rsidR="00DD7BDC" w:rsidRPr="00231AB1">
              <w:rPr>
                <w:rFonts w:cstheme="minorHAnsi"/>
              </w:rPr>
              <w:t>22041</w:t>
            </w:r>
            <w:r w:rsidR="00747778" w:rsidRPr="00231AB1">
              <w:rPr>
                <w:rFonts w:cstheme="minorHAnsi"/>
              </w:rPr>
              <w:t>)</w:t>
            </w:r>
            <w:r w:rsidR="007B1C8F" w:rsidRPr="00231AB1">
              <w:rPr>
                <w:rFonts w:cstheme="minorHAnsi"/>
              </w:rPr>
              <w:t xml:space="preserve"> for single-injection nerve blocks</w:t>
            </w:r>
            <w:r w:rsidR="00450BEA">
              <w:rPr>
                <w:rFonts w:cstheme="minorHAnsi"/>
              </w:rPr>
              <w:t>,</w:t>
            </w:r>
            <w:r w:rsidR="00DD7BDC" w:rsidRPr="00231AB1">
              <w:rPr>
                <w:rFonts w:cstheme="minorHAnsi"/>
              </w:rPr>
              <w:t xml:space="preserve"> </w:t>
            </w:r>
            <w:r w:rsidR="009B6F33" w:rsidRPr="00231AB1">
              <w:rPr>
                <w:rFonts w:cstheme="minorHAnsi"/>
              </w:rPr>
              <w:t>which is</w:t>
            </w:r>
            <w:r w:rsidR="00D1619A" w:rsidRPr="00231AB1">
              <w:rPr>
                <w:rFonts w:cstheme="minorHAnsi"/>
              </w:rPr>
              <w:t xml:space="preserve"> also</w:t>
            </w:r>
            <w:r w:rsidR="009B6F33" w:rsidRPr="00231AB1">
              <w:rPr>
                <w:rFonts w:cstheme="minorHAnsi"/>
              </w:rPr>
              <w:t xml:space="preserve"> not </w:t>
            </w:r>
            <w:r w:rsidR="00C30C5F" w:rsidRPr="00231AB1">
              <w:rPr>
                <w:rFonts w:cstheme="minorHAnsi"/>
              </w:rPr>
              <w:t xml:space="preserve">restricted </w:t>
            </w:r>
            <w:r w:rsidR="007F4E78" w:rsidRPr="00231AB1">
              <w:rPr>
                <w:rFonts w:cstheme="minorHAnsi"/>
              </w:rPr>
              <w:t xml:space="preserve">to </w:t>
            </w:r>
            <w:r w:rsidR="009B6F33" w:rsidRPr="00231AB1">
              <w:rPr>
                <w:rFonts w:cstheme="minorHAnsi"/>
              </w:rPr>
              <w:t xml:space="preserve">specific </w:t>
            </w:r>
            <w:r w:rsidR="007F4E78" w:rsidRPr="00231AB1">
              <w:rPr>
                <w:rFonts w:cstheme="minorHAnsi"/>
              </w:rPr>
              <w:t>nerves.</w:t>
            </w:r>
          </w:p>
        </w:tc>
        <w:tc>
          <w:tcPr>
            <w:tcW w:w="688" w:type="pct"/>
          </w:tcPr>
          <w:p w14:paraId="12DA56E1" w14:textId="30284614" w:rsidR="00D018D8" w:rsidRPr="00231AB1" w:rsidRDefault="00BA6447" w:rsidP="00CC4E7F">
            <w:pPr>
              <w:pStyle w:val="Tabletext"/>
              <w:spacing w:before="0" w:after="0"/>
              <w:ind w:left="-57" w:right="-57"/>
              <w:rPr>
                <w:rFonts w:cstheme="minorHAnsi"/>
              </w:rPr>
            </w:pPr>
            <w:r w:rsidRPr="00231AB1">
              <w:rPr>
                <w:rFonts w:cstheme="minorHAnsi"/>
              </w:rPr>
              <w:t xml:space="preserve">See </w:t>
            </w:r>
            <w:r w:rsidR="00676E4D" w:rsidRPr="00231AB1">
              <w:rPr>
                <w:rFonts w:cstheme="minorHAnsi"/>
              </w:rPr>
              <w:fldChar w:fldCharType="begin"/>
            </w:r>
            <w:r w:rsidR="00676E4D" w:rsidRPr="00231AB1">
              <w:rPr>
                <w:rFonts w:cstheme="minorHAnsi"/>
              </w:rPr>
              <w:instrText xml:space="preserve"> REF _Ref129165273 \h </w:instrText>
            </w:r>
            <w:r w:rsidR="00231AB1">
              <w:rPr>
                <w:rFonts w:cstheme="minorHAnsi"/>
              </w:rPr>
              <w:instrText xml:space="preserve"> \* MERGEFORMAT </w:instrText>
            </w:r>
            <w:r w:rsidR="00676E4D" w:rsidRPr="00231AB1">
              <w:rPr>
                <w:rFonts w:cstheme="minorHAnsi"/>
              </w:rPr>
            </w:r>
            <w:r w:rsidR="00676E4D" w:rsidRPr="00231AB1">
              <w:rPr>
                <w:rFonts w:cstheme="minorHAnsi"/>
              </w:rPr>
              <w:fldChar w:fldCharType="separate"/>
            </w:r>
            <w:r w:rsidR="00B65CEE" w:rsidRPr="008F1532">
              <w:t>Intervention</w:t>
            </w:r>
            <w:r w:rsidR="00676E4D" w:rsidRPr="00231AB1">
              <w:rPr>
                <w:rFonts w:cstheme="minorHAnsi"/>
              </w:rPr>
              <w:fldChar w:fldCharType="end"/>
            </w:r>
            <w:r w:rsidR="00676E4D" w:rsidRPr="00231AB1">
              <w:rPr>
                <w:rFonts w:cstheme="minorHAnsi"/>
              </w:rPr>
              <w:t xml:space="preserve"> – </w:t>
            </w:r>
            <w:r w:rsidR="00676E4D" w:rsidRPr="00231AB1">
              <w:rPr>
                <w:rFonts w:cstheme="minorHAnsi"/>
              </w:rPr>
              <w:fldChar w:fldCharType="begin"/>
            </w:r>
            <w:r w:rsidR="00676E4D" w:rsidRPr="00231AB1">
              <w:rPr>
                <w:rFonts w:cstheme="minorHAnsi"/>
              </w:rPr>
              <w:instrText xml:space="preserve"> REF _Ref129165275 \h </w:instrText>
            </w:r>
            <w:r w:rsidR="00231AB1">
              <w:rPr>
                <w:rFonts w:cstheme="minorHAnsi"/>
              </w:rPr>
              <w:instrText xml:space="preserve"> \* MERGEFORMAT </w:instrText>
            </w:r>
            <w:r w:rsidR="00676E4D" w:rsidRPr="00231AB1">
              <w:rPr>
                <w:rFonts w:cstheme="minorHAnsi"/>
              </w:rPr>
            </w:r>
            <w:r w:rsidR="00676E4D" w:rsidRPr="00231AB1">
              <w:rPr>
                <w:rFonts w:cstheme="minorHAnsi"/>
              </w:rPr>
              <w:fldChar w:fldCharType="separate"/>
            </w:r>
            <w:r w:rsidR="00B65CEE" w:rsidRPr="00343E34">
              <w:t>Target nerves</w:t>
            </w:r>
            <w:r w:rsidR="00676E4D" w:rsidRPr="00231AB1">
              <w:rPr>
                <w:rFonts w:cstheme="minorHAnsi"/>
              </w:rPr>
              <w:fldChar w:fldCharType="end"/>
            </w:r>
          </w:p>
        </w:tc>
      </w:tr>
      <w:tr w:rsidR="00035CC7" w:rsidRPr="00490FBB" w14:paraId="5C101C8C" w14:textId="77777777" w:rsidTr="009457A5">
        <w:tc>
          <w:tcPr>
            <w:tcW w:w="2014" w:type="pct"/>
          </w:tcPr>
          <w:p w14:paraId="51E949E6" w14:textId="10D578D4" w:rsidR="00035CC7" w:rsidRPr="00231AB1" w:rsidRDefault="001A646A" w:rsidP="00CC4E7F">
            <w:pPr>
              <w:pStyle w:val="Tabletext"/>
              <w:numPr>
                <w:ilvl w:val="0"/>
                <w:numId w:val="11"/>
              </w:numPr>
              <w:spacing w:before="0" w:after="0"/>
              <w:ind w:left="227" w:right="-57"/>
              <w:rPr>
                <w:rFonts w:eastAsiaTheme="minorHAnsi" w:cstheme="minorHAnsi"/>
              </w:rPr>
            </w:pPr>
            <w:r w:rsidRPr="00231AB1">
              <w:rPr>
                <w:rFonts w:eastAsiaTheme="minorHAnsi" w:cstheme="minorHAnsi"/>
              </w:rPr>
              <w:t>“</w:t>
            </w:r>
            <w:r w:rsidR="00035CC7" w:rsidRPr="00231AB1">
              <w:rPr>
                <w:rFonts w:eastAsiaTheme="minorHAnsi" w:cstheme="minorHAnsi"/>
              </w:rPr>
              <w:t xml:space="preserve">MSAC noted that the fees included a patient co-payment but that the applicant strongly disagreed that </w:t>
            </w:r>
            <w:r w:rsidR="00635B00" w:rsidRPr="00231AB1">
              <w:rPr>
                <w:rFonts w:eastAsiaTheme="minorHAnsi" w:cstheme="minorHAnsi"/>
              </w:rPr>
              <w:t>out-of-pocket</w:t>
            </w:r>
            <w:r w:rsidR="00035CC7" w:rsidRPr="00231AB1">
              <w:rPr>
                <w:rFonts w:eastAsiaTheme="minorHAnsi" w:cstheme="minorHAnsi"/>
              </w:rPr>
              <w:t xml:space="preserve"> costs associated with LANB procedures would be common.</w:t>
            </w:r>
            <w:r w:rsidRPr="00231AB1">
              <w:rPr>
                <w:rFonts w:eastAsiaTheme="minorHAnsi" w:cstheme="minorHAnsi"/>
              </w:rPr>
              <w:t>” (p3)</w:t>
            </w:r>
          </w:p>
          <w:p w14:paraId="7DC4E080" w14:textId="2327D509" w:rsidR="00035CC7" w:rsidRPr="00231AB1" w:rsidRDefault="00247B8C" w:rsidP="00CC4E7F">
            <w:pPr>
              <w:pStyle w:val="Tabletext"/>
              <w:numPr>
                <w:ilvl w:val="0"/>
                <w:numId w:val="11"/>
              </w:numPr>
              <w:spacing w:before="0" w:after="0"/>
              <w:ind w:left="227" w:right="-57"/>
              <w:rPr>
                <w:rFonts w:eastAsiaTheme="minorHAnsi" w:cstheme="minorHAnsi"/>
              </w:rPr>
            </w:pPr>
            <w:r w:rsidRPr="00231AB1">
              <w:rPr>
                <w:rFonts w:eastAsiaTheme="minorHAnsi" w:cstheme="minorHAnsi"/>
              </w:rPr>
              <w:t>“</w:t>
            </w:r>
            <w:r w:rsidR="00035CC7" w:rsidRPr="00231AB1">
              <w:rPr>
                <w:rFonts w:eastAsiaTheme="minorHAnsi" w:cstheme="minorHAnsi"/>
              </w:rPr>
              <w:t>From a consumer perspective, ESC noted that anaesthesia costs were a common cause of unexpected out of pocket expenses for patients.</w:t>
            </w:r>
            <w:r w:rsidRPr="00231AB1">
              <w:rPr>
                <w:rFonts w:eastAsiaTheme="minorHAnsi" w:cstheme="minorHAnsi"/>
              </w:rPr>
              <w:t>” (</w:t>
            </w:r>
            <w:r w:rsidR="007146A1" w:rsidRPr="00231AB1">
              <w:rPr>
                <w:rFonts w:eastAsiaTheme="minorHAnsi" w:cstheme="minorHAnsi"/>
              </w:rPr>
              <w:t>p10)</w:t>
            </w:r>
          </w:p>
        </w:tc>
        <w:tc>
          <w:tcPr>
            <w:tcW w:w="2299" w:type="pct"/>
          </w:tcPr>
          <w:p w14:paraId="4ADE238C" w14:textId="4AAD5520" w:rsidR="00CA4847" w:rsidRPr="00231AB1" w:rsidRDefault="00035CC7" w:rsidP="00CC4E7F">
            <w:pPr>
              <w:pStyle w:val="Tabletext"/>
              <w:spacing w:before="0" w:after="0"/>
              <w:ind w:left="-57" w:right="-57"/>
              <w:rPr>
                <w:rFonts w:cstheme="minorHAnsi"/>
              </w:rPr>
            </w:pPr>
            <w:r w:rsidRPr="00231AB1">
              <w:rPr>
                <w:rFonts w:cstheme="minorHAnsi"/>
              </w:rPr>
              <w:t xml:space="preserve">The current application </w:t>
            </w:r>
            <w:r w:rsidR="00F774AF" w:rsidRPr="00231AB1">
              <w:rPr>
                <w:rFonts w:cstheme="minorHAnsi"/>
              </w:rPr>
              <w:t>indicates the</w:t>
            </w:r>
            <w:r w:rsidRPr="00231AB1">
              <w:rPr>
                <w:rFonts w:cstheme="minorHAnsi"/>
              </w:rPr>
              <w:t xml:space="preserve"> overall cost </w:t>
            </w:r>
            <w:r w:rsidR="004E541B" w:rsidRPr="00231AB1">
              <w:rPr>
                <w:rFonts w:cstheme="minorHAnsi"/>
              </w:rPr>
              <w:t xml:space="preserve">of a continuous nerve block </w:t>
            </w:r>
            <w:r w:rsidRPr="00231AB1">
              <w:rPr>
                <w:rFonts w:cstheme="minorHAnsi"/>
              </w:rPr>
              <w:t xml:space="preserve">is $303.56, and </w:t>
            </w:r>
            <w:r w:rsidR="00F774AF" w:rsidRPr="00231AB1">
              <w:rPr>
                <w:rFonts w:cstheme="minorHAnsi"/>
              </w:rPr>
              <w:t>a</w:t>
            </w:r>
            <w:r w:rsidRPr="00231AB1">
              <w:rPr>
                <w:rFonts w:cstheme="minorHAnsi"/>
              </w:rPr>
              <w:t xml:space="preserve"> proposed MBS fee </w:t>
            </w:r>
            <w:r w:rsidR="00F774AF" w:rsidRPr="00231AB1">
              <w:rPr>
                <w:rFonts w:cstheme="minorHAnsi"/>
              </w:rPr>
              <w:t>of</w:t>
            </w:r>
            <w:r w:rsidRPr="00231AB1">
              <w:rPr>
                <w:rFonts w:cstheme="minorHAnsi"/>
              </w:rPr>
              <w:t xml:space="preserve"> $104.75. </w:t>
            </w:r>
          </w:p>
          <w:p w14:paraId="04E58770" w14:textId="71F12324" w:rsidR="00035CC7" w:rsidRPr="00231AB1" w:rsidRDefault="00035CC7" w:rsidP="00CC4E7F">
            <w:pPr>
              <w:pStyle w:val="Tabletext"/>
              <w:spacing w:before="0" w:after="0"/>
              <w:ind w:left="-57" w:right="-57"/>
              <w:rPr>
                <w:rFonts w:cstheme="minorHAnsi"/>
              </w:rPr>
            </w:pPr>
            <w:r w:rsidRPr="00231AB1">
              <w:rPr>
                <w:rFonts w:cstheme="minorHAnsi"/>
              </w:rPr>
              <w:t xml:space="preserve">Further clarification is required to confirm who will bear the </w:t>
            </w:r>
            <w:r w:rsidR="00955D48" w:rsidRPr="00231AB1">
              <w:rPr>
                <w:rFonts w:cstheme="minorHAnsi"/>
              </w:rPr>
              <w:t xml:space="preserve">additional </w:t>
            </w:r>
            <w:r w:rsidRPr="00231AB1">
              <w:rPr>
                <w:rFonts w:cstheme="minorHAnsi"/>
              </w:rPr>
              <w:t xml:space="preserve">cost.  </w:t>
            </w:r>
          </w:p>
        </w:tc>
        <w:tc>
          <w:tcPr>
            <w:tcW w:w="688" w:type="pct"/>
          </w:tcPr>
          <w:p w14:paraId="74898DC1" w14:textId="4839B674" w:rsidR="00035CC7" w:rsidRPr="00231AB1" w:rsidRDefault="00CA4847" w:rsidP="00CC4E7F">
            <w:pPr>
              <w:pStyle w:val="Tabletext"/>
              <w:spacing w:before="0" w:after="0"/>
              <w:ind w:left="-57" w:right="-57"/>
              <w:rPr>
                <w:rFonts w:cstheme="minorHAnsi"/>
              </w:rPr>
            </w:pPr>
            <w:r w:rsidRPr="00231AB1">
              <w:rPr>
                <w:rFonts w:cstheme="minorHAnsi"/>
              </w:rPr>
              <w:t xml:space="preserve">See </w:t>
            </w:r>
            <w:r w:rsidRPr="00231AB1">
              <w:rPr>
                <w:rFonts w:cstheme="minorHAnsi"/>
              </w:rPr>
              <w:fldChar w:fldCharType="begin"/>
            </w:r>
            <w:r w:rsidRPr="00231AB1">
              <w:rPr>
                <w:rFonts w:cstheme="minorHAnsi"/>
              </w:rPr>
              <w:instrText xml:space="preserve"> REF _Ref129165378 \h </w:instrText>
            </w:r>
            <w:r w:rsidR="00231AB1">
              <w:rPr>
                <w:rFonts w:cstheme="minorHAnsi"/>
              </w:rPr>
              <w:instrText xml:space="preserve"> \* MERGEFORMAT </w:instrText>
            </w:r>
            <w:r w:rsidRPr="00231AB1">
              <w:rPr>
                <w:rFonts w:cstheme="minorHAnsi"/>
              </w:rPr>
            </w:r>
            <w:r w:rsidRPr="00231AB1">
              <w:rPr>
                <w:rFonts w:cstheme="minorHAnsi"/>
              </w:rPr>
              <w:fldChar w:fldCharType="separate"/>
            </w:r>
            <w:r w:rsidR="00B65CEE" w:rsidRPr="00DE762F">
              <w:t>Proposal for public funding</w:t>
            </w:r>
            <w:r w:rsidRPr="00231AB1">
              <w:rPr>
                <w:rFonts w:cstheme="minorHAnsi"/>
              </w:rPr>
              <w:fldChar w:fldCharType="end"/>
            </w:r>
            <w:r w:rsidRPr="00231AB1">
              <w:rPr>
                <w:rFonts w:cstheme="minorHAnsi"/>
              </w:rPr>
              <w:t xml:space="preserve"> – </w:t>
            </w:r>
            <w:r w:rsidRPr="00231AB1">
              <w:rPr>
                <w:rFonts w:cstheme="minorHAnsi"/>
              </w:rPr>
              <w:fldChar w:fldCharType="begin"/>
            </w:r>
            <w:r w:rsidRPr="00231AB1">
              <w:rPr>
                <w:rFonts w:cstheme="minorHAnsi"/>
              </w:rPr>
              <w:instrText xml:space="preserve"> REF _Ref129165386 \h </w:instrText>
            </w:r>
            <w:r w:rsidR="00231AB1">
              <w:rPr>
                <w:rFonts w:cstheme="minorHAnsi"/>
              </w:rPr>
              <w:instrText xml:space="preserve"> \* MERGEFORMAT </w:instrText>
            </w:r>
            <w:r w:rsidRPr="00231AB1">
              <w:rPr>
                <w:rFonts w:cstheme="minorHAnsi"/>
              </w:rPr>
            </w:r>
            <w:r w:rsidRPr="00231AB1">
              <w:rPr>
                <w:rFonts w:cstheme="minorHAnsi"/>
              </w:rPr>
              <w:fldChar w:fldCharType="separate"/>
            </w:r>
            <w:r w:rsidR="00B65CEE">
              <w:t>Out of pocket costs</w:t>
            </w:r>
            <w:r w:rsidRPr="00231AB1">
              <w:rPr>
                <w:rFonts w:cstheme="minorHAnsi"/>
              </w:rPr>
              <w:fldChar w:fldCharType="end"/>
            </w:r>
          </w:p>
        </w:tc>
      </w:tr>
      <w:tr w:rsidR="00C82634" w:rsidRPr="00490FBB" w14:paraId="22EA62D0" w14:textId="77777777" w:rsidTr="009457A5">
        <w:tc>
          <w:tcPr>
            <w:tcW w:w="2014" w:type="pct"/>
          </w:tcPr>
          <w:p w14:paraId="4ED63C88" w14:textId="119DCED7" w:rsidR="00C82634" w:rsidRPr="00231AB1" w:rsidRDefault="00C82634" w:rsidP="00CC4E7F">
            <w:pPr>
              <w:pStyle w:val="Tabletext"/>
              <w:numPr>
                <w:ilvl w:val="0"/>
                <w:numId w:val="11"/>
              </w:numPr>
              <w:spacing w:before="0" w:after="0"/>
              <w:ind w:left="227" w:right="-57"/>
              <w:rPr>
                <w:rFonts w:eastAsiaTheme="minorHAnsi" w:cstheme="minorHAnsi"/>
              </w:rPr>
            </w:pPr>
            <w:r w:rsidRPr="00231AB1">
              <w:rPr>
                <w:rFonts w:eastAsiaTheme="minorHAnsi" w:cstheme="minorHAnsi"/>
              </w:rPr>
              <w:t>“MSAC noted that the main comparator for LANBs in any resubmission should be ‘no block’. However, MSAC noted that there may also be evidence that compares some nerve blocks to active comparators (</w:t>
            </w:r>
            <w:r w:rsidR="00635B00" w:rsidRPr="00231AB1">
              <w:rPr>
                <w:rFonts w:eastAsiaTheme="minorHAnsi" w:cstheme="minorHAnsi"/>
              </w:rPr>
              <w:t>e.g.,</w:t>
            </w:r>
            <w:r w:rsidRPr="00231AB1">
              <w:rPr>
                <w:rFonts w:eastAsiaTheme="minorHAnsi" w:cstheme="minorHAnsi"/>
              </w:rPr>
              <w:t xml:space="preserve"> local infiltration or joint infiltration associated with joint replacement surgery).” (p3)</w:t>
            </w:r>
          </w:p>
        </w:tc>
        <w:tc>
          <w:tcPr>
            <w:tcW w:w="2299" w:type="pct"/>
          </w:tcPr>
          <w:p w14:paraId="0BDD1410" w14:textId="722BFDC4" w:rsidR="00C82634" w:rsidRPr="00231AB1" w:rsidRDefault="00C82634" w:rsidP="00CC4E7F">
            <w:pPr>
              <w:pStyle w:val="Tabletext"/>
              <w:spacing w:before="0" w:after="0"/>
              <w:ind w:left="-57" w:right="-57"/>
              <w:rPr>
                <w:rFonts w:cstheme="minorHAnsi"/>
              </w:rPr>
            </w:pPr>
            <w:r w:rsidRPr="00231AB1">
              <w:rPr>
                <w:rFonts w:cstheme="minorHAnsi"/>
              </w:rPr>
              <w:t xml:space="preserve">Since </w:t>
            </w:r>
            <w:r w:rsidR="00BA633A">
              <w:rPr>
                <w:rFonts w:cstheme="minorHAnsi"/>
              </w:rPr>
              <w:t xml:space="preserve">MSAC consideration of </w:t>
            </w:r>
            <w:r w:rsidR="00F848DA">
              <w:rPr>
                <w:rFonts w:cstheme="minorHAnsi"/>
              </w:rPr>
              <w:t>A</w:t>
            </w:r>
            <w:r w:rsidR="00BA633A">
              <w:rPr>
                <w:rFonts w:cstheme="minorHAnsi"/>
              </w:rPr>
              <w:t xml:space="preserve">pplication </w:t>
            </w:r>
            <w:r w:rsidR="006A3AB9">
              <w:rPr>
                <w:rFonts w:cstheme="minorHAnsi"/>
              </w:rPr>
              <w:t>1308</w:t>
            </w:r>
            <w:r w:rsidRPr="00231AB1">
              <w:rPr>
                <w:rFonts w:cstheme="minorHAnsi"/>
              </w:rPr>
              <w:t xml:space="preserve">, item 22041 has been listed for ‘perioperative introduction of a plexus or nerve block proximal to the lower leg or forearm for post operative pain management’. The applicant has proposed this as the main comparator. </w:t>
            </w:r>
          </w:p>
        </w:tc>
        <w:tc>
          <w:tcPr>
            <w:tcW w:w="688" w:type="pct"/>
          </w:tcPr>
          <w:p w14:paraId="3B5765D5" w14:textId="3417F5F7" w:rsidR="00C82634" w:rsidRPr="00231AB1" w:rsidRDefault="00C82634" w:rsidP="00CC4E7F">
            <w:pPr>
              <w:pStyle w:val="Tabletext"/>
              <w:spacing w:before="0" w:after="0"/>
              <w:ind w:left="-57" w:right="-57"/>
              <w:rPr>
                <w:rFonts w:cstheme="minorHAnsi"/>
              </w:rPr>
            </w:pPr>
            <w:r w:rsidRPr="00231AB1">
              <w:rPr>
                <w:rFonts w:cstheme="minorHAnsi"/>
              </w:rPr>
              <w:t xml:space="preserve">See </w:t>
            </w:r>
            <w:r w:rsidRPr="00231AB1">
              <w:rPr>
                <w:rFonts w:cstheme="minorHAnsi"/>
              </w:rPr>
              <w:fldChar w:fldCharType="begin"/>
            </w:r>
            <w:r w:rsidRPr="00231AB1">
              <w:rPr>
                <w:rFonts w:cstheme="minorHAnsi"/>
              </w:rPr>
              <w:instrText xml:space="preserve"> REF _Ref129163426 \h </w:instrText>
            </w:r>
            <w:r w:rsidRPr="00231AB1">
              <w:rPr>
                <w:rFonts w:cstheme="minorHAnsi"/>
              </w:rPr>
            </w:r>
            <w:r w:rsidRPr="00231AB1">
              <w:rPr>
                <w:rFonts w:cstheme="minorHAnsi"/>
              </w:rPr>
              <w:fldChar w:fldCharType="separate"/>
            </w:r>
            <w:r w:rsidR="00B65CEE" w:rsidRPr="008F1532">
              <w:t>Comparator</w:t>
            </w:r>
            <w:r w:rsidR="00B65CEE">
              <w:t>(s)</w:t>
            </w:r>
            <w:r w:rsidRPr="00231AB1">
              <w:rPr>
                <w:rFonts w:cstheme="minorHAnsi"/>
              </w:rPr>
              <w:fldChar w:fldCharType="end"/>
            </w:r>
          </w:p>
        </w:tc>
      </w:tr>
      <w:tr w:rsidR="00D018D8" w:rsidRPr="00490FBB" w14:paraId="6DA83815" w14:textId="77777777" w:rsidTr="009457A5">
        <w:tc>
          <w:tcPr>
            <w:tcW w:w="2014" w:type="pct"/>
          </w:tcPr>
          <w:p w14:paraId="6DE62319" w14:textId="196F4967" w:rsidR="00D018D8" w:rsidRPr="00231AB1" w:rsidRDefault="0059040C" w:rsidP="00CC4E7F">
            <w:pPr>
              <w:pStyle w:val="Tabletext"/>
              <w:numPr>
                <w:ilvl w:val="0"/>
                <w:numId w:val="11"/>
              </w:numPr>
              <w:spacing w:before="0" w:after="0"/>
              <w:ind w:left="227" w:right="-57"/>
              <w:rPr>
                <w:rFonts w:cstheme="minorHAnsi"/>
              </w:rPr>
            </w:pPr>
            <w:r w:rsidRPr="00231AB1">
              <w:rPr>
                <w:rFonts w:cstheme="minorHAnsi"/>
              </w:rPr>
              <w:t>“</w:t>
            </w:r>
            <w:r w:rsidR="00D018D8" w:rsidRPr="00231AB1">
              <w:rPr>
                <w:rFonts w:cstheme="minorHAnsi"/>
              </w:rPr>
              <w:t>MSAC noted that information on other possible benefits of LANB, such as length of hospital stay, recovery time, post-surgical chronic pain and quality of life was either very limited or not presented. MSAC suggested that information on these outcomes, if available, may enable a cost-utility analysis to assist the committee’s decision making.</w:t>
            </w:r>
            <w:r w:rsidR="003E05F5" w:rsidRPr="00231AB1">
              <w:rPr>
                <w:rFonts w:cstheme="minorHAnsi"/>
              </w:rPr>
              <w:t>” (p2)</w:t>
            </w:r>
          </w:p>
        </w:tc>
        <w:tc>
          <w:tcPr>
            <w:tcW w:w="2299" w:type="pct"/>
          </w:tcPr>
          <w:p w14:paraId="30DD6940" w14:textId="3F1926BD" w:rsidR="00D018D8" w:rsidRPr="00231AB1" w:rsidRDefault="00B47C0B" w:rsidP="00CC4E7F">
            <w:pPr>
              <w:pStyle w:val="Tabletext"/>
              <w:spacing w:before="0" w:after="0"/>
              <w:ind w:left="-57" w:right="-57"/>
              <w:rPr>
                <w:rFonts w:cstheme="minorHAnsi"/>
              </w:rPr>
            </w:pPr>
            <w:r w:rsidRPr="00231AB1">
              <w:rPr>
                <w:rFonts w:cstheme="minorHAnsi"/>
              </w:rPr>
              <w:t xml:space="preserve">This </w:t>
            </w:r>
            <w:r w:rsidR="00666A19" w:rsidRPr="00231AB1">
              <w:rPr>
                <w:rFonts w:cstheme="minorHAnsi"/>
              </w:rPr>
              <w:t>proposed</w:t>
            </w:r>
            <w:r w:rsidRPr="00231AB1">
              <w:rPr>
                <w:rFonts w:cstheme="minorHAnsi"/>
              </w:rPr>
              <w:t xml:space="preserve"> </w:t>
            </w:r>
            <w:r w:rsidR="00AD2A55" w:rsidRPr="00231AB1">
              <w:rPr>
                <w:rFonts w:cstheme="minorHAnsi"/>
              </w:rPr>
              <w:t>superiority</w:t>
            </w:r>
            <w:r w:rsidR="00666A19" w:rsidRPr="00231AB1">
              <w:rPr>
                <w:rFonts w:cstheme="minorHAnsi"/>
              </w:rPr>
              <w:t xml:space="preserve"> claim</w:t>
            </w:r>
            <w:r w:rsidR="00AD2A55" w:rsidRPr="00231AB1">
              <w:rPr>
                <w:rFonts w:cstheme="minorHAnsi"/>
              </w:rPr>
              <w:t xml:space="preserve"> should</w:t>
            </w:r>
            <w:r w:rsidR="00666A19" w:rsidRPr="00231AB1">
              <w:rPr>
                <w:rFonts w:cstheme="minorHAnsi"/>
              </w:rPr>
              <w:t xml:space="preserve"> enable</w:t>
            </w:r>
            <w:r w:rsidR="00AD2A55" w:rsidRPr="00231AB1">
              <w:rPr>
                <w:rFonts w:cstheme="minorHAnsi"/>
              </w:rPr>
              <w:t xml:space="preserve"> an</w:t>
            </w:r>
            <w:r w:rsidR="00666A19" w:rsidRPr="00231AB1">
              <w:rPr>
                <w:rFonts w:cstheme="minorHAnsi"/>
              </w:rPr>
              <w:t xml:space="preserve"> evaluation based on duration of effect</w:t>
            </w:r>
            <w:r w:rsidR="00AD2A55" w:rsidRPr="00231AB1">
              <w:rPr>
                <w:rFonts w:cstheme="minorHAnsi"/>
              </w:rPr>
              <w:t>. O</w:t>
            </w:r>
            <w:r w:rsidR="00666A19" w:rsidRPr="00231AB1">
              <w:rPr>
                <w:rFonts w:cstheme="minorHAnsi"/>
              </w:rPr>
              <w:t>utcomes such as time to supplementary analgesia or opioid consumption</w:t>
            </w:r>
            <w:r w:rsidR="00AD2A55" w:rsidRPr="00231AB1">
              <w:rPr>
                <w:rFonts w:cstheme="minorHAnsi"/>
              </w:rPr>
              <w:t xml:space="preserve"> </w:t>
            </w:r>
            <w:r w:rsidR="00D535FE" w:rsidRPr="00231AB1">
              <w:rPr>
                <w:rFonts w:cstheme="minorHAnsi"/>
              </w:rPr>
              <w:t>– depending on the evidence – should</w:t>
            </w:r>
            <w:r w:rsidR="00AD2A55" w:rsidRPr="00231AB1">
              <w:rPr>
                <w:rFonts w:cstheme="minorHAnsi"/>
              </w:rPr>
              <w:t xml:space="preserve"> enable a cost-utility</w:t>
            </w:r>
            <w:r w:rsidR="00D535FE" w:rsidRPr="00231AB1">
              <w:rPr>
                <w:rFonts w:cstheme="minorHAnsi"/>
              </w:rPr>
              <w:t xml:space="preserve"> analysis in line with the MSAC comments. </w:t>
            </w:r>
          </w:p>
        </w:tc>
        <w:tc>
          <w:tcPr>
            <w:tcW w:w="688" w:type="pct"/>
          </w:tcPr>
          <w:p w14:paraId="391B76C5" w14:textId="41937075" w:rsidR="00D018D8" w:rsidRPr="00231AB1" w:rsidRDefault="00D535FE" w:rsidP="00CC4E7F">
            <w:pPr>
              <w:pStyle w:val="Tabletext"/>
              <w:spacing w:before="0" w:after="0"/>
              <w:ind w:left="-57" w:right="-57"/>
              <w:rPr>
                <w:rFonts w:cstheme="minorHAnsi"/>
              </w:rPr>
            </w:pPr>
            <w:r w:rsidRPr="00231AB1">
              <w:rPr>
                <w:rFonts w:cstheme="minorHAnsi"/>
              </w:rPr>
              <w:t xml:space="preserve">See </w:t>
            </w:r>
            <w:r w:rsidRPr="00231AB1">
              <w:rPr>
                <w:rFonts w:cstheme="minorHAnsi"/>
              </w:rPr>
              <w:fldChar w:fldCharType="begin"/>
            </w:r>
            <w:r w:rsidRPr="00231AB1">
              <w:rPr>
                <w:rFonts w:cstheme="minorHAnsi"/>
              </w:rPr>
              <w:instrText xml:space="preserve"> REF _Ref129165897 \h </w:instrText>
            </w:r>
            <w:r w:rsidR="00231AB1">
              <w:rPr>
                <w:rFonts w:cstheme="minorHAnsi"/>
              </w:rPr>
              <w:instrText xml:space="preserve"> \* MERGEFORMAT </w:instrText>
            </w:r>
            <w:r w:rsidRPr="00231AB1">
              <w:rPr>
                <w:rFonts w:cstheme="minorHAnsi"/>
              </w:rPr>
            </w:r>
            <w:r w:rsidRPr="00231AB1">
              <w:rPr>
                <w:rFonts w:cstheme="minorHAnsi"/>
              </w:rPr>
              <w:fldChar w:fldCharType="separate"/>
            </w:r>
            <w:r w:rsidR="00B65CEE" w:rsidRPr="008F1532">
              <w:t>Outcomes</w:t>
            </w:r>
            <w:r w:rsidRPr="00231AB1">
              <w:rPr>
                <w:rFonts w:cstheme="minorHAnsi"/>
              </w:rPr>
              <w:fldChar w:fldCharType="end"/>
            </w:r>
            <w:r w:rsidRPr="00231AB1">
              <w:rPr>
                <w:rFonts w:cstheme="minorHAnsi"/>
              </w:rPr>
              <w:t xml:space="preserve">, and </w:t>
            </w:r>
            <w:r w:rsidR="008F2484">
              <w:rPr>
                <w:rFonts w:cstheme="minorHAnsi"/>
              </w:rPr>
              <w:fldChar w:fldCharType="begin"/>
            </w:r>
            <w:r w:rsidR="008F2484">
              <w:rPr>
                <w:rFonts w:cstheme="minorHAnsi"/>
              </w:rPr>
              <w:instrText xml:space="preserve"> REF _Ref129179510 \h </w:instrText>
            </w:r>
            <w:r w:rsidR="008F2484">
              <w:rPr>
                <w:rFonts w:cstheme="minorHAnsi"/>
              </w:rPr>
            </w:r>
            <w:r w:rsidR="008F2484">
              <w:rPr>
                <w:rFonts w:cstheme="minorHAnsi"/>
              </w:rPr>
              <w:fldChar w:fldCharType="separate"/>
            </w:r>
            <w:r w:rsidR="00B65CEE" w:rsidRPr="00490FBB">
              <w:t>Proposed economic evaluation</w:t>
            </w:r>
            <w:r w:rsidR="008F2484">
              <w:rPr>
                <w:rFonts w:cstheme="minorHAnsi"/>
              </w:rPr>
              <w:fldChar w:fldCharType="end"/>
            </w:r>
          </w:p>
        </w:tc>
      </w:tr>
    </w:tbl>
    <w:p w14:paraId="3074BBE7" w14:textId="49A8A0D7" w:rsidR="00021293" w:rsidRDefault="000517F1" w:rsidP="00B71C02">
      <w:pPr>
        <w:pStyle w:val="Tablenotes"/>
        <w:jc w:val="left"/>
      </w:pPr>
      <w:r>
        <w:t xml:space="preserve">Source: </w:t>
      </w:r>
      <w:r w:rsidR="00D14A8D">
        <w:t>MSAC Public Summary Document</w:t>
      </w:r>
      <w:r w:rsidR="007A24DC">
        <w:t xml:space="preserve"> </w:t>
      </w:r>
      <w:r w:rsidR="003D0CB3">
        <w:t xml:space="preserve">Application </w:t>
      </w:r>
      <w:r w:rsidR="007A24DC">
        <w:t>1308 (C</w:t>
      </w:r>
      <w:r w:rsidR="00C21AA0">
        <w:t xml:space="preserve">ontracted </w:t>
      </w:r>
      <w:r w:rsidR="007A24DC">
        <w:t>A</w:t>
      </w:r>
      <w:r w:rsidR="00C21AA0">
        <w:t>ssessment</w:t>
      </w:r>
      <w:r w:rsidR="007A24DC">
        <w:t>) - Local anaesthetic (LA) nerve blockade for post-surgical analgesia</w:t>
      </w:r>
      <w:r w:rsidR="00627C92">
        <w:t>. MSAC meeting 6-7 April 2017</w:t>
      </w:r>
      <w:r w:rsidR="006524AE">
        <w:t xml:space="preserve">; </w:t>
      </w:r>
      <w:r w:rsidR="00CC2D77">
        <w:t xml:space="preserve">MSAC </w:t>
      </w:r>
      <w:r w:rsidR="00553227">
        <w:t>A</w:t>
      </w:r>
      <w:r w:rsidR="00CC2D77">
        <w:t>pplication</w:t>
      </w:r>
      <w:r w:rsidR="00CC2D77" w:rsidRPr="00CC2D77">
        <w:t xml:space="preserve"> </w:t>
      </w:r>
      <w:r w:rsidR="0057180C">
        <w:t>1741</w:t>
      </w:r>
      <w:r w:rsidR="00CC2D77">
        <w:t xml:space="preserve">- Continuous nerve blockade using </w:t>
      </w:r>
      <w:r w:rsidR="00401394" w:rsidRPr="00401394">
        <w:t>catheter technique</w:t>
      </w:r>
      <w:r w:rsidR="004870E1">
        <w:t>.</w:t>
      </w:r>
      <w:r w:rsidR="005C5E89">
        <w:br/>
      </w:r>
      <w:r w:rsidR="00FB2DAA">
        <w:t>cPVB</w:t>
      </w:r>
      <w:r w:rsidR="00086A2C">
        <w:t>=</w:t>
      </w:r>
      <w:r w:rsidR="00FB2DAA">
        <w:t xml:space="preserve">continuous paravertebral block; </w:t>
      </w:r>
      <w:r w:rsidR="00B33B1C">
        <w:t>ESC</w:t>
      </w:r>
      <w:r w:rsidR="00086A2C">
        <w:t>=</w:t>
      </w:r>
      <w:r w:rsidR="00B33B1C">
        <w:t xml:space="preserve">Evaluation Sub-committee; </w:t>
      </w:r>
      <w:r w:rsidR="00651255">
        <w:t>LANB</w:t>
      </w:r>
      <w:r w:rsidR="00086A2C">
        <w:t>=</w:t>
      </w:r>
      <w:r w:rsidR="00651255">
        <w:t xml:space="preserve">local anaesthetic </w:t>
      </w:r>
      <w:r w:rsidR="003B7B75">
        <w:t xml:space="preserve">peripheral </w:t>
      </w:r>
      <w:r w:rsidR="00651255">
        <w:t>nerve block</w:t>
      </w:r>
      <w:r w:rsidR="003D36FD">
        <w:t xml:space="preserve">; </w:t>
      </w:r>
      <w:r w:rsidR="00077255">
        <w:t>MBS</w:t>
      </w:r>
      <w:r w:rsidR="00086A2C">
        <w:t>=</w:t>
      </w:r>
      <w:r w:rsidR="00077255">
        <w:t xml:space="preserve">Medicare Benefits Schedule; </w:t>
      </w:r>
      <w:r w:rsidR="003D36FD">
        <w:t>MSAC</w:t>
      </w:r>
      <w:r w:rsidR="00086A2C">
        <w:t>=</w:t>
      </w:r>
      <w:r w:rsidR="003D36FD">
        <w:t xml:space="preserve">Medical Services Advisory Committee; </w:t>
      </w:r>
      <w:r w:rsidR="00102EDF">
        <w:t>PVB</w:t>
      </w:r>
      <w:r w:rsidR="00086A2C">
        <w:t>=</w:t>
      </w:r>
      <w:r w:rsidR="00102EDF">
        <w:t xml:space="preserve">paravertebral block; </w:t>
      </w:r>
      <w:r w:rsidR="00670FF3">
        <w:t>TAP</w:t>
      </w:r>
      <w:r w:rsidR="00086A2C">
        <w:t>=</w:t>
      </w:r>
      <w:r w:rsidR="00670FF3">
        <w:t>transversus abdominus plane block</w:t>
      </w:r>
      <w:r w:rsidR="00FB2DAA">
        <w:t>.</w:t>
      </w:r>
    </w:p>
    <w:p w14:paraId="44979142" w14:textId="15EEEE11" w:rsidR="00021293" w:rsidRPr="000517F1" w:rsidRDefault="00021293" w:rsidP="00AA52CD">
      <w:pPr>
        <w:pStyle w:val="Tablenotes"/>
        <w:sectPr w:rsidR="00021293" w:rsidRPr="000517F1" w:rsidSect="00AA52CD">
          <w:pgSz w:w="16838" w:h="11906" w:orient="landscape"/>
          <w:pgMar w:top="1191" w:right="682" w:bottom="1134" w:left="1021" w:header="709" w:footer="709" w:gutter="0"/>
          <w:cols w:space="708"/>
          <w:docGrid w:linePitch="360"/>
        </w:sectPr>
      </w:pPr>
    </w:p>
    <w:p w14:paraId="18E66948" w14:textId="0A567FD1" w:rsidR="00D73332" w:rsidRPr="00FD4C65" w:rsidRDefault="00D73332" w:rsidP="00FD4C65">
      <w:pPr>
        <w:pStyle w:val="Heading2"/>
      </w:pPr>
      <w:r w:rsidRPr="00FD4C65">
        <w:lastRenderedPageBreak/>
        <w:t xml:space="preserve">PICO </w:t>
      </w:r>
      <w:r w:rsidR="00FD4E33" w:rsidRPr="00FD4C65">
        <w:t xml:space="preserve">criteria </w:t>
      </w:r>
    </w:p>
    <w:p w14:paraId="06B30611" w14:textId="7453489A" w:rsidR="00413B5B" w:rsidRPr="00713728" w:rsidRDefault="00413B5B" w:rsidP="00413B5B">
      <w:pPr>
        <w:pStyle w:val="Heading3"/>
      </w:pPr>
      <w:bookmarkStart w:id="8" w:name="_Ref127782800"/>
      <w:r w:rsidRPr="00713728">
        <w:t>Population</w:t>
      </w:r>
      <w:bookmarkEnd w:id="8"/>
    </w:p>
    <w:p w14:paraId="3DDF11BF" w14:textId="3C27B5EC" w:rsidR="00413B5B" w:rsidRPr="00713728" w:rsidRDefault="00592D76" w:rsidP="00413B5B">
      <w:pPr>
        <w:pStyle w:val="Heading4"/>
      </w:pPr>
      <w:r>
        <w:t>Surgical indications</w:t>
      </w:r>
    </w:p>
    <w:p w14:paraId="61293806" w14:textId="3F57CD37" w:rsidR="00D52226" w:rsidRDefault="00962B6A" w:rsidP="00D52226">
      <w:r>
        <w:t>The proposed item is for c</w:t>
      </w:r>
      <w:r w:rsidR="00BE5225">
        <w:t>ontinuous</w:t>
      </w:r>
      <w:r w:rsidR="002A5D4B">
        <w:t xml:space="preserve"> peripheral</w:t>
      </w:r>
      <w:r w:rsidR="00BE5225">
        <w:t xml:space="preserve"> nerve block in patients undergoing surgery </w:t>
      </w:r>
      <w:r w:rsidR="002E75AF">
        <w:t>associated with moderate to severe post</w:t>
      </w:r>
      <w:r w:rsidR="00C01C10">
        <w:t>operative</w:t>
      </w:r>
      <w:r w:rsidR="002E75AF">
        <w:t xml:space="preserve"> pain</w:t>
      </w:r>
      <w:r w:rsidR="00246677">
        <w:t xml:space="preserve"> where the duration of pain </w:t>
      </w:r>
      <w:r w:rsidR="00894603">
        <w:t>is expected to</w:t>
      </w:r>
      <w:r w:rsidR="00413089">
        <w:t xml:space="preserve"> </w:t>
      </w:r>
      <w:r w:rsidR="00F6138E">
        <w:t>excee</w:t>
      </w:r>
      <w:r w:rsidR="00F30102">
        <w:t>d</w:t>
      </w:r>
      <w:r w:rsidR="00F6138E">
        <w:t xml:space="preserve"> the </w:t>
      </w:r>
      <w:r w:rsidR="00A7044D">
        <w:t>duration of a single injection nerve block (</w:t>
      </w:r>
      <w:r w:rsidR="00D477B6">
        <w:t>maximum 12</w:t>
      </w:r>
      <w:r w:rsidR="00A7044D">
        <w:t xml:space="preserve"> hours)</w:t>
      </w:r>
      <w:r w:rsidR="002E75AF">
        <w:t xml:space="preserve">. </w:t>
      </w:r>
      <w:r w:rsidR="00D52226">
        <w:t xml:space="preserve">The applicant has cited indications for the proposed item in </w:t>
      </w:r>
      <w:r w:rsidR="00D52226">
        <w:fldChar w:fldCharType="begin"/>
      </w:r>
      <w:r w:rsidR="00D52226">
        <w:instrText xml:space="preserve"> REF _Ref126674471 \h </w:instrText>
      </w:r>
      <w:r w:rsidR="00D52226">
        <w:fldChar w:fldCharType="separate"/>
      </w:r>
      <w:r w:rsidR="00B65CEE" w:rsidRPr="00BB2E4B">
        <w:t>Table </w:t>
      </w:r>
      <w:r w:rsidR="00B65CEE">
        <w:rPr>
          <w:noProof/>
        </w:rPr>
        <w:t>5</w:t>
      </w:r>
      <w:r w:rsidR="00D52226">
        <w:fldChar w:fldCharType="end"/>
      </w:r>
      <w:r w:rsidR="00B054E2">
        <w:t xml:space="preserve"> – these represent patient groups where post</w:t>
      </w:r>
      <w:r w:rsidR="00C01C10">
        <w:t>operative</w:t>
      </w:r>
      <w:r w:rsidR="00B054E2">
        <w:t xml:space="preserve"> pain is typically more than can be managed by </w:t>
      </w:r>
      <w:r w:rsidR="004330CF">
        <w:t>single injection nerve block</w:t>
      </w:r>
      <w:r w:rsidR="00D52226">
        <w:t xml:space="preserve">.  </w:t>
      </w:r>
    </w:p>
    <w:p w14:paraId="73B930EE" w14:textId="7FD3E5D7" w:rsidR="00CB0041" w:rsidRPr="00BB2E4B" w:rsidRDefault="00CB0041" w:rsidP="00BB2E4B">
      <w:pPr>
        <w:pStyle w:val="TableHeading"/>
      </w:pPr>
      <w:bookmarkStart w:id="9" w:name="_Ref126674471"/>
      <w:r w:rsidRPr="00BB2E4B">
        <w:t>Table </w:t>
      </w:r>
      <w:r>
        <w:fldChar w:fldCharType="begin"/>
      </w:r>
      <w:r>
        <w:instrText>SEQ Table \* ARABIC</w:instrText>
      </w:r>
      <w:r>
        <w:fldChar w:fldCharType="separate"/>
      </w:r>
      <w:r w:rsidR="00B65CEE">
        <w:rPr>
          <w:noProof/>
        </w:rPr>
        <w:t>5</w:t>
      </w:r>
      <w:r>
        <w:fldChar w:fldCharType="end"/>
      </w:r>
      <w:bookmarkEnd w:id="9"/>
      <w:r w:rsidRPr="00BB2E4B">
        <w:tab/>
      </w:r>
      <w:r w:rsidR="00362FC4" w:rsidRPr="00BB2E4B">
        <w:t>List of t</w:t>
      </w:r>
      <w:r w:rsidR="007A406D" w:rsidRPr="00BB2E4B">
        <w:t xml:space="preserve">ypical </w:t>
      </w:r>
      <w:r w:rsidR="0050257B">
        <w:t>surgeries</w:t>
      </w:r>
      <w:r w:rsidR="00362FC4" w:rsidRPr="00BB2E4B">
        <w:t xml:space="preserve"> for the proposed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List of typical surgeries for the proposed item"/>
        <w:tblDescription w:val="The table lists the types of surgeries that could be undertaken and specific examples of each."/>
      </w:tblPr>
      <w:tblGrid>
        <w:gridCol w:w="3145"/>
        <w:gridCol w:w="6426"/>
      </w:tblGrid>
      <w:tr w:rsidR="00906ED2" w:rsidRPr="00490FBB" w14:paraId="3833F51D" w14:textId="77777777" w:rsidTr="1CC05B93">
        <w:trPr>
          <w:tblHeader/>
        </w:trPr>
        <w:tc>
          <w:tcPr>
            <w:tcW w:w="1643" w:type="pct"/>
          </w:tcPr>
          <w:p w14:paraId="3C8D8906" w14:textId="77777777" w:rsidR="0005300C" w:rsidRPr="00490FBB" w:rsidRDefault="0005300C" w:rsidP="00E4384F">
            <w:pPr>
              <w:pStyle w:val="TableHeading"/>
              <w:spacing w:before="0"/>
              <w:ind w:left="-57" w:right="-57"/>
            </w:pPr>
            <w:r>
              <w:t>Indication / Discipline</w:t>
            </w:r>
          </w:p>
        </w:tc>
        <w:tc>
          <w:tcPr>
            <w:tcW w:w="3357" w:type="pct"/>
          </w:tcPr>
          <w:p w14:paraId="1CCE7A3B" w14:textId="77777777" w:rsidR="0005300C" w:rsidRPr="00490FBB" w:rsidRDefault="0005300C" w:rsidP="00E4384F">
            <w:pPr>
              <w:pStyle w:val="TableHeading"/>
              <w:spacing w:before="0"/>
              <w:ind w:left="-57" w:right="-57"/>
              <w:jc w:val="center"/>
            </w:pPr>
            <w:r>
              <w:t>Surgical Examples</w:t>
            </w:r>
          </w:p>
        </w:tc>
      </w:tr>
      <w:tr w:rsidR="00906ED2" w:rsidRPr="00490FBB" w14:paraId="23FEFF7E" w14:textId="77777777" w:rsidTr="1CC05B93">
        <w:tc>
          <w:tcPr>
            <w:tcW w:w="1643" w:type="pct"/>
            <w:vAlign w:val="center"/>
          </w:tcPr>
          <w:p w14:paraId="3C4F1E8B" w14:textId="77777777" w:rsidR="0005300C" w:rsidRPr="00E054C5" w:rsidRDefault="0005300C" w:rsidP="00E4384F">
            <w:pPr>
              <w:pStyle w:val="TableText0"/>
              <w:spacing w:before="0"/>
              <w:ind w:left="-57" w:right="-57"/>
              <w:contextualSpacing/>
            </w:pPr>
            <w:r w:rsidRPr="00E054C5">
              <w:t>Joint replacement surgery</w:t>
            </w:r>
          </w:p>
        </w:tc>
        <w:tc>
          <w:tcPr>
            <w:tcW w:w="3357" w:type="pct"/>
            <w:vAlign w:val="center"/>
          </w:tcPr>
          <w:p w14:paraId="42539F80" w14:textId="77777777" w:rsidR="0005300C" w:rsidRPr="00E054C5" w:rsidRDefault="0005300C" w:rsidP="00E4384F">
            <w:pPr>
              <w:pStyle w:val="TableText0"/>
              <w:spacing w:before="0"/>
              <w:ind w:left="-57" w:right="-57"/>
              <w:contextualSpacing/>
            </w:pPr>
            <w:r w:rsidRPr="00E054C5">
              <w:t>Total knee replacement</w:t>
            </w:r>
          </w:p>
          <w:p w14:paraId="1D1AC5A6" w14:textId="77777777" w:rsidR="0005300C" w:rsidRPr="00E054C5" w:rsidRDefault="0005300C" w:rsidP="00E4384F">
            <w:pPr>
              <w:pStyle w:val="TableText0"/>
              <w:spacing w:before="0"/>
              <w:ind w:left="-57" w:right="-57"/>
              <w:contextualSpacing/>
            </w:pPr>
            <w:r w:rsidRPr="00E054C5">
              <w:t>Total shoulder replacement</w:t>
            </w:r>
          </w:p>
          <w:p w14:paraId="4466813F" w14:textId="77777777" w:rsidR="009710F4" w:rsidRPr="00E054C5" w:rsidRDefault="009710F4" w:rsidP="00E4384F">
            <w:pPr>
              <w:pStyle w:val="TableText0"/>
              <w:spacing w:before="0"/>
              <w:ind w:left="-57" w:right="-57"/>
              <w:contextualSpacing/>
            </w:pPr>
            <w:r w:rsidRPr="00E054C5">
              <w:t>Total hip replacement</w:t>
            </w:r>
          </w:p>
          <w:p w14:paraId="4F68C288" w14:textId="0B4D751D" w:rsidR="00F7103E" w:rsidRPr="00E054C5" w:rsidRDefault="00F7103E" w:rsidP="00E4384F">
            <w:pPr>
              <w:pStyle w:val="TableText0"/>
              <w:ind w:left="-57" w:right="-57"/>
              <w:contextualSpacing/>
            </w:pPr>
            <w:r w:rsidRPr="00E054C5">
              <w:t xml:space="preserve">Elbow joint replacement  </w:t>
            </w:r>
          </w:p>
          <w:p w14:paraId="271D241C" w14:textId="00FBBCE4" w:rsidR="00F7103E" w:rsidRPr="00E054C5" w:rsidRDefault="00F7103E" w:rsidP="00E4384F">
            <w:pPr>
              <w:pStyle w:val="TableText0"/>
              <w:spacing w:before="0"/>
              <w:ind w:left="-57" w:right="-57"/>
              <w:contextualSpacing/>
            </w:pPr>
            <w:r w:rsidRPr="00E054C5">
              <w:t>Wrist / ankle joint replacement</w:t>
            </w:r>
          </w:p>
        </w:tc>
      </w:tr>
      <w:tr w:rsidR="00906ED2" w:rsidRPr="00490FBB" w14:paraId="4A443BA8" w14:textId="77777777" w:rsidTr="1CC05B93">
        <w:tc>
          <w:tcPr>
            <w:tcW w:w="1643" w:type="pct"/>
            <w:vAlign w:val="center"/>
          </w:tcPr>
          <w:p w14:paraId="089C5CE5" w14:textId="299509AB" w:rsidR="0005300C" w:rsidRPr="00E054C5" w:rsidRDefault="0005300C" w:rsidP="00E4384F">
            <w:pPr>
              <w:pStyle w:val="TableText0"/>
              <w:spacing w:before="0"/>
              <w:ind w:left="-57" w:right="-57"/>
              <w:contextualSpacing/>
            </w:pPr>
            <w:r w:rsidRPr="00E054C5">
              <w:t xml:space="preserve">Upper limb surgery </w:t>
            </w:r>
          </w:p>
        </w:tc>
        <w:tc>
          <w:tcPr>
            <w:tcW w:w="3357" w:type="pct"/>
            <w:vAlign w:val="center"/>
          </w:tcPr>
          <w:p w14:paraId="0992A922" w14:textId="484FAD30" w:rsidR="003D08A0" w:rsidRPr="00E054C5" w:rsidRDefault="0005300C" w:rsidP="00E4384F">
            <w:pPr>
              <w:pStyle w:val="TableText0"/>
              <w:ind w:left="-57" w:right="-57"/>
              <w:contextualSpacing/>
            </w:pPr>
            <w:r w:rsidRPr="00E054C5">
              <w:t>Rotator cuff repair</w:t>
            </w:r>
            <w:r w:rsidR="003D08A0" w:rsidRPr="00E054C5">
              <w:t xml:space="preserve"> / reconstruction  </w:t>
            </w:r>
          </w:p>
          <w:p w14:paraId="781296C7" w14:textId="38DCEC09" w:rsidR="003D08A0" w:rsidRPr="00E054C5" w:rsidRDefault="003D08A0" w:rsidP="00E4384F">
            <w:pPr>
              <w:pStyle w:val="TableText0"/>
              <w:ind w:left="-57" w:right="-57"/>
              <w:contextualSpacing/>
            </w:pPr>
            <w:r w:rsidRPr="00E054C5">
              <w:t xml:space="preserve">Major elbow arthroscopic surgery </w:t>
            </w:r>
            <w:r w:rsidR="009372BD" w:rsidRPr="00DE439E">
              <w:rPr>
                <w:i/>
                <w:iCs/>
              </w:rPr>
              <w:t>(m</w:t>
            </w:r>
            <w:r w:rsidR="009372BD" w:rsidRPr="001C6AE7">
              <w:rPr>
                <w:i/>
                <w:iCs/>
              </w:rPr>
              <w:t>ore likely to be ambulatory surgery patients</w:t>
            </w:r>
            <w:r w:rsidR="009372BD">
              <w:rPr>
                <w:i/>
                <w:iCs/>
              </w:rPr>
              <w:t>)</w:t>
            </w:r>
          </w:p>
          <w:p w14:paraId="71A461AE" w14:textId="3CE558AE" w:rsidR="0005300C" w:rsidRPr="00E054C5" w:rsidRDefault="003D08A0" w:rsidP="00E4384F">
            <w:pPr>
              <w:pStyle w:val="TableText0"/>
              <w:spacing w:before="0"/>
              <w:ind w:left="-57" w:right="-57"/>
              <w:contextualSpacing/>
            </w:pPr>
            <w:r w:rsidRPr="00E054C5">
              <w:t>Contracture release</w:t>
            </w:r>
          </w:p>
        </w:tc>
      </w:tr>
      <w:tr w:rsidR="00906ED2" w:rsidRPr="00490FBB" w14:paraId="32ADA949" w14:textId="77777777" w:rsidTr="1CC05B93">
        <w:tc>
          <w:tcPr>
            <w:tcW w:w="1643" w:type="pct"/>
            <w:vAlign w:val="center"/>
          </w:tcPr>
          <w:p w14:paraId="36B18827" w14:textId="66412F47" w:rsidR="0005300C" w:rsidRPr="00E054C5" w:rsidRDefault="0005300C" w:rsidP="00E4384F">
            <w:pPr>
              <w:pStyle w:val="TableText0"/>
              <w:spacing w:before="0"/>
              <w:ind w:left="-57" w:right="-57"/>
              <w:contextualSpacing/>
            </w:pPr>
            <w:r w:rsidRPr="00E054C5">
              <w:t xml:space="preserve">Lower limb surgery </w:t>
            </w:r>
          </w:p>
        </w:tc>
        <w:tc>
          <w:tcPr>
            <w:tcW w:w="3357" w:type="pct"/>
            <w:vAlign w:val="center"/>
          </w:tcPr>
          <w:p w14:paraId="7BD125E6" w14:textId="77777777" w:rsidR="003B5254" w:rsidRPr="00E054C5" w:rsidRDefault="003B5254" w:rsidP="00E4384F">
            <w:pPr>
              <w:pStyle w:val="TableText0"/>
              <w:spacing w:before="0"/>
              <w:ind w:left="-57" w:right="-57"/>
              <w:contextualSpacing/>
            </w:pPr>
            <w:r w:rsidRPr="00E054C5">
              <w:t>Anterior cruciate ligament repair</w:t>
            </w:r>
          </w:p>
          <w:p w14:paraId="53C11E21" w14:textId="41E3E8DC" w:rsidR="0005300C" w:rsidRPr="00E054C5" w:rsidRDefault="003B5254" w:rsidP="00E4384F">
            <w:pPr>
              <w:pStyle w:val="TableText0"/>
              <w:spacing w:before="0"/>
              <w:ind w:left="-57" w:right="-57"/>
              <w:contextualSpacing/>
            </w:pPr>
            <w:r w:rsidRPr="00E054C5">
              <w:t xml:space="preserve">Major foot and ankle surgery </w:t>
            </w:r>
          </w:p>
        </w:tc>
      </w:tr>
      <w:tr w:rsidR="00906ED2" w:rsidRPr="00490FBB" w14:paraId="4E81F56D" w14:textId="77777777" w:rsidTr="1CC05B93">
        <w:tc>
          <w:tcPr>
            <w:tcW w:w="1643" w:type="pct"/>
            <w:vAlign w:val="center"/>
          </w:tcPr>
          <w:p w14:paraId="369564B9" w14:textId="77777777" w:rsidR="00EB1297" w:rsidRPr="00E054C5" w:rsidRDefault="00EB1297" w:rsidP="00E4384F">
            <w:pPr>
              <w:pStyle w:val="TableText0"/>
              <w:spacing w:before="0"/>
              <w:ind w:left="-57" w:right="-57"/>
              <w:contextualSpacing/>
            </w:pPr>
            <w:r>
              <w:t>Thoracic surgery</w:t>
            </w:r>
          </w:p>
        </w:tc>
        <w:tc>
          <w:tcPr>
            <w:tcW w:w="3357" w:type="pct"/>
            <w:vAlign w:val="center"/>
          </w:tcPr>
          <w:p w14:paraId="414574A9" w14:textId="539B8FD8" w:rsidR="007F38F4" w:rsidRDefault="00EB1297" w:rsidP="00BC3967">
            <w:pPr>
              <w:pStyle w:val="TableText0"/>
              <w:ind w:left="-57" w:right="-57"/>
              <w:contextualSpacing/>
            </w:pPr>
            <w:r w:rsidRPr="00E054C5">
              <w:t>Cardiothoracic procedures</w:t>
            </w:r>
            <w:r w:rsidR="007F38F4">
              <w:t>:</w:t>
            </w:r>
          </w:p>
          <w:p w14:paraId="3F5F1E45" w14:textId="77777777" w:rsidR="007F38F4" w:rsidRDefault="007F38F4" w:rsidP="00BC3967">
            <w:pPr>
              <w:pStyle w:val="TableText0"/>
              <w:ind w:left="-57" w:right="-57"/>
              <w:contextualSpacing/>
            </w:pPr>
            <w:r>
              <w:t>S</w:t>
            </w:r>
            <w:r w:rsidR="00EB1297" w:rsidRPr="00E054C5">
              <w:t xml:space="preserve">ternotomy, </w:t>
            </w:r>
          </w:p>
          <w:p w14:paraId="1C45D524" w14:textId="404B970F" w:rsidR="00EB1297" w:rsidRPr="00E054C5" w:rsidRDefault="007F38F4" w:rsidP="00BC3967">
            <w:pPr>
              <w:pStyle w:val="TableText0"/>
              <w:ind w:left="-57" w:right="-57"/>
              <w:contextualSpacing/>
            </w:pPr>
            <w:r>
              <w:t>O</w:t>
            </w:r>
            <w:r w:rsidR="00EB1297" w:rsidRPr="00E054C5">
              <w:t>ff-pump CABG</w:t>
            </w:r>
          </w:p>
          <w:p w14:paraId="7478C131" w14:textId="77777777" w:rsidR="007F38F4" w:rsidRDefault="00EB1297" w:rsidP="00BC3967">
            <w:pPr>
              <w:pStyle w:val="TableText0"/>
              <w:ind w:left="-57" w:right="-57"/>
              <w:contextualSpacing/>
            </w:pPr>
            <w:r w:rsidRPr="00E054C5">
              <w:t>Thoracotomy</w:t>
            </w:r>
          </w:p>
          <w:p w14:paraId="3E0E87F1" w14:textId="57987048" w:rsidR="00EB1297" w:rsidRPr="00E054C5" w:rsidRDefault="007F38F4" w:rsidP="00BC3967">
            <w:pPr>
              <w:pStyle w:val="TableText0"/>
              <w:ind w:left="-57" w:right="-57"/>
              <w:contextualSpacing/>
            </w:pPr>
            <w:r>
              <w:t>T</w:t>
            </w:r>
            <w:r w:rsidR="00EB1297" w:rsidRPr="00E054C5">
              <w:t>horacoscopy</w:t>
            </w:r>
          </w:p>
        </w:tc>
      </w:tr>
      <w:tr w:rsidR="0072623D" w:rsidRPr="00490FBB" w14:paraId="781FDABF" w14:textId="77777777" w:rsidTr="1CC05B93">
        <w:tc>
          <w:tcPr>
            <w:tcW w:w="1643" w:type="pct"/>
            <w:vAlign w:val="center"/>
          </w:tcPr>
          <w:p w14:paraId="182E5F76" w14:textId="07E8A0BE" w:rsidR="007E5F22" w:rsidRPr="00E054C5" w:rsidRDefault="007E5F22" w:rsidP="00E4384F">
            <w:pPr>
              <w:pStyle w:val="TableText0"/>
              <w:spacing w:before="0"/>
              <w:ind w:left="-57" w:right="-57"/>
              <w:contextualSpacing/>
            </w:pPr>
            <w:r>
              <w:t>Abdominal surgery</w:t>
            </w:r>
          </w:p>
        </w:tc>
        <w:tc>
          <w:tcPr>
            <w:tcW w:w="3357" w:type="pct"/>
            <w:vAlign w:val="center"/>
          </w:tcPr>
          <w:p w14:paraId="037EF9C9" w14:textId="77777777" w:rsidR="007E5F22" w:rsidRDefault="008762CF" w:rsidP="00E4384F">
            <w:pPr>
              <w:pStyle w:val="TableText0"/>
              <w:ind w:left="-57" w:right="-57"/>
              <w:contextualSpacing/>
            </w:pPr>
            <w:r>
              <w:t>Open abdominal procedures</w:t>
            </w:r>
          </w:p>
          <w:p w14:paraId="60621916" w14:textId="77777777" w:rsidR="008762CF" w:rsidRDefault="008762CF" w:rsidP="00E4384F">
            <w:pPr>
              <w:pStyle w:val="TableText0"/>
              <w:ind w:left="-57" w:right="-57"/>
              <w:contextualSpacing/>
            </w:pPr>
            <w:r>
              <w:t>Major laparoscopic assisted surgery</w:t>
            </w:r>
          </w:p>
          <w:p w14:paraId="46110197" w14:textId="56E167D1" w:rsidR="00C171B2" w:rsidRPr="00E054C5" w:rsidRDefault="00C171B2" w:rsidP="1CC05B93">
            <w:pPr>
              <w:pStyle w:val="TableText0"/>
              <w:ind w:left="-57" w:right="-57"/>
              <w:contextualSpacing/>
              <w:rPr>
                <w:i/>
                <w:iCs/>
              </w:rPr>
            </w:pPr>
            <w:r w:rsidRPr="1CC05B93">
              <w:rPr>
                <w:i/>
                <w:iCs/>
              </w:rPr>
              <w:t>Both these groups of patients are likely to receive an epidural block rather than a single injection nerve block according to current practice</w:t>
            </w:r>
          </w:p>
        </w:tc>
      </w:tr>
      <w:tr w:rsidR="00906ED2" w:rsidRPr="00490FBB" w14:paraId="738EE0B5" w14:textId="77777777" w:rsidTr="1CC05B93">
        <w:tc>
          <w:tcPr>
            <w:tcW w:w="1643" w:type="pct"/>
            <w:vAlign w:val="center"/>
          </w:tcPr>
          <w:p w14:paraId="4B44326E" w14:textId="5810DC60" w:rsidR="0005300C" w:rsidRPr="00E054C5" w:rsidRDefault="0005300C" w:rsidP="00E4384F">
            <w:pPr>
              <w:pStyle w:val="TableText0"/>
              <w:spacing w:before="0"/>
              <w:ind w:left="-57" w:right="-57"/>
              <w:contextualSpacing/>
            </w:pPr>
            <w:r w:rsidRPr="00E054C5">
              <w:t>Major breast surgery</w:t>
            </w:r>
          </w:p>
        </w:tc>
        <w:tc>
          <w:tcPr>
            <w:tcW w:w="3357" w:type="pct"/>
            <w:vAlign w:val="center"/>
          </w:tcPr>
          <w:p w14:paraId="7EEED1FE" w14:textId="7FAF2727" w:rsidR="00457558" w:rsidRPr="00E054C5" w:rsidRDefault="00274789" w:rsidP="00E4384F">
            <w:pPr>
              <w:pStyle w:val="TableText0"/>
              <w:ind w:left="-57" w:right="-57"/>
              <w:contextualSpacing/>
            </w:pPr>
            <w:r w:rsidRPr="00E054C5">
              <w:t xml:space="preserve">Radical mastectomy, </w:t>
            </w:r>
            <w:r w:rsidR="00457558" w:rsidRPr="00E054C5">
              <w:t>m</w:t>
            </w:r>
            <w:r w:rsidRPr="00E054C5">
              <w:t xml:space="preserve">astectomy </w:t>
            </w:r>
          </w:p>
          <w:p w14:paraId="103F9DA1" w14:textId="7D7E0F35" w:rsidR="0005300C" w:rsidRPr="00E054C5" w:rsidRDefault="00274789" w:rsidP="00E4384F">
            <w:pPr>
              <w:pStyle w:val="TableText0"/>
              <w:ind w:left="-57" w:right="-57"/>
              <w:contextualSpacing/>
            </w:pPr>
            <w:r w:rsidRPr="00E054C5">
              <w:t xml:space="preserve">Major and/or reconstructive </w:t>
            </w:r>
            <w:r w:rsidR="00457558" w:rsidRPr="00E054C5">
              <w:t>b</w:t>
            </w:r>
            <w:r w:rsidRPr="00E054C5">
              <w:t xml:space="preserve">reast surgery </w:t>
            </w:r>
          </w:p>
        </w:tc>
      </w:tr>
      <w:tr w:rsidR="00906ED2" w:rsidRPr="00490FBB" w14:paraId="240FD1DF" w14:textId="77777777" w:rsidTr="1CC05B93">
        <w:tc>
          <w:tcPr>
            <w:tcW w:w="1643" w:type="pct"/>
            <w:vAlign w:val="center"/>
          </w:tcPr>
          <w:p w14:paraId="4DBEFAFE" w14:textId="328AF277" w:rsidR="0005300C" w:rsidRPr="00E054C5" w:rsidRDefault="0005300C" w:rsidP="00E4384F">
            <w:pPr>
              <w:pStyle w:val="TableText0"/>
              <w:spacing w:before="0"/>
              <w:ind w:left="-57" w:right="-57"/>
              <w:contextualSpacing/>
            </w:pPr>
            <w:r w:rsidRPr="00E054C5">
              <w:t>Trauma</w:t>
            </w:r>
            <w:r w:rsidR="003D68A7" w:rsidRPr="00E054C5">
              <w:t xml:space="preserve"> surgery</w:t>
            </w:r>
            <w:r w:rsidR="00A33872" w:rsidRPr="00E054C5">
              <w:t xml:space="preserve"> </w:t>
            </w:r>
          </w:p>
        </w:tc>
        <w:tc>
          <w:tcPr>
            <w:tcW w:w="3357" w:type="pct"/>
            <w:vAlign w:val="center"/>
          </w:tcPr>
          <w:p w14:paraId="32AFD418" w14:textId="77777777" w:rsidR="0005300C" w:rsidRPr="00E054C5" w:rsidRDefault="0005300C" w:rsidP="00E4384F">
            <w:pPr>
              <w:pStyle w:val="TableText0"/>
              <w:spacing w:before="0"/>
              <w:ind w:left="-57" w:right="-57"/>
              <w:contextualSpacing/>
            </w:pPr>
            <w:r w:rsidRPr="00E054C5">
              <w:t xml:space="preserve">Rib fractures </w:t>
            </w:r>
          </w:p>
          <w:p w14:paraId="2DA2B074" w14:textId="068EE964" w:rsidR="00BB257C" w:rsidRPr="00E054C5" w:rsidRDefault="00BB257C" w:rsidP="00E4384F">
            <w:pPr>
              <w:pStyle w:val="TableText0"/>
              <w:spacing w:before="0"/>
              <w:ind w:left="-57" w:right="-57"/>
              <w:contextualSpacing/>
            </w:pPr>
            <w:r w:rsidRPr="00E054C5">
              <w:t xml:space="preserve">Upper and lower limb fractures (for example, femoral fracture) and soft tissue injury </w:t>
            </w:r>
          </w:p>
          <w:p w14:paraId="1E68584A" w14:textId="41A23857" w:rsidR="00453407" w:rsidRPr="00E054C5" w:rsidRDefault="00453407" w:rsidP="00E4384F">
            <w:pPr>
              <w:pStyle w:val="TableText0"/>
              <w:spacing w:before="0"/>
              <w:ind w:left="-57" w:right="-57"/>
              <w:contextualSpacing/>
            </w:pPr>
            <w:r w:rsidRPr="00E054C5">
              <w:t>Traumatic amputation</w:t>
            </w:r>
          </w:p>
        </w:tc>
      </w:tr>
    </w:tbl>
    <w:p w14:paraId="5DF32530" w14:textId="0B2B1716" w:rsidR="0005300C" w:rsidRDefault="0005300C" w:rsidP="00D2440F">
      <w:pPr>
        <w:pStyle w:val="Tablenotes"/>
        <w:spacing w:after="240"/>
      </w:pPr>
      <w:r w:rsidRPr="00942324">
        <w:t xml:space="preserve">Source: </w:t>
      </w:r>
      <w:r>
        <w:t xml:space="preserve">drawn from </w:t>
      </w:r>
      <w:r w:rsidRPr="00942324">
        <w:t>1741 application summary</w:t>
      </w:r>
      <w:r>
        <w:t xml:space="preserve"> and supporting documents</w:t>
      </w:r>
      <w:r w:rsidR="00274789">
        <w:tab/>
      </w:r>
      <w:r w:rsidR="00274789">
        <w:br/>
        <w:t>CABG</w:t>
      </w:r>
      <w:r w:rsidR="000841F6">
        <w:t>=</w:t>
      </w:r>
      <w:r w:rsidR="005A6566">
        <w:t>coronary artery</w:t>
      </w:r>
      <w:r w:rsidR="00274789">
        <w:t xml:space="preserve"> bypass </w:t>
      </w:r>
      <w:r w:rsidR="009617B6">
        <w:t xml:space="preserve">graft surgery. </w:t>
      </w:r>
      <w:r w:rsidR="00785E5B">
        <w:t>‘</w:t>
      </w:r>
      <w:r w:rsidR="00F63D3D">
        <w:t xml:space="preserve">Off-pump CABG’ is </w:t>
      </w:r>
      <w:r w:rsidR="00457558">
        <w:t xml:space="preserve">surgery </w:t>
      </w:r>
      <w:r w:rsidR="005A6566">
        <w:t xml:space="preserve">without </w:t>
      </w:r>
      <w:r w:rsidR="004B530A">
        <w:t>a</w:t>
      </w:r>
      <w:r w:rsidR="005A6566">
        <w:t xml:space="preserve"> cardio-pulmonary bypass </w:t>
      </w:r>
      <w:r w:rsidR="006A19D6">
        <w:t xml:space="preserve">(heart-lung) </w:t>
      </w:r>
      <w:r w:rsidR="005A6566">
        <w:t>machine</w:t>
      </w:r>
      <w:r w:rsidR="00E52288">
        <w:t>.</w:t>
      </w:r>
      <w:r w:rsidR="005A6566">
        <w:t xml:space="preserve"> </w:t>
      </w:r>
    </w:p>
    <w:p w14:paraId="4838D321" w14:textId="4EEE52DC" w:rsidR="00542B6D" w:rsidRDefault="00BB38A9" w:rsidP="00AB30CF">
      <w:pPr>
        <w:spacing w:after="240"/>
      </w:pPr>
      <w:r>
        <w:t xml:space="preserve">The surgeries in </w:t>
      </w:r>
      <w:r>
        <w:fldChar w:fldCharType="begin"/>
      </w:r>
      <w:r>
        <w:instrText xml:space="preserve"> REF _Ref126674471 \h </w:instrText>
      </w:r>
      <w:r>
        <w:fldChar w:fldCharType="separate"/>
      </w:r>
      <w:r w:rsidR="00B65CEE" w:rsidRPr="00BB2E4B">
        <w:t>Table </w:t>
      </w:r>
      <w:r w:rsidR="00B65CEE">
        <w:rPr>
          <w:noProof/>
        </w:rPr>
        <w:t>5</w:t>
      </w:r>
      <w:r>
        <w:fldChar w:fldCharType="end"/>
      </w:r>
      <w:r>
        <w:t xml:space="preserve"> represent those known to be associated with a high chance of postoperative pain based on medical practice. This is not intended to be an exhaustive list. </w:t>
      </w:r>
      <w:r w:rsidR="00542B6D">
        <w:rPr>
          <w:iCs/>
        </w:rPr>
        <w:t xml:space="preserve">The applicant </w:t>
      </w:r>
      <w:r w:rsidR="00035D17">
        <w:rPr>
          <w:iCs/>
        </w:rPr>
        <w:t xml:space="preserve">has described these patients </w:t>
      </w:r>
      <w:r w:rsidR="00FB3780">
        <w:rPr>
          <w:iCs/>
        </w:rPr>
        <w:t xml:space="preserve">as </w:t>
      </w:r>
      <w:r w:rsidR="00542B6D" w:rsidRPr="00FF033C">
        <w:t>those requiring joint arthroplasty, orthopaedic/and or significant soft tissue (muscle, tendon, ligaments, skin) reconstructive surgery, major limb vascular surgery, and patients undergoing trunk surgery, or management of trauma. These patients are selected/recommended for surgery by surgeons, or present as trauma victims to hospital.</w:t>
      </w:r>
    </w:p>
    <w:p w14:paraId="2F56B87B" w14:textId="63D2D023" w:rsidR="00667784" w:rsidRPr="00C8588A" w:rsidRDefault="004C596F" w:rsidP="00AB30CF">
      <w:pPr>
        <w:spacing w:after="240"/>
        <w:rPr>
          <w:i/>
          <w:iCs/>
        </w:rPr>
      </w:pPr>
      <w:r w:rsidRPr="00C8588A">
        <w:rPr>
          <w:rFonts w:cs="Calibri"/>
          <w:i/>
          <w:iCs/>
        </w:rPr>
        <w:t xml:space="preserve">PASC noted that the proposed item is similar to the existing item for single injection nerve block in terms of purpose and the list of likely surgeries for the proposed item was not exhaustive. </w:t>
      </w:r>
      <w:r w:rsidR="0071255E" w:rsidRPr="00C8588A">
        <w:rPr>
          <w:rFonts w:cs="Calibri"/>
          <w:i/>
          <w:iCs/>
        </w:rPr>
        <w:t xml:space="preserve">The applicant also confirmed that this item </w:t>
      </w:r>
      <w:r w:rsidR="008563EE" w:rsidRPr="00C8588A">
        <w:rPr>
          <w:rFonts w:cs="Calibri"/>
          <w:i/>
          <w:iCs/>
        </w:rPr>
        <w:t xml:space="preserve">is not intended </w:t>
      </w:r>
      <w:r w:rsidR="0071255E" w:rsidRPr="00C8588A">
        <w:rPr>
          <w:rFonts w:cs="Calibri"/>
          <w:i/>
          <w:iCs/>
        </w:rPr>
        <w:t xml:space="preserve">for patients who do not undergo surgery. </w:t>
      </w:r>
    </w:p>
    <w:p w14:paraId="1A450064" w14:textId="44C91A32" w:rsidR="00FF3819" w:rsidRPr="00096C54" w:rsidRDefault="006A19E4" w:rsidP="00FF3819">
      <w:r>
        <w:t>Contin</w:t>
      </w:r>
      <w:r w:rsidR="005E2359">
        <w:t>uous peripheral nerve block is</w:t>
      </w:r>
      <w:r>
        <w:t xml:space="preserve"> </w:t>
      </w:r>
      <w:r w:rsidR="007F0BC1">
        <w:t>intended to be offered</w:t>
      </w:r>
      <w:r w:rsidR="00F51ABF">
        <w:t xml:space="preserve"> pre-emptively</w:t>
      </w:r>
      <w:r w:rsidR="00D37469">
        <w:t xml:space="preserve"> and is </w:t>
      </w:r>
      <w:r w:rsidR="00FF3819">
        <w:t>based on an expectation of moderate to severe postoperative pain rather than offe</w:t>
      </w:r>
      <w:r w:rsidR="00B468E7">
        <w:t>ring the intervention</w:t>
      </w:r>
      <w:r w:rsidR="00FF3819">
        <w:t xml:space="preserve"> after the pain </w:t>
      </w:r>
      <w:r w:rsidR="00B468E7">
        <w:t xml:space="preserve">has </w:t>
      </w:r>
      <w:r w:rsidR="00FF3819">
        <w:lastRenderedPageBreak/>
        <w:t>manifest</w:t>
      </w:r>
      <w:r w:rsidR="00B468E7">
        <w:t>ed</w:t>
      </w:r>
      <w:r w:rsidR="00FF3819">
        <w:t xml:space="preserve">. Hence, it is not possible to incorporate a definition of moderate to severe pain in a potential item descriptor to aid in determining whether a patient should be eligible for this service. </w:t>
      </w:r>
      <w:r w:rsidR="00573D15">
        <w:t>‘</w:t>
      </w:r>
      <w:r w:rsidR="00FF3819">
        <w:t>Moderate to severe pain</w:t>
      </w:r>
      <w:r w:rsidR="00573D15">
        <w:t>’</w:t>
      </w:r>
      <w:r w:rsidR="00FF3819">
        <w:t xml:space="preserve"> is nevertheless a well understood concept in Australian clinical practice that is commonly used for describing acute pain (see the Australian and New Zealand College of Anaesthetists [ANZCA] monograph on Acute Pain Management; Schug et al., 2020). </w:t>
      </w:r>
      <w:r w:rsidR="00573D15">
        <w:t>‘</w:t>
      </w:r>
      <w:r w:rsidR="00FF3819">
        <w:t>Moderate to severe</w:t>
      </w:r>
      <w:r w:rsidR="00573D15">
        <w:t>’</w:t>
      </w:r>
      <w:r w:rsidR="00FF3819">
        <w:t xml:space="preserve"> corresponds approximately to pain </w:t>
      </w:r>
      <w:r w:rsidR="006E2369">
        <w:t>score</w:t>
      </w:r>
      <w:r w:rsidR="00FF3819">
        <w:t xml:space="preserve"> of 4 or above </w:t>
      </w:r>
      <w:r w:rsidR="006F1EB5">
        <w:t xml:space="preserve">(with 10 being the maximum pain </w:t>
      </w:r>
      <w:r w:rsidR="006F1EB5" w:rsidRPr="00353563">
        <w:t>score)</w:t>
      </w:r>
      <w:r w:rsidR="00FF3819" w:rsidRPr="00353563">
        <w:t xml:space="preserve"> on</w:t>
      </w:r>
      <w:r w:rsidR="00FF3819">
        <w:t xml:space="preserve"> a numeric pain scale (Gerbershagen et al., 2011).</w:t>
      </w:r>
    </w:p>
    <w:p w14:paraId="1FFE501D" w14:textId="36CC073E" w:rsidR="00A548E4" w:rsidRPr="00C8588A" w:rsidRDefault="00403F87" w:rsidP="00410727">
      <w:pPr>
        <w:rPr>
          <w:rFonts w:cs="Calibri"/>
          <w:i/>
          <w:iCs/>
        </w:rPr>
      </w:pPr>
      <w:r w:rsidRPr="00FE1611">
        <w:t xml:space="preserve">The applicant confirmed that for </w:t>
      </w:r>
      <w:r w:rsidR="00CA1B37" w:rsidRPr="00FE1611">
        <w:t>patients undergoing trauma surgery, the anaesthetist may determine that a continuous nerve block will aid in postoperative pain management for the patient’s other injuries (for example fractured ribs</w:t>
      </w:r>
      <w:r w:rsidR="00CA1B37" w:rsidRPr="00C8588A">
        <w:t xml:space="preserve">). </w:t>
      </w:r>
      <w:r w:rsidR="005527EF" w:rsidRPr="00C8588A">
        <w:rPr>
          <w:rFonts w:cs="Calibri"/>
          <w:i/>
          <w:iCs/>
        </w:rPr>
        <w:t>PASC considered it was not necessary for the target of the block to be the surgical site under operation</w:t>
      </w:r>
      <w:r w:rsidR="0017101F" w:rsidRPr="00C8588A">
        <w:rPr>
          <w:rFonts w:cs="Calibri"/>
          <w:i/>
          <w:iCs/>
        </w:rPr>
        <w:t>.</w:t>
      </w:r>
    </w:p>
    <w:p w14:paraId="26F97C92" w14:textId="3F79A581" w:rsidR="002A2AC2" w:rsidRPr="00D64AA1" w:rsidRDefault="002A2AC2" w:rsidP="002A2AC2">
      <w:pPr>
        <w:spacing w:after="120"/>
        <w:rPr>
          <w:iCs/>
        </w:rPr>
      </w:pPr>
      <w:r>
        <w:t>Considerations for determining whether a continuous nerve block is the most suitable form of post operative analgesia</w:t>
      </w:r>
      <w:r w:rsidR="00F93C0B">
        <w:t>:</w:t>
      </w:r>
    </w:p>
    <w:p w14:paraId="4C2CB379" w14:textId="77777777" w:rsidR="002A2AC2" w:rsidRPr="00A3615F" w:rsidRDefault="002A2AC2" w:rsidP="002A2AC2">
      <w:pPr>
        <w:pStyle w:val="ListParagraph"/>
        <w:numPr>
          <w:ilvl w:val="0"/>
          <w:numId w:val="17"/>
        </w:numPr>
        <w:spacing w:after="120"/>
        <w:ind w:left="426" w:hanging="357"/>
      </w:pPr>
      <w:r>
        <w:t xml:space="preserve">whether the type of </w:t>
      </w:r>
      <w:r w:rsidRPr="00A3615F">
        <w:t>pain</w:t>
      </w:r>
      <w:r>
        <w:t xml:space="preserve"> and anatomical location</w:t>
      </w:r>
      <w:r w:rsidRPr="00A3615F">
        <w:t xml:space="preserve"> is </w:t>
      </w:r>
      <w:r>
        <w:t xml:space="preserve">amenable </w:t>
      </w:r>
      <w:r w:rsidRPr="00A3615F">
        <w:t xml:space="preserve">to </w:t>
      </w:r>
      <w:r>
        <w:t xml:space="preserve">a </w:t>
      </w:r>
      <w:r w:rsidRPr="00A3615F">
        <w:t>nerve block</w:t>
      </w:r>
      <w:r>
        <w:t>;</w:t>
      </w:r>
    </w:p>
    <w:p w14:paraId="7A73E932" w14:textId="77777777" w:rsidR="006F6322" w:rsidRDefault="002A2AC2" w:rsidP="002A2AC2">
      <w:pPr>
        <w:pStyle w:val="ListParagraph"/>
        <w:numPr>
          <w:ilvl w:val="0"/>
          <w:numId w:val="17"/>
        </w:numPr>
        <w:ind w:left="426"/>
      </w:pPr>
      <w:r>
        <w:t>whether epidural anaesthesia is or is not more appropriate</w:t>
      </w:r>
    </w:p>
    <w:p w14:paraId="69EDF8E7" w14:textId="30344CD4" w:rsidR="002A2AC2" w:rsidRDefault="006F6322" w:rsidP="002A2AC2">
      <w:pPr>
        <w:pStyle w:val="ListParagraph"/>
        <w:numPr>
          <w:ilvl w:val="0"/>
          <w:numId w:val="17"/>
        </w:numPr>
        <w:ind w:left="426"/>
      </w:pPr>
      <w:r>
        <w:t>w</w:t>
      </w:r>
      <w:r w:rsidR="002A2AC2">
        <w:t>hether simple short term analgesia including short term oral or parenteral opiates would be sufficient or preferable depending on associated risks</w:t>
      </w:r>
      <w:r w:rsidR="001B2972">
        <w:t xml:space="preserve"> </w:t>
      </w:r>
      <w:r w:rsidR="002A2AC2">
        <w:t xml:space="preserve">– </w:t>
      </w:r>
      <w:r w:rsidR="002A2AC2">
        <w:rPr>
          <w:i/>
          <w:iCs/>
        </w:rPr>
        <w:t>N</w:t>
      </w:r>
      <w:r w:rsidR="002A2AC2" w:rsidRPr="00B3156A">
        <w:rPr>
          <w:i/>
          <w:iCs/>
        </w:rPr>
        <w:t>ote that ‘simple’ in this context refers to the type of formulation, that is, simple as opposed to modified release;</w:t>
      </w:r>
    </w:p>
    <w:p w14:paraId="6972AEDA" w14:textId="77777777" w:rsidR="002A2AC2" w:rsidRDefault="002A2AC2" w:rsidP="002A2AC2">
      <w:pPr>
        <w:pStyle w:val="ListParagraph"/>
        <w:numPr>
          <w:ilvl w:val="0"/>
          <w:numId w:val="17"/>
        </w:numPr>
        <w:spacing w:after="120"/>
        <w:ind w:left="426" w:hanging="357"/>
      </w:pPr>
      <w:r>
        <w:t xml:space="preserve">if the surgery is an </w:t>
      </w:r>
      <w:r w:rsidRPr="00A3615F">
        <w:t xml:space="preserve">elective procedure with </w:t>
      </w:r>
      <w:r>
        <w:t xml:space="preserve">a </w:t>
      </w:r>
      <w:r w:rsidRPr="00A3615F">
        <w:t>short planned post</w:t>
      </w:r>
      <w:r>
        <w:t>operative</w:t>
      </w:r>
      <w:r w:rsidRPr="00A3615F">
        <w:t xml:space="preserve"> stay</w:t>
      </w:r>
      <w:r>
        <w:t xml:space="preserve"> and the ability or otherwise for a continuous nerve block to be managed in the home environment after discharge.</w:t>
      </w:r>
    </w:p>
    <w:p w14:paraId="58F848D4" w14:textId="77777777" w:rsidR="0061542A" w:rsidRPr="00713728" w:rsidRDefault="0061542A" w:rsidP="0061542A">
      <w:pPr>
        <w:pStyle w:val="Heading4"/>
      </w:pPr>
      <w:r>
        <w:t xml:space="preserve">Patient </w:t>
      </w:r>
      <w:r w:rsidR="00FC4D72">
        <w:t>characteristics</w:t>
      </w:r>
    </w:p>
    <w:p w14:paraId="0F51D0E3" w14:textId="221FBCA7" w:rsidR="00382FD3" w:rsidRDefault="00382FD3" w:rsidP="00382FD3">
      <w:pPr>
        <w:spacing w:after="240"/>
        <w:rPr>
          <w:iCs/>
        </w:rPr>
      </w:pPr>
      <w:r>
        <w:rPr>
          <w:iCs/>
        </w:rPr>
        <w:t xml:space="preserve">Existing </w:t>
      </w:r>
      <w:r w:rsidR="007D3E02">
        <w:rPr>
          <w:iCs/>
        </w:rPr>
        <w:t>peri</w:t>
      </w:r>
      <w:r w:rsidR="00C01C10">
        <w:rPr>
          <w:iCs/>
        </w:rPr>
        <w:t>operative</w:t>
      </w:r>
      <w:r>
        <w:rPr>
          <w:iCs/>
        </w:rPr>
        <w:t xml:space="preserve"> </w:t>
      </w:r>
      <w:r w:rsidR="00573569">
        <w:rPr>
          <w:iCs/>
        </w:rPr>
        <w:t xml:space="preserve">MBS </w:t>
      </w:r>
      <w:r>
        <w:rPr>
          <w:iCs/>
        </w:rPr>
        <w:t xml:space="preserve">items for </w:t>
      </w:r>
      <w:r w:rsidR="007D3E02">
        <w:rPr>
          <w:iCs/>
        </w:rPr>
        <w:t>post</w:t>
      </w:r>
      <w:r w:rsidR="00C01C10">
        <w:rPr>
          <w:iCs/>
        </w:rPr>
        <w:t>operative</w:t>
      </w:r>
      <w:r w:rsidR="007D3E02">
        <w:rPr>
          <w:iCs/>
        </w:rPr>
        <w:t xml:space="preserve"> pain</w:t>
      </w:r>
      <w:r>
        <w:rPr>
          <w:iCs/>
        </w:rPr>
        <w:t xml:space="preserve"> </w:t>
      </w:r>
      <w:r w:rsidR="007D3E02">
        <w:rPr>
          <w:iCs/>
        </w:rPr>
        <w:t>(</w:t>
      </w:r>
      <w:r w:rsidR="00633EC1">
        <w:rPr>
          <w:iCs/>
        </w:rPr>
        <w:fldChar w:fldCharType="begin"/>
      </w:r>
      <w:r w:rsidR="00633EC1">
        <w:rPr>
          <w:iCs/>
        </w:rPr>
        <w:instrText xml:space="preserve"> REF _Ref117521437 \h </w:instrText>
      </w:r>
      <w:r w:rsidR="00633EC1">
        <w:rPr>
          <w:iCs/>
        </w:rPr>
      </w:r>
      <w:r w:rsidR="00633EC1">
        <w:rPr>
          <w:iCs/>
        </w:rPr>
        <w:fldChar w:fldCharType="separate"/>
      </w:r>
      <w:r w:rsidR="00B65CEE" w:rsidRPr="00490FBB">
        <w:t>Table</w:t>
      </w:r>
      <w:r w:rsidR="00B65CEE">
        <w:t> </w:t>
      </w:r>
      <w:r w:rsidR="00B65CEE">
        <w:rPr>
          <w:noProof/>
        </w:rPr>
        <w:t>3</w:t>
      </w:r>
      <w:r w:rsidR="00633EC1">
        <w:rPr>
          <w:iCs/>
        </w:rPr>
        <w:fldChar w:fldCharType="end"/>
      </w:r>
      <w:r w:rsidR="007D3E02">
        <w:rPr>
          <w:iCs/>
        </w:rPr>
        <w:t xml:space="preserve">) </w:t>
      </w:r>
      <w:r>
        <w:rPr>
          <w:iCs/>
        </w:rPr>
        <w:t xml:space="preserve">do not specify any age restrictions and it is expected the same will apply to the proposed item if </w:t>
      </w:r>
      <w:r w:rsidR="00C948F9">
        <w:rPr>
          <w:iCs/>
        </w:rPr>
        <w:t>supported by MSAC</w:t>
      </w:r>
      <w:r>
        <w:rPr>
          <w:iCs/>
        </w:rPr>
        <w:t xml:space="preserve">. </w:t>
      </w:r>
      <w:r w:rsidR="00E6700A">
        <w:rPr>
          <w:iCs/>
        </w:rPr>
        <w:t xml:space="preserve">In practice, </w:t>
      </w:r>
      <w:proofErr w:type="gramStart"/>
      <w:r w:rsidR="00E6700A">
        <w:rPr>
          <w:iCs/>
        </w:rPr>
        <w:t>the majority of</w:t>
      </w:r>
      <w:proofErr w:type="gramEnd"/>
      <w:r w:rsidR="00E6700A">
        <w:rPr>
          <w:iCs/>
        </w:rPr>
        <w:t xml:space="preserve"> planned surgeries </w:t>
      </w:r>
      <w:r w:rsidR="00324163">
        <w:rPr>
          <w:iCs/>
        </w:rPr>
        <w:t xml:space="preserve">in </w:t>
      </w:r>
      <w:r w:rsidR="00324163">
        <w:rPr>
          <w:iCs/>
        </w:rPr>
        <w:fldChar w:fldCharType="begin"/>
      </w:r>
      <w:r w:rsidR="00324163">
        <w:rPr>
          <w:iCs/>
        </w:rPr>
        <w:instrText xml:space="preserve"> REF _Ref126674471 \h </w:instrText>
      </w:r>
      <w:r w:rsidR="00324163">
        <w:rPr>
          <w:iCs/>
        </w:rPr>
      </w:r>
      <w:r w:rsidR="00324163">
        <w:rPr>
          <w:iCs/>
        </w:rPr>
        <w:fldChar w:fldCharType="separate"/>
      </w:r>
      <w:r w:rsidR="00B65CEE" w:rsidRPr="00BB2E4B">
        <w:t>Table </w:t>
      </w:r>
      <w:r w:rsidR="00B65CEE">
        <w:rPr>
          <w:noProof/>
        </w:rPr>
        <w:t>5</w:t>
      </w:r>
      <w:r w:rsidR="00324163">
        <w:rPr>
          <w:iCs/>
        </w:rPr>
        <w:fldChar w:fldCharType="end"/>
      </w:r>
      <w:r w:rsidR="00324163">
        <w:rPr>
          <w:iCs/>
        </w:rPr>
        <w:t xml:space="preserve"> </w:t>
      </w:r>
      <w:r w:rsidR="00E6700A">
        <w:rPr>
          <w:iCs/>
        </w:rPr>
        <w:t xml:space="preserve">will be in adults. </w:t>
      </w:r>
      <w:r w:rsidR="005412E4">
        <w:rPr>
          <w:iCs/>
        </w:rPr>
        <w:t>At least some of the above indications such as h</w:t>
      </w:r>
      <w:r w:rsidR="00A3157E">
        <w:rPr>
          <w:iCs/>
        </w:rPr>
        <w:t xml:space="preserve">ip surgeries </w:t>
      </w:r>
      <w:r w:rsidR="005412E4">
        <w:rPr>
          <w:iCs/>
        </w:rPr>
        <w:t xml:space="preserve">will be in predominantly elderly patients. </w:t>
      </w:r>
      <w:r w:rsidR="000E3101">
        <w:rPr>
          <w:iCs/>
        </w:rPr>
        <w:t xml:space="preserve">The age bias of the population currently using the single injection item is </w:t>
      </w:r>
      <w:r w:rsidR="00143907">
        <w:rPr>
          <w:iCs/>
        </w:rPr>
        <w:t>confirmed</w:t>
      </w:r>
      <w:r w:rsidR="000E3101">
        <w:rPr>
          <w:iCs/>
        </w:rPr>
        <w:t xml:space="preserve"> in the utilisation statistics below</w:t>
      </w:r>
      <w:r w:rsidR="00764118">
        <w:rPr>
          <w:iCs/>
        </w:rPr>
        <w:t xml:space="preserve"> (</w:t>
      </w:r>
      <w:r w:rsidR="00143907">
        <w:rPr>
          <w:iCs/>
        </w:rPr>
        <w:t xml:space="preserve">see </w:t>
      </w:r>
      <w:r w:rsidR="005D7D84">
        <w:rPr>
          <w:iCs/>
        </w:rPr>
        <w:t>‘</w:t>
      </w:r>
      <w:r w:rsidR="00764118">
        <w:rPr>
          <w:iCs/>
        </w:rPr>
        <w:fldChar w:fldCharType="begin"/>
      </w:r>
      <w:r w:rsidR="00764118">
        <w:rPr>
          <w:iCs/>
        </w:rPr>
        <w:instrText xml:space="preserve"> REF _Ref127887462 \h </w:instrText>
      </w:r>
      <w:r w:rsidR="00764118">
        <w:rPr>
          <w:iCs/>
        </w:rPr>
      </w:r>
      <w:r w:rsidR="00764118">
        <w:rPr>
          <w:iCs/>
        </w:rPr>
        <w:fldChar w:fldCharType="separate"/>
      </w:r>
      <w:r w:rsidR="00B65CEE">
        <w:t>Estimated utilisation</w:t>
      </w:r>
      <w:r w:rsidR="00764118">
        <w:rPr>
          <w:iCs/>
        </w:rPr>
        <w:fldChar w:fldCharType="end"/>
      </w:r>
      <w:r w:rsidR="005D7D84">
        <w:rPr>
          <w:iCs/>
        </w:rPr>
        <w:t>’</w:t>
      </w:r>
      <w:r w:rsidR="00764118">
        <w:rPr>
          <w:iCs/>
        </w:rPr>
        <w:t xml:space="preserve">). </w:t>
      </w:r>
    </w:p>
    <w:p w14:paraId="60889767" w14:textId="7B4515D7" w:rsidR="007E15AE" w:rsidRDefault="00272274" w:rsidP="00272274">
      <w:r>
        <w:t xml:space="preserve">Some patients may </w:t>
      </w:r>
      <w:r w:rsidR="00C035E6">
        <w:t xml:space="preserve">also </w:t>
      </w:r>
      <w:r w:rsidR="000D33BE">
        <w:t>be suitable for continuous nerve block</w:t>
      </w:r>
      <w:r>
        <w:t xml:space="preserve"> </w:t>
      </w:r>
      <w:r w:rsidR="000D33BE">
        <w:t>if</w:t>
      </w:r>
      <w:r>
        <w:t xml:space="preserve"> </w:t>
      </w:r>
      <w:r w:rsidR="004C7EF7">
        <w:t>systemic opio</w:t>
      </w:r>
      <w:r w:rsidR="00C035E6">
        <w:t>i</w:t>
      </w:r>
      <w:r w:rsidR="004C7EF7">
        <w:t>ds are not recommended</w:t>
      </w:r>
      <w:r>
        <w:t xml:space="preserve"> for reasons </w:t>
      </w:r>
      <w:r w:rsidR="000D33BE">
        <w:t>such</w:t>
      </w:r>
      <w:r w:rsidR="00C035E6">
        <w:t xml:space="preserve"> as</w:t>
      </w:r>
      <w:r>
        <w:t xml:space="preserve"> </w:t>
      </w:r>
      <w:r w:rsidR="00C520A6">
        <w:t>opioid</w:t>
      </w:r>
      <w:r>
        <w:t xml:space="preserve"> sensitivity, </w:t>
      </w:r>
      <w:r w:rsidR="00C520A6">
        <w:t>tolerance or</w:t>
      </w:r>
      <w:r>
        <w:t xml:space="preserve"> dependence, or co-morbidities rendering parenteral </w:t>
      </w:r>
      <w:r w:rsidR="00C520A6">
        <w:t>opioid</w:t>
      </w:r>
      <w:r>
        <w:t xml:space="preserve"> administration inappropriate.</w:t>
      </w:r>
      <w:r w:rsidR="00614967">
        <w:t xml:space="preserve"> </w:t>
      </w:r>
      <w:r w:rsidR="00734183">
        <w:t xml:space="preserve">Consistent with approved Product Information for most opioids for systemic use, </w:t>
      </w:r>
      <w:r w:rsidR="00A21892">
        <w:t>r</w:t>
      </w:r>
      <w:r w:rsidR="00C828E8">
        <w:t>elevant</w:t>
      </w:r>
      <w:r w:rsidR="001E5A20">
        <w:t xml:space="preserve"> co-morbidities are</w:t>
      </w:r>
      <w:r w:rsidR="00614967" w:rsidRPr="009714DF">
        <w:t xml:space="preserve"> assumed to </w:t>
      </w:r>
      <w:r w:rsidR="001E5A20">
        <w:t>be</w:t>
      </w:r>
      <w:r w:rsidR="00614967" w:rsidRPr="009714DF">
        <w:t xml:space="preserve"> respiratory insufficiency or asthma</w:t>
      </w:r>
      <w:r w:rsidR="000906F2" w:rsidRPr="009714DF">
        <w:t>,</w:t>
      </w:r>
      <w:r w:rsidR="00614967" w:rsidRPr="009714DF">
        <w:t xml:space="preserve"> and less commonly</w:t>
      </w:r>
      <w:r w:rsidR="000906F2" w:rsidRPr="009714DF">
        <w:t>,</w:t>
      </w:r>
      <w:r w:rsidR="00614967" w:rsidRPr="009714DF">
        <w:t xml:space="preserve"> head injuries, myasthenia gravis</w:t>
      </w:r>
      <w:r w:rsidR="00A40670" w:rsidRPr="009714DF">
        <w:t>,</w:t>
      </w:r>
      <w:r w:rsidR="00614967" w:rsidRPr="009714DF">
        <w:t xml:space="preserve"> or Parki</w:t>
      </w:r>
      <w:r w:rsidR="00A40670" w:rsidRPr="009714DF">
        <w:t>n</w:t>
      </w:r>
      <w:r w:rsidR="00614967" w:rsidRPr="009714DF">
        <w:t>son disease</w:t>
      </w:r>
      <w:r w:rsidR="000906F2" w:rsidRPr="009714DF">
        <w:t xml:space="preserve"> (where patients are taking a monoamine oxidase inhibitor).</w:t>
      </w:r>
      <w:r w:rsidR="000906F2">
        <w:t xml:space="preserve"> </w:t>
      </w:r>
      <w:r w:rsidR="00153706">
        <w:t>Further</w:t>
      </w:r>
      <w:r w:rsidR="003A1E91">
        <w:t xml:space="preserve"> warnings and relative contraindications </w:t>
      </w:r>
      <w:r w:rsidR="00153706">
        <w:t xml:space="preserve">given in the Product Information </w:t>
      </w:r>
      <w:r w:rsidR="003A1E91">
        <w:t>may also apply</w:t>
      </w:r>
      <w:r w:rsidR="00297127">
        <w:t xml:space="preserve">, which the anaesthetist </w:t>
      </w:r>
      <w:r w:rsidR="00D026DC">
        <w:t>will take into account as part of the pre-anaesthesia consultation</w:t>
      </w:r>
      <w:r w:rsidR="003A1E91">
        <w:t>.</w:t>
      </w:r>
    </w:p>
    <w:p w14:paraId="7215837B" w14:textId="469EB8A2" w:rsidR="00095539" w:rsidRDefault="000906F2" w:rsidP="000906F2">
      <w:r>
        <w:t xml:space="preserve">Patients undergoing planned joint </w:t>
      </w:r>
      <w:r w:rsidR="00F41E42">
        <w:t xml:space="preserve">reconstruction or </w:t>
      </w:r>
      <w:r>
        <w:t>replacement</w:t>
      </w:r>
      <w:r w:rsidR="00FC291F">
        <w:t>,</w:t>
      </w:r>
      <w:r>
        <w:t xml:space="preserve"> or </w:t>
      </w:r>
      <w:r w:rsidR="00A40670">
        <w:t>following other long-standing conditions</w:t>
      </w:r>
      <w:r w:rsidR="00FC291F">
        <w:t>,</w:t>
      </w:r>
      <w:r>
        <w:t xml:space="preserve"> </w:t>
      </w:r>
      <w:r w:rsidR="004E0FF2">
        <w:t xml:space="preserve">are likely to </w:t>
      </w:r>
      <w:r w:rsidR="000118DC">
        <w:t>be at higher risk of</w:t>
      </w:r>
      <w:r>
        <w:t xml:space="preserve"> opioid tolerance due to</w:t>
      </w:r>
      <w:r w:rsidR="00633283">
        <w:t xml:space="preserve"> pre-existing </w:t>
      </w:r>
      <w:r>
        <w:t>chronic pain</w:t>
      </w:r>
      <w:r w:rsidR="00D977FF">
        <w:t xml:space="preserve"> associated with many of these surgical indications</w:t>
      </w:r>
      <w:r w:rsidR="0066230F">
        <w:t xml:space="preserve"> (AIHW 2020)</w:t>
      </w:r>
      <w:r>
        <w:t xml:space="preserve">. </w:t>
      </w:r>
      <w:r w:rsidR="004E650B">
        <w:t xml:space="preserve">This will </w:t>
      </w:r>
      <w:r w:rsidR="00340FCD">
        <w:t xml:space="preserve">limit effectiveness of opioids in these patients, necessitating higher doses to achieve the same outcome. </w:t>
      </w:r>
      <w:r w:rsidR="00AB1406">
        <w:t>P</w:t>
      </w:r>
      <w:r w:rsidR="009B6447">
        <w:t>atients</w:t>
      </w:r>
      <w:r w:rsidR="00AB1406">
        <w:t xml:space="preserve"> with a history of opioid use prior to surgery</w:t>
      </w:r>
      <w:r w:rsidR="00D851A2">
        <w:t xml:space="preserve"> </w:t>
      </w:r>
      <w:r w:rsidR="00E425E0">
        <w:t>are at higher</w:t>
      </w:r>
      <w:r w:rsidR="00D851A2">
        <w:t xml:space="preserve"> risk of further</w:t>
      </w:r>
      <w:r w:rsidR="0038205C">
        <w:t xml:space="preserve"> </w:t>
      </w:r>
      <w:r w:rsidR="009B6447">
        <w:t xml:space="preserve">long-term opioid use </w:t>
      </w:r>
      <w:r w:rsidR="0038205C">
        <w:t>post-discharge</w:t>
      </w:r>
      <w:r w:rsidR="00A4248B">
        <w:t>.</w:t>
      </w:r>
    </w:p>
    <w:p w14:paraId="20B5B13F" w14:textId="40E66306" w:rsidR="00007CEC" w:rsidRDefault="00007CEC" w:rsidP="000906F2">
      <w:r>
        <w:t>The applicant noted that patients</w:t>
      </w:r>
      <w:r w:rsidR="00517AF1">
        <w:t xml:space="preserve"> who </w:t>
      </w:r>
      <w:r w:rsidR="00883BA2">
        <w:t>return home with the continuous nerve block in place are a highly selected group</w:t>
      </w:r>
      <w:r w:rsidR="00950284">
        <w:t xml:space="preserve"> where it has been judged that they and/or their carer are suitable to manage the </w:t>
      </w:r>
      <w:r w:rsidR="00517AF1">
        <w:t xml:space="preserve">elastomeric </w:t>
      </w:r>
      <w:r w:rsidR="00950284">
        <w:t>pump and any likely issues that may arise.</w:t>
      </w:r>
      <w:r w:rsidR="009B21A4">
        <w:t xml:space="preserve"> This</w:t>
      </w:r>
      <w:r w:rsidR="00911898">
        <w:t xml:space="preserve"> is understood to include</w:t>
      </w:r>
      <w:r w:rsidR="009B21A4">
        <w:t xml:space="preserve"> consideration of </w:t>
      </w:r>
      <w:r w:rsidR="006456F5">
        <w:t>the same issues that would be taken into account in determining whether any patient is suitable for discharge (</w:t>
      </w:r>
      <w:r w:rsidR="00AB71F8">
        <w:t xml:space="preserve">clinical outlook, </w:t>
      </w:r>
      <w:r w:rsidR="009573A4">
        <w:t>support network, home environment, proximity to medical care</w:t>
      </w:r>
      <w:r w:rsidR="006456F5">
        <w:t>)</w:t>
      </w:r>
      <w:r w:rsidR="00410213">
        <w:t xml:space="preserve">. </w:t>
      </w:r>
      <w:r w:rsidR="00C24273">
        <w:t xml:space="preserve">Patients with conditions </w:t>
      </w:r>
      <w:r w:rsidR="007E781E">
        <w:lastRenderedPageBreak/>
        <w:t>that preclude the from being discharged with the continuous nerve block in situ</w:t>
      </w:r>
      <w:r w:rsidR="00C24273">
        <w:t xml:space="preserve"> would </w:t>
      </w:r>
      <w:r w:rsidR="007E781E">
        <w:t xml:space="preserve">be </w:t>
      </w:r>
      <w:r w:rsidR="000716D7">
        <w:t xml:space="preserve">likely </w:t>
      </w:r>
      <w:r w:rsidR="00824221">
        <w:t xml:space="preserve">to </w:t>
      </w:r>
      <w:r w:rsidR="000716D7">
        <w:t xml:space="preserve">be cared for as in-patients. </w:t>
      </w:r>
      <w:r w:rsidR="000457A9">
        <w:t>The applicant confirmed that p</w:t>
      </w:r>
      <w:r w:rsidR="001E3007">
        <w:t>at</w:t>
      </w:r>
      <w:r w:rsidR="0016000C" w:rsidRPr="0016000C">
        <w:t>ients who return home with the continuous nerve block</w:t>
      </w:r>
      <w:r w:rsidR="0016000C" w:rsidRPr="0016000C">
        <w:rPr>
          <w:i/>
          <w:iCs/>
        </w:rPr>
        <w:t xml:space="preserve"> in situ</w:t>
      </w:r>
      <w:r w:rsidR="0016000C" w:rsidRPr="0016000C">
        <w:t xml:space="preserve"> are considered discharged and are not managed as inpatients.</w:t>
      </w:r>
    </w:p>
    <w:p w14:paraId="2CD95F40" w14:textId="7B4CD03A" w:rsidR="00BD1278" w:rsidRPr="00713728" w:rsidRDefault="00BD1278" w:rsidP="00BD1278">
      <w:pPr>
        <w:pStyle w:val="Heading4"/>
      </w:pPr>
      <w:bookmarkStart w:id="10" w:name="_Ref128122259"/>
      <w:r>
        <w:t>Clinical need</w:t>
      </w:r>
      <w:bookmarkEnd w:id="10"/>
    </w:p>
    <w:p w14:paraId="36D45D91" w14:textId="1E79F4BD" w:rsidR="00974D8A" w:rsidRDefault="00654A3D" w:rsidP="00884E5B">
      <w:pPr>
        <w:spacing w:after="240"/>
      </w:pPr>
      <w:r>
        <w:rPr>
          <w:iCs/>
        </w:rPr>
        <w:t>T</w:t>
      </w:r>
      <w:r>
        <w:t>here is a clinical need to offer patients options for moderate to severe</w:t>
      </w:r>
      <w:r w:rsidR="006271CF">
        <w:t xml:space="preserve"> post</w:t>
      </w:r>
      <w:r w:rsidR="00C01C10">
        <w:t>operative</w:t>
      </w:r>
      <w:r>
        <w:t xml:space="preserve"> pain. There is also a clinical need to reduce routine opioid prescribing in management of post</w:t>
      </w:r>
      <w:r w:rsidR="00C01C10">
        <w:t>operative</w:t>
      </w:r>
      <w:r>
        <w:t xml:space="preserve"> pain. </w:t>
      </w:r>
    </w:p>
    <w:p w14:paraId="0E4B06B4" w14:textId="0BE13F8D" w:rsidR="00567DFC" w:rsidRDefault="001736FF" w:rsidP="00884E5B">
      <w:pPr>
        <w:spacing w:after="240"/>
        <w:rPr>
          <w:iCs/>
        </w:rPr>
      </w:pPr>
      <w:r>
        <w:rPr>
          <w:iCs/>
        </w:rPr>
        <w:t>MSAC acknowledged the clinical need for</w:t>
      </w:r>
      <w:r w:rsidR="002D7357">
        <w:rPr>
          <w:iCs/>
        </w:rPr>
        <w:t xml:space="preserve"> some</w:t>
      </w:r>
      <w:r w:rsidR="009B5D76">
        <w:rPr>
          <w:iCs/>
        </w:rPr>
        <w:t xml:space="preserve"> nerve blocks considered in </w:t>
      </w:r>
      <w:r w:rsidR="00376609">
        <w:rPr>
          <w:iCs/>
        </w:rPr>
        <w:t>A</w:t>
      </w:r>
      <w:r w:rsidR="009B5D76">
        <w:rPr>
          <w:iCs/>
        </w:rPr>
        <w:t>pplication 1308,</w:t>
      </w:r>
      <w:r w:rsidR="002D7357">
        <w:rPr>
          <w:iCs/>
        </w:rPr>
        <w:t xml:space="preserve"> noting </w:t>
      </w:r>
      <w:r w:rsidR="009B5D76">
        <w:rPr>
          <w:iCs/>
        </w:rPr>
        <w:t xml:space="preserve">that a resubmission should identify high </w:t>
      </w:r>
      <w:r w:rsidR="000223D2">
        <w:rPr>
          <w:iCs/>
        </w:rPr>
        <w:t xml:space="preserve">value </w:t>
      </w:r>
      <w:r w:rsidR="009B5D76">
        <w:rPr>
          <w:iCs/>
        </w:rPr>
        <w:t>uses</w:t>
      </w:r>
      <w:r w:rsidR="00C532AD">
        <w:rPr>
          <w:iCs/>
        </w:rPr>
        <w:t>.</w:t>
      </w:r>
      <w:r w:rsidR="00520402">
        <w:rPr>
          <w:iCs/>
        </w:rPr>
        <w:t xml:space="preserve"> </w:t>
      </w:r>
      <w:r w:rsidR="00A236E4">
        <w:rPr>
          <w:iCs/>
        </w:rPr>
        <w:t>Since then</w:t>
      </w:r>
      <w:r w:rsidR="0051432E">
        <w:rPr>
          <w:iCs/>
        </w:rPr>
        <w:t>,</w:t>
      </w:r>
      <w:r w:rsidR="00E80356">
        <w:rPr>
          <w:iCs/>
        </w:rPr>
        <w:t xml:space="preserve"> the following changes have occurred:</w:t>
      </w:r>
    </w:p>
    <w:p w14:paraId="6246C3D9" w14:textId="43B0EEBD" w:rsidR="00E80356" w:rsidRPr="00323C49" w:rsidRDefault="004332E8" w:rsidP="00323C49">
      <w:pPr>
        <w:pStyle w:val="ListParagraph"/>
        <w:numPr>
          <w:ilvl w:val="0"/>
          <w:numId w:val="11"/>
        </w:numPr>
        <w:spacing w:after="240"/>
        <w:rPr>
          <w:iCs/>
        </w:rPr>
      </w:pPr>
      <w:r w:rsidRPr="00323C49">
        <w:rPr>
          <w:iCs/>
        </w:rPr>
        <w:t xml:space="preserve">Item 22041 for single injection nerve blocks was listed </w:t>
      </w:r>
      <w:r w:rsidR="002D7357">
        <w:rPr>
          <w:iCs/>
        </w:rPr>
        <w:t xml:space="preserve">on the MBS </w:t>
      </w:r>
      <w:r w:rsidRPr="00323C49">
        <w:rPr>
          <w:iCs/>
        </w:rPr>
        <w:t>(1 November 2019)</w:t>
      </w:r>
      <w:r w:rsidR="00525215">
        <w:rPr>
          <w:iCs/>
        </w:rPr>
        <w:t>.</w:t>
      </w:r>
      <w:r w:rsidR="001310D9">
        <w:rPr>
          <w:iCs/>
        </w:rPr>
        <w:t xml:space="preserve"> </w:t>
      </w:r>
    </w:p>
    <w:p w14:paraId="7B9501E4" w14:textId="23DCDE8D" w:rsidR="00EC6C2C" w:rsidRPr="00323C49" w:rsidRDefault="009F5B3C" w:rsidP="00323C49">
      <w:pPr>
        <w:pStyle w:val="ListParagraph"/>
        <w:numPr>
          <w:ilvl w:val="0"/>
          <w:numId w:val="11"/>
        </w:numPr>
        <w:spacing w:after="240"/>
        <w:rPr>
          <w:iCs/>
        </w:rPr>
      </w:pPr>
      <w:r>
        <w:rPr>
          <w:iCs/>
        </w:rPr>
        <w:t>In 2020, t</w:t>
      </w:r>
      <w:r w:rsidRPr="00884E5B">
        <w:rPr>
          <w:iCs/>
        </w:rPr>
        <w:t xml:space="preserve">he </w:t>
      </w:r>
      <w:r>
        <w:rPr>
          <w:iCs/>
        </w:rPr>
        <w:t xml:space="preserve">Therapeutic Goods Administration (TGA) </w:t>
      </w:r>
      <w:r w:rsidR="001E448C" w:rsidRPr="00323C49">
        <w:rPr>
          <w:iCs/>
        </w:rPr>
        <w:t>revised the scheduling</w:t>
      </w:r>
      <w:r w:rsidR="007302B6">
        <w:rPr>
          <w:iCs/>
        </w:rPr>
        <w:t>, pack sizes</w:t>
      </w:r>
      <w:r w:rsidR="001E448C" w:rsidRPr="00323C49">
        <w:rPr>
          <w:iCs/>
        </w:rPr>
        <w:t xml:space="preserve"> and approved indications for </w:t>
      </w:r>
      <w:r w:rsidR="007302B6">
        <w:rPr>
          <w:iCs/>
        </w:rPr>
        <w:t xml:space="preserve">some </w:t>
      </w:r>
      <w:r w:rsidR="001E448C" w:rsidRPr="00323C49">
        <w:rPr>
          <w:iCs/>
        </w:rPr>
        <w:t>o</w:t>
      </w:r>
      <w:r w:rsidR="009643BC" w:rsidRPr="00323C49">
        <w:rPr>
          <w:iCs/>
        </w:rPr>
        <w:t>pioid</w:t>
      </w:r>
      <w:r w:rsidR="001E448C" w:rsidRPr="00323C49">
        <w:rPr>
          <w:iCs/>
        </w:rPr>
        <w:t>s</w:t>
      </w:r>
      <w:r w:rsidR="00EC6C2C" w:rsidRPr="00323C49">
        <w:rPr>
          <w:iCs/>
        </w:rPr>
        <w:t xml:space="preserve"> with implications for post</w:t>
      </w:r>
      <w:r w:rsidR="00C01C10">
        <w:rPr>
          <w:iCs/>
        </w:rPr>
        <w:t>operative</w:t>
      </w:r>
      <w:r w:rsidR="00EC6C2C" w:rsidRPr="00323C49">
        <w:rPr>
          <w:iCs/>
        </w:rPr>
        <w:t xml:space="preserve"> pain management</w:t>
      </w:r>
      <w:r w:rsidR="00525215">
        <w:rPr>
          <w:iCs/>
        </w:rPr>
        <w:t>.</w:t>
      </w:r>
    </w:p>
    <w:p w14:paraId="094BB86A" w14:textId="10F1F782" w:rsidR="004332E8" w:rsidRPr="00323C49" w:rsidRDefault="004139CD" w:rsidP="00323C49">
      <w:pPr>
        <w:pStyle w:val="ListParagraph"/>
        <w:numPr>
          <w:ilvl w:val="0"/>
          <w:numId w:val="11"/>
        </w:numPr>
        <w:spacing w:after="240"/>
        <w:rPr>
          <w:iCs/>
        </w:rPr>
      </w:pPr>
      <w:r w:rsidRPr="00323C49">
        <w:rPr>
          <w:iCs/>
        </w:rPr>
        <w:t xml:space="preserve">Multimodal analgesia </w:t>
      </w:r>
      <w:r w:rsidR="003C33A4" w:rsidRPr="00323C49">
        <w:rPr>
          <w:iCs/>
        </w:rPr>
        <w:t xml:space="preserve">has come to the fore of </w:t>
      </w:r>
      <w:r w:rsidR="00186FF2" w:rsidRPr="00323C49">
        <w:rPr>
          <w:iCs/>
        </w:rPr>
        <w:t>post</w:t>
      </w:r>
      <w:r w:rsidR="00C01C10">
        <w:rPr>
          <w:iCs/>
        </w:rPr>
        <w:t>operative</w:t>
      </w:r>
      <w:r w:rsidR="00186FF2" w:rsidRPr="00323C49">
        <w:rPr>
          <w:iCs/>
        </w:rPr>
        <w:t xml:space="preserve"> pain management</w:t>
      </w:r>
      <w:r w:rsidR="009F3B4E" w:rsidRPr="00323C49">
        <w:rPr>
          <w:iCs/>
        </w:rPr>
        <w:t xml:space="preserve">, which </w:t>
      </w:r>
      <w:r w:rsidR="00EC034A">
        <w:rPr>
          <w:iCs/>
        </w:rPr>
        <w:t>employs</w:t>
      </w:r>
      <w:r w:rsidR="009F3B4E" w:rsidRPr="00323C49">
        <w:rPr>
          <w:iCs/>
        </w:rPr>
        <w:t xml:space="preserve"> a variety of </w:t>
      </w:r>
      <w:r w:rsidR="00323C49" w:rsidRPr="00323C49">
        <w:rPr>
          <w:iCs/>
        </w:rPr>
        <w:t>appro</w:t>
      </w:r>
      <w:r w:rsidR="00323C49" w:rsidRPr="003219CF">
        <w:rPr>
          <w:iCs/>
        </w:rPr>
        <w:t>aches including regional nerve block</w:t>
      </w:r>
      <w:r w:rsidR="005E1A47" w:rsidRPr="003219CF">
        <w:rPr>
          <w:iCs/>
        </w:rPr>
        <w:t xml:space="preserve"> (Joshi </w:t>
      </w:r>
      <w:r w:rsidR="002E43C2">
        <w:rPr>
          <w:iCs/>
        </w:rPr>
        <w:t xml:space="preserve">et al., </w:t>
      </w:r>
      <w:r w:rsidR="005E1A47" w:rsidRPr="003219CF">
        <w:rPr>
          <w:iCs/>
        </w:rPr>
        <w:t>2016)</w:t>
      </w:r>
      <w:r w:rsidR="009630A5" w:rsidRPr="003219CF">
        <w:rPr>
          <w:iCs/>
        </w:rPr>
        <w:t>. I</w:t>
      </w:r>
      <w:r w:rsidR="005209A1" w:rsidRPr="003219CF">
        <w:rPr>
          <w:iCs/>
        </w:rPr>
        <w:t>n</w:t>
      </w:r>
      <w:r w:rsidR="009630A5" w:rsidRPr="003219CF">
        <w:rPr>
          <w:iCs/>
        </w:rPr>
        <w:t xml:space="preserve"> part</w:t>
      </w:r>
      <w:r w:rsidR="00DF382C" w:rsidRPr="003219CF">
        <w:rPr>
          <w:iCs/>
        </w:rPr>
        <w:t>,</w:t>
      </w:r>
      <w:r w:rsidR="009630A5" w:rsidRPr="003219CF">
        <w:rPr>
          <w:iCs/>
        </w:rPr>
        <w:t xml:space="preserve"> this reflects the</w:t>
      </w:r>
      <w:r w:rsidR="009630A5">
        <w:rPr>
          <w:iCs/>
        </w:rPr>
        <w:t xml:space="preserve"> shift away from opioid use</w:t>
      </w:r>
      <w:r w:rsidR="002E43C2">
        <w:rPr>
          <w:iCs/>
        </w:rPr>
        <w:t>,</w:t>
      </w:r>
      <w:r w:rsidR="009630A5">
        <w:rPr>
          <w:iCs/>
        </w:rPr>
        <w:t xml:space="preserve"> not only in Australia</w:t>
      </w:r>
      <w:r w:rsidR="002E43C2">
        <w:rPr>
          <w:iCs/>
        </w:rPr>
        <w:t>,</w:t>
      </w:r>
      <w:r w:rsidR="009630A5">
        <w:rPr>
          <w:iCs/>
        </w:rPr>
        <w:t xml:space="preserve"> but overseas, </w:t>
      </w:r>
      <w:r w:rsidR="00F10E33">
        <w:rPr>
          <w:iCs/>
        </w:rPr>
        <w:t>particularly</w:t>
      </w:r>
      <w:r w:rsidR="005209A1">
        <w:rPr>
          <w:iCs/>
        </w:rPr>
        <w:t xml:space="preserve"> in North America</w:t>
      </w:r>
      <w:r w:rsidR="00DF382C">
        <w:rPr>
          <w:iCs/>
        </w:rPr>
        <w:t>.</w:t>
      </w:r>
      <w:r w:rsidR="00647442">
        <w:rPr>
          <w:iCs/>
        </w:rPr>
        <w:t xml:space="preserve"> </w:t>
      </w:r>
      <w:r w:rsidR="00D957DC">
        <w:rPr>
          <w:iCs/>
        </w:rPr>
        <w:t>Effective peri</w:t>
      </w:r>
      <w:r w:rsidR="00C01C10">
        <w:rPr>
          <w:iCs/>
        </w:rPr>
        <w:t>operative</w:t>
      </w:r>
      <w:r w:rsidR="00D957DC">
        <w:rPr>
          <w:iCs/>
        </w:rPr>
        <w:t xml:space="preserve"> m</w:t>
      </w:r>
      <w:r w:rsidR="00084D74">
        <w:rPr>
          <w:iCs/>
        </w:rPr>
        <w:t>ulti-modal analgesia</w:t>
      </w:r>
      <w:r w:rsidR="00647442">
        <w:rPr>
          <w:iCs/>
        </w:rPr>
        <w:t xml:space="preserve"> </w:t>
      </w:r>
      <w:r w:rsidR="00CC78CF">
        <w:rPr>
          <w:iCs/>
        </w:rPr>
        <w:t>is also an essential element o</w:t>
      </w:r>
      <w:r w:rsidR="00382E63">
        <w:rPr>
          <w:iCs/>
        </w:rPr>
        <w:t xml:space="preserve">f </w:t>
      </w:r>
      <w:r w:rsidR="00DD61D6">
        <w:rPr>
          <w:iCs/>
        </w:rPr>
        <w:t>ERAS (</w:t>
      </w:r>
      <w:r w:rsidR="00BC4AFD">
        <w:rPr>
          <w:iCs/>
        </w:rPr>
        <w:t>E</w:t>
      </w:r>
      <w:r w:rsidR="00DD61D6">
        <w:rPr>
          <w:iCs/>
        </w:rPr>
        <w:t xml:space="preserve">nhanced </w:t>
      </w:r>
      <w:r w:rsidR="00BC4AFD">
        <w:rPr>
          <w:iCs/>
        </w:rPr>
        <w:t>R</w:t>
      </w:r>
      <w:r w:rsidR="00DD61D6">
        <w:rPr>
          <w:iCs/>
        </w:rPr>
        <w:t xml:space="preserve">ecovery </w:t>
      </w:r>
      <w:r w:rsidR="00BC4AFD">
        <w:rPr>
          <w:iCs/>
        </w:rPr>
        <w:t>A</w:t>
      </w:r>
      <w:r w:rsidR="00DD61D6">
        <w:rPr>
          <w:iCs/>
        </w:rPr>
        <w:t xml:space="preserve">fter </w:t>
      </w:r>
      <w:r w:rsidR="00BC4AFD">
        <w:rPr>
          <w:iCs/>
        </w:rPr>
        <w:t>S</w:t>
      </w:r>
      <w:r w:rsidR="00DD61D6">
        <w:rPr>
          <w:iCs/>
        </w:rPr>
        <w:t>urgery)</w:t>
      </w:r>
      <w:r w:rsidR="00E614A8">
        <w:rPr>
          <w:iCs/>
        </w:rPr>
        <w:t xml:space="preserve">, which </w:t>
      </w:r>
      <w:r w:rsidR="00B728BC">
        <w:rPr>
          <w:iCs/>
        </w:rPr>
        <w:t>aims to improve patient recovery a</w:t>
      </w:r>
      <w:r w:rsidR="00292875">
        <w:rPr>
          <w:iCs/>
        </w:rPr>
        <w:t>n</w:t>
      </w:r>
      <w:r w:rsidR="00B728BC">
        <w:rPr>
          <w:iCs/>
        </w:rPr>
        <w:t xml:space="preserve">d optimise outcomes </w:t>
      </w:r>
      <w:r w:rsidR="00292875">
        <w:rPr>
          <w:iCs/>
        </w:rPr>
        <w:t>after surgery</w:t>
      </w:r>
      <w:r w:rsidR="00DD61D6">
        <w:rPr>
          <w:iCs/>
        </w:rPr>
        <w:t xml:space="preserve">. </w:t>
      </w:r>
    </w:p>
    <w:p w14:paraId="14D55ABD" w14:textId="51CF2631" w:rsidR="00E449C5" w:rsidRDefault="00AA0913" w:rsidP="00884E5B">
      <w:pPr>
        <w:spacing w:after="240"/>
        <w:rPr>
          <w:iCs/>
        </w:rPr>
      </w:pPr>
      <w:r>
        <w:rPr>
          <w:iCs/>
        </w:rPr>
        <w:t xml:space="preserve">Since the TGA’s review, </w:t>
      </w:r>
      <w:r w:rsidR="00884E5B">
        <w:rPr>
          <w:iCs/>
        </w:rPr>
        <w:t>approved indications for opioids</w:t>
      </w:r>
      <w:r w:rsidR="00F24F83">
        <w:rPr>
          <w:iCs/>
        </w:rPr>
        <w:t xml:space="preserve"> </w:t>
      </w:r>
      <w:r w:rsidR="00637BAC">
        <w:rPr>
          <w:iCs/>
        </w:rPr>
        <w:t xml:space="preserve">in Australia </w:t>
      </w:r>
      <w:r w:rsidR="00F24F83">
        <w:rPr>
          <w:iCs/>
        </w:rPr>
        <w:t xml:space="preserve">no longer </w:t>
      </w:r>
      <w:r w:rsidR="008E4123">
        <w:rPr>
          <w:iCs/>
        </w:rPr>
        <w:t>include indications</w:t>
      </w:r>
      <w:r w:rsidR="00F24F83">
        <w:rPr>
          <w:iCs/>
        </w:rPr>
        <w:t xml:space="preserve"> for </w:t>
      </w:r>
      <w:r w:rsidR="000B250B" w:rsidRPr="00BC13D1">
        <w:rPr>
          <w:iCs/>
        </w:rPr>
        <w:t>management of</w:t>
      </w:r>
      <w:r w:rsidR="00F24F83" w:rsidRPr="00BC13D1">
        <w:rPr>
          <w:iCs/>
        </w:rPr>
        <w:t xml:space="preserve"> chronic pain</w:t>
      </w:r>
      <w:r w:rsidR="00E80040" w:rsidRPr="00BC13D1">
        <w:rPr>
          <w:rStyle w:val="FootnoteReference"/>
          <w:iCs/>
        </w:rPr>
        <w:footnoteReference w:id="2"/>
      </w:r>
      <w:r w:rsidR="00F24F83" w:rsidRPr="00BC13D1">
        <w:rPr>
          <w:iCs/>
        </w:rPr>
        <w:t xml:space="preserve"> </w:t>
      </w:r>
      <w:r w:rsidR="001F39D8" w:rsidRPr="00BC13D1">
        <w:rPr>
          <w:iCs/>
        </w:rPr>
        <w:t>aside from</w:t>
      </w:r>
      <w:r w:rsidR="00F24F83" w:rsidRPr="00BC13D1">
        <w:rPr>
          <w:iCs/>
        </w:rPr>
        <w:t xml:space="preserve"> cancer pain</w:t>
      </w:r>
      <w:r w:rsidR="002A54FF" w:rsidRPr="00BC13D1">
        <w:rPr>
          <w:iCs/>
        </w:rPr>
        <w:t>,</w:t>
      </w:r>
      <w:r w:rsidR="00E80040" w:rsidRPr="00BC13D1">
        <w:rPr>
          <w:iCs/>
        </w:rPr>
        <w:t xml:space="preserve"> </w:t>
      </w:r>
      <w:r w:rsidR="00826EC1" w:rsidRPr="00BC13D1">
        <w:rPr>
          <w:iCs/>
        </w:rPr>
        <w:t xml:space="preserve">and </w:t>
      </w:r>
      <w:r w:rsidR="001F39D8" w:rsidRPr="00BC13D1">
        <w:rPr>
          <w:iCs/>
        </w:rPr>
        <w:t>except</w:t>
      </w:r>
      <w:r w:rsidR="00E80040" w:rsidRPr="00BC13D1">
        <w:rPr>
          <w:iCs/>
        </w:rPr>
        <w:t xml:space="preserve"> in </w:t>
      </w:r>
      <w:r w:rsidR="001F39D8" w:rsidRPr="00BC13D1">
        <w:rPr>
          <w:iCs/>
        </w:rPr>
        <w:t>very specific</w:t>
      </w:r>
      <w:r w:rsidR="00E80040" w:rsidRPr="00BC13D1">
        <w:rPr>
          <w:iCs/>
        </w:rPr>
        <w:t xml:space="preserve"> situations</w:t>
      </w:r>
      <w:r w:rsidR="001F39D8" w:rsidRPr="00BC13D1">
        <w:rPr>
          <w:iCs/>
        </w:rPr>
        <w:t xml:space="preserve"> such as end of</w:t>
      </w:r>
      <w:r w:rsidR="001F39D8">
        <w:rPr>
          <w:iCs/>
        </w:rPr>
        <w:t xml:space="preserve"> life care</w:t>
      </w:r>
      <w:r w:rsidR="008576EC">
        <w:rPr>
          <w:iCs/>
        </w:rPr>
        <w:t xml:space="preserve"> or managing opioid substance abuse</w:t>
      </w:r>
      <w:r w:rsidR="00F24F83">
        <w:rPr>
          <w:iCs/>
        </w:rPr>
        <w:t xml:space="preserve">. </w:t>
      </w:r>
      <w:r w:rsidR="00E449C5">
        <w:rPr>
          <w:iCs/>
        </w:rPr>
        <w:t xml:space="preserve">All opioids in Australia </w:t>
      </w:r>
      <w:r w:rsidR="00E43432">
        <w:rPr>
          <w:iCs/>
        </w:rPr>
        <w:t xml:space="preserve">must </w:t>
      </w:r>
      <w:r w:rsidR="00E449C5">
        <w:rPr>
          <w:iCs/>
        </w:rPr>
        <w:t>now carry the following boxed warning:</w:t>
      </w:r>
    </w:p>
    <w:p w14:paraId="60B1CE3F" w14:textId="1454EA65" w:rsidR="00E449C5" w:rsidRPr="00E449C5" w:rsidRDefault="00E449C5" w:rsidP="00E449C5">
      <w:pPr>
        <w:spacing w:after="240"/>
        <w:ind w:left="567" w:right="509"/>
        <w:rPr>
          <w:i/>
        </w:rPr>
      </w:pPr>
      <w:r w:rsidRPr="00E449C5">
        <w:rPr>
          <w:i/>
        </w:rPr>
        <w:t>“[This opioid product] should only be used in patients for whom other treatment options, including non-opioid analgesics, are ineffective, not tolerated or otherwise inadequate to provide appropriate management of pain.”</w:t>
      </w:r>
    </w:p>
    <w:p w14:paraId="3A3D0595" w14:textId="575AD1BD" w:rsidR="00D6776D" w:rsidRDefault="00C540DB" w:rsidP="00884E5B">
      <w:pPr>
        <w:spacing w:after="240"/>
        <w:rPr>
          <w:iCs/>
        </w:rPr>
      </w:pPr>
      <w:r>
        <w:rPr>
          <w:iCs/>
        </w:rPr>
        <w:t>Post</w:t>
      </w:r>
      <w:r w:rsidR="00C01C10">
        <w:rPr>
          <w:iCs/>
        </w:rPr>
        <w:t>operative</w:t>
      </w:r>
      <w:r>
        <w:rPr>
          <w:iCs/>
        </w:rPr>
        <w:t xml:space="preserve"> pain is considered acute pain – </w:t>
      </w:r>
      <w:r w:rsidR="00857FDF">
        <w:rPr>
          <w:iCs/>
        </w:rPr>
        <w:t xml:space="preserve">following the TGA’s review, routine prescribing of </w:t>
      </w:r>
      <w:r>
        <w:rPr>
          <w:iCs/>
        </w:rPr>
        <w:t>opioid</w:t>
      </w:r>
      <w:r w:rsidR="00857FDF">
        <w:rPr>
          <w:iCs/>
        </w:rPr>
        <w:t>s for</w:t>
      </w:r>
      <w:r>
        <w:rPr>
          <w:iCs/>
        </w:rPr>
        <w:t xml:space="preserve"> use beyond</w:t>
      </w:r>
      <w:r w:rsidR="00D676DE">
        <w:rPr>
          <w:iCs/>
        </w:rPr>
        <w:t xml:space="preserve"> a week</w:t>
      </w:r>
      <w:r w:rsidR="002A2CAC">
        <w:rPr>
          <w:iCs/>
        </w:rPr>
        <w:t xml:space="preserve"> </w:t>
      </w:r>
      <w:r>
        <w:rPr>
          <w:iCs/>
        </w:rPr>
        <w:t xml:space="preserve">would not be appropriate for acute pain. </w:t>
      </w:r>
      <w:r w:rsidR="002642A9">
        <w:rPr>
          <w:iCs/>
        </w:rPr>
        <w:t xml:space="preserve">This </w:t>
      </w:r>
      <w:r w:rsidR="003B6B43">
        <w:rPr>
          <w:iCs/>
        </w:rPr>
        <w:t xml:space="preserve">has necessitated a shift away from oral opioids as </w:t>
      </w:r>
      <w:r w:rsidR="00BA793B">
        <w:rPr>
          <w:iCs/>
        </w:rPr>
        <w:t xml:space="preserve">the standard analgesia for </w:t>
      </w:r>
      <w:r w:rsidR="00BC4DA1">
        <w:rPr>
          <w:iCs/>
        </w:rPr>
        <w:t>post</w:t>
      </w:r>
      <w:r w:rsidR="00C01C10">
        <w:rPr>
          <w:iCs/>
        </w:rPr>
        <w:t>operative</w:t>
      </w:r>
      <w:r w:rsidR="00BC4DA1">
        <w:rPr>
          <w:iCs/>
        </w:rPr>
        <w:t xml:space="preserve"> care</w:t>
      </w:r>
      <w:r w:rsidR="00BF40A3">
        <w:rPr>
          <w:iCs/>
        </w:rPr>
        <w:t>,</w:t>
      </w:r>
      <w:r w:rsidR="008576EC">
        <w:rPr>
          <w:iCs/>
        </w:rPr>
        <w:t xml:space="preserve"> where a patient would be transitioned from </w:t>
      </w:r>
      <w:r w:rsidR="00BF40A3">
        <w:rPr>
          <w:iCs/>
        </w:rPr>
        <w:t>intravenous (</w:t>
      </w:r>
      <w:r w:rsidR="008576EC">
        <w:rPr>
          <w:iCs/>
        </w:rPr>
        <w:t>IV</w:t>
      </w:r>
      <w:r w:rsidR="00BF40A3">
        <w:rPr>
          <w:iCs/>
        </w:rPr>
        <w:t>)</w:t>
      </w:r>
      <w:r w:rsidR="008576EC">
        <w:rPr>
          <w:iCs/>
        </w:rPr>
        <w:t xml:space="preserve"> opioids to oral </w:t>
      </w:r>
      <w:r w:rsidR="003A5852">
        <w:rPr>
          <w:iCs/>
        </w:rPr>
        <w:t>opioids on the ward prior to discharge</w:t>
      </w:r>
      <w:r w:rsidR="00A67ACA">
        <w:rPr>
          <w:iCs/>
        </w:rPr>
        <w:t>,</w:t>
      </w:r>
      <w:r w:rsidR="003A5852">
        <w:rPr>
          <w:iCs/>
        </w:rPr>
        <w:t xml:space="preserve"> with a further supply of oral opioids </w:t>
      </w:r>
      <w:r w:rsidR="009E3182">
        <w:rPr>
          <w:iCs/>
        </w:rPr>
        <w:t>to take at home</w:t>
      </w:r>
      <w:r w:rsidR="005123AA">
        <w:rPr>
          <w:iCs/>
        </w:rPr>
        <w:t xml:space="preserve"> for a week or so</w:t>
      </w:r>
      <w:r w:rsidR="00BC4DA1">
        <w:rPr>
          <w:iCs/>
        </w:rPr>
        <w:t xml:space="preserve">. </w:t>
      </w:r>
    </w:p>
    <w:p w14:paraId="6150B26B" w14:textId="2B881948" w:rsidR="00477666" w:rsidRDefault="00477666" w:rsidP="00884E5B">
      <w:pPr>
        <w:spacing w:after="240"/>
        <w:rPr>
          <w:iCs/>
        </w:rPr>
      </w:pPr>
      <w:r>
        <w:rPr>
          <w:iCs/>
        </w:rPr>
        <w:t xml:space="preserve">The most commonly used </w:t>
      </w:r>
      <w:r w:rsidR="002D7357">
        <w:rPr>
          <w:iCs/>
        </w:rPr>
        <w:t xml:space="preserve">non-opioid </w:t>
      </w:r>
      <w:r>
        <w:rPr>
          <w:iCs/>
        </w:rPr>
        <w:t>oral analgesics are paracetamol</w:t>
      </w:r>
      <w:r w:rsidR="00BF40A3">
        <w:rPr>
          <w:iCs/>
        </w:rPr>
        <w:t>,</w:t>
      </w:r>
      <w:r>
        <w:rPr>
          <w:iCs/>
        </w:rPr>
        <w:t xml:space="preserve"> </w:t>
      </w:r>
      <w:r w:rsidR="00C07F04">
        <w:rPr>
          <w:iCs/>
        </w:rPr>
        <w:t>ibuprofen</w:t>
      </w:r>
      <w:r w:rsidR="00F92D1F">
        <w:rPr>
          <w:iCs/>
        </w:rPr>
        <w:t xml:space="preserve"> and the </w:t>
      </w:r>
      <w:r w:rsidR="00F22D63">
        <w:rPr>
          <w:iCs/>
        </w:rPr>
        <w:t xml:space="preserve">selective </w:t>
      </w:r>
      <w:r w:rsidR="00BF40A3">
        <w:rPr>
          <w:iCs/>
        </w:rPr>
        <w:t>cyclooxygenase-2 (</w:t>
      </w:r>
      <w:r w:rsidR="00F92D1F">
        <w:rPr>
          <w:iCs/>
        </w:rPr>
        <w:t>COX-2</w:t>
      </w:r>
      <w:r w:rsidR="00BF40A3">
        <w:rPr>
          <w:iCs/>
        </w:rPr>
        <w:t>)</w:t>
      </w:r>
      <w:r w:rsidR="00F92D1F">
        <w:rPr>
          <w:iCs/>
        </w:rPr>
        <w:t xml:space="preserve"> inhibitor </w:t>
      </w:r>
      <w:r w:rsidR="00C07F04">
        <w:rPr>
          <w:iCs/>
        </w:rPr>
        <w:t>celecoxib</w:t>
      </w:r>
      <w:r w:rsidR="00690173">
        <w:rPr>
          <w:iCs/>
        </w:rPr>
        <w:t xml:space="preserve">. Other </w:t>
      </w:r>
      <w:r w:rsidR="00F22D63">
        <w:rPr>
          <w:iCs/>
        </w:rPr>
        <w:t xml:space="preserve">less commonly used </w:t>
      </w:r>
      <w:r w:rsidR="00690173">
        <w:rPr>
          <w:iCs/>
        </w:rPr>
        <w:t xml:space="preserve">options include </w:t>
      </w:r>
      <w:r w:rsidR="00C43B5F">
        <w:rPr>
          <w:iCs/>
        </w:rPr>
        <w:t xml:space="preserve">the </w:t>
      </w:r>
      <w:r w:rsidR="000D22DB">
        <w:rPr>
          <w:iCs/>
        </w:rPr>
        <w:t>non-steroidal anti-inflammatory drugs (</w:t>
      </w:r>
      <w:r w:rsidR="00690173">
        <w:rPr>
          <w:iCs/>
        </w:rPr>
        <w:t>NSAIDs</w:t>
      </w:r>
      <w:r w:rsidR="00C16898">
        <w:rPr>
          <w:iCs/>
        </w:rPr>
        <w:t>)</w:t>
      </w:r>
      <w:r w:rsidR="00690173">
        <w:rPr>
          <w:iCs/>
        </w:rPr>
        <w:t xml:space="preserve"> mefenamic acid, diclofenac</w:t>
      </w:r>
      <w:r w:rsidR="00C07F04">
        <w:rPr>
          <w:iCs/>
        </w:rPr>
        <w:t>,</w:t>
      </w:r>
      <w:r w:rsidR="00690173">
        <w:rPr>
          <w:iCs/>
        </w:rPr>
        <w:t xml:space="preserve"> </w:t>
      </w:r>
      <w:r w:rsidR="00F22D63">
        <w:rPr>
          <w:iCs/>
        </w:rPr>
        <w:t>naproxen</w:t>
      </w:r>
      <w:r w:rsidR="00C16898">
        <w:rPr>
          <w:iCs/>
        </w:rPr>
        <w:t>;</w:t>
      </w:r>
      <w:r w:rsidR="00F22D63">
        <w:rPr>
          <w:iCs/>
        </w:rPr>
        <w:t xml:space="preserve"> </w:t>
      </w:r>
      <w:r w:rsidR="00690173">
        <w:rPr>
          <w:iCs/>
        </w:rPr>
        <w:t xml:space="preserve">and </w:t>
      </w:r>
      <w:r w:rsidR="00BF40A3">
        <w:rPr>
          <w:iCs/>
        </w:rPr>
        <w:t xml:space="preserve">the </w:t>
      </w:r>
      <w:r w:rsidR="002E7D0D">
        <w:rPr>
          <w:iCs/>
        </w:rPr>
        <w:t xml:space="preserve">selective </w:t>
      </w:r>
      <w:r w:rsidR="00690173">
        <w:rPr>
          <w:iCs/>
        </w:rPr>
        <w:t>COX-2 inhibitor</w:t>
      </w:r>
      <w:r w:rsidR="00F92D1F">
        <w:rPr>
          <w:iCs/>
        </w:rPr>
        <w:t xml:space="preserve"> parecoxib</w:t>
      </w:r>
      <w:r w:rsidR="000214CB">
        <w:rPr>
          <w:iCs/>
        </w:rPr>
        <w:t xml:space="preserve">. </w:t>
      </w:r>
      <w:r w:rsidR="00F13F4F">
        <w:rPr>
          <w:iCs/>
        </w:rPr>
        <w:t xml:space="preserve">These may be used as alternatives </w:t>
      </w:r>
      <w:r w:rsidR="00C07F04">
        <w:rPr>
          <w:iCs/>
        </w:rPr>
        <w:t>(</w:t>
      </w:r>
      <w:r w:rsidR="000B2093">
        <w:rPr>
          <w:iCs/>
        </w:rPr>
        <w:t>often</w:t>
      </w:r>
      <w:r w:rsidR="00C07F04">
        <w:rPr>
          <w:iCs/>
        </w:rPr>
        <w:t xml:space="preserve"> in combination) </w:t>
      </w:r>
      <w:r w:rsidR="00F13F4F">
        <w:rPr>
          <w:iCs/>
        </w:rPr>
        <w:t xml:space="preserve">or </w:t>
      </w:r>
      <w:r w:rsidR="00275C0C">
        <w:rPr>
          <w:iCs/>
        </w:rPr>
        <w:t>in addition</w:t>
      </w:r>
      <w:r w:rsidR="00F13F4F">
        <w:rPr>
          <w:iCs/>
        </w:rPr>
        <w:t xml:space="preserve"> to systemic opioids </w:t>
      </w:r>
      <w:r w:rsidR="00275C0C">
        <w:rPr>
          <w:iCs/>
        </w:rPr>
        <w:t xml:space="preserve">as part of an opioid sparing strategy. </w:t>
      </w:r>
    </w:p>
    <w:p w14:paraId="5EACE24A" w14:textId="3DE653C2" w:rsidR="00C540DB" w:rsidRDefault="008B52AA" w:rsidP="00884E5B">
      <w:pPr>
        <w:spacing w:after="240"/>
      </w:pPr>
      <w:r>
        <w:rPr>
          <w:iCs/>
        </w:rPr>
        <w:t xml:space="preserve">Long-term opioid use often begins with </w:t>
      </w:r>
      <w:r w:rsidR="0043070F">
        <w:rPr>
          <w:iCs/>
        </w:rPr>
        <w:t>opioid prescribing for acute pain</w:t>
      </w:r>
      <w:r w:rsidR="008065D7">
        <w:rPr>
          <w:iCs/>
        </w:rPr>
        <w:t xml:space="preserve"> (Schug et al., 2020)</w:t>
      </w:r>
      <w:r w:rsidR="0043070F">
        <w:rPr>
          <w:iCs/>
        </w:rPr>
        <w:t xml:space="preserve">. </w:t>
      </w:r>
      <w:r w:rsidR="009E3182">
        <w:rPr>
          <w:iCs/>
        </w:rPr>
        <w:t>In this context, a</w:t>
      </w:r>
      <w:r w:rsidR="009E3182">
        <w:t xml:space="preserve"> </w:t>
      </w:r>
      <w:r w:rsidR="00873396">
        <w:t xml:space="preserve">recent study </w:t>
      </w:r>
      <w:r w:rsidR="009E3182">
        <w:t xml:space="preserve">of </w:t>
      </w:r>
      <w:r w:rsidR="00C452B1">
        <w:t xml:space="preserve">1,900 osteoarthritis </w:t>
      </w:r>
      <w:r w:rsidR="009E3182">
        <w:t>patients undergoing total knee or total hip arthroplasty in 19 Australian centres found that 17.8% of patients were still using opioids at 90 days post-surgery (</w:t>
      </w:r>
      <w:r w:rsidR="009E3182" w:rsidRPr="006C551A">
        <w:t xml:space="preserve">Jenkin </w:t>
      </w:r>
      <w:r w:rsidR="000D347A">
        <w:t xml:space="preserve">et al., </w:t>
      </w:r>
      <w:r w:rsidR="009E3182" w:rsidRPr="006C551A">
        <w:t>2023</w:t>
      </w:r>
      <w:r w:rsidR="009E3182">
        <w:t>)</w:t>
      </w:r>
      <w:r w:rsidR="00983591">
        <w:t xml:space="preserve"> </w:t>
      </w:r>
      <w:r w:rsidR="00EE22D7">
        <w:t xml:space="preserve">(note </w:t>
      </w:r>
      <w:r w:rsidR="00BC4C55">
        <w:t>this type of joint</w:t>
      </w:r>
      <w:r w:rsidR="00EE22D7">
        <w:t xml:space="preserve"> surgery is usually indicated</w:t>
      </w:r>
      <w:r w:rsidR="00BC4C55">
        <w:t xml:space="preserve"> </w:t>
      </w:r>
      <w:r w:rsidR="008F28AC">
        <w:t xml:space="preserve">after </w:t>
      </w:r>
      <w:r w:rsidR="00EE22D7">
        <w:t>pain becomes unmanageable)</w:t>
      </w:r>
      <w:r w:rsidR="009E3182">
        <w:t xml:space="preserve">. </w:t>
      </w:r>
      <w:r w:rsidR="008D52E0">
        <w:t>T</w:t>
      </w:r>
      <w:r w:rsidR="006D0491">
        <w:t xml:space="preserve">hese </w:t>
      </w:r>
      <w:r w:rsidR="007876DC">
        <w:t xml:space="preserve">type of surgeries </w:t>
      </w:r>
      <w:r w:rsidR="00E32D0C">
        <w:t xml:space="preserve">(where patients </w:t>
      </w:r>
      <w:r w:rsidR="00E03E1C">
        <w:t>have a history o</w:t>
      </w:r>
      <w:r w:rsidR="00714F96">
        <w:t>f</w:t>
      </w:r>
      <w:r w:rsidR="00E03E1C">
        <w:t xml:space="preserve"> chronic pain or are </w:t>
      </w:r>
      <w:r w:rsidR="00290366">
        <w:t xml:space="preserve">at high risk of </w:t>
      </w:r>
      <w:r w:rsidR="008D52E0">
        <w:t>post</w:t>
      </w:r>
      <w:r w:rsidR="00C01C10">
        <w:t>operative</w:t>
      </w:r>
      <w:r w:rsidR="008D52E0">
        <w:t xml:space="preserve"> </w:t>
      </w:r>
      <w:r w:rsidR="00714F96">
        <w:t>long-</w:t>
      </w:r>
      <w:r w:rsidR="00714F96">
        <w:lastRenderedPageBreak/>
        <w:t xml:space="preserve">term opioid use) </w:t>
      </w:r>
      <w:r w:rsidR="00B61F91">
        <w:t>w</w:t>
      </w:r>
      <w:r w:rsidR="00714F96">
        <w:t>oul</w:t>
      </w:r>
      <w:r w:rsidR="007876DC">
        <w:t xml:space="preserve">d represent </w:t>
      </w:r>
      <w:r w:rsidR="00774C0F">
        <w:t xml:space="preserve">the </w:t>
      </w:r>
      <w:r w:rsidR="00290366">
        <w:t>‘</w:t>
      </w:r>
      <w:r w:rsidR="00327F42">
        <w:t xml:space="preserve">high </w:t>
      </w:r>
      <w:r w:rsidR="00C130D1">
        <w:t>value</w:t>
      </w:r>
      <w:r w:rsidR="00290366">
        <w:t>’</w:t>
      </w:r>
      <w:r w:rsidR="00C130D1">
        <w:t xml:space="preserve"> </w:t>
      </w:r>
      <w:r w:rsidR="007876DC">
        <w:t xml:space="preserve">uses MSAC </w:t>
      </w:r>
      <w:r w:rsidR="008D52E0">
        <w:t xml:space="preserve">was seeking </w:t>
      </w:r>
      <w:r w:rsidR="007876DC">
        <w:t xml:space="preserve">in its consideration of </w:t>
      </w:r>
      <w:r w:rsidR="008F28AC">
        <w:t>A</w:t>
      </w:r>
      <w:r w:rsidR="007876DC">
        <w:t>pplication 1308</w:t>
      </w:r>
      <w:r w:rsidR="00A77791">
        <w:t xml:space="preserve"> (see</w:t>
      </w:r>
      <w:r w:rsidR="00B330D3">
        <w:t xml:space="preserve"> </w:t>
      </w:r>
      <w:r w:rsidR="00B330D3">
        <w:fldChar w:fldCharType="begin"/>
      </w:r>
      <w:r w:rsidR="00B330D3">
        <w:instrText xml:space="preserve"> REF _Ref128134844 \h </w:instrText>
      </w:r>
      <w:r w:rsidR="00B330D3">
        <w:fldChar w:fldCharType="separate"/>
      </w:r>
      <w:r w:rsidR="00B65CEE" w:rsidRPr="00A71F15">
        <w:t xml:space="preserve">Table </w:t>
      </w:r>
      <w:r w:rsidR="00B65CEE">
        <w:rPr>
          <w:noProof/>
        </w:rPr>
        <w:t>4</w:t>
      </w:r>
      <w:r w:rsidR="00B330D3">
        <w:fldChar w:fldCharType="end"/>
      </w:r>
      <w:r w:rsidR="002D2AA5">
        <w:t>)</w:t>
      </w:r>
      <w:r w:rsidR="007876DC">
        <w:t xml:space="preserve">. </w:t>
      </w:r>
    </w:p>
    <w:p w14:paraId="475AB888" w14:textId="5F764FCB" w:rsidR="00DA70D5" w:rsidRPr="00DA70D5" w:rsidRDefault="005844F1" w:rsidP="00884E5B">
      <w:pPr>
        <w:spacing w:after="240"/>
      </w:pPr>
      <w:r>
        <w:t>In terms of clinical need, t</w:t>
      </w:r>
      <w:r w:rsidR="00DA70D5" w:rsidRPr="00DA70D5">
        <w:t xml:space="preserve">he applicant </w:t>
      </w:r>
      <w:r w:rsidR="00BD556D">
        <w:t>noted</w:t>
      </w:r>
      <w:r w:rsidR="00DA70D5" w:rsidRPr="00DA70D5">
        <w:t xml:space="preserve"> that </w:t>
      </w:r>
      <w:r w:rsidR="00245C7D">
        <w:t>p</w:t>
      </w:r>
      <w:r w:rsidR="00245C7D" w:rsidRPr="00245C7D">
        <w:t xml:space="preserve">atients expected to benefit </w:t>
      </w:r>
      <w:r w:rsidR="0047106C">
        <w:t xml:space="preserve">most </w:t>
      </w:r>
      <w:r w:rsidR="00245C7D" w:rsidRPr="00245C7D">
        <w:t xml:space="preserve">from this </w:t>
      </w:r>
      <w:r w:rsidR="009945B3">
        <w:t>intervention</w:t>
      </w:r>
      <w:r w:rsidR="009945B3" w:rsidRPr="00245C7D">
        <w:t xml:space="preserve"> </w:t>
      </w:r>
      <w:r w:rsidR="00245C7D" w:rsidRPr="00245C7D">
        <w:t xml:space="preserve">are those </w:t>
      </w:r>
      <w:r w:rsidR="007D39A2">
        <w:t xml:space="preserve">who are at risk of complications from systemic opioids. This would include patients </w:t>
      </w:r>
      <w:r w:rsidR="00245C7D" w:rsidRPr="00245C7D">
        <w:t xml:space="preserve">with </w:t>
      </w:r>
      <w:r w:rsidR="00245C7D">
        <w:t xml:space="preserve">conditions such as </w:t>
      </w:r>
      <w:r w:rsidR="00245C7D" w:rsidRPr="00245C7D">
        <w:t xml:space="preserve">obesity and obstructive sleep apnoea. </w:t>
      </w:r>
    </w:p>
    <w:p w14:paraId="2FF56E72" w14:textId="41983736" w:rsidR="00B96840" w:rsidRPr="00C11494" w:rsidRDefault="00087D3A" w:rsidP="00884E5B">
      <w:pPr>
        <w:spacing w:after="240"/>
      </w:pPr>
      <w:r>
        <w:t>E</w:t>
      </w:r>
      <w:r w:rsidR="006175B3" w:rsidRPr="00087D3A">
        <w:t>vidence-based guidelines by the PROSPECT Working Group of the European Society of Regional</w:t>
      </w:r>
      <w:r w:rsidR="006175B3" w:rsidRPr="00C11494">
        <w:t xml:space="preserve"> Anaesthesia (ESRA) recommend </w:t>
      </w:r>
      <w:r w:rsidR="00BF4393" w:rsidRPr="00C11494">
        <w:t>a combination of</w:t>
      </w:r>
      <w:r w:rsidR="00685A90" w:rsidRPr="00C11494">
        <w:t xml:space="preserve"> </w:t>
      </w:r>
      <w:r w:rsidR="00BF4393" w:rsidRPr="00C11494">
        <w:t xml:space="preserve">regional </w:t>
      </w:r>
      <w:r w:rsidR="00643B63" w:rsidRPr="00C11494">
        <w:t xml:space="preserve">analgesia and </w:t>
      </w:r>
      <w:r w:rsidR="00BF4393" w:rsidRPr="00C11494">
        <w:t xml:space="preserve">systemic non-opioid analgesia </w:t>
      </w:r>
      <w:r w:rsidR="00685A90" w:rsidRPr="00C11494">
        <w:t>for post</w:t>
      </w:r>
      <w:r w:rsidR="00C01C10">
        <w:t>operative</w:t>
      </w:r>
      <w:r w:rsidR="00685A90" w:rsidRPr="00C11494">
        <w:t xml:space="preserve"> pain</w:t>
      </w:r>
      <w:r w:rsidR="00544DD1">
        <w:t xml:space="preserve">, </w:t>
      </w:r>
      <w:r w:rsidR="0057740D">
        <w:t>w</w:t>
      </w:r>
      <w:r w:rsidR="0057740D" w:rsidRPr="00C11494">
        <w:t>ith opioids as rescue medication only (for breakthrough pain) for</w:t>
      </w:r>
      <w:r w:rsidR="00685A90" w:rsidRPr="00C11494">
        <w:t>:</w:t>
      </w:r>
    </w:p>
    <w:p w14:paraId="37737243" w14:textId="674E3E30" w:rsidR="00B96840" w:rsidRPr="003219CF" w:rsidRDefault="008F28AC" w:rsidP="0057740D">
      <w:pPr>
        <w:pStyle w:val="ListParagraph"/>
        <w:numPr>
          <w:ilvl w:val="0"/>
          <w:numId w:val="23"/>
        </w:numPr>
        <w:spacing w:after="240"/>
        <w:ind w:left="284" w:hanging="218"/>
      </w:pPr>
      <w:r>
        <w:t>r</w:t>
      </w:r>
      <w:r w:rsidR="002669FD" w:rsidRPr="00C11494">
        <w:t>o</w:t>
      </w:r>
      <w:r w:rsidR="002669FD" w:rsidRPr="003219CF">
        <w:t xml:space="preserve">tator cuff repair </w:t>
      </w:r>
      <w:r w:rsidR="0055485F" w:rsidRPr="003219CF">
        <w:t>–</w:t>
      </w:r>
      <w:r w:rsidR="00141337" w:rsidRPr="003219CF">
        <w:t xml:space="preserve"> continuo</w:t>
      </w:r>
      <w:r w:rsidR="00167EE7" w:rsidRPr="003219CF">
        <w:t>us interscalene</w:t>
      </w:r>
      <w:r w:rsidR="0055485F" w:rsidRPr="003219CF">
        <w:t xml:space="preserve"> brachial plexus </w:t>
      </w:r>
      <w:r w:rsidR="00167EE7" w:rsidRPr="003219CF">
        <w:t xml:space="preserve">block </w:t>
      </w:r>
      <w:r w:rsidR="002669FD" w:rsidRPr="003219CF">
        <w:t>(</w:t>
      </w:r>
      <w:r w:rsidR="00543443" w:rsidRPr="003219CF">
        <w:t xml:space="preserve">Toma </w:t>
      </w:r>
      <w:r w:rsidR="00697F4A">
        <w:t xml:space="preserve">et al., </w:t>
      </w:r>
      <w:r w:rsidR="00543443" w:rsidRPr="003219CF">
        <w:t>2019</w:t>
      </w:r>
      <w:r w:rsidR="002669FD" w:rsidRPr="003219CF">
        <w:t>)</w:t>
      </w:r>
      <w:r w:rsidR="00697F4A">
        <w:t>;</w:t>
      </w:r>
      <w:r w:rsidR="00543443" w:rsidRPr="003219CF">
        <w:t xml:space="preserve"> </w:t>
      </w:r>
    </w:p>
    <w:p w14:paraId="1B670C4A" w14:textId="3FB4B5D8" w:rsidR="00B96840" w:rsidRPr="003219CF" w:rsidRDefault="008F28AC" w:rsidP="0057740D">
      <w:pPr>
        <w:pStyle w:val="ListParagraph"/>
        <w:numPr>
          <w:ilvl w:val="0"/>
          <w:numId w:val="24"/>
        </w:numPr>
        <w:spacing w:after="240"/>
        <w:ind w:left="284" w:hanging="218"/>
        <w:rPr>
          <w:iCs/>
        </w:rPr>
      </w:pPr>
      <w:r>
        <w:rPr>
          <w:iCs/>
        </w:rPr>
        <w:t>t</w:t>
      </w:r>
      <w:r w:rsidR="00B96840" w:rsidRPr="003219CF">
        <w:rPr>
          <w:iCs/>
        </w:rPr>
        <w:t>horacotomy</w:t>
      </w:r>
      <w:r w:rsidR="001D422B" w:rsidRPr="003219CF">
        <w:t xml:space="preserve"> – continuous paravertebral block</w:t>
      </w:r>
      <w:r w:rsidR="00B96840" w:rsidRPr="003219CF">
        <w:rPr>
          <w:iCs/>
        </w:rPr>
        <w:t xml:space="preserve"> (</w:t>
      </w:r>
      <w:r w:rsidR="00691721" w:rsidRPr="003219CF">
        <w:rPr>
          <w:iCs/>
        </w:rPr>
        <w:t>PROSPECT Working Group 2015</w:t>
      </w:r>
      <w:r w:rsidR="00B96840" w:rsidRPr="003219CF">
        <w:rPr>
          <w:iCs/>
        </w:rPr>
        <w:t>)</w:t>
      </w:r>
      <w:r w:rsidR="00697F4A">
        <w:rPr>
          <w:iCs/>
        </w:rPr>
        <w:t>.</w:t>
      </w:r>
    </w:p>
    <w:p w14:paraId="3C310878" w14:textId="704513C0" w:rsidR="00250908" w:rsidRDefault="003E64C4" w:rsidP="00884E5B">
      <w:pPr>
        <w:spacing w:after="240"/>
        <w:rPr>
          <w:iCs/>
        </w:rPr>
      </w:pPr>
      <w:r w:rsidRPr="003219CF">
        <w:rPr>
          <w:iCs/>
        </w:rPr>
        <w:t>Thus,</w:t>
      </w:r>
      <w:r w:rsidR="00C22783" w:rsidRPr="003219CF">
        <w:rPr>
          <w:iCs/>
        </w:rPr>
        <w:t xml:space="preserve"> </w:t>
      </w:r>
      <w:r w:rsidR="00C35387" w:rsidRPr="003219CF">
        <w:rPr>
          <w:iCs/>
        </w:rPr>
        <w:t>a</w:t>
      </w:r>
      <w:r w:rsidR="00C35387">
        <w:rPr>
          <w:iCs/>
        </w:rPr>
        <w:t xml:space="preserve"> strong case can be made for clinical need </w:t>
      </w:r>
      <w:r w:rsidR="00C73EBE">
        <w:rPr>
          <w:iCs/>
        </w:rPr>
        <w:t xml:space="preserve">of </w:t>
      </w:r>
      <w:r w:rsidR="005A149C">
        <w:rPr>
          <w:iCs/>
        </w:rPr>
        <w:t>non-opioid analgesia</w:t>
      </w:r>
      <w:r w:rsidR="00AC124F">
        <w:rPr>
          <w:iCs/>
        </w:rPr>
        <w:t xml:space="preserve">, </w:t>
      </w:r>
      <w:r w:rsidR="008D52E0">
        <w:rPr>
          <w:iCs/>
        </w:rPr>
        <w:t xml:space="preserve">including continuous </w:t>
      </w:r>
      <w:r w:rsidR="00AC124F">
        <w:rPr>
          <w:iCs/>
        </w:rPr>
        <w:t>nerve blocks</w:t>
      </w:r>
      <w:r w:rsidR="00635F3A">
        <w:rPr>
          <w:iCs/>
        </w:rPr>
        <w:t xml:space="preserve">, </w:t>
      </w:r>
      <w:r w:rsidR="00364DF6">
        <w:rPr>
          <w:iCs/>
        </w:rPr>
        <w:t xml:space="preserve">as an alternative to </w:t>
      </w:r>
      <w:r w:rsidR="008050BA">
        <w:rPr>
          <w:iCs/>
        </w:rPr>
        <w:t xml:space="preserve">IV opioids immediately post-surgery and in particular </w:t>
      </w:r>
      <w:r w:rsidR="00635F3A">
        <w:rPr>
          <w:iCs/>
        </w:rPr>
        <w:t xml:space="preserve">for patients with a history of chronic pain and high probability of long-term </w:t>
      </w:r>
      <w:r w:rsidR="00560946">
        <w:rPr>
          <w:iCs/>
        </w:rPr>
        <w:t>post</w:t>
      </w:r>
      <w:r w:rsidR="00C01C10">
        <w:rPr>
          <w:iCs/>
        </w:rPr>
        <w:t>operative</w:t>
      </w:r>
      <w:r w:rsidR="00560946">
        <w:rPr>
          <w:iCs/>
        </w:rPr>
        <w:t xml:space="preserve"> </w:t>
      </w:r>
      <w:r w:rsidR="00635F3A">
        <w:rPr>
          <w:iCs/>
        </w:rPr>
        <w:t>opioid use</w:t>
      </w:r>
      <w:r w:rsidR="00AC124F">
        <w:rPr>
          <w:iCs/>
        </w:rPr>
        <w:t>.</w:t>
      </w:r>
      <w:r w:rsidR="001126FE">
        <w:rPr>
          <w:iCs/>
        </w:rPr>
        <w:t xml:space="preserve"> </w:t>
      </w:r>
    </w:p>
    <w:p w14:paraId="2C6CAE5A" w14:textId="0899FC67" w:rsidR="00622052" w:rsidRPr="00AE661B" w:rsidRDefault="002D0858" w:rsidP="00EC4D30">
      <w:r>
        <w:t xml:space="preserve">Evidence </w:t>
      </w:r>
      <w:r w:rsidR="00D17A6C" w:rsidRPr="00AE661B">
        <w:t>that continuous nerve block reduce</w:t>
      </w:r>
      <w:r w:rsidR="00AE661B">
        <w:t>s</w:t>
      </w:r>
      <w:r w:rsidR="00D17A6C" w:rsidRPr="00AE661B">
        <w:t xml:space="preserve"> long-ter</w:t>
      </w:r>
      <w:r w:rsidR="008C203F" w:rsidRPr="00AE661B">
        <w:t>m opioid use</w:t>
      </w:r>
      <w:r>
        <w:t xml:space="preserve"> remains a</w:t>
      </w:r>
      <w:r w:rsidR="00410727">
        <w:t xml:space="preserve"> question </w:t>
      </w:r>
      <w:r>
        <w:t>for the</w:t>
      </w:r>
      <w:r w:rsidR="00285328">
        <w:t xml:space="preserve"> Assessment Report</w:t>
      </w:r>
      <w:r>
        <w:t>.</w:t>
      </w:r>
    </w:p>
    <w:p w14:paraId="4E1A545D" w14:textId="24E38E4F" w:rsidR="004F2B60" w:rsidRPr="008F2CA0" w:rsidRDefault="004F2B60" w:rsidP="004F2B60">
      <w:pPr>
        <w:pStyle w:val="Heading4"/>
      </w:pPr>
      <w:bookmarkStart w:id="11" w:name="_Ref127887462"/>
      <w:r>
        <w:t>Estimated utilisation</w:t>
      </w:r>
      <w:bookmarkEnd w:id="11"/>
    </w:p>
    <w:p w14:paraId="2EF4C596" w14:textId="3903296A" w:rsidR="004F2B60" w:rsidRDefault="006B59E5" w:rsidP="004F2B60">
      <w:r>
        <w:t>Recent u</w:t>
      </w:r>
      <w:r w:rsidR="00AC7B44">
        <w:t xml:space="preserve">tilisation of </w:t>
      </w:r>
      <w:r w:rsidR="00CB2EAB">
        <w:t xml:space="preserve">RVG </w:t>
      </w:r>
      <w:r>
        <w:t xml:space="preserve">nerve block items </w:t>
      </w:r>
      <w:r w:rsidR="00EC5AEB">
        <w:t>is</w:t>
      </w:r>
      <w:r>
        <w:t xml:space="preserve"> presented in</w:t>
      </w:r>
      <w:r w:rsidR="001300B4">
        <w:t xml:space="preserve"> </w:t>
      </w:r>
      <w:r w:rsidR="001300B4">
        <w:fldChar w:fldCharType="begin"/>
      </w:r>
      <w:r w:rsidR="001300B4">
        <w:instrText xml:space="preserve"> REF _Ref127951352 \h </w:instrText>
      </w:r>
      <w:r w:rsidR="001300B4">
        <w:fldChar w:fldCharType="separate"/>
      </w:r>
      <w:r w:rsidR="00B65CEE" w:rsidRPr="00490FBB">
        <w:t>Table</w:t>
      </w:r>
      <w:r w:rsidR="00B65CEE">
        <w:t> </w:t>
      </w:r>
      <w:r w:rsidR="00B65CEE">
        <w:rPr>
          <w:noProof/>
        </w:rPr>
        <w:t>6</w:t>
      </w:r>
      <w:r w:rsidR="001300B4">
        <w:fldChar w:fldCharType="end"/>
      </w:r>
      <w:r>
        <w:t xml:space="preserve"> and </w:t>
      </w:r>
      <w:r w:rsidR="001300B4">
        <w:fldChar w:fldCharType="begin"/>
      </w:r>
      <w:r w:rsidR="001300B4">
        <w:instrText xml:space="preserve"> REF _Ref127951354 \h </w:instrText>
      </w:r>
      <w:r w:rsidR="001300B4">
        <w:fldChar w:fldCharType="separate"/>
      </w:r>
      <w:r w:rsidR="00B65CEE" w:rsidRPr="00490FBB">
        <w:t>Table</w:t>
      </w:r>
      <w:r w:rsidR="00B65CEE">
        <w:t> </w:t>
      </w:r>
      <w:r w:rsidR="00B65CEE">
        <w:rPr>
          <w:noProof/>
        </w:rPr>
        <w:t>7</w:t>
      </w:r>
      <w:r w:rsidR="001300B4">
        <w:fldChar w:fldCharType="end"/>
      </w:r>
      <w:r>
        <w:t>.</w:t>
      </w:r>
      <w:r w:rsidR="009271FB">
        <w:t xml:space="preserve"> </w:t>
      </w:r>
      <w:r w:rsidR="002D1B47" w:rsidRPr="006D30AB">
        <w:t>U</w:t>
      </w:r>
      <w:r w:rsidR="006C3BE2" w:rsidRPr="006D30AB">
        <w:t>tilisation between 2020-2022 may have been unusually low or otherwise affected by the pandemic</w:t>
      </w:r>
      <w:r w:rsidR="00877E34" w:rsidRPr="006D30AB">
        <w:t>, especially</w:t>
      </w:r>
      <w:r w:rsidR="002D1B47" w:rsidRPr="006D30AB">
        <w:t xml:space="preserve"> </w:t>
      </w:r>
      <w:r w:rsidR="00877E34" w:rsidRPr="006D30AB">
        <w:t>planned surgeries</w:t>
      </w:r>
      <w:r w:rsidR="006C3BE2" w:rsidRPr="006D30AB">
        <w:t>.</w:t>
      </w:r>
      <w:r w:rsidR="006C3BE2" w:rsidRPr="005D09F4">
        <w:rPr>
          <w:i/>
          <w:iCs/>
        </w:rPr>
        <w:t xml:space="preserve"> </w:t>
      </w:r>
    </w:p>
    <w:p w14:paraId="766CBCA7" w14:textId="26406AA3" w:rsidR="00DF5D02" w:rsidRPr="00490FBB" w:rsidRDefault="00DF5D02" w:rsidP="00DF5D02">
      <w:pPr>
        <w:pStyle w:val="Caption"/>
      </w:pPr>
      <w:bookmarkStart w:id="12" w:name="_Ref127951352"/>
      <w:r w:rsidRPr="00490FBB">
        <w:t>Table</w:t>
      </w:r>
      <w:r>
        <w:t> </w:t>
      </w:r>
      <w:r>
        <w:fldChar w:fldCharType="begin"/>
      </w:r>
      <w:r>
        <w:instrText xml:space="preserve"> SEQ Table \* ARABIC </w:instrText>
      </w:r>
      <w:r>
        <w:fldChar w:fldCharType="separate"/>
      </w:r>
      <w:r w:rsidR="00B65CEE">
        <w:rPr>
          <w:noProof/>
        </w:rPr>
        <w:t>6</w:t>
      </w:r>
      <w:r>
        <w:fldChar w:fldCharType="end"/>
      </w:r>
      <w:bookmarkEnd w:id="12"/>
      <w:r>
        <w:tab/>
        <w:t>Utilisation of</w:t>
      </w:r>
      <w:r w:rsidR="00332852">
        <w:t xml:space="preserve"> nerve block</w:t>
      </w:r>
      <w:r w:rsidR="003F666D">
        <w:t xml:space="preserve"> RVG</w:t>
      </w:r>
      <w:r>
        <w:t xml:space="preserve"> item</w:t>
      </w:r>
      <w:r w:rsidR="00F07E7A">
        <w:t xml:space="preserve"> </w:t>
      </w:r>
      <w:r w:rsidR="00D9133C">
        <w:t>22041</w:t>
      </w:r>
      <w:r w:rsidR="009E424B">
        <w:t xml:space="preserve"> (listed 1 November 2019)</w:t>
      </w:r>
    </w:p>
    <w:tbl>
      <w:tblPr>
        <w:tblW w:w="4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tilisation of nerve block RVG item 22041 (listed 1 November 2019)"/>
        <w:tblDescription w:val="The table presents the number of services for MBS item 22041 from 2019 to 2023."/>
      </w:tblPr>
      <w:tblGrid>
        <w:gridCol w:w="639"/>
        <w:gridCol w:w="1605"/>
        <w:gridCol w:w="1460"/>
        <w:gridCol w:w="1460"/>
        <w:gridCol w:w="1460"/>
        <w:gridCol w:w="1460"/>
      </w:tblGrid>
      <w:tr w:rsidR="00D1749B" w:rsidRPr="00490FBB" w14:paraId="300D2101" w14:textId="77777777" w:rsidTr="000641FF">
        <w:tc>
          <w:tcPr>
            <w:tcW w:w="395" w:type="pct"/>
          </w:tcPr>
          <w:p w14:paraId="13A8606D" w14:textId="67E8BFF0" w:rsidR="00D1749B" w:rsidRPr="00D638C0" w:rsidRDefault="00D1749B" w:rsidP="00D1749B">
            <w:pPr>
              <w:pStyle w:val="TableHeading"/>
              <w:ind w:left="-57" w:right="-57"/>
            </w:pPr>
            <w:r w:rsidRPr="00D638C0">
              <w:t>MBS#</w:t>
            </w:r>
          </w:p>
        </w:tc>
        <w:tc>
          <w:tcPr>
            <w:tcW w:w="993" w:type="pct"/>
          </w:tcPr>
          <w:p w14:paraId="493D2D5D" w14:textId="5AB11503" w:rsidR="00D1749B" w:rsidRPr="00D638C0" w:rsidRDefault="00D1749B" w:rsidP="00D1749B">
            <w:pPr>
              <w:pStyle w:val="TableHeading"/>
              <w:ind w:left="-57" w:right="-57"/>
              <w:jc w:val="center"/>
            </w:pPr>
            <w:r>
              <w:t xml:space="preserve">FY 2019-2020 [from 1 Nov </w:t>
            </w:r>
            <w:r w:rsidR="00E83BC7">
              <w:t>20</w:t>
            </w:r>
            <w:r w:rsidR="0004152A">
              <w:t>19</w:t>
            </w:r>
            <w:r>
              <w:t>]</w:t>
            </w:r>
          </w:p>
        </w:tc>
        <w:tc>
          <w:tcPr>
            <w:tcW w:w="903" w:type="pct"/>
          </w:tcPr>
          <w:p w14:paraId="22362D61" w14:textId="695A19F3" w:rsidR="00D1749B" w:rsidRPr="00D638C0" w:rsidRDefault="00D1749B" w:rsidP="00D1749B">
            <w:pPr>
              <w:pStyle w:val="TableHeading"/>
              <w:ind w:left="-57" w:right="-57"/>
              <w:jc w:val="center"/>
            </w:pPr>
            <w:r>
              <w:t>FY 2020-2021</w:t>
            </w:r>
          </w:p>
        </w:tc>
        <w:tc>
          <w:tcPr>
            <w:tcW w:w="903" w:type="pct"/>
          </w:tcPr>
          <w:p w14:paraId="13779BF0" w14:textId="38AA454C" w:rsidR="00D1749B" w:rsidRPr="00D638C0" w:rsidRDefault="00D1749B" w:rsidP="00D1749B">
            <w:pPr>
              <w:pStyle w:val="TableHeading"/>
              <w:ind w:left="-57" w:right="-57"/>
              <w:jc w:val="center"/>
            </w:pPr>
            <w:r>
              <w:t>FY 2021-2022</w:t>
            </w:r>
          </w:p>
        </w:tc>
        <w:tc>
          <w:tcPr>
            <w:tcW w:w="903" w:type="pct"/>
          </w:tcPr>
          <w:p w14:paraId="6EA5F46A" w14:textId="52FA2FCD" w:rsidR="00D1749B" w:rsidRPr="00D638C0" w:rsidRDefault="00D1749B" w:rsidP="00D1749B">
            <w:pPr>
              <w:pStyle w:val="TableHeading"/>
              <w:ind w:left="-57" w:right="-57"/>
              <w:jc w:val="center"/>
            </w:pPr>
            <w:r>
              <w:t>FY 2022-2023 [year to date]</w:t>
            </w:r>
          </w:p>
        </w:tc>
        <w:tc>
          <w:tcPr>
            <w:tcW w:w="903" w:type="pct"/>
            <w:shd w:val="clear" w:color="auto" w:fill="auto"/>
          </w:tcPr>
          <w:p w14:paraId="6F9E897B" w14:textId="12875106" w:rsidR="00D1749B" w:rsidRDefault="00D1749B" w:rsidP="00D1749B">
            <w:pPr>
              <w:pStyle w:val="TableHeading"/>
              <w:ind w:left="-57" w:right="-57"/>
              <w:jc w:val="center"/>
            </w:pPr>
            <w:r>
              <w:t>TOTAL</w:t>
            </w:r>
          </w:p>
        </w:tc>
      </w:tr>
      <w:tr w:rsidR="00D1749B" w:rsidRPr="00490FBB" w14:paraId="3F7B74F1" w14:textId="77777777" w:rsidTr="000641FF">
        <w:tc>
          <w:tcPr>
            <w:tcW w:w="395" w:type="pct"/>
            <w:vAlign w:val="center"/>
          </w:tcPr>
          <w:p w14:paraId="672CFADA" w14:textId="2DD01077" w:rsidR="00D1749B" w:rsidRPr="00490FBB" w:rsidRDefault="00D1749B" w:rsidP="00D1749B">
            <w:pPr>
              <w:pStyle w:val="Tabletext"/>
              <w:ind w:left="-57" w:right="-57"/>
            </w:pPr>
            <w:r>
              <w:t>22041</w:t>
            </w:r>
          </w:p>
        </w:tc>
        <w:tc>
          <w:tcPr>
            <w:tcW w:w="993" w:type="pct"/>
            <w:vAlign w:val="center"/>
          </w:tcPr>
          <w:p w14:paraId="106B60B1" w14:textId="7DD202DE" w:rsidR="00D1749B" w:rsidRPr="0010600A" w:rsidRDefault="00D1749B" w:rsidP="00D1749B">
            <w:pPr>
              <w:pStyle w:val="Tabletext"/>
              <w:ind w:left="-57" w:right="-57"/>
              <w:jc w:val="center"/>
            </w:pPr>
            <w:r w:rsidRPr="00D565B3">
              <w:t>41,740</w:t>
            </w:r>
          </w:p>
        </w:tc>
        <w:tc>
          <w:tcPr>
            <w:tcW w:w="903" w:type="pct"/>
          </w:tcPr>
          <w:p w14:paraId="59B9B79E" w14:textId="7A8876F0" w:rsidR="00D1749B" w:rsidRPr="0010600A" w:rsidRDefault="00D1749B" w:rsidP="00D1749B">
            <w:pPr>
              <w:pStyle w:val="Tabletext"/>
              <w:ind w:left="-57" w:right="-57"/>
              <w:jc w:val="center"/>
            </w:pPr>
            <w:r w:rsidRPr="00F61393">
              <w:t>93,580</w:t>
            </w:r>
          </w:p>
        </w:tc>
        <w:tc>
          <w:tcPr>
            <w:tcW w:w="903" w:type="pct"/>
            <w:vAlign w:val="center"/>
          </w:tcPr>
          <w:p w14:paraId="7B2E3161" w14:textId="6F6FACD1" w:rsidR="00D1749B" w:rsidRPr="00490FBB" w:rsidRDefault="00D1749B" w:rsidP="00D1749B">
            <w:pPr>
              <w:pStyle w:val="Tabletext"/>
              <w:ind w:left="-57" w:right="-57"/>
              <w:jc w:val="center"/>
            </w:pPr>
            <w:r w:rsidRPr="00763B5D">
              <w:t>92,544</w:t>
            </w:r>
          </w:p>
        </w:tc>
        <w:tc>
          <w:tcPr>
            <w:tcW w:w="903" w:type="pct"/>
          </w:tcPr>
          <w:p w14:paraId="36296115" w14:textId="14E0FB72" w:rsidR="00D1749B" w:rsidRDefault="00D1749B" w:rsidP="00D1749B">
            <w:pPr>
              <w:pStyle w:val="Tabletext"/>
              <w:ind w:left="-57" w:right="-57"/>
              <w:jc w:val="center"/>
            </w:pPr>
            <w:r w:rsidRPr="00850960">
              <w:t>51,436</w:t>
            </w:r>
          </w:p>
        </w:tc>
        <w:tc>
          <w:tcPr>
            <w:tcW w:w="903" w:type="pct"/>
          </w:tcPr>
          <w:p w14:paraId="6C7E2C6E" w14:textId="74E2531C" w:rsidR="00D1749B" w:rsidRPr="00B767F6" w:rsidRDefault="00D1749B" w:rsidP="00D1749B">
            <w:pPr>
              <w:pStyle w:val="Tabletext"/>
              <w:ind w:left="-57" w:right="-57"/>
              <w:jc w:val="center"/>
              <w:rPr>
                <w:b/>
              </w:rPr>
            </w:pPr>
            <w:r w:rsidRPr="00B767F6">
              <w:rPr>
                <w:b/>
              </w:rPr>
              <w:t>279,300</w:t>
            </w:r>
          </w:p>
        </w:tc>
      </w:tr>
    </w:tbl>
    <w:p w14:paraId="60E61AD6" w14:textId="3FFD3591" w:rsidR="00D1749B" w:rsidRDefault="003E5E95" w:rsidP="00D2440F">
      <w:pPr>
        <w:pStyle w:val="Tablenotes"/>
        <w:spacing w:after="240"/>
      </w:pPr>
      <w:r>
        <w:t xml:space="preserve">Source: </w:t>
      </w:r>
      <w:r w:rsidRPr="00F34701">
        <w:t xml:space="preserve">Medicare </w:t>
      </w:r>
      <w:r>
        <w:t xml:space="preserve">Statistics, </w:t>
      </w:r>
      <w:r w:rsidR="006603A6">
        <w:t xml:space="preserve">accessed </w:t>
      </w:r>
      <w:r>
        <w:t>21 February 2023.</w:t>
      </w:r>
      <w:r>
        <w:tab/>
      </w:r>
    </w:p>
    <w:p w14:paraId="72BC6F50" w14:textId="665A8CEB" w:rsidR="00D1749B" w:rsidRPr="00490FBB" w:rsidRDefault="00D1749B" w:rsidP="00D1749B">
      <w:pPr>
        <w:pStyle w:val="Caption"/>
      </w:pPr>
      <w:bookmarkStart w:id="13" w:name="_Ref127951354"/>
      <w:r w:rsidRPr="00490FBB">
        <w:t>Table</w:t>
      </w:r>
      <w:r>
        <w:t> </w:t>
      </w:r>
      <w:r>
        <w:fldChar w:fldCharType="begin"/>
      </w:r>
      <w:r>
        <w:instrText xml:space="preserve"> SEQ Table \* ARABIC </w:instrText>
      </w:r>
      <w:r>
        <w:fldChar w:fldCharType="separate"/>
      </w:r>
      <w:r w:rsidR="00B65CEE">
        <w:rPr>
          <w:noProof/>
        </w:rPr>
        <w:t>7</w:t>
      </w:r>
      <w:r>
        <w:fldChar w:fldCharType="end"/>
      </w:r>
      <w:bookmarkEnd w:id="13"/>
      <w:r>
        <w:tab/>
        <w:t xml:space="preserve">Utilisation of </w:t>
      </w:r>
      <w:r w:rsidR="00E83BC7">
        <w:t>deleted</w:t>
      </w:r>
      <w:r w:rsidR="005A0CFF">
        <w:t xml:space="preserve"> </w:t>
      </w:r>
      <w:r>
        <w:t>nerve block RVG items</w:t>
      </w:r>
      <w:r w:rsidR="009E424B">
        <w:t xml:space="preserve"> (de</w:t>
      </w:r>
      <w:r w:rsidR="003840DF">
        <w:t>let</w:t>
      </w:r>
      <w:r w:rsidR="009E424B">
        <w:t>ed 1 November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tilisation of deleted nerve block RVG items (deleted 1 November 2019)"/>
        <w:tblDescription w:val="The table presents the number of services for deleted nerve block items from 2015 to 2019."/>
      </w:tblPr>
      <w:tblGrid>
        <w:gridCol w:w="721"/>
        <w:gridCol w:w="1510"/>
        <w:gridCol w:w="1512"/>
        <w:gridCol w:w="1510"/>
        <w:gridCol w:w="1512"/>
        <w:gridCol w:w="1512"/>
        <w:gridCol w:w="1294"/>
      </w:tblGrid>
      <w:tr w:rsidR="00D1749B" w:rsidRPr="001558CA" w14:paraId="5EFDAF3F" w14:textId="77777777" w:rsidTr="000641FF">
        <w:trPr>
          <w:tblHeader/>
        </w:trPr>
        <w:tc>
          <w:tcPr>
            <w:tcW w:w="376" w:type="pct"/>
          </w:tcPr>
          <w:p w14:paraId="4D15CAAE" w14:textId="177E1978" w:rsidR="00D1749B" w:rsidRPr="001558CA" w:rsidRDefault="00D1749B">
            <w:pPr>
              <w:pStyle w:val="TableHeading"/>
              <w:ind w:left="-57" w:right="-57"/>
            </w:pPr>
            <w:r w:rsidRPr="001558CA">
              <w:t>MBS#</w:t>
            </w:r>
          </w:p>
        </w:tc>
        <w:tc>
          <w:tcPr>
            <w:tcW w:w="789" w:type="pct"/>
          </w:tcPr>
          <w:p w14:paraId="580D562B" w14:textId="77777777" w:rsidR="00D1749B" w:rsidRPr="001558CA" w:rsidRDefault="00D1749B">
            <w:pPr>
              <w:pStyle w:val="TableHeading"/>
              <w:ind w:left="-57" w:right="-57"/>
              <w:jc w:val="center"/>
            </w:pPr>
            <w:r w:rsidRPr="001558CA">
              <w:t>FY 2015-2016</w:t>
            </w:r>
          </w:p>
        </w:tc>
        <w:tc>
          <w:tcPr>
            <w:tcW w:w="790" w:type="pct"/>
          </w:tcPr>
          <w:p w14:paraId="12AFA21D" w14:textId="77777777" w:rsidR="00D1749B" w:rsidRPr="001558CA" w:rsidRDefault="00D1749B">
            <w:pPr>
              <w:pStyle w:val="TableHeading"/>
              <w:ind w:left="-57" w:right="-57"/>
              <w:jc w:val="center"/>
            </w:pPr>
            <w:r w:rsidRPr="001558CA">
              <w:t>FY 2016-2017</w:t>
            </w:r>
          </w:p>
        </w:tc>
        <w:tc>
          <w:tcPr>
            <w:tcW w:w="789" w:type="pct"/>
          </w:tcPr>
          <w:p w14:paraId="76EAFAFD" w14:textId="77777777" w:rsidR="00D1749B" w:rsidRPr="001558CA" w:rsidRDefault="00D1749B">
            <w:pPr>
              <w:pStyle w:val="TableHeading"/>
              <w:ind w:left="-57" w:right="-57"/>
              <w:jc w:val="center"/>
            </w:pPr>
            <w:r w:rsidRPr="001558CA">
              <w:t>FY 2017-2018</w:t>
            </w:r>
          </w:p>
        </w:tc>
        <w:tc>
          <w:tcPr>
            <w:tcW w:w="790" w:type="pct"/>
          </w:tcPr>
          <w:p w14:paraId="2FABAE8D" w14:textId="77777777" w:rsidR="00D1749B" w:rsidRPr="001558CA" w:rsidRDefault="00D1749B">
            <w:pPr>
              <w:pStyle w:val="TableHeading"/>
              <w:ind w:left="-57" w:right="-57"/>
              <w:jc w:val="center"/>
            </w:pPr>
            <w:r w:rsidRPr="001558CA">
              <w:t>FY 2018-2019</w:t>
            </w:r>
          </w:p>
        </w:tc>
        <w:tc>
          <w:tcPr>
            <w:tcW w:w="790" w:type="pct"/>
          </w:tcPr>
          <w:p w14:paraId="68542DC3" w14:textId="2079B689" w:rsidR="00D1749B" w:rsidRPr="001558CA" w:rsidRDefault="001558CA">
            <w:pPr>
              <w:pStyle w:val="TableHeading"/>
              <w:ind w:left="-57" w:right="-57"/>
              <w:jc w:val="center"/>
            </w:pPr>
            <w:r w:rsidRPr="001558CA">
              <w:t xml:space="preserve">1 Jul </w:t>
            </w:r>
            <w:r w:rsidR="00D1749B" w:rsidRPr="001558CA">
              <w:t xml:space="preserve">2019- </w:t>
            </w:r>
            <w:r w:rsidR="00E9763F" w:rsidRPr="001558CA">
              <w:t>3</w:t>
            </w:r>
            <w:r w:rsidR="00E9763F">
              <w:t>1</w:t>
            </w:r>
            <w:r w:rsidR="00C06785" w:rsidRPr="001558CA">
              <w:t>Oct</w:t>
            </w:r>
            <w:r w:rsidR="00D1749B" w:rsidRPr="001558CA">
              <w:t xml:space="preserve"> </w:t>
            </w:r>
            <w:r w:rsidR="00E83BC7" w:rsidRPr="001558CA">
              <w:t>20</w:t>
            </w:r>
            <w:r w:rsidR="0004152A" w:rsidRPr="001558CA">
              <w:t>19</w:t>
            </w:r>
          </w:p>
        </w:tc>
        <w:tc>
          <w:tcPr>
            <w:tcW w:w="676" w:type="pct"/>
            <w:shd w:val="clear" w:color="auto" w:fill="auto"/>
          </w:tcPr>
          <w:p w14:paraId="006C8A2E" w14:textId="3D087206" w:rsidR="00D1749B" w:rsidRPr="001558CA" w:rsidRDefault="00D1749B">
            <w:pPr>
              <w:pStyle w:val="TableHeading"/>
              <w:ind w:left="-57" w:right="-57"/>
              <w:jc w:val="center"/>
            </w:pPr>
            <w:r w:rsidRPr="001558CA">
              <w:t>TOTAL</w:t>
            </w:r>
          </w:p>
        </w:tc>
      </w:tr>
      <w:tr w:rsidR="00D1749B" w:rsidRPr="001558CA" w14:paraId="75D125C2" w14:textId="77777777" w:rsidTr="000641FF">
        <w:tc>
          <w:tcPr>
            <w:tcW w:w="376" w:type="pct"/>
            <w:vAlign w:val="center"/>
          </w:tcPr>
          <w:p w14:paraId="4538E7FE" w14:textId="77777777" w:rsidR="00D1749B" w:rsidRPr="001558CA" w:rsidRDefault="00D1749B">
            <w:pPr>
              <w:pStyle w:val="Tabletext"/>
              <w:ind w:left="-57" w:right="-57"/>
              <w:rPr>
                <w:bCs/>
              </w:rPr>
            </w:pPr>
            <w:r w:rsidRPr="001558CA">
              <w:rPr>
                <w:bCs/>
              </w:rPr>
              <w:t>22040</w:t>
            </w:r>
          </w:p>
        </w:tc>
        <w:tc>
          <w:tcPr>
            <w:tcW w:w="789" w:type="pct"/>
            <w:vAlign w:val="center"/>
          </w:tcPr>
          <w:p w14:paraId="3328D3FD" w14:textId="77777777" w:rsidR="00D1749B" w:rsidRPr="001558CA" w:rsidRDefault="00D1749B">
            <w:pPr>
              <w:pStyle w:val="Tabletext"/>
              <w:ind w:left="-57" w:right="-57"/>
              <w:jc w:val="center"/>
              <w:rPr>
                <w:bCs/>
              </w:rPr>
            </w:pPr>
            <w:r w:rsidRPr="001558CA">
              <w:rPr>
                <w:bCs/>
              </w:rPr>
              <w:t>28,480</w:t>
            </w:r>
          </w:p>
        </w:tc>
        <w:tc>
          <w:tcPr>
            <w:tcW w:w="790" w:type="pct"/>
          </w:tcPr>
          <w:p w14:paraId="40596D26" w14:textId="77777777" w:rsidR="00D1749B" w:rsidRPr="001558CA" w:rsidRDefault="00D1749B">
            <w:pPr>
              <w:pStyle w:val="Tabletext"/>
              <w:ind w:left="-57" w:right="-57"/>
              <w:jc w:val="center"/>
              <w:rPr>
                <w:bCs/>
              </w:rPr>
            </w:pPr>
            <w:r w:rsidRPr="001558CA">
              <w:rPr>
                <w:bCs/>
              </w:rPr>
              <w:t>31,437</w:t>
            </w:r>
          </w:p>
        </w:tc>
        <w:tc>
          <w:tcPr>
            <w:tcW w:w="789" w:type="pct"/>
          </w:tcPr>
          <w:p w14:paraId="41BD1549" w14:textId="77777777" w:rsidR="00D1749B" w:rsidRPr="001558CA" w:rsidRDefault="00D1749B">
            <w:pPr>
              <w:pStyle w:val="Tabletext"/>
              <w:ind w:left="-57" w:right="-57"/>
              <w:jc w:val="center"/>
              <w:rPr>
                <w:bCs/>
              </w:rPr>
            </w:pPr>
            <w:r w:rsidRPr="001558CA">
              <w:rPr>
                <w:bCs/>
              </w:rPr>
              <w:t>34,928</w:t>
            </w:r>
          </w:p>
        </w:tc>
        <w:tc>
          <w:tcPr>
            <w:tcW w:w="790" w:type="pct"/>
            <w:vAlign w:val="center"/>
          </w:tcPr>
          <w:p w14:paraId="0DE65A21" w14:textId="77777777" w:rsidR="00D1749B" w:rsidRPr="001558CA" w:rsidRDefault="00D1749B">
            <w:pPr>
              <w:pStyle w:val="Tabletext"/>
              <w:ind w:left="-57" w:right="-57"/>
              <w:jc w:val="center"/>
              <w:rPr>
                <w:bCs/>
              </w:rPr>
            </w:pPr>
            <w:r w:rsidRPr="001558CA">
              <w:rPr>
                <w:bCs/>
              </w:rPr>
              <w:t>36,796</w:t>
            </w:r>
          </w:p>
        </w:tc>
        <w:tc>
          <w:tcPr>
            <w:tcW w:w="790" w:type="pct"/>
          </w:tcPr>
          <w:p w14:paraId="591C57D6" w14:textId="77777777" w:rsidR="00D1749B" w:rsidRPr="001558CA" w:rsidRDefault="00D1749B">
            <w:pPr>
              <w:pStyle w:val="Tabletext"/>
              <w:ind w:left="-57" w:right="-57"/>
              <w:jc w:val="center"/>
              <w:rPr>
                <w:bCs/>
              </w:rPr>
            </w:pPr>
            <w:r w:rsidRPr="001558CA">
              <w:rPr>
                <w:bCs/>
              </w:rPr>
              <w:t>15,422</w:t>
            </w:r>
          </w:p>
        </w:tc>
        <w:tc>
          <w:tcPr>
            <w:tcW w:w="676" w:type="pct"/>
          </w:tcPr>
          <w:p w14:paraId="2F62A142" w14:textId="77777777" w:rsidR="00D1749B" w:rsidRPr="003F7458" w:rsidRDefault="00D1749B">
            <w:pPr>
              <w:pStyle w:val="Tabletext"/>
              <w:ind w:left="-57" w:right="-57"/>
              <w:jc w:val="center"/>
              <w:rPr>
                <w:b/>
              </w:rPr>
            </w:pPr>
            <w:r w:rsidRPr="003F7458">
              <w:rPr>
                <w:b/>
              </w:rPr>
              <w:t>147,063</w:t>
            </w:r>
          </w:p>
        </w:tc>
      </w:tr>
      <w:tr w:rsidR="00D1749B" w:rsidRPr="001558CA" w14:paraId="59261BEC" w14:textId="77777777" w:rsidTr="000641FF">
        <w:tc>
          <w:tcPr>
            <w:tcW w:w="376" w:type="pct"/>
            <w:vAlign w:val="center"/>
          </w:tcPr>
          <w:p w14:paraId="73A279EF" w14:textId="77777777" w:rsidR="00D1749B" w:rsidRPr="001558CA" w:rsidRDefault="00D1749B">
            <w:pPr>
              <w:pStyle w:val="Tabletext"/>
              <w:ind w:left="-57" w:right="-57"/>
              <w:rPr>
                <w:bCs/>
              </w:rPr>
            </w:pPr>
            <w:r w:rsidRPr="001558CA">
              <w:rPr>
                <w:bCs/>
              </w:rPr>
              <w:t>22045</w:t>
            </w:r>
          </w:p>
        </w:tc>
        <w:tc>
          <w:tcPr>
            <w:tcW w:w="789" w:type="pct"/>
            <w:vAlign w:val="center"/>
          </w:tcPr>
          <w:p w14:paraId="3B2CCCC5" w14:textId="77777777" w:rsidR="00D1749B" w:rsidRPr="001558CA" w:rsidRDefault="00D1749B">
            <w:pPr>
              <w:pStyle w:val="Tabletext"/>
              <w:ind w:left="-57" w:right="-57"/>
              <w:jc w:val="center"/>
              <w:rPr>
                <w:bCs/>
              </w:rPr>
            </w:pPr>
            <w:r w:rsidRPr="001558CA">
              <w:rPr>
                <w:bCs/>
              </w:rPr>
              <w:t>7,074</w:t>
            </w:r>
          </w:p>
        </w:tc>
        <w:tc>
          <w:tcPr>
            <w:tcW w:w="790" w:type="pct"/>
          </w:tcPr>
          <w:p w14:paraId="40B880A7" w14:textId="77777777" w:rsidR="00D1749B" w:rsidRPr="001558CA" w:rsidRDefault="00D1749B">
            <w:pPr>
              <w:pStyle w:val="Tabletext"/>
              <w:ind w:left="-57" w:right="-57"/>
              <w:jc w:val="center"/>
              <w:rPr>
                <w:bCs/>
              </w:rPr>
            </w:pPr>
            <w:r w:rsidRPr="001558CA">
              <w:rPr>
                <w:bCs/>
              </w:rPr>
              <w:t>7,614</w:t>
            </w:r>
          </w:p>
        </w:tc>
        <w:tc>
          <w:tcPr>
            <w:tcW w:w="789" w:type="pct"/>
          </w:tcPr>
          <w:p w14:paraId="012C4D68" w14:textId="77777777" w:rsidR="00D1749B" w:rsidRPr="001558CA" w:rsidRDefault="00D1749B">
            <w:pPr>
              <w:pStyle w:val="Tabletext"/>
              <w:ind w:left="-57" w:right="-57"/>
              <w:jc w:val="center"/>
              <w:rPr>
                <w:bCs/>
              </w:rPr>
            </w:pPr>
            <w:r w:rsidRPr="001558CA">
              <w:rPr>
                <w:bCs/>
              </w:rPr>
              <w:t>8,352</w:t>
            </w:r>
          </w:p>
        </w:tc>
        <w:tc>
          <w:tcPr>
            <w:tcW w:w="790" w:type="pct"/>
            <w:vAlign w:val="center"/>
          </w:tcPr>
          <w:p w14:paraId="1BA22DE1" w14:textId="77777777" w:rsidR="00D1749B" w:rsidRPr="001558CA" w:rsidRDefault="00D1749B">
            <w:pPr>
              <w:pStyle w:val="Tabletext"/>
              <w:ind w:left="-57" w:right="-57"/>
              <w:jc w:val="center"/>
              <w:rPr>
                <w:bCs/>
              </w:rPr>
            </w:pPr>
            <w:r w:rsidRPr="001558CA">
              <w:rPr>
                <w:bCs/>
              </w:rPr>
              <w:t>9,764</w:t>
            </w:r>
          </w:p>
        </w:tc>
        <w:tc>
          <w:tcPr>
            <w:tcW w:w="790" w:type="pct"/>
          </w:tcPr>
          <w:p w14:paraId="37C6D2D4" w14:textId="77777777" w:rsidR="00D1749B" w:rsidRPr="001558CA" w:rsidRDefault="00D1749B">
            <w:pPr>
              <w:pStyle w:val="Tabletext"/>
              <w:ind w:left="-57" w:right="-57"/>
              <w:jc w:val="center"/>
              <w:rPr>
                <w:bCs/>
              </w:rPr>
            </w:pPr>
            <w:r w:rsidRPr="001558CA">
              <w:rPr>
                <w:bCs/>
              </w:rPr>
              <w:t>4,186</w:t>
            </w:r>
          </w:p>
        </w:tc>
        <w:tc>
          <w:tcPr>
            <w:tcW w:w="676" w:type="pct"/>
          </w:tcPr>
          <w:p w14:paraId="6192D5EF" w14:textId="77777777" w:rsidR="00D1749B" w:rsidRPr="003F7458" w:rsidRDefault="00D1749B">
            <w:pPr>
              <w:pStyle w:val="Tabletext"/>
              <w:ind w:left="-57" w:right="-57"/>
              <w:jc w:val="center"/>
              <w:rPr>
                <w:b/>
              </w:rPr>
            </w:pPr>
            <w:r w:rsidRPr="003F7458">
              <w:rPr>
                <w:b/>
              </w:rPr>
              <w:t>36,990</w:t>
            </w:r>
          </w:p>
        </w:tc>
      </w:tr>
      <w:tr w:rsidR="00D1749B" w:rsidRPr="001558CA" w14:paraId="6A492BD5" w14:textId="77777777" w:rsidTr="000641FF">
        <w:tc>
          <w:tcPr>
            <w:tcW w:w="376" w:type="pct"/>
            <w:vAlign w:val="center"/>
          </w:tcPr>
          <w:p w14:paraId="260A0E5E" w14:textId="77777777" w:rsidR="00D1749B" w:rsidRPr="001558CA" w:rsidRDefault="00D1749B">
            <w:pPr>
              <w:pStyle w:val="Tabletext"/>
              <w:ind w:left="-57" w:right="-57"/>
              <w:rPr>
                <w:bCs/>
              </w:rPr>
            </w:pPr>
            <w:r w:rsidRPr="001558CA">
              <w:rPr>
                <w:bCs/>
              </w:rPr>
              <w:t>22050</w:t>
            </w:r>
          </w:p>
        </w:tc>
        <w:tc>
          <w:tcPr>
            <w:tcW w:w="789" w:type="pct"/>
            <w:vAlign w:val="center"/>
          </w:tcPr>
          <w:p w14:paraId="6AD5F99F" w14:textId="77777777" w:rsidR="00D1749B" w:rsidRPr="001558CA" w:rsidRDefault="00D1749B">
            <w:pPr>
              <w:pStyle w:val="Tabletext"/>
              <w:ind w:left="-57" w:right="-57"/>
              <w:jc w:val="center"/>
              <w:rPr>
                <w:bCs/>
              </w:rPr>
            </w:pPr>
            <w:r w:rsidRPr="001558CA">
              <w:rPr>
                <w:bCs/>
              </w:rPr>
              <w:t>20,391</w:t>
            </w:r>
          </w:p>
        </w:tc>
        <w:tc>
          <w:tcPr>
            <w:tcW w:w="790" w:type="pct"/>
          </w:tcPr>
          <w:p w14:paraId="2DD641EC" w14:textId="77777777" w:rsidR="00D1749B" w:rsidRPr="001558CA" w:rsidRDefault="00D1749B">
            <w:pPr>
              <w:pStyle w:val="Tabletext"/>
              <w:ind w:left="-57" w:right="-57"/>
              <w:jc w:val="center"/>
              <w:rPr>
                <w:bCs/>
              </w:rPr>
            </w:pPr>
            <w:r w:rsidRPr="001558CA">
              <w:rPr>
                <w:bCs/>
              </w:rPr>
              <w:t>20,875</w:t>
            </w:r>
          </w:p>
        </w:tc>
        <w:tc>
          <w:tcPr>
            <w:tcW w:w="789" w:type="pct"/>
          </w:tcPr>
          <w:p w14:paraId="0FABC9A3" w14:textId="77777777" w:rsidR="00D1749B" w:rsidRPr="001558CA" w:rsidRDefault="00D1749B">
            <w:pPr>
              <w:pStyle w:val="Tabletext"/>
              <w:ind w:left="-57" w:right="-57"/>
              <w:jc w:val="center"/>
              <w:rPr>
                <w:bCs/>
              </w:rPr>
            </w:pPr>
            <w:r w:rsidRPr="001558CA">
              <w:rPr>
                <w:bCs/>
              </w:rPr>
              <w:t>21,659</w:t>
            </w:r>
          </w:p>
        </w:tc>
        <w:tc>
          <w:tcPr>
            <w:tcW w:w="790" w:type="pct"/>
            <w:vAlign w:val="center"/>
          </w:tcPr>
          <w:p w14:paraId="4C632FF5" w14:textId="77777777" w:rsidR="00D1749B" w:rsidRPr="001558CA" w:rsidRDefault="00D1749B">
            <w:pPr>
              <w:pStyle w:val="Tabletext"/>
              <w:ind w:left="-57" w:right="-57"/>
              <w:jc w:val="center"/>
              <w:rPr>
                <w:bCs/>
              </w:rPr>
            </w:pPr>
            <w:r w:rsidRPr="001558CA">
              <w:rPr>
                <w:bCs/>
              </w:rPr>
              <w:t>21,341</w:t>
            </w:r>
          </w:p>
        </w:tc>
        <w:tc>
          <w:tcPr>
            <w:tcW w:w="790" w:type="pct"/>
          </w:tcPr>
          <w:p w14:paraId="14339742" w14:textId="77777777" w:rsidR="00D1749B" w:rsidRPr="001558CA" w:rsidRDefault="00D1749B">
            <w:pPr>
              <w:pStyle w:val="Tabletext"/>
              <w:ind w:left="-57" w:right="-57"/>
              <w:jc w:val="center"/>
              <w:rPr>
                <w:bCs/>
              </w:rPr>
            </w:pPr>
            <w:r w:rsidRPr="001558CA">
              <w:rPr>
                <w:bCs/>
              </w:rPr>
              <w:t>8,493</w:t>
            </w:r>
          </w:p>
        </w:tc>
        <w:tc>
          <w:tcPr>
            <w:tcW w:w="676" w:type="pct"/>
          </w:tcPr>
          <w:p w14:paraId="1A3E7CDF" w14:textId="77777777" w:rsidR="00D1749B" w:rsidRPr="003F7458" w:rsidRDefault="00D1749B">
            <w:pPr>
              <w:pStyle w:val="Tabletext"/>
              <w:ind w:left="-57" w:right="-57"/>
              <w:jc w:val="center"/>
              <w:rPr>
                <w:b/>
              </w:rPr>
            </w:pPr>
            <w:r w:rsidRPr="003F7458">
              <w:rPr>
                <w:b/>
              </w:rPr>
              <w:t>92,759</w:t>
            </w:r>
          </w:p>
        </w:tc>
      </w:tr>
      <w:tr w:rsidR="00536D17" w:rsidRPr="003F7458" w14:paraId="20E51D67" w14:textId="77777777" w:rsidTr="000641FF">
        <w:tc>
          <w:tcPr>
            <w:tcW w:w="376" w:type="pct"/>
            <w:vAlign w:val="center"/>
          </w:tcPr>
          <w:p w14:paraId="14238CC2" w14:textId="6CBF94D0" w:rsidR="00536D17" w:rsidRPr="003F7458" w:rsidRDefault="00536D17" w:rsidP="00536D17">
            <w:pPr>
              <w:pStyle w:val="Tabletext"/>
              <w:ind w:left="-57" w:right="-57"/>
              <w:rPr>
                <w:b/>
              </w:rPr>
            </w:pPr>
            <w:r w:rsidRPr="003F7458">
              <w:rPr>
                <w:b/>
              </w:rPr>
              <w:t>TOTAL</w:t>
            </w:r>
          </w:p>
        </w:tc>
        <w:tc>
          <w:tcPr>
            <w:tcW w:w="789" w:type="pct"/>
          </w:tcPr>
          <w:p w14:paraId="32DBA40D" w14:textId="5703B980" w:rsidR="00536D17" w:rsidRPr="003F7458" w:rsidRDefault="00536D17" w:rsidP="00536D17">
            <w:pPr>
              <w:pStyle w:val="Tabletext"/>
              <w:ind w:left="-57" w:right="-57"/>
              <w:jc w:val="center"/>
              <w:rPr>
                <w:b/>
              </w:rPr>
            </w:pPr>
            <w:r w:rsidRPr="003F7458">
              <w:rPr>
                <w:b/>
              </w:rPr>
              <w:t>55</w:t>
            </w:r>
            <w:r w:rsidR="001467CE" w:rsidRPr="003F7458">
              <w:rPr>
                <w:b/>
              </w:rPr>
              <w:t>,</w:t>
            </w:r>
            <w:r w:rsidRPr="003F7458">
              <w:rPr>
                <w:b/>
              </w:rPr>
              <w:t>945</w:t>
            </w:r>
          </w:p>
        </w:tc>
        <w:tc>
          <w:tcPr>
            <w:tcW w:w="790" w:type="pct"/>
          </w:tcPr>
          <w:p w14:paraId="2F315BB1" w14:textId="78224B08" w:rsidR="00536D17" w:rsidRPr="003F7458" w:rsidRDefault="00536D17" w:rsidP="00536D17">
            <w:pPr>
              <w:pStyle w:val="Tabletext"/>
              <w:ind w:left="-57" w:right="-57"/>
              <w:jc w:val="center"/>
              <w:rPr>
                <w:b/>
              </w:rPr>
            </w:pPr>
            <w:r w:rsidRPr="003F7458">
              <w:rPr>
                <w:b/>
              </w:rPr>
              <w:t>59</w:t>
            </w:r>
            <w:r w:rsidR="001467CE" w:rsidRPr="003F7458">
              <w:rPr>
                <w:b/>
              </w:rPr>
              <w:t>,</w:t>
            </w:r>
            <w:r w:rsidRPr="003F7458">
              <w:rPr>
                <w:b/>
              </w:rPr>
              <w:t>926</w:t>
            </w:r>
          </w:p>
        </w:tc>
        <w:tc>
          <w:tcPr>
            <w:tcW w:w="789" w:type="pct"/>
          </w:tcPr>
          <w:p w14:paraId="13976E65" w14:textId="702DC3F7" w:rsidR="00536D17" w:rsidRPr="003F7458" w:rsidRDefault="00536D17" w:rsidP="00536D17">
            <w:pPr>
              <w:pStyle w:val="Tabletext"/>
              <w:ind w:left="-57" w:right="-57"/>
              <w:jc w:val="center"/>
              <w:rPr>
                <w:b/>
              </w:rPr>
            </w:pPr>
            <w:r w:rsidRPr="003F7458">
              <w:rPr>
                <w:b/>
              </w:rPr>
              <w:t>64</w:t>
            </w:r>
            <w:r w:rsidR="001467CE" w:rsidRPr="003F7458">
              <w:rPr>
                <w:b/>
              </w:rPr>
              <w:t>,</w:t>
            </w:r>
            <w:r w:rsidRPr="003F7458">
              <w:rPr>
                <w:b/>
              </w:rPr>
              <w:t>939</w:t>
            </w:r>
          </w:p>
        </w:tc>
        <w:tc>
          <w:tcPr>
            <w:tcW w:w="790" w:type="pct"/>
          </w:tcPr>
          <w:p w14:paraId="3372CB0B" w14:textId="05F3A091" w:rsidR="00536D17" w:rsidRPr="003F7458" w:rsidRDefault="00536D17" w:rsidP="00536D17">
            <w:pPr>
              <w:pStyle w:val="Tabletext"/>
              <w:ind w:left="-57" w:right="-57"/>
              <w:jc w:val="center"/>
              <w:rPr>
                <w:b/>
              </w:rPr>
            </w:pPr>
            <w:r w:rsidRPr="003F7458">
              <w:rPr>
                <w:b/>
              </w:rPr>
              <w:t>67</w:t>
            </w:r>
            <w:r w:rsidR="001467CE" w:rsidRPr="003F7458">
              <w:rPr>
                <w:b/>
              </w:rPr>
              <w:t>,</w:t>
            </w:r>
            <w:r w:rsidRPr="003F7458">
              <w:rPr>
                <w:b/>
              </w:rPr>
              <w:t>901</w:t>
            </w:r>
          </w:p>
        </w:tc>
        <w:tc>
          <w:tcPr>
            <w:tcW w:w="790" w:type="pct"/>
          </w:tcPr>
          <w:p w14:paraId="55E4413B" w14:textId="40B7D3D7" w:rsidR="00536D17" w:rsidRPr="003F7458" w:rsidRDefault="00536D17" w:rsidP="00536D17">
            <w:pPr>
              <w:pStyle w:val="Tabletext"/>
              <w:ind w:left="-57" w:right="-57"/>
              <w:jc w:val="center"/>
              <w:rPr>
                <w:b/>
              </w:rPr>
            </w:pPr>
            <w:r w:rsidRPr="003F7458">
              <w:rPr>
                <w:b/>
              </w:rPr>
              <w:t>28</w:t>
            </w:r>
            <w:r w:rsidR="001467CE" w:rsidRPr="003F7458">
              <w:rPr>
                <w:b/>
              </w:rPr>
              <w:t>,</w:t>
            </w:r>
            <w:r w:rsidRPr="003F7458">
              <w:rPr>
                <w:b/>
              </w:rPr>
              <w:t>101</w:t>
            </w:r>
          </w:p>
        </w:tc>
        <w:tc>
          <w:tcPr>
            <w:tcW w:w="676" w:type="pct"/>
          </w:tcPr>
          <w:p w14:paraId="30A76547" w14:textId="20295FF1" w:rsidR="00536D17" w:rsidRPr="003F7458" w:rsidRDefault="00536D17" w:rsidP="00536D17">
            <w:pPr>
              <w:pStyle w:val="Tabletext"/>
              <w:ind w:left="-57" w:right="-57"/>
              <w:jc w:val="center"/>
              <w:rPr>
                <w:b/>
              </w:rPr>
            </w:pPr>
            <w:r w:rsidRPr="003F7458">
              <w:rPr>
                <w:b/>
              </w:rPr>
              <w:t>276</w:t>
            </w:r>
            <w:r w:rsidR="001467CE" w:rsidRPr="003F7458">
              <w:rPr>
                <w:b/>
              </w:rPr>
              <w:t>,</w:t>
            </w:r>
            <w:r w:rsidRPr="003F7458">
              <w:rPr>
                <w:b/>
              </w:rPr>
              <w:t>812</w:t>
            </w:r>
          </w:p>
        </w:tc>
      </w:tr>
    </w:tbl>
    <w:p w14:paraId="01DB1734" w14:textId="3EC17AC2" w:rsidR="00D1749B" w:rsidRPr="001558CA" w:rsidRDefault="00D1749B" w:rsidP="00D2440F">
      <w:pPr>
        <w:pStyle w:val="Tablenotes"/>
        <w:spacing w:after="240"/>
        <w:rPr>
          <w:bCs/>
        </w:rPr>
      </w:pPr>
      <w:r w:rsidRPr="001558CA">
        <w:rPr>
          <w:bCs/>
        </w:rPr>
        <w:t xml:space="preserve">Source: Medicare </w:t>
      </w:r>
      <w:r w:rsidR="00147B6E" w:rsidRPr="001558CA">
        <w:rPr>
          <w:bCs/>
        </w:rPr>
        <w:t>Statistics</w:t>
      </w:r>
      <w:r w:rsidRPr="001558CA">
        <w:rPr>
          <w:bCs/>
        </w:rPr>
        <w:t>,</w:t>
      </w:r>
      <w:r w:rsidR="003E5E95" w:rsidRPr="001558CA">
        <w:rPr>
          <w:bCs/>
        </w:rPr>
        <w:t xml:space="preserve"> </w:t>
      </w:r>
      <w:r w:rsidR="006603A6" w:rsidRPr="001558CA">
        <w:rPr>
          <w:bCs/>
        </w:rPr>
        <w:t xml:space="preserve">accessed </w:t>
      </w:r>
      <w:r w:rsidR="003E5E95" w:rsidRPr="001558CA">
        <w:rPr>
          <w:bCs/>
        </w:rPr>
        <w:t>21 February</w:t>
      </w:r>
      <w:r w:rsidRPr="001558CA">
        <w:rPr>
          <w:bCs/>
        </w:rPr>
        <w:t xml:space="preserve"> 20</w:t>
      </w:r>
      <w:r w:rsidR="00147B6E" w:rsidRPr="001558CA">
        <w:rPr>
          <w:bCs/>
        </w:rPr>
        <w:t>23</w:t>
      </w:r>
      <w:r w:rsidRPr="001558CA">
        <w:rPr>
          <w:bCs/>
        </w:rPr>
        <w:t>.</w:t>
      </w:r>
      <w:r w:rsidRPr="001558CA">
        <w:rPr>
          <w:bCs/>
        </w:rPr>
        <w:tab/>
      </w:r>
      <w:r w:rsidRPr="001558CA">
        <w:rPr>
          <w:bCs/>
        </w:rPr>
        <w:br/>
      </w:r>
      <w:r w:rsidR="000B768D" w:rsidRPr="001558CA">
        <w:rPr>
          <w:bCs/>
        </w:rPr>
        <w:t xml:space="preserve">Note: </w:t>
      </w:r>
      <w:r w:rsidR="00752B15" w:rsidRPr="001558CA">
        <w:rPr>
          <w:bCs/>
          <w:iCs/>
        </w:rPr>
        <w:t xml:space="preserve">details for </w:t>
      </w:r>
      <w:r w:rsidR="005D7D84">
        <w:rPr>
          <w:bCs/>
          <w:iCs/>
        </w:rPr>
        <w:t>deleted</w:t>
      </w:r>
      <w:r w:rsidR="00092989" w:rsidRPr="001558CA">
        <w:rPr>
          <w:bCs/>
          <w:iCs/>
        </w:rPr>
        <w:t xml:space="preserve"> items</w:t>
      </w:r>
      <w:r w:rsidR="009E2BAA" w:rsidRPr="001558CA">
        <w:rPr>
          <w:bCs/>
          <w:iCs/>
        </w:rPr>
        <w:t xml:space="preserve"> </w:t>
      </w:r>
      <w:r w:rsidR="00732D05" w:rsidRPr="001558CA">
        <w:rPr>
          <w:bCs/>
          <w:iCs/>
        </w:rPr>
        <w:t xml:space="preserve">are described </w:t>
      </w:r>
      <w:r w:rsidR="009E2BAA" w:rsidRPr="001558CA">
        <w:rPr>
          <w:bCs/>
          <w:iCs/>
        </w:rPr>
        <w:t xml:space="preserve">in Appendix </w:t>
      </w:r>
      <w:r w:rsidR="009E2BAA" w:rsidRPr="001558CA">
        <w:rPr>
          <w:bCs/>
          <w:iCs/>
        </w:rPr>
        <w:fldChar w:fldCharType="begin"/>
      </w:r>
      <w:r w:rsidR="009E2BAA" w:rsidRPr="001558CA">
        <w:rPr>
          <w:bCs/>
          <w:iCs/>
        </w:rPr>
        <w:instrText xml:space="preserve"> REF _Ref127883612 \h </w:instrText>
      </w:r>
      <w:r w:rsidR="001558CA">
        <w:rPr>
          <w:bCs/>
          <w:iCs/>
        </w:rPr>
        <w:instrText xml:space="preserve"> \* MERGEFORMAT </w:instrText>
      </w:r>
      <w:r w:rsidR="009E2BAA" w:rsidRPr="001558CA">
        <w:rPr>
          <w:bCs/>
          <w:iCs/>
        </w:rPr>
      </w:r>
      <w:r w:rsidR="009E2BAA" w:rsidRPr="001558CA">
        <w:rPr>
          <w:bCs/>
          <w:iCs/>
        </w:rPr>
        <w:fldChar w:fldCharType="separate"/>
      </w:r>
      <w:r w:rsidR="00B65CEE" w:rsidRPr="00B65CEE">
        <w:rPr>
          <w:bCs/>
        </w:rPr>
        <w:t>Table 16</w:t>
      </w:r>
      <w:r w:rsidR="009E2BAA" w:rsidRPr="001558CA">
        <w:rPr>
          <w:bCs/>
          <w:iCs/>
        </w:rPr>
        <w:fldChar w:fldCharType="end"/>
      </w:r>
      <w:r w:rsidR="001E49E2" w:rsidRPr="001558CA">
        <w:rPr>
          <w:bCs/>
        </w:rPr>
        <w:t>.</w:t>
      </w:r>
    </w:p>
    <w:p w14:paraId="6D059E20" w14:textId="27C87181" w:rsidR="007F0988" w:rsidRDefault="00AF4866" w:rsidP="00D469D2">
      <w:r w:rsidRPr="004539E0">
        <w:t>Following listing of the new single injection nerve block</w:t>
      </w:r>
      <w:r w:rsidR="00564B12" w:rsidRPr="004539E0">
        <w:t xml:space="preserve"> (</w:t>
      </w:r>
      <w:r w:rsidR="001558CA">
        <w:t xml:space="preserve">MBS item </w:t>
      </w:r>
      <w:r w:rsidR="00564B12" w:rsidRPr="004539E0">
        <w:t>22041)</w:t>
      </w:r>
      <w:r w:rsidRPr="004539E0">
        <w:t xml:space="preserve">, </w:t>
      </w:r>
      <w:r w:rsidR="000D6C54" w:rsidRPr="004539E0">
        <w:t xml:space="preserve">annual </w:t>
      </w:r>
      <w:r w:rsidRPr="004539E0">
        <w:t>utilisation</w:t>
      </w:r>
      <w:r w:rsidR="000D6C54" w:rsidRPr="004539E0">
        <w:t xml:space="preserve"> of the new item</w:t>
      </w:r>
      <w:r>
        <w:t xml:space="preserve"> </w:t>
      </w:r>
      <w:r w:rsidR="008B33E7">
        <w:t>increased markedly</w:t>
      </w:r>
      <w:r w:rsidR="000D6C54">
        <w:t xml:space="preserve"> (by approximately 30%) compared to the combined utilisation of the </w:t>
      </w:r>
      <w:r w:rsidR="00377202">
        <w:t>deleted</w:t>
      </w:r>
      <w:r w:rsidR="000D6C54">
        <w:t xml:space="preserve"> items. This can be explained by the </w:t>
      </w:r>
      <w:r w:rsidR="00482895">
        <w:t xml:space="preserve">increased scope for </w:t>
      </w:r>
      <w:r w:rsidR="00CA7D77">
        <w:t>the</w:t>
      </w:r>
      <w:r w:rsidR="000D6C54">
        <w:t xml:space="preserve"> nerves </w:t>
      </w:r>
      <w:r w:rsidR="003F558A">
        <w:t xml:space="preserve">that </w:t>
      </w:r>
      <w:r w:rsidR="000D6C54">
        <w:t xml:space="preserve">could be </w:t>
      </w:r>
      <w:r w:rsidR="00C37FEA">
        <w:t xml:space="preserve">subject to </w:t>
      </w:r>
      <w:r w:rsidR="00482895">
        <w:t>a</w:t>
      </w:r>
      <w:r w:rsidR="00444EC4">
        <w:t xml:space="preserve"> block under the new item</w:t>
      </w:r>
      <w:r w:rsidR="001C133F">
        <w:t xml:space="preserve"> (the </w:t>
      </w:r>
      <w:r w:rsidR="00377202">
        <w:t>deleted</w:t>
      </w:r>
      <w:r w:rsidR="001C133F">
        <w:t xml:space="preserve"> items only permitted block of the femoral nerve, sciatic </w:t>
      </w:r>
      <w:r w:rsidR="00327F42">
        <w:t>nerve,</w:t>
      </w:r>
      <w:r w:rsidR="001C133F">
        <w:t xml:space="preserve"> </w:t>
      </w:r>
      <w:r w:rsidR="005F5E98">
        <w:t>and</w:t>
      </w:r>
      <w:r w:rsidR="001C133F">
        <w:t xml:space="preserve"> the brachial plexus)</w:t>
      </w:r>
      <w:r w:rsidR="00444EC4">
        <w:t>.</w:t>
      </w:r>
      <w:r w:rsidR="001C133F">
        <w:t xml:space="preserve"> </w:t>
      </w:r>
      <w:r w:rsidR="00784993">
        <w:t xml:space="preserve">The applicant has also indicated that some use of this item is due to claims for continuous nerve blocks in lieu of a more appropriate item. </w:t>
      </w:r>
      <w:r w:rsidR="001C133F">
        <w:t xml:space="preserve">Actual utilisation may </w:t>
      </w:r>
      <w:r w:rsidR="00B548D9">
        <w:t xml:space="preserve">also </w:t>
      </w:r>
      <w:r w:rsidR="001C133F">
        <w:t xml:space="preserve">have been higher </w:t>
      </w:r>
      <w:r w:rsidR="0077257D">
        <w:t xml:space="preserve">had the </w:t>
      </w:r>
      <w:r w:rsidR="001C133F">
        <w:t>COVID</w:t>
      </w:r>
      <w:r w:rsidR="00482895">
        <w:noBreakHyphen/>
      </w:r>
      <w:r w:rsidR="001C133F">
        <w:t>19</w:t>
      </w:r>
      <w:r w:rsidR="006C475A">
        <w:t xml:space="preserve"> </w:t>
      </w:r>
      <w:r w:rsidR="0077257D">
        <w:t xml:space="preserve">pandemic not occurred </w:t>
      </w:r>
      <w:r w:rsidR="006C475A">
        <w:t>between 2020 – 2022</w:t>
      </w:r>
      <w:r w:rsidR="00B548D9">
        <w:t xml:space="preserve">. </w:t>
      </w:r>
    </w:p>
    <w:p w14:paraId="31FA700C" w14:textId="2539C003" w:rsidR="007F0988" w:rsidRDefault="00B85E15" w:rsidP="00D469D2">
      <w:r w:rsidRPr="00A554AE">
        <w:lastRenderedPageBreak/>
        <w:t xml:space="preserve">For the current and </w:t>
      </w:r>
      <w:r w:rsidR="00377202">
        <w:t>deleted</w:t>
      </w:r>
      <w:r w:rsidRPr="00A554AE">
        <w:t xml:space="preserve"> items, utilisation by age group </w:t>
      </w:r>
      <w:r>
        <w:t xml:space="preserve">is essentially identical </w:t>
      </w:r>
      <w:r w:rsidRPr="00A554AE">
        <w:t>(not shown)</w:t>
      </w:r>
      <w:r>
        <w:t>. Use</w:t>
      </w:r>
      <w:r w:rsidRPr="00A554AE">
        <w:t xml:space="preserve"> </w:t>
      </w:r>
      <w:r>
        <w:t xml:space="preserve">is </w:t>
      </w:r>
      <w:r w:rsidRPr="00A554AE">
        <w:t>predominantly in older adults</w:t>
      </w:r>
      <w:r w:rsidR="00377202">
        <w:t>,</w:t>
      </w:r>
      <w:r>
        <w:t xml:space="preserve"> with approximately 70% of utilisation in patients</w:t>
      </w:r>
      <w:r w:rsidR="00D03EBE">
        <w:t xml:space="preserve"> aged</w:t>
      </w:r>
      <w:r>
        <w:t xml:space="preserve"> 55 </w:t>
      </w:r>
      <w:r w:rsidR="00377202">
        <w:t xml:space="preserve">years </w:t>
      </w:r>
      <w:r>
        <w:t>and older (</w:t>
      </w:r>
      <w:r w:rsidR="00A52FDF">
        <w:t xml:space="preserve">approximately </w:t>
      </w:r>
      <w:r>
        <w:t xml:space="preserve">48% in those </w:t>
      </w:r>
      <w:r w:rsidR="00E40D78">
        <w:t xml:space="preserve">aged </w:t>
      </w:r>
      <w:r>
        <w:t xml:space="preserve">65 </w:t>
      </w:r>
      <w:r w:rsidR="00377202">
        <w:t xml:space="preserve">years </w:t>
      </w:r>
      <w:r>
        <w:t xml:space="preserve">and older). </w:t>
      </w:r>
    </w:p>
    <w:p w14:paraId="049E412B" w14:textId="6724E736" w:rsidR="00513476" w:rsidRDefault="003D42FD" w:rsidP="004F2B60">
      <w:r>
        <w:t xml:space="preserve">According to </w:t>
      </w:r>
      <w:r w:rsidR="004A71BD">
        <w:t>the applicant</w:t>
      </w:r>
      <w:r w:rsidR="0039133C">
        <w:t xml:space="preserve">’s </w:t>
      </w:r>
      <w:r>
        <w:t xml:space="preserve">survey </w:t>
      </w:r>
      <w:r w:rsidR="0039133C">
        <w:t xml:space="preserve">of </w:t>
      </w:r>
      <w:r>
        <w:t xml:space="preserve">cardiac anaesthetists, </w:t>
      </w:r>
      <w:r w:rsidR="0057568D">
        <w:t xml:space="preserve">of the surgeries currently employing </w:t>
      </w:r>
      <w:r w:rsidR="00AA27D1">
        <w:t>single injection nerve blocks</w:t>
      </w:r>
      <w:r w:rsidR="0057568D">
        <w:t xml:space="preserve">, on average continuous nerve blocks </w:t>
      </w:r>
      <w:r w:rsidR="00C31C72">
        <w:t xml:space="preserve">would </w:t>
      </w:r>
      <w:r w:rsidR="0057568D">
        <w:t>replace between 2% and 5% of this use</w:t>
      </w:r>
      <w:r w:rsidR="008406E0">
        <w:t xml:space="preserve"> in the first year of listing and increasing proportions thereafter. Uptake rates should be justified or tested in the Assessment Report using sensitivity analyses</w:t>
      </w:r>
      <w:r>
        <w:t xml:space="preserve">. </w:t>
      </w:r>
    </w:p>
    <w:p w14:paraId="6943604F" w14:textId="5A8F852B" w:rsidR="002A1C2D" w:rsidRDefault="00461EC6" w:rsidP="002A1C2D">
      <w:pPr>
        <w:spacing w:after="120"/>
      </w:pPr>
      <w:r w:rsidRPr="00461EC6">
        <w:t>The applicant noted there was no data available to support estimate of continuous nerve blocks being claimed as single nerve injection blocks (MBS item 22041) in practice. The applicant considered the use of continuous nerve blocks</w:t>
      </w:r>
      <w:r w:rsidR="00BB09F8">
        <w:t xml:space="preserve"> </w:t>
      </w:r>
      <w:r w:rsidRPr="00461EC6">
        <w:t>best practice for some joint surgeries and that the lack of an MBS item has limited its use becoming widespread.</w:t>
      </w:r>
      <w:r>
        <w:t xml:space="preserve"> </w:t>
      </w:r>
    </w:p>
    <w:p w14:paraId="58D2AAC3" w14:textId="5C1A02C6" w:rsidR="002A1C2D" w:rsidRPr="00C8588A" w:rsidRDefault="002A1C2D" w:rsidP="002A1C2D">
      <w:pPr>
        <w:spacing w:after="160" w:line="259" w:lineRule="auto"/>
        <w:rPr>
          <w:i/>
          <w:iCs/>
        </w:rPr>
      </w:pPr>
      <w:r w:rsidRPr="00C8588A">
        <w:rPr>
          <w:rFonts w:cs="Calibri"/>
          <w:i/>
          <w:iCs/>
        </w:rPr>
        <w:t>PASC</w:t>
      </w:r>
      <w:r w:rsidR="007D3EBF" w:rsidRPr="00C8588A">
        <w:rPr>
          <w:rFonts w:cs="Calibri"/>
          <w:i/>
          <w:iCs/>
        </w:rPr>
        <w:t xml:space="preserve"> noted that it </w:t>
      </w:r>
      <w:r w:rsidR="00273A74" w:rsidRPr="00C8588A">
        <w:rPr>
          <w:rFonts w:cs="Calibri"/>
          <w:i/>
          <w:iCs/>
        </w:rPr>
        <w:t>i</w:t>
      </w:r>
      <w:r w:rsidR="007D3EBF" w:rsidRPr="00C8588A">
        <w:rPr>
          <w:rFonts w:cs="Calibri"/>
          <w:i/>
          <w:iCs/>
        </w:rPr>
        <w:t xml:space="preserve">s likely that utilisation would increase </w:t>
      </w:r>
      <w:r w:rsidR="00197A33" w:rsidRPr="00C8588A">
        <w:rPr>
          <w:rFonts w:cs="Calibri"/>
          <w:i/>
          <w:iCs/>
        </w:rPr>
        <w:t>if</w:t>
      </w:r>
      <w:r w:rsidR="007D3EBF" w:rsidRPr="00C8588A">
        <w:rPr>
          <w:rFonts w:cs="Calibri"/>
          <w:i/>
          <w:iCs/>
        </w:rPr>
        <w:t xml:space="preserve"> the item </w:t>
      </w:r>
      <w:r w:rsidR="00ED135E" w:rsidRPr="00C8588A">
        <w:rPr>
          <w:rFonts w:cs="Calibri"/>
          <w:i/>
          <w:iCs/>
        </w:rPr>
        <w:t>were</w:t>
      </w:r>
      <w:r w:rsidR="007D3EBF" w:rsidRPr="00C8588A">
        <w:rPr>
          <w:rFonts w:cs="Calibri"/>
          <w:i/>
          <w:iCs/>
        </w:rPr>
        <w:t xml:space="preserve"> listed</w:t>
      </w:r>
      <w:r w:rsidR="00F16A86" w:rsidRPr="00C8588A">
        <w:rPr>
          <w:rFonts w:cs="Calibri"/>
          <w:i/>
          <w:iCs/>
        </w:rPr>
        <w:t xml:space="preserve"> on the MBS</w:t>
      </w:r>
      <w:r w:rsidR="007D3EBF" w:rsidRPr="00C8588A">
        <w:rPr>
          <w:rFonts w:cs="Calibri"/>
          <w:i/>
          <w:iCs/>
        </w:rPr>
        <w:t>. It was unclear</w:t>
      </w:r>
      <w:r w:rsidRPr="00C8588A">
        <w:rPr>
          <w:rFonts w:cs="Calibri"/>
          <w:i/>
          <w:iCs/>
        </w:rPr>
        <w:t xml:space="preserve"> whether the utilisation assumptions provided by the applicant were adequately supported</w:t>
      </w:r>
      <w:r w:rsidR="006010E1" w:rsidRPr="00C8588A">
        <w:rPr>
          <w:rFonts w:cs="Calibri"/>
          <w:i/>
          <w:iCs/>
        </w:rPr>
        <w:t xml:space="preserve"> but that an upper bound of 10% of single injection nerve block utilisation could be used for the assessment</w:t>
      </w:r>
      <w:r w:rsidRPr="00C8588A">
        <w:rPr>
          <w:rFonts w:cs="Calibri"/>
          <w:i/>
          <w:iCs/>
        </w:rPr>
        <w:t xml:space="preserve">. </w:t>
      </w:r>
    </w:p>
    <w:p w14:paraId="2E13EBCF" w14:textId="68CF1441" w:rsidR="00192BB0" w:rsidRDefault="00192BB0" w:rsidP="00EA3179">
      <w:r>
        <w:t xml:space="preserve">The applicant noted anaesthetists </w:t>
      </w:r>
      <w:r w:rsidR="00A71E1F">
        <w:t xml:space="preserve">most likely to have undertaken further training </w:t>
      </w:r>
      <w:r w:rsidR="003542D7">
        <w:t xml:space="preserve">in this area </w:t>
      </w:r>
      <w:r w:rsidR="00A71E1F">
        <w:t xml:space="preserve">would be </w:t>
      </w:r>
      <w:r w:rsidR="003542D7">
        <w:t>specialists</w:t>
      </w:r>
      <w:r w:rsidR="00C57E82">
        <w:t xml:space="preserve"> in </w:t>
      </w:r>
      <w:r w:rsidR="00C57E82" w:rsidRPr="00CF7CEE">
        <w:t>thoracic anaesthesia, major upper abdominal surgery,</w:t>
      </w:r>
      <w:r w:rsidR="003542D7">
        <w:t xml:space="preserve"> those undertaking</w:t>
      </w:r>
      <w:r w:rsidR="00C57E82" w:rsidRPr="00CF7CEE">
        <w:t xml:space="preserve"> </w:t>
      </w:r>
      <w:r w:rsidR="00C57E82">
        <w:t xml:space="preserve">anaesthesia for </w:t>
      </w:r>
      <w:r w:rsidR="00C57E82" w:rsidRPr="00CF7CEE">
        <w:t xml:space="preserve">emergency </w:t>
      </w:r>
      <w:r w:rsidR="00C57E82">
        <w:t>surgery and</w:t>
      </w:r>
      <w:r w:rsidR="00C57E82" w:rsidRPr="00CF7CEE">
        <w:t xml:space="preserve"> trauma patients, and anaesthetist</w:t>
      </w:r>
      <w:r w:rsidR="003542D7">
        <w:t>s</w:t>
      </w:r>
      <w:r w:rsidR="00C57E82" w:rsidRPr="00CF7CEE">
        <w:t xml:space="preserve"> who have a</w:t>
      </w:r>
      <w:r w:rsidR="001948D4">
        <w:t xml:space="preserve"> particular</w:t>
      </w:r>
      <w:r w:rsidR="00C57E82" w:rsidRPr="00CF7CEE">
        <w:t xml:space="preserve"> interest in regional anaesthesia</w:t>
      </w:r>
      <w:r w:rsidR="008154D6">
        <w:t xml:space="preserve"> (rather than cardiac anaesthetists)</w:t>
      </w:r>
      <w:r w:rsidR="003542D7">
        <w:t>.</w:t>
      </w:r>
    </w:p>
    <w:p w14:paraId="7CED4B16" w14:textId="008E9B63" w:rsidR="00C05912" w:rsidRDefault="00C05912" w:rsidP="00EA3179">
      <w:r>
        <w:t xml:space="preserve">The number of ambulatory patients as a proportion of the likely use remains unknown. </w:t>
      </w:r>
    </w:p>
    <w:p w14:paraId="0E38780D" w14:textId="29C8EB15" w:rsidR="007A66C8" w:rsidRDefault="007A66C8" w:rsidP="00713728">
      <w:pPr>
        <w:pStyle w:val="Heading3"/>
      </w:pPr>
      <w:bookmarkStart w:id="14" w:name="_Ref129165273"/>
      <w:r w:rsidRPr="008F1532">
        <w:t>Intervention</w:t>
      </w:r>
      <w:bookmarkEnd w:id="14"/>
    </w:p>
    <w:p w14:paraId="11B104CB" w14:textId="60314CC8" w:rsidR="002D644D" w:rsidRDefault="002D644D" w:rsidP="002D644D">
      <w:pPr>
        <w:spacing w:after="240"/>
        <w:rPr>
          <w:iCs/>
        </w:rPr>
      </w:pPr>
      <w:r>
        <w:rPr>
          <w:iCs/>
        </w:rPr>
        <w:t xml:space="preserve">The nerve block is for perioperative administration and must be co-claimed with an anaesthesia item. </w:t>
      </w:r>
      <w:r w:rsidR="00722D56" w:rsidRPr="00C445A3">
        <w:rPr>
          <w:rFonts w:cs="Calibri"/>
        </w:rPr>
        <w:t>The applicant confirmed the proposed item is only</w:t>
      </w:r>
      <w:r w:rsidR="007559F2">
        <w:rPr>
          <w:rFonts w:cs="Calibri"/>
        </w:rPr>
        <w:t xml:space="preserve"> to be used </w:t>
      </w:r>
      <w:r w:rsidR="00927FDB">
        <w:rPr>
          <w:rFonts w:cs="Calibri"/>
        </w:rPr>
        <w:t>in association with</w:t>
      </w:r>
      <w:r w:rsidR="00927FDB" w:rsidRPr="00C445A3">
        <w:rPr>
          <w:rFonts w:cs="Calibri"/>
        </w:rPr>
        <w:t xml:space="preserve"> </w:t>
      </w:r>
      <w:r w:rsidR="00722D56" w:rsidRPr="00C445A3">
        <w:rPr>
          <w:rFonts w:cs="Calibri"/>
        </w:rPr>
        <w:t xml:space="preserve">surgery. </w:t>
      </w:r>
      <w:r>
        <w:rPr>
          <w:iCs/>
        </w:rPr>
        <w:t>The proposed item is not for surgical anaesthesia, nor is it for pain unrelated to surgery</w:t>
      </w:r>
      <w:r w:rsidR="00BA1731">
        <w:rPr>
          <w:iCs/>
        </w:rPr>
        <w:t xml:space="preserve"> or trauma</w:t>
      </w:r>
      <w:r>
        <w:rPr>
          <w:iCs/>
        </w:rPr>
        <w:t xml:space="preserve">. </w:t>
      </w:r>
      <w:r w:rsidR="009F41FA">
        <w:rPr>
          <w:iCs/>
        </w:rPr>
        <w:t xml:space="preserve">Nerve blocks for </w:t>
      </w:r>
      <w:r w:rsidR="002022A9">
        <w:rPr>
          <w:iCs/>
        </w:rPr>
        <w:t>pain that it is not associated with surgery (</w:t>
      </w:r>
      <w:r w:rsidR="00735CE2">
        <w:rPr>
          <w:iCs/>
        </w:rPr>
        <w:t>chronic idiopathic pain, cancer pain</w:t>
      </w:r>
      <w:r w:rsidR="00873DB3">
        <w:rPr>
          <w:iCs/>
        </w:rPr>
        <w:t>, neurop</w:t>
      </w:r>
      <w:r w:rsidR="0014021A">
        <w:rPr>
          <w:iCs/>
        </w:rPr>
        <w:t>a</w:t>
      </w:r>
      <w:r w:rsidR="00873DB3">
        <w:rPr>
          <w:iCs/>
        </w:rPr>
        <w:t>thic pain</w:t>
      </w:r>
      <w:r w:rsidR="002022A9">
        <w:rPr>
          <w:iCs/>
        </w:rPr>
        <w:t>, etc.)</w:t>
      </w:r>
      <w:r>
        <w:rPr>
          <w:iCs/>
        </w:rPr>
        <w:t xml:space="preserve"> would be claimed as </w:t>
      </w:r>
      <w:r w:rsidRPr="00441297">
        <w:rPr>
          <w:iCs/>
        </w:rPr>
        <w:t xml:space="preserve">services </w:t>
      </w:r>
      <w:r>
        <w:rPr>
          <w:iCs/>
        </w:rPr>
        <w:t>under the items in</w:t>
      </w:r>
      <w:r w:rsidRPr="00441297">
        <w:rPr>
          <w:iCs/>
        </w:rPr>
        <w:t xml:space="preserve"> </w:t>
      </w:r>
      <w:r>
        <w:rPr>
          <w:iCs/>
        </w:rPr>
        <w:t>a different part of the Schedule, Therapeutic Procedures G</w:t>
      </w:r>
      <w:r w:rsidRPr="00441297">
        <w:rPr>
          <w:iCs/>
        </w:rPr>
        <w:t xml:space="preserve">roup T7 </w:t>
      </w:r>
      <w:r w:rsidRPr="00864008">
        <w:rPr>
          <w:i/>
        </w:rPr>
        <w:t>Regional or Field Nerve Blocks</w:t>
      </w:r>
      <w:r w:rsidRPr="00441297">
        <w:rPr>
          <w:iCs/>
        </w:rPr>
        <w:t xml:space="preserve">. </w:t>
      </w:r>
      <w:r>
        <w:rPr>
          <w:iCs/>
        </w:rPr>
        <w:t>Group T7 items include the following:</w:t>
      </w:r>
    </w:p>
    <w:p w14:paraId="06177ACE" w14:textId="77777777" w:rsidR="00772867" w:rsidRPr="00FC175F" w:rsidRDefault="00772867" w:rsidP="00772867">
      <w:pPr>
        <w:pStyle w:val="ListParagraph"/>
        <w:numPr>
          <w:ilvl w:val="0"/>
          <w:numId w:val="22"/>
        </w:numPr>
        <w:spacing w:after="240"/>
        <w:rPr>
          <w:iCs/>
        </w:rPr>
      </w:pPr>
      <w:r w:rsidRPr="00FC175F">
        <w:rPr>
          <w:iCs/>
        </w:rPr>
        <w:t xml:space="preserve">A range of stand-alone items for single injection </w:t>
      </w:r>
      <w:r>
        <w:rPr>
          <w:iCs/>
        </w:rPr>
        <w:t xml:space="preserve">block </w:t>
      </w:r>
      <w:r w:rsidRPr="00FC175F">
        <w:rPr>
          <w:iCs/>
        </w:rPr>
        <w:t>of specifi</w:t>
      </w:r>
      <w:r>
        <w:rPr>
          <w:iCs/>
        </w:rPr>
        <w:t>ed</w:t>
      </w:r>
      <w:r w:rsidRPr="00FC175F">
        <w:rPr>
          <w:iCs/>
        </w:rPr>
        <w:t xml:space="preserve"> nerves </w:t>
      </w:r>
      <w:r>
        <w:rPr>
          <w:iCs/>
        </w:rPr>
        <w:t>(</w:t>
      </w:r>
      <w:r w:rsidRPr="00FC175F">
        <w:rPr>
          <w:iCs/>
        </w:rPr>
        <w:t xml:space="preserve">including </w:t>
      </w:r>
      <w:r>
        <w:rPr>
          <w:iCs/>
        </w:rPr>
        <w:t xml:space="preserve">intercostal, </w:t>
      </w:r>
      <w:r w:rsidRPr="00FC175F">
        <w:rPr>
          <w:iCs/>
        </w:rPr>
        <w:t>femoral, saphenous, paravertebral, sciatic and also brachial plexus</w:t>
      </w:r>
      <w:r>
        <w:rPr>
          <w:iCs/>
        </w:rPr>
        <w:t xml:space="preserve"> and others). Most of these items cannot be co-claimed with surgical/anaesthesia items (only T7 items indicated as “(Anaes.)” in the descriptor attract an anaesthetic, for example those for neuraxial or sympathetic chain blocks). </w:t>
      </w:r>
    </w:p>
    <w:p w14:paraId="4DCED972" w14:textId="77777777" w:rsidR="00772867" w:rsidRDefault="00772867" w:rsidP="00772867">
      <w:pPr>
        <w:pStyle w:val="ListParagraph"/>
        <w:numPr>
          <w:ilvl w:val="0"/>
          <w:numId w:val="22"/>
        </w:numPr>
        <w:spacing w:after="240"/>
        <w:rPr>
          <w:iCs/>
        </w:rPr>
      </w:pPr>
      <w:r w:rsidRPr="00FC175F">
        <w:rPr>
          <w:iCs/>
        </w:rPr>
        <w:t xml:space="preserve">Items 18222 and 18225 </w:t>
      </w:r>
      <w:r>
        <w:rPr>
          <w:iCs/>
        </w:rPr>
        <w:t xml:space="preserve">for maintenance of </w:t>
      </w:r>
      <w:r w:rsidRPr="00FC175F">
        <w:rPr>
          <w:iCs/>
        </w:rPr>
        <w:t>single injection or continuous nerve blocks</w:t>
      </w:r>
      <w:r>
        <w:rPr>
          <w:iCs/>
        </w:rPr>
        <w:t>. These items</w:t>
      </w:r>
      <w:r w:rsidRPr="00FC175F">
        <w:rPr>
          <w:iCs/>
        </w:rPr>
        <w:t xml:space="preserve"> can be used to top up a nerve block </w:t>
      </w:r>
      <w:r>
        <w:rPr>
          <w:iCs/>
        </w:rPr>
        <w:t>of patients</w:t>
      </w:r>
      <w:r w:rsidRPr="00FC175F">
        <w:rPr>
          <w:iCs/>
        </w:rPr>
        <w:t xml:space="preserve"> after </w:t>
      </w:r>
      <w:r>
        <w:rPr>
          <w:iCs/>
        </w:rPr>
        <w:t>an</w:t>
      </w:r>
      <w:r w:rsidRPr="00FC175F">
        <w:rPr>
          <w:iCs/>
        </w:rPr>
        <w:t xml:space="preserve"> initial injection has worn off (as long as it is not administered by the surgeon who performed the original operation)</w:t>
      </w:r>
      <w:r>
        <w:rPr>
          <w:iCs/>
        </w:rPr>
        <w:t>.</w:t>
      </w:r>
    </w:p>
    <w:p w14:paraId="1378D57D" w14:textId="77777777" w:rsidR="00772867" w:rsidRPr="00FC175F" w:rsidRDefault="00772867" w:rsidP="00772867">
      <w:pPr>
        <w:pStyle w:val="ListParagraph"/>
        <w:numPr>
          <w:ilvl w:val="0"/>
          <w:numId w:val="22"/>
        </w:numPr>
        <w:spacing w:after="240"/>
        <w:rPr>
          <w:iCs/>
        </w:rPr>
      </w:pPr>
      <w:r>
        <w:rPr>
          <w:iCs/>
        </w:rPr>
        <w:t>Note there is no continuous peripheral nerve block item in Group T7 or elsewhere in the Schedule.</w:t>
      </w:r>
    </w:p>
    <w:p w14:paraId="28DEC356" w14:textId="143EEFBF" w:rsidR="00772867" w:rsidRPr="00C8588A" w:rsidRDefault="00772867" w:rsidP="002D644D">
      <w:pPr>
        <w:spacing w:after="240"/>
        <w:rPr>
          <w:i/>
          <w:iCs/>
        </w:rPr>
      </w:pPr>
      <w:r w:rsidRPr="00C8588A">
        <w:rPr>
          <w:rFonts w:cs="Calibri"/>
          <w:i/>
          <w:iCs/>
        </w:rPr>
        <w:t xml:space="preserve">PASC noted that </w:t>
      </w:r>
      <w:r w:rsidR="002E5DE1" w:rsidRPr="00C8588A">
        <w:rPr>
          <w:rFonts w:cs="Calibri"/>
          <w:i/>
          <w:iCs/>
        </w:rPr>
        <w:t xml:space="preserve">the </w:t>
      </w:r>
      <w:r w:rsidR="00901960" w:rsidRPr="00C8588A">
        <w:rPr>
          <w:rFonts w:cs="Calibri"/>
          <w:i/>
          <w:iCs/>
        </w:rPr>
        <w:t>intervention</w:t>
      </w:r>
      <w:r w:rsidRPr="00C8588A">
        <w:rPr>
          <w:rFonts w:cs="Calibri"/>
          <w:i/>
          <w:iCs/>
        </w:rPr>
        <w:t xml:space="preserve"> could include bilateral</w:t>
      </w:r>
      <w:r w:rsidR="002E5DE1" w:rsidRPr="00C8588A">
        <w:rPr>
          <w:rFonts w:cs="Calibri"/>
          <w:i/>
          <w:iCs/>
        </w:rPr>
        <w:t xml:space="preserve"> continuous nerve blocks</w:t>
      </w:r>
      <w:r w:rsidRPr="00C8588A">
        <w:rPr>
          <w:rFonts w:cs="Calibri"/>
          <w:i/>
          <w:iCs/>
        </w:rPr>
        <w:t xml:space="preserve"> (</w:t>
      </w:r>
      <w:r w:rsidR="002E5DE1" w:rsidRPr="00C8588A">
        <w:rPr>
          <w:rFonts w:cs="Calibri"/>
          <w:i/>
          <w:iCs/>
        </w:rPr>
        <w:t>for example in the case of</w:t>
      </w:r>
      <w:r w:rsidRPr="00C8588A">
        <w:rPr>
          <w:rFonts w:cs="Calibri"/>
          <w:i/>
          <w:iCs/>
        </w:rPr>
        <w:t xml:space="preserve"> </w:t>
      </w:r>
      <w:r w:rsidR="00123B7C" w:rsidRPr="00C8588A">
        <w:rPr>
          <w:rFonts w:cs="Calibri"/>
          <w:i/>
          <w:iCs/>
        </w:rPr>
        <w:t>bilateral knee arthroplasty</w:t>
      </w:r>
      <w:r w:rsidR="002E5DE1" w:rsidRPr="00C8588A">
        <w:rPr>
          <w:rFonts w:cs="Calibri"/>
          <w:i/>
          <w:iCs/>
        </w:rPr>
        <w:t xml:space="preserve">) </w:t>
      </w:r>
      <w:r w:rsidRPr="00C8588A">
        <w:rPr>
          <w:rFonts w:cs="Calibri"/>
          <w:i/>
          <w:iCs/>
        </w:rPr>
        <w:t xml:space="preserve">or </w:t>
      </w:r>
      <w:r w:rsidR="00BF1B04" w:rsidRPr="00C8588A">
        <w:rPr>
          <w:rFonts w:cs="Calibri"/>
          <w:i/>
          <w:iCs/>
        </w:rPr>
        <w:t xml:space="preserve">occasionally </w:t>
      </w:r>
      <w:r w:rsidRPr="00C8588A">
        <w:rPr>
          <w:rFonts w:cs="Calibri"/>
          <w:i/>
          <w:iCs/>
        </w:rPr>
        <w:t>more than one site</w:t>
      </w:r>
      <w:r w:rsidR="002E5DE1" w:rsidRPr="00C8588A">
        <w:rPr>
          <w:rFonts w:cs="Calibri"/>
          <w:i/>
          <w:iCs/>
        </w:rPr>
        <w:t xml:space="preserve"> for trauma patients</w:t>
      </w:r>
      <w:r w:rsidRPr="00C8588A">
        <w:rPr>
          <w:rFonts w:cs="Calibri"/>
          <w:i/>
          <w:iCs/>
        </w:rPr>
        <w:t xml:space="preserve">. </w:t>
      </w:r>
    </w:p>
    <w:p w14:paraId="59ADA2D4" w14:textId="1084ED09" w:rsidR="00000457" w:rsidRPr="00343E34" w:rsidRDefault="00000457" w:rsidP="00343E34">
      <w:pPr>
        <w:pStyle w:val="Heading4"/>
      </w:pPr>
      <w:bookmarkStart w:id="15" w:name="_Ref129165275"/>
      <w:r w:rsidRPr="00343E34">
        <w:t>Target nerves</w:t>
      </w:r>
      <w:bookmarkEnd w:id="15"/>
    </w:p>
    <w:p w14:paraId="2EDA35A2" w14:textId="7E5D8447" w:rsidR="009906C8" w:rsidRDefault="005B6CAB" w:rsidP="00C571C1">
      <w:r>
        <w:t xml:space="preserve">The </w:t>
      </w:r>
      <w:r w:rsidR="00200428">
        <w:t>application</w:t>
      </w:r>
      <w:r>
        <w:t xml:space="preserve"> is </w:t>
      </w:r>
      <w:r w:rsidR="00200428">
        <w:t xml:space="preserve">for a </w:t>
      </w:r>
      <w:r>
        <w:t xml:space="preserve">therapeutic </w:t>
      </w:r>
      <w:r w:rsidR="00200428">
        <w:t xml:space="preserve">health </w:t>
      </w:r>
      <w:r>
        <w:t>technology</w:t>
      </w:r>
      <w:r w:rsidR="00844FBD">
        <w:t xml:space="preserve"> for continuous</w:t>
      </w:r>
      <w:r w:rsidR="00494BA7">
        <w:t xml:space="preserve"> </w:t>
      </w:r>
      <w:r w:rsidR="00494BA7" w:rsidRPr="00DF00DF">
        <w:t>peripheral</w:t>
      </w:r>
      <w:r w:rsidR="00844FBD">
        <w:t xml:space="preserve"> nerve block using a catheter technique for </w:t>
      </w:r>
      <w:r w:rsidR="00701129">
        <w:t>post</w:t>
      </w:r>
      <w:r w:rsidR="00C01C10">
        <w:t>operative</w:t>
      </w:r>
      <w:r w:rsidR="00701129">
        <w:t xml:space="preserve"> pain management.</w:t>
      </w:r>
      <w:r w:rsidR="00A66E77">
        <w:t xml:space="preserve"> The technique is </w:t>
      </w:r>
      <w:r w:rsidR="00BE0FDC">
        <w:t>broadly</w:t>
      </w:r>
      <w:r w:rsidR="00A66E77">
        <w:t xml:space="preserve"> the same as </w:t>
      </w:r>
      <w:r w:rsidR="00B346AD">
        <w:t>the existing MBS</w:t>
      </w:r>
      <w:r w:rsidR="00A66E77">
        <w:t xml:space="preserve"> item </w:t>
      </w:r>
      <w:r w:rsidR="00B346AD">
        <w:t xml:space="preserve">for </w:t>
      </w:r>
      <w:r w:rsidR="00E65948">
        <w:t xml:space="preserve">single-injection nerve block </w:t>
      </w:r>
      <w:r w:rsidR="00B346AD">
        <w:t>(</w:t>
      </w:r>
      <w:r w:rsidR="00A66E77">
        <w:t xml:space="preserve">22041), but with the additional placement of a catheter in close </w:t>
      </w:r>
      <w:r w:rsidR="00A66E77">
        <w:lastRenderedPageBreak/>
        <w:t>proximity to the relevant nerves</w:t>
      </w:r>
      <w:r w:rsidR="00BE0FDC">
        <w:t xml:space="preserve">, </w:t>
      </w:r>
      <w:r w:rsidR="00BE0FDC" w:rsidRPr="00502E67">
        <w:t xml:space="preserve">although it requires a more technically </w:t>
      </w:r>
      <w:r w:rsidR="004E050E" w:rsidRPr="00502E67">
        <w:t>proficient specialist than the equivalent single injection nerve block at the same site</w:t>
      </w:r>
      <w:r w:rsidR="00A66E77">
        <w:t>.</w:t>
      </w:r>
      <w:r w:rsidR="003B1C54">
        <w:t xml:space="preserve"> </w:t>
      </w:r>
      <w:r w:rsidR="001A343B">
        <w:t>The catheter allows for continuous administration of anaesthetic</w:t>
      </w:r>
      <w:r w:rsidR="00DE55E7">
        <w:t xml:space="preserve"> until the pain has subsided to the point where the </w:t>
      </w:r>
      <w:r w:rsidR="00D16BF5">
        <w:t>block is no longer required.</w:t>
      </w:r>
      <w:r w:rsidR="002A179D">
        <w:t xml:space="preserve"> </w:t>
      </w:r>
    </w:p>
    <w:p w14:paraId="31430B43" w14:textId="059B3774" w:rsidR="00057F8D" w:rsidRPr="006F4967" w:rsidRDefault="00BE0DD3" w:rsidP="00057F8D">
      <w:r w:rsidRPr="006F4967">
        <w:t>The proposed technology would be used for post</w:t>
      </w:r>
      <w:r w:rsidR="00C01C10">
        <w:t>operative</w:t>
      </w:r>
      <w:r w:rsidRPr="006F4967">
        <w:t xml:space="preserve"> pain</w:t>
      </w:r>
      <w:r w:rsidR="00A10D8E" w:rsidRPr="006F4967">
        <w:t xml:space="preserve"> </w:t>
      </w:r>
      <w:r w:rsidR="00525F46" w:rsidRPr="006F4967">
        <w:t xml:space="preserve">management </w:t>
      </w:r>
      <w:r w:rsidR="00A10D8E" w:rsidRPr="006F4967">
        <w:t>following surgery</w:t>
      </w:r>
      <w:r w:rsidR="00CA5197" w:rsidRPr="006F4967">
        <w:t xml:space="preserve"> where the expected pain duration exceeds the </w:t>
      </w:r>
      <w:r w:rsidR="00252B8D" w:rsidRPr="006F4967">
        <w:t>duration of a single injection nerve block</w:t>
      </w:r>
      <w:r w:rsidR="00383E1B" w:rsidRPr="006F4967">
        <w:t xml:space="preserve">. </w:t>
      </w:r>
      <w:r w:rsidR="0028067D">
        <w:t xml:space="preserve">Information in </w:t>
      </w:r>
      <w:r w:rsidR="00BD105B" w:rsidRPr="006F4967">
        <w:fldChar w:fldCharType="begin"/>
      </w:r>
      <w:r w:rsidR="00BD105B" w:rsidRPr="006F4967">
        <w:instrText xml:space="preserve"> REF _Ref126674471 \h </w:instrText>
      </w:r>
      <w:r w:rsidR="000123CA" w:rsidRPr="006F4967">
        <w:instrText xml:space="preserve"> \* MERGEFORMAT </w:instrText>
      </w:r>
      <w:r w:rsidR="00BD105B" w:rsidRPr="006F4967">
        <w:fldChar w:fldCharType="separate"/>
      </w:r>
      <w:r w:rsidR="00B65CEE" w:rsidRPr="00BB2E4B">
        <w:t>Table </w:t>
      </w:r>
      <w:r w:rsidR="00B65CEE">
        <w:t>5</w:t>
      </w:r>
      <w:r w:rsidR="00BD105B" w:rsidRPr="006F4967">
        <w:fldChar w:fldCharType="end"/>
      </w:r>
      <w:r w:rsidR="005F5DC1" w:rsidRPr="006F4967">
        <w:t xml:space="preserve"> </w:t>
      </w:r>
      <w:r w:rsidR="00C3338A" w:rsidRPr="006F4967">
        <w:t>(see</w:t>
      </w:r>
      <w:r w:rsidR="00231668" w:rsidRPr="006F4967">
        <w:t xml:space="preserve"> </w:t>
      </w:r>
      <w:r w:rsidR="005D7D84">
        <w:t>‘</w:t>
      </w:r>
      <w:r w:rsidR="009E1BEB" w:rsidRPr="006F4967">
        <w:fldChar w:fldCharType="begin"/>
      </w:r>
      <w:r w:rsidR="009E1BEB" w:rsidRPr="006F4967">
        <w:instrText xml:space="preserve"> REF _Ref127782800 \h </w:instrText>
      </w:r>
      <w:r w:rsidR="00901E79" w:rsidRPr="006F4967">
        <w:instrText xml:space="preserve"> \* MERGEFORMAT </w:instrText>
      </w:r>
      <w:r w:rsidR="009E1BEB" w:rsidRPr="006F4967">
        <w:fldChar w:fldCharType="separate"/>
      </w:r>
      <w:r w:rsidR="00B65CEE" w:rsidRPr="00713728">
        <w:t>Population</w:t>
      </w:r>
      <w:r w:rsidR="009E1BEB" w:rsidRPr="006F4967">
        <w:fldChar w:fldCharType="end"/>
      </w:r>
      <w:r w:rsidR="005D7D84">
        <w:t>’</w:t>
      </w:r>
      <w:r w:rsidR="009E1BEB" w:rsidRPr="006F4967">
        <w:t>)</w:t>
      </w:r>
      <w:r w:rsidR="00231668" w:rsidRPr="006F4967">
        <w:t xml:space="preserve"> </w:t>
      </w:r>
      <w:r w:rsidR="005F5DC1" w:rsidRPr="006F4967">
        <w:t>provides a non</w:t>
      </w:r>
      <w:r w:rsidR="000E32C8" w:rsidRPr="006F4967">
        <w:t>-</w:t>
      </w:r>
      <w:r w:rsidR="005F5DC1" w:rsidRPr="006F4967">
        <w:t xml:space="preserve">exhaustive list of </w:t>
      </w:r>
      <w:r w:rsidR="00676A9C" w:rsidRPr="006F4967">
        <w:t>the proposed surgery types</w:t>
      </w:r>
      <w:r w:rsidR="006510D1" w:rsidRPr="006F4967">
        <w:t>/indications</w:t>
      </w:r>
      <w:r w:rsidR="00676A9C" w:rsidRPr="006F4967">
        <w:t xml:space="preserve"> for which the technology may be used. </w:t>
      </w:r>
      <w:r w:rsidR="00057F8D" w:rsidRPr="006F4967">
        <w:t>A no</w:t>
      </w:r>
      <w:r w:rsidR="000E32C8" w:rsidRPr="006F4967">
        <w:t>n-</w:t>
      </w:r>
      <w:r w:rsidR="00057F8D" w:rsidRPr="006F4967">
        <w:t>exhaustive</w:t>
      </w:r>
      <w:r w:rsidR="000E32C8" w:rsidRPr="006F4967">
        <w:t xml:space="preserve"> list</w:t>
      </w:r>
      <w:r w:rsidR="00057F8D" w:rsidRPr="006F4967">
        <w:t xml:space="preserve"> of specific types of nerve blocks that would be covered by the proposed listing is presented in </w:t>
      </w:r>
      <w:r w:rsidR="00471927" w:rsidRPr="006F4967">
        <w:fldChar w:fldCharType="begin"/>
      </w:r>
      <w:r w:rsidR="00471927" w:rsidRPr="006F4967">
        <w:instrText xml:space="preserve"> REF _Ref127781272 \h </w:instrText>
      </w:r>
      <w:r w:rsidR="000123CA" w:rsidRPr="006F4967">
        <w:instrText xml:space="preserve"> \* MERGEFORMAT </w:instrText>
      </w:r>
      <w:r w:rsidR="00471927" w:rsidRPr="006F4967">
        <w:fldChar w:fldCharType="separate"/>
      </w:r>
      <w:r w:rsidR="00B65CEE" w:rsidRPr="00B65CEE">
        <w:t>Table 8</w:t>
      </w:r>
      <w:r w:rsidR="00471927" w:rsidRPr="006F4967">
        <w:fldChar w:fldCharType="end"/>
      </w:r>
      <w:r w:rsidR="00057F8D" w:rsidRPr="006F4967">
        <w:t xml:space="preserve">. </w:t>
      </w:r>
    </w:p>
    <w:p w14:paraId="3DEAE757" w14:textId="06E24569" w:rsidR="00057F8D" w:rsidRPr="001617CE" w:rsidRDefault="00057F8D" w:rsidP="00057F8D">
      <w:pPr>
        <w:pStyle w:val="Caption"/>
        <w:rPr>
          <w:rFonts w:cstheme="minorHAnsi"/>
        </w:rPr>
      </w:pPr>
      <w:bookmarkStart w:id="16" w:name="_Ref127781272"/>
      <w:r w:rsidRPr="001617CE">
        <w:rPr>
          <w:rFonts w:cstheme="minorHAnsi"/>
        </w:rPr>
        <w:t>Table </w:t>
      </w:r>
      <w:r w:rsidRPr="001617CE">
        <w:rPr>
          <w:rFonts w:cstheme="minorHAnsi"/>
        </w:rPr>
        <w:fldChar w:fldCharType="begin"/>
      </w:r>
      <w:r w:rsidRPr="001617CE">
        <w:rPr>
          <w:rFonts w:cstheme="minorHAnsi"/>
        </w:rPr>
        <w:instrText xml:space="preserve"> SEQ Table \* ARABIC </w:instrText>
      </w:r>
      <w:r w:rsidRPr="001617CE">
        <w:rPr>
          <w:rFonts w:cstheme="minorHAnsi"/>
        </w:rPr>
        <w:fldChar w:fldCharType="separate"/>
      </w:r>
      <w:r w:rsidR="00B65CEE">
        <w:rPr>
          <w:rFonts w:cstheme="minorHAnsi"/>
          <w:noProof/>
        </w:rPr>
        <w:t>8</w:t>
      </w:r>
      <w:r w:rsidRPr="001617CE">
        <w:rPr>
          <w:rFonts w:cstheme="minorHAnsi"/>
        </w:rPr>
        <w:fldChar w:fldCharType="end"/>
      </w:r>
      <w:bookmarkEnd w:id="16"/>
      <w:r w:rsidRPr="001617CE">
        <w:rPr>
          <w:rFonts w:cstheme="minorHAnsi"/>
        </w:rPr>
        <w:tab/>
      </w:r>
      <w:r w:rsidR="00002792" w:rsidRPr="001617CE">
        <w:rPr>
          <w:rFonts w:cstheme="minorHAnsi"/>
        </w:rPr>
        <w:t>S</w:t>
      </w:r>
      <w:r w:rsidRPr="001617CE">
        <w:rPr>
          <w:rFonts w:cstheme="minorHAnsi"/>
        </w:rPr>
        <w:t>pecific types of nerve blocks for the proposed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Specific types of nerve blocks for the proposed item"/>
        <w:tblDescription w:val="The table lists nerve block types and the target area for each block."/>
      </w:tblPr>
      <w:tblGrid>
        <w:gridCol w:w="5098"/>
        <w:gridCol w:w="4473"/>
      </w:tblGrid>
      <w:tr w:rsidR="00057F8D" w:rsidRPr="007A3273" w14:paraId="0BB8CF94" w14:textId="77777777" w:rsidTr="1CC05B93">
        <w:trPr>
          <w:tblHeader/>
        </w:trPr>
        <w:tc>
          <w:tcPr>
            <w:tcW w:w="2663" w:type="pct"/>
          </w:tcPr>
          <w:p w14:paraId="77B9DCC1" w14:textId="77777777" w:rsidR="00057F8D" w:rsidRPr="007A3273" w:rsidRDefault="00AE724F" w:rsidP="00362291">
            <w:pPr>
              <w:pStyle w:val="TableHeading"/>
              <w:keepNext w:val="0"/>
              <w:spacing w:before="0"/>
              <w:jc w:val="center"/>
              <w:rPr>
                <w:rFonts w:cstheme="minorHAnsi"/>
              </w:rPr>
            </w:pPr>
            <w:r w:rsidRPr="007A3273">
              <w:rPr>
                <w:rFonts w:cstheme="minorHAnsi"/>
              </w:rPr>
              <w:t>N</w:t>
            </w:r>
            <w:r w:rsidR="00057F8D" w:rsidRPr="007A3273">
              <w:rPr>
                <w:rFonts w:cstheme="minorHAnsi"/>
              </w:rPr>
              <w:t xml:space="preserve">erve </w:t>
            </w:r>
            <w:r w:rsidR="003F14DE" w:rsidRPr="007A3273">
              <w:rPr>
                <w:rFonts w:cstheme="minorHAnsi"/>
              </w:rPr>
              <w:t>b</w:t>
            </w:r>
            <w:r w:rsidR="00057F8D" w:rsidRPr="007A3273">
              <w:rPr>
                <w:rFonts w:cstheme="minorHAnsi"/>
              </w:rPr>
              <w:t>lock</w:t>
            </w:r>
            <w:r w:rsidRPr="007A3273">
              <w:rPr>
                <w:rFonts w:cstheme="minorHAnsi"/>
              </w:rPr>
              <w:t xml:space="preserve"> type</w:t>
            </w:r>
            <w:r w:rsidR="00057F8D" w:rsidRPr="007A3273">
              <w:rPr>
                <w:rFonts w:cstheme="minorHAnsi"/>
              </w:rPr>
              <w:t xml:space="preserve"> (all continuous)</w:t>
            </w:r>
          </w:p>
        </w:tc>
        <w:tc>
          <w:tcPr>
            <w:tcW w:w="2337" w:type="pct"/>
          </w:tcPr>
          <w:p w14:paraId="3056C463" w14:textId="77777777" w:rsidR="00057F8D" w:rsidRPr="007A3273" w:rsidRDefault="00057F8D" w:rsidP="00362291">
            <w:pPr>
              <w:pStyle w:val="TableHeading"/>
              <w:keepNext w:val="0"/>
              <w:spacing w:before="0"/>
              <w:jc w:val="center"/>
              <w:rPr>
                <w:rFonts w:cstheme="minorHAnsi"/>
              </w:rPr>
            </w:pPr>
            <w:r w:rsidRPr="007A3273">
              <w:rPr>
                <w:rFonts w:cstheme="minorHAnsi"/>
              </w:rPr>
              <w:t>Target Area</w:t>
            </w:r>
          </w:p>
        </w:tc>
      </w:tr>
      <w:tr w:rsidR="00057F8D" w:rsidRPr="0028067D" w14:paraId="46FB920D" w14:textId="77777777" w:rsidTr="1CC05B93">
        <w:trPr>
          <w:tblHeader/>
        </w:trPr>
        <w:tc>
          <w:tcPr>
            <w:tcW w:w="2663" w:type="pct"/>
          </w:tcPr>
          <w:p w14:paraId="4C000A6D" w14:textId="77777777" w:rsidR="00057F8D" w:rsidRPr="0028067D" w:rsidRDefault="00057F8D" w:rsidP="00362291">
            <w:pPr>
              <w:pStyle w:val="Tabletext"/>
            </w:pPr>
            <w:r w:rsidRPr="0028067D">
              <w:t xml:space="preserve">Brachial plexus </w:t>
            </w:r>
          </w:p>
          <w:p w14:paraId="389CD123" w14:textId="77777777" w:rsidR="00057F8D" w:rsidRPr="0028067D" w:rsidRDefault="00057F8D" w:rsidP="00362291">
            <w:pPr>
              <w:pStyle w:val="Tabletext"/>
            </w:pPr>
            <w:r w:rsidRPr="0028067D">
              <w:t>Interscalene (proximal) approach: shoulder</w:t>
            </w:r>
          </w:p>
          <w:p w14:paraId="731007E0" w14:textId="77777777" w:rsidR="00057F8D" w:rsidRPr="0028067D" w:rsidRDefault="00057F8D" w:rsidP="00362291">
            <w:pPr>
              <w:pStyle w:val="Tabletext"/>
            </w:pPr>
            <w:r w:rsidRPr="0028067D">
              <w:t>Infraclavicular (mid) approach: elbow</w:t>
            </w:r>
          </w:p>
        </w:tc>
        <w:tc>
          <w:tcPr>
            <w:tcW w:w="2337" w:type="pct"/>
          </w:tcPr>
          <w:p w14:paraId="490B0640" w14:textId="77777777" w:rsidR="00057F8D" w:rsidRPr="0028067D" w:rsidRDefault="00057F8D" w:rsidP="00362291">
            <w:pPr>
              <w:pStyle w:val="Tabletext"/>
            </w:pPr>
            <w:r w:rsidRPr="0028067D">
              <w:t>Chest, shoulders, arms, hands</w:t>
            </w:r>
          </w:p>
        </w:tc>
      </w:tr>
      <w:tr w:rsidR="00057F8D" w:rsidRPr="0028067D" w14:paraId="2043A794" w14:textId="77777777" w:rsidTr="1CC05B93">
        <w:trPr>
          <w:tblHeader/>
        </w:trPr>
        <w:tc>
          <w:tcPr>
            <w:tcW w:w="2663" w:type="pct"/>
          </w:tcPr>
          <w:p w14:paraId="3C1EDD88" w14:textId="77777777" w:rsidR="00057F8D" w:rsidRPr="0028067D" w:rsidRDefault="00057F8D" w:rsidP="00362291">
            <w:pPr>
              <w:pStyle w:val="Tabletext"/>
            </w:pPr>
            <w:r w:rsidRPr="0028067D">
              <w:t>Lumbar plexus</w:t>
            </w:r>
          </w:p>
          <w:p w14:paraId="072577F6" w14:textId="77777777" w:rsidR="00057F8D" w:rsidRPr="0028067D" w:rsidRDefault="00057F8D" w:rsidP="00362291">
            <w:pPr>
              <w:pStyle w:val="Tabletext"/>
            </w:pPr>
            <w:r w:rsidRPr="0028067D">
              <w:t>Femoral nerve: knee</w:t>
            </w:r>
          </w:p>
          <w:p w14:paraId="4377CBC5" w14:textId="77777777" w:rsidR="00057F8D" w:rsidRPr="0028067D" w:rsidRDefault="00057F8D" w:rsidP="00362291">
            <w:pPr>
              <w:pStyle w:val="Tabletext"/>
            </w:pPr>
            <w:r w:rsidRPr="0028067D">
              <w:t>Saphenous nerve (adductor canal approach): knee</w:t>
            </w:r>
          </w:p>
        </w:tc>
        <w:tc>
          <w:tcPr>
            <w:tcW w:w="2337" w:type="pct"/>
          </w:tcPr>
          <w:p w14:paraId="65D10F45" w14:textId="77777777" w:rsidR="00057F8D" w:rsidRPr="0028067D" w:rsidRDefault="00057F8D" w:rsidP="00362291">
            <w:pPr>
              <w:pStyle w:val="Tabletext"/>
            </w:pPr>
            <w:r w:rsidRPr="0028067D">
              <w:t>Back, abdomen, groin, legs (not including ankles or feet)</w:t>
            </w:r>
          </w:p>
        </w:tc>
      </w:tr>
      <w:tr w:rsidR="00057F8D" w:rsidRPr="0028067D" w14:paraId="139BE134" w14:textId="77777777" w:rsidTr="1CC05B93">
        <w:trPr>
          <w:tblHeader/>
        </w:trPr>
        <w:tc>
          <w:tcPr>
            <w:tcW w:w="2663" w:type="pct"/>
            <w:vAlign w:val="center"/>
          </w:tcPr>
          <w:p w14:paraId="5E80A69D" w14:textId="77777777" w:rsidR="00057F8D" w:rsidRPr="0028067D" w:rsidRDefault="00057F8D" w:rsidP="00362291">
            <w:pPr>
              <w:pStyle w:val="Tabletext"/>
            </w:pPr>
            <w:r w:rsidRPr="0028067D">
              <w:t xml:space="preserve">Sacral plexus </w:t>
            </w:r>
          </w:p>
          <w:p w14:paraId="0884CAAD" w14:textId="77777777" w:rsidR="00057F8D" w:rsidRPr="0028067D" w:rsidRDefault="00057F8D" w:rsidP="00362291">
            <w:pPr>
              <w:pStyle w:val="Tabletext"/>
            </w:pPr>
            <w:r w:rsidRPr="0028067D">
              <w:t>Proximal sciatic nerve (popliteal fossa approach): lower leg</w:t>
            </w:r>
          </w:p>
          <w:p w14:paraId="69600911" w14:textId="77777777" w:rsidR="00057F8D" w:rsidRPr="0028067D" w:rsidRDefault="00057F8D" w:rsidP="00362291">
            <w:pPr>
              <w:pStyle w:val="Tabletext"/>
            </w:pPr>
            <w:r w:rsidRPr="0028067D">
              <w:t>Popliteal sciatic nerve: foot and ankle</w:t>
            </w:r>
          </w:p>
        </w:tc>
        <w:tc>
          <w:tcPr>
            <w:tcW w:w="2337" w:type="pct"/>
          </w:tcPr>
          <w:p w14:paraId="2448B030" w14:textId="77777777" w:rsidR="00057F8D" w:rsidRPr="0028067D" w:rsidRDefault="00057F8D" w:rsidP="00362291">
            <w:pPr>
              <w:pStyle w:val="Tabletext"/>
            </w:pPr>
            <w:r w:rsidRPr="0028067D">
              <w:t>Pelvis, hips, upper and lower legs, feet</w:t>
            </w:r>
          </w:p>
        </w:tc>
      </w:tr>
      <w:tr w:rsidR="00057F8D" w:rsidRPr="0028067D" w14:paraId="0850956E" w14:textId="77777777" w:rsidTr="1CC05B93">
        <w:trPr>
          <w:tblHeader/>
        </w:trPr>
        <w:tc>
          <w:tcPr>
            <w:tcW w:w="2663" w:type="pct"/>
            <w:tcBorders>
              <w:bottom w:val="single" w:sz="4" w:space="0" w:color="auto"/>
            </w:tcBorders>
          </w:tcPr>
          <w:p w14:paraId="5E1B5178" w14:textId="77777777" w:rsidR="00057F8D" w:rsidRPr="0028067D" w:rsidRDefault="00057F8D" w:rsidP="00362291">
            <w:pPr>
              <w:pStyle w:val="Tabletext"/>
            </w:pPr>
            <w:r w:rsidRPr="0028067D">
              <w:t>Paravertebral block</w:t>
            </w:r>
          </w:p>
        </w:tc>
        <w:tc>
          <w:tcPr>
            <w:tcW w:w="2337" w:type="pct"/>
            <w:tcBorders>
              <w:bottom w:val="single" w:sz="4" w:space="0" w:color="auto"/>
            </w:tcBorders>
          </w:tcPr>
          <w:p w14:paraId="591150AB" w14:textId="77777777" w:rsidR="00057F8D" w:rsidRPr="0028067D" w:rsidRDefault="00057F8D" w:rsidP="00362291">
            <w:pPr>
              <w:pStyle w:val="Tabletext"/>
            </w:pPr>
            <w:r w:rsidRPr="0028067D">
              <w:t>Trunk (for surgery of abdominal or thoracic cavities)</w:t>
            </w:r>
          </w:p>
        </w:tc>
      </w:tr>
      <w:tr w:rsidR="00057F8D" w:rsidRPr="0028067D" w14:paraId="21E60C6E" w14:textId="77777777" w:rsidTr="1CC05B93">
        <w:trPr>
          <w:tblHeader/>
        </w:trPr>
        <w:tc>
          <w:tcPr>
            <w:tcW w:w="2663" w:type="pct"/>
            <w:tcBorders>
              <w:bottom w:val="nil"/>
            </w:tcBorders>
          </w:tcPr>
          <w:p w14:paraId="16814041" w14:textId="77777777" w:rsidR="00057F8D" w:rsidRPr="0028067D" w:rsidRDefault="00057F8D" w:rsidP="00362291">
            <w:pPr>
              <w:pStyle w:val="Tabletext"/>
            </w:pPr>
            <w:r w:rsidRPr="0028067D">
              <w:t>Fascial plane blocks:</w:t>
            </w:r>
          </w:p>
        </w:tc>
        <w:tc>
          <w:tcPr>
            <w:tcW w:w="2337" w:type="pct"/>
            <w:tcBorders>
              <w:bottom w:val="nil"/>
            </w:tcBorders>
          </w:tcPr>
          <w:p w14:paraId="778AC64A" w14:textId="77777777" w:rsidR="00057F8D" w:rsidRPr="0028067D" w:rsidRDefault="00057F8D" w:rsidP="00362291">
            <w:pPr>
              <w:pStyle w:val="Tabletext"/>
            </w:pPr>
          </w:p>
        </w:tc>
      </w:tr>
      <w:tr w:rsidR="007B6725" w:rsidRPr="0028067D" w14:paraId="782C364C" w14:textId="77777777" w:rsidTr="1CC05B93">
        <w:trPr>
          <w:tblHeader/>
        </w:trPr>
        <w:tc>
          <w:tcPr>
            <w:tcW w:w="2663" w:type="pct"/>
            <w:tcBorders>
              <w:top w:val="nil"/>
              <w:bottom w:val="nil"/>
            </w:tcBorders>
          </w:tcPr>
          <w:p w14:paraId="37C01F54" w14:textId="4B10D45C" w:rsidR="007B6725" w:rsidRPr="0028067D" w:rsidRDefault="007B6725" w:rsidP="00362291">
            <w:pPr>
              <w:pStyle w:val="Tabletext"/>
              <w:numPr>
                <w:ilvl w:val="0"/>
                <w:numId w:val="18"/>
              </w:numPr>
            </w:pPr>
            <w:r w:rsidRPr="00C16C13">
              <w:rPr>
                <w:i/>
                <w:iCs/>
              </w:rPr>
              <w:t>Pectoralis</w:t>
            </w:r>
            <w:r w:rsidRPr="00AC15C8">
              <w:t xml:space="preserve"> nerve (PEC) blocks</w:t>
            </w:r>
            <w:r w:rsidRPr="00AC15C8">
              <w:rPr>
                <w:rFonts w:ascii="Arial" w:hAnsi="Arial" w:cs="Arial"/>
              </w:rPr>
              <w:t> </w:t>
            </w:r>
            <w:r w:rsidRPr="00AC15C8">
              <w:t xml:space="preserve"> </w:t>
            </w:r>
          </w:p>
        </w:tc>
        <w:tc>
          <w:tcPr>
            <w:tcW w:w="2337" w:type="pct"/>
            <w:tcBorders>
              <w:top w:val="nil"/>
              <w:bottom w:val="nil"/>
            </w:tcBorders>
          </w:tcPr>
          <w:p w14:paraId="607EB680" w14:textId="677143A3" w:rsidR="007B6725" w:rsidRPr="0028067D" w:rsidRDefault="007B6725" w:rsidP="00362291">
            <w:pPr>
              <w:pStyle w:val="Tabletext"/>
            </w:pPr>
            <w:r w:rsidRPr="007B6725">
              <w:t xml:space="preserve">Thoracic </w:t>
            </w:r>
            <w:r>
              <w:t>w</w:t>
            </w:r>
            <w:r w:rsidRPr="007B6725">
              <w:t xml:space="preserve">all / </w:t>
            </w:r>
            <w:r>
              <w:t>b</w:t>
            </w:r>
            <w:r w:rsidRPr="007B6725">
              <w:t xml:space="preserve">reast surgery </w:t>
            </w:r>
          </w:p>
        </w:tc>
      </w:tr>
      <w:tr w:rsidR="00057F8D" w:rsidRPr="0028067D" w14:paraId="1E43A2CB" w14:textId="77777777" w:rsidTr="1CC05B93">
        <w:trPr>
          <w:tblHeader/>
        </w:trPr>
        <w:tc>
          <w:tcPr>
            <w:tcW w:w="2663" w:type="pct"/>
            <w:tcBorders>
              <w:top w:val="nil"/>
              <w:bottom w:val="nil"/>
            </w:tcBorders>
          </w:tcPr>
          <w:p w14:paraId="1177A211" w14:textId="5293B91B" w:rsidR="00057F8D" w:rsidRPr="00C16C13" w:rsidRDefault="00057F8D" w:rsidP="00362291">
            <w:pPr>
              <w:pStyle w:val="Tabletext"/>
              <w:numPr>
                <w:ilvl w:val="0"/>
                <w:numId w:val="18"/>
              </w:numPr>
              <w:rPr>
                <w:i/>
                <w:iCs/>
              </w:rPr>
            </w:pPr>
            <w:r w:rsidRPr="00C16C13">
              <w:rPr>
                <w:i/>
                <w:iCs/>
              </w:rPr>
              <w:t xml:space="preserve">Erector spinae </w:t>
            </w:r>
          </w:p>
        </w:tc>
        <w:tc>
          <w:tcPr>
            <w:tcW w:w="2337" w:type="pct"/>
            <w:tcBorders>
              <w:top w:val="nil"/>
              <w:bottom w:val="nil"/>
            </w:tcBorders>
          </w:tcPr>
          <w:p w14:paraId="3591324E" w14:textId="77777777" w:rsidR="00057F8D" w:rsidRPr="0028067D" w:rsidRDefault="00057F8D" w:rsidP="00362291">
            <w:pPr>
              <w:pStyle w:val="Tabletext"/>
            </w:pPr>
            <w:r w:rsidRPr="0028067D">
              <w:t>Thoracic and abdominal walls</w:t>
            </w:r>
          </w:p>
        </w:tc>
      </w:tr>
      <w:tr w:rsidR="00057F8D" w:rsidRPr="0028067D" w14:paraId="7231396F" w14:textId="77777777" w:rsidTr="1CC05B93">
        <w:trPr>
          <w:tblHeader/>
        </w:trPr>
        <w:tc>
          <w:tcPr>
            <w:tcW w:w="2663" w:type="pct"/>
            <w:tcBorders>
              <w:top w:val="nil"/>
              <w:bottom w:val="nil"/>
            </w:tcBorders>
          </w:tcPr>
          <w:p w14:paraId="23C91206" w14:textId="77777777" w:rsidR="00057F8D" w:rsidRPr="00C16C13" w:rsidRDefault="00057F8D" w:rsidP="00362291">
            <w:pPr>
              <w:pStyle w:val="Tabletext"/>
              <w:numPr>
                <w:ilvl w:val="0"/>
                <w:numId w:val="18"/>
              </w:numPr>
              <w:rPr>
                <w:i/>
                <w:iCs/>
              </w:rPr>
            </w:pPr>
            <w:r w:rsidRPr="00C16C13">
              <w:rPr>
                <w:i/>
                <w:iCs/>
              </w:rPr>
              <w:t xml:space="preserve">Transversus abdominis </w:t>
            </w:r>
          </w:p>
        </w:tc>
        <w:tc>
          <w:tcPr>
            <w:tcW w:w="2337" w:type="pct"/>
            <w:tcBorders>
              <w:top w:val="nil"/>
              <w:bottom w:val="nil"/>
            </w:tcBorders>
          </w:tcPr>
          <w:p w14:paraId="73C54692" w14:textId="77777777" w:rsidR="00057F8D" w:rsidRPr="0028067D" w:rsidRDefault="00057F8D" w:rsidP="00362291">
            <w:pPr>
              <w:pStyle w:val="Tabletext"/>
            </w:pPr>
            <w:r w:rsidRPr="0028067D">
              <w:t>Anterolateral abdominal wall</w:t>
            </w:r>
          </w:p>
        </w:tc>
      </w:tr>
      <w:tr w:rsidR="00057F8D" w:rsidRPr="0028067D" w14:paraId="0F69ECAE" w14:textId="77777777" w:rsidTr="1CC05B93">
        <w:trPr>
          <w:tblHeader/>
        </w:trPr>
        <w:tc>
          <w:tcPr>
            <w:tcW w:w="2663" w:type="pct"/>
            <w:tcBorders>
              <w:top w:val="nil"/>
              <w:bottom w:val="nil"/>
            </w:tcBorders>
          </w:tcPr>
          <w:p w14:paraId="657554D4" w14:textId="77777777" w:rsidR="00057F8D" w:rsidRPr="0028067D" w:rsidRDefault="00057F8D" w:rsidP="00362291">
            <w:pPr>
              <w:pStyle w:val="Tabletext"/>
              <w:numPr>
                <w:ilvl w:val="0"/>
                <w:numId w:val="18"/>
              </w:numPr>
            </w:pPr>
            <w:r w:rsidRPr="00C16C13">
              <w:rPr>
                <w:i/>
                <w:iCs/>
              </w:rPr>
              <w:t>Rectus</w:t>
            </w:r>
            <w:r w:rsidRPr="0028067D">
              <w:t xml:space="preserve"> sheath </w:t>
            </w:r>
          </w:p>
        </w:tc>
        <w:tc>
          <w:tcPr>
            <w:tcW w:w="2337" w:type="pct"/>
            <w:tcBorders>
              <w:top w:val="nil"/>
              <w:bottom w:val="nil"/>
            </w:tcBorders>
          </w:tcPr>
          <w:p w14:paraId="61442C72" w14:textId="77777777" w:rsidR="00057F8D" w:rsidRPr="0028067D" w:rsidRDefault="00057F8D" w:rsidP="00362291">
            <w:pPr>
              <w:pStyle w:val="Tabletext"/>
            </w:pPr>
            <w:r w:rsidRPr="0028067D">
              <w:t>Anteromedial abdominal wall and periumbilical area</w:t>
            </w:r>
          </w:p>
        </w:tc>
      </w:tr>
      <w:tr w:rsidR="00057F8D" w:rsidRPr="0028067D" w14:paraId="14468FBA" w14:textId="77777777" w:rsidTr="1CC05B93">
        <w:trPr>
          <w:tblHeader/>
        </w:trPr>
        <w:tc>
          <w:tcPr>
            <w:tcW w:w="2663" w:type="pct"/>
            <w:tcBorders>
              <w:top w:val="nil"/>
              <w:bottom w:val="nil"/>
            </w:tcBorders>
          </w:tcPr>
          <w:p w14:paraId="6DA98BD3" w14:textId="77777777" w:rsidR="00057F8D" w:rsidRPr="00C16C13" w:rsidRDefault="00057F8D" w:rsidP="00362291">
            <w:pPr>
              <w:pStyle w:val="Tabletext"/>
              <w:numPr>
                <w:ilvl w:val="0"/>
                <w:numId w:val="18"/>
              </w:numPr>
              <w:rPr>
                <w:i/>
                <w:iCs/>
              </w:rPr>
            </w:pPr>
            <w:r w:rsidRPr="00C16C13">
              <w:rPr>
                <w:i/>
                <w:iCs/>
              </w:rPr>
              <w:t xml:space="preserve">Serratus anterior </w:t>
            </w:r>
          </w:p>
        </w:tc>
        <w:tc>
          <w:tcPr>
            <w:tcW w:w="2337" w:type="pct"/>
            <w:tcBorders>
              <w:top w:val="nil"/>
              <w:bottom w:val="nil"/>
            </w:tcBorders>
          </w:tcPr>
          <w:p w14:paraId="1C661BD6" w14:textId="180DBC71" w:rsidR="00057F8D" w:rsidRPr="0028067D" w:rsidRDefault="00057F8D" w:rsidP="00362291">
            <w:pPr>
              <w:pStyle w:val="Tabletext"/>
            </w:pPr>
            <w:r w:rsidRPr="0028067D">
              <w:t>Thoracic wall (for</w:t>
            </w:r>
            <w:r w:rsidR="004F03CC">
              <w:t xml:space="preserve"> example,</w:t>
            </w:r>
            <w:r w:rsidRPr="0028067D">
              <w:t xml:space="preserve"> rib fractures</w:t>
            </w:r>
            <w:r w:rsidR="004F03CC">
              <w:t>, breast surgery</w:t>
            </w:r>
            <w:r w:rsidRPr="0028067D">
              <w:t>)</w:t>
            </w:r>
          </w:p>
        </w:tc>
      </w:tr>
      <w:tr w:rsidR="00057F8D" w:rsidRPr="0028067D" w14:paraId="639F149A" w14:textId="77777777" w:rsidTr="1CC05B93">
        <w:trPr>
          <w:tblHeader/>
        </w:trPr>
        <w:tc>
          <w:tcPr>
            <w:tcW w:w="2663" w:type="pct"/>
            <w:tcBorders>
              <w:top w:val="nil"/>
            </w:tcBorders>
          </w:tcPr>
          <w:p w14:paraId="720481C6" w14:textId="77777777" w:rsidR="00057F8D" w:rsidRPr="00C16C13" w:rsidRDefault="00057F8D" w:rsidP="1CC05B93">
            <w:pPr>
              <w:pStyle w:val="Tabletext"/>
              <w:numPr>
                <w:ilvl w:val="0"/>
                <w:numId w:val="18"/>
              </w:numPr>
              <w:rPr>
                <w:i/>
                <w:iCs/>
              </w:rPr>
            </w:pPr>
            <w:r w:rsidRPr="1CC05B93">
              <w:rPr>
                <w:i/>
                <w:iCs/>
              </w:rPr>
              <w:t xml:space="preserve">Quadratus lumborum </w:t>
            </w:r>
          </w:p>
        </w:tc>
        <w:tc>
          <w:tcPr>
            <w:tcW w:w="2337" w:type="pct"/>
            <w:tcBorders>
              <w:top w:val="nil"/>
            </w:tcBorders>
          </w:tcPr>
          <w:p w14:paraId="31F37367" w14:textId="77777777" w:rsidR="00057F8D" w:rsidRPr="0028067D" w:rsidRDefault="00057F8D" w:rsidP="00362291">
            <w:pPr>
              <w:pStyle w:val="Tabletext"/>
            </w:pPr>
            <w:r w:rsidRPr="0028067D">
              <w:t>Abdominal and hip</w:t>
            </w:r>
          </w:p>
        </w:tc>
      </w:tr>
    </w:tbl>
    <w:p w14:paraId="68E63E25" w14:textId="1587E1D6" w:rsidR="00057F8D" w:rsidRPr="00AC15C8" w:rsidRDefault="00057F8D" w:rsidP="00D2440F">
      <w:pPr>
        <w:pStyle w:val="Tablenotes"/>
        <w:spacing w:after="240"/>
      </w:pPr>
      <w:r w:rsidRPr="00AC15C8">
        <w:t>Source: drawn from</w:t>
      </w:r>
      <w:r w:rsidR="00BC58D1">
        <w:t xml:space="preserve"> MSAC</w:t>
      </w:r>
      <w:r w:rsidRPr="00AC15C8">
        <w:t xml:space="preserve"> </w:t>
      </w:r>
      <w:r w:rsidR="00BC58D1">
        <w:t xml:space="preserve">Application </w:t>
      </w:r>
      <w:r w:rsidRPr="00AC15C8">
        <w:t>1741 summary and supporting documents</w:t>
      </w:r>
    </w:p>
    <w:p w14:paraId="4560AF81" w14:textId="2428813E" w:rsidR="009629E1" w:rsidRDefault="009629E1" w:rsidP="009629E1">
      <w:r w:rsidRPr="00000457">
        <w:t>The continuous nerve block may be applied to any peripheral nerve</w:t>
      </w:r>
      <w:r w:rsidR="00E375A6">
        <w:t xml:space="preserve"> </w:t>
      </w:r>
      <w:r w:rsidR="001E189D">
        <w:t>except for</w:t>
      </w:r>
      <w:r w:rsidR="00E375A6">
        <w:t xml:space="preserve"> the peripheral nerves distal to the knee or elbow</w:t>
      </w:r>
      <w:r w:rsidR="001E189D">
        <w:t>.</w:t>
      </w:r>
      <w:r w:rsidR="005C5E89">
        <w:t xml:space="preserve"> </w:t>
      </w:r>
      <w:r w:rsidR="001E189D">
        <w:t>This</w:t>
      </w:r>
      <w:r w:rsidR="005C5E89">
        <w:t xml:space="preserve"> is essentially the same as for the </w:t>
      </w:r>
      <w:r w:rsidRPr="00000457">
        <w:t>single injection item</w:t>
      </w:r>
      <w:r w:rsidR="005C5E89">
        <w:t>. The MBS item</w:t>
      </w:r>
      <w:r w:rsidR="005C5E89" w:rsidRPr="00000457">
        <w:t xml:space="preserve"> 22041 </w:t>
      </w:r>
      <w:r w:rsidR="005C5E89">
        <w:t>wording specifies</w:t>
      </w:r>
      <w:r w:rsidRPr="00000457">
        <w:t xml:space="preserve"> “proximal to the lower leg or forearm”</w:t>
      </w:r>
      <w:r w:rsidR="005C5E89">
        <w:t>,</w:t>
      </w:r>
      <w:r w:rsidR="000F3558">
        <w:t xml:space="preserve"> </w:t>
      </w:r>
      <w:r w:rsidR="005C5E89">
        <w:t>which excludes</w:t>
      </w:r>
      <w:r w:rsidR="000F3558">
        <w:t xml:space="preserve"> injection of the nerves </w:t>
      </w:r>
      <w:r w:rsidR="00FA0F7D">
        <w:t xml:space="preserve">distal </w:t>
      </w:r>
      <w:r w:rsidR="00CA5C24">
        <w:t>to the knee or elbow</w:t>
      </w:r>
      <w:r w:rsidRPr="00000457">
        <w:t xml:space="preserve">. </w:t>
      </w:r>
      <w:r w:rsidR="005C5E89" w:rsidRPr="005C5E89">
        <w:t>T</w:t>
      </w:r>
      <w:r w:rsidR="00C253A0" w:rsidRPr="005C5E89">
        <w:t>he applicant has indicated the</w:t>
      </w:r>
      <w:r w:rsidR="0025397C" w:rsidRPr="005C5E89">
        <w:t>se</w:t>
      </w:r>
      <w:r w:rsidR="00C253A0" w:rsidRPr="005C5E89">
        <w:t xml:space="preserve"> </w:t>
      </w:r>
      <w:r w:rsidR="0025397C" w:rsidRPr="005C5E89">
        <w:t xml:space="preserve">distal </w:t>
      </w:r>
      <w:r w:rsidR="00C253A0" w:rsidRPr="005C5E89">
        <w:t xml:space="preserve">nerves </w:t>
      </w:r>
      <w:r w:rsidR="00C372B6" w:rsidRPr="005C5E89">
        <w:t>would be too small</w:t>
      </w:r>
      <w:r w:rsidR="00F56E62" w:rsidRPr="005C5E89">
        <w:t xml:space="preserve"> </w:t>
      </w:r>
      <w:r w:rsidR="005C5E89">
        <w:t>/</w:t>
      </w:r>
      <w:r w:rsidR="00C372B6" w:rsidRPr="005C5E89">
        <w:t xml:space="preserve"> anatomically inaccessible</w:t>
      </w:r>
      <w:r w:rsidR="00FA0F7D" w:rsidRPr="005C5E89">
        <w:t xml:space="preserve"> for a continuous nerve block</w:t>
      </w:r>
      <w:r w:rsidR="00C372B6" w:rsidRPr="005C5E89">
        <w:t>.</w:t>
      </w:r>
      <w:r w:rsidR="00E66073" w:rsidRPr="005C5E89">
        <w:t xml:space="preserve"> </w:t>
      </w:r>
    </w:p>
    <w:p w14:paraId="1B5589A3" w14:textId="4B189466" w:rsidR="000F68E5" w:rsidRPr="009270CD" w:rsidRDefault="001B13A5" w:rsidP="009270CD">
      <w:pPr>
        <w:spacing w:after="240"/>
      </w:pPr>
      <w:r w:rsidRPr="00C8588A">
        <w:rPr>
          <w:rFonts w:cs="Calibri"/>
          <w:i/>
          <w:iCs/>
        </w:rPr>
        <w:t xml:space="preserve">PASC noted that as with the list of likely surgeries, the list of target nerves for the proposed item was not exhaustive. </w:t>
      </w:r>
      <w:r w:rsidR="000F68E5" w:rsidRPr="009270CD">
        <w:t xml:space="preserve">The applicant confirmed </w:t>
      </w:r>
      <w:r w:rsidR="00464518">
        <w:t xml:space="preserve">that </w:t>
      </w:r>
      <w:r w:rsidR="000F68E5" w:rsidRPr="009270CD">
        <w:t>the proposed use includes both limb and trunk surgery (thora</w:t>
      </w:r>
      <w:r w:rsidR="009C11C7" w:rsidRPr="009270CD">
        <w:t>cic and abdominal but not pelvic).</w:t>
      </w:r>
    </w:p>
    <w:p w14:paraId="3C8F0748" w14:textId="77777777" w:rsidR="00B84DD1" w:rsidRDefault="00B84DD1" w:rsidP="00B84DD1">
      <w:r>
        <w:t xml:space="preserve">The proposed nerve block use excludes wound catheters or continuous wound infiltration, and other regional analgesia by continuous subcutaneous infiltration. </w:t>
      </w:r>
    </w:p>
    <w:p w14:paraId="09AFA977" w14:textId="3F7D30EF" w:rsidR="00BA5AF2" w:rsidRDefault="00BA5AF2" w:rsidP="00BA5AF2">
      <w:pPr>
        <w:pStyle w:val="Heading4"/>
      </w:pPr>
      <w:r>
        <w:t xml:space="preserve">Mechanism of action </w:t>
      </w:r>
    </w:p>
    <w:p w14:paraId="6F6CE43F" w14:textId="60DFF459" w:rsidR="00E62CF8" w:rsidRDefault="00193F2B" w:rsidP="00BA5AF2">
      <w:r>
        <w:t>A</w:t>
      </w:r>
      <w:r w:rsidR="00BA5AF2">
        <w:t xml:space="preserve"> </w:t>
      </w:r>
      <w:r w:rsidR="00D17725">
        <w:t>continuous nerve block employ</w:t>
      </w:r>
      <w:r w:rsidR="00FC74C4">
        <w:t>s</w:t>
      </w:r>
      <w:r w:rsidR="00D17725">
        <w:t xml:space="preserve"> the same local anaesthetic agents</w:t>
      </w:r>
      <w:r w:rsidR="00BA5AF2">
        <w:t xml:space="preserve"> as for single </w:t>
      </w:r>
      <w:r w:rsidR="00DB1CB1">
        <w:t>injection</w:t>
      </w:r>
      <w:r w:rsidR="00BA5AF2">
        <w:t xml:space="preserve"> nerve blocks (item 22041). </w:t>
      </w:r>
      <w:r w:rsidR="001B3329">
        <w:t xml:space="preserve">As noted above, the technique is the same as for single injection nerve block, except </w:t>
      </w:r>
      <w:r w:rsidR="00153454">
        <w:t>that a catheter is placed near the target nerve to deliver a</w:t>
      </w:r>
      <w:r w:rsidR="00A751B6">
        <w:t xml:space="preserve"> flow of local anaesthetic to the target nerve and </w:t>
      </w:r>
      <w:r w:rsidR="00A751B6">
        <w:lastRenderedPageBreak/>
        <w:t xml:space="preserve">surrounding tissue. </w:t>
      </w:r>
      <w:r>
        <w:t xml:space="preserve">Both types of blocks </w:t>
      </w:r>
      <w:r w:rsidR="00B37E40">
        <w:t xml:space="preserve">and the relevant local anaesthetics </w:t>
      </w:r>
      <w:r>
        <w:t xml:space="preserve">were considered in </w:t>
      </w:r>
      <w:r w:rsidR="00CA0795">
        <w:t>A</w:t>
      </w:r>
      <w:r>
        <w:t>pplication 1308</w:t>
      </w:r>
      <w:r w:rsidR="006312C9">
        <w:t xml:space="preserve"> (see the following section</w:t>
      </w:r>
      <w:r w:rsidR="0058536B">
        <w:t xml:space="preserve"> on</w:t>
      </w:r>
      <w:r w:rsidR="006312C9">
        <w:t xml:space="preserve"> </w:t>
      </w:r>
      <w:r w:rsidR="005D7D84">
        <w:t>‘</w:t>
      </w:r>
      <w:r w:rsidR="006312C9">
        <w:fldChar w:fldCharType="begin"/>
      </w:r>
      <w:r w:rsidR="006312C9">
        <w:instrText xml:space="preserve"> REF _Ref128488521 \h </w:instrText>
      </w:r>
      <w:r w:rsidR="006312C9">
        <w:fldChar w:fldCharType="separate"/>
      </w:r>
      <w:r w:rsidR="00B65CEE">
        <w:t>Associated Medicines</w:t>
      </w:r>
      <w:r w:rsidR="006312C9">
        <w:fldChar w:fldCharType="end"/>
      </w:r>
      <w:r w:rsidR="005D7D84">
        <w:t>’</w:t>
      </w:r>
      <w:r w:rsidR="006312C9">
        <w:t>)</w:t>
      </w:r>
      <w:r>
        <w:t>.</w:t>
      </w:r>
    </w:p>
    <w:p w14:paraId="3F175AF2" w14:textId="0283B062" w:rsidR="000473FC" w:rsidRDefault="001A4B80" w:rsidP="00BA5AF2">
      <w:r>
        <w:t xml:space="preserve">The duration of action of a single injection nerve block </w:t>
      </w:r>
      <w:r w:rsidR="008B0471">
        <w:t xml:space="preserve">(maximum 12 hours) </w:t>
      </w:r>
      <w:r>
        <w:t xml:space="preserve">is </w:t>
      </w:r>
      <w:r w:rsidR="00620881">
        <w:t>sufficient</w:t>
      </w:r>
      <w:r>
        <w:t xml:space="preserve"> for </w:t>
      </w:r>
      <w:r w:rsidR="00762038">
        <w:t>many procedures</w:t>
      </w:r>
      <w:r w:rsidR="00307C10">
        <w:t xml:space="preserve">. </w:t>
      </w:r>
      <w:r w:rsidR="00A1597E">
        <w:t>For procedures</w:t>
      </w:r>
      <w:r w:rsidR="0046467F">
        <w:t xml:space="preserve"> where the duration of pain </w:t>
      </w:r>
      <w:r w:rsidR="00E10B08">
        <w:t xml:space="preserve">is expected to </w:t>
      </w:r>
      <w:r w:rsidR="0046467F">
        <w:t>exceed the duration of a single injection block</w:t>
      </w:r>
      <w:r w:rsidR="006B174C">
        <w:t xml:space="preserve">, </w:t>
      </w:r>
      <w:r w:rsidR="005D2E07">
        <w:t>i</w:t>
      </w:r>
      <w:r w:rsidR="00BA5AF2">
        <w:t xml:space="preserve">ntroducing a catheter </w:t>
      </w:r>
      <w:r w:rsidR="00E06A24">
        <w:t>when performing</w:t>
      </w:r>
      <w:r w:rsidR="00BA5AF2">
        <w:t xml:space="preserve"> the block allows continuous administration of the sodium channel blocking agent, allowing ongoing pain management </w:t>
      </w:r>
      <w:r w:rsidR="00A50DFF">
        <w:t>for longer than</w:t>
      </w:r>
      <w:r w:rsidR="00080D05">
        <w:t xml:space="preserve"> 12 hours</w:t>
      </w:r>
      <w:r w:rsidR="0080605A">
        <w:t xml:space="preserve">. </w:t>
      </w:r>
      <w:r w:rsidR="00BA5AF2">
        <w:t xml:space="preserve"> </w:t>
      </w:r>
    </w:p>
    <w:p w14:paraId="41B8C996" w14:textId="635C21EB" w:rsidR="004F25D8" w:rsidRDefault="004F25D8" w:rsidP="00D218E1">
      <w:pPr>
        <w:pStyle w:val="Heading4"/>
      </w:pPr>
      <w:bookmarkStart w:id="17" w:name="_Ref128488521"/>
      <w:r>
        <w:t>Associated Medicines</w:t>
      </w:r>
      <w:bookmarkEnd w:id="17"/>
    </w:p>
    <w:p w14:paraId="70287FAA" w14:textId="44BB71F7" w:rsidR="002C7E65" w:rsidRDefault="002247AF" w:rsidP="004F25D8">
      <w:r>
        <w:t xml:space="preserve">The </w:t>
      </w:r>
      <w:r w:rsidR="009F6876">
        <w:t>medicines</w:t>
      </w:r>
      <w:r>
        <w:t xml:space="preserve"> </w:t>
      </w:r>
      <w:r w:rsidR="00D459E3">
        <w:t>used in</w:t>
      </w:r>
      <w:r>
        <w:t xml:space="preserve"> continuous nerve block</w:t>
      </w:r>
      <w:r w:rsidR="00D459E3">
        <w:t xml:space="preserve">s </w:t>
      </w:r>
      <w:r>
        <w:t xml:space="preserve">are </w:t>
      </w:r>
      <w:r w:rsidRPr="002E6699">
        <w:t xml:space="preserve">amino-amide </w:t>
      </w:r>
      <w:r w:rsidR="009F6876">
        <w:t xml:space="preserve">local </w:t>
      </w:r>
      <w:r w:rsidRPr="002E6699">
        <w:t>anaesthetics</w:t>
      </w:r>
      <w:r w:rsidR="003F19A6">
        <w:t>,</w:t>
      </w:r>
      <w:r w:rsidR="002C7E65">
        <w:t xml:space="preserve"> shown in </w:t>
      </w:r>
      <w:r w:rsidR="007A05FC">
        <w:fldChar w:fldCharType="begin"/>
      </w:r>
      <w:r w:rsidR="007A05FC">
        <w:instrText xml:space="preserve"> REF _Ref130053041 \h </w:instrText>
      </w:r>
      <w:r w:rsidR="007A05FC">
        <w:fldChar w:fldCharType="separate"/>
      </w:r>
      <w:r w:rsidR="00B65CEE" w:rsidRPr="001617CE">
        <w:rPr>
          <w:rFonts w:cstheme="minorHAnsi"/>
        </w:rPr>
        <w:t>Table </w:t>
      </w:r>
      <w:r w:rsidR="00B65CEE">
        <w:rPr>
          <w:rFonts w:cstheme="minorHAnsi"/>
          <w:noProof/>
        </w:rPr>
        <w:t>9</w:t>
      </w:r>
      <w:r w:rsidR="007A05FC">
        <w:fldChar w:fldCharType="end"/>
      </w:r>
      <w:r w:rsidR="007A05FC">
        <w:t xml:space="preserve"> </w:t>
      </w:r>
      <w:r w:rsidR="00D90C55">
        <w:t>(not including formulations such as liposomal or adrenaline-containing agents)</w:t>
      </w:r>
      <w:r w:rsidR="002C7E65">
        <w:t>.</w:t>
      </w:r>
      <w:r w:rsidR="00D90C55">
        <w:t xml:space="preserve"> </w:t>
      </w:r>
      <w:r w:rsidR="009829DE">
        <w:t>A</w:t>
      </w:r>
      <w:r w:rsidR="009829DE" w:rsidRPr="002E6699">
        <w:t>mino-amide anaesthetic</w:t>
      </w:r>
      <w:r w:rsidR="009829DE">
        <w:t xml:space="preserve">s bind reversibly to voltage gated sodium channels, inhibiting the conduction of pain impulses. </w:t>
      </w:r>
      <w:r w:rsidR="009F6876">
        <w:t>These agents are approved by the TGA for nerve blocks for post</w:t>
      </w:r>
      <w:r w:rsidR="00C01C10">
        <w:t>operative</w:t>
      </w:r>
      <w:r w:rsidR="009F6876">
        <w:t xml:space="preserve"> pain. </w:t>
      </w:r>
      <w:r w:rsidR="00D90C55">
        <w:t xml:space="preserve">The three most commonly used agents are </w:t>
      </w:r>
      <w:r w:rsidR="00D90C55" w:rsidRPr="00751114">
        <w:t>r</w:t>
      </w:r>
      <w:r w:rsidRPr="00751114">
        <w:t>opivacaine</w:t>
      </w:r>
      <w:r w:rsidR="009F6876" w:rsidRPr="00751114">
        <w:t>,</w:t>
      </w:r>
      <w:r w:rsidRPr="00751114">
        <w:t xml:space="preserve"> lignocaine (which is shorter acting) and bupivacaine (</w:t>
      </w:r>
      <w:r w:rsidR="00D90C55" w:rsidRPr="00751114">
        <w:t xml:space="preserve">which is longer acting but </w:t>
      </w:r>
      <w:r w:rsidRPr="00751114">
        <w:t>has greater</w:t>
      </w:r>
      <w:r>
        <w:t xml:space="preserve"> cardiotoxicity). </w:t>
      </w:r>
      <w:r w:rsidR="009F6876">
        <w:t>A</w:t>
      </w:r>
      <w:r w:rsidR="00D90C55">
        <w:t xml:space="preserve">pplication 1308 reported an assumption that ropivacaine accounted for approximately 86% of local anaesthetic nerve blocks performed. </w:t>
      </w:r>
    </w:p>
    <w:p w14:paraId="288DE68A" w14:textId="63FB4214" w:rsidR="000A325E" w:rsidRPr="001617CE" w:rsidRDefault="000A325E" w:rsidP="000A325E">
      <w:pPr>
        <w:pStyle w:val="Caption"/>
        <w:rPr>
          <w:rFonts w:cstheme="minorHAnsi"/>
        </w:rPr>
      </w:pPr>
      <w:bookmarkStart w:id="18" w:name="_Ref130053041"/>
      <w:r w:rsidRPr="001617CE">
        <w:rPr>
          <w:rFonts w:cstheme="minorHAnsi"/>
        </w:rPr>
        <w:t>Table </w:t>
      </w:r>
      <w:r w:rsidRPr="001617CE">
        <w:rPr>
          <w:rFonts w:cstheme="minorHAnsi"/>
        </w:rPr>
        <w:fldChar w:fldCharType="begin"/>
      </w:r>
      <w:r w:rsidRPr="001617CE">
        <w:rPr>
          <w:rFonts w:cstheme="minorHAnsi"/>
        </w:rPr>
        <w:instrText xml:space="preserve"> SEQ Table \* ARABIC </w:instrText>
      </w:r>
      <w:r w:rsidRPr="001617CE">
        <w:rPr>
          <w:rFonts w:cstheme="minorHAnsi"/>
        </w:rPr>
        <w:fldChar w:fldCharType="separate"/>
      </w:r>
      <w:r w:rsidR="00B65CEE">
        <w:rPr>
          <w:rFonts w:cstheme="minorHAnsi"/>
          <w:noProof/>
        </w:rPr>
        <w:t>9</w:t>
      </w:r>
      <w:r w:rsidRPr="001617CE">
        <w:rPr>
          <w:rFonts w:cstheme="minorHAnsi"/>
        </w:rPr>
        <w:fldChar w:fldCharType="end"/>
      </w:r>
      <w:bookmarkEnd w:id="18"/>
      <w:r w:rsidRPr="001617CE">
        <w:rPr>
          <w:rFonts w:cstheme="minorHAnsi"/>
        </w:rPr>
        <w:tab/>
      </w:r>
      <w:r w:rsidR="00BA52BA">
        <w:rPr>
          <w:rFonts w:cstheme="minorHAnsi"/>
        </w:rPr>
        <w:t>Amino Amide Local Anaesthetics</w:t>
      </w: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Amino Amide Local Anaesthetics"/>
        <w:tblDescription w:val="The table lists local anaesthetic agents an their PBS status."/>
      </w:tblPr>
      <w:tblGrid>
        <w:gridCol w:w="3048"/>
        <w:gridCol w:w="3049"/>
        <w:gridCol w:w="3049"/>
      </w:tblGrid>
      <w:tr w:rsidR="008C6C53" w:rsidRPr="007A3273" w14:paraId="1059EBB5" w14:textId="5CC15F09" w:rsidTr="000641FF">
        <w:trPr>
          <w:tblHeader/>
        </w:trPr>
        <w:tc>
          <w:tcPr>
            <w:tcW w:w="1666" w:type="pct"/>
          </w:tcPr>
          <w:p w14:paraId="23E12BCC" w14:textId="40C69DC6" w:rsidR="008C6C53" w:rsidRPr="007A3273" w:rsidRDefault="008C6C53" w:rsidP="00CA0795">
            <w:pPr>
              <w:pStyle w:val="TableHeading"/>
              <w:spacing w:before="0"/>
              <w:jc w:val="center"/>
              <w:rPr>
                <w:rFonts w:cstheme="minorHAnsi"/>
              </w:rPr>
            </w:pPr>
            <w:r>
              <w:rPr>
                <w:rFonts w:cstheme="minorHAnsi"/>
              </w:rPr>
              <w:t>ATC Code</w:t>
            </w:r>
          </w:p>
        </w:tc>
        <w:tc>
          <w:tcPr>
            <w:tcW w:w="1667" w:type="pct"/>
          </w:tcPr>
          <w:p w14:paraId="1D54AF40" w14:textId="5D74747D" w:rsidR="008C6C53" w:rsidRDefault="008C6C53" w:rsidP="00CA0795">
            <w:pPr>
              <w:pStyle w:val="TableHeading"/>
              <w:spacing w:before="0"/>
              <w:jc w:val="center"/>
              <w:rPr>
                <w:rFonts w:cstheme="minorHAnsi"/>
              </w:rPr>
            </w:pPr>
            <w:r>
              <w:rPr>
                <w:rFonts w:cstheme="minorHAnsi"/>
              </w:rPr>
              <w:t>Local Anaesthetic Agent</w:t>
            </w:r>
            <w:r w:rsidR="006A7AA4">
              <w:rPr>
                <w:rFonts w:cstheme="minorHAnsi"/>
              </w:rPr>
              <w:t xml:space="preserve"> </w:t>
            </w:r>
          </w:p>
        </w:tc>
        <w:tc>
          <w:tcPr>
            <w:tcW w:w="1667" w:type="pct"/>
          </w:tcPr>
          <w:p w14:paraId="0167B86F" w14:textId="2A4785E1" w:rsidR="008C6C53" w:rsidRDefault="00A40AF5" w:rsidP="00CA0795">
            <w:pPr>
              <w:pStyle w:val="TableHeading"/>
              <w:spacing w:before="0"/>
              <w:jc w:val="center"/>
              <w:rPr>
                <w:rFonts w:cstheme="minorHAnsi"/>
              </w:rPr>
            </w:pPr>
            <w:r>
              <w:rPr>
                <w:rFonts w:cstheme="minorHAnsi"/>
              </w:rPr>
              <w:t>PBS</w:t>
            </w:r>
            <w:r w:rsidR="00DD24D8">
              <w:rPr>
                <w:rFonts w:cstheme="minorHAnsi"/>
              </w:rPr>
              <w:t xml:space="preserve"> Status (injectable forms only)</w:t>
            </w:r>
          </w:p>
        </w:tc>
      </w:tr>
      <w:tr w:rsidR="000F00D2" w:rsidRPr="0028067D" w14:paraId="565C6FDA" w14:textId="32CB6BEF" w:rsidTr="000641FF">
        <w:tc>
          <w:tcPr>
            <w:tcW w:w="1666" w:type="pct"/>
            <w:vMerge w:val="restart"/>
            <w:vAlign w:val="center"/>
          </w:tcPr>
          <w:p w14:paraId="0D5A2B5F" w14:textId="77777777" w:rsidR="000F00D2" w:rsidRDefault="000F00D2" w:rsidP="00CA0795">
            <w:pPr>
              <w:pStyle w:val="Tabletext"/>
              <w:keepNext/>
            </w:pPr>
            <w:r>
              <w:t>N NERVOUS SYSTEM</w:t>
            </w:r>
          </w:p>
          <w:p w14:paraId="573E81F3" w14:textId="77777777" w:rsidR="000F00D2" w:rsidRDefault="000F00D2" w:rsidP="00CA0795">
            <w:pPr>
              <w:pStyle w:val="Tabletext"/>
              <w:keepNext/>
            </w:pPr>
            <w:r>
              <w:t>N01 ANESTHETICS</w:t>
            </w:r>
          </w:p>
          <w:p w14:paraId="140C2816" w14:textId="77777777" w:rsidR="000F00D2" w:rsidRDefault="000F00D2" w:rsidP="00CA0795">
            <w:pPr>
              <w:pStyle w:val="Tabletext"/>
              <w:keepNext/>
            </w:pPr>
            <w:r>
              <w:t>N01B ANESTHETICS, LOCAL</w:t>
            </w:r>
          </w:p>
          <w:p w14:paraId="0820334B" w14:textId="316AA18B" w:rsidR="000F00D2" w:rsidRPr="0028067D" w:rsidRDefault="000F00D2" w:rsidP="00CA0795">
            <w:pPr>
              <w:pStyle w:val="Tabletext"/>
              <w:keepNext/>
            </w:pPr>
            <w:r>
              <w:t>N01BB Amides</w:t>
            </w:r>
          </w:p>
        </w:tc>
        <w:tc>
          <w:tcPr>
            <w:tcW w:w="1667" w:type="pct"/>
          </w:tcPr>
          <w:p w14:paraId="4AFF6519" w14:textId="4B88DFA1" w:rsidR="000F00D2" w:rsidRDefault="000F00D2" w:rsidP="00CA0795">
            <w:pPr>
              <w:pStyle w:val="Tabletext"/>
              <w:keepNext/>
            </w:pPr>
            <w:r w:rsidRPr="000A325E">
              <w:t>Ropivacaine</w:t>
            </w:r>
            <w:r>
              <w:t xml:space="preserve"> </w:t>
            </w:r>
          </w:p>
        </w:tc>
        <w:tc>
          <w:tcPr>
            <w:tcW w:w="1667" w:type="pct"/>
          </w:tcPr>
          <w:p w14:paraId="40F8792E" w14:textId="6EDA70E0" w:rsidR="000F00D2" w:rsidRDefault="000F00D2" w:rsidP="00CA0795">
            <w:pPr>
              <w:pStyle w:val="Tabletext"/>
              <w:keepNext/>
            </w:pPr>
            <w:r>
              <w:t>Not listed</w:t>
            </w:r>
          </w:p>
        </w:tc>
      </w:tr>
      <w:tr w:rsidR="000F00D2" w:rsidRPr="0028067D" w14:paraId="7D9F23D6" w14:textId="77777777" w:rsidTr="000641FF">
        <w:tc>
          <w:tcPr>
            <w:tcW w:w="1666" w:type="pct"/>
            <w:vMerge/>
            <w:vAlign w:val="center"/>
          </w:tcPr>
          <w:p w14:paraId="7F99780C" w14:textId="77777777" w:rsidR="000F00D2" w:rsidRDefault="000F00D2" w:rsidP="00CA0795">
            <w:pPr>
              <w:pStyle w:val="Tabletext"/>
              <w:keepNext/>
            </w:pPr>
          </w:p>
        </w:tc>
        <w:tc>
          <w:tcPr>
            <w:tcW w:w="1667" w:type="pct"/>
          </w:tcPr>
          <w:p w14:paraId="3D9F65E9" w14:textId="0C6BBCD4" w:rsidR="000F00D2" w:rsidRPr="000A325E" w:rsidRDefault="000F00D2" w:rsidP="00CA0795">
            <w:pPr>
              <w:pStyle w:val="Tabletext"/>
              <w:keepNext/>
            </w:pPr>
            <w:r w:rsidRPr="000A325E">
              <w:t>Lignocaine</w:t>
            </w:r>
            <w:r>
              <w:t xml:space="preserve"> </w:t>
            </w:r>
            <w:r w:rsidR="00D07D4C">
              <w:t>(lidocaine)</w:t>
            </w:r>
          </w:p>
        </w:tc>
        <w:tc>
          <w:tcPr>
            <w:tcW w:w="1667" w:type="pct"/>
          </w:tcPr>
          <w:p w14:paraId="271577BC" w14:textId="6D9B1374" w:rsidR="000F00D2" w:rsidRDefault="000F00D2" w:rsidP="00CA0795">
            <w:pPr>
              <w:pStyle w:val="Tabletext"/>
              <w:keepNext/>
            </w:pPr>
            <w:r>
              <w:t>Unrestricted benefit</w:t>
            </w:r>
          </w:p>
        </w:tc>
      </w:tr>
      <w:tr w:rsidR="000F00D2" w:rsidRPr="0028067D" w14:paraId="6E9CC252" w14:textId="77777777" w:rsidTr="000641FF">
        <w:tc>
          <w:tcPr>
            <w:tcW w:w="1666" w:type="pct"/>
            <w:vMerge/>
            <w:vAlign w:val="center"/>
          </w:tcPr>
          <w:p w14:paraId="0D58CB33" w14:textId="77777777" w:rsidR="000F00D2" w:rsidRDefault="000F00D2" w:rsidP="00CA0795">
            <w:pPr>
              <w:pStyle w:val="Tabletext"/>
              <w:keepNext/>
            </w:pPr>
          </w:p>
        </w:tc>
        <w:tc>
          <w:tcPr>
            <w:tcW w:w="1667" w:type="pct"/>
          </w:tcPr>
          <w:p w14:paraId="227829BD" w14:textId="3B7EACEA" w:rsidR="000F00D2" w:rsidRPr="000A325E" w:rsidRDefault="000F00D2" w:rsidP="00CA0795">
            <w:pPr>
              <w:pStyle w:val="Tabletext"/>
              <w:keepNext/>
            </w:pPr>
            <w:r>
              <w:t>B</w:t>
            </w:r>
            <w:r w:rsidRPr="000A325E">
              <w:t>upivacaine</w:t>
            </w:r>
          </w:p>
        </w:tc>
        <w:tc>
          <w:tcPr>
            <w:tcW w:w="1667" w:type="pct"/>
          </w:tcPr>
          <w:p w14:paraId="76E5F2B3" w14:textId="4115460C" w:rsidR="000F00D2" w:rsidRDefault="000F00D2" w:rsidP="00CA0795">
            <w:pPr>
              <w:pStyle w:val="Tabletext"/>
              <w:keepNext/>
            </w:pPr>
            <w:r>
              <w:t>Not listed</w:t>
            </w:r>
          </w:p>
        </w:tc>
      </w:tr>
      <w:tr w:rsidR="000F00D2" w:rsidRPr="0028067D" w14:paraId="32DE9054" w14:textId="77777777" w:rsidTr="000641FF">
        <w:tc>
          <w:tcPr>
            <w:tcW w:w="1666" w:type="pct"/>
            <w:vMerge/>
            <w:vAlign w:val="center"/>
          </w:tcPr>
          <w:p w14:paraId="6260BD68" w14:textId="77777777" w:rsidR="000F00D2" w:rsidRDefault="000F00D2" w:rsidP="00CA0795">
            <w:pPr>
              <w:pStyle w:val="Tabletext"/>
              <w:keepNext/>
            </w:pPr>
          </w:p>
        </w:tc>
        <w:tc>
          <w:tcPr>
            <w:tcW w:w="1667" w:type="pct"/>
          </w:tcPr>
          <w:p w14:paraId="344F1FBD" w14:textId="683D083F" w:rsidR="000F00D2" w:rsidRDefault="000F00D2" w:rsidP="00CA0795">
            <w:pPr>
              <w:pStyle w:val="Tabletext"/>
              <w:keepNext/>
            </w:pPr>
            <w:r>
              <w:t>A</w:t>
            </w:r>
            <w:r w:rsidRPr="000A325E">
              <w:t>rticaine</w:t>
            </w:r>
          </w:p>
        </w:tc>
        <w:tc>
          <w:tcPr>
            <w:tcW w:w="1667" w:type="pct"/>
          </w:tcPr>
          <w:p w14:paraId="5A817125" w14:textId="134DD79F" w:rsidR="000F00D2" w:rsidRDefault="000F00D2" w:rsidP="00CA0795">
            <w:pPr>
              <w:pStyle w:val="Tabletext"/>
              <w:keepNext/>
            </w:pPr>
            <w:r>
              <w:t>Not listed</w:t>
            </w:r>
          </w:p>
        </w:tc>
      </w:tr>
      <w:tr w:rsidR="000F00D2" w:rsidRPr="0028067D" w14:paraId="51F440DC" w14:textId="77777777" w:rsidTr="000641FF">
        <w:tc>
          <w:tcPr>
            <w:tcW w:w="1666" w:type="pct"/>
            <w:vMerge/>
            <w:vAlign w:val="center"/>
          </w:tcPr>
          <w:p w14:paraId="49B17916" w14:textId="77777777" w:rsidR="000F00D2" w:rsidRDefault="000F00D2" w:rsidP="00CA0795">
            <w:pPr>
              <w:pStyle w:val="Tabletext"/>
              <w:keepNext/>
            </w:pPr>
          </w:p>
        </w:tc>
        <w:tc>
          <w:tcPr>
            <w:tcW w:w="1667" w:type="pct"/>
          </w:tcPr>
          <w:p w14:paraId="387F19A2" w14:textId="13291BC3" w:rsidR="000F00D2" w:rsidRDefault="000F00D2" w:rsidP="00CA0795">
            <w:pPr>
              <w:pStyle w:val="Tabletext"/>
              <w:keepNext/>
            </w:pPr>
            <w:r>
              <w:t>P</w:t>
            </w:r>
            <w:r w:rsidRPr="000A325E">
              <w:t>rilocaine</w:t>
            </w:r>
          </w:p>
        </w:tc>
        <w:tc>
          <w:tcPr>
            <w:tcW w:w="1667" w:type="pct"/>
          </w:tcPr>
          <w:p w14:paraId="7F07311E" w14:textId="3AEBCC1C" w:rsidR="000F00D2" w:rsidRDefault="000F00D2" w:rsidP="00CA0795">
            <w:pPr>
              <w:pStyle w:val="Tabletext"/>
              <w:keepNext/>
            </w:pPr>
            <w:r>
              <w:t>Not listed</w:t>
            </w:r>
          </w:p>
        </w:tc>
      </w:tr>
      <w:tr w:rsidR="000F00D2" w:rsidRPr="0028067D" w14:paraId="36CBDBE8" w14:textId="77777777" w:rsidTr="000641FF">
        <w:tc>
          <w:tcPr>
            <w:tcW w:w="1666" w:type="pct"/>
            <w:vMerge/>
            <w:vAlign w:val="center"/>
          </w:tcPr>
          <w:p w14:paraId="07CD610B" w14:textId="77777777" w:rsidR="000F00D2" w:rsidRDefault="000F00D2" w:rsidP="00CA0795">
            <w:pPr>
              <w:pStyle w:val="Tabletext"/>
              <w:keepNext/>
            </w:pPr>
          </w:p>
        </w:tc>
        <w:tc>
          <w:tcPr>
            <w:tcW w:w="1667" w:type="pct"/>
          </w:tcPr>
          <w:p w14:paraId="6D109472" w14:textId="2766DE7C" w:rsidR="000F00D2" w:rsidRDefault="000F00D2" w:rsidP="00CA0795">
            <w:pPr>
              <w:pStyle w:val="Tabletext"/>
              <w:keepNext/>
            </w:pPr>
            <w:r>
              <w:t>P</w:t>
            </w:r>
            <w:r w:rsidRPr="000A325E">
              <w:t xml:space="preserve">rocaine </w:t>
            </w:r>
          </w:p>
        </w:tc>
        <w:tc>
          <w:tcPr>
            <w:tcW w:w="1667" w:type="pct"/>
          </w:tcPr>
          <w:p w14:paraId="301BD51F" w14:textId="1EDB19A3" w:rsidR="000F00D2" w:rsidRDefault="000F00D2" w:rsidP="00CA0795">
            <w:pPr>
              <w:pStyle w:val="Tabletext"/>
              <w:keepNext/>
            </w:pPr>
            <w:r>
              <w:t>Not listed</w:t>
            </w:r>
          </w:p>
        </w:tc>
      </w:tr>
      <w:tr w:rsidR="000F00D2" w:rsidRPr="0028067D" w14:paraId="7F251EC5" w14:textId="77777777" w:rsidTr="000641FF">
        <w:tc>
          <w:tcPr>
            <w:tcW w:w="1666" w:type="pct"/>
            <w:vMerge/>
            <w:vAlign w:val="center"/>
          </w:tcPr>
          <w:p w14:paraId="1289F019" w14:textId="77777777" w:rsidR="000F00D2" w:rsidRDefault="000F00D2" w:rsidP="00CA0795">
            <w:pPr>
              <w:pStyle w:val="Tabletext"/>
              <w:keepNext/>
            </w:pPr>
          </w:p>
        </w:tc>
        <w:tc>
          <w:tcPr>
            <w:tcW w:w="1667" w:type="pct"/>
          </w:tcPr>
          <w:p w14:paraId="50CCB823" w14:textId="63BAB701" w:rsidR="000F00D2" w:rsidRDefault="000F00D2" w:rsidP="00CA0795">
            <w:pPr>
              <w:pStyle w:val="Tabletext"/>
              <w:keepNext/>
            </w:pPr>
            <w:r>
              <w:t>L</w:t>
            </w:r>
            <w:r w:rsidRPr="000A325E">
              <w:t>evobupivacaine</w:t>
            </w:r>
          </w:p>
        </w:tc>
        <w:tc>
          <w:tcPr>
            <w:tcW w:w="1667" w:type="pct"/>
          </w:tcPr>
          <w:p w14:paraId="58C0FFE0" w14:textId="63E03387" w:rsidR="000F00D2" w:rsidRDefault="000F00D2" w:rsidP="00CA0795">
            <w:pPr>
              <w:pStyle w:val="Tabletext"/>
              <w:keepNext/>
            </w:pPr>
            <w:r>
              <w:t>Not listed</w:t>
            </w:r>
          </w:p>
        </w:tc>
      </w:tr>
    </w:tbl>
    <w:p w14:paraId="4BAC3584" w14:textId="5451F629" w:rsidR="000A325E" w:rsidRDefault="000F00D2" w:rsidP="000F00D2">
      <w:pPr>
        <w:pStyle w:val="Tablenotes"/>
        <w:spacing w:after="240"/>
      </w:pPr>
      <w:r>
        <w:t>ATC</w:t>
      </w:r>
      <w:r w:rsidR="00436C33">
        <w:t>=</w:t>
      </w:r>
      <w:r w:rsidR="005E1AE6" w:rsidRPr="005E1AE6">
        <w:t>Anatomical Therapeutic Chemical</w:t>
      </w:r>
      <w:r w:rsidR="005E1AE6">
        <w:t>; PBS</w:t>
      </w:r>
      <w:r w:rsidR="00436C33">
        <w:t>=</w:t>
      </w:r>
      <w:r w:rsidR="005E1AE6">
        <w:t>Pharmaceutical Benefits Scheme.</w:t>
      </w:r>
    </w:p>
    <w:p w14:paraId="4420D7D2" w14:textId="695D61DA" w:rsidR="003D7272" w:rsidRDefault="003D7272" w:rsidP="004F25D8">
      <w:r>
        <w:t xml:space="preserve">Other than lignocaine, which has a broader use as a local anaesthetic, none of these medicines are listed on the Pharmaceutical Benefits Scheme (PBS). This is consistent with anaesthetics </w:t>
      </w:r>
      <w:r w:rsidR="00C00E63">
        <w:t xml:space="preserve">in general </w:t>
      </w:r>
      <w:r>
        <w:t xml:space="preserve">and </w:t>
      </w:r>
      <w:r w:rsidR="00C00E63">
        <w:t xml:space="preserve">other </w:t>
      </w:r>
      <w:r>
        <w:t xml:space="preserve">medicines used </w:t>
      </w:r>
      <w:r w:rsidR="009B6E11">
        <w:t>almost solely</w:t>
      </w:r>
      <w:r w:rsidR="005C08C4">
        <w:t xml:space="preserve"> for in-patient care. </w:t>
      </w:r>
    </w:p>
    <w:p w14:paraId="2111C91F" w14:textId="20234A1F" w:rsidR="002E361B" w:rsidRDefault="004F25D8" w:rsidP="004F25D8">
      <w:r>
        <w:t xml:space="preserve">Of the potential analgesics that could be used for the proposed nerve block item, there are numerous brands, strengths and presentations approved on the </w:t>
      </w:r>
      <w:r w:rsidR="00436C33">
        <w:t>Australian Register of Therapeutic Goods (</w:t>
      </w:r>
      <w:r>
        <w:t>ARTG</w:t>
      </w:r>
      <w:r w:rsidR="00436C33">
        <w:t>)</w:t>
      </w:r>
      <w:r>
        <w:t xml:space="preserve">. Noting the previous consideration of ARTG status and approved indications for these medicines in </w:t>
      </w:r>
      <w:r w:rsidR="00436C33">
        <w:t>A</w:t>
      </w:r>
      <w:r>
        <w:t xml:space="preserve">pplication 1308, an exhaustive </w:t>
      </w:r>
      <w:r w:rsidR="00EE588F">
        <w:t>list with ARTG numbers has not been developed for th</w:t>
      </w:r>
      <w:r w:rsidR="002E361B">
        <w:t>is</w:t>
      </w:r>
      <w:r w:rsidR="00EE588F">
        <w:t xml:space="preserve"> PICO</w:t>
      </w:r>
      <w:r>
        <w:t xml:space="preserve">. </w:t>
      </w:r>
    </w:p>
    <w:p w14:paraId="1659784F" w14:textId="3EF26BE1" w:rsidR="006312C9" w:rsidRDefault="002E361B" w:rsidP="004F25D8">
      <w:r>
        <w:t>Nevertheless, a</w:t>
      </w:r>
      <w:r w:rsidR="004F25D8">
        <w:t xml:space="preserve">s an example, a check of the Product Information for </w:t>
      </w:r>
      <w:r w:rsidR="003F78C6">
        <w:t>the</w:t>
      </w:r>
      <w:r w:rsidR="004F25D8">
        <w:t xml:space="preserve"> </w:t>
      </w:r>
      <w:r w:rsidR="004F25D8" w:rsidRPr="003F50DF">
        <w:t>75</w:t>
      </w:r>
      <w:r w:rsidR="00436C33">
        <w:t xml:space="preserve"> </w:t>
      </w:r>
      <w:r w:rsidR="004F25D8" w:rsidRPr="003F50DF">
        <w:t>mg/10</w:t>
      </w:r>
      <w:r w:rsidR="00436C33">
        <w:t xml:space="preserve"> </w:t>
      </w:r>
      <w:r w:rsidR="004F25D8" w:rsidRPr="003F50DF">
        <w:t>mL</w:t>
      </w:r>
      <w:r w:rsidR="004F25D8">
        <w:t xml:space="preserve"> vial </w:t>
      </w:r>
      <w:r w:rsidR="003F78C6">
        <w:t xml:space="preserve">presentation </w:t>
      </w:r>
      <w:r w:rsidR="004F25D8">
        <w:t xml:space="preserve">of ropivacaine hydrochloride 0.2% (Fresenius Kabi, ARTG </w:t>
      </w:r>
      <w:r w:rsidR="004F25D8" w:rsidRPr="00916B0D">
        <w:t>195806</w:t>
      </w:r>
      <w:r w:rsidR="00436C33">
        <w:t>;</w:t>
      </w:r>
      <w:r w:rsidR="004F25D8">
        <w:t xml:space="preserve"> </w:t>
      </w:r>
      <w:r w:rsidR="00436C33">
        <w:t>d</w:t>
      </w:r>
      <w:r w:rsidR="004F25D8">
        <w:t xml:space="preserve">ated 13 December 2022) shows it is </w:t>
      </w:r>
      <w:r>
        <w:t>approved</w:t>
      </w:r>
      <w:r w:rsidR="004F25D8">
        <w:t xml:space="preserve"> for </w:t>
      </w:r>
      <w:r w:rsidR="008118DC">
        <w:t xml:space="preserve">indications including </w:t>
      </w:r>
      <w:r w:rsidR="004F25D8">
        <w:t>the following:</w:t>
      </w:r>
    </w:p>
    <w:p w14:paraId="3A311FEF" w14:textId="50E39D9D" w:rsidR="006312C9" w:rsidRPr="003F78C6" w:rsidRDefault="00436C33" w:rsidP="00DD4648">
      <w:pPr>
        <w:pStyle w:val="ListParagraph"/>
        <w:numPr>
          <w:ilvl w:val="0"/>
          <w:numId w:val="7"/>
        </w:numPr>
      </w:pPr>
      <w:r>
        <w:t>a</w:t>
      </w:r>
      <w:r w:rsidR="006312C9" w:rsidRPr="003F78C6">
        <w:t>nalgesia (adults and children over 12 years of age)</w:t>
      </w:r>
      <w:r w:rsidR="008A68BA" w:rsidRPr="003F78C6">
        <w:t>; continuous peripheral nerve block infusion or intermittent injections for post operative pain management</w:t>
      </w:r>
      <w:r>
        <w:t>; and</w:t>
      </w:r>
    </w:p>
    <w:p w14:paraId="7B64E8AB" w14:textId="108E9B43" w:rsidR="006312C9" w:rsidRPr="003F78C6" w:rsidRDefault="00436C33" w:rsidP="004F25D8">
      <w:pPr>
        <w:pStyle w:val="ListParagraph"/>
        <w:numPr>
          <w:ilvl w:val="0"/>
          <w:numId w:val="7"/>
        </w:numPr>
      </w:pPr>
      <w:r>
        <w:t>a</w:t>
      </w:r>
      <w:r w:rsidR="008A68BA" w:rsidRPr="003F78C6">
        <w:t xml:space="preserve">nalgesia (children aged 0 - 12 years); </w:t>
      </w:r>
      <w:r w:rsidR="003F78C6" w:rsidRPr="003F78C6">
        <w:t>peripheral nerve block in children aged 1 up to and including 12 years</w:t>
      </w:r>
      <w:r>
        <w:t>.</w:t>
      </w:r>
    </w:p>
    <w:p w14:paraId="38803B9D" w14:textId="757AFCF2" w:rsidR="004F25D8" w:rsidRDefault="004F25D8" w:rsidP="007D1050">
      <w:pPr>
        <w:keepNext/>
      </w:pPr>
      <w:r>
        <w:lastRenderedPageBreak/>
        <w:t>Specifically for peri- and post</w:t>
      </w:r>
      <w:r w:rsidR="00C01C10">
        <w:t>operative</w:t>
      </w:r>
      <w:r>
        <w:t xml:space="preserve"> pain management the </w:t>
      </w:r>
      <w:r w:rsidR="00E527D7">
        <w:t xml:space="preserve">Product Information </w:t>
      </w:r>
      <w:r w:rsidR="002E361B">
        <w:t xml:space="preserve">also </w:t>
      </w:r>
      <w:r>
        <w:t>states:</w:t>
      </w:r>
    </w:p>
    <w:p w14:paraId="2A7BBB32" w14:textId="77777777" w:rsidR="004F25D8" w:rsidRPr="002D32A2" w:rsidRDefault="004F25D8" w:rsidP="004F25D8">
      <w:pPr>
        <w:ind w:left="567" w:right="650"/>
        <w:rPr>
          <w:i/>
          <w:iCs/>
        </w:rPr>
      </w:pPr>
      <w:r w:rsidRPr="002D32A2">
        <w:rPr>
          <w:i/>
          <w:iCs/>
        </w:rPr>
        <w:t>“There are no safety or efficacy data to support the use of ropivacaine hydrochloride for analgesia for longer than 72 hours. (Data for peripheral nerve block administered as a continuous peripheral infusion or intermittent injections and for continuous wound infusion support the use for up to 48 hours only).”</w:t>
      </w:r>
    </w:p>
    <w:p w14:paraId="67C939BD" w14:textId="5E9315A1" w:rsidR="004F25D8" w:rsidRDefault="00E648E2" w:rsidP="004F25D8">
      <w:r>
        <w:t>Current clinical practice already involves use of amino amide local anaesthetics for use beyond 72 hours. Thus, the proposed use is no different to current practice</w:t>
      </w:r>
      <w:r w:rsidR="003F15E5">
        <w:t>;</w:t>
      </w:r>
      <w:r>
        <w:t xml:space="preserve"> however</w:t>
      </w:r>
      <w:r w:rsidR="003F15E5">
        <w:t>,</w:t>
      </w:r>
      <w:r>
        <w:t xml:space="preserve"> that practice may include use beyond the limits specified in the Product Information for some of these medicines. </w:t>
      </w:r>
      <w:r w:rsidR="004F25D8">
        <w:t xml:space="preserve">These limitations on individual medicines should be taken into account in the </w:t>
      </w:r>
      <w:r w:rsidR="000A3046">
        <w:t>A</w:t>
      </w:r>
      <w:r w:rsidR="004F25D8">
        <w:t xml:space="preserve">ssessment </w:t>
      </w:r>
      <w:r w:rsidR="000A3046">
        <w:t>R</w:t>
      </w:r>
      <w:r w:rsidR="004F25D8">
        <w:t>eport in evaluating the safety of the proposed item.</w:t>
      </w:r>
    </w:p>
    <w:p w14:paraId="084B24B0" w14:textId="5A3BB18D" w:rsidR="008B0A97" w:rsidRDefault="008B0A97" w:rsidP="008B0A97">
      <w:pPr>
        <w:pStyle w:val="Heading4"/>
      </w:pPr>
      <w:r>
        <w:t>Clinical setting</w:t>
      </w:r>
    </w:p>
    <w:p w14:paraId="4B018FB3" w14:textId="40DA32B7" w:rsidR="00AA7474" w:rsidRDefault="008B0A97" w:rsidP="008B0A97">
      <w:r>
        <w:t xml:space="preserve">It is proposed that the </w:t>
      </w:r>
      <w:r w:rsidR="003D0884">
        <w:t xml:space="preserve">nerve block </w:t>
      </w:r>
      <w:r>
        <w:t xml:space="preserve">would be </w:t>
      </w:r>
      <w:r w:rsidR="003D0884">
        <w:t>a</w:t>
      </w:r>
      <w:r w:rsidR="00A34053">
        <w:t>dministered</w:t>
      </w:r>
      <w:r w:rsidR="003D0884">
        <w:t xml:space="preserve"> </w:t>
      </w:r>
      <w:r w:rsidR="0065289A">
        <w:t>during the peri</w:t>
      </w:r>
      <w:r w:rsidR="00C01C10">
        <w:t>operative</w:t>
      </w:r>
      <w:r w:rsidR="0065289A">
        <w:t xml:space="preserve"> period</w:t>
      </w:r>
      <w:r>
        <w:t xml:space="preserve"> in </w:t>
      </w:r>
      <w:r w:rsidR="00F45891">
        <w:t xml:space="preserve">an </w:t>
      </w:r>
      <w:r>
        <w:t>in</w:t>
      </w:r>
      <w:r w:rsidR="0065289A">
        <w:t>-</w:t>
      </w:r>
      <w:r>
        <w:t xml:space="preserve">patient hospital setting in patients undergoing </w:t>
      </w:r>
      <w:r w:rsidR="003F0299">
        <w:t>planned (</w:t>
      </w:r>
      <w:r>
        <w:t>elective</w:t>
      </w:r>
      <w:r w:rsidR="003F0299">
        <w:t>)</w:t>
      </w:r>
      <w:r>
        <w:t xml:space="preserve"> or emergency surgery. </w:t>
      </w:r>
    </w:p>
    <w:p w14:paraId="45CB2F95" w14:textId="3D3C1AEB" w:rsidR="008B0A97" w:rsidRDefault="003F0299" w:rsidP="008B0A97">
      <w:r>
        <w:t>Administration o</w:t>
      </w:r>
      <w:r w:rsidR="0056420E">
        <w:t xml:space="preserve">f the catheter requires conditions of the </w:t>
      </w:r>
      <w:r w:rsidR="0088654E">
        <w:t>operat</w:t>
      </w:r>
      <w:r w:rsidR="0088654E" w:rsidRPr="00627992">
        <w:t>ing theatre or equivalent (</w:t>
      </w:r>
      <w:r w:rsidR="006D08AA" w:rsidRPr="00627992">
        <w:t>pre</w:t>
      </w:r>
      <w:r w:rsidR="00C01C10">
        <w:t>operative</w:t>
      </w:r>
      <w:r w:rsidR="0088654E" w:rsidRPr="00627992">
        <w:t>l</w:t>
      </w:r>
      <w:r w:rsidR="00627992" w:rsidRPr="00627992">
        <w:t>y</w:t>
      </w:r>
      <w:r w:rsidR="0088654E" w:rsidRPr="00627992">
        <w:t xml:space="preserve"> in a procedure room or post</w:t>
      </w:r>
      <w:r w:rsidR="00C01C10">
        <w:t>operative</w:t>
      </w:r>
      <w:r w:rsidR="0088654E" w:rsidRPr="00627992">
        <w:t xml:space="preserve">ly in a </w:t>
      </w:r>
      <w:r w:rsidR="006D08AA" w:rsidRPr="00627992">
        <w:t>recovery</w:t>
      </w:r>
      <w:r w:rsidR="0088654E" w:rsidRPr="00627992">
        <w:t xml:space="preserve"> room</w:t>
      </w:r>
      <w:r w:rsidR="00627992" w:rsidRPr="00627992">
        <w:t>)</w:t>
      </w:r>
      <w:r w:rsidR="003A0A05">
        <w:t>, including appropriately resourced emergency department procedure rooms</w:t>
      </w:r>
      <w:r w:rsidR="003A0A05" w:rsidRPr="00627992">
        <w:t>.</w:t>
      </w:r>
      <w:r w:rsidR="0088654E" w:rsidRPr="00627992">
        <w:t xml:space="preserve"> </w:t>
      </w:r>
    </w:p>
    <w:p w14:paraId="1DD08AAD" w14:textId="19D3DB8D" w:rsidR="00A734CD" w:rsidRDefault="00A734CD" w:rsidP="008B0A97">
      <w:r>
        <w:t>For in-patients, monitoring and removal would be managed on the ward as with any other catheter. For ambulatory / day patients who return to the community with the catheter, monitoring and removal would take place at home by the patient or carer. The patient would return to the hospital in the event there was any sign of infection or difficulty with catheter operation / removal. It</w:t>
      </w:r>
      <w:r w:rsidRPr="002C180F">
        <w:t xml:space="preserve"> is not clear </w:t>
      </w:r>
      <w:r>
        <w:t>whether patients being sent home with a regional catheter is widespread practice or if it is limited to specific centres</w:t>
      </w:r>
      <w:r w:rsidRPr="002C180F">
        <w:t xml:space="preserve">. </w:t>
      </w:r>
      <w:r>
        <w:t>See further discussion in</w:t>
      </w:r>
      <w:r w:rsidR="00CA64F0">
        <w:t xml:space="preserve"> the section</w:t>
      </w:r>
      <w:r w:rsidR="00A77B15">
        <w:t xml:space="preserve"> on ‘</w:t>
      </w:r>
      <w:r w:rsidR="00A77B15">
        <w:fldChar w:fldCharType="begin"/>
      </w:r>
      <w:r w:rsidR="00A77B15">
        <w:instrText xml:space="preserve"> REF _Ref132977523 \h </w:instrText>
      </w:r>
      <w:r w:rsidR="00A77B15">
        <w:fldChar w:fldCharType="separate"/>
      </w:r>
      <w:r w:rsidR="00B65CEE">
        <w:t>Duration and removal</w:t>
      </w:r>
      <w:r w:rsidR="00A77B15">
        <w:fldChar w:fldCharType="end"/>
      </w:r>
      <w:r w:rsidR="00A77B15">
        <w:t>’</w:t>
      </w:r>
      <w:r>
        <w:t>.</w:t>
      </w:r>
    </w:p>
    <w:p w14:paraId="088917B0" w14:textId="77777777" w:rsidR="000465F3" w:rsidRDefault="000465F3" w:rsidP="000465F3">
      <w:pPr>
        <w:pStyle w:val="Heading4"/>
      </w:pPr>
      <w:r>
        <w:t>Provider type and specialist training</w:t>
      </w:r>
    </w:p>
    <w:p w14:paraId="667727FC" w14:textId="193CD744" w:rsidR="00171465" w:rsidRDefault="00DD50BD" w:rsidP="00972E57">
      <w:r>
        <w:t>Medical professionals</w:t>
      </w:r>
      <w:r w:rsidRPr="0023573F">
        <w:t xml:space="preserve"> </w:t>
      </w:r>
      <w:r w:rsidR="00340AD6">
        <w:t>associated with</w:t>
      </w:r>
      <w:r w:rsidR="007C3387" w:rsidRPr="0023573F">
        <w:t xml:space="preserve"> this item are described in </w:t>
      </w:r>
      <w:r w:rsidR="007C3387" w:rsidRPr="0023573F">
        <w:fldChar w:fldCharType="begin"/>
      </w:r>
      <w:r w:rsidR="007C3387" w:rsidRPr="0023573F">
        <w:instrText xml:space="preserve"> REF _Ref127783996 \h  \* MERGEFORMAT </w:instrText>
      </w:r>
      <w:r w:rsidR="007C3387" w:rsidRPr="0023573F">
        <w:fldChar w:fldCharType="separate"/>
      </w:r>
      <w:r w:rsidR="00B65CEE" w:rsidRPr="00B65CEE">
        <w:rPr>
          <w:rFonts w:asciiTheme="minorHAnsi" w:hAnsiTheme="minorHAnsi" w:cstheme="minorHAnsi"/>
        </w:rPr>
        <w:t>Table 10</w:t>
      </w:r>
      <w:r w:rsidR="007C3387" w:rsidRPr="0023573F">
        <w:fldChar w:fldCharType="end"/>
      </w:r>
      <w:r w:rsidR="007C3387" w:rsidRPr="0023573F">
        <w:t xml:space="preserve">. </w:t>
      </w:r>
    </w:p>
    <w:p w14:paraId="0585B879" w14:textId="707C8960" w:rsidR="007C3387" w:rsidRPr="00CA5B80" w:rsidRDefault="007C3387" w:rsidP="00CA5B80">
      <w:pPr>
        <w:pStyle w:val="TableHeading"/>
      </w:pPr>
      <w:bookmarkStart w:id="19" w:name="_Ref127783996"/>
      <w:r w:rsidRPr="00CA5B80">
        <w:t>Table </w:t>
      </w:r>
      <w:r>
        <w:fldChar w:fldCharType="begin"/>
      </w:r>
      <w:r>
        <w:instrText>SEQ Table \* ARABIC</w:instrText>
      </w:r>
      <w:r>
        <w:fldChar w:fldCharType="separate"/>
      </w:r>
      <w:r w:rsidR="00B65CEE">
        <w:rPr>
          <w:noProof/>
        </w:rPr>
        <w:t>10</w:t>
      </w:r>
      <w:r>
        <w:fldChar w:fldCharType="end"/>
      </w:r>
      <w:bookmarkEnd w:id="19"/>
      <w:r w:rsidRPr="00CA5B80">
        <w:tab/>
        <w:t xml:space="preserve">Medical professionals </w:t>
      </w:r>
      <w:r w:rsidR="00340AD6" w:rsidRPr="00CA5B80">
        <w:t xml:space="preserve">associated with </w:t>
      </w:r>
      <w:r w:rsidRPr="00CA5B80">
        <w:t>this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Medical professionals associated with this item"/>
        <w:tblDescription w:val="The table lists the medical professionals that order, prescribe and deliver the proposed service."/>
      </w:tblPr>
      <w:tblGrid>
        <w:gridCol w:w="1526"/>
        <w:gridCol w:w="2699"/>
        <w:gridCol w:w="5346"/>
      </w:tblGrid>
      <w:tr w:rsidR="007C3387" w:rsidRPr="00CA5B80" w14:paraId="1F778204" w14:textId="77777777" w:rsidTr="006866C9">
        <w:trPr>
          <w:tblHeader/>
        </w:trPr>
        <w:tc>
          <w:tcPr>
            <w:tcW w:w="797" w:type="pct"/>
          </w:tcPr>
          <w:p w14:paraId="7602B78C" w14:textId="77777777" w:rsidR="007C3387" w:rsidRPr="00CA5B80" w:rsidRDefault="007C3387" w:rsidP="00CA5B80">
            <w:pPr>
              <w:pStyle w:val="TableHeading"/>
            </w:pPr>
            <w:r w:rsidRPr="00CA5B80">
              <w:t>Purpose</w:t>
            </w:r>
          </w:p>
        </w:tc>
        <w:tc>
          <w:tcPr>
            <w:tcW w:w="1410" w:type="pct"/>
          </w:tcPr>
          <w:p w14:paraId="61485B89" w14:textId="77777777" w:rsidR="007C3387" w:rsidRPr="00CA5B80" w:rsidRDefault="007C3387" w:rsidP="00CA5B80">
            <w:pPr>
              <w:pStyle w:val="TableHeading"/>
            </w:pPr>
            <w:r w:rsidRPr="00CA5B80">
              <w:t xml:space="preserve">Clinician </w:t>
            </w:r>
          </w:p>
        </w:tc>
        <w:tc>
          <w:tcPr>
            <w:tcW w:w="2793" w:type="pct"/>
          </w:tcPr>
          <w:p w14:paraId="2FEC8358" w14:textId="77777777" w:rsidR="007C3387" w:rsidRPr="00CA5B80" w:rsidRDefault="007C3387" w:rsidP="00CA5B80">
            <w:pPr>
              <w:pStyle w:val="TableHeading"/>
            </w:pPr>
            <w:r w:rsidRPr="00CA5B80">
              <w:t>Comment</w:t>
            </w:r>
          </w:p>
        </w:tc>
      </w:tr>
      <w:tr w:rsidR="007C3387" w:rsidRPr="00D743EA" w14:paraId="56646CFA" w14:textId="77777777" w:rsidTr="006866C9">
        <w:tc>
          <w:tcPr>
            <w:tcW w:w="797" w:type="pct"/>
          </w:tcPr>
          <w:p w14:paraId="46C38C06" w14:textId="77777777" w:rsidR="007C3387" w:rsidRPr="00D743EA" w:rsidRDefault="007C3387" w:rsidP="00D743EA">
            <w:pPr>
              <w:pStyle w:val="Tabletext"/>
            </w:pPr>
            <w:r w:rsidRPr="00D743EA">
              <w:t>Item ordering / Referral</w:t>
            </w:r>
          </w:p>
        </w:tc>
        <w:tc>
          <w:tcPr>
            <w:tcW w:w="1410" w:type="pct"/>
          </w:tcPr>
          <w:p w14:paraId="56DFA156" w14:textId="77777777" w:rsidR="007C3387" w:rsidRPr="00D743EA" w:rsidRDefault="007C3387" w:rsidP="00D743EA">
            <w:pPr>
              <w:pStyle w:val="Tabletext"/>
            </w:pPr>
            <w:r w:rsidRPr="00D743EA">
              <w:t>Anaesthetist</w:t>
            </w:r>
          </w:p>
          <w:p w14:paraId="5C3D544E" w14:textId="7E54FAD2" w:rsidR="007C3387" w:rsidRPr="00D743EA" w:rsidRDefault="007C3387" w:rsidP="00D743EA">
            <w:pPr>
              <w:pStyle w:val="Tabletext"/>
            </w:pPr>
            <w:r w:rsidRPr="00D743EA">
              <w:t>General practitioner</w:t>
            </w:r>
            <w:r w:rsidR="00467306" w:rsidRPr="00D743EA">
              <w:t xml:space="preserve"> </w:t>
            </w:r>
            <w:r w:rsidR="009E14E6" w:rsidRPr="00D743EA">
              <w:t>anaesthetist</w:t>
            </w:r>
            <w:r w:rsidR="00CE23BF">
              <w:rPr>
                <w:vertAlign w:val="superscript"/>
              </w:rPr>
              <w:t>*</w:t>
            </w:r>
          </w:p>
        </w:tc>
        <w:tc>
          <w:tcPr>
            <w:tcW w:w="2793" w:type="pct"/>
          </w:tcPr>
          <w:p w14:paraId="37D81C0A" w14:textId="77777777" w:rsidR="007C3387" w:rsidRPr="00D743EA" w:rsidRDefault="007C3387" w:rsidP="00D743EA">
            <w:pPr>
              <w:pStyle w:val="Tabletext"/>
            </w:pPr>
            <w:r w:rsidRPr="00D743EA">
              <w:t xml:space="preserve">The need for a continuous nerve block would be determined at the pre-anaesthesia consultation. </w:t>
            </w:r>
          </w:p>
          <w:p w14:paraId="64A15205" w14:textId="77777777" w:rsidR="007C3387" w:rsidRPr="00D743EA" w:rsidRDefault="007C3387" w:rsidP="00D743EA">
            <w:pPr>
              <w:pStyle w:val="Tabletext"/>
            </w:pPr>
            <w:r w:rsidRPr="00D743EA">
              <w:t xml:space="preserve">The applicant notes that referral (for example by the surgeon) would require medical assessment of the patient as to the suitability of the procedure, establishing informed consent and determining contraindications for the procedure. It is simpler for the nerve block to be administered by the same physician determining patient suitability for the procedure at the outset. </w:t>
            </w:r>
          </w:p>
          <w:p w14:paraId="78B86E17" w14:textId="657ECD59" w:rsidR="00AC39AB" w:rsidRPr="00D743EA" w:rsidRDefault="00AC39AB" w:rsidP="00D743EA">
            <w:pPr>
              <w:pStyle w:val="Tabletext"/>
            </w:pPr>
            <w:r w:rsidRPr="00D743EA">
              <w:t xml:space="preserve">A surgeon may indicate a preference for a nerve block </w:t>
            </w:r>
            <w:r w:rsidR="009C5E1F" w:rsidRPr="00D743EA">
              <w:t xml:space="preserve">in planning the </w:t>
            </w:r>
            <w:r w:rsidR="00491804" w:rsidRPr="00D743EA">
              <w:t>procedure,</w:t>
            </w:r>
            <w:r w:rsidR="009C5E1F" w:rsidRPr="00D743EA">
              <w:t xml:space="preserve"> but this would still be subject to the pre-anaesthesia consultation </w:t>
            </w:r>
            <w:r w:rsidR="00832FA5" w:rsidRPr="00D743EA">
              <w:t xml:space="preserve">with the patient </w:t>
            </w:r>
            <w:r w:rsidR="009C5E1F" w:rsidRPr="00D743EA">
              <w:t>undertaken by the anaesthetist.</w:t>
            </w:r>
          </w:p>
        </w:tc>
      </w:tr>
      <w:tr w:rsidR="007C3387" w:rsidRPr="00D743EA" w14:paraId="321EDF9C" w14:textId="77777777" w:rsidTr="006866C9">
        <w:tc>
          <w:tcPr>
            <w:tcW w:w="797" w:type="pct"/>
          </w:tcPr>
          <w:p w14:paraId="65B5A024" w14:textId="77777777" w:rsidR="007C3387" w:rsidRPr="00D743EA" w:rsidRDefault="007C3387" w:rsidP="00D743EA">
            <w:pPr>
              <w:pStyle w:val="Tabletext"/>
            </w:pPr>
            <w:r w:rsidRPr="00D743EA">
              <w:t>Prescribing local anaesthetic</w:t>
            </w:r>
          </w:p>
        </w:tc>
        <w:tc>
          <w:tcPr>
            <w:tcW w:w="1410" w:type="pct"/>
          </w:tcPr>
          <w:p w14:paraId="03CD5F72" w14:textId="77777777" w:rsidR="007C3387" w:rsidRPr="00D743EA" w:rsidRDefault="007C3387" w:rsidP="00D743EA">
            <w:pPr>
              <w:pStyle w:val="Tabletext"/>
            </w:pPr>
            <w:r w:rsidRPr="00D743EA">
              <w:t>Anaesthetist</w:t>
            </w:r>
          </w:p>
          <w:p w14:paraId="78D34E22" w14:textId="2A1319AA" w:rsidR="007C3387" w:rsidRPr="00D743EA" w:rsidRDefault="007C3387" w:rsidP="00D743EA">
            <w:pPr>
              <w:pStyle w:val="Tabletext"/>
            </w:pPr>
            <w:r w:rsidRPr="00D743EA">
              <w:t>General practitioner</w:t>
            </w:r>
            <w:r w:rsidR="00D37201" w:rsidRPr="00D743EA">
              <w:t xml:space="preserve"> </w:t>
            </w:r>
            <w:r w:rsidR="004C090C" w:rsidRPr="00D743EA">
              <w:t>anaesthetist</w:t>
            </w:r>
            <w:r w:rsidR="004C090C">
              <w:rPr>
                <w:vertAlign w:val="superscript"/>
              </w:rPr>
              <w:t>*</w:t>
            </w:r>
          </w:p>
        </w:tc>
        <w:tc>
          <w:tcPr>
            <w:tcW w:w="2793" w:type="pct"/>
          </w:tcPr>
          <w:p w14:paraId="5D69779E" w14:textId="178E36CD" w:rsidR="007C3387" w:rsidRPr="00D743EA" w:rsidRDefault="008B5086" w:rsidP="00D743EA">
            <w:pPr>
              <w:pStyle w:val="Tabletext"/>
            </w:pPr>
            <w:r w:rsidRPr="00D743EA">
              <w:t>–</w:t>
            </w:r>
          </w:p>
        </w:tc>
      </w:tr>
      <w:tr w:rsidR="007C3387" w:rsidRPr="00D743EA" w14:paraId="0C1CCCC1" w14:textId="77777777" w:rsidTr="006866C9">
        <w:tc>
          <w:tcPr>
            <w:tcW w:w="797" w:type="pct"/>
          </w:tcPr>
          <w:p w14:paraId="65753D22" w14:textId="744312DC" w:rsidR="007C3387" w:rsidRPr="00D743EA" w:rsidRDefault="00B16B30" w:rsidP="00D743EA">
            <w:pPr>
              <w:pStyle w:val="Tabletext"/>
            </w:pPr>
            <w:r w:rsidRPr="00D743EA">
              <w:t>Service d</w:t>
            </w:r>
            <w:r w:rsidR="007C3387" w:rsidRPr="00D743EA">
              <w:t>elivery</w:t>
            </w:r>
          </w:p>
        </w:tc>
        <w:tc>
          <w:tcPr>
            <w:tcW w:w="1410" w:type="pct"/>
          </w:tcPr>
          <w:p w14:paraId="3EFD7A01" w14:textId="77777777" w:rsidR="008637C0" w:rsidRDefault="007C3387" w:rsidP="00D743EA">
            <w:pPr>
              <w:pStyle w:val="Tabletext"/>
            </w:pPr>
            <w:r w:rsidRPr="00D743EA">
              <w:t>Anaesthetist</w:t>
            </w:r>
            <w:r w:rsidR="00723343" w:rsidRPr="00D743EA">
              <w:t xml:space="preserve"> </w:t>
            </w:r>
          </w:p>
          <w:p w14:paraId="5DB73CE8" w14:textId="365A3DB1" w:rsidR="007C3387" w:rsidRPr="00D743EA" w:rsidRDefault="00723343" w:rsidP="00D743EA">
            <w:pPr>
              <w:pStyle w:val="Tabletext"/>
            </w:pPr>
            <w:r w:rsidRPr="00D743EA">
              <w:t>Anaesthetic assistant</w:t>
            </w:r>
          </w:p>
          <w:p w14:paraId="59A87E46" w14:textId="24A53CA1" w:rsidR="007C3387" w:rsidRPr="00D743EA" w:rsidRDefault="007C3387" w:rsidP="00D743EA">
            <w:pPr>
              <w:pStyle w:val="Tabletext"/>
            </w:pPr>
            <w:r w:rsidRPr="00D743EA">
              <w:t>General practitioner</w:t>
            </w:r>
            <w:r w:rsidR="00D37201" w:rsidRPr="00D743EA">
              <w:t xml:space="preserve"> anaesthetist</w:t>
            </w:r>
            <w:r w:rsidR="00063598">
              <w:rPr>
                <w:vertAlign w:val="superscript"/>
              </w:rPr>
              <w:t>*</w:t>
            </w:r>
          </w:p>
        </w:tc>
        <w:tc>
          <w:tcPr>
            <w:tcW w:w="2793" w:type="pct"/>
          </w:tcPr>
          <w:p w14:paraId="30013625" w14:textId="4D285779" w:rsidR="007C3387" w:rsidRPr="00D743EA" w:rsidRDefault="007C3387" w:rsidP="00D743EA">
            <w:pPr>
              <w:pStyle w:val="Tabletext"/>
            </w:pPr>
            <w:r w:rsidRPr="00D743EA">
              <w:t xml:space="preserve">Anaesthetists having completed the ANZCA advanced training </w:t>
            </w:r>
            <w:r w:rsidR="00714FEA">
              <w:t>in</w:t>
            </w:r>
            <w:r w:rsidRPr="00D743EA">
              <w:t xml:space="preserve"> regional and local anaesthesia. </w:t>
            </w:r>
          </w:p>
          <w:p w14:paraId="398706CE" w14:textId="0ED30233" w:rsidR="007C3387" w:rsidRPr="00D743EA" w:rsidRDefault="007C3387" w:rsidP="00D743EA">
            <w:pPr>
              <w:pStyle w:val="Tabletext"/>
            </w:pPr>
            <w:r w:rsidRPr="00D743EA">
              <w:t>Only GPs accredited to perform this procedure (according to the Joint Consultative Committee on Anaesthesia)</w:t>
            </w:r>
            <w:r w:rsidR="00CE23BF">
              <w:t>.</w:t>
            </w:r>
          </w:p>
        </w:tc>
      </w:tr>
      <w:tr w:rsidR="008B5086" w:rsidRPr="00D743EA" w14:paraId="1915CF14" w14:textId="77777777" w:rsidTr="006866C9">
        <w:tc>
          <w:tcPr>
            <w:tcW w:w="797" w:type="pct"/>
          </w:tcPr>
          <w:p w14:paraId="61F48B8F" w14:textId="51659009" w:rsidR="008B5086" w:rsidRPr="00D743EA" w:rsidRDefault="008B5086" w:rsidP="00BD5FC0">
            <w:pPr>
              <w:pStyle w:val="Tabletext"/>
              <w:keepNext/>
            </w:pPr>
            <w:r w:rsidRPr="00D743EA">
              <w:lastRenderedPageBreak/>
              <w:t>Post-anaesthesia care to discharge</w:t>
            </w:r>
          </w:p>
        </w:tc>
        <w:tc>
          <w:tcPr>
            <w:tcW w:w="1410" w:type="pct"/>
          </w:tcPr>
          <w:p w14:paraId="1522ECFF" w14:textId="77777777" w:rsidR="008B5086" w:rsidRPr="00D743EA" w:rsidRDefault="008B5086" w:rsidP="00BD5FC0">
            <w:pPr>
              <w:pStyle w:val="Tabletext"/>
              <w:keepNext/>
            </w:pPr>
            <w:r w:rsidRPr="00D743EA">
              <w:t xml:space="preserve">Anaesthetist </w:t>
            </w:r>
          </w:p>
          <w:p w14:paraId="68ED6DDE" w14:textId="7EC2E047" w:rsidR="008B5086" w:rsidRPr="00D743EA" w:rsidRDefault="008B5086" w:rsidP="00BD5FC0">
            <w:pPr>
              <w:pStyle w:val="Tabletext"/>
              <w:keepNext/>
            </w:pPr>
            <w:r w:rsidRPr="00D743EA">
              <w:t>Nurse</w:t>
            </w:r>
          </w:p>
          <w:p w14:paraId="7D9AD206" w14:textId="4DEC1394" w:rsidR="008B5086" w:rsidRPr="00D743EA" w:rsidRDefault="008B5086" w:rsidP="00BD5FC0">
            <w:pPr>
              <w:pStyle w:val="Tabletext"/>
              <w:keepNext/>
            </w:pPr>
            <w:r w:rsidRPr="00D743EA">
              <w:t>General practitioner anaesthetist</w:t>
            </w:r>
            <w:r w:rsidR="00063598">
              <w:rPr>
                <w:vertAlign w:val="superscript"/>
              </w:rPr>
              <w:t>*</w:t>
            </w:r>
          </w:p>
        </w:tc>
        <w:tc>
          <w:tcPr>
            <w:tcW w:w="2793" w:type="pct"/>
          </w:tcPr>
          <w:p w14:paraId="377831A8" w14:textId="56CDE986" w:rsidR="008B5086" w:rsidRPr="00D743EA" w:rsidRDefault="008B5086" w:rsidP="00BD5FC0">
            <w:pPr>
              <w:pStyle w:val="Tabletext"/>
              <w:keepNext/>
              <w:rPr>
                <w:highlight w:val="yellow"/>
              </w:rPr>
            </w:pPr>
            <w:r w:rsidRPr="00D743EA">
              <w:t>Once the patient is released from the recovery unit to the ward, the responsibility for pain management remains with the anaesthetist</w:t>
            </w:r>
            <w:r w:rsidR="009D2205">
              <w:t xml:space="preserve">, </w:t>
            </w:r>
            <w:r w:rsidR="001D4160">
              <w:t>as is the usual practice for a post-operative in-patient</w:t>
            </w:r>
            <w:r w:rsidRPr="00D743EA">
              <w:t>. All other responsibilities transfer to the surgical team</w:t>
            </w:r>
            <w:r w:rsidR="006B35B1" w:rsidRPr="00D743EA">
              <w:t xml:space="preserve"> and/or ward staff</w:t>
            </w:r>
            <w:r w:rsidRPr="00D743EA">
              <w:t>.</w:t>
            </w:r>
          </w:p>
        </w:tc>
      </w:tr>
      <w:tr w:rsidR="008B5086" w:rsidRPr="00D743EA" w14:paraId="4A152F18" w14:textId="77777777" w:rsidTr="006866C9">
        <w:tc>
          <w:tcPr>
            <w:tcW w:w="797" w:type="pct"/>
          </w:tcPr>
          <w:p w14:paraId="47E7B944" w14:textId="77777777" w:rsidR="008B5086" w:rsidRPr="00D743EA" w:rsidRDefault="008B5086" w:rsidP="00D743EA">
            <w:pPr>
              <w:pStyle w:val="Tabletext"/>
            </w:pPr>
            <w:r w:rsidRPr="00D743EA">
              <w:t>Monitoring and removal</w:t>
            </w:r>
          </w:p>
        </w:tc>
        <w:tc>
          <w:tcPr>
            <w:tcW w:w="1410" w:type="pct"/>
          </w:tcPr>
          <w:p w14:paraId="1FBB458A" w14:textId="77777777" w:rsidR="008B5086" w:rsidRPr="00D743EA" w:rsidRDefault="008B5086" w:rsidP="00D743EA">
            <w:pPr>
              <w:pStyle w:val="Tabletext"/>
            </w:pPr>
            <w:r w:rsidRPr="00D743EA">
              <w:t>Nurse</w:t>
            </w:r>
          </w:p>
          <w:p w14:paraId="6E677ED2" w14:textId="77777777" w:rsidR="008B5086" w:rsidRPr="00D743EA" w:rsidRDefault="008B5086" w:rsidP="00D743EA">
            <w:pPr>
              <w:pStyle w:val="Tabletext"/>
            </w:pPr>
            <w:r w:rsidRPr="00D743EA">
              <w:t>Anaesthetist</w:t>
            </w:r>
          </w:p>
          <w:p w14:paraId="13792744" w14:textId="65A4C103" w:rsidR="008B5086" w:rsidRPr="00D743EA" w:rsidRDefault="008B5086" w:rsidP="00D743EA">
            <w:pPr>
              <w:pStyle w:val="Tabletext"/>
            </w:pPr>
            <w:r w:rsidRPr="00D743EA">
              <w:t>General practitioner anaesthetist</w:t>
            </w:r>
            <w:r w:rsidR="00063598">
              <w:rPr>
                <w:vertAlign w:val="superscript"/>
              </w:rPr>
              <w:t>*</w:t>
            </w:r>
          </w:p>
        </w:tc>
        <w:tc>
          <w:tcPr>
            <w:tcW w:w="2793" w:type="pct"/>
          </w:tcPr>
          <w:p w14:paraId="29E4219D" w14:textId="4928E442" w:rsidR="008B5086" w:rsidRPr="00D743EA" w:rsidRDefault="008B5086" w:rsidP="00D743EA">
            <w:pPr>
              <w:pStyle w:val="Tabletext"/>
            </w:pPr>
            <w:r w:rsidRPr="00D743EA">
              <w:t>On the ward, this would be done by a nurse as for any catheter or IV</w:t>
            </w:r>
            <w:r w:rsidR="00CE23BF">
              <w:t>.</w:t>
            </w:r>
          </w:p>
          <w:p w14:paraId="2FEA4992" w14:textId="5F5BA1FB" w:rsidR="008B5086" w:rsidRPr="00D743EA" w:rsidRDefault="008B5086" w:rsidP="00D743EA">
            <w:pPr>
              <w:pStyle w:val="Tabletext"/>
            </w:pPr>
            <w:r w:rsidRPr="00D743EA">
              <w:t xml:space="preserve">Patients may remove the catheter at home with appropriate guidance from the anaesthetist or the hospital pain management unit. Patients experiencing worsening pain, redness or other potential complications would be directed to return to the hospital. </w:t>
            </w:r>
          </w:p>
        </w:tc>
      </w:tr>
    </w:tbl>
    <w:p w14:paraId="5653F002" w14:textId="059B7D68" w:rsidR="009E14E6" w:rsidRDefault="007C3387" w:rsidP="00DB7ACF">
      <w:pPr>
        <w:pStyle w:val="Tablenotes"/>
        <w:spacing w:after="240"/>
      </w:pPr>
      <w:r>
        <w:t xml:space="preserve">Source: compiled by the </w:t>
      </w:r>
      <w:r w:rsidR="00DB7810">
        <w:t>E</w:t>
      </w:r>
      <w:r>
        <w:t xml:space="preserve">valuation </w:t>
      </w:r>
      <w:r w:rsidR="00DB7810">
        <w:t>G</w:t>
      </w:r>
      <w:r>
        <w:t>roup.</w:t>
      </w:r>
      <w:r w:rsidR="007C4AB4">
        <w:tab/>
      </w:r>
      <w:r w:rsidR="00DB7ACF">
        <w:br/>
        <w:t>ANZCA=</w:t>
      </w:r>
      <w:r w:rsidR="00DB7ACF" w:rsidRPr="00DB7ACF">
        <w:t>Australian and New Zealand College of Anaesthetists</w:t>
      </w:r>
      <w:r w:rsidR="00DB7ACF">
        <w:t>; GP=general practitioner; IV=intravenous</w:t>
      </w:r>
      <w:r w:rsidR="00DB7ACF">
        <w:tab/>
      </w:r>
      <w:r w:rsidR="007C4AB4">
        <w:br/>
      </w:r>
      <w:r w:rsidR="004C090C">
        <w:rPr>
          <w:vertAlign w:val="superscript"/>
        </w:rPr>
        <w:t>*</w:t>
      </w:r>
      <w:r w:rsidR="007A6A35">
        <w:t xml:space="preserve"> A General </w:t>
      </w:r>
      <w:r w:rsidR="001C7BA2">
        <w:t>p</w:t>
      </w:r>
      <w:r w:rsidR="007A6A35">
        <w:t xml:space="preserve">ractitioner anaesthetist is a </w:t>
      </w:r>
      <w:r w:rsidR="001C7BA2">
        <w:t>g</w:t>
      </w:r>
      <w:r w:rsidR="007A6A35">
        <w:t xml:space="preserve">eneral </w:t>
      </w:r>
      <w:r w:rsidR="001C7BA2">
        <w:t>p</w:t>
      </w:r>
      <w:r w:rsidR="007A6A35">
        <w:t xml:space="preserve">ractitioner who has </w:t>
      </w:r>
      <w:r w:rsidR="007A6A35" w:rsidRPr="007A6A35">
        <w:t>undertaken accredited and certified anaesthesia training for this technique (in accordance with the Joint Consultative Committee on Anaesthesia (JCCA) requirements)</w:t>
      </w:r>
      <w:r w:rsidR="006932F8">
        <w:t>.</w:t>
      </w:r>
      <w:r w:rsidR="007A6A35">
        <w:t xml:space="preserve"> </w:t>
      </w:r>
    </w:p>
    <w:p w14:paraId="5645B31A" w14:textId="739EB8E4" w:rsidR="006C3938" w:rsidRDefault="000465F3" w:rsidP="006C3938">
      <w:r>
        <w:t xml:space="preserve">A specialist anaesthetist is required to </w:t>
      </w:r>
      <w:r w:rsidR="006C3938">
        <w:t>order</w:t>
      </w:r>
      <w:r>
        <w:t xml:space="preserve"> and perform the continuous nerve block procedure. </w:t>
      </w:r>
      <w:r w:rsidR="00BA2664">
        <w:t xml:space="preserve">As this is </w:t>
      </w:r>
      <w:r w:rsidR="003B2987">
        <w:t>approaching</w:t>
      </w:r>
      <w:r w:rsidR="00BA2664">
        <w:t xml:space="preserve"> standard of care for </w:t>
      </w:r>
      <w:r w:rsidR="006C3938">
        <w:t xml:space="preserve">the </w:t>
      </w:r>
      <w:r w:rsidR="00BA2664">
        <w:t xml:space="preserve">majority of patients </w:t>
      </w:r>
      <w:r w:rsidR="00974808">
        <w:t>undergoing</w:t>
      </w:r>
      <w:r w:rsidR="00AA1F2B">
        <w:t xml:space="preserve"> </w:t>
      </w:r>
      <w:r w:rsidR="00AC2822">
        <w:t>major joint surgery</w:t>
      </w:r>
      <w:r w:rsidR="00BA2664">
        <w:t>, a</w:t>
      </w:r>
      <w:r w:rsidR="003B2987">
        <w:t>n</w:t>
      </w:r>
      <w:r w:rsidR="00BA2664">
        <w:t xml:space="preserve"> experienced anaesthetist </w:t>
      </w:r>
      <w:r w:rsidR="006C3938">
        <w:t xml:space="preserve">should be able to </w:t>
      </w:r>
      <w:r w:rsidR="00BA2664">
        <w:t xml:space="preserve">perform catheter placement for a nerve block and would be expected to </w:t>
      </w:r>
      <w:r w:rsidR="006C3938">
        <w:t xml:space="preserve">have completed the </w:t>
      </w:r>
      <w:r w:rsidR="006C3938" w:rsidRPr="00F27916">
        <w:t>ANZCA</w:t>
      </w:r>
      <w:r w:rsidR="006C3938">
        <w:t xml:space="preserve"> advanced training </w:t>
      </w:r>
      <w:r w:rsidR="00BA2664">
        <w:t xml:space="preserve">module </w:t>
      </w:r>
      <w:r w:rsidR="006C3938">
        <w:t>on regional anaesthesia</w:t>
      </w:r>
      <w:r w:rsidR="00BA2664">
        <w:t>.</w:t>
      </w:r>
      <w:r w:rsidR="006C3938">
        <w:t xml:space="preserve"> </w:t>
      </w:r>
    </w:p>
    <w:p w14:paraId="56B63614" w14:textId="66437CF3" w:rsidR="000465F3" w:rsidRDefault="006C3938" w:rsidP="006C3938">
      <w:r>
        <w:t xml:space="preserve">In some circumstances, a general practitioner (GP) </w:t>
      </w:r>
      <w:r w:rsidR="00135E46">
        <w:t>an</w:t>
      </w:r>
      <w:r w:rsidR="0018281A">
        <w:t>ae</w:t>
      </w:r>
      <w:r w:rsidR="00135E46">
        <w:t>sthetist</w:t>
      </w:r>
      <w:r>
        <w:t xml:space="preserve"> will undertake this role,</w:t>
      </w:r>
      <w:r w:rsidR="0021547C">
        <w:t xml:space="preserve"> if</w:t>
      </w:r>
      <w:r w:rsidR="00581840">
        <w:t xml:space="preserve"> they </w:t>
      </w:r>
      <w:r w:rsidR="000465F3" w:rsidRPr="00496F8D">
        <w:t>ha</w:t>
      </w:r>
      <w:r w:rsidR="009255A8" w:rsidRPr="00496F8D">
        <w:t>ve</w:t>
      </w:r>
      <w:r w:rsidR="000465F3" w:rsidRPr="00496F8D">
        <w:t xml:space="preserve"> undertaken accredited and certified anaesthesia training</w:t>
      </w:r>
      <w:r w:rsidR="001B1F7B" w:rsidRPr="00496F8D">
        <w:t xml:space="preserve"> </w:t>
      </w:r>
      <w:r w:rsidR="00581840">
        <w:t>for this technique</w:t>
      </w:r>
      <w:r w:rsidR="000465F3" w:rsidRPr="00496F8D">
        <w:t xml:space="preserve"> (in accordance with the Joint Consultative Committee on Anaesthesia (JCCA) requirements)</w:t>
      </w:r>
      <w:r w:rsidR="009255A8" w:rsidRPr="00496F8D">
        <w:t>. Although t</w:t>
      </w:r>
      <w:r w:rsidR="000465F3" w:rsidRPr="00496F8D">
        <w:t xml:space="preserve">he procedure </w:t>
      </w:r>
      <w:r w:rsidR="0021547C">
        <w:t>would</w:t>
      </w:r>
      <w:r w:rsidR="000465F3" w:rsidRPr="00496F8D">
        <w:t xml:space="preserve"> be restricted to administration in an inpatient hospital setting</w:t>
      </w:r>
      <w:r w:rsidR="009255A8" w:rsidRPr="00496F8D">
        <w:t xml:space="preserve">, in </w:t>
      </w:r>
      <w:r w:rsidR="00817D84" w:rsidRPr="00496F8D">
        <w:t>rural</w:t>
      </w:r>
      <w:r w:rsidR="0021547C">
        <w:t xml:space="preserve"> or </w:t>
      </w:r>
      <w:r w:rsidR="00817D84" w:rsidRPr="00496F8D">
        <w:t>regional hospitals</w:t>
      </w:r>
      <w:r w:rsidR="00436E28">
        <w:t xml:space="preserve"> and associated with surgery</w:t>
      </w:r>
      <w:r w:rsidR="006C74F8">
        <w:t>,</w:t>
      </w:r>
      <w:r w:rsidR="00817D84" w:rsidRPr="00496F8D">
        <w:t xml:space="preserve"> the applicant noted that </w:t>
      </w:r>
      <w:r w:rsidR="00195FE1" w:rsidRPr="00496F8D">
        <w:t>a GP</w:t>
      </w:r>
      <w:r w:rsidR="00391F70">
        <w:t xml:space="preserve"> anaesthetist</w:t>
      </w:r>
      <w:r w:rsidR="00F95CE4">
        <w:t xml:space="preserve"> </w:t>
      </w:r>
      <w:r w:rsidR="002B5E9F">
        <w:t>may also undertake this procedure</w:t>
      </w:r>
      <w:r w:rsidR="00D34CA5">
        <w:t>.</w:t>
      </w:r>
      <w:r w:rsidR="000465F3">
        <w:t xml:space="preserve"> </w:t>
      </w:r>
    </w:p>
    <w:p w14:paraId="6F61406D" w14:textId="3D5B04D1" w:rsidR="00A81381" w:rsidRDefault="00A81381" w:rsidP="006C3938">
      <w:r>
        <w:t>Although on occasion a surgeon may place a field block or even a nerve block if the anatomy is easily accessible, this item is not proposed to include that use</w:t>
      </w:r>
      <w:r w:rsidR="00414F79">
        <w:t>, but is instead for routine use by anaesthetists.</w:t>
      </w:r>
    </w:p>
    <w:p w14:paraId="2282DEDB" w14:textId="525443C0" w:rsidR="00844F4B" w:rsidRDefault="00E131B2" w:rsidP="00B155AB">
      <w:pPr>
        <w:pStyle w:val="Heading4"/>
      </w:pPr>
      <w:bookmarkStart w:id="20" w:name="_Ref128737659"/>
      <w:r w:rsidRPr="00333CCA">
        <w:t>M</w:t>
      </w:r>
      <w:r w:rsidR="00B155AB" w:rsidRPr="00333CCA">
        <w:t>ode of deliver</w:t>
      </w:r>
      <w:r w:rsidR="00127AB1" w:rsidRPr="00333CCA">
        <w:t>y</w:t>
      </w:r>
      <w:r>
        <w:t xml:space="preserve"> and frequency</w:t>
      </w:r>
      <w:bookmarkEnd w:id="20"/>
    </w:p>
    <w:p w14:paraId="2EE5DE5D" w14:textId="0F294EF0" w:rsidR="003C32C7" w:rsidRDefault="00C73C64" w:rsidP="00C115C0">
      <w:r>
        <w:t>Requirement for</w:t>
      </w:r>
      <w:r w:rsidR="00CA7C0C">
        <w:t xml:space="preserve"> the procedure </w:t>
      </w:r>
      <w:r>
        <w:t xml:space="preserve">will be determined by </w:t>
      </w:r>
      <w:r w:rsidR="00CA7C0C">
        <w:t xml:space="preserve">the anaesthetist </w:t>
      </w:r>
      <w:r>
        <w:t>at the pre-anaesthesia consultation</w:t>
      </w:r>
      <w:r w:rsidR="00CA7C0C">
        <w:t xml:space="preserve"> with the patient</w:t>
      </w:r>
      <w:r w:rsidR="00DA47DC">
        <w:t xml:space="preserve"> </w:t>
      </w:r>
      <w:r w:rsidR="009018B0">
        <w:t>(MBS i</w:t>
      </w:r>
      <w:r w:rsidR="009018B0" w:rsidRPr="009018B0">
        <w:t xml:space="preserve">tems 17610 </w:t>
      </w:r>
      <w:r w:rsidR="009018B0">
        <w:t>–</w:t>
      </w:r>
      <w:r w:rsidR="009018B0" w:rsidRPr="009018B0">
        <w:t xml:space="preserve"> 17625</w:t>
      </w:r>
      <w:r w:rsidR="009018B0">
        <w:t>)</w:t>
      </w:r>
      <w:r w:rsidR="00E64E61">
        <w:t xml:space="preserve"> </w:t>
      </w:r>
      <w:r w:rsidR="00DA47DC">
        <w:t xml:space="preserve">or in the emergency room for </w:t>
      </w:r>
      <w:r w:rsidR="009018B0">
        <w:t>emergency</w:t>
      </w:r>
      <w:r w:rsidR="00DA47DC">
        <w:t>/trauma surgery</w:t>
      </w:r>
      <w:r w:rsidR="00E51991">
        <w:t>.</w:t>
      </w:r>
      <w:r w:rsidR="002477A1">
        <w:t xml:space="preserve"> </w:t>
      </w:r>
      <w:r w:rsidR="008620F4">
        <w:t xml:space="preserve">Real time </w:t>
      </w:r>
      <w:r w:rsidR="00786501">
        <w:t>u</w:t>
      </w:r>
      <w:r w:rsidR="00C115C0">
        <w:t xml:space="preserve">ltrasound examination </w:t>
      </w:r>
      <w:r w:rsidR="00443B31">
        <w:t xml:space="preserve">to assist with placement of the catheter </w:t>
      </w:r>
      <w:r w:rsidR="00435B0B">
        <w:t>is standard of care</w:t>
      </w:r>
      <w:r w:rsidR="00B11B64">
        <w:t>. A</w:t>
      </w:r>
      <w:r w:rsidR="0031155B">
        <w:t xml:space="preserve">natomical landmarks </w:t>
      </w:r>
      <w:r w:rsidR="008263E8">
        <w:t>may be reliably used for</w:t>
      </w:r>
      <w:r w:rsidR="008263E8" w:rsidRPr="004A7B05">
        <w:t xml:space="preserve"> paravertebral and femoral</w:t>
      </w:r>
      <w:r w:rsidR="008263E8">
        <w:t xml:space="preserve"> nerve blocks</w:t>
      </w:r>
      <w:r w:rsidR="00B11B64">
        <w:t>,</w:t>
      </w:r>
      <w:r w:rsidR="008263E8">
        <w:t xml:space="preserve"> though </w:t>
      </w:r>
      <w:r w:rsidR="00B11B64">
        <w:t xml:space="preserve">the applicant notes that </w:t>
      </w:r>
      <w:r w:rsidR="008263E8">
        <w:t xml:space="preserve">both are </w:t>
      </w:r>
      <w:r w:rsidR="008263E8" w:rsidRPr="004A7B05">
        <w:t>more reliably placed using ultrasound</w:t>
      </w:r>
      <w:r w:rsidR="008263E8">
        <w:t>.</w:t>
      </w:r>
      <w:r w:rsidR="005E1766">
        <w:t xml:space="preserve"> </w:t>
      </w:r>
      <w:r w:rsidR="005E1766" w:rsidRPr="005E1766">
        <w:t>The catheter can be either stimulating (electrical impulses facilitate identification of the correct nerve) or non-stimulating (where the placement relies more on anatomical landmarks and / or ultrasound guidance).</w:t>
      </w:r>
    </w:p>
    <w:p w14:paraId="35686992" w14:textId="0A8F7279" w:rsidR="00C115C0" w:rsidRDefault="00C115C0" w:rsidP="00C115C0">
      <w:r>
        <w:t xml:space="preserve">Sterile preparation and draping of </w:t>
      </w:r>
      <w:r w:rsidR="00BD57D7">
        <w:t xml:space="preserve">the </w:t>
      </w:r>
      <w:r>
        <w:t>insertion site</w:t>
      </w:r>
      <w:r w:rsidR="00EE49D8">
        <w:t xml:space="preserve"> will be performed</w:t>
      </w:r>
      <w:r w:rsidR="00275D1C">
        <w:t>,</w:t>
      </w:r>
      <w:r w:rsidR="00EE49D8">
        <w:t xml:space="preserve"> followed by administration </w:t>
      </w:r>
      <w:r>
        <w:t xml:space="preserve">of </w:t>
      </w:r>
      <w:r w:rsidR="00EE49D8">
        <w:t xml:space="preserve">the </w:t>
      </w:r>
      <w:r>
        <w:t xml:space="preserve">block and placement of </w:t>
      </w:r>
      <w:r w:rsidR="00EE49D8">
        <w:t xml:space="preserve">the </w:t>
      </w:r>
      <w:r>
        <w:t>catheter</w:t>
      </w:r>
      <w:r w:rsidR="00EE49D8">
        <w:t>. L</w:t>
      </w:r>
      <w:r>
        <w:t xml:space="preserve">ocal anaesthetic </w:t>
      </w:r>
      <w:r w:rsidR="00EE49D8">
        <w:t xml:space="preserve">is injected </w:t>
      </w:r>
      <w:r>
        <w:t xml:space="preserve">through </w:t>
      </w:r>
      <w:r w:rsidR="00EE49D8">
        <w:t xml:space="preserve">the </w:t>
      </w:r>
      <w:r>
        <w:t xml:space="preserve">catheter to confirm </w:t>
      </w:r>
      <w:r w:rsidR="00EE49D8">
        <w:t xml:space="preserve">the </w:t>
      </w:r>
      <w:r>
        <w:t>correct placement</w:t>
      </w:r>
      <w:r w:rsidR="0034310D">
        <w:t xml:space="preserve"> and </w:t>
      </w:r>
      <w:r w:rsidR="005F4C6A">
        <w:t xml:space="preserve">if not, the procedure is </w:t>
      </w:r>
      <w:r w:rsidR="0034310D">
        <w:t>repeated</w:t>
      </w:r>
      <w:r w:rsidR="005F4C6A">
        <w:t>, otherwise</w:t>
      </w:r>
      <w:r w:rsidR="0034310D">
        <w:t xml:space="preserve"> t</w:t>
      </w:r>
      <w:r w:rsidR="00CB269F">
        <w:t xml:space="preserve">he </w:t>
      </w:r>
      <w:r>
        <w:t xml:space="preserve">catheter </w:t>
      </w:r>
      <w:r w:rsidR="00CB269F">
        <w:t>is the</w:t>
      </w:r>
      <w:r w:rsidR="00C57D9E">
        <w:t>n</w:t>
      </w:r>
      <w:r w:rsidR="00CB269F">
        <w:t xml:space="preserve"> secured</w:t>
      </w:r>
      <w:r>
        <w:t>.</w:t>
      </w:r>
      <w:r w:rsidR="001C0797">
        <w:t xml:space="preserve"> Regardless of exact sequence of events, the catheter will be inserted and the </w:t>
      </w:r>
      <w:r w:rsidR="000E437E">
        <w:t xml:space="preserve">pump </w:t>
      </w:r>
      <w:r w:rsidR="003D0D28">
        <w:t xml:space="preserve">for the local anaesthetic </w:t>
      </w:r>
      <w:r w:rsidR="000E437E">
        <w:t xml:space="preserve">commenced prior to </w:t>
      </w:r>
      <w:r w:rsidR="00386BC9">
        <w:t xml:space="preserve">the patient’s </w:t>
      </w:r>
      <w:r w:rsidR="002B41E5">
        <w:t>exit from the operating suite and transfer to the ward</w:t>
      </w:r>
      <w:r w:rsidR="003D0D28">
        <w:t xml:space="preserve"> or </w:t>
      </w:r>
      <w:r w:rsidR="000C5499">
        <w:t>discharge area</w:t>
      </w:r>
      <w:r w:rsidR="002B41E5">
        <w:t>.</w:t>
      </w:r>
    </w:p>
    <w:p w14:paraId="0B259979" w14:textId="466E69C3" w:rsidR="003575E3" w:rsidRDefault="003575E3" w:rsidP="00C571C1">
      <w:r>
        <w:t xml:space="preserve">The catheter will be connected to a </w:t>
      </w:r>
      <w:r w:rsidR="00641ADA">
        <w:t xml:space="preserve">local anaesthetic delivery </w:t>
      </w:r>
      <w:r>
        <w:t xml:space="preserve">device </w:t>
      </w:r>
      <w:r w:rsidR="00131911">
        <w:t xml:space="preserve">(electric pump for inpatients, </w:t>
      </w:r>
      <w:r w:rsidR="005D54A2">
        <w:t xml:space="preserve">single-use elastomeric pump for patients </w:t>
      </w:r>
      <w:r w:rsidR="007E26E7">
        <w:t xml:space="preserve">discharged home with the catheter </w:t>
      </w:r>
      <w:r w:rsidR="007E26E7" w:rsidRPr="008A6E74">
        <w:rPr>
          <w:i/>
        </w:rPr>
        <w:t>in situ</w:t>
      </w:r>
      <w:r w:rsidR="007E26E7">
        <w:t xml:space="preserve">) </w:t>
      </w:r>
      <w:r>
        <w:t>to provide a continuous infusion of the anaesthetic. Patients may also be provided with a PCRA (patient</w:t>
      </w:r>
      <w:r w:rsidR="008E2DE3">
        <w:t>-</w:t>
      </w:r>
      <w:r>
        <w:t xml:space="preserve">controlled regional </w:t>
      </w:r>
      <w:r w:rsidR="00357142">
        <w:t>analgesia</w:t>
      </w:r>
      <w:r>
        <w:t xml:space="preserve">) device to enable bolus doses of the </w:t>
      </w:r>
      <w:r w:rsidR="00875AEE">
        <w:t xml:space="preserve">analgesic </w:t>
      </w:r>
      <w:r>
        <w:t>to be administered</w:t>
      </w:r>
      <w:r w:rsidR="009A6BC0">
        <w:t xml:space="preserve"> in addition to the continuous in</w:t>
      </w:r>
      <w:r w:rsidR="00FA7991">
        <w:t>fusion,</w:t>
      </w:r>
      <w:r>
        <w:t xml:space="preserve"> as required for pain management</w:t>
      </w:r>
      <w:r w:rsidR="00E53D2B">
        <w:t xml:space="preserve"> (with standard limits in place to prevent overdose)</w:t>
      </w:r>
      <w:r>
        <w:t xml:space="preserve">. </w:t>
      </w:r>
    </w:p>
    <w:p w14:paraId="0D0DDF98" w14:textId="52866BBD" w:rsidR="00405198" w:rsidRDefault="00640585" w:rsidP="00286A15">
      <w:r>
        <w:lastRenderedPageBreak/>
        <w:t>T</w:t>
      </w:r>
      <w:r w:rsidR="00286A15">
        <w:t xml:space="preserve">he level of complexity/difficulty </w:t>
      </w:r>
      <w:r>
        <w:t xml:space="preserve">in </w:t>
      </w:r>
      <w:r w:rsidR="00BA2664">
        <w:t>placing the catheter for a nerve block</w:t>
      </w:r>
      <w:r w:rsidR="00286A15">
        <w:t xml:space="preserve"> var</w:t>
      </w:r>
      <w:r w:rsidR="00373299">
        <w:t>ies</w:t>
      </w:r>
      <w:r w:rsidR="00286A15">
        <w:t xml:space="preserve"> depending on the target nerve. </w:t>
      </w:r>
      <w:r w:rsidR="00BA2664">
        <w:t>I</w:t>
      </w:r>
      <w:r w:rsidR="00286A15" w:rsidRPr="007819DE">
        <w:t xml:space="preserve">n terms of catheter placement, conventional </w:t>
      </w:r>
      <w:r w:rsidR="00286A15" w:rsidRPr="007819DE">
        <w:rPr>
          <w:i/>
          <w:iCs/>
        </w:rPr>
        <w:t>transversus abdominis</w:t>
      </w:r>
      <w:r w:rsidR="00286A15" w:rsidRPr="007819DE">
        <w:t xml:space="preserve"> plane block and popliteal/distal sciatic nerve blocks are considered more technically challenging than other target nerves</w:t>
      </w:r>
      <w:r w:rsidR="002E4E00" w:rsidRPr="007819DE">
        <w:t xml:space="preserve"> (Huang </w:t>
      </w:r>
      <w:r w:rsidR="008E2DE3">
        <w:t xml:space="preserve">et al., </w:t>
      </w:r>
      <w:r w:rsidR="002E4E00" w:rsidRPr="007819DE">
        <w:t>2018)</w:t>
      </w:r>
      <w:r w:rsidR="00286A15" w:rsidRPr="007819DE">
        <w:t xml:space="preserve">. </w:t>
      </w:r>
      <w:r w:rsidR="00A5039A">
        <w:t>The applicant noted in the pre-PASC teleconference that anaesthetists have a learning curve in becoming adept at administering a continuous block as placing the catheter is more difficult tha</w:t>
      </w:r>
      <w:r w:rsidR="0020200C">
        <w:t>n</w:t>
      </w:r>
      <w:r w:rsidR="00A5039A">
        <w:t xml:space="preserve"> a</w:t>
      </w:r>
      <w:r w:rsidR="004976F2">
        <w:t xml:space="preserve"> single </w:t>
      </w:r>
      <w:r w:rsidR="00660219">
        <w:t xml:space="preserve">injection </w:t>
      </w:r>
      <w:r w:rsidR="004976F2">
        <w:t>nerve block</w:t>
      </w:r>
      <w:r w:rsidR="00A5039A">
        <w:t xml:space="preserve">. The applicant suggested a trained specialist should be able to achieve a failure rate of less than 5%. </w:t>
      </w:r>
    </w:p>
    <w:p w14:paraId="235A8B51" w14:textId="082911F6" w:rsidR="00944B79" w:rsidRDefault="00CE76BF" w:rsidP="00B73627">
      <w:pPr>
        <w:keepNext/>
      </w:pPr>
      <w:r w:rsidRPr="00944B79">
        <w:t>Prior to the procedure, patients will be anaesthetised or sedated as part of the surgical procedure</w:t>
      </w:r>
      <w:r w:rsidR="000815A1" w:rsidRPr="00944B79">
        <w:t>, including</w:t>
      </w:r>
      <w:r w:rsidR="00944B79" w:rsidRPr="00944B79">
        <w:t xml:space="preserve"> insertion of</w:t>
      </w:r>
      <w:r w:rsidRPr="00944B79">
        <w:t xml:space="preserve"> an IV cannula. </w:t>
      </w:r>
      <w:r w:rsidR="00944B79" w:rsidRPr="00944B79">
        <w:t>For monitoring and management of potential anaesthesia toxicity</w:t>
      </w:r>
      <w:r w:rsidR="00944B79">
        <w:t xml:space="preserve"> reactions, the ANZCA PG03(A) Guideline</w:t>
      </w:r>
      <w:r w:rsidR="00FF3CB8">
        <w:rPr>
          <w:rStyle w:val="FootnoteReference"/>
        </w:rPr>
        <w:footnoteReference w:id="3"/>
      </w:r>
      <w:r w:rsidR="00944B79">
        <w:t xml:space="preserve"> recommends:</w:t>
      </w:r>
    </w:p>
    <w:p w14:paraId="639F56CC" w14:textId="77777777" w:rsidR="00944B79" w:rsidRPr="00944B79" w:rsidRDefault="00944B79" w:rsidP="00944B79">
      <w:pPr>
        <w:ind w:left="567" w:right="934"/>
        <w:rPr>
          <w:i/>
          <w:iCs/>
        </w:rPr>
      </w:pPr>
      <w:r w:rsidRPr="00944B79">
        <w:rPr>
          <w:i/>
          <w:iCs/>
        </w:rPr>
        <w:t>“monitoring during establishment of major regional analgesia should include frequent and regular blood pressure measurement, respiratory rate, and conscious state evaluation. An electrocardiograph and pulse oximeter should be available. Oxygen should be administered in the presence of sedation. This level of monitoring should be continued for at least 30 minutes or until the patient’s vital signs are stable.”</w:t>
      </w:r>
    </w:p>
    <w:p w14:paraId="17AE38F8" w14:textId="4B84BA31" w:rsidR="008F4E86" w:rsidRDefault="00CB269F" w:rsidP="00C571C1">
      <w:r>
        <w:t>The patient will be f</w:t>
      </w:r>
      <w:r w:rsidR="00C115C0">
        <w:t>ollow</w:t>
      </w:r>
      <w:r>
        <w:t>ed-</w:t>
      </w:r>
      <w:r w:rsidR="00C115C0">
        <w:t xml:space="preserve">up post operatively to ensure </w:t>
      </w:r>
      <w:r w:rsidR="007C3A15">
        <w:t xml:space="preserve">the </w:t>
      </w:r>
      <w:r w:rsidR="00C115C0">
        <w:t xml:space="preserve">catheter </w:t>
      </w:r>
      <w:r w:rsidR="00F91BA9">
        <w:t>i</w:t>
      </w:r>
      <w:r w:rsidR="00F97997">
        <w:t>s</w:t>
      </w:r>
      <w:r w:rsidR="00F91BA9">
        <w:t xml:space="preserve"> functioning </w:t>
      </w:r>
      <w:r w:rsidR="003252A3">
        <w:t>effectively</w:t>
      </w:r>
      <w:r w:rsidR="00C115C0">
        <w:t xml:space="preserve">. </w:t>
      </w:r>
      <w:r w:rsidR="00A05CFB">
        <w:t>Trouble</w:t>
      </w:r>
      <w:r w:rsidR="00BA1828">
        <w:t xml:space="preserve"> shooting may involve manipulation or replacement of the </w:t>
      </w:r>
      <w:r w:rsidR="004E70C0" w:rsidRPr="00CE76BF">
        <w:t>catheter</w:t>
      </w:r>
      <w:r w:rsidR="00D834DF">
        <w:t xml:space="preserve"> </w:t>
      </w:r>
      <w:r w:rsidR="004E70C0">
        <w:t xml:space="preserve">if required. </w:t>
      </w:r>
    </w:p>
    <w:p w14:paraId="6AD24638" w14:textId="7753E1B5" w:rsidR="00D67F8D" w:rsidRPr="00C8588A" w:rsidRDefault="00D67F8D" w:rsidP="00C571C1">
      <w:pPr>
        <w:rPr>
          <w:i/>
          <w:iCs/>
        </w:rPr>
      </w:pPr>
      <w:r w:rsidRPr="00C8588A">
        <w:rPr>
          <w:i/>
          <w:iCs/>
        </w:rPr>
        <w:t>PASC noted that patient or next-of-kin consent</w:t>
      </w:r>
      <w:r w:rsidR="007906CB" w:rsidRPr="00C8588A">
        <w:rPr>
          <w:i/>
          <w:iCs/>
        </w:rPr>
        <w:t xml:space="preserve"> for the intervention</w:t>
      </w:r>
      <w:r w:rsidRPr="00C8588A">
        <w:rPr>
          <w:i/>
          <w:iCs/>
        </w:rPr>
        <w:t xml:space="preserve"> would be obtained</w:t>
      </w:r>
      <w:r w:rsidR="00E80DF4" w:rsidRPr="00C8588A">
        <w:rPr>
          <w:i/>
          <w:iCs/>
        </w:rPr>
        <w:t xml:space="preserve"> where required</w:t>
      </w:r>
      <w:r w:rsidRPr="00C8588A">
        <w:rPr>
          <w:i/>
          <w:iCs/>
        </w:rPr>
        <w:t xml:space="preserve"> in the same manner as would usually occur for surgery</w:t>
      </w:r>
      <w:r w:rsidR="00100E55" w:rsidRPr="00C8588A">
        <w:rPr>
          <w:i/>
          <w:iCs/>
        </w:rPr>
        <w:t>, whether it be a planned or emergency intervention</w:t>
      </w:r>
      <w:r w:rsidRPr="00C8588A">
        <w:rPr>
          <w:i/>
          <w:iCs/>
        </w:rPr>
        <w:t xml:space="preserve">. </w:t>
      </w:r>
      <w:r w:rsidR="00547822" w:rsidRPr="00C8588A">
        <w:rPr>
          <w:i/>
          <w:iCs/>
        </w:rPr>
        <w:t xml:space="preserve">In </w:t>
      </w:r>
      <w:r w:rsidR="00914A98" w:rsidRPr="00C8588A">
        <w:rPr>
          <w:i/>
          <w:iCs/>
        </w:rPr>
        <w:t>the event of an emergency where it is critical to act quickly</w:t>
      </w:r>
      <w:r w:rsidR="006B5996" w:rsidRPr="00C8588A">
        <w:rPr>
          <w:i/>
          <w:iCs/>
        </w:rPr>
        <w:t xml:space="preserve"> without obtaining consent</w:t>
      </w:r>
      <w:r w:rsidR="00914A98" w:rsidRPr="00C8588A">
        <w:rPr>
          <w:i/>
          <w:iCs/>
        </w:rPr>
        <w:t xml:space="preserve">, the usual </w:t>
      </w:r>
      <w:r w:rsidR="00A20AB6" w:rsidRPr="00C8588A">
        <w:rPr>
          <w:i/>
          <w:iCs/>
        </w:rPr>
        <w:t xml:space="preserve">procedures </w:t>
      </w:r>
      <w:r w:rsidR="00914A98" w:rsidRPr="00C8588A">
        <w:rPr>
          <w:i/>
          <w:iCs/>
        </w:rPr>
        <w:t>would be followed</w:t>
      </w:r>
      <w:r w:rsidR="006B5996" w:rsidRPr="00C8588A">
        <w:rPr>
          <w:i/>
          <w:iCs/>
        </w:rPr>
        <w:t>.</w:t>
      </w:r>
      <w:r w:rsidRPr="00C8588A">
        <w:rPr>
          <w:i/>
          <w:iCs/>
        </w:rPr>
        <w:t xml:space="preserve"> </w:t>
      </w:r>
    </w:p>
    <w:p w14:paraId="5137075E" w14:textId="77777777" w:rsidR="008911B6" w:rsidRDefault="008911B6" w:rsidP="008911B6">
      <w:bookmarkStart w:id="21" w:name="_Ref130207000"/>
      <w:r>
        <w:t xml:space="preserve">Post-anaesthesia care is provided for patients (in-patients and day patients) according to usual clinical practice, and as reflected in the ANZCA Position Statement PS04(A)BP (ANZCA 2020). This would include any follow-up required for ambulatory patients experiencing issues with the catheter at home. </w:t>
      </w:r>
    </w:p>
    <w:p w14:paraId="33950BED" w14:textId="15DD1D52" w:rsidR="008911B6" w:rsidRDefault="001A47CA" w:rsidP="008911B6">
      <w:r>
        <w:t>The applicant acknowledged that</w:t>
      </w:r>
      <w:r w:rsidR="00260CC6" w:rsidRPr="00260CC6">
        <w:t xml:space="preserve"> a consultation </w:t>
      </w:r>
      <w:r w:rsidR="00003E32">
        <w:t>may be</w:t>
      </w:r>
      <w:r w:rsidR="00260CC6" w:rsidRPr="00260CC6">
        <w:t xml:space="preserve"> required for a patient with a catheter nerve block </w:t>
      </w:r>
      <w:r>
        <w:t>(</w:t>
      </w:r>
      <w:r w:rsidR="00260CC6" w:rsidRPr="00260CC6">
        <w:t>either epidural or peripheral nerve)</w:t>
      </w:r>
      <w:r w:rsidR="00890AA5">
        <w:t xml:space="preserve"> as part of post-anaesthesia care</w:t>
      </w:r>
      <w:r w:rsidR="00260CC6" w:rsidRPr="00260CC6">
        <w:t xml:space="preserve">. This would be claimed under one of the MBS items for specialist in-patient consultations 18222, 18225 or </w:t>
      </w:r>
      <w:r w:rsidR="007E761E">
        <w:t>17640</w:t>
      </w:r>
      <w:r w:rsidR="00D92E1F">
        <w:t xml:space="preserve"> (prior to discharge)</w:t>
      </w:r>
      <w:r w:rsidR="007E761E">
        <w:t>.</w:t>
      </w:r>
    </w:p>
    <w:p w14:paraId="472291EA" w14:textId="53727ABB" w:rsidR="008911B6" w:rsidRDefault="008911B6" w:rsidP="008911B6">
      <w:pPr>
        <w:spacing w:after="240"/>
        <w:rPr>
          <w:iCs/>
        </w:rPr>
      </w:pPr>
      <w:r>
        <w:rPr>
          <w:iCs/>
        </w:rPr>
        <w:t>The applicant</w:t>
      </w:r>
      <w:r w:rsidR="00BF63BB">
        <w:rPr>
          <w:iCs/>
        </w:rPr>
        <w:t xml:space="preserve"> </w:t>
      </w:r>
      <w:r w:rsidR="001C578E">
        <w:rPr>
          <w:iCs/>
        </w:rPr>
        <w:t>explained that</w:t>
      </w:r>
      <w:r>
        <w:rPr>
          <w:iCs/>
        </w:rPr>
        <w:t xml:space="preserve"> a continuous nerve block would </w:t>
      </w:r>
      <w:r w:rsidR="00953044">
        <w:rPr>
          <w:iCs/>
        </w:rPr>
        <w:t xml:space="preserve">otherwise </w:t>
      </w:r>
      <w:r>
        <w:rPr>
          <w:iCs/>
        </w:rPr>
        <w:t>be managed with no additional costs</w:t>
      </w:r>
      <w:r w:rsidR="004C3F06">
        <w:rPr>
          <w:iCs/>
        </w:rPr>
        <w:t xml:space="preserve"> relating</w:t>
      </w:r>
      <w:r>
        <w:rPr>
          <w:iCs/>
        </w:rPr>
        <w:t xml:space="preserve"> to maintenance, monitoring or catheter removal.</w:t>
      </w:r>
    </w:p>
    <w:p w14:paraId="68C6CA90" w14:textId="1EAB7173" w:rsidR="003A03EB" w:rsidRDefault="003A03EB" w:rsidP="003A03EB">
      <w:pPr>
        <w:pStyle w:val="Heading4"/>
      </w:pPr>
      <w:bookmarkStart w:id="22" w:name="_Ref132977523"/>
      <w:r>
        <w:t>Duration and removal</w:t>
      </w:r>
      <w:bookmarkEnd w:id="21"/>
      <w:bookmarkEnd w:id="22"/>
    </w:p>
    <w:p w14:paraId="10ED1ADA" w14:textId="63792721" w:rsidR="009F0569" w:rsidRDefault="006A2634" w:rsidP="00C571C1">
      <w:r>
        <w:t xml:space="preserve">The applicant has proposed, broadly, two scenarios for the duration and removal of the catheter for the </w:t>
      </w:r>
      <w:r w:rsidR="00817F36">
        <w:t>continuous block. The block will be used for</w:t>
      </w:r>
      <w:r w:rsidR="0016547B">
        <w:t xml:space="preserve"> in-patients undergoing major surgery </w:t>
      </w:r>
      <w:r w:rsidR="009F0569">
        <w:t>or ambulatory patients being discharged following day surgery</w:t>
      </w:r>
      <w:r w:rsidR="007E2DB2">
        <w:t>. Under both scenarios the anaesthetist is responsible</w:t>
      </w:r>
      <w:r w:rsidR="00B25BD7">
        <w:t xml:space="preserve"> </w:t>
      </w:r>
      <w:r w:rsidR="00042649">
        <w:t xml:space="preserve">for </w:t>
      </w:r>
      <w:r w:rsidR="00B25BD7">
        <w:t>providing a plan for catheter removal</w:t>
      </w:r>
      <w:r w:rsidR="00042649">
        <w:t>:</w:t>
      </w:r>
    </w:p>
    <w:p w14:paraId="37D26D91" w14:textId="18F75E5A" w:rsidR="00817F36" w:rsidRDefault="006B075B" w:rsidP="009F2FC2">
      <w:pPr>
        <w:pStyle w:val="ListParagraph"/>
        <w:numPr>
          <w:ilvl w:val="0"/>
          <w:numId w:val="18"/>
        </w:numPr>
      </w:pPr>
      <w:r>
        <w:t xml:space="preserve">For in-patients, management, monitoring and removal of the catheter would be </w:t>
      </w:r>
      <w:r w:rsidR="00487919">
        <w:t xml:space="preserve">responsibility of </w:t>
      </w:r>
      <w:r>
        <w:t xml:space="preserve">the </w:t>
      </w:r>
      <w:r w:rsidR="003461E9">
        <w:t>nursing staff on the ward</w:t>
      </w:r>
      <w:r w:rsidR="00A75B03">
        <w:t xml:space="preserve"> as per standard practice</w:t>
      </w:r>
      <w:r w:rsidR="00136CCE">
        <w:t xml:space="preserve"> for post</w:t>
      </w:r>
      <w:r w:rsidR="00C01C10">
        <w:t>operative</w:t>
      </w:r>
      <w:r w:rsidR="00136CCE">
        <w:t xml:space="preserve"> care</w:t>
      </w:r>
      <w:r w:rsidR="00A63C9D">
        <w:t xml:space="preserve"> and the anaesthetist’s specific written instructions</w:t>
      </w:r>
      <w:r w:rsidR="003461E9">
        <w:t xml:space="preserve">. The duration will depend on the </w:t>
      </w:r>
      <w:r w:rsidR="00F85621">
        <w:t>surgical indication and patient prognosis.</w:t>
      </w:r>
      <w:r w:rsidR="003461E9">
        <w:t xml:space="preserve"> </w:t>
      </w:r>
      <w:r w:rsidR="00393F2E">
        <w:t xml:space="preserve">For the majority of patients, 3-5 days </w:t>
      </w:r>
      <w:r w:rsidR="00FF01BB">
        <w:t xml:space="preserve">prior to catheter removal </w:t>
      </w:r>
      <w:r w:rsidR="00393F2E">
        <w:t xml:space="preserve">would be </w:t>
      </w:r>
      <w:r w:rsidR="00493F37">
        <w:t>typical.</w:t>
      </w:r>
      <w:r w:rsidR="00310197">
        <w:t xml:space="preserve"> Use beyond </w:t>
      </w:r>
      <w:r w:rsidR="00B430B2">
        <w:t xml:space="preserve">seven </w:t>
      </w:r>
      <w:r w:rsidR="00B430B2">
        <w:lastRenderedPageBreak/>
        <w:t>days would be unusual as most patients would be adequately managed using simple analgesia.</w:t>
      </w:r>
      <w:r w:rsidR="00493F37">
        <w:t xml:space="preserve"> </w:t>
      </w:r>
      <w:r w:rsidR="003461E9">
        <w:t>I</w:t>
      </w:r>
      <w:r w:rsidR="0016547B">
        <w:t xml:space="preserve">n exceptional cases such as traumatic </w:t>
      </w:r>
      <w:r w:rsidR="00F85621">
        <w:t>amputation, the continuous block may remain in place for an extended period</w:t>
      </w:r>
      <w:r w:rsidR="00223724">
        <w:t xml:space="preserve"> (</w:t>
      </w:r>
      <w:r w:rsidR="00393F2E">
        <w:t>the applicant indicated</w:t>
      </w:r>
      <w:r w:rsidR="00223724">
        <w:t xml:space="preserve"> 30 days</w:t>
      </w:r>
      <w:r w:rsidR="00393F2E">
        <w:t xml:space="preserve"> </w:t>
      </w:r>
      <w:r w:rsidR="00FF01BB">
        <w:t>might</w:t>
      </w:r>
      <w:r w:rsidR="00393F2E">
        <w:t xml:space="preserve"> be reasonable</w:t>
      </w:r>
      <w:r w:rsidR="00493F37">
        <w:t xml:space="preserve"> in such a case</w:t>
      </w:r>
      <w:r w:rsidR="00A33339">
        <w:t xml:space="preserve">, subject to </w:t>
      </w:r>
      <w:r w:rsidR="00A33339" w:rsidRPr="00A33339">
        <w:t xml:space="preserve">risk/benefit assessment and consideration </w:t>
      </w:r>
      <w:r w:rsidR="00A33339">
        <w:t>of</w:t>
      </w:r>
      <w:r w:rsidR="00A33339" w:rsidRPr="00A33339">
        <w:t xml:space="preserve"> special catheter or other techniques</w:t>
      </w:r>
      <w:r w:rsidR="00393F2E">
        <w:t xml:space="preserve">). </w:t>
      </w:r>
    </w:p>
    <w:p w14:paraId="201250DB" w14:textId="62691E98" w:rsidR="006D30AB" w:rsidRDefault="00493F37" w:rsidP="009F2FC2">
      <w:pPr>
        <w:pStyle w:val="ListParagraph"/>
        <w:numPr>
          <w:ilvl w:val="0"/>
          <w:numId w:val="18"/>
        </w:numPr>
      </w:pPr>
      <w:r>
        <w:t>F</w:t>
      </w:r>
      <w:r w:rsidR="006A2634" w:rsidRPr="006A2634">
        <w:t>or ambulatory patients</w:t>
      </w:r>
      <w:r>
        <w:t>, the</w:t>
      </w:r>
      <w:r w:rsidR="00E815A2">
        <w:t xml:space="preserve"> usual</w:t>
      </w:r>
      <w:r>
        <w:t xml:space="preserve"> maximum time would be 72 hours</w:t>
      </w:r>
      <w:r w:rsidR="009F2FC2">
        <w:t xml:space="preserve"> post-surgery</w:t>
      </w:r>
      <w:r w:rsidR="00476032">
        <w:t xml:space="preserve"> prior to catheter removal</w:t>
      </w:r>
      <w:r w:rsidR="00C127CE" w:rsidRPr="00C127CE">
        <w:rPr>
          <w:i/>
          <w:iCs/>
        </w:rPr>
        <w:t xml:space="preserve">. </w:t>
      </w:r>
      <w:r w:rsidR="00476032">
        <w:t xml:space="preserve">The </w:t>
      </w:r>
      <w:r w:rsidR="006469C4">
        <w:t>duration</w:t>
      </w:r>
      <w:r w:rsidR="00A07813">
        <w:t xml:space="preserve"> would be</w:t>
      </w:r>
      <w:r w:rsidR="006E07E6">
        <w:t xml:space="preserve"> limited</w:t>
      </w:r>
      <w:r w:rsidR="00A07813">
        <w:t xml:space="preserve"> by the elastomeric pump </w:t>
      </w:r>
      <w:r w:rsidR="00470BFE">
        <w:t>fill volume</w:t>
      </w:r>
      <w:r w:rsidR="001274EE">
        <w:t xml:space="preserve"> (see </w:t>
      </w:r>
      <w:r w:rsidR="005D7D84">
        <w:t>‘</w:t>
      </w:r>
      <w:r w:rsidR="00292F76">
        <w:fldChar w:fldCharType="begin"/>
      </w:r>
      <w:r w:rsidR="00292F76">
        <w:instrText xml:space="preserve"> REF _Ref128742985 \h </w:instrText>
      </w:r>
      <w:r w:rsidR="00292F76">
        <w:fldChar w:fldCharType="separate"/>
      </w:r>
      <w:r w:rsidR="00B65CEE">
        <w:t xml:space="preserve">Device – </w:t>
      </w:r>
      <w:r w:rsidR="00B65CEE" w:rsidRPr="0079051B">
        <w:t>Local anaesthetic delivery device</w:t>
      </w:r>
      <w:r w:rsidR="00292F76">
        <w:fldChar w:fldCharType="end"/>
      </w:r>
      <w:r w:rsidR="005D7D84">
        <w:t>’</w:t>
      </w:r>
      <w:r w:rsidR="001274EE">
        <w:t>)</w:t>
      </w:r>
      <w:r w:rsidR="006A2634" w:rsidRPr="006A2634">
        <w:t>.</w:t>
      </w:r>
      <w:r w:rsidR="00470BFE">
        <w:t xml:space="preserve"> </w:t>
      </w:r>
      <w:r w:rsidR="00A6575D">
        <w:t xml:space="preserve">The applicant </w:t>
      </w:r>
      <w:r w:rsidR="00A833A6">
        <w:t>noted</w:t>
      </w:r>
      <w:r w:rsidR="00A6575D">
        <w:t xml:space="preserve"> </w:t>
      </w:r>
      <w:r w:rsidR="00B2262E">
        <w:t>that Australian</w:t>
      </w:r>
      <w:r w:rsidR="00A6575D">
        <w:t xml:space="preserve"> </w:t>
      </w:r>
      <w:r w:rsidR="00A833A6">
        <w:t xml:space="preserve">clinical </w:t>
      </w:r>
      <w:r w:rsidR="00A6575D">
        <w:t>experience indicated that patients had</w:t>
      </w:r>
      <w:r w:rsidR="005257E2">
        <w:t xml:space="preserve"> usually</w:t>
      </w:r>
      <w:r w:rsidR="00A6575D">
        <w:t xml:space="preserve"> transitioned to non-opioid oral analgesics (typically paracetamol) by 48 hours. </w:t>
      </w:r>
      <w:r w:rsidR="00B22E80" w:rsidRPr="00127191">
        <w:t>The applicant has proposed that patient</w:t>
      </w:r>
      <w:r w:rsidR="00B22E80">
        <w:t>s</w:t>
      </w:r>
      <w:r w:rsidR="00B22E80" w:rsidRPr="00127191">
        <w:t xml:space="preserve"> discharged with the catheter</w:t>
      </w:r>
      <w:r w:rsidR="00B22E80" w:rsidRPr="00A951FC">
        <w:rPr>
          <w:i/>
        </w:rPr>
        <w:t xml:space="preserve"> in situ</w:t>
      </w:r>
      <w:r w:rsidR="00B22E80" w:rsidRPr="00127191">
        <w:t xml:space="preserve"> will remove the catheter </w:t>
      </w:r>
      <w:r w:rsidR="001B00DC">
        <w:t>approximately</w:t>
      </w:r>
      <w:r w:rsidR="00B22E80" w:rsidRPr="00127191">
        <w:t xml:space="preserve"> </w:t>
      </w:r>
      <w:r w:rsidR="00B22E80">
        <w:t>72 hours</w:t>
      </w:r>
      <w:r w:rsidR="001B00DC">
        <w:t xml:space="preserve"> post-surgery</w:t>
      </w:r>
      <w:r w:rsidR="00B22E80">
        <w:t>,</w:t>
      </w:r>
      <w:r w:rsidR="00B22E80" w:rsidRPr="00127191">
        <w:t xml:space="preserve"> </w:t>
      </w:r>
      <w:r w:rsidR="00B22E80">
        <w:t>with instructions for removal provided by the anaesthetist prior to discharge (private patients seeing their specialist in private practice), or by the hospital pain management service (for private patients in public hospitals)</w:t>
      </w:r>
      <w:r w:rsidR="00B22E80" w:rsidRPr="00127191">
        <w:t>.</w:t>
      </w:r>
      <w:r w:rsidR="00AE4333">
        <w:t xml:space="preserve"> </w:t>
      </w:r>
      <w:r w:rsidR="00750C3A" w:rsidRPr="008911B6">
        <w:t xml:space="preserve">The </w:t>
      </w:r>
      <w:r w:rsidR="00750C3A">
        <w:t>applicant advised that for ambulatory patients, the a</w:t>
      </w:r>
      <w:r w:rsidR="00750C3A" w:rsidRPr="008911B6">
        <w:t>naesthetist, in conjunction with the surgeon and hospital, would have a care pathway for post</w:t>
      </w:r>
      <w:r w:rsidR="00750C3A">
        <w:t>-</w:t>
      </w:r>
      <w:r w:rsidR="00750C3A" w:rsidRPr="008911B6">
        <w:t>discharge catheter management, the same as exists for any issues that arise post</w:t>
      </w:r>
      <w:r w:rsidR="00750C3A">
        <w:t>-</w:t>
      </w:r>
      <w:r w:rsidR="00750C3A" w:rsidRPr="008911B6">
        <w:t xml:space="preserve">discharge after a procedure. </w:t>
      </w:r>
    </w:p>
    <w:p w14:paraId="724088D3" w14:textId="77777777" w:rsidR="00A23E84" w:rsidRDefault="0089308B" w:rsidP="00C571C1">
      <w:r w:rsidRPr="0089308B">
        <w:t>ANZCA Guideline PG03 for the management of major regional anaesthesia</w:t>
      </w:r>
      <w:r>
        <w:t xml:space="preserve"> states</w:t>
      </w:r>
      <w:r w:rsidRPr="0089308B">
        <w:t xml:space="preserve">: </w:t>
      </w:r>
    </w:p>
    <w:p w14:paraId="69BBA442" w14:textId="3E919651" w:rsidR="002E7A9E" w:rsidRPr="00B22E80" w:rsidRDefault="0089308B" w:rsidP="00A23E84">
      <w:pPr>
        <w:ind w:left="709" w:right="792"/>
        <w:rPr>
          <w:i/>
          <w:iCs/>
        </w:rPr>
      </w:pPr>
      <w:r w:rsidRPr="00B22E80">
        <w:rPr>
          <w:i/>
          <w:iCs/>
        </w:rPr>
        <w:t xml:space="preserve">"A registered nurse, midwife, or other staff member, with the necessary training, may remove the catheter on the orders of the proceduralist. Details of the removal of the catheter, the date, time, and state of the catheter and its tip, as well as the state of the insertion site, should be documented in the patient’s record." </w:t>
      </w:r>
    </w:p>
    <w:p w14:paraId="7EAAAA78" w14:textId="77777777" w:rsidR="00934B6A" w:rsidRDefault="00BE6D0B" w:rsidP="00C571C1">
      <w:r>
        <w:t>Patient self-removal, even with the supervision of a</w:t>
      </w:r>
      <w:r w:rsidR="007D462D">
        <w:t xml:space="preserve"> </w:t>
      </w:r>
      <w:r>
        <w:t xml:space="preserve">nurse </w:t>
      </w:r>
      <w:r w:rsidR="007D462D">
        <w:t xml:space="preserve">from the outpatient unit or pain clinic </w:t>
      </w:r>
      <w:r>
        <w:t xml:space="preserve">over the phone, </w:t>
      </w:r>
      <w:r w:rsidR="003A03EB">
        <w:t xml:space="preserve">is not reflected in </w:t>
      </w:r>
      <w:r w:rsidR="00F06FD4">
        <w:t>this</w:t>
      </w:r>
      <w:r w:rsidR="003A03EB">
        <w:t xml:space="preserve"> current guideline.</w:t>
      </w:r>
      <w:r w:rsidR="003A03EB" w:rsidRPr="00D7089B">
        <w:rPr>
          <w:i/>
          <w:iCs/>
        </w:rPr>
        <w:t xml:space="preserve"> </w:t>
      </w:r>
      <w:r w:rsidR="006620E1" w:rsidRPr="00B36BE7">
        <w:t xml:space="preserve">Although the applicant has </w:t>
      </w:r>
      <w:r w:rsidR="005E74D0" w:rsidRPr="00B36BE7">
        <w:t>indicated</w:t>
      </w:r>
      <w:r w:rsidR="006620E1" w:rsidRPr="00B36BE7">
        <w:t xml:space="preserve"> that the </w:t>
      </w:r>
      <w:r w:rsidR="005E74D0" w:rsidRPr="00B36BE7">
        <w:t xml:space="preserve">patients can </w:t>
      </w:r>
      <w:r w:rsidR="001F3F53" w:rsidRPr="00B36BE7">
        <w:t>be discharged and managed at home (in the experience of at least one NSW hospital)</w:t>
      </w:r>
      <w:r w:rsidR="00793665" w:rsidRPr="00B36BE7">
        <w:t>,</w:t>
      </w:r>
      <w:r w:rsidR="001F3F53" w:rsidRPr="00B36BE7">
        <w:t xml:space="preserve"> this </w:t>
      </w:r>
      <w:r w:rsidR="001F45C8" w:rsidRPr="00B36BE7">
        <w:t>is not reflected in any supporting materials such as ANZCA guidelines</w:t>
      </w:r>
      <w:r w:rsidR="00492787">
        <w:t>,</w:t>
      </w:r>
      <w:r w:rsidR="00E128D1" w:rsidRPr="00B36BE7">
        <w:t xml:space="preserve"> nor is there any indication that the </w:t>
      </w:r>
      <w:r w:rsidR="00D157DB" w:rsidRPr="00B36BE7">
        <w:t xml:space="preserve">ANZCA </w:t>
      </w:r>
      <w:r w:rsidR="00D7089B" w:rsidRPr="00B36BE7">
        <w:t xml:space="preserve">advanced </w:t>
      </w:r>
      <w:r w:rsidR="00D157DB" w:rsidRPr="00B36BE7">
        <w:t>training offered for regional anaesthesia would include how to manage these patients.</w:t>
      </w:r>
    </w:p>
    <w:p w14:paraId="2942545F" w14:textId="698AC2DF" w:rsidR="00EC5589" w:rsidRDefault="00781FBA" w:rsidP="00C571C1">
      <w:r>
        <w:t>According to the applicant, t</w:t>
      </w:r>
      <w:r w:rsidR="00A83024">
        <w:t xml:space="preserve">he absence of </w:t>
      </w:r>
      <w:r w:rsidR="6BBAE939">
        <w:t xml:space="preserve">Australian </w:t>
      </w:r>
      <w:r w:rsidR="00A83024">
        <w:t xml:space="preserve">guidelines </w:t>
      </w:r>
      <w:r w:rsidR="009D144C">
        <w:t xml:space="preserve">post-discharge is because this intervention </w:t>
      </w:r>
      <w:r w:rsidR="00A83024">
        <w:t xml:space="preserve">reflects </w:t>
      </w:r>
      <w:r w:rsidR="009D144C">
        <w:t xml:space="preserve">a </w:t>
      </w:r>
      <w:r w:rsidR="00A83024">
        <w:t xml:space="preserve">relatively new approach. The practice of self-removal </w:t>
      </w:r>
      <w:r w:rsidR="00CF3574">
        <w:t xml:space="preserve">of indwelling catheters </w:t>
      </w:r>
      <w:r w:rsidR="00A83024">
        <w:t>is common practice in the USA</w:t>
      </w:r>
      <w:r w:rsidR="0049751F">
        <w:t xml:space="preserve">. </w:t>
      </w:r>
      <w:r w:rsidR="0049751F" w:rsidRPr="00DA494D">
        <w:rPr>
          <w:i/>
          <w:iCs/>
        </w:rPr>
        <w:t xml:space="preserve">PASC noted that the </w:t>
      </w:r>
      <w:r w:rsidR="005B1070" w:rsidRPr="00DA494D">
        <w:rPr>
          <w:i/>
          <w:iCs/>
        </w:rPr>
        <w:t xml:space="preserve">applicant’s clinical expert claimed that </w:t>
      </w:r>
      <w:r w:rsidR="00516275" w:rsidRPr="00DA494D">
        <w:rPr>
          <w:i/>
          <w:iCs/>
        </w:rPr>
        <w:t>removal</w:t>
      </w:r>
      <w:r w:rsidR="006B569B" w:rsidRPr="00DA494D">
        <w:rPr>
          <w:i/>
          <w:iCs/>
        </w:rPr>
        <w:t xml:space="preserve"> of the catheter by the patient or their carer</w:t>
      </w:r>
      <w:r w:rsidR="005B1070" w:rsidRPr="00DA494D">
        <w:rPr>
          <w:i/>
          <w:iCs/>
        </w:rPr>
        <w:t xml:space="preserve"> is </w:t>
      </w:r>
      <w:r w:rsidR="006B569B" w:rsidRPr="00DA494D">
        <w:rPr>
          <w:i/>
          <w:iCs/>
        </w:rPr>
        <w:t xml:space="preserve">frequently </w:t>
      </w:r>
      <w:r w:rsidR="005B1070" w:rsidRPr="00DA494D">
        <w:rPr>
          <w:i/>
          <w:iCs/>
        </w:rPr>
        <w:t>used in some</w:t>
      </w:r>
      <w:r w:rsidR="72217F9D" w:rsidRPr="00DA494D">
        <w:rPr>
          <w:i/>
          <w:iCs/>
        </w:rPr>
        <w:t xml:space="preserve"> hospitals</w:t>
      </w:r>
      <w:r w:rsidR="005B1070" w:rsidRPr="00DA494D">
        <w:rPr>
          <w:i/>
          <w:iCs/>
        </w:rPr>
        <w:t xml:space="preserve"> </w:t>
      </w:r>
      <w:r w:rsidR="683D2A3E" w:rsidRPr="00DA494D">
        <w:rPr>
          <w:i/>
          <w:iCs/>
        </w:rPr>
        <w:t>with</w:t>
      </w:r>
      <w:r w:rsidR="00A83024" w:rsidRPr="00DA494D">
        <w:rPr>
          <w:i/>
          <w:iCs/>
        </w:rPr>
        <w:t>in Australia</w:t>
      </w:r>
      <w:r w:rsidR="3CD5BF5E" w:rsidRPr="00DA494D">
        <w:rPr>
          <w:i/>
          <w:iCs/>
        </w:rPr>
        <w:t>.</w:t>
      </w:r>
      <w:r w:rsidR="00A83024">
        <w:t xml:space="preserve"> The </w:t>
      </w:r>
      <w:r w:rsidR="00240E11">
        <w:t>self-</w:t>
      </w:r>
      <w:r w:rsidR="00A83024">
        <w:t xml:space="preserve">removal of (for example) surgical drains at home happens with some day surgical procedures. </w:t>
      </w:r>
      <w:r w:rsidR="00483293">
        <w:t xml:space="preserve">The applicant also advised that in their current model of care </w:t>
      </w:r>
      <w:r w:rsidR="00613218">
        <w:t>for</w:t>
      </w:r>
      <w:r w:rsidR="00483293">
        <w:t xml:space="preserve"> removal of catheters</w:t>
      </w:r>
      <w:r w:rsidR="009B4C08">
        <w:t xml:space="preserve"> that they</w:t>
      </w:r>
      <w:r w:rsidR="00A83024">
        <w:t xml:space="preserve"> ensure that the patient </w:t>
      </w:r>
      <w:r w:rsidR="009B4C08">
        <w:t>has</w:t>
      </w:r>
      <w:r w:rsidR="00E01479">
        <w:t xml:space="preserve"> </w:t>
      </w:r>
      <w:r w:rsidR="00A83024">
        <w:t>a reliable point of contact should there be any difficulties post-discharge.</w:t>
      </w:r>
    </w:p>
    <w:p w14:paraId="3B860F50" w14:textId="4B2490A6" w:rsidR="007D5BA0" w:rsidRDefault="007D5BA0" w:rsidP="00C571C1">
      <w:r>
        <w:t xml:space="preserve">Following removal of the </w:t>
      </w:r>
      <w:r w:rsidR="00D80549">
        <w:t>catheter</w:t>
      </w:r>
      <w:r>
        <w:t xml:space="preserve"> </w:t>
      </w:r>
      <w:r w:rsidR="007E709C">
        <w:t xml:space="preserve">it is proposed that </w:t>
      </w:r>
      <w:r>
        <w:t>the patient would</w:t>
      </w:r>
      <w:r w:rsidR="001B077E">
        <w:t xml:space="preserve"> </w:t>
      </w:r>
      <w:r w:rsidR="00ED417A">
        <w:t>generally</w:t>
      </w:r>
      <w:r>
        <w:t xml:space="preserve"> be transitioned to </w:t>
      </w:r>
      <w:r w:rsidR="002B3D7A" w:rsidRPr="009101C3">
        <w:t>non-opioid oral analgesics</w:t>
      </w:r>
      <w:r>
        <w:t xml:space="preserve"> for pain management</w:t>
      </w:r>
      <w:r w:rsidR="007E709C">
        <w:t xml:space="preserve"> as required</w:t>
      </w:r>
      <w:r>
        <w:t>.</w:t>
      </w:r>
    </w:p>
    <w:p w14:paraId="4AC3974E" w14:textId="466376F9" w:rsidR="00D36BDE" w:rsidRDefault="00D36BDE" w:rsidP="004A3AD4">
      <w:pPr>
        <w:pStyle w:val="Heading4"/>
      </w:pPr>
      <w:r>
        <w:t>Associated</w:t>
      </w:r>
      <w:r w:rsidR="009E6556">
        <w:t xml:space="preserve"> equipment</w:t>
      </w:r>
    </w:p>
    <w:p w14:paraId="6F6486B4" w14:textId="70350F88" w:rsidR="00D32FDF" w:rsidRDefault="001341F1" w:rsidP="001341F1">
      <w:r>
        <w:t xml:space="preserve">A list of equipment used for administering the proposed item is in </w:t>
      </w:r>
      <w:r>
        <w:fldChar w:fldCharType="begin"/>
      </w:r>
      <w:r>
        <w:instrText xml:space="preserve"> REF _Ref128054483 \h </w:instrText>
      </w:r>
      <w:r>
        <w:fldChar w:fldCharType="separate"/>
      </w:r>
      <w:r w:rsidR="00B65CEE" w:rsidRPr="00BB2E4B">
        <w:t>Table </w:t>
      </w:r>
      <w:r w:rsidR="00B65CEE">
        <w:rPr>
          <w:noProof/>
        </w:rPr>
        <w:t>11</w:t>
      </w:r>
      <w:r>
        <w:fldChar w:fldCharType="end"/>
      </w:r>
      <w:r w:rsidR="00D32FDF">
        <w:t>. The list i</w:t>
      </w:r>
      <w:r w:rsidR="00D97AB8">
        <w:t>nclud</w:t>
      </w:r>
      <w:r w:rsidR="00D32FDF">
        <w:t>es:</w:t>
      </w:r>
    </w:p>
    <w:p w14:paraId="0E0FE8D4" w14:textId="3950A00C" w:rsidR="00D32FDF" w:rsidRDefault="00793665" w:rsidP="00E91007">
      <w:pPr>
        <w:pStyle w:val="ListParagraph"/>
        <w:numPr>
          <w:ilvl w:val="0"/>
          <w:numId w:val="26"/>
        </w:numPr>
      </w:pPr>
      <w:r>
        <w:t>t</w:t>
      </w:r>
      <w:r w:rsidR="00D97AB8">
        <w:t xml:space="preserve">he corresponding </w:t>
      </w:r>
      <w:r w:rsidRPr="008F223A">
        <w:t>Global Medical Device Nomenclature</w:t>
      </w:r>
      <w:r>
        <w:t xml:space="preserve"> (</w:t>
      </w:r>
      <w:r w:rsidR="00D97AB8">
        <w:t>GMDN</w:t>
      </w:r>
      <w:r>
        <w:t>)</w:t>
      </w:r>
      <w:r w:rsidR="00D97AB8">
        <w:t xml:space="preserve"> codes</w:t>
      </w:r>
      <w:r w:rsidR="00F77F4C">
        <w:t xml:space="preserve"> (not an exhaustive list)</w:t>
      </w:r>
      <w:r>
        <w:t>;</w:t>
      </w:r>
    </w:p>
    <w:p w14:paraId="17449EDD" w14:textId="1BF53871" w:rsidR="00E91007" w:rsidRDefault="00793665" w:rsidP="00E91007">
      <w:pPr>
        <w:pStyle w:val="ListParagraph"/>
        <w:numPr>
          <w:ilvl w:val="0"/>
          <w:numId w:val="26"/>
        </w:numPr>
      </w:pPr>
      <w:r>
        <w:t>t</w:t>
      </w:r>
      <w:r w:rsidR="00D97AB8">
        <w:t xml:space="preserve">he number of </w:t>
      </w:r>
      <w:r w:rsidR="008F223A">
        <w:t>devices currently registered on the ARTG for each GMDN</w:t>
      </w:r>
      <w:r>
        <w:t>; and</w:t>
      </w:r>
    </w:p>
    <w:p w14:paraId="48DB277C" w14:textId="298305A8" w:rsidR="00E91007" w:rsidRDefault="00793665" w:rsidP="00E91007">
      <w:pPr>
        <w:pStyle w:val="ListParagraph"/>
        <w:numPr>
          <w:ilvl w:val="0"/>
          <w:numId w:val="26"/>
        </w:numPr>
      </w:pPr>
      <w:r>
        <w:t>o</w:t>
      </w:r>
      <w:r w:rsidR="00E91007">
        <w:t>ne exemplar ARTG number for each GMDN</w:t>
      </w:r>
      <w:r>
        <w:t>.</w:t>
      </w:r>
    </w:p>
    <w:p w14:paraId="31750BA7" w14:textId="5C642154" w:rsidR="001341F1" w:rsidRPr="00741017" w:rsidRDefault="00272626" w:rsidP="001341F1">
      <w:r>
        <w:t xml:space="preserve">The </w:t>
      </w:r>
      <w:r w:rsidR="00EC18EA">
        <w:t xml:space="preserve">catheter / catheter kit for the continuous block is </w:t>
      </w:r>
      <w:r w:rsidR="00F6297F">
        <w:t>similar to that which</w:t>
      </w:r>
      <w:r w:rsidR="006937ED">
        <w:t xml:space="preserve"> would </w:t>
      </w:r>
      <w:r w:rsidR="008F223A">
        <w:t>be</w:t>
      </w:r>
      <w:r w:rsidR="00EC18EA">
        <w:t xml:space="preserve"> used for a </w:t>
      </w:r>
      <w:r w:rsidR="008F223A">
        <w:t xml:space="preserve">continuous </w:t>
      </w:r>
      <w:r w:rsidR="00EC18EA">
        <w:t>epidural</w:t>
      </w:r>
      <w:r w:rsidR="00E91007">
        <w:t xml:space="preserve"> block</w:t>
      </w:r>
      <w:r w:rsidR="00EC18EA">
        <w:t xml:space="preserve">. </w:t>
      </w:r>
      <w:r w:rsidR="00034FBD" w:rsidRPr="009B7F2E">
        <w:t>I</w:t>
      </w:r>
      <w:r w:rsidR="005022EA" w:rsidRPr="009B7F2E">
        <w:t xml:space="preserve">t was not clear </w:t>
      </w:r>
      <w:r w:rsidR="00B6336C">
        <w:t xml:space="preserve">if </w:t>
      </w:r>
      <w:r w:rsidR="00E31BBF">
        <w:t xml:space="preserve">any of </w:t>
      </w:r>
      <w:r w:rsidR="005022EA" w:rsidRPr="009B7F2E">
        <w:t xml:space="preserve">the </w:t>
      </w:r>
      <w:r w:rsidR="00187AB5" w:rsidRPr="009B7F2E">
        <w:t xml:space="preserve">single use </w:t>
      </w:r>
      <w:r w:rsidR="005022EA" w:rsidRPr="009B7F2E">
        <w:t xml:space="preserve">elastomeric pumps currently on the market </w:t>
      </w:r>
      <w:r w:rsidR="00BA7426" w:rsidRPr="009B7F2E">
        <w:t>include a PCRA</w:t>
      </w:r>
      <w:r w:rsidR="005022EA" w:rsidRPr="00741017">
        <w:t xml:space="preserve">. </w:t>
      </w:r>
      <w:r w:rsidR="00B6336C" w:rsidRPr="00741017">
        <w:t>The ARTG item number</w:t>
      </w:r>
      <w:r w:rsidR="00D57C7A" w:rsidRPr="00741017">
        <w:t>(</w:t>
      </w:r>
      <w:r w:rsidR="00B6336C" w:rsidRPr="00741017">
        <w:t>s</w:t>
      </w:r>
      <w:r w:rsidR="00D57C7A" w:rsidRPr="00741017">
        <w:t>)</w:t>
      </w:r>
      <w:r w:rsidR="00B6336C" w:rsidRPr="00741017">
        <w:t xml:space="preserve"> for the PCRA device remains outstanding</w:t>
      </w:r>
      <w:r w:rsidR="004322D8" w:rsidRPr="00741017">
        <w:t>.</w:t>
      </w:r>
      <w:r w:rsidR="004322D8">
        <w:rPr>
          <w:i/>
          <w:iCs/>
        </w:rPr>
        <w:t xml:space="preserve"> </w:t>
      </w:r>
    </w:p>
    <w:p w14:paraId="416D0E9F" w14:textId="525D026E" w:rsidR="001341F1" w:rsidRPr="00BB2E4B" w:rsidRDefault="001341F1" w:rsidP="001341F1">
      <w:pPr>
        <w:pStyle w:val="TableHeading"/>
      </w:pPr>
      <w:bookmarkStart w:id="23" w:name="_Ref128054483"/>
      <w:r w:rsidRPr="00BB2E4B">
        <w:lastRenderedPageBreak/>
        <w:t>Table </w:t>
      </w:r>
      <w:r>
        <w:fldChar w:fldCharType="begin"/>
      </w:r>
      <w:r>
        <w:instrText>SEQ Table \* ARABIC</w:instrText>
      </w:r>
      <w:r>
        <w:fldChar w:fldCharType="separate"/>
      </w:r>
      <w:r w:rsidR="00B65CEE">
        <w:rPr>
          <w:noProof/>
        </w:rPr>
        <w:t>11</w:t>
      </w:r>
      <w:r>
        <w:fldChar w:fldCharType="end"/>
      </w:r>
      <w:bookmarkEnd w:id="23"/>
      <w:r w:rsidRPr="00BB2E4B">
        <w:tab/>
        <w:t xml:space="preserve">List of </w:t>
      </w:r>
      <w:r>
        <w:t>equipment for administering a continuous nerve block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List of equipment for administering a continuous nerve block"/>
        <w:tblDescription w:val="The table lists the equipmet required to administer the proposed service."/>
      </w:tblPr>
      <w:tblGrid>
        <w:gridCol w:w="2972"/>
        <w:gridCol w:w="4962"/>
        <w:gridCol w:w="1637"/>
      </w:tblGrid>
      <w:tr w:rsidR="0039282B" w:rsidRPr="00D4073D" w14:paraId="59634CF6" w14:textId="77777777" w:rsidTr="000641FF">
        <w:trPr>
          <w:tblHeader/>
        </w:trPr>
        <w:tc>
          <w:tcPr>
            <w:tcW w:w="1553" w:type="pct"/>
            <w:tcBorders>
              <w:bottom w:val="single" w:sz="4" w:space="0" w:color="auto"/>
            </w:tcBorders>
          </w:tcPr>
          <w:p w14:paraId="0FD6C63A" w14:textId="546A4F7F" w:rsidR="00034FBD" w:rsidRPr="00D4073D" w:rsidRDefault="0039282B" w:rsidP="00F60C5F">
            <w:pPr>
              <w:pStyle w:val="TableHeading"/>
              <w:ind w:right="-57"/>
            </w:pPr>
            <w:r w:rsidRPr="00D4073D">
              <w:t>Item</w:t>
            </w:r>
          </w:p>
        </w:tc>
        <w:tc>
          <w:tcPr>
            <w:tcW w:w="2592" w:type="pct"/>
            <w:tcBorders>
              <w:bottom w:val="single" w:sz="4" w:space="0" w:color="auto"/>
            </w:tcBorders>
          </w:tcPr>
          <w:p w14:paraId="0F4F9F01" w14:textId="185B80B1" w:rsidR="0039282B" w:rsidRPr="00DB2FCF" w:rsidRDefault="0039282B" w:rsidP="00F60C5F">
            <w:pPr>
              <w:pStyle w:val="TableHeading"/>
              <w:ind w:left="-57" w:right="-57"/>
            </w:pPr>
            <w:r>
              <w:t>GMDN</w:t>
            </w:r>
            <w:r w:rsidR="00020CCD">
              <w:t xml:space="preserve"> (# </w:t>
            </w:r>
            <w:r w:rsidR="004C318C">
              <w:t xml:space="preserve">ARTG </w:t>
            </w:r>
            <w:r w:rsidR="00020CCD">
              <w:t>entries under this code)</w:t>
            </w:r>
          </w:p>
        </w:tc>
        <w:tc>
          <w:tcPr>
            <w:tcW w:w="855" w:type="pct"/>
            <w:tcBorders>
              <w:bottom w:val="single" w:sz="4" w:space="0" w:color="auto"/>
            </w:tcBorders>
          </w:tcPr>
          <w:p w14:paraId="3D7F5817" w14:textId="24C3BA82" w:rsidR="0039282B" w:rsidRPr="00DB2FCF" w:rsidRDefault="0039282B" w:rsidP="00F60C5F">
            <w:pPr>
              <w:pStyle w:val="TableHeading"/>
              <w:ind w:left="-57" w:right="-57"/>
            </w:pPr>
            <w:r w:rsidRPr="00DB2FCF">
              <w:t>ARTG Example</w:t>
            </w:r>
          </w:p>
        </w:tc>
      </w:tr>
      <w:tr w:rsidR="00885F1C" w:rsidRPr="00885F1C" w14:paraId="0F65E0AC" w14:textId="77777777" w:rsidTr="000641FF">
        <w:tc>
          <w:tcPr>
            <w:tcW w:w="1553" w:type="pct"/>
            <w:shd w:val="clear" w:color="auto" w:fill="000000" w:themeFill="text1"/>
            <w:vAlign w:val="center"/>
          </w:tcPr>
          <w:p w14:paraId="09DF6379" w14:textId="79685678" w:rsidR="00885F1C" w:rsidRPr="00885F1C" w:rsidRDefault="0047746B" w:rsidP="00F60C5F">
            <w:pPr>
              <w:pStyle w:val="TableText0"/>
              <w:keepNext/>
              <w:spacing w:before="0"/>
              <w:ind w:left="-57" w:right="-57"/>
              <w:contextualSpacing/>
              <w:rPr>
                <w:b/>
                <w:bCs/>
              </w:rPr>
            </w:pPr>
            <w:r>
              <w:rPr>
                <w:b/>
                <w:bCs/>
              </w:rPr>
              <w:t>Electrical / machine devices</w:t>
            </w:r>
          </w:p>
        </w:tc>
        <w:tc>
          <w:tcPr>
            <w:tcW w:w="2592" w:type="pct"/>
            <w:tcBorders>
              <w:bottom w:val="single" w:sz="4" w:space="0" w:color="auto"/>
            </w:tcBorders>
            <w:shd w:val="clear" w:color="auto" w:fill="000000" w:themeFill="text1"/>
            <w:vAlign w:val="center"/>
          </w:tcPr>
          <w:p w14:paraId="59F7CA99" w14:textId="77777777" w:rsidR="00885F1C" w:rsidRPr="00885F1C" w:rsidRDefault="00885F1C" w:rsidP="00F60C5F">
            <w:pPr>
              <w:pStyle w:val="TableText0"/>
              <w:keepNext/>
              <w:spacing w:before="0"/>
              <w:ind w:left="-57" w:right="-57"/>
              <w:contextualSpacing/>
              <w:rPr>
                <w:b/>
                <w:bCs/>
              </w:rPr>
            </w:pPr>
          </w:p>
        </w:tc>
        <w:tc>
          <w:tcPr>
            <w:tcW w:w="855" w:type="pct"/>
            <w:tcBorders>
              <w:bottom w:val="single" w:sz="4" w:space="0" w:color="auto"/>
            </w:tcBorders>
            <w:shd w:val="clear" w:color="auto" w:fill="000000" w:themeFill="text1"/>
            <w:vAlign w:val="center"/>
          </w:tcPr>
          <w:p w14:paraId="1224232B" w14:textId="77777777" w:rsidR="00885F1C" w:rsidRPr="00885F1C" w:rsidRDefault="00885F1C" w:rsidP="00F60C5F">
            <w:pPr>
              <w:pStyle w:val="TableText0"/>
              <w:keepNext/>
              <w:spacing w:before="0"/>
              <w:ind w:left="-57" w:right="-57"/>
              <w:contextualSpacing/>
              <w:rPr>
                <w:b/>
                <w:bCs/>
              </w:rPr>
            </w:pPr>
          </w:p>
        </w:tc>
      </w:tr>
      <w:tr w:rsidR="004121E4" w:rsidRPr="00490FBB" w14:paraId="317B484D" w14:textId="77777777" w:rsidTr="000641FF">
        <w:tc>
          <w:tcPr>
            <w:tcW w:w="1553" w:type="pct"/>
            <w:vMerge w:val="restart"/>
            <w:vAlign w:val="center"/>
          </w:tcPr>
          <w:p w14:paraId="518C54B4" w14:textId="0824995C" w:rsidR="004121E4" w:rsidRDefault="004121E4" w:rsidP="00043DEC">
            <w:pPr>
              <w:pStyle w:val="TableText0"/>
              <w:ind w:left="-57" w:right="-57"/>
              <w:contextualSpacing/>
            </w:pPr>
            <w:r>
              <w:t>Ultrasound device (ultrasound machine and probe, not including software)</w:t>
            </w:r>
          </w:p>
        </w:tc>
        <w:tc>
          <w:tcPr>
            <w:tcW w:w="2592" w:type="pct"/>
            <w:tcBorders>
              <w:bottom w:val="nil"/>
            </w:tcBorders>
            <w:vAlign w:val="center"/>
          </w:tcPr>
          <w:p w14:paraId="78AB13C2" w14:textId="29E2DFA6" w:rsidR="004121E4" w:rsidRPr="00DB2FCF" w:rsidRDefault="004121E4" w:rsidP="00043DEC">
            <w:pPr>
              <w:pStyle w:val="TableText0"/>
              <w:spacing w:before="0"/>
              <w:ind w:left="-57" w:right="-113"/>
              <w:contextualSpacing/>
            </w:pPr>
            <w:r w:rsidRPr="006B6D3F">
              <w:t>40761 - Ultrasound system, imaging, general-purpose</w:t>
            </w:r>
            <w:r>
              <w:t xml:space="preserve"> (76)</w:t>
            </w:r>
          </w:p>
        </w:tc>
        <w:tc>
          <w:tcPr>
            <w:tcW w:w="855" w:type="pct"/>
            <w:tcBorders>
              <w:bottom w:val="nil"/>
            </w:tcBorders>
            <w:vAlign w:val="center"/>
          </w:tcPr>
          <w:p w14:paraId="0F9A6758" w14:textId="3CAF522C" w:rsidR="004121E4" w:rsidRPr="00DB2FCF" w:rsidRDefault="004121E4" w:rsidP="00043DEC">
            <w:pPr>
              <w:pStyle w:val="TableText0"/>
              <w:spacing w:before="0"/>
              <w:ind w:left="-57" w:right="-57"/>
              <w:contextualSpacing/>
            </w:pPr>
            <w:r w:rsidRPr="00DB2FCF">
              <w:t>292801</w:t>
            </w:r>
          </w:p>
        </w:tc>
      </w:tr>
      <w:tr w:rsidR="004121E4" w:rsidRPr="00490FBB" w14:paraId="1DFDE745" w14:textId="77777777" w:rsidTr="000641FF">
        <w:tc>
          <w:tcPr>
            <w:tcW w:w="1553" w:type="pct"/>
            <w:vMerge/>
            <w:tcBorders>
              <w:bottom w:val="single" w:sz="4" w:space="0" w:color="auto"/>
            </w:tcBorders>
            <w:vAlign w:val="center"/>
          </w:tcPr>
          <w:p w14:paraId="26744D85" w14:textId="77777777" w:rsidR="004121E4" w:rsidRDefault="004121E4" w:rsidP="00043DEC">
            <w:pPr>
              <w:pStyle w:val="TableText0"/>
              <w:ind w:left="-57" w:right="-57"/>
              <w:contextualSpacing/>
            </w:pPr>
          </w:p>
        </w:tc>
        <w:tc>
          <w:tcPr>
            <w:tcW w:w="2592" w:type="pct"/>
            <w:tcBorders>
              <w:top w:val="nil"/>
              <w:bottom w:val="single" w:sz="4" w:space="0" w:color="auto"/>
            </w:tcBorders>
            <w:vAlign w:val="center"/>
          </w:tcPr>
          <w:p w14:paraId="56CEA462" w14:textId="28641763" w:rsidR="004121E4" w:rsidRPr="006B6D3F" w:rsidRDefault="004121E4" w:rsidP="00043DEC">
            <w:pPr>
              <w:pStyle w:val="TableText0"/>
              <w:spacing w:before="0"/>
              <w:ind w:left="-57" w:right="-57"/>
              <w:contextualSpacing/>
            </w:pPr>
            <w:r w:rsidRPr="004A4250">
              <w:t>40768</w:t>
            </w:r>
            <w:r w:rsidRPr="006B6D3F">
              <w:t xml:space="preserve"> -</w:t>
            </w:r>
            <w:r w:rsidRPr="004A4250">
              <w:t xml:space="preserve"> Extracorporeal ultrasound imaging system transducer, hand-held</w:t>
            </w:r>
            <w:r>
              <w:t xml:space="preserve"> (30)</w:t>
            </w:r>
          </w:p>
        </w:tc>
        <w:tc>
          <w:tcPr>
            <w:tcW w:w="855" w:type="pct"/>
            <w:tcBorders>
              <w:top w:val="nil"/>
              <w:bottom w:val="single" w:sz="4" w:space="0" w:color="auto"/>
            </w:tcBorders>
            <w:vAlign w:val="center"/>
          </w:tcPr>
          <w:p w14:paraId="50851EDD" w14:textId="6B0341A3" w:rsidR="004121E4" w:rsidRPr="00DB2FCF" w:rsidRDefault="004121E4" w:rsidP="00043DEC">
            <w:pPr>
              <w:pStyle w:val="TableText0"/>
              <w:spacing w:before="0"/>
              <w:ind w:left="-57" w:right="-57"/>
              <w:contextualSpacing/>
            </w:pPr>
            <w:r w:rsidRPr="004121E4">
              <w:t>123896</w:t>
            </w:r>
          </w:p>
        </w:tc>
      </w:tr>
      <w:tr w:rsidR="007C615F" w:rsidRPr="00490FBB" w14:paraId="6D7B110C" w14:textId="77777777" w:rsidTr="000641FF">
        <w:tc>
          <w:tcPr>
            <w:tcW w:w="1553" w:type="pct"/>
            <w:vMerge w:val="restart"/>
            <w:vAlign w:val="center"/>
          </w:tcPr>
          <w:p w14:paraId="3057E85B" w14:textId="77777777" w:rsidR="007C615F" w:rsidRPr="00DB0020" w:rsidRDefault="007C615F" w:rsidP="00043DEC">
            <w:pPr>
              <w:pStyle w:val="TableText0"/>
              <w:spacing w:before="0"/>
              <w:ind w:left="-57" w:right="-57"/>
              <w:contextualSpacing/>
            </w:pPr>
            <w:r w:rsidRPr="00DB0020">
              <w:t>Local anaesthetic infusion device:</w:t>
            </w:r>
          </w:p>
          <w:p w14:paraId="3779C3C6" w14:textId="77777777" w:rsidR="007C615F" w:rsidRPr="00DB0020" w:rsidRDefault="007C615F" w:rsidP="00043DEC">
            <w:pPr>
              <w:pStyle w:val="TableText0"/>
              <w:ind w:left="-57" w:right="-57"/>
              <w:contextualSpacing/>
            </w:pPr>
            <w:r w:rsidRPr="003A1E94">
              <w:rPr>
                <w:szCs w:val="20"/>
              </w:rPr>
              <w:t xml:space="preserve">Electric pump </w:t>
            </w:r>
          </w:p>
        </w:tc>
        <w:tc>
          <w:tcPr>
            <w:tcW w:w="2592" w:type="pct"/>
            <w:tcBorders>
              <w:bottom w:val="nil"/>
            </w:tcBorders>
            <w:vAlign w:val="center"/>
          </w:tcPr>
          <w:p w14:paraId="55585F2A" w14:textId="3147A72A" w:rsidR="007C615F" w:rsidRPr="00DB2FCF" w:rsidRDefault="007C615F" w:rsidP="00043DEC">
            <w:pPr>
              <w:pStyle w:val="TableText0"/>
              <w:spacing w:before="0"/>
              <w:ind w:left="-57" w:right="-57"/>
              <w:contextualSpacing/>
            </w:pPr>
            <w:r w:rsidRPr="009D109A">
              <w:t>46845 - Mechanically-operated infusion pump</w:t>
            </w:r>
            <w:r>
              <w:t xml:space="preserve"> (2)</w:t>
            </w:r>
          </w:p>
        </w:tc>
        <w:tc>
          <w:tcPr>
            <w:tcW w:w="855" w:type="pct"/>
            <w:tcBorders>
              <w:bottom w:val="nil"/>
            </w:tcBorders>
            <w:vAlign w:val="center"/>
          </w:tcPr>
          <w:p w14:paraId="3A47BF1A" w14:textId="66877ADC" w:rsidR="007C615F" w:rsidRPr="00DB2FCF" w:rsidRDefault="007C615F" w:rsidP="00043DEC">
            <w:pPr>
              <w:pStyle w:val="TableText0"/>
              <w:spacing w:before="0"/>
              <w:ind w:left="-57" w:right="-57"/>
              <w:contextualSpacing/>
            </w:pPr>
            <w:r w:rsidRPr="007C615F">
              <w:t>248373</w:t>
            </w:r>
          </w:p>
        </w:tc>
      </w:tr>
      <w:tr w:rsidR="007C615F" w:rsidRPr="00490FBB" w14:paraId="5FA36DF7" w14:textId="77777777" w:rsidTr="000641FF">
        <w:tc>
          <w:tcPr>
            <w:tcW w:w="1553" w:type="pct"/>
            <w:vMerge/>
            <w:vAlign w:val="center"/>
          </w:tcPr>
          <w:p w14:paraId="22026E29" w14:textId="77777777" w:rsidR="007C615F" w:rsidRPr="00DB0020" w:rsidRDefault="007C615F" w:rsidP="00043DEC">
            <w:pPr>
              <w:pStyle w:val="TableText0"/>
              <w:spacing w:before="0"/>
              <w:ind w:left="-57" w:right="-57"/>
              <w:contextualSpacing/>
            </w:pPr>
          </w:p>
        </w:tc>
        <w:tc>
          <w:tcPr>
            <w:tcW w:w="2592" w:type="pct"/>
            <w:tcBorders>
              <w:top w:val="nil"/>
              <w:bottom w:val="single" w:sz="4" w:space="0" w:color="auto"/>
            </w:tcBorders>
            <w:vAlign w:val="center"/>
          </w:tcPr>
          <w:p w14:paraId="5248D590" w14:textId="33A2F875" w:rsidR="007C615F" w:rsidRPr="00511AA8" w:rsidRDefault="007C615F" w:rsidP="00043DEC">
            <w:pPr>
              <w:pStyle w:val="TableText0"/>
              <w:spacing w:before="0"/>
              <w:ind w:left="-57" w:right="-57"/>
              <w:contextualSpacing/>
            </w:pPr>
            <w:r w:rsidRPr="00511AA8">
              <w:t>46846</w:t>
            </w:r>
            <w:r w:rsidRPr="00315145">
              <w:t xml:space="preserve"> -</w:t>
            </w:r>
            <w:r w:rsidRPr="00511AA8">
              <w:t xml:space="preserve"> Mechanically-operated infusion pump set</w:t>
            </w:r>
            <w:r>
              <w:t xml:space="preserve"> (3)</w:t>
            </w:r>
          </w:p>
        </w:tc>
        <w:tc>
          <w:tcPr>
            <w:tcW w:w="855" w:type="pct"/>
            <w:tcBorders>
              <w:top w:val="nil"/>
              <w:bottom w:val="single" w:sz="4" w:space="0" w:color="auto"/>
            </w:tcBorders>
            <w:vAlign w:val="center"/>
          </w:tcPr>
          <w:p w14:paraId="4F35D7C5" w14:textId="728D9895" w:rsidR="007C615F" w:rsidRPr="00F22C5A" w:rsidRDefault="007C615F" w:rsidP="00043DEC">
            <w:pPr>
              <w:pStyle w:val="TableText0"/>
              <w:spacing w:before="0"/>
              <w:ind w:left="-57" w:right="-57"/>
              <w:contextualSpacing/>
            </w:pPr>
            <w:r w:rsidRPr="00F22C5A">
              <w:t>159495</w:t>
            </w:r>
          </w:p>
        </w:tc>
      </w:tr>
      <w:tr w:rsidR="00F056B4" w:rsidRPr="0099048E" w14:paraId="540E6984" w14:textId="77777777" w:rsidTr="000641FF">
        <w:tc>
          <w:tcPr>
            <w:tcW w:w="1553" w:type="pct"/>
            <w:vAlign w:val="center"/>
          </w:tcPr>
          <w:p w14:paraId="3BC4AC4F" w14:textId="77777777" w:rsidR="00F056B4" w:rsidRPr="00DB0020" w:rsidRDefault="00F056B4" w:rsidP="00043DEC">
            <w:pPr>
              <w:pStyle w:val="TableText0"/>
              <w:spacing w:before="0"/>
              <w:ind w:left="-57" w:right="-57"/>
              <w:contextualSpacing/>
            </w:pPr>
            <w:r w:rsidRPr="00DB0020">
              <w:t>Local anaesthetic infusion device:</w:t>
            </w:r>
          </w:p>
          <w:p w14:paraId="26C85E05" w14:textId="2253AC9A" w:rsidR="00F056B4" w:rsidRPr="0099048E" w:rsidRDefault="00F056B4" w:rsidP="00043DEC">
            <w:pPr>
              <w:pStyle w:val="TableText0"/>
              <w:spacing w:before="0"/>
              <w:ind w:left="-57" w:right="-57"/>
              <w:contextualSpacing/>
              <w:rPr>
                <w:szCs w:val="20"/>
              </w:rPr>
            </w:pPr>
            <w:r w:rsidRPr="003A1E94">
              <w:rPr>
                <w:szCs w:val="20"/>
              </w:rPr>
              <w:t xml:space="preserve">Electric pump </w:t>
            </w:r>
            <w:r w:rsidR="00AA509A">
              <w:rPr>
                <w:szCs w:val="20"/>
              </w:rPr>
              <w:t>+</w:t>
            </w:r>
            <w:r>
              <w:rPr>
                <w:szCs w:val="20"/>
              </w:rPr>
              <w:t xml:space="preserve"> PCRA device</w:t>
            </w:r>
          </w:p>
        </w:tc>
        <w:tc>
          <w:tcPr>
            <w:tcW w:w="2592" w:type="pct"/>
            <w:tcBorders>
              <w:bottom w:val="single" w:sz="4" w:space="0" w:color="auto"/>
            </w:tcBorders>
            <w:vAlign w:val="center"/>
          </w:tcPr>
          <w:p w14:paraId="6FCBACB2" w14:textId="1D1FF098" w:rsidR="00F056B4" w:rsidRPr="0099048E" w:rsidRDefault="00F056B4" w:rsidP="00043DEC">
            <w:pPr>
              <w:pStyle w:val="TableText0"/>
              <w:spacing w:before="0"/>
              <w:ind w:left="-57" w:right="-57"/>
              <w:contextualSpacing/>
              <w:rPr>
                <w:szCs w:val="20"/>
              </w:rPr>
            </w:pPr>
            <w:r w:rsidRPr="0099048E">
              <w:rPr>
                <w:szCs w:val="20"/>
              </w:rPr>
              <w:t>35932 - Infusion pump, analgesic, patient-controlled</w:t>
            </w:r>
            <w:r w:rsidR="00A416E5">
              <w:rPr>
                <w:szCs w:val="20"/>
              </w:rPr>
              <w:t xml:space="preserve"> (5)</w:t>
            </w:r>
          </w:p>
        </w:tc>
        <w:tc>
          <w:tcPr>
            <w:tcW w:w="855" w:type="pct"/>
            <w:tcBorders>
              <w:bottom w:val="single" w:sz="4" w:space="0" w:color="auto"/>
            </w:tcBorders>
            <w:vAlign w:val="center"/>
          </w:tcPr>
          <w:p w14:paraId="73AD226B" w14:textId="1027869C" w:rsidR="00F056B4" w:rsidRPr="0099048E" w:rsidRDefault="002319C8" w:rsidP="00043DEC">
            <w:pPr>
              <w:pStyle w:val="TableText0"/>
              <w:spacing w:before="0"/>
              <w:ind w:left="-57" w:right="-57"/>
              <w:contextualSpacing/>
              <w:rPr>
                <w:szCs w:val="20"/>
              </w:rPr>
            </w:pPr>
            <w:r w:rsidRPr="00DB2FCF">
              <w:rPr>
                <w:szCs w:val="20"/>
              </w:rPr>
              <w:t>111825</w:t>
            </w:r>
          </w:p>
        </w:tc>
      </w:tr>
      <w:tr w:rsidR="00F056B4" w:rsidRPr="00885F1C" w14:paraId="3A092828" w14:textId="77777777" w:rsidTr="000641FF">
        <w:tc>
          <w:tcPr>
            <w:tcW w:w="1553" w:type="pct"/>
            <w:shd w:val="clear" w:color="auto" w:fill="000000" w:themeFill="text1"/>
            <w:vAlign w:val="center"/>
          </w:tcPr>
          <w:p w14:paraId="5DC52C6D" w14:textId="0A556857" w:rsidR="00F056B4" w:rsidRPr="00885F1C" w:rsidRDefault="00F056B4" w:rsidP="00043DEC">
            <w:pPr>
              <w:pStyle w:val="TableText0"/>
              <w:spacing w:before="0"/>
              <w:ind w:left="-57" w:right="-57"/>
              <w:contextualSpacing/>
              <w:rPr>
                <w:b/>
                <w:bCs/>
              </w:rPr>
            </w:pPr>
            <w:r w:rsidRPr="00885F1C">
              <w:rPr>
                <w:b/>
                <w:bCs/>
              </w:rPr>
              <w:t>Disposable / consumable items</w:t>
            </w:r>
          </w:p>
        </w:tc>
        <w:tc>
          <w:tcPr>
            <w:tcW w:w="2592" w:type="pct"/>
            <w:tcBorders>
              <w:bottom w:val="single" w:sz="4" w:space="0" w:color="auto"/>
            </w:tcBorders>
            <w:shd w:val="clear" w:color="auto" w:fill="000000" w:themeFill="text1"/>
            <w:vAlign w:val="center"/>
          </w:tcPr>
          <w:p w14:paraId="7046321A" w14:textId="77777777" w:rsidR="00F056B4" w:rsidRPr="00885F1C" w:rsidRDefault="00F056B4" w:rsidP="00043DEC">
            <w:pPr>
              <w:pStyle w:val="TableText0"/>
              <w:spacing w:before="0"/>
              <w:ind w:left="-57" w:right="-57"/>
              <w:contextualSpacing/>
              <w:rPr>
                <w:b/>
                <w:bCs/>
              </w:rPr>
            </w:pPr>
          </w:p>
        </w:tc>
        <w:tc>
          <w:tcPr>
            <w:tcW w:w="855" w:type="pct"/>
            <w:tcBorders>
              <w:bottom w:val="single" w:sz="4" w:space="0" w:color="auto"/>
            </w:tcBorders>
            <w:shd w:val="clear" w:color="auto" w:fill="000000" w:themeFill="text1"/>
            <w:vAlign w:val="center"/>
          </w:tcPr>
          <w:p w14:paraId="4FFD0DD9" w14:textId="77777777" w:rsidR="00F056B4" w:rsidRPr="00885F1C" w:rsidRDefault="00F056B4" w:rsidP="00043DEC">
            <w:pPr>
              <w:pStyle w:val="TableText0"/>
              <w:spacing w:before="0"/>
              <w:ind w:left="-57" w:right="-57"/>
              <w:contextualSpacing/>
              <w:rPr>
                <w:b/>
                <w:bCs/>
              </w:rPr>
            </w:pPr>
          </w:p>
        </w:tc>
      </w:tr>
      <w:tr w:rsidR="00F056B4" w:rsidRPr="00490FBB" w14:paraId="14632334" w14:textId="77777777" w:rsidTr="000641FF">
        <w:tc>
          <w:tcPr>
            <w:tcW w:w="1553" w:type="pct"/>
            <w:tcBorders>
              <w:bottom w:val="nil"/>
            </w:tcBorders>
            <w:vAlign w:val="center"/>
          </w:tcPr>
          <w:p w14:paraId="619187B0" w14:textId="08346845" w:rsidR="00F056B4" w:rsidRPr="00490FBB" w:rsidRDefault="00F056B4" w:rsidP="00043DEC">
            <w:pPr>
              <w:pStyle w:val="TableText0"/>
              <w:spacing w:before="0"/>
              <w:ind w:left="-57" w:right="-57"/>
              <w:contextualSpacing/>
            </w:pPr>
            <w:r>
              <w:t>U</w:t>
            </w:r>
            <w:r w:rsidRPr="00ED6CAA">
              <w:t xml:space="preserve">ltrasound </w:t>
            </w:r>
            <w:r>
              <w:t>transducer</w:t>
            </w:r>
            <w:r w:rsidRPr="00ED6CAA">
              <w:t xml:space="preserve"> cover</w:t>
            </w:r>
            <w:r>
              <w:t>, s</w:t>
            </w:r>
            <w:r w:rsidRPr="00ED6CAA">
              <w:t xml:space="preserve">terile </w:t>
            </w:r>
          </w:p>
        </w:tc>
        <w:tc>
          <w:tcPr>
            <w:tcW w:w="2592" w:type="pct"/>
            <w:tcBorders>
              <w:bottom w:val="nil"/>
            </w:tcBorders>
          </w:tcPr>
          <w:p w14:paraId="6DEB5D98" w14:textId="16032D09" w:rsidR="00F056B4" w:rsidRPr="00DB2FCF" w:rsidRDefault="00F056B4" w:rsidP="00043DEC">
            <w:pPr>
              <w:pStyle w:val="TableText0"/>
              <w:spacing w:before="0"/>
              <w:ind w:left="-57" w:right="-57"/>
              <w:contextualSpacing/>
            </w:pPr>
            <w:r w:rsidRPr="00CC10ED">
              <w:t>60608</w:t>
            </w:r>
            <w:r w:rsidRPr="006B6D3F">
              <w:t xml:space="preserve"> -</w:t>
            </w:r>
            <w:r w:rsidRPr="00CC10ED">
              <w:t xml:space="preserve"> Body-orifice ultrasound imaging system transducer cover, basic, sterile</w:t>
            </w:r>
            <w:r>
              <w:t xml:space="preserve"> (6)</w:t>
            </w:r>
          </w:p>
        </w:tc>
        <w:tc>
          <w:tcPr>
            <w:tcW w:w="855" w:type="pct"/>
            <w:tcBorders>
              <w:bottom w:val="nil"/>
            </w:tcBorders>
            <w:vAlign w:val="center"/>
          </w:tcPr>
          <w:p w14:paraId="270F6359" w14:textId="476DCCE0" w:rsidR="00F056B4" w:rsidRPr="00DB2FCF" w:rsidRDefault="00F056B4" w:rsidP="00043DEC">
            <w:pPr>
              <w:pStyle w:val="TableText0"/>
              <w:spacing w:before="0"/>
              <w:ind w:left="-57" w:right="-57"/>
              <w:contextualSpacing/>
            </w:pPr>
            <w:r w:rsidRPr="00DB2FCF">
              <w:t xml:space="preserve">400449 </w:t>
            </w:r>
          </w:p>
        </w:tc>
      </w:tr>
      <w:tr w:rsidR="00F056B4" w:rsidRPr="00490FBB" w14:paraId="7FFD6F51" w14:textId="77777777" w:rsidTr="000641FF">
        <w:tc>
          <w:tcPr>
            <w:tcW w:w="1553" w:type="pct"/>
            <w:tcBorders>
              <w:bottom w:val="nil"/>
            </w:tcBorders>
          </w:tcPr>
          <w:p w14:paraId="5C98C94B" w14:textId="77777777" w:rsidR="00F056B4" w:rsidRPr="00B4141A" w:rsidRDefault="00F056B4" w:rsidP="00043DEC">
            <w:pPr>
              <w:pStyle w:val="TableText0"/>
              <w:spacing w:before="0"/>
              <w:ind w:left="-57" w:right="-57"/>
              <w:contextualSpacing/>
            </w:pPr>
            <w:r>
              <w:t>Catheter kit</w:t>
            </w:r>
          </w:p>
        </w:tc>
        <w:tc>
          <w:tcPr>
            <w:tcW w:w="2592" w:type="pct"/>
            <w:tcBorders>
              <w:bottom w:val="nil"/>
            </w:tcBorders>
          </w:tcPr>
          <w:p w14:paraId="6C6F3ACE" w14:textId="77777777" w:rsidR="00F056B4" w:rsidRPr="00DB2FCF" w:rsidRDefault="00F056B4" w:rsidP="00043DEC">
            <w:pPr>
              <w:pStyle w:val="TableText0"/>
              <w:spacing w:before="0"/>
              <w:ind w:left="-57" w:right="-57"/>
              <w:contextualSpacing/>
            </w:pPr>
            <w:r w:rsidRPr="00F32F34">
              <w:t>34840 - Anaesthesia kit, brachial plexus</w:t>
            </w:r>
            <w:r>
              <w:t xml:space="preserve"> (1)</w:t>
            </w:r>
          </w:p>
        </w:tc>
        <w:tc>
          <w:tcPr>
            <w:tcW w:w="855" w:type="pct"/>
            <w:tcBorders>
              <w:bottom w:val="nil"/>
            </w:tcBorders>
            <w:vAlign w:val="center"/>
          </w:tcPr>
          <w:p w14:paraId="022FD4A5" w14:textId="77777777" w:rsidR="00F056B4" w:rsidRPr="00DB2FCF" w:rsidDel="00B2149E" w:rsidRDefault="00F056B4" w:rsidP="00043DEC">
            <w:pPr>
              <w:pStyle w:val="TableText0"/>
              <w:spacing w:before="0"/>
              <w:ind w:left="-57" w:right="-57"/>
              <w:contextualSpacing/>
            </w:pPr>
            <w:r>
              <w:t>133630</w:t>
            </w:r>
          </w:p>
        </w:tc>
      </w:tr>
      <w:tr w:rsidR="00F056B4" w:rsidRPr="00490FBB" w14:paraId="74DFCC0B" w14:textId="77777777" w:rsidTr="000641FF">
        <w:tc>
          <w:tcPr>
            <w:tcW w:w="1553" w:type="pct"/>
            <w:tcBorders>
              <w:top w:val="nil"/>
              <w:bottom w:val="nil"/>
            </w:tcBorders>
          </w:tcPr>
          <w:p w14:paraId="38A46B2B" w14:textId="77777777" w:rsidR="00F056B4" w:rsidRPr="00B4141A" w:rsidRDefault="00F056B4" w:rsidP="00043DEC">
            <w:pPr>
              <w:pStyle w:val="TableText0"/>
              <w:spacing w:before="0"/>
              <w:ind w:left="-57" w:right="-57"/>
              <w:contextualSpacing/>
            </w:pPr>
          </w:p>
        </w:tc>
        <w:tc>
          <w:tcPr>
            <w:tcW w:w="2592" w:type="pct"/>
            <w:tcBorders>
              <w:top w:val="nil"/>
              <w:bottom w:val="nil"/>
            </w:tcBorders>
          </w:tcPr>
          <w:p w14:paraId="16B01B07" w14:textId="77777777" w:rsidR="00F056B4" w:rsidRPr="00F32F34" w:rsidRDefault="00F056B4" w:rsidP="00043DEC">
            <w:pPr>
              <w:pStyle w:val="TableText0"/>
              <w:spacing w:before="0"/>
              <w:ind w:left="-57" w:right="-57"/>
              <w:contextualSpacing/>
            </w:pPr>
            <w:r w:rsidRPr="00CE1530">
              <w:t>34842</w:t>
            </w:r>
            <w:r w:rsidRPr="00F32F34">
              <w:t xml:space="preserve"> - </w:t>
            </w:r>
            <w:r w:rsidRPr="00CE1530">
              <w:t>Anaesthesia kit, epidural</w:t>
            </w:r>
            <w:r>
              <w:t xml:space="preserve"> (13)</w:t>
            </w:r>
          </w:p>
        </w:tc>
        <w:tc>
          <w:tcPr>
            <w:tcW w:w="855" w:type="pct"/>
            <w:tcBorders>
              <w:top w:val="nil"/>
              <w:bottom w:val="nil"/>
            </w:tcBorders>
            <w:vAlign w:val="center"/>
          </w:tcPr>
          <w:p w14:paraId="7D099D2D" w14:textId="77777777" w:rsidR="00F056B4" w:rsidRDefault="00F056B4" w:rsidP="00043DEC">
            <w:pPr>
              <w:pStyle w:val="TableText0"/>
              <w:spacing w:before="0"/>
              <w:ind w:left="-57" w:right="-57"/>
              <w:contextualSpacing/>
            </w:pPr>
            <w:r w:rsidRPr="000A58A4">
              <w:t>144119</w:t>
            </w:r>
          </w:p>
        </w:tc>
      </w:tr>
      <w:tr w:rsidR="00F056B4" w:rsidRPr="00490FBB" w14:paraId="03B5280C" w14:textId="77777777" w:rsidTr="000641FF">
        <w:tc>
          <w:tcPr>
            <w:tcW w:w="1553" w:type="pct"/>
            <w:tcBorders>
              <w:top w:val="nil"/>
              <w:bottom w:val="nil"/>
            </w:tcBorders>
          </w:tcPr>
          <w:p w14:paraId="48A3B636" w14:textId="77777777" w:rsidR="00F056B4" w:rsidRPr="00B4141A" w:rsidRDefault="00F056B4" w:rsidP="00043DEC">
            <w:pPr>
              <w:pStyle w:val="TableText0"/>
              <w:spacing w:before="0"/>
              <w:ind w:left="-57" w:right="-57"/>
              <w:contextualSpacing/>
            </w:pPr>
          </w:p>
        </w:tc>
        <w:tc>
          <w:tcPr>
            <w:tcW w:w="2592" w:type="pct"/>
            <w:tcBorders>
              <w:top w:val="nil"/>
              <w:bottom w:val="nil"/>
            </w:tcBorders>
          </w:tcPr>
          <w:p w14:paraId="4B9204F7" w14:textId="77777777" w:rsidR="00F056B4" w:rsidRPr="00CE1530" w:rsidRDefault="00F056B4" w:rsidP="00043DEC">
            <w:pPr>
              <w:pStyle w:val="TableText0"/>
              <w:spacing w:before="0"/>
              <w:ind w:left="-57" w:right="-57"/>
              <w:contextualSpacing/>
            </w:pPr>
            <w:r w:rsidRPr="0001045F">
              <w:t>34845 - Anaesthesia kit, spinal</w:t>
            </w:r>
            <w:r>
              <w:t xml:space="preserve"> (7)</w:t>
            </w:r>
          </w:p>
        </w:tc>
        <w:tc>
          <w:tcPr>
            <w:tcW w:w="855" w:type="pct"/>
            <w:tcBorders>
              <w:top w:val="nil"/>
              <w:bottom w:val="nil"/>
            </w:tcBorders>
            <w:vAlign w:val="center"/>
          </w:tcPr>
          <w:p w14:paraId="3BD55F48" w14:textId="77777777" w:rsidR="00F056B4" w:rsidRPr="000A58A4" w:rsidRDefault="00F056B4" w:rsidP="00043DEC">
            <w:pPr>
              <w:pStyle w:val="TableText0"/>
              <w:spacing w:before="0"/>
              <w:ind w:left="-57" w:right="-57"/>
              <w:contextualSpacing/>
            </w:pPr>
            <w:r>
              <w:t>133640 (continuous)</w:t>
            </w:r>
          </w:p>
        </w:tc>
      </w:tr>
      <w:tr w:rsidR="00F056B4" w:rsidRPr="00490FBB" w14:paraId="2E15850C" w14:textId="77777777" w:rsidTr="000641FF">
        <w:tc>
          <w:tcPr>
            <w:tcW w:w="1553" w:type="pct"/>
            <w:tcBorders>
              <w:top w:val="nil"/>
              <w:bottom w:val="nil"/>
            </w:tcBorders>
          </w:tcPr>
          <w:p w14:paraId="57CE147F" w14:textId="77777777" w:rsidR="00F056B4" w:rsidRPr="00B4141A" w:rsidRDefault="00F056B4" w:rsidP="00043DEC">
            <w:pPr>
              <w:pStyle w:val="TableText0"/>
              <w:spacing w:before="0"/>
              <w:ind w:left="-57" w:right="-57"/>
              <w:contextualSpacing/>
            </w:pPr>
          </w:p>
        </w:tc>
        <w:tc>
          <w:tcPr>
            <w:tcW w:w="2592" w:type="pct"/>
            <w:tcBorders>
              <w:top w:val="nil"/>
              <w:bottom w:val="nil"/>
            </w:tcBorders>
          </w:tcPr>
          <w:p w14:paraId="17F53890" w14:textId="77777777" w:rsidR="00F056B4" w:rsidRPr="0001045F" w:rsidRDefault="00F056B4" w:rsidP="00043DEC">
            <w:pPr>
              <w:pStyle w:val="TableText0"/>
              <w:spacing w:before="0"/>
              <w:ind w:left="-57" w:right="-57"/>
              <w:contextualSpacing/>
            </w:pPr>
            <w:r w:rsidRPr="00945945">
              <w:t>46308 - Anaesthesia kit, epidural/spinal</w:t>
            </w:r>
            <w:r>
              <w:t xml:space="preserve"> (10)</w:t>
            </w:r>
          </w:p>
        </w:tc>
        <w:tc>
          <w:tcPr>
            <w:tcW w:w="855" w:type="pct"/>
            <w:tcBorders>
              <w:top w:val="nil"/>
              <w:bottom w:val="nil"/>
            </w:tcBorders>
            <w:vAlign w:val="center"/>
          </w:tcPr>
          <w:p w14:paraId="3587996C" w14:textId="77777777" w:rsidR="00F056B4" w:rsidRDefault="00F056B4" w:rsidP="00043DEC">
            <w:pPr>
              <w:pStyle w:val="TableText0"/>
              <w:spacing w:before="0"/>
              <w:ind w:left="-57" w:right="-57"/>
              <w:contextualSpacing/>
            </w:pPr>
            <w:r w:rsidRPr="0082210F">
              <w:t>138951</w:t>
            </w:r>
          </w:p>
        </w:tc>
      </w:tr>
      <w:tr w:rsidR="00F056B4" w:rsidRPr="00490FBB" w14:paraId="13241A96" w14:textId="77777777" w:rsidTr="000641FF">
        <w:tc>
          <w:tcPr>
            <w:tcW w:w="1553" w:type="pct"/>
            <w:tcBorders>
              <w:top w:val="nil"/>
              <w:bottom w:val="nil"/>
            </w:tcBorders>
          </w:tcPr>
          <w:p w14:paraId="25E959EF" w14:textId="77777777" w:rsidR="00F056B4" w:rsidRPr="00B4141A" w:rsidRDefault="00F056B4" w:rsidP="00043DEC">
            <w:pPr>
              <w:pStyle w:val="TableText0"/>
              <w:spacing w:before="0"/>
              <w:ind w:left="-57" w:right="-57"/>
              <w:contextualSpacing/>
            </w:pPr>
          </w:p>
        </w:tc>
        <w:tc>
          <w:tcPr>
            <w:tcW w:w="2592" w:type="pct"/>
            <w:tcBorders>
              <w:top w:val="nil"/>
              <w:bottom w:val="nil"/>
            </w:tcBorders>
          </w:tcPr>
          <w:p w14:paraId="042BDF4C" w14:textId="6422608B" w:rsidR="00F056B4" w:rsidRPr="00945945" w:rsidRDefault="00F056B4" w:rsidP="00043DEC">
            <w:pPr>
              <w:pStyle w:val="TableText0"/>
              <w:spacing w:before="0"/>
              <w:ind w:left="-57" w:right="-57"/>
              <w:contextualSpacing/>
            </w:pPr>
            <w:r w:rsidRPr="001F62E8">
              <w:t>46383 - Nerve-locating anaesthesia kit, contin</w:t>
            </w:r>
            <w:r w:rsidR="007964D8">
              <w:t>uous</w:t>
            </w:r>
            <w:r w:rsidRPr="001F62E8">
              <w:t xml:space="preserve"> admin</w:t>
            </w:r>
            <w:r w:rsidR="00A51A1C">
              <w:t>.</w:t>
            </w:r>
            <w:r>
              <w:t xml:space="preserve"> (9)</w:t>
            </w:r>
          </w:p>
        </w:tc>
        <w:tc>
          <w:tcPr>
            <w:tcW w:w="855" w:type="pct"/>
            <w:tcBorders>
              <w:top w:val="nil"/>
              <w:bottom w:val="nil"/>
            </w:tcBorders>
          </w:tcPr>
          <w:p w14:paraId="2222264D" w14:textId="3B0D9BF4" w:rsidR="00F056B4" w:rsidRPr="0082210F" w:rsidRDefault="00F056B4" w:rsidP="00043DEC">
            <w:pPr>
              <w:pStyle w:val="TableText0"/>
              <w:spacing w:before="0"/>
              <w:ind w:left="-57" w:right="-57"/>
              <w:contextualSpacing/>
            </w:pPr>
            <w:r w:rsidRPr="004F3994">
              <w:t>139569</w:t>
            </w:r>
          </w:p>
        </w:tc>
      </w:tr>
      <w:tr w:rsidR="00F056B4" w:rsidRPr="00490FBB" w14:paraId="609B03F7" w14:textId="77777777" w:rsidTr="000641FF">
        <w:tc>
          <w:tcPr>
            <w:tcW w:w="1553" w:type="pct"/>
            <w:tcBorders>
              <w:top w:val="nil"/>
            </w:tcBorders>
          </w:tcPr>
          <w:p w14:paraId="0A9DFBC6" w14:textId="77777777" w:rsidR="00F056B4" w:rsidRPr="00B4141A" w:rsidRDefault="00F056B4" w:rsidP="00043DEC">
            <w:pPr>
              <w:pStyle w:val="TableText0"/>
              <w:spacing w:before="0"/>
              <w:ind w:left="-57" w:right="-57"/>
              <w:contextualSpacing/>
            </w:pPr>
          </w:p>
        </w:tc>
        <w:tc>
          <w:tcPr>
            <w:tcW w:w="2592" w:type="pct"/>
            <w:tcBorders>
              <w:top w:val="nil"/>
            </w:tcBorders>
          </w:tcPr>
          <w:p w14:paraId="69D0894F" w14:textId="5D4707E6" w:rsidR="00F056B4" w:rsidRPr="00DB2FCF" w:rsidRDefault="00F056B4" w:rsidP="00043DEC">
            <w:pPr>
              <w:pStyle w:val="TableText0"/>
              <w:spacing w:before="0"/>
              <w:ind w:left="-57" w:right="-57"/>
              <w:contextualSpacing/>
            </w:pPr>
            <w:r w:rsidRPr="007367CB">
              <w:t>47191 - Anaesthesia conduction catheterization kit</w:t>
            </w:r>
            <w:r>
              <w:t xml:space="preserve"> (2)</w:t>
            </w:r>
          </w:p>
        </w:tc>
        <w:tc>
          <w:tcPr>
            <w:tcW w:w="855" w:type="pct"/>
            <w:tcBorders>
              <w:top w:val="nil"/>
            </w:tcBorders>
            <w:vAlign w:val="center"/>
          </w:tcPr>
          <w:p w14:paraId="00308640" w14:textId="0906E790" w:rsidR="00F056B4" w:rsidRPr="00DB2FCF" w:rsidRDefault="00F056B4" w:rsidP="00043DEC">
            <w:pPr>
              <w:pStyle w:val="TableText0"/>
              <w:spacing w:before="0"/>
              <w:ind w:left="-57" w:right="-57"/>
              <w:contextualSpacing/>
            </w:pPr>
            <w:r w:rsidRPr="009B0304">
              <w:t>281941</w:t>
            </w:r>
          </w:p>
        </w:tc>
      </w:tr>
      <w:tr w:rsidR="00F056B4" w:rsidRPr="00490FBB" w14:paraId="5D2EC4B6" w14:textId="77777777" w:rsidTr="000641FF">
        <w:tc>
          <w:tcPr>
            <w:tcW w:w="1553" w:type="pct"/>
            <w:vMerge w:val="restart"/>
          </w:tcPr>
          <w:p w14:paraId="3A4A3B83" w14:textId="651B8107" w:rsidR="00F056B4" w:rsidRPr="00490FBB" w:rsidRDefault="00F056B4" w:rsidP="00043DEC">
            <w:pPr>
              <w:pStyle w:val="TableText0"/>
              <w:spacing w:before="0"/>
              <w:ind w:left="-57" w:right="-57"/>
              <w:contextualSpacing/>
            </w:pPr>
            <w:r w:rsidRPr="00A228EE">
              <w:t>Tuohy</w:t>
            </w:r>
            <w:r>
              <w:t xml:space="preserve"> or similar needle (usually supplied in kit)</w:t>
            </w:r>
          </w:p>
        </w:tc>
        <w:tc>
          <w:tcPr>
            <w:tcW w:w="2592" w:type="pct"/>
            <w:tcBorders>
              <w:bottom w:val="nil"/>
            </w:tcBorders>
          </w:tcPr>
          <w:p w14:paraId="17BE7991" w14:textId="1E312C77" w:rsidR="00F056B4" w:rsidRPr="00DB2FCF" w:rsidRDefault="00F056B4" w:rsidP="00043DEC">
            <w:pPr>
              <w:pStyle w:val="TableText0"/>
              <w:spacing w:before="0"/>
              <w:ind w:left="-57" w:right="-57"/>
              <w:contextualSpacing/>
            </w:pPr>
            <w:r w:rsidRPr="002342C8">
              <w:t>58293 - Epidural needle, non-threaded</w:t>
            </w:r>
            <w:r>
              <w:t xml:space="preserve"> (10)</w:t>
            </w:r>
          </w:p>
        </w:tc>
        <w:tc>
          <w:tcPr>
            <w:tcW w:w="855" w:type="pct"/>
            <w:tcBorders>
              <w:bottom w:val="nil"/>
            </w:tcBorders>
            <w:vAlign w:val="center"/>
          </w:tcPr>
          <w:p w14:paraId="4CD9DE37" w14:textId="16722D7E" w:rsidR="00F056B4" w:rsidRPr="00DB2FCF" w:rsidRDefault="00F056B4" w:rsidP="00043DEC">
            <w:pPr>
              <w:pStyle w:val="TableText0"/>
              <w:spacing w:before="0"/>
              <w:ind w:left="-57" w:right="-57"/>
              <w:contextualSpacing/>
            </w:pPr>
            <w:r w:rsidRPr="00846FF0">
              <w:t>369910</w:t>
            </w:r>
          </w:p>
        </w:tc>
      </w:tr>
      <w:tr w:rsidR="00F056B4" w:rsidRPr="00490FBB" w14:paraId="78DA8B65" w14:textId="77777777" w:rsidTr="000641FF">
        <w:tc>
          <w:tcPr>
            <w:tcW w:w="1553" w:type="pct"/>
            <w:vMerge/>
            <w:tcBorders>
              <w:bottom w:val="single" w:sz="4" w:space="0" w:color="auto"/>
            </w:tcBorders>
          </w:tcPr>
          <w:p w14:paraId="37A00FAE" w14:textId="77777777" w:rsidR="00F056B4" w:rsidRPr="00A228EE" w:rsidRDefault="00F056B4" w:rsidP="00043DEC">
            <w:pPr>
              <w:pStyle w:val="TableText0"/>
              <w:spacing w:before="0"/>
              <w:ind w:left="-57" w:right="-57"/>
              <w:contextualSpacing/>
            </w:pPr>
          </w:p>
        </w:tc>
        <w:tc>
          <w:tcPr>
            <w:tcW w:w="2592" w:type="pct"/>
            <w:tcBorders>
              <w:top w:val="nil"/>
              <w:bottom w:val="single" w:sz="4" w:space="0" w:color="auto"/>
            </w:tcBorders>
          </w:tcPr>
          <w:p w14:paraId="128668BF" w14:textId="35963271" w:rsidR="00F056B4" w:rsidRPr="002342C8" w:rsidRDefault="00F056B4" w:rsidP="00043DEC">
            <w:pPr>
              <w:pStyle w:val="TableText0"/>
              <w:spacing w:before="0"/>
              <w:ind w:left="-57" w:right="-57"/>
              <w:contextualSpacing/>
            </w:pPr>
            <w:r w:rsidRPr="003C3E98">
              <w:t>36191 - Needle, anaesthesia, epidural</w:t>
            </w:r>
            <w:r>
              <w:t xml:space="preserve"> (2)</w:t>
            </w:r>
          </w:p>
        </w:tc>
        <w:tc>
          <w:tcPr>
            <w:tcW w:w="855" w:type="pct"/>
            <w:tcBorders>
              <w:top w:val="nil"/>
              <w:bottom w:val="single" w:sz="4" w:space="0" w:color="auto"/>
            </w:tcBorders>
            <w:vAlign w:val="center"/>
          </w:tcPr>
          <w:p w14:paraId="496D1564" w14:textId="683BDD07" w:rsidR="00F056B4" w:rsidRPr="00846FF0" w:rsidRDefault="00F056B4" w:rsidP="00043DEC">
            <w:pPr>
              <w:pStyle w:val="TableText0"/>
              <w:spacing w:before="0"/>
              <w:ind w:left="-57" w:right="-57"/>
              <w:contextualSpacing/>
            </w:pPr>
            <w:r w:rsidRPr="00C049AB">
              <w:t>133641</w:t>
            </w:r>
          </w:p>
        </w:tc>
      </w:tr>
      <w:tr w:rsidR="00F056B4" w:rsidRPr="00490FBB" w14:paraId="6CAAD7E6" w14:textId="77777777" w:rsidTr="000641FF">
        <w:tc>
          <w:tcPr>
            <w:tcW w:w="1553" w:type="pct"/>
            <w:tcBorders>
              <w:bottom w:val="nil"/>
            </w:tcBorders>
          </w:tcPr>
          <w:p w14:paraId="259C4204" w14:textId="6B31C6C0" w:rsidR="00F056B4" w:rsidRPr="00B4141A" w:rsidRDefault="00F056B4" w:rsidP="00043DEC">
            <w:pPr>
              <w:pStyle w:val="TableText0"/>
              <w:spacing w:before="0"/>
              <w:ind w:left="-57" w:right="-57"/>
              <w:contextualSpacing/>
            </w:pPr>
            <w:r>
              <w:t>Catheter (usually supplied in kit)</w:t>
            </w:r>
          </w:p>
        </w:tc>
        <w:tc>
          <w:tcPr>
            <w:tcW w:w="2592" w:type="pct"/>
            <w:tcBorders>
              <w:bottom w:val="nil"/>
            </w:tcBorders>
          </w:tcPr>
          <w:p w14:paraId="769D5A1C" w14:textId="371E2FDF" w:rsidR="00F056B4" w:rsidRPr="00DB2FCF" w:rsidRDefault="00F056B4" w:rsidP="00043DEC">
            <w:pPr>
              <w:pStyle w:val="TableText0"/>
              <w:spacing w:before="0"/>
              <w:ind w:left="521" w:right="-57" w:hanging="578"/>
              <w:contextualSpacing/>
            </w:pPr>
            <w:r w:rsidRPr="002971E3">
              <w:t>10704</w:t>
            </w:r>
            <w:r w:rsidRPr="00F32F34">
              <w:t xml:space="preserve"> - </w:t>
            </w:r>
            <w:r w:rsidRPr="002971E3">
              <w:t>Catheter, cerebrospinal</w:t>
            </w:r>
            <w:r>
              <w:t xml:space="preserve"> (9)</w:t>
            </w:r>
          </w:p>
        </w:tc>
        <w:tc>
          <w:tcPr>
            <w:tcW w:w="855" w:type="pct"/>
            <w:tcBorders>
              <w:bottom w:val="nil"/>
            </w:tcBorders>
            <w:vAlign w:val="center"/>
          </w:tcPr>
          <w:p w14:paraId="0D96C907" w14:textId="1C1F3CA7" w:rsidR="00F056B4" w:rsidRPr="00DB2FCF" w:rsidDel="00B2149E" w:rsidRDefault="00F056B4" w:rsidP="00043DEC">
            <w:pPr>
              <w:pStyle w:val="TableText0"/>
              <w:spacing w:before="0"/>
              <w:ind w:left="-57" w:right="-57"/>
              <w:contextualSpacing/>
            </w:pPr>
            <w:r w:rsidRPr="00346202">
              <w:t>181743</w:t>
            </w:r>
          </w:p>
        </w:tc>
      </w:tr>
      <w:tr w:rsidR="00F056B4" w:rsidRPr="00490FBB" w14:paraId="5F6267CA" w14:textId="77777777" w:rsidTr="000641FF">
        <w:tc>
          <w:tcPr>
            <w:tcW w:w="1553" w:type="pct"/>
            <w:tcBorders>
              <w:top w:val="nil"/>
              <w:bottom w:val="nil"/>
            </w:tcBorders>
          </w:tcPr>
          <w:p w14:paraId="7B65FBAA" w14:textId="77777777" w:rsidR="00F056B4" w:rsidRDefault="00F056B4" w:rsidP="00043DEC">
            <w:pPr>
              <w:pStyle w:val="TableText0"/>
              <w:spacing w:before="0"/>
              <w:ind w:left="-57" w:right="-57"/>
              <w:contextualSpacing/>
            </w:pPr>
          </w:p>
        </w:tc>
        <w:tc>
          <w:tcPr>
            <w:tcW w:w="2592" w:type="pct"/>
            <w:tcBorders>
              <w:top w:val="nil"/>
              <w:bottom w:val="nil"/>
            </w:tcBorders>
          </w:tcPr>
          <w:p w14:paraId="1274AD3C" w14:textId="59F31E43" w:rsidR="00F056B4" w:rsidRPr="002E2BA0" w:rsidRDefault="00F056B4" w:rsidP="00043DEC">
            <w:pPr>
              <w:pStyle w:val="TableText0"/>
              <w:spacing w:before="0"/>
              <w:ind w:left="-57" w:right="-57"/>
              <w:contextualSpacing/>
            </w:pPr>
            <w:r w:rsidRPr="00527B41">
              <w:t>33172</w:t>
            </w:r>
            <w:r w:rsidRPr="00F32F34">
              <w:t xml:space="preserve"> - </w:t>
            </w:r>
            <w:r w:rsidRPr="00527B41">
              <w:t>Catheter, infusion</w:t>
            </w:r>
            <w:r>
              <w:t xml:space="preserve"> (18)</w:t>
            </w:r>
          </w:p>
        </w:tc>
        <w:tc>
          <w:tcPr>
            <w:tcW w:w="855" w:type="pct"/>
            <w:tcBorders>
              <w:top w:val="nil"/>
              <w:bottom w:val="nil"/>
            </w:tcBorders>
            <w:vAlign w:val="center"/>
          </w:tcPr>
          <w:p w14:paraId="21268FAB" w14:textId="0376D6AB" w:rsidR="00F056B4" w:rsidRPr="00B573A8" w:rsidRDefault="00F056B4" w:rsidP="00043DEC">
            <w:pPr>
              <w:pStyle w:val="TableText0"/>
              <w:spacing w:before="0"/>
              <w:ind w:left="-57" w:right="-57"/>
              <w:contextualSpacing/>
            </w:pPr>
            <w:r w:rsidRPr="00B573A8">
              <w:t>162583</w:t>
            </w:r>
          </w:p>
        </w:tc>
      </w:tr>
      <w:tr w:rsidR="00F056B4" w:rsidRPr="00490FBB" w14:paraId="0EA572ED" w14:textId="77777777" w:rsidTr="000641FF">
        <w:tc>
          <w:tcPr>
            <w:tcW w:w="1553" w:type="pct"/>
            <w:tcBorders>
              <w:top w:val="nil"/>
              <w:bottom w:val="nil"/>
            </w:tcBorders>
          </w:tcPr>
          <w:p w14:paraId="00586B7E" w14:textId="77777777" w:rsidR="00F056B4" w:rsidRDefault="00F056B4" w:rsidP="00043DEC">
            <w:pPr>
              <w:pStyle w:val="TableText0"/>
              <w:spacing w:before="0"/>
              <w:ind w:left="-57" w:right="-57"/>
              <w:contextualSpacing/>
            </w:pPr>
          </w:p>
        </w:tc>
        <w:tc>
          <w:tcPr>
            <w:tcW w:w="2592" w:type="pct"/>
            <w:tcBorders>
              <w:top w:val="nil"/>
              <w:bottom w:val="nil"/>
            </w:tcBorders>
          </w:tcPr>
          <w:p w14:paraId="5B2080FC" w14:textId="0EC91C22" w:rsidR="00F056B4" w:rsidRPr="00527B41" w:rsidRDefault="00F056B4" w:rsidP="00043DEC">
            <w:pPr>
              <w:pStyle w:val="TableText0"/>
              <w:spacing w:before="0"/>
              <w:ind w:left="-57" w:right="-57"/>
              <w:contextualSpacing/>
            </w:pPr>
            <w:r w:rsidRPr="00DB4476">
              <w:t>34898 - Cannula, epidural</w:t>
            </w:r>
            <w:r>
              <w:t xml:space="preserve"> (1)</w:t>
            </w:r>
          </w:p>
        </w:tc>
        <w:tc>
          <w:tcPr>
            <w:tcW w:w="855" w:type="pct"/>
            <w:tcBorders>
              <w:top w:val="nil"/>
              <w:bottom w:val="nil"/>
            </w:tcBorders>
            <w:vAlign w:val="center"/>
          </w:tcPr>
          <w:p w14:paraId="090136F1" w14:textId="7F4DF119" w:rsidR="00F056B4" w:rsidRPr="00B573A8" w:rsidRDefault="00F056B4" w:rsidP="00043DEC">
            <w:pPr>
              <w:pStyle w:val="TableText0"/>
              <w:spacing w:before="0"/>
              <w:ind w:left="-57" w:right="-57"/>
              <w:contextualSpacing/>
            </w:pPr>
            <w:r w:rsidRPr="00AC590E">
              <w:t>133641</w:t>
            </w:r>
          </w:p>
        </w:tc>
      </w:tr>
      <w:tr w:rsidR="00F056B4" w:rsidRPr="00490FBB" w14:paraId="61303E49" w14:textId="77777777" w:rsidTr="000641FF">
        <w:tc>
          <w:tcPr>
            <w:tcW w:w="1553" w:type="pct"/>
            <w:tcBorders>
              <w:top w:val="nil"/>
              <w:bottom w:val="single" w:sz="4" w:space="0" w:color="auto"/>
            </w:tcBorders>
          </w:tcPr>
          <w:p w14:paraId="17BF8814" w14:textId="77777777" w:rsidR="00F056B4" w:rsidRDefault="00F056B4" w:rsidP="00043DEC">
            <w:pPr>
              <w:pStyle w:val="TableText0"/>
              <w:spacing w:before="0"/>
              <w:ind w:left="-57" w:right="-57"/>
              <w:contextualSpacing/>
            </w:pPr>
          </w:p>
        </w:tc>
        <w:tc>
          <w:tcPr>
            <w:tcW w:w="2592" w:type="pct"/>
            <w:tcBorders>
              <w:top w:val="nil"/>
              <w:bottom w:val="single" w:sz="4" w:space="0" w:color="auto"/>
            </w:tcBorders>
          </w:tcPr>
          <w:p w14:paraId="29D41679" w14:textId="1D3ECD09" w:rsidR="00F056B4" w:rsidRPr="00527B41" w:rsidRDefault="00F056B4" w:rsidP="00043DEC">
            <w:pPr>
              <w:pStyle w:val="TableText0"/>
              <w:spacing w:before="0"/>
              <w:ind w:left="-57" w:right="-113"/>
              <w:contextualSpacing/>
            </w:pPr>
            <w:r w:rsidRPr="002E2BA0">
              <w:t>64374 - Epidural anaes</w:t>
            </w:r>
            <w:r>
              <w:t>thesia</w:t>
            </w:r>
            <w:r w:rsidRPr="002E2BA0">
              <w:t xml:space="preserve"> stand-alone catheter</w:t>
            </w:r>
            <w:r>
              <w:t xml:space="preserve"> (2)</w:t>
            </w:r>
          </w:p>
        </w:tc>
        <w:tc>
          <w:tcPr>
            <w:tcW w:w="855" w:type="pct"/>
            <w:tcBorders>
              <w:top w:val="nil"/>
              <w:bottom w:val="single" w:sz="4" w:space="0" w:color="auto"/>
            </w:tcBorders>
            <w:vAlign w:val="center"/>
          </w:tcPr>
          <w:p w14:paraId="486EE411" w14:textId="4B41B7C1" w:rsidR="00F056B4" w:rsidRPr="00B573A8" w:rsidRDefault="00F056B4" w:rsidP="00043DEC">
            <w:pPr>
              <w:pStyle w:val="TableText0"/>
              <w:spacing w:before="0"/>
              <w:ind w:left="-57" w:right="-57"/>
              <w:contextualSpacing/>
            </w:pPr>
            <w:r w:rsidRPr="006B3EBF">
              <w:t>392933</w:t>
            </w:r>
          </w:p>
        </w:tc>
      </w:tr>
      <w:tr w:rsidR="00F056B4" w:rsidRPr="00490FBB" w14:paraId="27E5D35C" w14:textId="77777777" w:rsidTr="000641FF">
        <w:tc>
          <w:tcPr>
            <w:tcW w:w="1553" w:type="pct"/>
            <w:vAlign w:val="center"/>
          </w:tcPr>
          <w:p w14:paraId="663D6710" w14:textId="77777777" w:rsidR="00F056B4" w:rsidRDefault="00F056B4" w:rsidP="00043DEC">
            <w:pPr>
              <w:pStyle w:val="TableText0"/>
              <w:spacing w:before="0"/>
              <w:ind w:left="-57" w:right="-57"/>
              <w:contextualSpacing/>
            </w:pPr>
            <w:r w:rsidRPr="00B4141A">
              <w:t>Sterile dressing pack including catheter fixation devices</w:t>
            </w:r>
          </w:p>
        </w:tc>
        <w:tc>
          <w:tcPr>
            <w:tcW w:w="2592" w:type="pct"/>
          </w:tcPr>
          <w:p w14:paraId="75F3AD46" w14:textId="5A4830EF" w:rsidR="00F056B4" w:rsidRPr="00DB2FCF" w:rsidRDefault="00F056B4" w:rsidP="00043DEC">
            <w:pPr>
              <w:pStyle w:val="TableText0"/>
              <w:spacing w:before="0"/>
              <w:ind w:left="-57" w:right="-57"/>
              <w:contextualSpacing/>
            </w:pPr>
            <w:r>
              <w:t>(fixation device may be included in catheter kit)</w:t>
            </w:r>
          </w:p>
        </w:tc>
        <w:tc>
          <w:tcPr>
            <w:tcW w:w="855" w:type="pct"/>
            <w:vAlign w:val="center"/>
          </w:tcPr>
          <w:p w14:paraId="5CA7AEB2" w14:textId="1ECB3D19" w:rsidR="00F056B4" w:rsidRPr="00DB2FCF" w:rsidRDefault="00F056B4" w:rsidP="00043DEC">
            <w:pPr>
              <w:pStyle w:val="TableText0"/>
              <w:spacing w:before="0"/>
              <w:ind w:left="-57" w:right="-57"/>
              <w:contextualSpacing/>
            </w:pPr>
            <w:r w:rsidRPr="00DB2FCF">
              <w:t>(Standard hospital supplies)</w:t>
            </w:r>
          </w:p>
        </w:tc>
      </w:tr>
      <w:tr w:rsidR="00442030" w:rsidRPr="00490FBB" w14:paraId="68E5599C" w14:textId="77777777" w:rsidTr="000641FF">
        <w:tc>
          <w:tcPr>
            <w:tcW w:w="1553" w:type="pct"/>
            <w:vMerge w:val="restart"/>
            <w:vAlign w:val="center"/>
          </w:tcPr>
          <w:p w14:paraId="00AD320F" w14:textId="77777777" w:rsidR="00442030" w:rsidRPr="00DB0020" w:rsidRDefault="00442030" w:rsidP="00043DEC">
            <w:pPr>
              <w:pStyle w:val="TableText0"/>
              <w:spacing w:before="0"/>
              <w:ind w:left="-57" w:right="-57"/>
              <w:contextualSpacing/>
            </w:pPr>
            <w:r w:rsidRPr="00DB0020">
              <w:t>Local anaesthetic infusion device:</w:t>
            </w:r>
          </w:p>
          <w:p w14:paraId="0F660E9E" w14:textId="77777777" w:rsidR="00442030" w:rsidRPr="00DB0020" w:rsidRDefault="00442030" w:rsidP="00043DEC">
            <w:pPr>
              <w:pStyle w:val="TableText0"/>
              <w:ind w:left="-57" w:right="-57"/>
              <w:contextualSpacing/>
            </w:pPr>
            <w:r w:rsidRPr="00DB0020">
              <w:t xml:space="preserve">Single use elastomeric pump </w:t>
            </w:r>
          </w:p>
        </w:tc>
        <w:tc>
          <w:tcPr>
            <w:tcW w:w="2592" w:type="pct"/>
            <w:tcBorders>
              <w:bottom w:val="nil"/>
            </w:tcBorders>
            <w:vAlign w:val="center"/>
          </w:tcPr>
          <w:p w14:paraId="594B7A78" w14:textId="77777777" w:rsidR="00442030" w:rsidRPr="00DB2FCF" w:rsidRDefault="00442030" w:rsidP="00043DEC">
            <w:pPr>
              <w:pStyle w:val="TableText0"/>
              <w:spacing w:before="0"/>
              <w:ind w:left="-57" w:right="-57"/>
              <w:contextualSpacing/>
            </w:pPr>
            <w:r w:rsidRPr="00315145">
              <w:t>47190 - Elastomeric infusion pump kit</w:t>
            </w:r>
            <w:r>
              <w:t xml:space="preserve"> (3)</w:t>
            </w:r>
          </w:p>
        </w:tc>
        <w:tc>
          <w:tcPr>
            <w:tcW w:w="855" w:type="pct"/>
            <w:tcBorders>
              <w:bottom w:val="nil"/>
            </w:tcBorders>
            <w:vAlign w:val="center"/>
          </w:tcPr>
          <w:p w14:paraId="3FA64657" w14:textId="77777777" w:rsidR="00442030" w:rsidRPr="00DB2FCF" w:rsidRDefault="00442030" w:rsidP="00043DEC">
            <w:pPr>
              <w:pStyle w:val="TableText0"/>
              <w:spacing w:before="0"/>
              <w:ind w:left="-57" w:right="-57"/>
              <w:contextualSpacing/>
            </w:pPr>
            <w:r w:rsidRPr="00DB2FCF">
              <w:t xml:space="preserve">312732 </w:t>
            </w:r>
          </w:p>
        </w:tc>
      </w:tr>
      <w:tr w:rsidR="00442030" w:rsidRPr="00490FBB" w14:paraId="710C5E10" w14:textId="77777777" w:rsidTr="000641FF">
        <w:tc>
          <w:tcPr>
            <w:tcW w:w="1553" w:type="pct"/>
            <w:vMerge/>
            <w:vAlign w:val="center"/>
          </w:tcPr>
          <w:p w14:paraId="41ABA5FD" w14:textId="77777777" w:rsidR="00442030" w:rsidRPr="00DB0020" w:rsidRDefault="00442030" w:rsidP="00043DEC">
            <w:pPr>
              <w:pStyle w:val="TableText0"/>
              <w:spacing w:before="0"/>
              <w:ind w:left="-57" w:right="-57"/>
              <w:contextualSpacing/>
            </w:pPr>
          </w:p>
        </w:tc>
        <w:tc>
          <w:tcPr>
            <w:tcW w:w="2592" w:type="pct"/>
            <w:tcBorders>
              <w:top w:val="nil"/>
            </w:tcBorders>
            <w:vAlign w:val="center"/>
          </w:tcPr>
          <w:p w14:paraId="710BBF76" w14:textId="77777777" w:rsidR="00442030" w:rsidRPr="00DB2FCF" w:rsidRDefault="00442030" w:rsidP="00043DEC">
            <w:pPr>
              <w:pStyle w:val="TableText0"/>
              <w:spacing w:before="0"/>
              <w:ind w:left="-57" w:right="-57"/>
              <w:contextualSpacing/>
            </w:pPr>
            <w:r w:rsidRPr="007E1113">
              <w:t>46542</w:t>
            </w:r>
            <w:r w:rsidRPr="00315145">
              <w:t xml:space="preserve"> -</w:t>
            </w:r>
            <w:r w:rsidRPr="007E1113">
              <w:t xml:space="preserve"> Elastomeric infusion pump system</w:t>
            </w:r>
            <w:r>
              <w:t xml:space="preserve"> (12)</w:t>
            </w:r>
          </w:p>
        </w:tc>
        <w:tc>
          <w:tcPr>
            <w:tcW w:w="855" w:type="pct"/>
            <w:tcBorders>
              <w:top w:val="nil"/>
            </w:tcBorders>
            <w:vAlign w:val="center"/>
          </w:tcPr>
          <w:p w14:paraId="6ABD08ED" w14:textId="34C1DBF2" w:rsidR="00442030" w:rsidRPr="00DB2FCF" w:rsidRDefault="00442030" w:rsidP="00043DEC">
            <w:pPr>
              <w:pStyle w:val="TableText0"/>
              <w:spacing w:before="0"/>
              <w:ind w:left="-57" w:right="-57"/>
              <w:contextualSpacing/>
            </w:pPr>
            <w:r w:rsidRPr="00DB2FCF">
              <w:t>142526</w:t>
            </w:r>
            <w:r w:rsidR="00E82375">
              <w:br/>
            </w:r>
            <w:r w:rsidR="00E82375" w:rsidRPr="00775020">
              <w:rPr>
                <w:i/>
                <w:iCs/>
              </w:rPr>
              <w:t xml:space="preserve">221448 </w:t>
            </w:r>
            <w:r w:rsidR="00E82375">
              <w:rPr>
                <w:i/>
                <w:iCs/>
              </w:rPr>
              <w:br/>
            </w:r>
            <w:r w:rsidR="00E82375" w:rsidRPr="00E82375">
              <w:t xml:space="preserve">329420 </w:t>
            </w:r>
          </w:p>
        </w:tc>
      </w:tr>
    </w:tbl>
    <w:p w14:paraId="0C74AC86" w14:textId="0FF96E58" w:rsidR="001341F1" w:rsidRPr="00BC13D1" w:rsidRDefault="001341F1" w:rsidP="00D2440F">
      <w:pPr>
        <w:pStyle w:val="Tablenotes"/>
        <w:spacing w:after="240"/>
      </w:pPr>
      <w:r w:rsidRPr="00BC13D1">
        <w:t xml:space="preserve">Source: </w:t>
      </w:r>
      <w:r w:rsidR="00793665">
        <w:t xml:space="preserve">MSAC Application </w:t>
      </w:r>
      <w:r w:rsidRPr="00BC13D1">
        <w:t>1741 summary</w:t>
      </w:r>
      <w:r w:rsidR="00DB2FCF" w:rsidRPr="00BC13D1">
        <w:t>; evaluator search of ARTG</w:t>
      </w:r>
      <w:r w:rsidR="00A64D45" w:rsidRPr="00BC13D1">
        <w:t xml:space="preserve">. </w:t>
      </w:r>
      <w:r w:rsidR="0039282B">
        <w:tab/>
      </w:r>
      <w:r w:rsidR="0039282B">
        <w:br/>
      </w:r>
      <w:r w:rsidR="00CE1530">
        <w:t>ARTG</w:t>
      </w:r>
      <w:r w:rsidR="004D510F">
        <w:t>=</w:t>
      </w:r>
      <w:r w:rsidR="00CE1530">
        <w:t xml:space="preserve">Australian Register of Therapeutic Goods; </w:t>
      </w:r>
      <w:r w:rsidR="0039282B">
        <w:t>GMDN</w:t>
      </w:r>
      <w:r w:rsidR="004D510F">
        <w:t>=</w:t>
      </w:r>
      <w:r w:rsidR="00CE1530">
        <w:t>Global Medical Device Nomenclature</w:t>
      </w:r>
      <w:r w:rsidR="00442030">
        <w:t>; PCRA</w:t>
      </w:r>
      <w:r w:rsidR="004D510F">
        <w:t>=</w:t>
      </w:r>
      <w:r w:rsidR="00442030">
        <w:t>patient controlled regional analge</w:t>
      </w:r>
      <w:r w:rsidR="00AA509A">
        <w:t xml:space="preserve">sia device. </w:t>
      </w:r>
    </w:p>
    <w:p w14:paraId="0F178C46" w14:textId="6C2CE4F3" w:rsidR="00865A32" w:rsidRPr="008031C1" w:rsidRDefault="001F2AA2" w:rsidP="00775020">
      <w:r w:rsidRPr="008031C1">
        <w:t>The applicant noted that three of the elastomeric</w:t>
      </w:r>
      <w:r w:rsidR="004F2BEC" w:rsidRPr="008031C1">
        <w:t xml:space="preserve"> pumps used for ambulatory patients have recently been deleted </w:t>
      </w:r>
      <w:r w:rsidR="006948FC" w:rsidRPr="008031C1">
        <w:t xml:space="preserve">as benefits </w:t>
      </w:r>
      <w:r w:rsidR="004F2BEC" w:rsidRPr="008031C1">
        <w:t>from the Prostheses List</w:t>
      </w:r>
      <w:r w:rsidR="00775020" w:rsidRPr="008031C1">
        <w:t xml:space="preserve"> </w:t>
      </w:r>
      <w:r w:rsidR="00576E69" w:rsidRPr="008031C1">
        <w:t xml:space="preserve">though they remain on the ARTG </w:t>
      </w:r>
      <w:r w:rsidR="00775020" w:rsidRPr="008031C1">
        <w:t>(B Brain Easypump II</w:t>
      </w:r>
      <w:r w:rsidR="00E82375" w:rsidRPr="008031C1">
        <w:t xml:space="preserve"> [ARTG 221448]</w:t>
      </w:r>
      <w:r w:rsidR="00775020" w:rsidRPr="008031C1">
        <w:t>; LTR Medical Accufuser</w:t>
      </w:r>
      <w:r w:rsidR="00E82375" w:rsidRPr="008031C1">
        <w:t xml:space="preserve"> [ARTG 329420];</w:t>
      </w:r>
      <w:r w:rsidR="00775020" w:rsidRPr="008031C1">
        <w:t xml:space="preserve"> ON-Q Pain Relief</w:t>
      </w:r>
      <w:r w:rsidR="00872813" w:rsidRPr="008031C1">
        <w:t xml:space="preserve"> [ARTG 312732]</w:t>
      </w:r>
      <w:r w:rsidR="00775020" w:rsidRPr="008031C1">
        <w:t>)</w:t>
      </w:r>
      <w:r w:rsidR="004F2BEC" w:rsidRPr="008031C1">
        <w:t xml:space="preserve">. </w:t>
      </w:r>
    </w:p>
    <w:p w14:paraId="42BE8F5A" w14:textId="6077FB96" w:rsidR="00D936AD" w:rsidRDefault="00D936AD" w:rsidP="00D936AD">
      <w:pPr>
        <w:rPr>
          <w:i/>
          <w:iCs/>
        </w:rPr>
      </w:pPr>
      <w:r w:rsidRPr="002174CE">
        <w:rPr>
          <w:i/>
          <w:iCs/>
        </w:rPr>
        <w:t xml:space="preserve">Assuming the MBS fee will be set by the </w:t>
      </w:r>
      <w:r>
        <w:rPr>
          <w:i/>
          <w:iCs/>
        </w:rPr>
        <w:t xml:space="preserve">RVG </w:t>
      </w:r>
      <w:r w:rsidRPr="002174CE">
        <w:rPr>
          <w:i/>
          <w:iCs/>
        </w:rPr>
        <w:t xml:space="preserve">basic units measure of complexity, an exhaustive list of items will not be required for the </w:t>
      </w:r>
      <w:r w:rsidR="000A3046">
        <w:rPr>
          <w:i/>
          <w:iCs/>
        </w:rPr>
        <w:t>A</w:t>
      </w:r>
      <w:r w:rsidRPr="002174CE">
        <w:rPr>
          <w:i/>
          <w:iCs/>
        </w:rPr>
        <w:t xml:space="preserve">ssessment </w:t>
      </w:r>
      <w:r w:rsidR="000A3046">
        <w:rPr>
          <w:i/>
          <w:iCs/>
        </w:rPr>
        <w:t>R</w:t>
      </w:r>
      <w:r w:rsidRPr="002174CE">
        <w:rPr>
          <w:i/>
          <w:iCs/>
        </w:rPr>
        <w:t xml:space="preserve">eport in order to calculate costs </w:t>
      </w:r>
      <w:r>
        <w:rPr>
          <w:i/>
          <w:iCs/>
        </w:rPr>
        <w:t>as the</w:t>
      </w:r>
      <w:r w:rsidRPr="002174CE">
        <w:rPr>
          <w:i/>
          <w:iCs/>
        </w:rPr>
        <w:t xml:space="preserve"> basis for a potential fee. </w:t>
      </w:r>
    </w:p>
    <w:p w14:paraId="6F628288" w14:textId="2E2A30DD" w:rsidR="00A93D02" w:rsidRDefault="006D3DF2" w:rsidP="00A93D02">
      <w:pPr>
        <w:pStyle w:val="Heading6"/>
      </w:pPr>
      <w:r>
        <w:t>Tests</w:t>
      </w:r>
    </w:p>
    <w:p w14:paraId="586F573C" w14:textId="0DBFA978" w:rsidR="00D52766" w:rsidRDefault="00D52766" w:rsidP="00D36BDE">
      <w:r>
        <w:t>For certain types of continuous nerve block</w:t>
      </w:r>
      <w:r w:rsidR="00E61A54">
        <w:t xml:space="preserve"> agent</w:t>
      </w:r>
      <w:r>
        <w:t>s</w:t>
      </w:r>
      <w:r w:rsidR="00E61A54">
        <w:t>,</w:t>
      </w:r>
      <w:r>
        <w:t xml:space="preserve"> a blood test </w:t>
      </w:r>
      <w:r w:rsidR="006A247C">
        <w:t xml:space="preserve">may be required </w:t>
      </w:r>
      <w:r>
        <w:t>(full blood count and coagulation tests</w:t>
      </w:r>
      <w:r w:rsidR="006C5A5A">
        <w:t>,</w:t>
      </w:r>
      <w:r w:rsidR="00153AF1">
        <w:t xml:space="preserve"> </w:t>
      </w:r>
      <w:r w:rsidR="006C5A5A">
        <w:t xml:space="preserve">for example, </w:t>
      </w:r>
      <w:r w:rsidR="00153AF1">
        <w:t>to prevent haematoma in patients on anticoagulant therapy</w:t>
      </w:r>
      <w:r w:rsidR="006C5A5A">
        <w:t>)</w:t>
      </w:r>
      <w:r>
        <w:t xml:space="preserve">. These tests </w:t>
      </w:r>
      <w:r w:rsidR="00B669A1">
        <w:t>would</w:t>
      </w:r>
      <w:r>
        <w:t xml:space="preserve"> have already been conducted </w:t>
      </w:r>
      <w:r w:rsidR="00171DC4">
        <w:t>in</w:t>
      </w:r>
      <w:r>
        <w:t xml:space="preserve"> preparation</w:t>
      </w:r>
      <w:r w:rsidR="00171DC4">
        <w:t xml:space="preserve"> for surgery</w:t>
      </w:r>
      <w:r w:rsidR="00B669A1">
        <w:t xml:space="preserve"> in the normal course of clinical practice</w:t>
      </w:r>
      <w:r>
        <w:t>.</w:t>
      </w:r>
    </w:p>
    <w:p w14:paraId="7A69AC4F" w14:textId="1253CCD3" w:rsidR="00A93D02" w:rsidRDefault="00A93D02" w:rsidP="00A93D02">
      <w:pPr>
        <w:pStyle w:val="Heading6"/>
      </w:pPr>
      <w:r>
        <w:t>Consumables</w:t>
      </w:r>
    </w:p>
    <w:p w14:paraId="469B34CB" w14:textId="1DBBEB42" w:rsidR="00D36BDE" w:rsidRPr="00917773" w:rsidRDefault="00816DCC" w:rsidP="00D36BDE">
      <w:r w:rsidRPr="006D4398">
        <w:t>A single-use</w:t>
      </w:r>
      <w:r w:rsidR="00D936AD">
        <w:t xml:space="preserve"> catheter</w:t>
      </w:r>
      <w:r w:rsidRPr="006D4398">
        <w:t xml:space="preserve"> kit </w:t>
      </w:r>
      <w:r w:rsidR="006115E2">
        <w:t>is used</w:t>
      </w:r>
      <w:r w:rsidRPr="006D4398">
        <w:t xml:space="preserve"> to </w:t>
      </w:r>
      <w:r w:rsidR="006115E2">
        <w:t>ad</w:t>
      </w:r>
      <w:r w:rsidR="00E61A54">
        <w:t>minister</w:t>
      </w:r>
      <w:r w:rsidRPr="006D4398">
        <w:t xml:space="preserve"> the block. </w:t>
      </w:r>
      <w:r w:rsidR="00510DF2" w:rsidRPr="006D4398">
        <w:t>The kit</w:t>
      </w:r>
      <w:r w:rsidR="00E61A54">
        <w:t xml:space="preserve"> usually</w:t>
      </w:r>
      <w:r w:rsidR="00510DF2" w:rsidRPr="006D4398">
        <w:t xml:space="preserve"> includes </w:t>
      </w:r>
      <w:r w:rsidR="00E61A54">
        <w:t>a</w:t>
      </w:r>
      <w:r w:rsidR="00510DF2" w:rsidRPr="006D4398">
        <w:t xml:space="preserve"> needle</w:t>
      </w:r>
      <w:r w:rsidR="00E61A54">
        <w:t xml:space="preserve"> (Tuohy or similar)</w:t>
      </w:r>
      <w:r w:rsidR="00510DF2" w:rsidRPr="006D4398">
        <w:t>, catheter, connector, filter</w:t>
      </w:r>
      <w:r w:rsidR="000C2FBF" w:rsidRPr="006D4398">
        <w:t xml:space="preserve"> and fixation device. </w:t>
      </w:r>
      <w:r w:rsidR="00E61A54">
        <w:t>According to the</w:t>
      </w:r>
      <w:r w:rsidR="00D36BDE" w:rsidRPr="00D31121">
        <w:t xml:space="preserve"> applicant</w:t>
      </w:r>
      <w:r w:rsidR="00E61A54">
        <w:t xml:space="preserve">, </w:t>
      </w:r>
      <w:r w:rsidR="00D36BDE" w:rsidRPr="00D31121">
        <w:t xml:space="preserve">catheter kits are </w:t>
      </w:r>
      <w:r w:rsidR="00D31121" w:rsidRPr="00D31121">
        <w:t>available in most surgical facilities</w:t>
      </w:r>
      <w:r w:rsidR="00D36BDE">
        <w:t xml:space="preserve"> </w:t>
      </w:r>
      <w:r w:rsidR="00D36BDE" w:rsidRPr="00917773">
        <w:t xml:space="preserve">and </w:t>
      </w:r>
      <w:r w:rsidR="008074A5">
        <w:t xml:space="preserve">are </w:t>
      </w:r>
      <w:r w:rsidR="00D36BDE" w:rsidRPr="00917773">
        <w:t>funded by the hospitals (</w:t>
      </w:r>
      <w:r w:rsidR="006359B6">
        <w:t>public</w:t>
      </w:r>
      <w:r w:rsidR="00D36BDE" w:rsidRPr="00917773">
        <w:t xml:space="preserve"> or private)</w:t>
      </w:r>
      <w:r w:rsidR="006D4398" w:rsidRPr="00917773">
        <w:t>.</w:t>
      </w:r>
      <w:r w:rsidR="00321325">
        <w:t xml:space="preserve"> The elastomeric pump with or without PCRA are single use items and would also be considered consumables.</w:t>
      </w:r>
    </w:p>
    <w:p w14:paraId="2D473AA0" w14:textId="08677303" w:rsidR="00765E58" w:rsidRDefault="0079051B" w:rsidP="0079051B">
      <w:pPr>
        <w:pStyle w:val="Heading6"/>
      </w:pPr>
      <w:r>
        <w:lastRenderedPageBreak/>
        <w:t xml:space="preserve">Device – </w:t>
      </w:r>
      <w:r w:rsidR="00765E58">
        <w:t>Ultrasound</w:t>
      </w:r>
    </w:p>
    <w:p w14:paraId="36CD05F9" w14:textId="018F653E" w:rsidR="00A451B9" w:rsidRDefault="00D25908" w:rsidP="006D3DF2">
      <w:r>
        <w:t xml:space="preserve">The </w:t>
      </w:r>
      <w:r w:rsidR="00C54925">
        <w:t>applicant has advised</w:t>
      </w:r>
      <w:r w:rsidR="008D49FD">
        <w:t xml:space="preserve"> that a current generating point of care ultrasound device is required to </w:t>
      </w:r>
      <w:r w:rsidR="00C54925">
        <w:t xml:space="preserve">ensure safe positioning of the catheter. </w:t>
      </w:r>
      <w:r w:rsidR="006D3DF2">
        <w:t xml:space="preserve">Use of ultrasound guided imaging for catheter insertion is </w:t>
      </w:r>
      <w:r w:rsidR="00D66F82">
        <w:t>standard of care for the</w:t>
      </w:r>
      <w:r w:rsidR="006D3DF2">
        <w:t xml:space="preserve"> proposed nerve block </w:t>
      </w:r>
      <w:r w:rsidR="00F426EC">
        <w:t xml:space="preserve">(see comment above </w:t>
      </w:r>
      <w:r w:rsidR="004137FF">
        <w:t>‘</w:t>
      </w:r>
      <w:r w:rsidR="00F426EC">
        <w:fldChar w:fldCharType="begin"/>
      </w:r>
      <w:r w:rsidR="00F426EC">
        <w:instrText xml:space="preserve"> REF _Ref128737659 \h </w:instrText>
      </w:r>
      <w:r w:rsidR="00F426EC">
        <w:fldChar w:fldCharType="separate"/>
      </w:r>
      <w:r w:rsidR="00B65CEE" w:rsidRPr="00333CCA">
        <w:t>Mode of delivery</w:t>
      </w:r>
      <w:r w:rsidR="00B65CEE">
        <w:t xml:space="preserve"> and frequency</w:t>
      </w:r>
      <w:r w:rsidR="00F426EC">
        <w:fldChar w:fldCharType="end"/>
      </w:r>
      <w:r w:rsidR="004137FF">
        <w:t>’</w:t>
      </w:r>
      <w:r w:rsidR="00F426EC">
        <w:t xml:space="preserve">) </w:t>
      </w:r>
      <w:r w:rsidR="006D3DF2">
        <w:t xml:space="preserve">but </w:t>
      </w:r>
      <w:r w:rsidR="00F426EC">
        <w:t xml:space="preserve">ultrasound </w:t>
      </w:r>
      <w:r w:rsidR="006D3DF2">
        <w:t xml:space="preserve">is </w:t>
      </w:r>
      <w:r w:rsidR="00731FFE">
        <w:t>only</w:t>
      </w:r>
      <w:r w:rsidR="006D3DF2">
        <w:t xml:space="preserve"> funded on the MBS</w:t>
      </w:r>
      <w:r w:rsidR="00731FFE">
        <w:t xml:space="preserve"> for use with the stand-alone nerve block items in Group T7</w:t>
      </w:r>
      <w:r w:rsidR="006D3DF2">
        <w:t xml:space="preserve">. </w:t>
      </w:r>
    </w:p>
    <w:p w14:paraId="0BFB3283" w14:textId="7E91F584" w:rsidR="00A451B9" w:rsidRDefault="006F74F5" w:rsidP="006D3DF2">
      <w:r>
        <w:t>A</w:t>
      </w:r>
      <w:r w:rsidR="006D3DF2">
        <w:t>pplication 1308 noted that a separate application to MSAC had been considered for use of ultrasound in anaesthesia (</w:t>
      </w:r>
      <w:r w:rsidR="0035206F">
        <w:t xml:space="preserve">MSAC Application </w:t>
      </w:r>
      <w:r w:rsidR="006D3DF2">
        <w:t xml:space="preserve">1138, considered at </w:t>
      </w:r>
      <w:r w:rsidR="00165BE9">
        <w:t xml:space="preserve">the </w:t>
      </w:r>
      <w:r w:rsidR="006D3DF2">
        <w:t>November 2014 MSAC</w:t>
      </w:r>
      <w:r w:rsidR="00EA0474">
        <w:t xml:space="preserve"> meeting</w:t>
      </w:r>
      <w:r w:rsidR="006D3DF2">
        <w:t>)</w:t>
      </w:r>
      <w:r>
        <w:t>;</w:t>
      </w:r>
      <w:r w:rsidR="006D3DF2">
        <w:t xml:space="preserve"> however</w:t>
      </w:r>
      <w:r>
        <w:t>,</w:t>
      </w:r>
      <w:r w:rsidR="006D3DF2">
        <w:t xml:space="preserve"> that application was </w:t>
      </w:r>
      <w:r>
        <w:t xml:space="preserve">not supported </w:t>
      </w:r>
      <w:r w:rsidR="006D3DF2">
        <w:t>(see</w:t>
      </w:r>
      <w:r w:rsidR="00EA0474">
        <w:t xml:space="preserve"> Appendix</w:t>
      </w:r>
      <w:r w:rsidR="006D3DF2">
        <w:t xml:space="preserve">). The proposed fee for the service at that time was $58.85, </w:t>
      </w:r>
      <w:r w:rsidR="007A7D5F">
        <w:t>although</w:t>
      </w:r>
      <w:r w:rsidR="006D3DF2">
        <w:t xml:space="preserve"> costs for private ultrasound services can exceed $100. </w:t>
      </w:r>
    </w:p>
    <w:p w14:paraId="02658B55" w14:textId="5F30CE95" w:rsidR="006D3DF2" w:rsidRDefault="006D3DF2" w:rsidP="006D3DF2">
      <w:r>
        <w:t xml:space="preserve">The cost for unfunded ultrasound services to support the proposed item (mainly ultrasound equipment, but also consumables and staff) will fall to the States and Territories for </w:t>
      </w:r>
      <w:r w:rsidR="00EF09F7">
        <w:t xml:space="preserve">private patients in </w:t>
      </w:r>
      <w:r>
        <w:t>public hospital</w:t>
      </w:r>
      <w:r w:rsidR="00EF09F7">
        <w:t>s</w:t>
      </w:r>
      <w:r>
        <w:t>, and the patients themselves</w:t>
      </w:r>
      <w:r w:rsidR="00EF09F7">
        <w:t xml:space="preserve"> (or their private health funds)</w:t>
      </w:r>
      <w:r>
        <w:t xml:space="preserve"> for private hospital patients. This is currently the situation for all </w:t>
      </w:r>
      <w:r w:rsidR="00790F02">
        <w:t>RVG</w:t>
      </w:r>
      <w:r>
        <w:t xml:space="preserve"> nerve block items. </w:t>
      </w:r>
    </w:p>
    <w:p w14:paraId="23C336A5" w14:textId="0F3CDF3A" w:rsidR="008B1629" w:rsidRDefault="008B1629" w:rsidP="006D3DF2">
      <w:r w:rsidRPr="00C8588A">
        <w:rPr>
          <w:i/>
          <w:iCs/>
        </w:rPr>
        <w:t xml:space="preserve">PASC discussed </w:t>
      </w:r>
      <w:r w:rsidR="00E710DB" w:rsidRPr="00C8588A">
        <w:rPr>
          <w:i/>
          <w:iCs/>
        </w:rPr>
        <w:t>the use of ultrasound for the placement of continuous nerve blocks</w:t>
      </w:r>
      <w:r w:rsidR="00F30E7F" w:rsidRPr="00C8588A">
        <w:rPr>
          <w:i/>
          <w:iCs/>
        </w:rPr>
        <w:t xml:space="preserve"> and confirmed that u</w:t>
      </w:r>
      <w:r w:rsidR="00485A02" w:rsidRPr="00C8588A">
        <w:rPr>
          <w:i/>
          <w:iCs/>
        </w:rPr>
        <w:t>l</w:t>
      </w:r>
      <w:r w:rsidR="00F30E7F" w:rsidRPr="00C8588A">
        <w:rPr>
          <w:i/>
          <w:iCs/>
        </w:rPr>
        <w:t>trasound</w:t>
      </w:r>
      <w:r w:rsidR="006E537C" w:rsidRPr="00C8588A">
        <w:rPr>
          <w:i/>
          <w:iCs/>
        </w:rPr>
        <w:t xml:space="preserve"> could not be co-claimed with the proposed item. </w:t>
      </w:r>
      <w:r w:rsidR="008F6C38">
        <w:t>T</w:t>
      </w:r>
      <w:r w:rsidR="00AC06F1">
        <w:t xml:space="preserve">he applicant advised that </w:t>
      </w:r>
      <w:r w:rsidR="00390E32">
        <w:t xml:space="preserve">ultrasound </w:t>
      </w:r>
      <w:r w:rsidR="00C94505">
        <w:t>is not always vital</w:t>
      </w:r>
      <w:r w:rsidR="00245BF1">
        <w:t>,</w:t>
      </w:r>
      <w:r w:rsidR="00C94505">
        <w:t xml:space="preserve"> and that a </w:t>
      </w:r>
      <w:r w:rsidR="00FF71AA">
        <w:t xml:space="preserve">nerve stimulator may be used instead of ultrasound in some situations. </w:t>
      </w:r>
    </w:p>
    <w:p w14:paraId="07424BEF" w14:textId="03B3F164" w:rsidR="0079051B" w:rsidRDefault="0079051B" w:rsidP="0079051B">
      <w:pPr>
        <w:pStyle w:val="Heading6"/>
      </w:pPr>
      <w:bookmarkStart w:id="24" w:name="_Ref128742985"/>
      <w:r>
        <w:t xml:space="preserve">Device – </w:t>
      </w:r>
      <w:r w:rsidRPr="0079051B">
        <w:t>Local anaesthetic delivery device</w:t>
      </w:r>
      <w:bookmarkEnd w:id="24"/>
    </w:p>
    <w:p w14:paraId="16F12CA4" w14:textId="465BB032" w:rsidR="004914CC" w:rsidRDefault="00FA6627" w:rsidP="000618B9">
      <w:pPr>
        <w:spacing w:after="120"/>
      </w:pPr>
      <w:r>
        <w:t xml:space="preserve">A local anaesthetic delivery device is </w:t>
      </w:r>
      <w:r w:rsidR="006E6F94">
        <w:t xml:space="preserve">also </w:t>
      </w:r>
      <w:r>
        <w:t>required</w:t>
      </w:r>
      <w:r w:rsidR="006E6F94">
        <w:t xml:space="preserve">. </w:t>
      </w:r>
      <w:r w:rsidR="00D122E9">
        <w:t>For the two scenarios envisaged, t</w:t>
      </w:r>
      <w:r w:rsidR="006E6F94">
        <w:t xml:space="preserve">his </w:t>
      </w:r>
      <w:r w:rsidR="00D122E9">
        <w:t>would</w:t>
      </w:r>
      <w:r w:rsidR="006E6F94">
        <w:t xml:space="preserve"> be</w:t>
      </w:r>
      <w:r w:rsidR="0073718E">
        <w:t xml:space="preserve"> either:</w:t>
      </w:r>
      <w:r w:rsidR="006E6F94">
        <w:t xml:space="preserve"> </w:t>
      </w:r>
    </w:p>
    <w:p w14:paraId="676B05B1" w14:textId="43923CB6" w:rsidR="004914CC" w:rsidRDefault="006E6F94" w:rsidP="004914CC">
      <w:pPr>
        <w:pStyle w:val="ListParagraph"/>
        <w:numPr>
          <w:ilvl w:val="0"/>
          <w:numId w:val="21"/>
        </w:numPr>
      </w:pPr>
      <w:r>
        <w:t xml:space="preserve">a </w:t>
      </w:r>
      <w:r w:rsidR="004914CC">
        <w:t xml:space="preserve">conventional </w:t>
      </w:r>
      <w:r>
        <w:t xml:space="preserve">electric pump </w:t>
      </w:r>
      <w:r w:rsidR="00D122E9">
        <w:t>for in-patients</w:t>
      </w:r>
      <w:r w:rsidR="0073718E">
        <w:t>, or</w:t>
      </w:r>
    </w:p>
    <w:p w14:paraId="79CB5267" w14:textId="47265EF6" w:rsidR="00FA6627" w:rsidRDefault="006E4A43" w:rsidP="004914CC">
      <w:pPr>
        <w:pStyle w:val="ListParagraph"/>
        <w:numPr>
          <w:ilvl w:val="0"/>
          <w:numId w:val="21"/>
        </w:numPr>
      </w:pPr>
      <w:r>
        <w:t xml:space="preserve">for ambulatory patients, </w:t>
      </w:r>
      <w:r w:rsidR="00D122E9">
        <w:t>a disposable elastomeric pump</w:t>
      </w:r>
      <w:r>
        <w:t xml:space="preserve"> set to administer local anaesthetic at a fixed rate</w:t>
      </w:r>
      <w:r w:rsidR="000A49EB">
        <w:t>,</w:t>
      </w:r>
      <w:r w:rsidR="004914CC">
        <w:t xml:space="preserve"> with a </w:t>
      </w:r>
      <w:r w:rsidR="000A49EB">
        <w:t>PCRA (</w:t>
      </w:r>
      <w:r w:rsidR="004914CC">
        <w:t>patient controlled regional analgesia device)</w:t>
      </w:r>
      <w:r w:rsidR="003B28C1">
        <w:t xml:space="preserve">. </w:t>
      </w:r>
      <w:r w:rsidR="00070503">
        <w:t xml:space="preserve">The applicant has advised that these </w:t>
      </w:r>
      <w:r>
        <w:t xml:space="preserve">pumps </w:t>
      </w:r>
      <w:r w:rsidR="00070503">
        <w:t xml:space="preserve">are available in most </w:t>
      </w:r>
      <w:r>
        <w:t>hospitals</w:t>
      </w:r>
      <w:r w:rsidR="00070503">
        <w:t xml:space="preserve"> (</w:t>
      </w:r>
      <w:r w:rsidR="00C073B2">
        <w:t xml:space="preserve">approximately </w:t>
      </w:r>
      <w:r w:rsidR="00070503">
        <w:t>$150</w:t>
      </w:r>
      <w:r w:rsidR="00CB3DCA">
        <w:t xml:space="preserve"> </w:t>
      </w:r>
      <w:r w:rsidR="00173932">
        <w:t xml:space="preserve">per </w:t>
      </w:r>
      <w:r w:rsidR="00070503">
        <w:t xml:space="preserve">unit). The pump </w:t>
      </w:r>
      <w:r w:rsidR="00A14D34">
        <w:t>would</w:t>
      </w:r>
      <w:r w:rsidR="00070503">
        <w:t xml:space="preserve"> be</w:t>
      </w:r>
      <w:r w:rsidR="00C7782F">
        <w:t xml:space="preserve"> filled </w:t>
      </w:r>
      <w:r w:rsidR="001516FB">
        <w:t xml:space="preserve">with sufficient local anaesthetic for a </w:t>
      </w:r>
      <w:r w:rsidR="00083188">
        <w:t xml:space="preserve">low rate </w:t>
      </w:r>
      <w:r w:rsidR="00F05405">
        <w:t>72-hour</w:t>
      </w:r>
      <w:r w:rsidR="00F27FDD">
        <w:t xml:space="preserve"> infusion (typically 2</w:t>
      </w:r>
      <w:r w:rsidR="00C00350">
        <w:noBreakHyphen/>
      </w:r>
      <w:r w:rsidR="00F27FDD">
        <w:t>5</w:t>
      </w:r>
      <w:r w:rsidR="00AF5AAF">
        <w:t xml:space="preserve"> </w:t>
      </w:r>
      <w:r w:rsidR="00F27FDD">
        <w:t>mL/hour</w:t>
      </w:r>
      <w:r w:rsidR="00083188">
        <w:t>)</w:t>
      </w:r>
      <w:r w:rsidR="00F50955">
        <w:t xml:space="preserve"> at discharge</w:t>
      </w:r>
      <w:r w:rsidR="00C7782F">
        <w:t>.</w:t>
      </w:r>
      <w:r w:rsidR="00083188">
        <w:t xml:space="preserve"> If</w:t>
      </w:r>
      <w:r w:rsidR="006909F9">
        <w:t xml:space="preserve"> the patient </w:t>
      </w:r>
      <w:r w:rsidR="00F50955">
        <w:t>has</w:t>
      </w:r>
      <w:r w:rsidR="006909F9">
        <w:t xml:space="preserve"> breakthrough pain, </w:t>
      </w:r>
      <w:r w:rsidR="00083188">
        <w:t xml:space="preserve">they use </w:t>
      </w:r>
      <w:r w:rsidR="006909F9">
        <w:t xml:space="preserve">the </w:t>
      </w:r>
      <w:r w:rsidR="007867DC">
        <w:t xml:space="preserve">PCRA </w:t>
      </w:r>
      <w:r w:rsidR="00083188">
        <w:t>to</w:t>
      </w:r>
      <w:r w:rsidR="007867DC">
        <w:t xml:space="preserve"> deliver a 5</w:t>
      </w:r>
      <w:r w:rsidR="00AF5AAF">
        <w:t xml:space="preserve"> </w:t>
      </w:r>
      <w:r w:rsidR="007867DC">
        <w:t>mL bolus</w:t>
      </w:r>
      <w:r w:rsidR="00742CBC">
        <w:t xml:space="preserve"> (</w:t>
      </w:r>
      <w:r w:rsidR="009048F0">
        <w:t xml:space="preserve">typically </w:t>
      </w:r>
      <w:r w:rsidR="00742CBC">
        <w:t>with a 30-minute lock-out)</w:t>
      </w:r>
      <w:r w:rsidR="007867DC">
        <w:t xml:space="preserve">. </w:t>
      </w:r>
    </w:p>
    <w:p w14:paraId="53FDCEEE" w14:textId="65ACFA4F" w:rsidR="003D5824" w:rsidRDefault="00A63142" w:rsidP="0079051B">
      <w:pPr>
        <w:pStyle w:val="Heading4"/>
      </w:pPr>
      <w:r>
        <w:t>Existing therapies and c</w:t>
      </w:r>
      <w:r w:rsidR="003D5824">
        <w:t>urrent funding</w:t>
      </w:r>
    </w:p>
    <w:p w14:paraId="0AC567CC" w14:textId="40F301EE" w:rsidR="00FC675A" w:rsidRDefault="000345A5" w:rsidP="007F5D14">
      <w:pPr>
        <w:spacing w:after="120"/>
      </w:pPr>
      <w:r>
        <w:t xml:space="preserve">The applicant has advised that </w:t>
      </w:r>
      <w:r w:rsidR="00A54537">
        <w:t>at present</w:t>
      </w:r>
      <w:r w:rsidR="005017D8">
        <w:t>,</w:t>
      </w:r>
      <w:r>
        <w:t xml:space="preserve"> continuous</w:t>
      </w:r>
      <w:r w:rsidR="00B05D97">
        <w:t xml:space="preserve"> </w:t>
      </w:r>
      <w:r w:rsidR="00CB0420">
        <w:t xml:space="preserve">nerve blocks </w:t>
      </w:r>
      <w:r w:rsidR="003436F6">
        <w:t xml:space="preserve">are </w:t>
      </w:r>
      <w:r w:rsidR="00540F7D">
        <w:t xml:space="preserve">either </w:t>
      </w:r>
      <w:r w:rsidR="003436F6">
        <w:t xml:space="preserve">not </w:t>
      </w:r>
      <w:r w:rsidR="00FC675A">
        <w:t>performed</w:t>
      </w:r>
      <w:r w:rsidR="00D7284E">
        <w:t>,</w:t>
      </w:r>
      <w:r w:rsidR="003436F6">
        <w:t xml:space="preserve"> </w:t>
      </w:r>
      <w:r w:rsidR="00CB0420">
        <w:t>self-funded by patients</w:t>
      </w:r>
      <w:r w:rsidR="00D7284E">
        <w:t xml:space="preserve">, or </w:t>
      </w:r>
      <w:r w:rsidR="00D7284E" w:rsidRPr="00353563">
        <w:t>some anaesthetists were claiming the single injection nerve block for continuous nerve block services in lieu of a better item</w:t>
      </w:r>
      <w:r w:rsidR="00223DEE">
        <w:t xml:space="preserve">. </w:t>
      </w:r>
      <w:r w:rsidR="00EE3E78" w:rsidRPr="007E1F2A">
        <w:t xml:space="preserve">Given the wide utilisation of continuous nerve blocks outlined in the letter of support from the </w:t>
      </w:r>
      <w:r w:rsidR="00536659" w:rsidRPr="007E1F2A">
        <w:t>applicant’s Regional Anaesthesia Specialist Interest Group</w:t>
      </w:r>
      <w:r w:rsidR="00530B00" w:rsidRPr="007E1F2A">
        <w:t xml:space="preserve">, </w:t>
      </w:r>
      <w:r w:rsidR="00D14B2B" w:rsidRPr="007E1F2A">
        <w:t xml:space="preserve">it is </w:t>
      </w:r>
      <w:r w:rsidR="00BA6962" w:rsidRPr="007E1F2A">
        <w:t>unclear whether</w:t>
      </w:r>
      <w:r w:rsidR="00E31A38" w:rsidRPr="007E1F2A">
        <w:t xml:space="preserve"> </w:t>
      </w:r>
      <w:r w:rsidR="00100D33" w:rsidRPr="007E1F2A">
        <w:t xml:space="preserve">the procedure is being funded by hospitals </w:t>
      </w:r>
      <w:r w:rsidR="00FC675A" w:rsidRPr="007E1F2A">
        <w:t>(for public patients)</w:t>
      </w:r>
      <w:r w:rsidR="006364DB" w:rsidRPr="007E1F2A">
        <w:t xml:space="preserve"> or self-funded (by private patients)</w:t>
      </w:r>
      <w:r w:rsidR="00FC675A" w:rsidRPr="007E1F2A">
        <w:t xml:space="preserve">. </w:t>
      </w:r>
    </w:p>
    <w:p w14:paraId="285166FD" w14:textId="08FD4424" w:rsidR="005D0FDD" w:rsidRPr="007B6A1A" w:rsidRDefault="007B6A1A" w:rsidP="007F5D14">
      <w:pPr>
        <w:spacing w:after="120"/>
      </w:pPr>
      <w:r>
        <w:t>Continuous nerve block</w:t>
      </w:r>
      <w:r w:rsidR="008576A3">
        <w:t>s</w:t>
      </w:r>
      <w:r>
        <w:t xml:space="preserve"> for post</w:t>
      </w:r>
      <w:r w:rsidR="00C01C10">
        <w:t>operative</w:t>
      </w:r>
      <w:r>
        <w:t xml:space="preserve"> pain management </w:t>
      </w:r>
      <w:r w:rsidR="0032481F">
        <w:t>are</w:t>
      </w:r>
      <w:r>
        <w:t xml:space="preserve"> </w:t>
      </w:r>
      <w:r w:rsidR="00764CFE">
        <w:t xml:space="preserve">not </w:t>
      </w:r>
      <w:r>
        <w:t xml:space="preserve">currently </w:t>
      </w:r>
      <w:r w:rsidR="002F6DC1">
        <w:t xml:space="preserve">publicly </w:t>
      </w:r>
      <w:r>
        <w:t xml:space="preserve">funded </w:t>
      </w:r>
      <w:r w:rsidR="0032481F">
        <w:t>on the MBS as stand-alone items</w:t>
      </w:r>
      <w:r w:rsidR="00764CFE">
        <w:t xml:space="preserve"> in </w:t>
      </w:r>
      <w:r w:rsidR="008576A3">
        <w:t>Group T7</w:t>
      </w:r>
      <w:r w:rsidR="00764CFE">
        <w:t xml:space="preserve">. </w:t>
      </w:r>
      <w:r w:rsidR="003D52D0">
        <w:t>The applicant note</w:t>
      </w:r>
      <w:r w:rsidR="006768AE">
        <w:t>d</w:t>
      </w:r>
      <w:r w:rsidR="003D52D0">
        <w:t xml:space="preserve"> that </w:t>
      </w:r>
      <w:r w:rsidR="00992764">
        <w:t>the</w:t>
      </w:r>
      <w:r w:rsidR="003D52D0">
        <w:t xml:space="preserve"> </w:t>
      </w:r>
      <w:r w:rsidR="00992764">
        <w:t>need for</w:t>
      </w:r>
      <w:r w:rsidR="003D52D0">
        <w:t xml:space="preserve"> continuous nerve blocks </w:t>
      </w:r>
      <w:r w:rsidR="00992764">
        <w:t>as a stand-alone item without surgery</w:t>
      </w:r>
      <w:r w:rsidR="003432E3">
        <w:t xml:space="preserve"> is too limited to warrant an application for an MBS item</w:t>
      </w:r>
      <w:r w:rsidR="00992764">
        <w:t>.</w:t>
      </w:r>
    </w:p>
    <w:p w14:paraId="27D665F1" w14:textId="4022C756" w:rsidR="0034086E" w:rsidRPr="00AF1AAB" w:rsidRDefault="0034086E" w:rsidP="0034086E">
      <w:pPr>
        <w:pStyle w:val="Heading4"/>
      </w:pPr>
      <w:r w:rsidRPr="00AF1AAB">
        <w:t>Other relevant consideration</w:t>
      </w:r>
      <w:r w:rsidR="00B841AA" w:rsidRPr="00AF1AAB">
        <w:t>s</w:t>
      </w:r>
    </w:p>
    <w:p w14:paraId="61FEFA5E" w14:textId="77777777" w:rsidR="00AA04C9" w:rsidRDefault="009F5CB9" w:rsidP="00DD274D">
      <w:pPr>
        <w:rPr>
          <w:iCs/>
        </w:rPr>
      </w:pPr>
      <w:r w:rsidRPr="009F5CB9">
        <w:rPr>
          <w:iCs/>
        </w:rPr>
        <w:t xml:space="preserve">Given the </w:t>
      </w:r>
      <w:r>
        <w:rPr>
          <w:iCs/>
        </w:rPr>
        <w:t xml:space="preserve">reported </w:t>
      </w:r>
      <w:r w:rsidR="0096432C">
        <w:rPr>
          <w:iCs/>
        </w:rPr>
        <w:t>current wide utilisation of continuous nerve blocks for post</w:t>
      </w:r>
      <w:r w:rsidR="00C01C10">
        <w:rPr>
          <w:iCs/>
        </w:rPr>
        <w:t>operative</w:t>
      </w:r>
      <w:r w:rsidR="0096432C">
        <w:rPr>
          <w:iCs/>
        </w:rPr>
        <w:t xml:space="preserve"> pain management, significant implementation issues would not be anticipated</w:t>
      </w:r>
      <w:r w:rsidR="00617084">
        <w:rPr>
          <w:iCs/>
        </w:rPr>
        <w:t xml:space="preserve"> for use in hospital in-patients</w:t>
      </w:r>
      <w:r w:rsidR="0096432C">
        <w:rPr>
          <w:iCs/>
        </w:rPr>
        <w:t xml:space="preserve">. </w:t>
      </w:r>
    </w:p>
    <w:p w14:paraId="69064A94" w14:textId="7165A0BF" w:rsidR="000556AB" w:rsidRDefault="00AA04C9" w:rsidP="00DD274D">
      <w:pPr>
        <w:rPr>
          <w:iCs/>
        </w:rPr>
      </w:pPr>
      <w:r>
        <w:rPr>
          <w:iCs/>
        </w:rPr>
        <w:t>U</w:t>
      </w:r>
      <w:r w:rsidR="00617084">
        <w:rPr>
          <w:iCs/>
        </w:rPr>
        <w:t xml:space="preserve">se in </w:t>
      </w:r>
      <w:r w:rsidR="00340CE6">
        <w:rPr>
          <w:iCs/>
        </w:rPr>
        <w:t>ambulatory patients</w:t>
      </w:r>
      <w:r w:rsidR="000C2288">
        <w:rPr>
          <w:iCs/>
        </w:rPr>
        <w:t>,</w:t>
      </w:r>
      <w:r w:rsidR="00340CE6">
        <w:rPr>
          <w:iCs/>
        </w:rPr>
        <w:t xml:space="preserve"> </w:t>
      </w:r>
      <w:r w:rsidR="00D263FE">
        <w:rPr>
          <w:iCs/>
        </w:rPr>
        <w:t xml:space="preserve">who return home </w:t>
      </w:r>
      <w:r w:rsidR="000C2288">
        <w:rPr>
          <w:iCs/>
        </w:rPr>
        <w:t xml:space="preserve">to </w:t>
      </w:r>
      <w:r w:rsidR="00B175EC">
        <w:rPr>
          <w:iCs/>
        </w:rPr>
        <w:t xml:space="preserve">manage </w:t>
      </w:r>
      <w:r w:rsidR="00D263FE">
        <w:rPr>
          <w:iCs/>
        </w:rPr>
        <w:t xml:space="preserve">the catheter </w:t>
      </w:r>
      <w:r w:rsidR="0018048F">
        <w:rPr>
          <w:iCs/>
        </w:rPr>
        <w:t xml:space="preserve">and pump </w:t>
      </w:r>
      <w:r w:rsidR="00D263FE">
        <w:rPr>
          <w:iCs/>
        </w:rPr>
        <w:t>themselves</w:t>
      </w:r>
      <w:r w:rsidR="0018048F">
        <w:rPr>
          <w:iCs/>
        </w:rPr>
        <w:t xml:space="preserve"> </w:t>
      </w:r>
      <w:r w:rsidR="00340CE6">
        <w:rPr>
          <w:iCs/>
        </w:rPr>
        <w:t>may have a consequent training and quality assurance impac</w:t>
      </w:r>
      <w:r w:rsidR="000C2288">
        <w:rPr>
          <w:iCs/>
        </w:rPr>
        <w:t>t. T</w:t>
      </w:r>
      <w:r w:rsidR="00340CE6">
        <w:rPr>
          <w:iCs/>
        </w:rPr>
        <w:t xml:space="preserve">his mode of </w:t>
      </w:r>
      <w:r w:rsidR="00165F41">
        <w:rPr>
          <w:iCs/>
        </w:rPr>
        <w:t>use</w:t>
      </w:r>
      <w:r w:rsidR="00340CE6">
        <w:rPr>
          <w:iCs/>
        </w:rPr>
        <w:t xml:space="preserve"> </w:t>
      </w:r>
      <w:r w:rsidR="00676E17">
        <w:rPr>
          <w:iCs/>
        </w:rPr>
        <w:t>does</w:t>
      </w:r>
      <w:r w:rsidR="00340CE6">
        <w:rPr>
          <w:iCs/>
        </w:rPr>
        <w:t xml:space="preserve"> not </w:t>
      </w:r>
      <w:r w:rsidR="00676E17">
        <w:rPr>
          <w:iCs/>
        </w:rPr>
        <w:t>appear to be</w:t>
      </w:r>
      <w:r w:rsidR="00340CE6">
        <w:rPr>
          <w:iCs/>
        </w:rPr>
        <w:t xml:space="preserve"> reflected in </w:t>
      </w:r>
      <w:r w:rsidR="004A5BC8">
        <w:rPr>
          <w:iCs/>
        </w:rPr>
        <w:t xml:space="preserve">current </w:t>
      </w:r>
      <w:r w:rsidR="00340CE6">
        <w:rPr>
          <w:iCs/>
        </w:rPr>
        <w:t>guidelines</w:t>
      </w:r>
      <w:r w:rsidR="004A5BC8">
        <w:rPr>
          <w:iCs/>
        </w:rPr>
        <w:t xml:space="preserve">. </w:t>
      </w:r>
      <w:r w:rsidR="00111819">
        <w:rPr>
          <w:iCs/>
        </w:rPr>
        <w:t>Where guidelines are lacking, i</w:t>
      </w:r>
      <w:r w:rsidR="002E1C34">
        <w:rPr>
          <w:iCs/>
        </w:rPr>
        <w:t>ndividual</w:t>
      </w:r>
      <w:r w:rsidR="004A5BC8">
        <w:rPr>
          <w:iCs/>
        </w:rPr>
        <w:t xml:space="preserve"> hospitals would be responsible for </w:t>
      </w:r>
      <w:r w:rsidR="00D263FE">
        <w:rPr>
          <w:iCs/>
        </w:rPr>
        <w:t>training</w:t>
      </w:r>
      <w:r w:rsidR="00733CC1">
        <w:rPr>
          <w:iCs/>
        </w:rPr>
        <w:t xml:space="preserve"> </w:t>
      </w:r>
      <w:r w:rsidR="002E1C34">
        <w:rPr>
          <w:iCs/>
        </w:rPr>
        <w:t xml:space="preserve">and </w:t>
      </w:r>
      <w:r w:rsidR="00733CC1">
        <w:rPr>
          <w:iCs/>
        </w:rPr>
        <w:t xml:space="preserve">hospital quality </w:t>
      </w:r>
      <w:r w:rsidR="000C2288">
        <w:rPr>
          <w:iCs/>
        </w:rPr>
        <w:t>programmes</w:t>
      </w:r>
      <w:r w:rsidR="00D263FE">
        <w:rPr>
          <w:iCs/>
        </w:rPr>
        <w:t xml:space="preserve"> for regional anaesthesia</w:t>
      </w:r>
      <w:r w:rsidR="002E1C34">
        <w:rPr>
          <w:iCs/>
        </w:rPr>
        <w:t xml:space="preserve"> using a </w:t>
      </w:r>
      <w:r w:rsidR="003B2499">
        <w:rPr>
          <w:iCs/>
        </w:rPr>
        <w:t>continuous</w:t>
      </w:r>
      <w:r w:rsidR="002E1C34">
        <w:rPr>
          <w:iCs/>
        </w:rPr>
        <w:t xml:space="preserve"> nerve block</w:t>
      </w:r>
      <w:r w:rsidR="00D263FE">
        <w:rPr>
          <w:iCs/>
        </w:rPr>
        <w:t>.</w:t>
      </w:r>
      <w:r w:rsidR="0048145F">
        <w:rPr>
          <w:iCs/>
        </w:rPr>
        <w:t xml:space="preserve"> </w:t>
      </w:r>
      <w:r w:rsidR="008F2C0C">
        <w:rPr>
          <w:iCs/>
        </w:rPr>
        <w:t xml:space="preserve">The applicant </w:t>
      </w:r>
      <w:r w:rsidR="008F2C0C">
        <w:rPr>
          <w:iCs/>
        </w:rPr>
        <w:lastRenderedPageBreak/>
        <w:t>indicate</w:t>
      </w:r>
      <w:r w:rsidR="00606AD8">
        <w:rPr>
          <w:iCs/>
        </w:rPr>
        <w:t>d</w:t>
      </w:r>
      <w:r w:rsidR="008F2C0C">
        <w:rPr>
          <w:iCs/>
        </w:rPr>
        <w:t xml:space="preserve"> that as </w:t>
      </w:r>
      <w:r w:rsidR="002F7618">
        <w:rPr>
          <w:iCs/>
        </w:rPr>
        <w:t>continuous nerve blocks are</w:t>
      </w:r>
      <w:r w:rsidR="008F2C0C">
        <w:rPr>
          <w:iCs/>
        </w:rPr>
        <w:t xml:space="preserve"> already in regular use, </w:t>
      </w:r>
      <w:r w:rsidR="002F7618">
        <w:rPr>
          <w:iCs/>
        </w:rPr>
        <w:t>hospitals</w:t>
      </w:r>
      <w:r w:rsidR="00B54534">
        <w:rPr>
          <w:iCs/>
        </w:rPr>
        <w:t xml:space="preserve"> already have training in place</w:t>
      </w:r>
      <w:r w:rsidR="009959C2">
        <w:rPr>
          <w:iCs/>
        </w:rPr>
        <w:t xml:space="preserve"> to support their use</w:t>
      </w:r>
      <w:r w:rsidR="00B54534">
        <w:rPr>
          <w:iCs/>
        </w:rPr>
        <w:t xml:space="preserve">. </w:t>
      </w:r>
    </w:p>
    <w:p w14:paraId="7312BAE8" w14:textId="524E86D2" w:rsidR="00920E1A" w:rsidRDefault="00F0152B" w:rsidP="00DD274D">
      <w:pPr>
        <w:rPr>
          <w:i/>
        </w:rPr>
      </w:pPr>
      <w:r>
        <w:rPr>
          <w:iCs/>
        </w:rPr>
        <w:t>U</w:t>
      </w:r>
      <w:r w:rsidR="00F47BE8">
        <w:rPr>
          <w:iCs/>
        </w:rPr>
        <w:t>se</w:t>
      </w:r>
      <w:r>
        <w:rPr>
          <w:iCs/>
        </w:rPr>
        <w:t xml:space="preserve"> of continuous nerve blocks</w:t>
      </w:r>
      <w:r w:rsidR="00F47BE8">
        <w:rPr>
          <w:iCs/>
        </w:rPr>
        <w:t xml:space="preserve"> in ambulatory patients </w:t>
      </w:r>
      <w:r w:rsidR="0057199D">
        <w:rPr>
          <w:iCs/>
        </w:rPr>
        <w:t xml:space="preserve">who are discharged home </w:t>
      </w:r>
      <w:r w:rsidR="00F47BE8">
        <w:rPr>
          <w:iCs/>
        </w:rPr>
        <w:t>has been a success in at least one NSW hospital</w:t>
      </w:r>
      <w:r w:rsidR="00E61649">
        <w:rPr>
          <w:iCs/>
        </w:rPr>
        <w:t xml:space="preserve"> according to the applicant</w:t>
      </w:r>
      <w:r w:rsidR="00F47BE8" w:rsidRPr="00041DB7">
        <w:rPr>
          <w:iCs/>
        </w:rPr>
        <w:t>.</w:t>
      </w:r>
      <w:r w:rsidR="00964C0E" w:rsidRPr="00041DB7">
        <w:rPr>
          <w:i/>
        </w:rPr>
        <w:t xml:space="preserve"> </w:t>
      </w:r>
    </w:p>
    <w:p w14:paraId="665B0675" w14:textId="5FDFCB88" w:rsidR="007A66C8" w:rsidRPr="008F1532" w:rsidRDefault="007A66C8" w:rsidP="00713728">
      <w:pPr>
        <w:pStyle w:val="Heading3"/>
      </w:pPr>
      <w:bookmarkStart w:id="25" w:name="_Ref129163426"/>
      <w:r w:rsidRPr="008F1532">
        <w:t>Comparator</w:t>
      </w:r>
      <w:r w:rsidR="007D6B83">
        <w:t>(</w:t>
      </w:r>
      <w:r w:rsidR="008F1532">
        <w:t>s</w:t>
      </w:r>
      <w:r w:rsidR="007D6B83">
        <w:t>)</w:t>
      </w:r>
      <w:bookmarkEnd w:id="25"/>
    </w:p>
    <w:p w14:paraId="0CDB0F84" w14:textId="43A9E9EC" w:rsidR="00596096" w:rsidRDefault="007A4386" w:rsidP="0037409E">
      <w:pPr>
        <w:rPr>
          <w:iCs/>
        </w:rPr>
      </w:pPr>
      <w:r>
        <w:rPr>
          <w:iCs/>
        </w:rPr>
        <w:t xml:space="preserve">The </w:t>
      </w:r>
      <w:r w:rsidR="004750C2">
        <w:rPr>
          <w:iCs/>
        </w:rPr>
        <w:t>m</w:t>
      </w:r>
      <w:r w:rsidR="0037409E">
        <w:rPr>
          <w:iCs/>
        </w:rPr>
        <w:t xml:space="preserve">ain comparators for this PICO are listed in </w:t>
      </w:r>
      <w:r w:rsidR="00E866C5">
        <w:rPr>
          <w:iCs/>
        </w:rPr>
        <w:fldChar w:fldCharType="begin"/>
      </w:r>
      <w:r w:rsidR="00E866C5">
        <w:rPr>
          <w:iCs/>
        </w:rPr>
        <w:instrText xml:space="preserve"> REF _Ref128467676 \h </w:instrText>
      </w:r>
      <w:r w:rsidR="00E866C5">
        <w:rPr>
          <w:iCs/>
        </w:rPr>
      </w:r>
      <w:r w:rsidR="00E866C5">
        <w:rPr>
          <w:iCs/>
        </w:rPr>
        <w:fldChar w:fldCharType="separate"/>
      </w:r>
      <w:r w:rsidR="00B65CEE" w:rsidRPr="00BB2E4B">
        <w:t>Table </w:t>
      </w:r>
      <w:r w:rsidR="00B65CEE">
        <w:rPr>
          <w:noProof/>
        </w:rPr>
        <w:t>12</w:t>
      </w:r>
      <w:r w:rsidR="00E866C5">
        <w:rPr>
          <w:iCs/>
        </w:rPr>
        <w:fldChar w:fldCharType="end"/>
      </w:r>
      <w:r w:rsidR="0010280B">
        <w:rPr>
          <w:iCs/>
        </w:rPr>
        <w:t xml:space="preserve"> (t</w:t>
      </w:r>
      <w:r w:rsidR="00E979EC">
        <w:rPr>
          <w:iCs/>
        </w:rPr>
        <w:t>he estimated use is of the target patient population</w:t>
      </w:r>
      <w:r w:rsidR="0010280B">
        <w:rPr>
          <w:iCs/>
        </w:rPr>
        <w:t>)</w:t>
      </w:r>
      <w:r w:rsidR="00E979EC">
        <w:rPr>
          <w:iCs/>
        </w:rPr>
        <w:t xml:space="preserve">. </w:t>
      </w:r>
    </w:p>
    <w:p w14:paraId="6FFA07B0" w14:textId="2670BD15" w:rsidR="007052EC" w:rsidRPr="00BB2E4B" w:rsidRDefault="007052EC" w:rsidP="007052EC">
      <w:pPr>
        <w:pStyle w:val="TableHeading"/>
      </w:pPr>
      <w:bookmarkStart w:id="26" w:name="_Ref128467676"/>
      <w:r w:rsidRPr="00BB2E4B">
        <w:t>Table </w:t>
      </w:r>
      <w:r>
        <w:fldChar w:fldCharType="begin"/>
      </w:r>
      <w:r>
        <w:instrText>SEQ Table \* ARABIC</w:instrText>
      </w:r>
      <w:r>
        <w:fldChar w:fldCharType="separate"/>
      </w:r>
      <w:r w:rsidR="00B65CEE">
        <w:rPr>
          <w:noProof/>
        </w:rPr>
        <w:t>12</w:t>
      </w:r>
      <w:r>
        <w:fldChar w:fldCharType="end"/>
      </w:r>
      <w:bookmarkEnd w:id="26"/>
      <w:r w:rsidRPr="00BB2E4B">
        <w:tab/>
        <w:t xml:space="preserve">List of </w:t>
      </w:r>
      <w:r w:rsidR="003335C9">
        <w:t>potential comparators</w:t>
      </w:r>
    </w:p>
    <w:tbl>
      <w:tblPr>
        <w:tblStyle w:val="TableGrid"/>
        <w:tblW w:w="0" w:type="auto"/>
        <w:tblInd w:w="0" w:type="dxa"/>
        <w:tblLook w:val="04A0" w:firstRow="1" w:lastRow="0" w:firstColumn="1" w:lastColumn="0" w:noHBand="0" w:noVBand="1"/>
        <w:tblCaption w:val="List of potential comparators"/>
        <w:tblDescription w:val="The table lists potential comparators and the estimated use of each."/>
      </w:tblPr>
      <w:tblGrid>
        <w:gridCol w:w="1520"/>
        <w:gridCol w:w="4281"/>
        <w:gridCol w:w="1260"/>
        <w:gridCol w:w="1156"/>
        <w:gridCol w:w="1354"/>
      </w:tblGrid>
      <w:tr w:rsidR="0037409E" w14:paraId="4D26419B" w14:textId="77777777" w:rsidTr="007D29D5">
        <w:trPr>
          <w:tblHeader/>
        </w:trPr>
        <w:tc>
          <w:tcPr>
            <w:tcW w:w="1520" w:type="dxa"/>
          </w:tcPr>
          <w:p w14:paraId="6605DA5B" w14:textId="77777777" w:rsidR="0037409E" w:rsidRPr="009B4860" w:rsidRDefault="0037409E" w:rsidP="00D2440F">
            <w:pPr>
              <w:keepNext/>
              <w:spacing w:before="40" w:after="40" w:line="240" w:lineRule="auto"/>
              <w:rPr>
                <w:rFonts w:ascii="Arial Narrow" w:hAnsi="Arial Narrow"/>
                <w:b/>
                <w:sz w:val="20"/>
                <w:szCs w:val="20"/>
              </w:rPr>
            </w:pPr>
            <w:r>
              <w:rPr>
                <w:rFonts w:ascii="Arial Narrow" w:hAnsi="Arial Narrow"/>
                <w:b/>
                <w:sz w:val="20"/>
                <w:szCs w:val="20"/>
              </w:rPr>
              <w:t>Comparator</w:t>
            </w:r>
          </w:p>
        </w:tc>
        <w:tc>
          <w:tcPr>
            <w:tcW w:w="4281" w:type="dxa"/>
          </w:tcPr>
          <w:p w14:paraId="0996B2CC" w14:textId="77777777" w:rsidR="0037409E" w:rsidRPr="00845CDF" w:rsidRDefault="0037409E" w:rsidP="00D2440F">
            <w:pPr>
              <w:keepNext/>
              <w:spacing w:before="40" w:after="40" w:line="240" w:lineRule="auto"/>
              <w:rPr>
                <w:rFonts w:ascii="Arial Narrow" w:hAnsi="Arial Narrow"/>
                <w:b/>
                <w:sz w:val="20"/>
                <w:szCs w:val="20"/>
              </w:rPr>
            </w:pPr>
            <w:r>
              <w:rPr>
                <w:rFonts w:ascii="Arial Narrow" w:hAnsi="Arial Narrow"/>
                <w:b/>
                <w:sz w:val="20"/>
                <w:szCs w:val="20"/>
              </w:rPr>
              <w:t>Details</w:t>
            </w:r>
          </w:p>
        </w:tc>
        <w:tc>
          <w:tcPr>
            <w:tcW w:w="1260" w:type="dxa"/>
          </w:tcPr>
          <w:p w14:paraId="7555F880" w14:textId="0EB8E37C" w:rsidR="0037409E" w:rsidRDefault="0037409E" w:rsidP="00D2440F">
            <w:pPr>
              <w:keepNext/>
              <w:spacing w:before="40" w:after="40" w:line="240" w:lineRule="auto"/>
              <w:ind w:left="-57" w:right="-57"/>
              <w:rPr>
                <w:rFonts w:ascii="Arial Narrow" w:hAnsi="Arial Narrow"/>
                <w:b/>
                <w:sz w:val="20"/>
                <w:szCs w:val="20"/>
              </w:rPr>
            </w:pPr>
            <w:r>
              <w:rPr>
                <w:rFonts w:ascii="Arial Narrow" w:hAnsi="Arial Narrow"/>
                <w:b/>
                <w:sz w:val="20"/>
                <w:szCs w:val="20"/>
              </w:rPr>
              <w:t xml:space="preserve">% </w:t>
            </w:r>
            <w:r w:rsidR="002B198F">
              <w:rPr>
                <w:rFonts w:ascii="Arial Narrow" w:hAnsi="Arial Narrow"/>
                <w:b/>
                <w:sz w:val="20"/>
                <w:szCs w:val="20"/>
              </w:rPr>
              <w:t xml:space="preserve">Estimated </w:t>
            </w:r>
            <w:r>
              <w:rPr>
                <w:rFonts w:ascii="Arial Narrow" w:hAnsi="Arial Narrow"/>
                <w:b/>
                <w:sz w:val="20"/>
                <w:szCs w:val="20"/>
              </w:rPr>
              <w:t xml:space="preserve">Use </w:t>
            </w:r>
          </w:p>
        </w:tc>
        <w:tc>
          <w:tcPr>
            <w:tcW w:w="1156" w:type="dxa"/>
          </w:tcPr>
          <w:p w14:paraId="7E2B2FC5" w14:textId="77777777" w:rsidR="0037409E" w:rsidRDefault="0037409E" w:rsidP="00D2440F">
            <w:pPr>
              <w:keepNext/>
              <w:spacing w:before="40" w:after="40" w:line="240" w:lineRule="auto"/>
              <w:ind w:left="-57" w:right="-57"/>
              <w:rPr>
                <w:rFonts w:ascii="Arial Narrow" w:hAnsi="Arial Narrow"/>
                <w:b/>
                <w:sz w:val="20"/>
                <w:szCs w:val="20"/>
              </w:rPr>
            </w:pPr>
            <w:r>
              <w:rPr>
                <w:rFonts w:ascii="Arial Narrow" w:hAnsi="Arial Narrow"/>
                <w:b/>
                <w:sz w:val="20"/>
                <w:szCs w:val="20"/>
              </w:rPr>
              <w:t xml:space="preserve">Max Duration </w:t>
            </w:r>
          </w:p>
        </w:tc>
        <w:tc>
          <w:tcPr>
            <w:tcW w:w="1354" w:type="dxa"/>
          </w:tcPr>
          <w:p w14:paraId="59D4A0B6" w14:textId="77777777" w:rsidR="0037409E" w:rsidRDefault="0037409E" w:rsidP="00D2440F">
            <w:pPr>
              <w:keepNext/>
              <w:spacing w:before="40" w:after="40" w:line="240" w:lineRule="auto"/>
              <w:ind w:left="-57" w:right="-57"/>
              <w:rPr>
                <w:rFonts w:ascii="Arial Narrow" w:hAnsi="Arial Narrow"/>
                <w:b/>
                <w:sz w:val="20"/>
                <w:szCs w:val="20"/>
              </w:rPr>
            </w:pPr>
            <w:r>
              <w:rPr>
                <w:rFonts w:ascii="Arial Narrow" w:hAnsi="Arial Narrow"/>
                <w:b/>
                <w:sz w:val="20"/>
                <w:szCs w:val="20"/>
              </w:rPr>
              <w:t>Followed By:</w:t>
            </w:r>
          </w:p>
        </w:tc>
      </w:tr>
      <w:tr w:rsidR="0037409E" w14:paraId="26A8FAD1" w14:textId="77777777" w:rsidTr="007D29D5">
        <w:tc>
          <w:tcPr>
            <w:tcW w:w="1520" w:type="dxa"/>
          </w:tcPr>
          <w:p w14:paraId="4FAFA8D4" w14:textId="77777777" w:rsidR="0037409E" w:rsidRDefault="0037409E" w:rsidP="00DD4648">
            <w:pPr>
              <w:spacing w:before="40" w:after="40" w:line="240" w:lineRule="auto"/>
              <w:rPr>
                <w:rFonts w:ascii="Arial Narrow" w:hAnsi="Arial Narrow"/>
                <w:sz w:val="20"/>
                <w:szCs w:val="20"/>
              </w:rPr>
            </w:pPr>
            <w:r>
              <w:rPr>
                <w:rFonts w:ascii="Arial Narrow" w:hAnsi="Arial Narrow"/>
                <w:sz w:val="20"/>
                <w:szCs w:val="20"/>
              </w:rPr>
              <w:t>Single injection nerve block</w:t>
            </w:r>
          </w:p>
        </w:tc>
        <w:tc>
          <w:tcPr>
            <w:tcW w:w="4281" w:type="dxa"/>
          </w:tcPr>
          <w:p w14:paraId="20ECBED5" w14:textId="553735CC" w:rsidR="0037409E" w:rsidRPr="0043205C" w:rsidRDefault="0037409E" w:rsidP="00DD4648">
            <w:pPr>
              <w:spacing w:before="40" w:after="40" w:line="240" w:lineRule="auto"/>
              <w:ind w:left="-39"/>
              <w:rPr>
                <w:rFonts w:ascii="Arial Narrow" w:hAnsi="Arial Narrow"/>
                <w:sz w:val="20"/>
                <w:szCs w:val="20"/>
              </w:rPr>
            </w:pPr>
            <w:r w:rsidRPr="0043205C">
              <w:rPr>
                <w:rFonts w:ascii="Arial Narrow" w:hAnsi="Arial Narrow"/>
                <w:sz w:val="20"/>
                <w:szCs w:val="20"/>
              </w:rPr>
              <w:t>Administered peri</w:t>
            </w:r>
            <w:r w:rsidR="00C01C10">
              <w:rPr>
                <w:rFonts w:ascii="Arial Narrow" w:hAnsi="Arial Narrow"/>
                <w:sz w:val="20"/>
                <w:szCs w:val="20"/>
              </w:rPr>
              <w:t>operative</w:t>
            </w:r>
            <w:r w:rsidRPr="0043205C">
              <w:rPr>
                <w:rFonts w:ascii="Arial Narrow" w:hAnsi="Arial Narrow"/>
                <w:sz w:val="20"/>
                <w:szCs w:val="20"/>
              </w:rPr>
              <w:t xml:space="preserve">ly via </w:t>
            </w:r>
            <w:r w:rsidR="00FD0255">
              <w:rPr>
                <w:rFonts w:ascii="Arial Narrow" w:hAnsi="Arial Narrow"/>
                <w:sz w:val="20"/>
                <w:szCs w:val="20"/>
              </w:rPr>
              <w:t xml:space="preserve">MBS </w:t>
            </w:r>
            <w:r w:rsidRPr="0043205C">
              <w:rPr>
                <w:rFonts w:ascii="Arial Narrow" w:hAnsi="Arial Narrow"/>
                <w:sz w:val="20"/>
                <w:szCs w:val="20"/>
              </w:rPr>
              <w:t>item 22041</w:t>
            </w:r>
          </w:p>
          <w:p w14:paraId="3561C7D9" w14:textId="03F6A7BD" w:rsidR="0037409E" w:rsidRPr="00F72E49" w:rsidRDefault="0037409E" w:rsidP="00DD4648">
            <w:pPr>
              <w:spacing w:before="40" w:after="40" w:line="240" w:lineRule="auto"/>
              <w:ind w:left="-39"/>
              <w:rPr>
                <w:rFonts w:ascii="Arial Narrow" w:hAnsi="Arial Narrow"/>
                <w:sz w:val="20"/>
                <w:szCs w:val="20"/>
                <w:highlight w:val="yellow"/>
              </w:rPr>
            </w:pPr>
            <w:r w:rsidRPr="0043205C">
              <w:rPr>
                <w:rFonts w:ascii="Arial Narrow" w:hAnsi="Arial Narrow"/>
                <w:sz w:val="20"/>
                <w:szCs w:val="20"/>
              </w:rPr>
              <w:t>Administered as stand-alone item not part of surgery, via Group T7 (</w:t>
            </w:r>
            <w:r>
              <w:rPr>
                <w:rFonts w:ascii="Arial Narrow" w:hAnsi="Arial Narrow"/>
                <w:sz w:val="20"/>
                <w:szCs w:val="20"/>
              </w:rPr>
              <w:t xml:space="preserve">items </w:t>
            </w:r>
            <w:r w:rsidRPr="00E22083">
              <w:rPr>
                <w:rFonts w:ascii="Arial Narrow" w:hAnsi="Arial Narrow"/>
                <w:sz w:val="20"/>
                <w:szCs w:val="20"/>
              </w:rPr>
              <w:t>18222</w:t>
            </w:r>
            <w:r>
              <w:rPr>
                <w:rFonts w:ascii="Arial Narrow" w:hAnsi="Arial Narrow"/>
                <w:sz w:val="20"/>
                <w:szCs w:val="20"/>
              </w:rPr>
              <w:t>,</w:t>
            </w:r>
            <w:r w:rsidRPr="00E22083">
              <w:rPr>
                <w:rFonts w:ascii="Arial Narrow" w:hAnsi="Arial Narrow"/>
                <w:sz w:val="20"/>
                <w:szCs w:val="20"/>
              </w:rPr>
              <w:t xml:space="preserve"> 18225</w:t>
            </w:r>
            <w:r>
              <w:rPr>
                <w:rFonts w:ascii="Arial Narrow" w:hAnsi="Arial Narrow"/>
                <w:sz w:val="20"/>
                <w:szCs w:val="20"/>
              </w:rPr>
              <w:t>) sometimes used to top up peri</w:t>
            </w:r>
            <w:r w:rsidR="00C01C10">
              <w:rPr>
                <w:rFonts w:ascii="Arial Narrow" w:hAnsi="Arial Narrow"/>
                <w:sz w:val="20"/>
                <w:szCs w:val="20"/>
              </w:rPr>
              <w:t>operative</w:t>
            </w:r>
            <w:r>
              <w:rPr>
                <w:rFonts w:ascii="Arial Narrow" w:hAnsi="Arial Narrow"/>
                <w:sz w:val="20"/>
                <w:szCs w:val="20"/>
              </w:rPr>
              <w:t xml:space="preserve"> nerve block.</w:t>
            </w:r>
            <w:r w:rsidR="0008180C">
              <w:rPr>
                <w:rFonts w:ascii="Arial Narrow" w:hAnsi="Arial Narrow"/>
                <w:sz w:val="20"/>
                <w:szCs w:val="20"/>
              </w:rPr>
              <w:t xml:space="preserve"> </w:t>
            </w:r>
            <w:r w:rsidR="0008180C" w:rsidRPr="00B07E55">
              <w:rPr>
                <w:rFonts w:ascii="Arial Narrow" w:hAnsi="Arial Narrow"/>
                <w:i/>
                <w:iCs/>
                <w:sz w:val="20"/>
                <w:szCs w:val="20"/>
              </w:rPr>
              <w:t xml:space="preserve">In combination with supplementary analgesia for </w:t>
            </w:r>
            <w:r w:rsidR="00B07E55" w:rsidRPr="00B07E55">
              <w:rPr>
                <w:rFonts w:ascii="Arial Narrow" w:hAnsi="Arial Narrow"/>
                <w:i/>
                <w:iCs/>
                <w:sz w:val="20"/>
                <w:szCs w:val="20"/>
              </w:rPr>
              <w:t>target population.</w:t>
            </w:r>
            <w:r w:rsidR="0072066F">
              <w:rPr>
                <w:rFonts w:ascii="Arial Narrow" w:hAnsi="Arial Narrow"/>
                <w:i/>
                <w:iCs/>
                <w:sz w:val="20"/>
                <w:szCs w:val="20"/>
              </w:rPr>
              <w:t xml:space="preserve"> For example, single injection interscalene block for </w:t>
            </w:r>
            <w:r w:rsidR="00545F24">
              <w:rPr>
                <w:rFonts w:ascii="Arial Narrow" w:hAnsi="Arial Narrow"/>
                <w:i/>
                <w:iCs/>
                <w:sz w:val="20"/>
                <w:szCs w:val="20"/>
              </w:rPr>
              <w:t>shoulder surgery.</w:t>
            </w:r>
          </w:p>
        </w:tc>
        <w:tc>
          <w:tcPr>
            <w:tcW w:w="1260" w:type="dxa"/>
          </w:tcPr>
          <w:p w14:paraId="033C9AD7" w14:textId="45FEFD5A" w:rsidR="0037409E" w:rsidRPr="00C62723" w:rsidRDefault="00C62723" w:rsidP="0056015E">
            <w:pPr>
              <w:spacing w:before="40" w:after="40" w:line="240" w:lineRule="auto"/>
              <w:ind w:left="-57" w:right="-57"/>
              <w:rPr>
                <w:rFonts w:ascii="Arial Narrow" w:hAnsi="Arial Narrow"/>
                <w:sz w:val="20"/>
                <w:szCs w:val="20"/>
              </w:rPr>
            </w:pPr>
            <w:r w:rsidRPr="00C62723">
              <w:rPr>
                <w:rFonts w:ascii="Arial Narrow" w:hAnsi="Arial Narrow"/>
                <w:sz w:val="20"/>
                <w:szCs w:val="20"/>
              </w:rPr>
              <w:t>40-80%</w:t>
            </w:r>
          </w:p>
        </w:tc>
        <w:tc>
          <w:tcPr>
            <w:tcW w:w="1156" w:type="dxa"/>
          </w:tcPr>
          <w:p w14:paraId="470CD6C3" w14:textId="05D0BB58" w:rsidR="0037409E" w:rsidRPr="00345EAC" w:rsidRDefault="0037409E" w:rsidP="0056015E">
            <w:pPr>
              <w:spacing w:before="40" w:after="40" w:line="240" w:lineRule="auto"/>
              <w:ind w:left="-57" w:right="-57"/>
              <w:rPr>
                <w:rFonts w:ascii="Arial Narrow" w:hAnsi="Arial Narrow"/>
                <w:sz w:val="20"/>
                <w:szCs w:val="20"/>
              </w:rPr>
            </w:pPr>
            <w:r w:rsidRPr="00345EAC">
              <w:rPr>
                <w:rFonts w:ascii="Arial Narrow" w:hAnsi="Arial Narrow"/>
                <w:sz w:val="20"/>
                <w:szCs w:val="20"/>
              </w:rPr>
              <w:t>12 hours</w:t>
            </w:r>
          </w:p>
        </w:tc>
        <w:tc>
          <w:tcPr>
            <w:tcW w:w="1354" w:type="dxa"/>
          </w:tcPr>
          <w:p w14:paraId="5297DA92" w14:textId="33996AAE" w:rsidR="0037409E" w:rsidRPr="00345EAC" w:rsidRDefault="0037409E" w:rsidP="0056015E">
            <w:pPr>
              <w:spacing w:before="40" w:after="40" w:line="240" w:lineRule="auto"/>
              <w:ind w:left="-57" w:right="-57"/>
              <w:rPr>
                <w:rFonts w:ascii="Arial Narrow" w:hAnsi="Arial Narrow"/>
                <w:sz w:val="20"/>
                <w:szCs w:val="20"/>
              </w:rPr>
            </w:pPr>
            <w:r>
              <w:rPr>
                <w:rFonts w:ascii="Arial Narrow" w:hAnsi="Arial Narrow"/>
                <w:sz w:val="20"/>
                <w:szCs w:val="20"/>
              </w:rPr>
              <w:t xml:space="preserve">Systemic opioids </w:t>
            </w:r>
            <w:r w:rsidR="00B50777">
              <w:rPr>
                <w:rFonts w:ascii="Arial Narrow" w:hAnsi="Arial Narrow"/>
                <w:sz w:val="20"/>
                <w:szCs w:val="20"/>
              </w:rPr>
              <w:t>(</w:t>
            </w:r>
            <w:r>
              <w:rPr>
                <w:rFonts w:ascii="Arial Narrow" w:hAnsi="Arial Narrow"/>
                <w:sz w:val="20"/>
                <w:szCs w:val="20"/>
              </w:rPr>
              <w:t>IV or oral</w:t>
            </w:r>
            <w:r w:rsidR="00B50777">
              <w:rPr>
                <w:rFonts w:ascii="Arial Narrow" w:hAnsi="Arial Narrow"/>
                <w:sz w:val="20"/>
                <w:szCs w:val="20"/>
              </w:rPr>
              <w:t>)</w:t>
            </w:r>
            <w:r w:rsidR="00544D39">
              <w:rPr>
                <w:rFonts w:ascii="Arial Narrow" w:hAnsi="Arial Narrow"/>
                <w:sz w:val="20"/>
                <w:szCs w:val="20"/>
              </w:rPr>
              <w:t xml:space="preserve"> or non-opioid oral analgesics</w:t>
            </w:r>
          </w:p>
        </w:tc>
      </w:tr>
      <w:tr w:rsidR="0037409E" w14:paraId="29C8AEA3" w14:textId="77777777" w:rsidTr="00812930">
        <w:tc>
          <w:tcPr>
            <w:tcW w:w="1520" w:type="dxa"/>
          </w:tcPr>
          <w:p w14:paraId="3BAAED5B" w14:textId="77E5FA3E" w:rsidR="0037409E" w:rsidRPr="007052EC" w:rsidRDefault="0037409E" w:rsidP="00DD4648">
            <w:pPr>
              <w:spacing w:before="40" w:after="40" w:line="240" w:lineRule="auto"/>
              <w:rPr>
                <w:rFonts w:ascii="Arial Narrow" w:hAnsi="Arial Narrow"/>
                <w:sz w:val="20"/>
                <w:szCs w:val="20"/>
              </w:rPr>
            </w:pPr>
            <w:r>
              <w:rPr>
                <w:rFonts w:ascii="Arial Narrow" w:hAnsi="Arial Narrow"/>
                <w:sz w:val="20"/>
                <w:szCs w:val="20"/>
              </w:rPr>
              <w:t xml:space="preserve">No </w:t>
            </w:r>
            <w:r w:rsidR="00466B1D">
              <w:rPr>
                <w:rFonts w:ascii="Arial Narrow" w:hAnsi="Arial Narrow"/>
                <w:sz w:val="20"/>
                <w:szCs w:val="20"/>
              </w:rPr>
              <w:t>continuous block</w:t>
            </w:r>
          </w:p>
        </w:tc>
        <w:tc>
          <w:tcPr>
            <w:tcW w:w="4281" w:type="dxa"/>
          </w:tcPr>
          <w:p w14:paraId="003FC7AE" w14:textId="0FBCA6A7" w:rsidR="0037409E" w:rsidRDefault="0037409E" w:rsidP="00DD4648">
            <w:pPr>
              <w:spacing w:before="40" w:after="40" w:line="240" w:lineRule="auto"/>
              <w:ind w:left="-39"/>
              <w:rPr>
                <w:rFonts w:ascii="Arial Narrow" w:hAnsi="Arial Narrow"/>
                <w:sz w:val="20"/>
                <w:szCs w:val="20"/>
              </w:rPr>
            </w:pPr>
            <w:r w:rsidRPr="00EF63DD">
              <w:rPr>
                <w:rFonts w:ascii="Arial Narrow" w:hAnsi="Arial Narrow"/>
                <w:sz w:val="20"/>
                <w:szCs w:val="20"/>
              </w:rPr>
              <w:t>For the purpose of the evidence search</w:t>
            </w:r>
            <w:r>
              <w:rPr>
                <w:rFonts w:ascii="Arial Narrow" w:hAnsi="Arial Narrow"/>
                <w:sz w:val="20"/>
                <w:szCs w:val="20"/>
              </w:rPr>
              <w:t xml:space="preserve"> and assuming comparative evidence only,</w:t>
            </w:r>
            <w:r w:rsidRPr="00EF63DD">
              <w:rPr>
                <w:rFonts w:ascii="Arial Narrow" w:hAnsi="Arial Narrow"/>
                <w:sz w:val="20"/>
                <w:szCs w:val="20"/>
              </w:rPr>
              <w:t xml:space="preserve"> ‘no block’ could be placebo, standard care, or sham</w:t>
            </w:r>
            <w:r w:rsidR="00C12DAF">
              <w:rPr>
                <w:rFonts w:ascii="Arial Narrow" w:hAnsi="Arial Narrow"/>
                <w:sz w:val="20"/>
                <w:szCs w:val="20"/>
              </w:rPr>
              <w:t xml:space="preserve"> plus any rescue medication </w:t>
            </w:r>
            <w:r w:rsidR="00012FAC">
              <w:rPr>
                <w:rFonts w:ascii="Arial Narrow" w:hAnsi="Arial Narrow"/>
                <w:sz w:val="20"/>
                <w:szCs w:val="20"/>
              </w:rPr>
              <w:t>(i.e.</w:t>
            </w:r>
            <w:r w:rsidR="00FD0255">
              <w:rPr>
                <w:rFonts w:ascii="Arial Narrow" w:hAnsi="Arial Narrow"/>
                <w:sz w:val="20"/>
                <w:szCs w:val="20"/>
              </w:rPr>
              <w:t>,</w:t>
            </w:r>
            <w:r w:rsidR="00012FAC">
              <w:rPr>
                <w:rFonts w:ascii="Arial Narrow" w:hAnsi="Arial Narrow"/>
                <w:sz w:val="20"/>
                <w:szCs w:val="20"/>
              </w:rPr>
              <w:t xml:space="preserve"> </w:t>
            </w:r>
            <w:r w:rsidR="00956A55">
              <w:rPr>
                <w:rFonts w:ascii="Arial Narrow" w:hAnsi="Arial Narrow"/>
                <w:sz w:val="20"/>
                <w:szCs w:val="20"/>
              </w:rPr>
              <w:t>supplementary analgesia</w:t>
            </w:r>
            <w:r w:rsidR="00012FAC">
              <w:rPr>
                <w:rFonts w:ascii="Arial Narrow" w:hAnsi="Arial Narrow"/>
                <w:sz w:val="20"/>
                <w:szCs w:val="20"/>
              </w:rPr>
              <w:t>)</w:t>
            </w:r>
            <w:r w:rsidR="00956A55">
              <w:rPr>
                <w:rFonts w:ascii="Arial Narrow" w:hAnsi="Arial Narrow"/>
                <w:sz w:val="20"/>
                <w:szCs w:val="20"/>
              </w:rPr>
              <w:t xml:space="preserve"> </w:t>
            </w:r>
            <w:r w:rsidR="00C12DAF">
              <w:rPr>
                <w:rFonts w:ascii="Arial Narrow" w:hAnsi="Arial Narrow"/>
                <w:sz w:val="20"/>
                <w:szCs w:val="20"/>
              </w:rPr>
              <w:t>employed by the study protocol.</w:t>
            </w:r>
          </w:p>
          <w:p w14:paraId="3F6EE9B6" w14:textId="2010C670" w:rsidR="00430AF7" w:rsidRPr="00545F24" w:rsidRDefault="00430AF7" w:rsidP="00DD4648">
            <w:pPr>
              <w:spacing w:before="40" w:after="40" w:line="240" w:lineRule="auto"/>
              <w:ind w:left="-39"/>
              <w:rPr>
                <w:rFonts w:ascii="Arial Narrow" w:hAnsi="Arial Narrow"/>
                <w:i/>
                <w:iCs/>
                <w:sz w:val="20"/>
                <w:szCs w:val="20"/>
              </w:rPr>
            </w:pPr>
            <w:r w:rsidRPr="00545F24">
              <w:rPr>
                <w:rFonts w:ascii="Arial Narrow" w:hAnsi="Arial Narrow"/>
                <w:i/>
                <w:iCs/>
                <w:sz w:val="20"/>
                <w:szCs w:val="20"/>
              </w:rPr>
              <w:t xml:space="preserve">In clinical practice, a patient </w:t>
            </w:r>
            <w:r w:rsidR="001B21D2" w:rsidRPr="00545F24">
              <w:rPr>
                <w:rFonts w:ascii="Arial Narrow" w:hAnsi="Arial Narrow"/>
                <w:i/>
                <w:iCs/>
                <w:sz w:val="20"/>
                <w:szCs w:val="20"/>
              </w:rPr>
              <w:t xml:space="preserve">in this indication would not </w:t>
            </w:r>
            <w:r w:rsidR="00F73E40" w:rsidRPr="00545F24">
              <w:rPr>
                <w:rFonts w:ascii="Arial Narrow" w:hAnsi="Arial Narrow"/>
                <w:i/>
                <w:iCs/>
                <w:sz w:val="20"/>
                <w:szCs w:val="20"/>
              </w:rPr>
              <w:t>be untreated and would receive one of the already identified alternatives plus any supplementary analgesics</w:t>
            </w:r>
            <w:r w:rsidR="00466B1D" w:rsidRPr="00545F24">
              <w:rPr>
                <w:rFonts w:ascii="Arial Narrow" w:hAnsi="Arial Narrow"/>
                <w:i/>
                <w:iCs/>
                <w:sz w:val="20"/>
                <w:szCs w:val="20"/>
              </w:rPr>
              <w:t>.</w:t>
            </w:r>
            <w:r w:rsidR="00BC794C">
              <w:rPr>
                <w:rFonts w:ascii="Arial Narrow" w:hAnsi="Arial Narrow"/>
                <w:i/>
                <w:iCs/>
                <w:sz w:val="20"/>
                <w:szCs w:val="20"/>
              </w:rPr>
              <w:t xml:space="preserve"> No continuous block represent</w:t>
            </w:r>
            <w:r w:rsidR="007A7D5F">
              <w:rPr>
                <w:rFonts w:ascii="Arial Narrow" w:hAnsi="Arial Narrow"/>
                <w:i/>
                <w:iCs/>
                <w:sz w:val="20"/>
                <w:szCs w:val="20"/>
              </w:rPr>
              <w:t>s</w:t>
            </w:r>
            <w:r w:rsidR="00BC794C">
              <w:rPr>
                <w:rFonts w:ascii="Arial Narrow" w:hAnsi="Arial Narrow"/>
                <w:i/>
                <w:iCs/>
                <w:sz w:val="20"/>
                <w:szCs w:val="20"/>
              </w:rPr>
              <w:t xml:space="preserve"> a composite of treatment alternatives. </w:t>
            </w:r>
          </w:p>
        </w:tc>
        <w:tc>
          <w:tcPr>
            <w:tcW w:w="1260" w:type="dxa"/>
            <w:tcBorders>
              <w:bottom w:val="single" w:sz="4" w:space="0" w:color="auto"/>
            </w:tcBorders>
          </w:tcPr>
          <w:p w14:paraId="1D08B406" w14:textId="77777777" w:rsidR="0037409E" w:rsidRPr="00660063" w:rsidRDefault="0037409E" w:rsidP="0056015E">
            <w:pPr>
              <w:spacing w:before="40" w:after="40" w:line="240" w:lineRule="auto"/>
              <w:ind w:left="-57" w:right="-57"/>
              <w:rPr>
                <w:rFonts w:ascii="Arial Narrow" w:hAnsi="Arial Narrow"/>
                <w:sz w:val="20"/>
                <w:szCs w:val="20"/>
              </w:rPr>
            </w:pPr>
            <w:r w:rsidRPr="00660063">
              <w:rPr>
                <w:rFonts w:ascii="Arial Narrow" w:hAnsi="Arial Narrow"/>
                <w:sz w:val="20"/>
                <w:szCs w:val="20"/>
              </w:rPr>
              <w:t>N/A</w:t>
            </w:r>
          </w:p>
        </w:tc>
        <w:tc>
          <w:tcPr>
            <w:tcW w:w="1156" w:type="dxa"/>
            <w:tcBorders>
              <w:bottom w:val="single" w:sz="4" w:space="0" w:color="auto"/>
            </w:tcBorders>
          </w:tcPr>
          <w:p w14:paraId="71EF19E7" w14:textId="77777777" w:rsidR="0037409E" w:rsidRPr="00660063" w:rsidRDefault="0037409E" w:rsidP="0056015E">
            <w:pPr>
              <w:spacing w:before="40" w:after="40" w:line="240" w:lineRule="auto"/>
              <w:ind w:left="-57" w:right="-57"/>
              <w:rPr>
                <w:rFonts w:ascii="Arial Narrow" w:hAnsi="Arial Narrow"/>
                <w:sz w:val="20"/>
                <w:szCs w:val="20"/>
              </w:rPr>
            </w:pPr>
            <w:r w:rsidRPr="00660063">
              <w:rPr>
                <w:rFonts w:ascii="Arial Narrow" w:hAnsi="Arial Narrow"/>
                <w:sz w:val="20"/>
                <w:szCs w:val="20"/>
              </w:rPr>
              <w:t>N/A</w:t>
            </w:r>
          </w:p>
        </w:tc>
        <w:tc>
          <w:tcPr>
            <w:tcW w:w="1354" w:type="dxa"/>
            <w:tcBorders>
              <w:bottom w:val="single" w:sz="4" w:space="0" w:color="auto"/>
            </w:tcBorders>
          </w:tcPr>
          <w:p w14:paraId="7CC196F2" w14:textId="77777777" w:rsidR="0037409E" w:rsidRPr="00660063" w:rsidRDefault="0037409E" w:rsidP="0056015E">
            <w:pPr>
              <w:spacing w:before="40" w:after="40" w:line="240" w:lineRule="auto"/>
              <w:ind w:left="-57" w:right="-57"/>
              <w:rPr>
                <w:rFonts w:ascii="Arial Narrow" w:hAnsi="Arial Narrow"/>
                <w:sz w:val="20"/>
                <w:szCs w:val="20"/>
              </w:rPr>
            </w:pPr>
            <w:r w:rsidRPr="00660063">
              <w:rPr>
                <w:rFonts w:ascii="Arial Narrow" w:hAnsi="Arial Narrow"/>
                <w:sz w:val="20"/>
                <w:szCs w:val="20"/>
              </w:rPr>
              <w:t>N/A</w:t>
            </w:r>
          </w:p>
        </w:tc>
      </w:tr>
      <w:tr w:rsidR="00812930" w14:paraId="670F77FF" w14:textId="77777777" w:rsidTr="00812930">
        <w:tc>
          <w:tcPr>
            <w:tcW w:w="1520" w:type="dxa"/>
          </w:tcPr>
          <w:p w14:paraId="12E06C46" w14:textId="446E2663" w:rsidR="00812930" w:rsidRPr="007052EC" w:rsidRDefault="00812930" w:rsidP="0056015E">
            <w:pPr>
              <w:spacing w:before="40" w:after="40" w:line="240" w:lineRule="auto"/>
              <w:rPr>
                <w:rFonts w:ascii="Arial Narrow" w:hAnsi="Arial Narrow"/>
                <w:sz w:val="20"/>
                <w:szCs w:val="20"/>
              </w:rPr>
            </w:pPr>
            <w:r>
              <w:rPr>
                <w:rFonts w:ascii="Arial Narrow" w:hAnsi="Arial Narrow"/>
                <w:sz w:val="20"/>
                <w:szCs w:val="20"/>
              </w:rPr>
              <w:t>Neuraxial analgesia – epidural block</w:t>
            </w:r>
          </w:p>
        </w:tc>
        <w:tc>
          <w:tcPr>
            <w:tcW w:w="4281" w:type="dxa"/>
          </w:tcPr>
          <w:p w14:paraId="02C900C6" w14:textId="77777777" w:rsidR="00812930" w:rsidRDefault="00812930" w:rsidP="0056015E">
            <w:pPr>
              <w:spacing w:before="40" w:after="40" w:line="240" w:lineRule="auto"/>
              <w:ind w:left="-39"/>
              <w:rPr>
                <w:rFonts w:ascii="Arial Narrow" w:hAnsi="Arial Narrow"/>
                <w:sz w:val="20"/>
                <w:szCs w:val="20"/>
              </w:rPr>
            </w:pPr>
            <w:r>
              <w:rPr>
                <w:rFonts w:ascii="Arial Narrow" w:hAnsi="Arial Narrow"/>
                <w:sz w:val="20"/>
                <w:szCs w:val="20"/>
              </w:rPr>
              <w:t>Single injection or via catheter, same local anaesthetic agents as for single injection nerve block.</w:t>
            </w:r>
          </w:p>
          <w:p w14:paraId="46A670BA" w14:textId="67C516FC" w:rsidR="00812930" w:rsidRPr="007052EC" w:rsidRDefault="00812930" w:rsidP="0056015E">
            <w:pPr>
              <w:spacing w:before="40" w:after="40" w:line="240" w:lineRule="auto"/>
              <w:ind w:left="-39"/>
              <w:rPr>
                <w:rFonts w:ascii="Arial Narrow" w:hAnsi="Arial Narrow"/>
                <w:sz w:val="20"/>
                <w:szCs w:val="20"/>
              </w:rPr>
            </w:pPr>
            <w:r>
              <w:rPr>
                <w:rFonts w:ascii="Arial Narrow" w:hAnsi="Arial Narrow"/>
                <w:sz w:val="20"/>
                <w:szCs w:val="20"/>
              </w:rPr>
              <w:t xml:space="preserve">Catheter delivery is either </w:t>
            </w:r>
            <w:r w:rsidRPr="00D305B3">
              <w:rPr>
                <w:rFonts w:ascii="Arial Narrow" w:hAnsi="Arial Narrow"/>
                <w:sz w:val="20"/>
                <w:szCs w:val="20"/>
              </w:rPr>
              <w:t xml:space="preserve">continuous, </w:t>
            </w:r>
            <w:r>
              <w:rPr>
                <w:rFonts w:ascii="Arial Narrow" w:hAnsi="Arial Narrow"/>
                <w:sz w:val="20"/>
                <w:szCs w:val="20"/>
              </w:rPr>
              <w:t xml:space="preserve">or </w:t>
            </w:r>
            <w:r w:rsidRPr="00D305B3">
              <w:rPr>
                <w:rFonts w:ascii="Arial Narrow" w:hAnsi="Arial Narrow"/>
                <w:sz w:val="20"/>
                <w:szCs w:val="20"/>
              </w:rPr>
              <w:t>programmed intermittent epidural bolus or patient-controlled epidural analgesic bolus.</w:t>
            </w:r>
            <w:r>
              <w:rPr>
                <w:rFonts w:ascii="Arial Narrow" w:hAnsi="Arial Narrow"/>
                <w:sz w:val="20"/>
                <w:szCs w:val="20"/>
              </w:rPr>
              <w:t xml:space="preserve"> Limited patient mobility for catheter patients. </w:t>
            </w:r>
            <w:r w:rsidRPr="00D90382">
              <w:rPr>
                <w:rFonts w:ascii="Arial Narrow" w:hAnsi="Arial Narrow"/>
                <w:i/>
                <w:iCs/>
                <w:sz w:val="20"/>
                <w:szCs w:val="20"/>
              </w:rPr>
              <w:t xml:space="preserve">Open abdominal procedures cited as example where continuous block may be used as alternative. </w:t>
            </w:r>
          </w:p>
        </w:tc>
        <w:tc>
          <w:tcPr>
            <w:tcW w:w="1260" w:type="dxa"/>
            <w:tcBorders>
              <w:bottom w:val="nil"/>
            </w:tcBorders>
            <w:vAlign w:val="bottom"/>
          </w:tcPr>
          <w:p w14:paraId="106E4DC0" w14:textId="77777777" w:rsidR="00812930" w:rsidRDefault="00812930" w:rsidP="00812930">
            <w:pPr>
              <w:spacing w:before="40" w:after="40" w:line="240" w:lineRule="auto"/>
              <w:ind w:left="-57" w:right="-57"/>
              <w:rPr>
                <w:rFonts w:ascii="Arial Narrow" w:hAnsi="Arial Narrow"/>
                <w:sz w:val="20"/>
                <w:szCs w:val="20"/>
              </w:rPr>
            </w:pPr>
            <w:r>
              <w:rPr>
                <w:rFonts w:ascii="Arial Narrow" w:hAnsi="Arial Narrow"/>
                <w:sz w:val="20"/>
                <w:szCs w:val="20"/>
              </w:rPr>
              <w:t>All neuraxial:</w:t>
            </w:r>
          </w:p>
          <w:p w14:paraId="7A3F6B5B" w14:textId="5164506D" w:rsidR="00812930" w:rsidRDefault="00812930" w:rsidP="00812930">
            <w:pPr>
              <w:spacing w:before="40" w:after="40" w:line="240" w:lineRule="auto"/>
              <w:ind w:left="-57" w:right="-57"/>
              <w:rPr>
                <w:rFonts w:ascii="Arial Narrow" w:hAnsi="Arial Narrow"/>
                <w:sz w:val="20"/>
                <w:szCs w:val="20"/>
              </w:rPr>
            </w:pPr>
            <w:r w:rsidRPr="00DC4CE2">
              <w:rPr>
                <w:rFonts w:ascii="Arial Narrow" w:hAnsi="Arial Narrow"/>
                <w:sz w:val="20"/>
                <w:szCs w:val="20"/>
              </w:rPr>
              <w:t>2.5-10%</w:t>
            </w:r>
          </w:p>
        </w:tc>
        <w:tc>
          <w:tcPr>
            <w:tcW w:w="1156" w:type="dxa"/>
            <w:tcBorders>
              <w:bottom w:val="nil"/>
            </w:tcBorders>
          </w:tcPr>
          <w:p w14:paraId="6E066F74" w14:textId="38D096CE" w:rsidR="00812930" w:rsidRPr="004840D2" w:rsidRDefault="00812930" w:rsidP="0056015E">
            <w:pPr>
              <w:spacing w:before="40" w:after="40" w:line="240" w:lineRule="auto"/>
              <w:ind w:left="-57" w:right="-57"/>
              <w:rPr>
                <w:rFonts w:ascii="Arial Narrow" w:hAnsi="Arial Narrow"/>
                <w:sz w:val="20"/>
                <w:szCs w:val="20"/>
              </w:rPr>
            </w:pPr>
            <w:r w:rsidRPr="005D5DFF">
              <w:rPr>
                <w:rFonts w:ascii="Arial Narrow" w:hAnsi="Arial Narrow"/>
                <w:sz w:val="20"/>
                <w:szCs w:val="20"/>
                <w:vertAlign w:val="superscript"/>
              </w:rPr>
              <w:t>§</w:t>
            </w:r>
            <w:r>
              <w:rPr>
                <w:rFonts w:ascii="Arial Narrow" w:hAnsi="Arial Narrow"/>
                <w:sz w:val="20"/>
                <w:szCs w:val="20"/>
              </w:rPr>
              <w:t xml:space="preserve"> ~</w:t>
            </w:r>
            <w:r w:rsidRPr="004840D2">
              <w:rPr>
                <w:rFonts w:ascii="Arial Narrow" w:hAnsi="Arial Narrow"/>
                <w:sz w:val="20"/>
                <w:szCs w:val="20"/>
              </w:rPr>
              <w:t>72 hours</w:t>
            </w:r>
          </w:p>
        </w:tc>
        <w:tc>
          <w:tcPr>
            <w:tcW w:w="1354" w:type="dxa"/>
            <w:tcBorders>
              <w:bottom w:val="nil"/>
            </w:tcBorders>
            <w:vAlign w:val="bottom"/>
          </w:tcPr>
          <w:p w14:paraId="07EE967A" w14:textId="3C4CE0CB" w:rsidR="00812930" w:rsidRDefault="00812930" w:rsidP="00812930">
            <w:pPr>
              <w:spacing w:before="40" w:after="40" w:line="240" w:lineRule="auto"/>
              <w:ind w:left="-57" w:right="-57"/>
              <w:rPr>
                <w:rFonts w:ascii="Arial Narrow" w:hAnsi="Arial Narrow"/>
                <w:sz w:val="20"/>
                <w:szCs w:val="20"/>
              </w:rPr>
            </w:pPr>
            <w:r>
              <w:rPr>
                <w:rFonts w:ascii="Arial Narrow" w:hAnsi="Arial Narrow"/>
                <w:sz w:val="20"/>
                <w:szCs w:val="20"/>
              </w:rPr>
              <w:t>Systemic opioids (IV or oral) or non-opioid oral analgesics</w:t>
            </w:r>
          </w:p>
        </w:tc>
      </w:tr>
      <w:tr w:rsidR="00812930" w14:paraId="1C55A977" w14:textId="77777777" w:rsidTr="00812930">
        <w:tc>
          <w:tcPr>
            <w:tcW w:w="1520" w:type="dxa"/>
          </w:tcPr>
          <w:p w14:paraId="577B5BE2" w14:textId="77777777" w:rsidR="00812930" w:rsidRPr="007052EC" w:rsidRDefault="00812930" w:rsidP="0056015E">
            <w:pPr>
              <w:spacing w:before="40" w:after="40" w:line="240" w:lineRule="auto"/>
              <w:rPr>
                <w:rFonts w:ascii="Arial Narrow" w:hAnsi="Arial Narrow"/>
                <w:sz w:val="20"/>
                <w:szCs w:val="20"/>
              </w:rPr>
            </w:pPr>
            <w:r>
              <w:rPr>
                <w:rFonts w:ascii="Arial Narrow" w:hAnsi="Arial Narrow"/>
                <w:sz w:val="20"/>
                <w:szCs w:val="20"/>
              </w:rPr>
              <w:t>Neuraxial analgesia – spinal (intrathecal) block</w:t>
            </w:r>
          </w:p>
        </w:tc>
        <w:tc>
          <w:tcPr>
            <w:tcW w:w="4281" w:type="dxa"/>
          </w:tcPr>
          <w:p w14:paraId="3280DCAC" w14:textId="4D77DF8C" w:rsidR="00812930" w:rsidRPr="007052EC" w:rsidRDefault="00812930" w:rsidP="0056015E">
            <w:pPr>
              <w:spacing w:before="40" w:after="40" w:line="240" w:lineRule="auto"/>
              <w:ind w:left="-39"/>
              <w:rPr>
                <w:rFonts w:ascii="Arial Narrow" w:hAnsi="Arial Narrow"/>
                <w:sz w:val="20"/>
                <w:szCs w:val="20"/>
              </w:rPr>
            </w:pPr>
            <w:r>
              <w:rPr>
                <w:rFonts w:ascii="Arial Narrow" w:hAnsi="Arial Narrow"/>
                <w:sz w:val="20"/>
                <w:szCs w:val="20"/>
              </w:rPr>
              <w:t xml:space="preserve">Single injection, same local anaesthetic agents as for single injection nerve block. </w:t>
            </w:r>
          </w:p>
        </w:tc>
        <w:tc>
          <w:tcPr>
            <w:tcW w:w="1260" w:type="dxa"/>
            <w:tcBorders>
              <w:top w:val="nil"/>
            </w:tcBorders>
          </w:tcPr>
          <w:p w14:paraId="149E77B9" w14:textId="55C48DB8" w:rsidR="00812930" w:rsidRDefault="00812930" w:rsidP="0056015E">
            <w:pPr>
              <w:spacing w:before="40" w:after="40" w:line="240" w:lineRule="auto"/>
              <w:ind w:left="-57" w:right="-57"/>
              <w:rPr>
                <w:rFonts w:ascii="Arial Narrow" w:hAnsi="Arial Narrow"/>
                <w:sz w:val="20"/>
                <w:szCs w:val="20"/>
              </w:rPr>
            </w:pPr>
          </w:p>
        </w:tc>
        <w:tc>
          <w:tcPr>
            <w:tcW w:w="1156" w:type="dxa"/>
            <w:tcBorders>
              <w:top w:val="nil"/>
            </w:tcBorders>
          </w:tcPr>
          <w:p w14:paraId="1E63A164" w14:textId="3536321B" w:rsidR="00812930" w:rsidRDefault="00812930" w:rsidP="0056015E">
            <w:pPr>
              <w:spacing w:before="40" w:after="40" w:line="240" w:lineRule="auto"/>
              <w:ind w:left="-57" w:right="-57"/>
              <w:rPr>
                <w:rFonts w:ascii="Arial Narrow" w:hAnsi="Arial Narrow"/>
                <w:sz w:val="20"/>
                <w:szCs w:val="20"/>
              </w:rPr>
            </w:pPr>
            <w:r w:rsidRPr="00B76D38">
              <w:rPr>
                <w:rFonts w:cs="Calibri"/>
                <w:sz w:val="20"/>
                <w:szCs w:val="20"/>
                <w:vertAlign w:val="superscript"/>
              </w:rPr>
              <w:t>ⴕ</w:t>
            </w:r>
            <w:r>
              <w:rPr>
                <w:rFonts w:ascii="Arial Narrow" w:hAnsi="Arial Narrow"/>
                <w:sz w:val="20"/>
                <w:szCs w:val="20"/>
              </w:rPr>
              <w:t xml:space="preserve"> ~12 hours</w:t>
            </w:r>
          </w:p>
        </w:tc>
        <w:tc>
          <w:tcPr>
            <w:tcW w:w="1354" w:type="dxa"/>
            <w:tcBorders>
              <w:top w:val="nil"/>
            </w:tcBorders>
          </w:tcPr>
          <w:p w14:paraId="6F33411B" w14:textId="1DBF4AF1" w:rsidR="00812930" w:rsidRDefault="00812930" w:rsidP="0056015E">
            <w:pPr>
              <w:spacing w:before="40" w:after="40" w:line="240" w:lineRule="auto"/>
              <w:ind w:left="-57" w:right="-57"/>
              <w:rPr>
                <w:rFonts w:ascii="Arial Narrow" w:hAnsi="Arial Narrow"/>
                <w:sz w:val="20"/>
                <w:szCs w:val="20"/>
              </w:rPr>
            </w:pPr>
          </w:p>
        </w:tc>
      </w:tr>
      <w:tr w:rsidR="0056015E" w14:paraId="66F4BD5F" w14:textId="77777777" w:rsidTr="007D29D5">
        <w:tc>
          <w:tcPr>
            <w:tcW w:w="1520" w:type="dxa"/>
          </w:tcPr>
          <w:p w14:paraId="1D52E910" w14:textId="77777777" w:rsidR="0056015E" w:rsidRPr="007052EC" w:rsidRDefault="0056015E" w:rsidP="0056015E">
            <w:pPr>
              <w:spacing w:before="40" w:after="40" w:line="240" w:lineRule="auto"/>
              <w:rPr>
                <w:rFonts w:ascii="Arial Narrow" w:hAnsi="Arial Narrow"/>
                <w:sz w:val="20"/>
                <w:szCs w:val="20"/>
              </w:rPr>
            </w:pPr>
            <w:r>
              <w:rPr>
                <w:rFonts w:ascii="Arial Narrow" w:hAnsi="Arial Narrow"/>
                <w:sz w:val="20"/>
                <w:szCs w:val="20"/>
              </w:rPr>
              <w:t xml:space="preserve">Systemic opioids – IV </w:t>
            </w:r>
          </w:p>
        </w:tc>
        <w:tc>
          <w:tcPr>
            <w:tcW w:w="4281" w:type="dxa"/>
          </w:tcPr>
          <w:p w14:paraId="47D31BE5" w14:textId="7B2F2C1A" w:rsidR="003103C8" w:rsidRDefault="0056015E" w:rsidP="0056015E">
            <w:pPr>
              <w:spacing w:before="40" w:after="40" w:line="240" w:lineRule="auto"/>
              <w:ind w:left="-39"/>
              <w:rPr>
                <w:rFonts w:ascii="Arial Narrow" w:hAnsi="Arial Narrow"/>
                <w:sz w:val="20"/>
                <w:szCs w:val="20"/>
              </w:rPr>
            </w:pPr>
            <w:r w:rsidRPr="00C97796">
              <w:rPr>
                <w:rFonts w:ascii="Arial Narrow" w:hAnsi="Arial Narrow"/>
                <w:sz w:val="20"/>
                <w:szCs w:val="20"/>
              </w:rPr>
              <w:t>Often</w:t>
            </w:r>
            <w:r>
              <w:rPr>
                <w:rFonts w:ascii="Arial Narrow" w:hAnsi="Arial Narrow"/>
                <w:sz w:val="20"/>
                <w:szCs w:val="20"/>
              </w:rPr>
              <w:t xml:space="preserve"> fentanyl in the first instance (short-acting)</w:t>
            </w:r>
            <w:r w:rsidR="003D7E1E">
              <w:rPr>
                <w:rFonts w:ascii="Arial Narrow" w:hAnsi="Arial Narrow"/>
                <w:sz w:val="20"/>
                <w:szCs w:val="20"/>
              </w:rPr>
              <w:t xml:space="preserve">, </w:t>
            </w:r>
            <w:r w:rsidR="00AF3AC0">
              <w:rPr>
                <w:rFonts w:ascii="Arial Narrow" w:hAnsi="Arial Narrow"/>
                <w:sz w:val="20"/>
                <w:szCs w:val="20"/>
              </w:rPr>
              <w:t xml:space="preserve">IV </w:t>
            </w:r>
            <w:r w:rsidR="003D7E1E">
              <w:rPr>
                <w:rFonts w:ascii="Arial Narrow" w:hAnsi="Arial Narrow"/>
                <w:sz w:val="20"/>
                <w:szCs w:val="20"/>
              </w:rPr>
              <w:t>oxycodone,</w:t>
            </w:r>
            <w:r w:rsidR="00074CF2">
              <w:rPr>
                <w:rFonts w:ascii="Arial Narrow" w:hAnsi="Arial Narrow"/>
                <w:sz w:val="20"/>
                <w:szCs w:val="20"/>
              </w:rPr>
              <w:t xml:space="preserve"> or morphine </w:t>
            </w:r>
            <w:r w:rsidR="00002036">
              <w:rPr>
                <w:rFonts w:ascii="Arial Narrow" w:hAnsi="Arial Narrow"/>
                <w:sz w:val="20"/>
                <w:szCs w:val="20"/>
              </w:rPr>
              <w:t>(especially patients with a PCA)</w:t>
            </w:r>
            <w:r>
              <w:rPr>
                <w:rFonts w:ascii="Arial Narrow" w:hAnsi="Arial Narrow"/>
                <w:sz w:val="20"/>
                <w:szCs w:val="20"/>
              </w:rPr>
              <w:t>.</w:t>
            </w:r>
            <w:r w:rsidR="00AE403A">
              <w:rPr>
                <w:rFonts w:ascii="Arial Narrow" w:hAnsi="Arial Narrow"/>
                <w:sz w:val="20"/>
                <w:szCs w:val="20"/>
              </w:rPr>
              <w:t xml:space="preserve"> </w:t>
            </w:r>
          </w:p>
          <w:p w14:paraId="5FD1BB9F" w14:textId="6D0EB78D" w:rsidR="003103C8" w:rsidRDefault="003103C8" w:rsidP="0056015E">
            <w:pPr>
              <w:spacing w:before="40" w:after="40" w:line="240" w:lineRule="auto"/>
              <w:ind w:left="-39"/>
              <w:rPr>
                <w:rFonts w:ascii="Arial Narrow" w:hAnsi="Arial Narrow"/>
                <w:sz w:val="20"/>
                <w:szCs w:val="20"/>
              </w:rPr>
            </w:pPr>
            <w:r>
              <w:rPr>
                <w:rFonts w:ascii="Arial Narrow" w:hAnsi="Arial Narrow"/>
                <w:sz w:val="20"/>
                <w:szCs w:val="20"/>
              </w:rPr>
              <w:t xml:space="preserve">With </w:t>
            </w:r>
            <w:r w:rsidR="00B10288">
              <w:rPr>
                <w:rFonts w:ascii="Arial Narrow" w:hAnsi="Arial Narrow"/>
                <w:sz w:val="20"/>
                <w:szCs w:val="20"/>
              </w:rPr>
              <w:t>N</w:t>
            </w:r>
            <w:r>
              <w:rPr>
                <w:rFonts w:ascii="Arial Narrow" w:hAnsi="Arial Narrow"/>
                <w:sz w:val="20"/>
                <w:szCs w:val="20"/>
              </w:rPr>
              <w:t>ormacol</w:t>
            </w:r>
            <w:r w:rsidR="00695738">
              <w:rPr>
                <w:rFonts w:ascii="Arial Narrow" w:hAnsi="Arial Narrow"/>
                <w:sz w:val="20"/>
                <w:szCs w:val="20"/>
              </w:rPr>
              <w:t xml:space="preserve"> or similar.</w:t>
            </w:r>
          </w:p>
          <w:p w14:paraId="4DCA9B09" w14:textId="2784A93A" w:rsidR="0056015E" w:rsidRDefault="00AE403A" w:rsidP="0056015E">
            <w:pPr>
              <w:spacing w:before="40" w:after="40" w:line="240" w:lineRule="auto"/>
              <w:ind w:left="-39"/>
              <w:rPr>
                <w:rFonts w:ascii="Arial Narrow" w:hAnsi="Arial Narrow"/>
                <w:sz w:val="20"/>
                <w:szCs w:val="20"/>
              </w:rPr>
            </w:pPr>
            <w:r>
              <w:rPr>
                <w:rFonts w:ascii="Arial Narrow" w:hAnsi="Arial Narrow"/>
                <w:sz w:val="20"/>
                <w:szCs w:val="20"/>
              </w:rPr>
              <w:t>With/without ondansetron (not PBS listed for this indication)</w:t>
            </w:r>
          </w:p>
          <w:p w14:paraId="10C3D272" w14:textId="12F30249" w:rsidR="00272A3B" w:rsidRPr="007052EC" w:rsidRDefault="00272A3B" w:rsidP="0056015E">
            <w:pPr>
              <w:spacing w:before="40" w:after="40" w:line="240" w:lineRule="auto"/>
              <w:ind w:left="-39"/>
              <w:rPr>
                <w:rFonts w:ascii="Arial Narrow" w:hAnsi="Arial Narrow"/>
                <w:sz w:val="20"/>
                <w:szCs w:val="20"/>
              </w:rPr>
            </w:pPr>
            <w:r>
              <w:rPr>
                <w:rFonts w:ascii="Arial Narrow" w:hAnsi="Arial Narrow"/>
                <w:sz w:val="20"/>
                <w:szCs w:val="20"/>
              </w:rPr>
              <w:t xml:space="preserve">Used for any of the surgery types (except where epidural is preferred) unless patient is </w:t>
            </w:r>
            <w:r w:rsidR="009E1AD5">
              <w:rPr>
                <w:rFonts w:ascii="Arial Narrow" w:hAnsi="Arial Narrow"/>
                <w:sz w:val="20"/>
                <w:szCs w:val="20"/>
              </w:rPr>
              <w:t xml:space="preserve">contraindicated for opioids. </w:t>
            </w:r>
          </w:p>
        </w:tc>
        <w:tc>
          <w:tcPr>
            <w:tcW w:w="1260" w:type="dxa"/>
          </w:tcPr>
          <w:p w14:paraId="436D2BC4" w14:textId="0694EC7C" w:rsidR="0056015E" w:rsidRPr="00345EAC" w:rsidRDefault="00DC4CE2" w:rsidP="0056015E">
            <w:pPr>
              <w:spacing w:before="40" w:after="40" w:line="240" w:lineRule="auto"/>
              <w:ind w:left="-57" w:right="-57"/>
              <w:rPr>
                <w:rFonts w:ascii="Arial Narrow" w:hAnsi="Arial Narrow"/>
                <w:sz w:val="20"/>
                <w:szCs w:val="20"/>
              </w:rPr>
            </w:pPr>
            <w:r>
              <w:rPr>
                <w:rFonts w:ascii="Arial Narrow" w:hAnsi="Arial Narrow"/>
                <w:sz w:val="20"/>
                <w:szCs w:val="20"/>
              </w:rPr>
              <w:t>Up to 80%</w:t>
            </w:r>
          </w:p>
        </w:tc>
        <w:tc>
          <w:tcPr>
            <w:tcW w:w="1156" w:type="dxa"/>
          </w:tcPr>
          <w:p w14:paraId="4E34DB90" w14:textId="7B2D0468" w:rsidR="0056015E" w:rsidRPr="00345EAC" w:rsidRDefault="00B76D38" w:rsidP="0056015E">
            <w:pPr>
              <w:spacing w:before="40" w:after="40" w:line="240" w:lineRule="auto"/>
              <w:ind w:left="-57" w:right="-57"/>
              <w:rPr>
                <w:rFonts w:ascii="Arial Narrow" w:hAnsi="Arial Narrow"/>
                <w:sz w:val="20"/>
                <w:szCs w:val="20"/>
              </w:rPr>
            </w:pPr>
            <w:r w:rsidRPr="00B76D38">
              <w:rPr>
                <w:rFonts w:cs="Calibri"/>
                <w:sz w:val="20"/>
                <w:szCs w:val="20"/>
                <w:vertAlign w:val="superscript"/>
              </w:rPr>
              <w:t>ǂ</w:t>
            </w:r>
            <w:r>
              <w:rPr>
                <w:rFonts w:ascii="Arial Narrow" w:hAnsi="Arial Narrow"/>
                <w:sz w:val="20"/>
                <w:szCs w:val="20"/>
              </w:rPr>
              <w:t xml:space="preserve"> </w:t>
            </w:r>
            <w:r w:rsidR="007D29D5">
              <w:rPr>
                <w:rFonts w:ascii="Arial Narrow" w:hAnsi="Arial Narrow"/>
                <w:sz w:val="20"/>
                <w:szCs w:val="20"/>
              </w:rPr>
              <w:t>~</w:t>
            </w:r>
            <w:r w:rsidR="009B770A">
              <w:rPr>
                <w:rFonts w:ascii="Arial Narrow" w:hAnsi="Arial Narrow"/>
                <w:sz w:val="20"/>
                <w:szCs w:val="20"/>
              </w:rPr>
              <w:t>72</w:t>
            </w:r>
            <w:r w:rsidR="0056015E" w:rsidRPr="00345EAC">
              <w:rPr>
                <w:rFonts w:ascii="Arial Narrow" w:hAnsi="Arial Narrow"/>
                <w:sz w:val="20"/>
                <w:szCs w:val="20"/>
              </w:rPr>
              <w:t xml:space="preserve"> hours</w:t>
            </w:r>
          </w:p>
        </w:tc>
        <w:tc>
          <w:tcPr>
            <w:tcW w:w="1354" w:type="dxa"/>
          </w:tcPr>
          <w:p w14:paraId="5CD80997" w14:textId="3E996AEA" w:rsidR="0056015E" w:rsidRPr="00345EAC" w:rsidRDefault="0056015E" w:rsidP="0056015E">
            <w:pPr>
              <w:spacing w:before="40" w:after="40" w:line="240" w:lineRule="auto"/>
              <w:ind w:left="-57" w:right="-57"/>
              <w:rPr>
                <w:rFonts w:ascii="Arial Narrow" w:hAnsi="Arial Narrow"/>
                <w:sz w:val="20"/>
                <w:szCs w:val="20"/>
              </w:rPr>
            </w:pPr>
            <w:r>
              <w:rPr>
                <w:rFonts w:ascii="Arial Narrow" w:hAnsi="Arial Narrow"/>
                <w:sz w:val="20"/>
                <w:szCs w:val="20"/>
              </w:rPr>
              <w:t xml:space="preserve">Systemic opioids </w:t>
            </w:r>
            <w:r w:rsidR="00B50777">
              <w:rPr>
                <w:rFonts w:ascii="Arial Narrow" w:hAnsi="Arial Narrow"/>
                <w:sz w:val="20"/>
                <w:szCs w:val="20"/>
              </w:rPr>
              <w:t>(</w:t>
            </w:r>
            <w:r>
              <w:rPr>
                <w:rFonts w:ascii="Arial Narrow" w:hAnsi="Arial Narrow"/>
                <w:sz w:val="20"/>
                <w:szCs w:val="20"/>
              </w:rPr>
              <w:t>oral</w:t>
            </w:r>
            <w:r w:rsidR="00B50777">
              <w:rPr>
                <w:rFonts w:ascii="Arial Narrow" w:hAnsi="Arial Narrow"/>
                <w:sz w:val="20"/>
                <w:szCs w:val="20"/>
              </w:rPr>
              <w:t>)</w:t>
            </w:r>
            <w:r>
              <w:rPr>
                <w:rFonts w:ascii="Arial Narrow" w:hAnsi="Arial Narrow"/>
                <w:sz w:val="20"/>
                <w:szCs w:val="20"/>
              </w:rPr>
              <w:t xml:space="preserve"> </w:t>
            </w:r>
          </w:p>
        </w:tc>
      </w:tr>
    </w:tbl>
    <w:p w14:paraId="07A4D43B" w14:textId="77777777" w:rsidR="00741017" w:rsidRDefault="00741017">
      <w:r>
        <w:br w:type="page"/>
      </w:r>
    </w:p>
    <w:tbl>
      <w:tblPr>
        <w:tblStyle w:val="TableGrid"/>
        <w:tblW w:w="0" w:type="auto"/>
        <w:tblInd w:w="0" w:type="dxa"/>
        <w:tblLook w:val="04A0" w:firstRow="1" w:lastRow="0" w:firstColumn="1" w:lastColumn="0" w:noHBand="0" w:noVBand="1"/>
        <w:tblCaption w:val="List of potential comparators"/>
        <w:tblDescription w:val="The table lists potential comparators and the estimated use of each."/>
      </w:tblPr>
      <w:tblGrid>
        <w:gridCol w:w="1520"/>
        <w:gridCol w:w="4281"/>
        <w:gridCol w:w="1260"/>
        <w:gridCol w:w="1156"/>
        <w:gridCol w:w="1354"/>
      </w:tblGrid>
      <w:tr w:rsidR="00741017" w14:paraId="6E1BF674" w14:textId="77777777" w:rsidTr="0036125E">
        <w:trPr>
          <w:tblHeader/>
        </w:trPr>
        <w:tc>
          <w:tcPr>
            <w:tcW w:w="1520" w:type="dxa"/>
          </w:tcPr>
          <w:p w14:paraId="78102027" w14:textId="77777777" w:rsidR="00741017" w:rsidRPr="009B4860" w:rsidRDefault="00741017" w:rsidP="0036125E">
            <w:pPr>
              <w:keepNext/>
              <w:spacing w:before="40" w:after="40" w:line="240" w:lineRule="auto"/>
              <w:rPr>
                <w:rFonts w:ascii="Arial Narrow" w:hAnsi="Arial Narrow"/>
                <w:b/>
                <w:sz w:val="20"/>
                <w:szCs w:val="20"/>
              </w:rPr>
            </w:pPr>
            <w:r>
              <w:rPr>
                <w:rFonts w:ascii="Arial Narrow" w:hAnsi="Arial Narrow"/>
                <w:b/>
                <w:sz w:val="20"/>
                <w:szCs w:val="20"/>
              </w:rPr>
              <w:lastRenderedPageBreak/>
              <w:t>Comparator</w:t>
            </w:r>
          </w:p>
        </w:tc>
        <w:tc>
          <w:tcPr>
            <w:tcW w:w="4281" w:type="dxa"/>
          </w:tcPr>
          <w:p w14:paraId="1DAE81BD" w14:textId="77777777" w:rsidR="00741017" w:rsidRPr="00845CDF" w:rsidRDefault="00741017" w:rsidP="0036125E">
            <w:pPr>
              <w:keepNext/>
              <w:spacing w:before="40" w:after="40" w:line="240" w:lineRule="auto"/>
              <w:rPr>
                <w:rFonts w:ascii="Arial Narrow" w:hAnsi="Arial Narrow"/>
                <w:b/>
                <w:sz w:val="20"/>
                <w:szCs w:val="20"/>
              </w:rPr>
            </w:pPr>
            <w:r>
              <w:rPr>
                <w:rFonts w:ascii="Arial Narrow" w:hAnsi="Arial Narrow"/>
                <w:b/>
                <w:sz w:val="20"/>
                <w:szCs w:val="20"/>
              </w:rPr>
              <w:t>Details</w:t>
            </w:r>
          </w:p>
        </w:tc>
        <w:tc>
          <w:tcPr>
            <w:tcW w:w="1260" w:type="dxa"/>
          </w:tcPr>
          <w:p w14:paraId="4AB3F604" w14:textId="77777777" w:rsidR="00741017" w:rsidRDefault="00741017" w:rsidP="0036125E">
            <w:pPr>
              <w:keepNext/>
              <w:spacing w:before="40" w:after="40" w:line="240" w:lineRule="auto"/>
              <w:ind w:left="-57" w:right="-57"/>
              <w:rPr>
                <w:rFonts w:ascii="Arial Narrow" w:hAnsi="Arial Narrow"/>
                <w:b/>
                <w:sz w:val="20"/>
                <w:szCs w:val="20"/>
              </w:rPr>
            </w:pPr>
            <w:r>
              <w:rPr>
                <w:rFonts w:ascii="Arial Narrow" w:hAnsi="Arial Narrow"/>
                <w:b/>
                <w:sz w:val="20"/>
                <w:szCs w:val="20"/>
              </w:rPr>
              <w:t xml:space="preserve">% Estimated Use </w:t>
            </w:r>
          </w:p>
        </w:tc>
        <w:tc>
          <w:tcPr>
            <w:tcW w:w="1156" w:type="dxa"/>
          </w:tcPr>
          <w:p w14:paraId="74F1E6CB" w14:textId="77777777" w:rsidR="00741017" w:rsidRDefault="00741017" w:rsidP="0036125E">
            <w:pPr>
              <w:keepNext/>
              <w:spacing w:before="40" w:after="40" w:line="240" w:lineRule="auto"/>
              <w:ind w:left="-57" w:right="-57"/>
              <w:rPr>
                <w:rFonts w:ascii="Arial Narrow" w:hAnsi="Arial Narrow"/>
                <w:b/>
                <w:sz w:val="20"/>
                <w:szCs w:val="20"/>
              </w:rPr>
            </w:pPr>
            <w:r>
              <w:rPr>
                <w:rFonts w:ascii="Arial Narrow" w:hAnsi="Arial Narrow"/>
                <w:b/>
                <w:sz w:val="20"/>
                <w:szCs w:val="20"/>
              </w:rPr>
              <w:t xml:space="preserve">Max Duration </w:t>
            </w:r>
          </w:p>
        </w:tc>
        <w:tc>
          <w:tcPr>
            <w:tcW w:w="1354" w:type="dxa"/>
          </w:tcPr>
          <w:p w14:paraId="7F2FF6CC" w14:textId="77777777" w:rsidR="00741017" w:rsidRDefault="00741017" w:rsidP="0036125E">
            <w:pPr>
              <w:keepNext/>
              <w:spacing w:before="40" w:after="40" w:line="240" w:lineRule="auto"/>
              <w:ind w:left="-57" w:right="-57"/>
              <w:rPr>
                <w:rFonts w:ascii="Arial Narrow" w:hAnsi="Arial Narrow"/>
                <w:b/>
                <w:sz w:val="20"/>
                <w:szCs w:val="20"/>
              </w:rPr>
            </w:pPr>
            <w:r>
              <w:rPr>
                <w:rFonts w:ascii="Arial Narrow" w:hAnsi="Arial Narrow"/>
                <w:b/>
                <w:sz w:val="20"/>
                <w:szCs w:val="20"/>
              </w:rPr>
              <w:t>Followed By:</w:t>
            </w:r>
          </w:p>
        </w:tc>
      </w:tr>
      <w:tr w:rsidR="0056015E" w14:paraId="20E35D84" w14:textId="77777777" w:rsidTr="007D29D5">
        <w:tc>
          <w:tcPr>
            <w:tcW w:w="1520" w:type="dxa"/>
          </w:tcPr>
          <w:p w14:paraId="5611C558" w14:textId="5305268D" w:rsidR="0056015E" w:rsidRPr="007052EC" w:rsidRDefault="00433CB3" w:rsidP="0056015E">
            <w:pPr>
              <w:spacing w:before="40" w:after="40" w:line="240" w:lineRule="auto"/>
              <w:rPr>
                <w:rFonts w:ascii="Arial Narrow" w:hAnsi="Arial Narrow"/>
                <w:sz w:val="20"/>
                <w:szCs w:val="20"/>
              </w:rPr>
            </w:pPr>
            <w:r>
              <w:rPr>
                <w:rFonts w:ascii="Arial Narrow" w:hAnsi="Arial Narrow"/>
                <w:sz w:val="20"/>
                <w:szCs w:val="20"/>
              </w:rPr>
              <w:t>*</w:t>
            </w:r>
            <w:r w:rsidR="0056015E">
              <w:rPr>
                <w:rFonts w:ascii="Arial Narrow" w:hAnsi="Arial Narrow"/>
                <w:sz w:val="20"/>
                <w:szCs w:val="20"/>
              </w:rPr>
              <w:t>Systemic opioids – oral</w:t>
            </w:r>
          </w:p>
        </w:tc>
        <w:tc>
          <w:tcPr>
            <w:tcW w:w="4281" w:type="dxa"/>
          </w:tcPr>
          <w:p w14:paraId="1FC5ED35" w14:textId="4018F4E5" w:rsidR="0056015E" w:rsidRDefault="002C33E3" w:rsidP="0056015E">
            <w:pPr>
              <w:spacing w:before="40" w:after="40" w:line="240" w:lineRule="auto"/>
              <w:ind w:left="-39"/>
              <w:rPr>
                <w:rFonts w:ascii="Arial Narrow" w:hAnsi="Arial Narrow"/>
                <w:sz w:val="20"/>
                <w:szCs w:val="20"/>
              </w:rPr>
            </w:pPr>
            <w:r>
              <w:rPr>
                <w:rFonts w:ascii="Arial Narrow" w:hAnsi="Arial Narrow"/>
                <w:sz w:val="20"/>
                <w:szCs w:val="20"/>
              </w:rPr>
              <w:t>Typically,</w:t>
            </w:r>
            <w:r w:rsidR="0056015E">
              <w:rPr>
                <w:rFonts w:ascii="Arial Narrow" w:hAnsi="Arial Narrow"/>
                <w:sz w:val="20"/>
                <w:szCs w:val="20"/>
              </w:rPr>
              <w:t xml:space="preserve"> patients </w:t>
            </w:r>
            <w:r w:rsidR="00A37779">
              <w:rPr>
                <w:rFonts w:ascii="Arial Narrow" w:hAnsi="Arial Narrow"/>
                <w:sz w:val="20"/>
                <w:szCs w:val="20"/>
              </w:rPr>
              <w:t xml:space="preserve">who have responded well to IV opioids </w:t>
            </w:r>
            <w:r w:rsidR="0056015E">
              <w:rPr>
                <w:rFonts w:ascii="Arial Narrow" w:hAnsi="Arial Narrow"/>
                <w:sz w:val="20"/>
                <w:szCs w:val="20"/>
              </w:rPr>
              <w:t xml:space="preserve">are </w:t>
            </w:r>
            <w:r w:rsidR="00456F6D">
              <w:rPr>
                <w:rFonts w:ascii="Arial Narrow" w:hAnsi="Arial Narrow"/>
                <w:sz w:val="20"/>
                <w:szCs w:val="20"/>
              </w:rPr>
              <w:t>stabilised</w:t>
            </w:r>
            <w:r w:rsidR="0056015E">
              <w:rPr>
                <w:rFonts w:ascii="Arial Narrow" w:hAnsi="Arial Narrow"/>
                <w:sz w:val="20"/>
                <w:szCs w:val="20"/>
              </w:rPr>
              <w:t xml:space="preserve"> on</w:t>
            </w:r>
            <w:r w:rsidR="00AE403A">
              <w:rPr>
                <w:rFonts w:ascii="Arial Narrow" w:hAnsi="Arial Narrow"/>
                <w:sz w:val="20"/>
                <w:szCs w:val="20"/>
              </w:rPr>
              <w:t xml:space="preserve"> an oral equivalent</w:t>
            </w:r>
            <w:r w:rsidR="0056015E">
              <w:rPr>
                <w:rFonts w:ascii="Arial Narrow" w:hAnsi="Arial Narrow"/>
                <w:sz w:val="20"/>
                <w:szCs w:val="20"/>
              </w:rPr>
              <w:t xml:space="preserve"> </w:t>
            </w:r>
            <w:r w:rsidR="00AE403A">
              <w:rPr>
                <w:rFonts w:ascii="Arial Narrow" w:hAnsi="Arial Narrow"/>
                <w:sz w:val="20"/>
                <w:szCs w:val="20"/>
              </w:rPr>
              <w:t>(</w:t>
            </w:r>
            <w:r w:rsidR="0056015E" w:rsidRPr="00807479">
              <w:rPr>
                <w:rFonts w:ascii="Arial Narrow" w:hAnsi="Arial Narrow"/>
                <w:sz w:val="20"/>
                <w:szCs w:val="20"/>
              </w:rPr>
              <w:t>oxycodone</w:t>
            </w:r>
            <w:r w:rsidR="00AE403A">
              <w:rPr>
                <w:rFonts w:ascii="Arial Narrow" w:hAnsi="Arial Narrow"/>
                <w:sz w:val="20"/>
                <w:szCs w:val="20"/>
              </w:rPr>
              <w:t>)</w:t>
            </w:r>
            <w:r w:rsidR="0056015E">
              <w:rPr>
                <w:rFonts w:ascii="Arial Narrow" w:hAnsi="Arial Narrow"/>
                <w:sz w:val="20"/>
                <w:szCs w:val="20"/>
              </w:rPr>
              <w:t xml:space="preserve"> on the ward </w:t>
            </w:r>
            <w:r w:rsidR="00AE403A">
              <w:rPr>
                <w:rFonts w:ascii="Arial Narrow" w:hAnsi="Arial Narrow"/>
                <w:sz w:val="20"/>
                <w:szCs w:val="20"/>
              </w:rPr>
              <w:t xml:space="preserve">and sent home </w:t>
            </w:r>
            <w:r w:rsidR="0056015E">
              <w:rPr>
                <w:rFonts w:ascii="Arial Narrow" w:hAnsi="Arial Narrow"/>
                <w:sz w:val="20"/>
                <w:szCs w:val="20"/>
              </w:rPr>
              <w:t>with</w:t>
            </w:r>
            <w:r w:rsidR="0056015E" w:rsidRPr="00935A1B">
              <w:rPr>
                <w:rFonts w:ascii="Arial Narrow" w:hAnsi="Arial Narrow"/>
                <w:sz w:val="20"/>
                <w:szCs w:val="20"/>
              </w:rPr>
              <w:t xml:space="preserve"> </w:t>
            </w:r>
            <w:r w:rsidR="009D45CD">
              <w:rPr>
                <w:rFonts w:ascii="Arial Narrow" w:hAnsi="Arial Narrow"/>
                <w:sz w:val="20"/>
                <w:szCs w:val="20"/>
              </w:rPr>
              <w:t xml:space="preserve">a </w:t>
            </w:r>
            <w:r w:rsidR="00EA45FC" w:rsidRPr="00935A1B">
              <w:rPr>
                <w:rFonts w:ascii="Arial Narrow" w:hAnsi="Arial Narrow"/>
                <w:sz w:val="20"/>
                <w:szCs w:val="20"/>
              </w:rPr>
              <w:t>week</w:t>
            </w:r>
            <w:r w:rsidR="0056015E" w:rsidRPr="00935A1B">
              <w:rPr>
                <w:rFonts w:ascii="Arial Narrow" w:hAnsi="Arial Narrow"/>
                <w:sz w:val="20"/>
                <w:szCs w:val="20"/>
              </w:rPr>
              <w:t>’s supply</w:t>
            </w:r>
            <w:r w:rsidR="00DD3EE1" w:rsidRPr="00935A1B">
              <w:rPr>
                <w:rFonts w:ascii="Arial Narrow" w:hAnsi="Arial Narrow"/>
                <w:sz w:val="20"/>
                <w:szCs w:val="20"/>
              </w:rPr>
              <w:t>,</w:t>
            </w:r>
            <w:r w:rsidR="00B10288">
              <w:rPr>
                <w:rFonts w:ascii="Arial Narrow" w:hAnsi="Arial Narrow"/>
                <w:sz w:val="20"/>
                <w:szCs w:val="20"/>
              </w:rPr>
              <w:t xml:space="preserve"> plus </w:t>
            </w:r>
            <w:r w:rsidR="00BF3275">
              <w:rPr>
                <w:rFonts w:ascii="Arial Narrow" w:hAnsi="Arial Narrow"/>
                <w:sz w:val="20"/>
                <w:szCs w:val="20"/>
              </w:rPr>
              <w:t>medicines</w:t>
            </w:r>
            <w:r w:rsidR="0056015E">
              <w:rPr>
                <w:rFonts w:ascii="Arial Narrow" w:hAnsi="Arial Narrow"/>
                <w:sz w:val="20"/>
                <w:szCs w:val="20"/>
              </w:rPr>
              <w:t xml:space="preserve"> </w:t>
            </w:r>
            <w:r w:rsidR="001966CB">
              <w:rPr>
                <w:rFonts w:ascii="Arial Narrow" w:hAnsi="Arial Narrow"/>
                <w:sz w:val="20"/>
                <w:szCs w:val="20"/>
              </w:rPr>
              <w:t>to manage side effects</w:t>
            </w:r>
            <w:r w:rsidR="00BF3275">
              <w:rPr>
                <w:rFonts w:ascii="Arial Narrow" w:hAnsi="Arial Narrow"/>
                <w:sz w:val="20"/>
                <w:szCs w:val="20"/>
              </w:rPr>
              <w:t xml:space="preserve"> (for example </w:t>
            </w:r>
            <w:r w:rsidR="0045438E">
              <w:rPr>
                <w:rFonts w:ascii="Arial Narrow" w:hAnsi="Arial Narrow"/>
                <w:sz w:val="20"/>
                <w:szCs w:val="20"/>
              </w:rPr>
              <w:t>aperients</w:t>
            </w:r>
            <w:r w:rsidR="00BF3275">
              <w:rPr>
                <w:rFonts w:ascii="Arial Narrow" w:hAnsi="Arial Narrow"/>
                <w:sz w:val="20"/>
                <w:szCs w:val="20"/>
              </w:rPr>
              <w:t>)</w:t>
            </w:r>
            <w:r w:rsidR="00DD3EE1">
              <w:rPr>
                <w:rFonts w:ascii="Arial Narrow" w:hAnsi="Arial Narrow"/>
                <w:sz w:val="20"/>
                <w:szCs w:val="20"/>
              </w:rPr>
              <w:t xml:space="preserve">, </w:t>
            </w:r>
            <w:r w:rsidR="0056015E">
              <w:rPr>
                <w:rFonts w:ascii="Arial Narrow" w:hAnsi="Arial Narrow"/>
                <w:sz w:val="20"/>
                <w:szCs w:val="20"/>
              </w:rPr>
              <w:t>as discharge meds or</w:t>
            </w:r>
            <w:r w:rsidR="00DD3EE1">
              <w:rPr>
                <w:rFonts w:ascii="Arial Narrow" w:hAnsi="Arial Narrow"/>
                <w:sz w:val="20"/>
                <w:szCs w:val="20"/>
              </w:rPr>
              <w:t xml:space="preserve"> </w:t>
            </w:r>
            <w:r w:rsidR="0056015E">
              <w:rPr>
                <w:rFonts w:ascii="Arial Narrow" w:hAnsi="Arial Narrow"/>
                <w:sz w:val="20"/>
                <w:szCs w:val="20"/>
              </w:rPr>
              <w:t xml:space="preserve">script. </w:t>
            </w:r>
          </w:p>
          <w:p w14:paraId="02CCA706" w14:textId="04651460" w:rsidR="00214515" w:rsidRPr="007052EC" w:rsidRDefault="00214515" w:rsidP="00556D8D">
            <w:pPr>
              <w:spacing w:before="40" w:after="40" w:line="240" w:lineRule="auto"/>
              <w:ind w:left="-39"/>
              <w:rPr>
                <w:rFonts w:ascii="Arial Narrow" w:hAnsi="Arial Narrow"/>
                <w:sz w:val="20"/>
                <w:szCs w:val="20"/>
              </w:rPr>
            </w:pPr>
            <w:r>
              <w:rPr>
                <w:rFonts w:ascii="Arial Narrow" w:hAnsi="Arial Narrow"/>
                <w:sz w:val="20"/>
                <w:szCs w:val="20"/>
              </w:rPr>
              <w:t xml:space="preserve">Now more often prescribed in combination with paracetamol as </w:t>
            </w:r>
            <w:r w:rsidR="007A7D5F">
              <w:rPr>
                <w:rFonts w:ascii="Arial Narrow" w:hAnsi="Arial Narrow"/>
                <w:sz w:val="20"/>
                <w:szCs w:val="20"/>
              </w:rPr>
              <w:t xml:space="preserve">part of </w:t>
            </w:r>
            <w:r>
              <w:rPr>
                <w:rFonts w:ascii="Arial Narrow" w:hAnsi="Arial Narrow"/>
                <w:sz w:val="20"/>
                <w:szCs w:val="20"/>
              </w:rPr>
              <w:t>opioid sparing approach.</w:t>
            </w:r>
          </w:p>
        </w:tc>
        <w:tc>
          <w:tcPr>
            <w:tcW w:w="1260" w:type="dxa"/>
          </w:tcPr>
          <w:p w14:paraId="003053CC" w14:textId="75D29ABB" w:rsidR="0056015E" w:rsidRDefault="006364DB" w:rsidP="0056015E">
            <w:pPr>
              <w:spacing w:before="40" w:after="40" w:line="240" w:lineRule="auto"/>
              <w:ind w:left="-57" w:right="-57"/>
              <w:rPr>
                <w:rFonts w:ascii="Arial Narrow" w:hAnsi="Arial Narrow"/>
                <w:sz w:val="20"/>
                <w:szCs w:val="20"/>
              </w:rPr>
            </w:pPr>
            <w:r>
              <w:rPr>
                <w:rFonts w:ascii="Arial Narrow" w:hAnsi="Arial Narrow"/>
                <w:sz w:val="20"/>
                <w:szCs w:val="20"/>
              </w:rPr>
              <w:t>Variable</w:t>
            </w:r>
            <w:r w:rsidR="00AB7532">
              <w:rPr>
                <w:rFonts w:ascii="Arial Narrow" w:hAnsi="Arial Narrow"/>
                <w:sz w:val="20"/>
                <w:szCs w:val="20"/>
              </w:rPr>
              <w:t xml:space="preserve"> (up to 80%)</w:t>
            </w:r>
          </w:p>
        </w:tc>
        <w:tc>
          <w:tcPr>
            <w:tcW w:w="1156" w:type="dxa"/>
          </w:tcPr>
          <w:p w14:paraId="590B5895" w14:textId="77777777" w:rsidR="0056015E" w:rsidRDefault="0056015E" w:rsidP="0056015E">
            <w:pPr>
              <w:spacing w:before="40" w:after="40" w:line="240" w:lineRule="auto"/>
              <w:ind w:left="-57" w:right="-57"/>
              <w:rPr>
                <w:rFonts w:ascii="Arial Narrow" w:hAnsi="Arial Narrow"/>
                <w:sz w:val="20"/>
                <w:szCs w:val="20"/>
              </w:rPr>
            </w:pPr>
            <w:r>
              <w:rPr>
                <w:rFonts w:ascii="Arial Narrow" w:hAnsi="Arial Narrow"/>
                <w:sz w:val="20"/>
                <w:szCs w:val="20"/>
              </w:rPr>
              <w:t>1 week – 10 days</w:t>
            </w:r>
          </w:p>
        </w:tc>
        <w:tc>
          <w:tcPr>
            <w:tcW w:w="1354" w:type="dxa"/>
          </w:tcPr>
          <w:p w14:paraId="235221B2" w14:textId="1EA75DA4" w:rsidR="0056015E" w:rsidRDefault="0056015E" w:rsidP="0056015E">
            <w:pPr>
              <w:spacing w:before="40" w:after="40" w:line="240" w:lineRule="auto"/>
              <w:ind w:left="-57" w:right="-57"/>
              <w:rPr>
                <w:rFonts w:ascii="Arial Narrow" w:hAnsi="Arial Narrow"/>
                <w:sz w:val="20"/>
                <w:szCs w:val="20"/>
              </w:rPr>
            </w:pPr>
            <w:r>
              <w:rPr>
                <w:rFonts w:ascii="Arial Narrow" w:hAnsi="Arial Narrow"/>
                <w:sz w:val="20"/>
                <w:szCs w:val="20"/>
              </w:rPr>
              <w:t>Non</w:t>
            </w:r>
            <w:r w:rsidR="00B50777">
              <w:rPr>
                <w:rFonts w:ascii="Arial Narrow" w:hAnsi="Arial Narrow"/>
                <w:sz w:val="20"/>
                <w:szCs w:val="20"/>
              </w:rPr>
              <w:t>-</w:t>
            </w:r>
            <w:r>
              <w:rPr>
                <w:rFonts w:ascii="Arial Narrow" w:hAnsi="Arial Narrow"/>
                <w:sz w:val="20"/>
                <w:szCs w:val="20"/>
              </w:rPr>
              <w:t>opioid oral analgesics</w:t>
            </w:r>
          </w:p>
        </w:tc>
      </w:tr>
      <w:tr w:rsidR="006364DB" w14:paraId="03A34DFA" w14:textId="77777777" w:rsidTr="007D29D5">
        <w:tc>
          <w:tcPr>
            <w:tcW w:w="1520" w:type="dxa"/>
          </w:tcPr>
          <w:p w14:paraId="4D875F1A" w14:textId="77777777" w:rsidR="006364DB" w:rsidRPr="007052EC" w:rsidRDefault="006364DB" w:rsidP="006364DB">
            <w:pPr>
              <w:spacing w:before="40" w:after="40" w:line="240" w:lineRule="auto"/>
              <w:rPr>
                <w:rFonts w:ascii="Arial Narrow" w:hAnsi="Arial Narrow"/>
                <w:sz w:val="20"/>
                <w:szCs w:val="20"/>
              </w:rPr>
            </w:pPr>
            <w:r>
              <w:rPr>
                <w:rFonts w:ascii="Arial Narrow" w:hAnsi="Arial Narrow"/>
                <w:sz w:val="20"/>
                <w:szCs w:val="20"/>
              </w:rPr>
              <w:t>Other oral analgesics</w:t>
            </w:r>
          </w:p>
        </w:tc>
        <w:tc>
          <w:tcPr>
            <w:tcW w:w="4281" w:type="dxa"/>
          </w:tcPr>
          <w:p w14:paraId="5D585397" w14:textId="7D6B66B7" w:rsidR="006364DB" w:rsidRPr="00005065" w:rsidRDefault="002B198F" w:rsidP="00285F2D">
            <w:pPr>
              <w:pStyle w:val="Tabletext"/>
            </w:pPr>
            <w:r w:rsidRPr="00005065">
              <w:t>P</w:t>
            </w:r>
            <w:r w:rsidR="006364DB" w:rsidRPr="00005065">
              <w:t>aracetamol</w:t>
            </w:r>
          </w:p>
          <w:p w14:paraId="24DE405B" w14:textId="4B390395" w:rsidR="00AB6BF3" w:rsidRPr="00005065" w:rsidRDefault="006364DB" w:rsidP="00DF0445">
            <w:pPr>
              <w:pStyle w:val="Tabletext"/>
              <w:rPr>
                <w:iCs/>
              </w:rPr>
            </w:pPr>
            <w:r w:rsidRPr="00005065">
              <w:t>NSAIDs (unless contraindicated)</w:t>
            </w:r>
            <w:r w:rsidR="004132AD">
              <w:t xml:space="preserve"> such as ibup</w:t>
            </w:r>
            <w:r w:rsidR="001868A9">
              <w:t>ro</w:t>
            </w:r>
            <w:r w:rsidR="004132AD">
              <w:t>fen</w:t>
            </w:r>
            <w:r w:rsidR="00071E9B">
              <w:t>,</w:t>
            </w:r>
            <w:r w:rsidR="00DF0445">
              <w:t xml:space="preserve"> </w:t>
            </w:r>
            <w:r w:rsidR="00E5783C">
              <w:t xml:space="preserve">including </w:t>
            </w:r>
            <w:r w:rsidR="00071E9B">
              <w:t xml:space="preserve">COX- </w:t>
            </w:r>
            <w:r w:rsidR="00DF0445">
              <w:t>2 inhibitors</w:t>
            </w:r>
            <w:r w:rsidR="00BE3D06">
              <w:t xml:space="preserve"> such as celecoxib</w:t>
            </w:r>
            <w:r w:rsidR="00280722">
              <w:t>.</w:t>
            </w:r>
          </w:p>
          <w:p w14:paraId="208BBE52" w14:textId="5B48F5BF" w:rsidR="00285F2D" w:rsidRPr="00005065" w:rsidRDefault="00005065" w:rsidP="00285F2D">
            <w:pPr>
              <w:pStyle w:val="Tabletext"/>
            </w:pPr>
            <w:r w:rsidRPr="00005065">
              <w:rPr>
                <w:iCs/>
              </w:rPr>
              <w:t>Either</w:t>
            </w:r>
            <w:r w:rsidR="00285F2D" w:rsidRPr="00005065">
              <w:rPr>
                <w:iCs/>
              </w:rPr>
              <w:t xml:space="preserve"> used as alternatives (typically in combination) or as part of an opioid sparing strategy. </w:t>
            </w:r>
          </w:p>
        </w:tc>
        <w:tc>
          <w:tcPr>
            <w:tcW w:w="1260" w:type="dxa"/>
          </w:tcPr>
          <w:p w14:paraId="2C1109EF" w14:textId="1250A211" w:rsidR="006364DB" w:rsidRDefault="006364DB" w:rsidP="006364DB">
            <w:pPr>
              <w:spacing w:before="40" w:after="40" w:line="240" w:lineRule="auto"/>
              <w:ind w:left="-57" w:right="-57"/>
              <w:rPr>
                <w:rFonts w:ascii="Arial Narrow" w:hAnsi="Arial Narrow"/>
                <w:sz w:val="20"/>
                <w:szCs w:val="20"/>
                <w:highlight w:val="yellow"/>
              </w:rPr>
            </w:pPr>
            <w:r>
              <w:rPr>
                <w:rFonts w:ascii="Arial Narrow" w:hAnsi="Arial Narrow"/>
                <w:sz w:val="20"/>
                <w:szCs w:val="20"/>
              </w:rPr>
              <w:t>Variable</w:t>
            </w:r>
            <w:r w:rsidR="002B198F">
              <w:rPr>
                <w:rFonts w:ascii="Arial Narrow" w:hAnsi="Arial Narrow"/>
                <w:sz w:val="20"/>
                <w:szCs w:val="20"/>
              </w:rPr>
              <w:t xml:space="preserve"> (probably</w:t>
            </w:r>
            <w:r w:rsidR="001D6DDC">
              <w:rPr>
                <w:rFonts w:ascii="Arial Narrow" w:hAnsi="Arial Narrow"/>
                <w:sz w:val="20"/>
                <w:szCs w:val="20"/>
              </w:rPr>
              <w:t xml:space="preserve"> &gt;80</w:t>
            </w:r>
            <w:r w:rsidR="002B198F">
              <w:rPr>
                <w:rFonts w:ascii="Arial Narrow" w:hAnsi="Arial Narrow"/>
                <w:sz w:val="20"/>
                <w:szCs w:val="20"/>
              </w:rPr>
              <w:t>% by the end of the patient</w:t>
            </w:r>
            <w:r w:rsidR="001D6DDC">
              <w:rPr>
                <w:rFonts w:ascii="Arial Narrow" w:hAnsi="Arial Narrow"/>
                <w:sz w:val="20"/>
                <w:szCs w:val="20"/>
              </w:rPr>
              <w:t>’s</w:t>
            </w:r>
            <w:r w:rsidR="002B198F">
              <w:rPr>
                <w:rFonts w:ascii="Arial Narrow" w:hAnsi="Arial Narrow"/>
                <w:sz w:val="20"/>
                <w:szCs w:val="20"/>
              </w:rPr>
              <w:t xml:space="preserve"> recovery)</w:t>
            </w:r>
          </w:p>
        </w:tc>
        <w:tc>
          <w:tcPr>
            <w:tcW w:w="1156" w:type="dxa"/>
          </w:tcPr>
          <w:p w14:paraId="24B6EDDE" w14:textId="20E5DF2A" w:rsidR="006364DB" w:rsidRPr="00005065" w:rsidRDefault="006364DB" w:rsidP="006364DB">
            <w:pPr>
              <w:spacing w:before="40" w:after="40" w:line="240" w:lineRule="auto"/>
              <w:ind w:left="-57" w:right="-57"/>
              <w:rPr>
                <w:rFonts w:ascii="Arial Narrow" w:hAnsi="Arial Narrow"/>
                <w:sz w:val="20"/>
                <w:szCs w:val="20"/>
              </w:rPr>
            </w:pPr>
            <w:r w:rsidRPr="00005065">
              <w:rPr>
                <w:rFonts w:ascii="Arial Narrow" w:hAnsi="Arial Narrow"/>
                <w:sz w:val="20"/>
                <w:szCs w:val="20"/>
              </w:rPr>
              <w:t>Per Product Information</w:t>
            </w:r>
          </w:p>
        </w:tc>
        <w:tc>
          <w:tcPr>
            <w:tcW w:w="1354" w:type="dxa"/>
          </w:tcPr>
          <w:p w14:paraId="18D02189" w14:textId="77777777" w:rsidR="006364DB" w:rsidRPr="00005065" w:rsidRDefault="006364DB" w:rsidP="006364DB">
            <w:pPr>
              <w:spacing w:before="40" w:after="40" w:line="240" w:lineRule="auto"/>
              <w:ind w:left="-57" w:right="-57"/>
              <w:rPr>
                <w:rFonts w:ascii="Arial Narrow" w:hAnsi="Arial Narrow"/>
                <w:sz w:val="20"/>
                <w:szCs w:val="20"/>
              </w:rPr>
            </w:pPr>
            <w:r w:rsidRPr="00005065">
              <w:rPr>
                <w:rFonts w:ascii="Arial Narrow" w:hAnsi="Arial Narrow"/>
                <w:sz w:val="20"/>
                <w:szCs w:val="20"/>
              </w:rPr>
              <w:t>Until pain has abated.</w:t>
            </w:r>
          </w:p>
        </w:tc>
      </w:tr>
    </w:tbl>
    <w:p w14:paraId="2AF3350E" w14:textId="31633B6E" w:rsidR="007052EC" w:rsidRDefault="009540B8" w:rsidP="00D2440F">
      <w:pPr>
        <w:pStyle w:val="Tablenotes"/>
        <w:spacing w:after="240"/>
      </w:pPr>
      <w:r>
        <w:t xml:space="preserve">Source: compiled for this </w:t>
      </w:r>
      <w:r w:rsidR="000760B7">
        <w:t>PICO Confirmation</w:t>
      </w:r>
      <w:r w:rsidR="008471A9">
        <w:t>; % Estimated Use values provided by the applicant in pre-PASC teleconference.</w:t>
      </w:r>
      <w:r w:rsidR="000760B7">
        <w:t xml:space="preserve"> </w:t>
      </w:r>
      <w:r w:rsidR="003D1F01">
        <w:tab/>
      </w:r>
      <w:r w:rsidR="00190ECD">
        <w:br/>
      </w:r>
      <w:r w:rsidR="005D5DFF">
        <w:t xml:space="preserve">§ </w:t>
      </w:r>
      <w:r w:rsidR="00FA2232" w:rsidRPr="00917EF9">
        <w:rPr>
          <w:u w:val="single"/>
        </w:rPr>
        <w:t>E</w:t>
      </w:r>
      <w:r w:rsidR="005D5DFF" w:rsidRPr="00917EF9">
        <w:rPr>
          <w:u w:val="single"/>
        </w:rPr>
        <w:t>pidural block</w:t>
      </w:r>
      <w:r w:rsidR="00473FDA" w:rsidRPr="00917EF9">
        <w:rPr>
          <w:u w:val="single"/>
        </w:rPr>
        <w:t xml:space="preserve"> (continuous)</w:t>
      </w:r>
      <w:r w:rsidR="005D5DFF">
        <w:t>: u</w:t>
      </w:r>
      <w:r w:rsidR="005D5DFF" w:rsidRPr="005D5DFF">
        <w:t xml:space="preserve">p to maximum of 5-7 days </w:t>
      </w:r>
      <w:r w:rsidR="00473FDA">
        <w:t>with</w:t>
      </w:r>
      <w:r w:rsidR="005D5DFF" w:rsidRPr="005D5DFF">
        <w:t xml:space="preserve"> specific supervision for major thoracic</w:t>
      </w:r>
      <w:r w:rsidR="005D5DFF">
        <w:t xml:space="preserve"> or</w:t>
      </w:r>
      <w:r w:rsidR="005D5DFF" w:rsidRPr="005D5DFF">
        <w:t xml:space="preserve"> abdominal surgery in </w:t>
      </w:r>
      <w:r w:rsidR="005D5DFF">
        <w:t xml:space="preserve">specialist </w:t>
      </w:r>
      <w:r w:rsidR="005D5DFF" w:rsidRPr="005D5DFF">
        <w:t>centres</w:t>
      </w:r>
      <w:r w:rsidR="00C1053E">
        <w:br/>
      </w:r>
      <w:r w:rsidR="00C1053E">
        <w:rPr>
          <w:rFonts w:ascii="Calibri" w:hAnsi="Calibri" w:cs="Calibri"/>
        </w:rPr>
        <w:t>ⴕ</w:t>
      </w:r>
      <w:r w:rsidR="00C1053E">
        <w:t xml:space="preserve"> </w:t>
      </w:r>
      <w:r w:rsidR="00C1053E" w:rsidRPr="00917EF9">
        <w:rPr>
          <w:u w:val="single"/>
        </w:rPr>
        <w:t>Spinal block</w:t>
      </w:r>
      <w:r w:rsidR="00C1053E">
        <w:t xml:space="preserve">: </w:t>
      </w:r>
      <w:r w:rsidR="00F81AE7">
        <w:t xml:space="preserve">maximum </w:t>
      </w:r>
      <w:r w:rsidR="00C1053E" w:rsidRPr="00C1053E">
        <w:t>3-4 hours with fentanyl, 12-24 hours if subarachnoid morphine is used</w:t>
      </w:r>
      <w:r w:rsidR="00F81AE7">
        <w:tab/>
      </w:r>
      <w:r w:rsidR="00B76D38">
        <w:br/>
      </w:r>
      <w:r w:rsidR="00B76D38">
        <w:rPr>
          <w:rFonts w:ascii="Calibri" w:hAnsi="Calibri" w:cs="Calibri"/>
        </w:rPr>
        <w:t>ǂ</w:t>
      </w:r>
      <w:r w:rsidR="00B76D38">
        <w:t xml:space="preserve"> </w:t>
      </w:r>
      <w:r w:rsidR="00B76D38" w:rsidRPr="00917EF9">
        <w:rPr>
          <w:u w:val="single"/>
        </w:rPr>
        <w:t>Systemic opioids</w:t>
      </w:r>
      <w:r w:rsidR="00917EF9">
        <w:t xml:space="preserve"> (IV)</w:t>
      </w:r>
      <w:r w:rsidR="00B76D38">
        <w:t xml:space="preserve">: </w:t>
      </w:r>
      <w:r w:rsidR="00B76D38" w:rsidRPr="00B76D38">
        <w:t>up to 7 days, depending on the patients’ surgery</w:t>
      </w:r>
      <w:r w:rsidR="00FA2232">
        <w:t>,</w:t>
      </w:r>
      <w:r w:rsidR="00B76D38" w:rsidRPr="00B76D38">
        <w:t xml:space="preserve"> injuries and ability to treat by </w:t>
      </w:r>
      <w:r w:rsidR="00FA2232">
        <w:t>other</w:t>
      </w:r>
      <w:r w:rsidR="00B76D38" w:rsidRPr="00B76D38">
        <w:t xml:space="preserve"> modalities</w:t>
      </w:r>
      <w:r w:rsidR="00FA2232">
        <w:tab/>
      </w:r>
      <w:r w:rsidR="005D5DFF">
        <w:br/>
      </w:r>
      <w:r w:rsidR="00904FAE">
        <w:t>IV</w:t>
      </w:r>
      <w:r w:rsidR="00937A2B">
        <w:t>=</w:t>
      </w:r>
      <w:r w:rsidR="00904FAE">
        <w:t xml:space="preserve">intravenous route of administration; </w:t>
      </w:r>
      <w:r w:rsidR="00190ECD">
        <w:t>NSAIDs</w:t>
      </w:r>
      <w:r w:rsidR="00304E43">
        <w:t>=</w:t>
      </w:r>
      <w:r w:rsidR="00190ECD">
        <w:t>non-steroidal anti-inflammatory drugs; OTC</w:t>
      </w:r>
      <w:r w:rsidR="00304E43">
        <w:t>=</w:t>
      </w:r>
      <w:r w:rsidR="00190ECD">
        <w:t>over the counter</w:t>
      </w:r>
      <w:r w:rsidR="00904FAE">
        <w:t>; PBS</w:t>
      </w:r>
      <w:r w:rsidR="009D73CF">
        <w:t>=</w:t>
      </w:r>
      <w:r w:rsidR="00904FAE">
        <w:t>Pharmaceutical Benefits Scheme</w:t>
      </w:r>
      <w:r w:rsidR="00002036">
        <w:t>; PCA=patient-controlled analgesia device</w:t>
      </w:r>
      <w:r w:rsidR="00904FAE">
        <w:t>.</w:t>
      </w:r>
      <w:r w:rsidR="00190ECD">
        <w:tab/>
      </w:r>
      <w:r w:rsidR="003D1F01">
        <w:br/>
      </w:r>
      <w:r w:rsidR="00556D8D">
        <w:t>*Oral opioids</w:t>
      </w:r>
      <w:r w:rsidR="00433CB3">
        <w:t>,</w:t>
      </w:r>
      <w:r w:rsidR="00556D8D">
        <w:t xml:space="preserve"> not including any modified release formulations</w:t>
      </w:r>
      <w:r w:rsidR="00433CB3">
        <w:t>, m</w:t>
      </w:r>
      <w:r w:rsidR="00626B10" w:rsidRPr="00626B10">
        <w:t>ay include oxycodone, tapentadol, tramadol and buprenorphine</w:t>
      </w:r>
      <w:r w:rsidR="00323CE4">
        <w:t xml:space="preserve">. </w:t>
      </w:r>
    </w:p>
    <w:p w14:paraId="0AADF29C" w14:textId="626875EB" w:rsidR="00BA4E34" w:rsidRPr="00D762EA" w:rsidRDefault="00BA4E34" w:rsidP="00BA4E34">
      <w:pPr>
        <w:rPr>
          <w:i/>
          <w:iCs/>
        </w:rPr>
      </w:pPr>
      <w:r w:rsidRPr="00D762EA">
        <w:rPr>
          <w:i/>
          <w:iCs/>
        </w:rPr>
        <w:t>PASC noted</w:t>
      </w:r>
      <w:r w:rsidR="00894D16" w:rsidRPr="00D762EA">
        <w:rPr>
          <w:i/>
          <w:iCs/>
        </w:rPr>
        <w:t xml:space="preserve"> t</w:t>
      </w:r>
      <w:r w:rsidRPr="00D762EA">
        <w:rPr>
          <w:i/>
          <w:iCs/>
        </w:rPr>
        <w:t xml:space="preserve">he applicant’s estimate </w:t>
      </w:r>
      <w:r w:rsidR="00BE2AEF" w:rsidRPr="00D762EA">
        <w:rPr>
          <w:i/>
          <w:iCs/>
        </w:rPr>
        <w:t xml:space="preserve">that </w:t>
      </w:r>
      <w:r w:rsidRPr="00D762EA">
        <w:rPr>
          <w:i/>
          <w:iCs/>
        </w:rPr>
        <w:t xml:space="preserve">40-80% of the target patient population would currently receive a single injection nerve block, but that the estimates for each comparator were variable. </w:t>
      </w:r>
    </w:p>
    <w:p w14:paraId="7A507994" w14:textId="5C80B62D" w:rsidR="006A00CF" w:rsidRPr="00A11A9D" w:rsidRDefault="006A00CF" w:rsidP="003613E6">
      <w:pPr>
        <w:spacing w:after="120"/>
      </w:pPr>
      <w:r>
        <w:rPr>
          <w:iCs/>
        </w:rPr>
        <w:t>Given the typical duration proposed for this intervention (</w:t>
      </w:r>
      <w:r w:rsidRPr="006B5116">
        <w:rPr>
          <w:iCs/>
        </w:rPr>
        <w:t>3-5 days</w:t>
      </w:r>
      <w:r>
        <w:rPr>
          <w:iCs/>
        </w:rPr>
        <w:t xml:space="preserve">) and the indication </w:t>
      </w:r>
      <w:r w:rsidR="003E6F19">
        <w:rPr>
          <w:iCs/>
        </w:rPr>
        <w:t xml:space="preserve">of </w:t>
      </w:r>
      <w:r>
        <w:rPr>
          <w:iCs/>
        </w:rPr>
        <w:t xml:space="preserve">moderate to severe pain </w:t>
      </w:r>
      <w:r w:rsidR="00EB1AC5">
        <w:rPr>
          <w:iCs/>
        </w:rPr>
        <w:t>that is expected to last</w:t>
      </w:r>
      <w:r>
        <w:rPr>
          <w:iCs/>
        </w:rPr>
        <w:t xml:space="preserve"> 12 hours or longer</w:t>
      </w:r>
      <w:r w:rsidR="00A1557D">
        <w:rPr>
          <w:iCs/>
        </w:rPr>
        <w:t>,</w:t>
      </w:r>
      <w:r>
        <w:rPr>
          <w:iCs/>
        </w:rPr>
        <w:t xml:space="preserve"> the </w:t>
      </w:r>
      <w:r w:rsidR="00A1557D">
        <w:rPr>
          <w:iCs/>
        </w:rPr>
        <w:t xml:space="preserve">use of the </w:t>
      </w:r>
      <w:r>
        <w:rPr>
          <w:iCs/>
        </w:rPr>
        <w:t xml:space="preserve">available alternatives </w:t>
      </w:r>
      <w:r w:rsidR="00A1557D">
        <w:rPr>
          <w:iCs/>
        </w:rPr>
        <w:t xml:space="preserve">can be considered </w:t>
      </w:r>
      <w:r w:rsidR="007928BB">
        <w:rPr>
          <w:iCs/>
        </w:rPr>
        <w:t>in the following context</w:t>
      </w:r>
      <w:r w:rsidR="00455BB3">
        <w:rPr>
          <w:iCs/>
        </w:rPr>
        <w:t xml:space="preserve">. </w:t>
      </w:r>
      <w:r w:rsidR="00455BB3" w:rsidRPr="00D762EA">
        <w:rPr>
          <w:i/>
          <w:iCs/>
        </w:rPr>
        <w:t>PASC noted these strategies constitute the current options for a ‘no continuous block’ scenario</w:t>
      </w:r>
      <w:r w:rsidRPr="00D762EA">
        <w:rPr>
          <w:iCs/>
        </w:rPr>
        <w:t>:</w:t>
      </w:r>
    </w:p>
    <w:p w14:paraId="7C55225D" w14:textId="7450A0CF" w:rsidR="006A00CF" w:rsidRPr="00D762EA" w:rsidRDefault="006A00CF" w:rsidP="006A00CF">
      <w:pPr>
        <w:pStyle w:val="ListParagraph"/>
        <w:numPr>
          <w:ilvl w:val="0"/>
          <w:numId w:val="15"/>
        </w:numPr>
        <w:spacing w:after="240"/>
        <w:rPr>
          <w:i/>
        </w:rPr>
      </w:pPr>
      <w:r w:rsidRPr="00D762EA">
        <w:rPr>
          <w:i/>
        </w:rPr>
        <w:t>single injection nerve block + supplementary analgesia (opioids ± oral non-opioid analgesia)</w:t>
      </w:r>
      <w:r w:rsidR="002D55C3" w:rsidRPr="00D762EA">
        <w:rPr>
          <w:i/>
        </w:rPr>
        <w:t>;</w:t>
      </w:r>
    </w:p>
    <w:p w14:paraId="691456DF" w14:textId="58212913" w:rsidR="006A00CF" w:rsidRPr="00D762EA" w:rsidRDefault="006A00CF" w:rsidP="006A00CF">
      <w:pPr>
        <w:pStyle w:val="ListParagraph"/>
        <w:numPr>
          <w:ilvl w:val="0"/>
          <w:numId w:val="15"/>
        </w:numPr>
        <w:spacing w:after="240"/>
        <w:rPr>
          <w:i/>
        </w:rPr>
      </w:pPr>
      <w:r w:rsidRPr="00D762EA">
        <w:rPr>
          <w:i/>
        </w:rPr>
        <w:t>systemic opioids (IV opioids initially, followed by oral opioids ± oral non-opioid analgesia)</w:t>
      </w:r>
      <w:r w:rsidR="002D55C3" w:rsidRPr="00D762EA">
        <w:rPr>
          <w:i/>
        </w:rPr>
        <w:t>;</w:t>
      </w:r>
    </w:p>
    <w:p w14:paraId="4C55AA6A" w14:textId="54361298" w:rsidR="006A00CF" w:rsidRPr="00D762EA" w:rsidRDefault="006A00CF" w:rsidP="006A00CF">
      <w:pPr>
        <w:pStyle w:val="ListParagraph"/>
        <w:numPr>
          <w:ilvl w:val="0"/>
          <w:numId w:val="15"/>
        </w:numPr>
        <w:spacing w:after="240"/>
        <w:rPr>
          <w:i/>
        </w:rPr>
      </w:pPr>
      <w:r w:rsidRPr="00D762EA">
        <w:rPr>
          <w:i/>
        </w:rPr>
        <w:t>neuraxial nerve block + supplementary analgesia (opioids ± oral non-opioid analgesia)</w:t>
      </w:r>
      <w:r w:rsidR="002D55C3" w:rsidRPr="00D762EA">
        <w:rPr>
          <w:i/>
        </w:rPr>
        <w:t>.</w:t>
      </w:r>
    </w:p>
    <w:p w14:paraId="0F9C9F31" w14:textId="6F5BC049" w:rsidR="002D55C3" w:rsidRDefault="002D55C3" w:rsidP="002D55C3">
      <w:pPr>
        <w:rPr>
          <w:iCs/>
        </w:rPr>
      </w:pPr>
      <w:r>
        <w:rPr>
          <w:iCs/>
        </w:rPr>
        <w:t xml:space="preserve">The applicant has nominated single injection nerve block (MBS item 22041) as the main comparator. This is appropriate as it is the most likely intervention to be replaced in Australian clinical practice. If continuous nerve block was listed, it is assumed the single injection nerve block use that would be replaced would be for patients who would otherwise receive a single injection nerve block </w:t>
      </w:r>
      <w:r w:rsidR="003C5933">
        <w:rPr>
          <w:iCs/>
        </w:rPr>
        <w:t>plus</w:t>
      </w:r>
      <w:r>
        <w:rPr>
          <w:iCs/>
        </w:rPr>
        <w:t xml:space="preserve"> systemic opioids – these patients </w:t>
      </w:r>
      <w:r w:rsidR="009B2876">
        <w:rPr>
          <w:iCs/>
        </w:rPr>
        <w:t>could possibl</w:t>
      </w:r>
      <w:r w:rsidR="00C1302A">
        <w:rPr>
          <w:iCs/>
        </w:rPr>
        <w:t xml:space="preserve">y </w:t>
      </w:r>
      <w:r>
        <w:rPr>
          <w:iCs/>
        </w:rPr>
        <w:t xml:space="preserve">either have reduced systemic opioid requirement or transition straight to non-opioid oral analgesia. </w:t>
      </w:r>
    </w:p>
    <w:p w14:paraId="0693E356" w14:textId="4E3EC278" w:rsidR="002D55C3" w:rsidRDefault="002D55C3" w:rsidP="002D55C3">
      <w:pPr>
        <w:rPr>
          <w:iCs/>
        </w:rPr>
      </w:pPr>
      <w:r>
        <w:rPr>
          <w:iCs/>
        </w:rPr>
        <w:t xml:space="preserve">The other main alternative would be systemic opioids. If continuous nerve block was listed, it is assumed the systemic opioid use that would be replaced would be for patients where non-opioid analgesia was preferable. </w:t>
      </w:r>
      <w:r w:rsidRPr="00E979EC">
        <w:rPr>
          <w:iCs/>
        </w:rPr>
        <w:t>For some surgery types (open abdominal surgery), continuous epidural block may be used more</w:t>
      </w:r>
      <w:r w:rsidR="007F612B">
        <w:rPr>
          <w:iCs/>
        </w:rPr>
        <w:t xml:space="preserve"> often</w:t>
      </w:r>
      <w:r w:rsidRPr="00E979EC">
        <w:rPr>
          <w:iCs/>
        </w:rPr>
        <w:t xml:space="preserve"> than single injection nerve block, but this is only a small subset of the total patients.</w:t>
      </w:r>
      <w:r>
        <w:rPr>
          <w:iCs/>
        </w:rPr>
        <w:t xml:space="preserve"> </w:t>
      </w:r>
    </w:p>
    <w:p w14:paraId="7285071F" w14:textId="77777777" w:rsidR="002D55C3" w:rsidRDefault="002D55C3" w:rsidP="002D55C3">
      <w:pPr>
        <w:spacing w:after="240"/>
        <w:rPr>
          <w:iCs/>
        </w:rPr>
      </w:pPr>
      <w:r>
        <w:rPr>
          <w:iCs/>
        </w:rPr>
        <w:t>The applicant argues</w:t>
      </w:r>
      <w:r w:rsidRPr="005C484E">
        <w:rPr>
          <w:iCs/>
        </w:rPr>
        <w:t xml:space="preserve"> </w:t>
      </w:r>
      <w:r>
        <w:rPr>
          <w:iCs/>
        </w:rPr>
        <w:t xml:space="preserve">that in comparison to the available alternatives, a continuous nerve block allows </w:t>
      </w:r>
      <w:r w:rsidRPr="005C484E">
        <w:rPr>
          <w:iCs/>
        </w:rPr>
        <w:t>faster recovery time,</w:t>
      </w:r>
      <w:r>
        <w:rPr>
          <w:iCs/>
        </w:rPr>
        <w:t xml:space="preserve"> earlier mobilisation,</w:t>
      </w:r>
      <w:r w:rsidRPr="005C484E">
        <w:rPr>
          <w:iCs/>
        </w:rPr>
        <w:t xml:space="preserve"> decreased rates of opioid </w:t>
      </w:r>
      <w:r>
        <w:rPr>
          <w:iCs/>
        </w:rPr>
        <w:t>use/prescribing</w:t>
      </w:r>
      <w:r w:rsidRPr="005C484E">
        <w:rPr>
          <w:iCs/>
        </w:rPr>
        <w:t>, and better post</w:t>
      </w:r>
      <w:r>
        <w:rPr>
          <w:iCs/>
        </w:rPr>
        <w:t>operative</w:t>
      </w:r>
      <w:r w:rsidRPr="005C484E">
        <w:rPr>
          <w:iCs/>
        </w:rPr>
        <w:t xml:space="preserve"> pain control</w:t>
      </w:r>
      <w:r>
        <w:rPr>
          <w:iCs/>
        </w:rPr>
        <w:t xml:space="preserve">. </w:t>
      </w:r>
    </w:p>
    <w:p w14:paraId="746F28E5" w14:textId="77777777" w:rsidR="002D55C3" w:rsidRDefault="002D55C3" w:rsidP="002D55C3">
      <w:pPr>
        <w:spacing w:after="240"/>
        <w:rPr>
          <w:iCs/>
        </w:rPr>
      </w:pPr>
      <w:r>
        <w:rPr>
          <w:iCs/>
        </w:rPr>
        <w:t xml:space="preserve">The applicant claims the proposed continuous nerve block is superior to single injection nerve block (plus supplementary anaesthesia) in the indicated population based on longer duration of pain control. </w:t>
      </w:r>
    </w:p>
    <w:p w14:paraId="79E76F9A" w14:textId="2BCA46BF" w:rsidR="004840D2" w:rsidRPr="007E16BD" w:rsidRDefault="004840D2" w:rsidP="002D7DFE">
      <w:r w:rsidRPr="007E16BD">
        <w:lastRenderedPageBreak/>
        <w:t>“</w:t>
      </w:r>
      <w:r w:rsidR="00F325E8" w:rsidRPr="007E16BD">
        <w:t>N</w:t>
      </w:r>
      <w:r w:rsidRPr="007E16BD">
        <w:t>o block”</w:t>
      </w:r>
      <w:r w:rsidR="00F325E8" w:rsidRPr="007E16BD">
        <w:t xml:space="preserve"> was</w:t>
      </w:r>
      <w:r w:rsidRPr="007E16BD">
        <w:t xml:space="preserve"> suggested as a </w:t>
      </w:r>
      <w:r w:rsidR="00F325E8" w:rsidRPr="007E16BD">
        <w:t xml:space="preserve">potential </w:t>
      </w:r>
      <w:r w:rsidRPr="007E16BD">
        <w:t xml:space="preserve">comparator in </w:t>
      </w:r>
      <w:r w:rsidR="002E21A8" w:rsidRPr="007E16BD">
        <w:t>A</w:t>
      </w:r>
      <w:r w:rsidRPr="007E16BD">
        <w:t>pplication 1308 (where the intervention included all peripheral nerve blocks; major, minor and continuous)</w:t>
      </w:r>
      <w:r w:rsidR="009A600F" w:rsidRPr="007E16BD">
        <w:t>. However,</w:t>
      </w:r>
      <w:r w:rsidRPr="007E16BD">
        <w:t xml:space="preserve"> the corresponding comparator for this application would be “no continuous block”</w:t>
      </w:r>
      <w:r w:rsidR="007E50D8" w:rsidRPr="007E16BD">
        <w:t xml:space="preserve">, </w:t>
      </w:r>
      <w:r w:rsidR="009A600F" w:rsidRPr="007E16BD">
        <w:t>represent</w:t>
      </w:r>
      <w:r w:rsidR="007E50D8" w:rsidRPr="007E16BD">
        <w:t>ing</w:t>
      </w:r>
      <w:r w:rsidR="009A600F" w:rsidRPr="007E16BD">
        <w:t xml:space="preserve"> a composite of existing treatment alternatives</w:t>
      </w:r>
      <w:r w:rsidRPr="007E16BD">
        <w:t>.</w:t>
      </w:r>
      <w:r w:rsidR="009A600F" w:rsidRPr="007E16BD">
        <w:t xml:space="preserve"> </w:t>
      </w:r>
      <w:r w:rsidR="00DB7ACF" w:rsidRPr="007E16BD">
        <w:t xml:space="preserve">“No continuous block” has not been specified as a comparator given that patients with moderate to severe pain would always be managed with some type of analgesia, which may include one of the above most commonly used options or other non-opioid systemic analgesia. </w:t>
      </w:r>
    </w:p>
    <w:p w14:paraId="48730DAD" w14:textId="77777777" w:rsidR="00BC7A87" w:rsidRDefault="00CE2CB1" w:rsidP="002D7DFE">
      <w:r>
        <w:t xml:space="preserve">The applicant notes that there are no </w:t>
      </w:r>
      <w:r w:rsidR="001C5D53">
        <w:t>agents</w:t>
      </w:r>
      <w:r>
        <w:t xml:space="preserve"> that can reliably produce a single injection nerve block </w:t>
      </w:r>
      <w:r w:rsidR="001C5D53">
        <w:t xml:space="preserve">for </w:t>
      </w:r>
      <w:r>
        <w:t>more than 12 hours.</w:t>
      </w:r>
      <w:r w:rsidR="002D7DFE">
        <w:t xml:space="preserve"> </w:t>
      </w:r>
    </w:p>
    <w:p w14:paraId="201F84E3" w14:textId="7B7F262E" w:rsidR="00CE2CB1" w:rsidRDefault="00CE2CB1" w:rsidP="00CE2CB1">
      <w:pPr>
        <w:spacing w:after="240"/>
        <w:rPr>
          <w:iCs/>
        </w:rPr>
      </w:pPr>
      <w:r>
        <w:rPr>
          <w:iCs/>
        </w:rPr>
        <w:t>In most cases for patients suffering moderate to severe post</w:t>
      </w:r>
      <w:r w:rsidR="00C01C10">
        <w:rPr>
          <w:iCs/>
        </w:rPr>
        <w:t>operative</w:t>
      </w:r>
      <w:r>
        <w:rPr>
          <w:iCs/>
        </w:rPr>
        <w:t xml:space="preserve"> pain, supplementary analgesia will be IV or oral opioids with an additional non-opioid oral agent. </w:t>
      </w:r>
      <w:r w:rsidR="00CA660B">
        <w:rPr>
          <w:iCs/>
        </w:rPr>
        <w:t>Typically</w:t>
      </w:r>
      <w:r w:rsidR="006108E3">
        <w:rPr>
          <w:iCs/>
        </w:rPr>
        <w:t>, post</w:t>
      </w:r>
      <w:r w:rsidR="00C01C10">
        <w:rPr>
          <w:iCs/>
        </w:rPr>
        <w:t>operative</w:t>
      </w:r>
      <w:r w:rsidR="006108E3">
        <w:rPr>
          <w:iCs/>
        </w:rPr>
        <w:t xml:space="preserve"> patients will be stabilised on oral opioids in hospital</w:t>
      </w:r>
      <w:r>
        <w:rPr>
          <w:iCs/>
        </w:rPr>
        <w:t xml:space="preserve"> (with exception of ambulatory surgery)</w:t>
      </w:r>
      <w:r w:rsidR="000A45A9">
        <w:rPr>
          <w:iCs/>
        </w:rPr>
        <w:t>. Once ready for</w:t>
      </w:r>
      <w:r>
        <w:rPr>
          <w:iCs/>
        </w:rPr>
        <w:t xml:space="preserve"> discharge</w:t>
      </w:r>
      <w:r w:rsidR="00C37F5B">
        <w:rPr>
          <w:iCs/>
        </w:rPr>
        <w:t>, both ambulatory and</w:t>
      </w:r>
      <w:r w:rsidR="00F05BC7">
        <w:rPr>
          <w:iCs/>
        </w:rPr>
        <w:t xml:space="preserve"> </w:t>
      </w:r>
      <w:r w:rsidR="007D236E">
        <w:rPr>
          <w:iCs/>
        </w:rPr>
        <w:t>in-</w:t>
      </w:r>
      <w:r w:rsidR="00C37F5B">
        <w:rPr>
          <w:iCs/>
        </w:rPr>
        <w:t>patients are sent</w:t>
      </w:r>
      <w:r>
        <w:rPr>
          <w:iCs/>
        </w:rPr>
        <w:t xml:space="preserve"> home with a week’s supply of </w:t>
      </w:r>
      <w:r w:rsidR="00C37F5B">
        <w:rPr>
          <w:iCs/>
        </w:rPr>
        <w:t>analgesics</w:t>
      </w:r>
      <w:r w:rsidR="00F05BC7">
        <w:rPr>
          <w:iCs/>
        </w:rPr>
        <w:t xml:space="preserve"> or a script for the same</w:t>
      </w:r>
      <w:r w:rsidR="00C37F5B">
        <w:rPr>
          <w:iCs/>
        </w:rPr>
        <w:t xml:space="preserve">, which until recently has </w:t>
      </w:r>
      <w:r>
        <w:rPr>
          <w:iCs/>
        </w:rPr>
        <w:t>typically</w:t>
      </w:r>
      <w:r w:rsidR="00C37F5B">
        <w:rPr>
          <w:iCs/>
        </w:rPr>
        <w:t xml:space="preserve"> been</w:t>
      </w:r>
      <w:r>
        <w:rPr>
          <w:iCs/>
        </w:rPr>
        <w:t xml:space="preserve"> oxycodone</w:t>
      </w:r>
      <w:r w:rsidR="00C37F5B">
        <w:rPr>
          <w:iCs/>
        </w:rPr>
        <w:t xml:space="preserve"> (and still is in many cases)</w:t>
      </w:r>
      <w:r>
        <w:rPr>
          <w:iCs/>
        </w:rPr>
        <w:t xml:space="preserve">. </w:t>
      </w:r>
      <w:r w:rsidR="007E4E95" w:rsidRPr="007E4E95">
        <w:rPr>
          <w:iCs/>
        </w:rPr>
        <w:t>The</w:t>
      </w:r>
      <w:r w:rsidR="007E4E95">
        <w:rPr>
          <w:iCs/>
        </w:rPr>
        <w:t xml:space="preserve"> applicant note</w:t>
      </w:r>
      <w:r w:rsidR="00A678AC">
        <w:rPr>
          <w:iCs/>
        </w:rPr>
        <w:t>d</w:t>
      </w:r>
      <w:r w:rsidR="007E4E95">
        <w:rPr>
          <w:iCs/>
        </w:rPr>
        <w:t xml:space="preserve"> that</w:t>
      </w:r>
      <w:r w:rsidR="007E4E95" w:rsidRPr="007E4E95">
        <w:rPr>
          <w:iCs/>
        </w:rPr>
        <w:t xml:space="preserve"> </w:t>
      </w:r>
      <w:r w:rsidR="007E4E95" w:rsidRPr="00A678AC">
        <w:t>availability and accessibility of post</w:t>
      </w:r>
      <w:r w:rsidR="00C01C10" w:rsidRPr="00A678AC">
        <w:t>operative</w:t>
      </w:r>
      <w:r w:rsidR="007E4E95" w:rsidRPr="00A678AC">
        <w:t xml:space="preserve"> analgesia are also determined by institutional factors, including approved protocols, equipment, nurse training, and nurse-to-patient ratio.</w:t>
      </w:r>
      <w:r w:rsidR="007E4E95" w:rsidRPr="007E4E95">
        <w:rPr>
          <w:i/>
        </w:rPr>
        <w:t xml:space="preserve"> </w:t>
      </w:r>
    </w:p>
    <w:p w14:paraId="0981A1FA" w14:textId="54B5E921" w:rsidR="00CB1341" w:rsidRDefault="00C03A53" w:rsidP="00914510">
      <w:pPr>
        <w:rPr>
          <w:iCs/>
        </w:rPr>
      </w:pPr>
      <w:r>
        <w:rPr>
          <w:iCs/>
        </w:rPr>
        <w:t xml:space="preserve">Wound infiltration has not been included as a comparator </w:t>
      </w:r>
      <w:r w:rsidR="00367CEF">
        <w:rPr>
          <w:iCs/>
        </w:rPr>
        <w:t xml:space="preserve">in </w:t>
      </w:r>
      <w:r w:rsidR="00367CEF">
        <w:rPr>
          <w:iCs/>
        </w:rPr>
        <w:fldChar w:fldCharType="begin"/>
      </w:r>
      <w:r w:rsidR="00367CEF">
        <w:rPr>
          <w:iCs/>
        </w:rPr>
        <w:instrText xml:space="preserve"> REF _Ref128467676 \h </w:instrText>
      </w:r>
      <w:r w:rsidR="00367CEF">
        <w:rPr>
          <w:iCs/>
        </w:rPr>
      </w:r>
      <w:r w:rsidR="00367CEF">
        <w:rPr>
          <w:iCs/>
        </w:rPr>
        <w:fldChar w:fldCharType="separate"/>
      </w:r>
      <w:r w:rsidR="00B65CEE" w:rsidRPr="00BB2E4B">
        <w:t>Table </w:t>
      </w:r>
      <w:r w:rsidR="00B65CEE">
        <w:rPr>
          <w:noProof/>
        </w:rPr>
        <w:t>12</w:t>
      </w:r>
      <w:r w:rsidR="00367CEF">
        <w:rPr>
          <w:iCs/>
        </w:rPr>
        <w:fldChar w:fldCharType="end"/>
      </w:r>
      <w:r w:rsidR="00367CEF">
        <w:rPr>
          <w:iCs/>
        </w:rPr>
        <w:t xml:space="preserve"> </w:t>
      </w:r>
      <w:r>
        <w:rPr>
          <w:iCs/>
        </w:rPr>
        <w:t>as the applicant advised this technique was typically inadequate on its own for moderate to severe post</w:t>
      </w:r>
      <w:r w:rsidR="00C01C10">
        <w:rPr>
          <w:iCs/>
        </w:rPr>
        <w:t>operative</w:t>
      </w:r>
      <w:r>
        <w:rPr>
          <w:iCs/>
        </w:rPr>
        <w:t xml:space="preserve"> pain. </w:t>
      </w:r>
    </w:p>
    <w:p w14:paraId="29C1EA87" w14:textId="77777777" w:rsidR="007A66C8" w:rsidRPr="008F1532" w:rsidRDefault="007A66C8" w:rsidP="00713728">
      <w:pPr>
        <w:pStyle w:val="Heading3"/>
      </w:pPr>
      <w:bookmarkStart w:id="27" w:name="_Ref129165897"/>
      <w:r w:rsidRPr="008F1532">
        <w:t>Outcomes</w:t>
      </w:r>
      <w:bookmarkEnd w:id="27"/>
      <w:r w:rsidRPr="008F1532">
        <w:t xml:space="preserve"> </w:t>
      </w:r>
    </w:p>
    <w:p w14:paraId="25FEA4ED" w14:textId="2766447E" w:rsidR="00F10313" w:rsidRDefault="001A6279" w:rsidP="0013525F">
      <w:pPr>
        <w:spacing w:after="240" w:line="23" w:lineRule="atLeast"/>
      </w:pPr>
      <w:r w:rsidRPr="00613669">
        <w:t>The applicant’s proposed claim is that a continuous nerve block</w:t>
      </w:r>
      <w:r>
        <w:t xml:space="preserve"> for post</w:t>
      </w:r>
      <w:r w:rsidR="00C01C10">
        <w:t>operative</w:t>
      </w:r>
      <w:r>
        <w:t xml:space="preserve"> pain</w:t>
      </w:r>
      <w:r w:rsidRPr="00613669">
        <w:t xml:space="preserve"> is superior to a single injection nerve block</w:t>
      </w:r>
      <w:r w:rsidR="00C12D8F">
        <w:t xml:space="preserve"> </w:t>
      </w:r>
      <w:r w:rsidR="00C12D8F" w:rsidRPr="00D7401A">
        <w:t>and is non-inferior in terms of safety</w:t>
      </w:r>
      <w:r w:rsidRPr="00613669">
        <w:t>, based on duration of analgesia</w:t>
      </w:r>
      <w:r>
        <w:t xml:space="preserve"> that is achievable with the two</w:t>
      </w:r>
      <w:r w:rsidR="00DA01C2">
        <w:t xml:space="preserve"> different</w:t>
      </w:r>
      <w:r>
        <w:t xml:space="preserve"> types of blocks</w:t>
      </w:r>
      <w:r w:rsidRPr="00613669">
        <w:t xml:space="preserve">. </w:t>
      </w:r>
      <w:r w:rsidR="004C0736" w:rsidRPr="0013525F">
        <w:rPr>
          <w:iCs/>
        </w:rPr>
        <w:t xml:space="preserve">The most frequently used alternative </w:t>
      </w:r>
      <w:r w:rsidRPr="0013525F">
        <w:rPr>
          <w:iCs/>
        </w:rPr>
        <w:t xml:space="preserve">would be a single injection nerve block followed by supplementary analgesia once the injection had worn off. </w:t>
      </w:r>
      <w:r w:rsidR="00E378D7" w:rsidRPr="0013525F">
        <w:rPr>
          <w:iCs/>
        </w:rPr>
        <w:t xml:space="preserve">The key outcome for a comparative evaluation </w:t>
      </w:r>
      <w:r w:rsidR="0005435C" w:rsidRPr="0013525F">
        <w:rPr>
          <w:iCs/>
        </w:rPr>
        <w:t>c</w:t>
      </w:r>
      <w:r w:rsidR="00E378D7" w:rsidRPr="0013525F">
        <w:rPr>
          <w:iCs/>
        </w:rPr>
        <w:t xml:space="preserve">ould therefore be time to supplementary analgesia. </w:t>
      </w:r>
      <w:r w:rsidR="00F10313" w:rsidRPr="0013525F">
        <w:rPr>
          <w:iCs/>
        </w:rPr>
        <w:t xml:space="preserve">Total opioid or supplementary analgesic consumption </w:t>
      </w:r>
      <w:r w:rsidR="007A7D5F" w:rsidRPr="0013525F">
        <w:rPr>
          <w:iCs/>
        </w:rPr>
        <w:t xml:space="preserve">and pain scores </w:t>
      </w:r>
      <w:r w:rsidR="00F10313" w:rsidRPr="0013525F">
        <w:rPr>
          <w:iCs/>
        </w:rPr>
        <w:t>could be appropriate secondary outcome</w:t>
      </w:r>
      <w:r w:rsidR="007A7D5F" w:rsidRPr="0013525F">
        <w:rPr>
          <w:iCs/>
        </w:rPr>
        <w:t>s</w:t>
      </w:r>
      <w:r w:rsidR="00F10313" w:rsidRPr="0013525F">
        <w:rPr>
          <w:iCs/>
        </w:rPr>
        <w:t xml:space="preserve">. </w:t>
      </w:r>
    </w:p>
    <w:p w14:paraId="1091CF71" w14:textId="3509E953" w:rsidR="00452311" w:rsidRPr="001A6279" w:rsidRDefault="001A6279" w:rsidP="009A7E0D">
      <w:pPr>
        <w:spacing w:after="120"/>
        <w:rPr>
          <w:iCs/>
        </w:rPr>
      </w:pPr>
      <w:r>
        <w:rPr>
          <w:iCs/>
        </w:rPr>
        <w:t>In addition, t</w:t>
      </w:r>
      <w:r w:rsidR="00452311">
        <w:t xml:space="preserve">he applicant claims continuous nerve block </w:t>
      </w:r>
      <w:r>
        <w:t>offers</w:t>
      </w:r>
      <w:r w:rsidR="00452311">
        <w:t xml:space="preserve"> the following benefits:</w:t>
      </w:r>
    </w:p>
    <w:p w14:paraId="44CFD4ED" w14:textId="53876678" w:rsidR="00452311" w:rsidRDefault="00452311" w:rsidP="00452311">
      <w:pPr>
        <w:pStyle w:val="ListParagraph"/>
        <w:numPr>
          <w:ilvl w:val="0"/>
          <w:numId w:val="14"/>
        </w:numPr>
      </w:pPr>
      <w:r>
        <w:t>reduced length of stay in hospital</w:t>
      </w:r>
      <w:r w:rsidR="003A16E7">
        <w:t>;</w:t>
      </w:r>
    </w:p>
    <w:p w14:paraId="74286EBF" w14:textId="40563EEC" w:rsidR="00452311" w:rsidRDefault="00452311" w:rsidP="00452311">
      <w:pPr>
        <w:pStyle w:val="ListParagraph"/>
        <w:numPr>
          <w:ilvl w:val="0"/>
          <w:numId w:val="14"/>
        </w:numPr>
      </w:pPr>
      <w:r>
        <w:t>better pain management</w:t>
      </w:r>
      <w:r w:rsidR="00346837">
        <w:t xml:space="preserve"> (especially </w:t>
      </w:r>
      <w:r w:rsidR="00CC5CE4">
        <w:t xml:space="preserve">reduction of </w:t>
      </w:r>
      <w:r w:rsidR="00346837">
        <w:t>rebound pain)</w:t>
      </w:r>
      <w:r>
        <w:t xml:space="preserve">, </w:t>
      </w:r>
      <w:r w:rsidR="00346837">
        <w:t xml:space="preserve">better </w:t>
      </w:r>
      <w:r>
        <w:t>ongoing analgesia</w:t>
      </w:r>
      <w:r w:rsidR="003A16E7">
        <w:t>;</w:t>
      </w:r>
    </w:p>
    <w:p w14:paraId="4E2D8FBE" w14:textId="0F4B6E52" w:rsidR="00452311" w:rsidRDefault="00452311" w:rsidP="00452311">
      <w:pPr>
        <w:pStyle w:val="ListParagraph"/>
        <w:numPr>
          <w:ilvl w:val="0"/>
          <w:numId w:val="14"/>
        </w:numPr>
      </w:pPr>
      <w:r>
        <w:t>reduced opi</w:t>
      </w:r>
      <w:r w:rsidR="00DB16D5">
        <w:t>oid</w:t>
      </w:r>
      <w:r>
        <w:t xml:space="preserve"> use and reduced </w:t>
      </w:r>
      <w:r w:rsidR="00DB16D5">
        <w:t>opioid</w:t>
      </w:r>
      <w:r>
        <w:t xml:space="preserve"> dependence potential</w:t>
      </w:r>
      <w:r w:rsidR="003A16E7">
        <w:t>;</w:t>
      </w:r>
    </w:p>
    <w:p w14:paraId="44F05DB1" w14:textId="225D644D" w:rsidR="00452311" w:rsidRDefault="00452311" w:rsidP="00452311">
      <w:pPr>
        <w:pStyle w:val="ListParagraph"/>
        <w:numPr>
          <w:ilvl w:val="0"/>
          <w:numId w:val="14"/>
        </w:numPr>
      </w:pPr>
      <w:r>
        <w:t>improved mobility and recovery from major orthopaedic surgery and trauma</w:t>
      </w:r>
      <w:r w:rsidR="003A16E7">
        <w:t>;</w:t>
      </w:r>
    </w:p>
    <w:p w14:paraId="544717D5" w14:textId="06031F08" w:rsidR="00452311" w:rsidRDefault="00452311" w:rsidP="00452311">
      <w:pPr>
        <w:pStyle w:val="ListParagraph"/>
        <w:numPr>
          <w:ilvl w:val="0"/>
          <w:numId w:val="14"/>
        </w:numPr>
      </w:pPr>
      <w:r>
        <w:t>improved recovery from other surgeries/injuries (for example, mastectomy or fractured ribs)</w:t>
      </w:r>
      <w:r w:rsidR="003A16E7">
        <w:t>; and</w:t>
      </w:r>
    </w:p>
    <w:p w14:paraId="466A19A0" w14:textId="795501A3" w:rsidR="00452311" w:rsidRDefault="00452311" w:rsidP="00452311">
      <w:pPr>
        <w:pStyle w:val="ListParagraph"/>
        <w:numPr>
          <w:ilvl w:val="0"/>
          <w:numId w:val="14"/>
        </w:numPr>
      </w:pPr>
      <w:r>
        <w:t>less pressure on hospital resources (including hospital beds, nursing staff, PC</w:t>
      </w:r>
      <w:r w:rsidR="003D1C96">
        <w:t>R</w:t>
      </w:r>
      <w:r>
        <w:t>A pumps, physio</w:t>
      </w:r>
      <w:r w:rsidR="00E9248C">
        <w:t>therapy</w:t>
      </w:r>
      <w:r>
        <w:t>)</w:t>
      </w:r>
      <w:r w:rsidR="003A16E7">
        <w:t>.</w:t>
      </w:r>
    </w:p>
    <w:p w14:paraId="6F65E165" w14:textId="78E6C9F5" w:rsidR="00452311" w:rsidRDefault="00B93ED2" w:rsidP="00452311">
      <w:r>
        <w:t>Some</w:t>
      </w:r>
      <w:r w:rsidR="000F0F5F">
        <w:t xml:space="preserve"> of these can be measured in patient relevant </w:t>
      </w:r>
      <w:r w:rsidR="009048A9">
        <w:t xml:space="preserve">and resource use outcomes. </w:t>
      </w:r>
      <w:r w:rsidR="00EE1811">
        <w:t xml:space="preserve">The outcomes evaluated in </w:t>
      </w:r>
      <w:r w:rsidR="003A16E7">
        <w:t xml:space="preserve">Application </w:t>
      </w:r>
      <w:r w:rsidR="00EE1811">
        <w:t xml:space="preserve">1308 </w:t>
      </w:r>
      <w:r w:rsidR="001A6279">
        <w:t xml:space="preserve">and </w:t>
      </w:r>
      <w:r w:rsidR="00213EE1">
        <w:t>recent</w:t>
      </w:r>
      <w:r w:rsidR="001A6279">
        <w:t xml:space="preserve"> systematic reviews,</w:t>
      </w:r>
      <w:r w:rsidR="00EE1811">
        <w:t xml:space="preserve"> have been adapted for this</w:t>
      </w:r>
      <w:r w:rsidR="00924950">
        <w:t xml:space="preserve"> </w:t>
      </w:r>
      <w:r w:rsidR="00EE1811">
        <w:t xml:space="preserve">PICO, </w:t>
      </w:r>
      <w:r w:rsidR="00924950">
        <w:t xml:space="preserve">shown in </w:t>
      </w:r>
      <w:r w:rsidR="004606D4">
        <w:fldChar w:fldCharType="begin"/>
      </w:r>
      <w:r w:rsidR="004606D4">
        <w:instrText xml:space="preserve"> REF _Ref127278347 \h </w:instrText>
      </w:r>
      <w:r w:rsidR="004606D4">
        <w:fldChar w:fldCharType="separate"/>
      </w:r>
      <w:r w:rsidR="00B65CEE" w:rsidRPr="00BB2E4B">
        <w:t>Table </w:t>
      </w:r>
      <w:r w:rsidR="00B65CEE">
        <w:rPr>
          <w:noProof/>
        </w:rPr>
        <w:t>13</w:t>
      </w:r>
      <w:r w:rsidR="004606D4">
        <w:fldChar w:fldCharType="end"/>
      </w:r>
      <w:r w:rsidR="004606D4">
        <w:t>.</w:t>
      </w:r>
    </w:p>
    <w:p w14:paraId="5B64523F" w14:textId="1944B8AF" w:rsidR="00741017" w:rsidRDefault="004F530D" w:rsidP="00452311">
      <w:pPr>
        <w:rPr>
          <w:i/>
          <w:iCs/>
        </w:rPr>
      </w:pPr>
      <w:r w:rsidRPr="00D762EA">
        <w:rPr>
          <w:i/>
          <w:iCs/>
        </w:rPr>
        <w:t xml:space="preserve">PASC acknowledged that different </w:t>
      </w:r>
      <w:r w:rsidR="00D464C3" w:rsidRPr="00D762EA">
        <w:rPr>
          <w:i/>
          <w:iCs/>
        </w:rPr>
        <w:t>pain reporting tools were subjective</w:t>
      </w:r>
      <w:r w:rsidR="00F16D31" w:rsidRPr="00D762EA">
        <w:rPr>
          <w:i/>
          <w:iCs/>
        </w:rPr>
        <w:t xml:space="preserve"> (making comparisons difficult)</w:t>
      </w:r>
      <w:r w:rsidR="00D464C3" w:rsidRPr="00D762EA">
        <w:rPr>
          <w:i/>
          <w:iCs/>
        </w:rPr>
        <w:t xml:space="preserve"> but that reporting patient </w:t>
      </w:r>
      <w:r w:rsidR="00FB3387" w:rsidRPr="00D762EA">
        <w:rPr>
          <w:i/>
          <w:iCs/>
        </w:rPr>
        <w:t xml:space="preserve">scores </w:t>
      </w:r>
      <w:r w:rsidR="009E2399" w:rsidRPr="00D762EA">
        <w:rPr>
          <w:i/>
          <w:iCs/>
        </w:rPr>
        <w:t>to capture patient perception and change in pain response was key.</w:t>
      </w:r>
    </w:p>
    <w:p w14:paraId="7C6DC6B2" w14:textId="77777777" w:rsidR="0020472B" w:rsidRPr="0020472B" w:rsidRDefault="0020472B" w:rsidP="00452311"/>
    <w:p w14:paraId="3560006D" w14:textId="77777777" w:rsidR="00741017" w:rsidRDefault="00741017">
      <w:pPr>
        <w:spacing w:after="160" w:line="259" w:lineRule="auto"/>
        <w:rPr>
          <w:i/>
          <w:iCs/>
        </w:rPr>
      </w:pPr>
      <w:r>
        <w:rPr>
          <w:i/>
          <w:iCs/>
        </w:rPr>
        <w:br w:type="page"/>
      </w:r>
    </w:p>
    <w:p w14:paraId="4439010B" w14:textId="404B8124" w:rsidR="0088478E" w:rsidRPr="00BB2E4B" w:rsidRDefault="0088478E" w:rsidP="0088478E">
      <w:pPr>
        <w:pStyle w:val="TableHeading"/>
      </w:pPr>
      <w:bookmarkStart w:id="28" w:name="_Ref127278347"/>
      <w:bookmarkStart w:id="29" w:name="_Ref128570121"/>
      <w:r w:rsidRPr="00BB2E4B">
        <w:lastRenderedPageBreak/>
        <w:t>Table </w:t>
      </w:r>
      <w:r>
        <w:fldChar w:fldCharType="begin"/>
      </w:r>
      <w:r>
        <w:instrText>SEQ Table \* ARABIC</w:instrText>
      </w:r>
      <w:r>
        <w:fldChar w:fldCharType="separate"/>
      </w:r>
      <w:r w:rsidR="00B65CEE">
        <w:rPr>
          <w:noProof/>
        </w:rPr>
        <w:t>13</w:t>
      </w:r>
      <w:r>
        <w:fldChar w:fldCharType="end"/>
      </w:r>
      <w:bookmarkEnd w:id="28"/>
      <w:r w:rsidRPr="00BB2E4B">
        <w:tab/>
        <w:t>List of</w:t>
      </w:r>
      <w:r w:rsidR="00926CAE">
        <w:t xml:space="preserve"> potential</w:t>
      </w:r>
      <w:r w:rsidRPr="00BB2E4B">
        <w:t xml:space="preserve"> </w:t>
      </w:r>
      <w:r>
        <w:t>outcomes</w:t>
      </w:r>
      <w:bookmarkEnd w:id="29"/>
    </w:p>
    <w:tbl>
      <w:tblPr>
        <w:tblStyle w:val="TableGrid"/>
        <w:tblW w:w="0" w:type="auto"/>
        <w:tblInd w:w="0" w:type="dxa"/>
        <w:tblLook w:val="04A0" w:firstRow="1" w:lastRow="0" w:firstColumn="1" w:lastColumn="0" w:noHBand="0" w:noVBand="1"/>
        <w:tblCaption w:val="List of potential outcomes"/>
        <w:tblDescription w:val="The table lists effectiveness, safety and resource use outcomes."/>
      </w:tblPr>
      <w:tblGrid>
        <w:gridCol w:w="2122"/>
        <w:gridCol w:w="7449"/>
      </w:tblGrid>
      <w:tr w:rsidR="009F7ABC" w14:paraId="78F2026B" w14:textId="77777777" w:rsidTr="00AD5294">
        <w:trPr>
          <w:tblHeader/>
        </w:trPr>
        <w:tc>
          <w:tcPr>
            <w:tcW w:w="2122" w:type="dxa"/>
          </w:tcPr>
          <w:p w14:paraId="793BCB68" w14:textId="1CABDCDB" w:rsidR="009F7ABC" w:rsidRPr="009B4860" w:rsidRDefault="00414FB2" w:rsidP="008E787E">
            <w:pPr>
              <w:keepNext/>
              <w:spacing w:before="40" w:after="40" w:line="240" w:lineRule="auto"/>
              <w:rPr>
                <w:rFonts w:ascii="Arial Narrow" w:hAnsi="Arial Narrow"/>
                <w:b/>
                <w:sz w:val="20"/>
                <w:szCs w:val="20"/>
              </w:rPr>
            </w:pPr>
            <w:r>
              <w:rPr>
                <w:rFonts w:ascii="Arial Narrow" w:hAnsi="Arial Narrow"/>
                <w:b/>
                <w:sz w:val="20"/>
                <w:szCs w:val="20"/>
              </w:rPr>
              <w:t>O</w:t>
            </w:r>
            <w:r w:rsidR="009F7ABC" w:rsidRPr="009B4860">
              <w:rPr>
                <w:rFonts w:ascii="Arial Narrow" w:hAnsi="Arial Narrow"/>
                <w:b/>
                <w:sz w:val="20"/>
                <w:szCs w:val="20"/>
              </w:rPr>
              <w:t>utcome</w:t>
            </w:r>
            <w:r>
              <w:rPr>
                <w:rFonts w:ascii="Arial Narrow" w:hAnsi="Arial Narrow"/>
                <w:b/>
                <w:sz w:val="20"/>
                <w:szCs w:val="20"/>
              </w:rPr>
              <w:t xml:space="preserve"> Type</w:t>
            </w:r>
          </w:p>
        </w:tc>
        <w:tc>
          <w:tcPr>
            <w:tcW w:w="7449" w:type="dxa"/>
          </w:tcPr>
          <w:p w14:paraId="05F73D29" w14:textId="6E8ED2C7" w:rsidR="009F7ABC" w:rsidRPr="00845CDF" w:rsidRDefault="00414FB2" w:rsidP="008E787E">
            <w:pPr>
              <w:keepNext/>
              <w:spacing w:before="40" w:after="40" w:line="240" w:lineRule="auto"/>
              <w:rPr>
                <w:rFonts w:ascii="Arial Narrow" w:hAnsi="Arial Narrow"/>
                <w:b/>
                <w:sz w:val="20"/>
                <w:szCs w:val="20"/>
              </w:rPr>
            </w:pPr>
            <w:r>
              <w:rPr>
                <w:rFonts w:ascii="Arial Narrow" w:hAnsi="Arial Narrow"/>
                <w:b/>
                <w:sz w:val="20"/>
                <w:szCs w:val="20"/>
              </w:rPr>
              <w:t>Details</w:t>
            </w:r>
          </w:p>
        </w:tc>
      </w:tr>
      <w:tr w:rsidR="00D65A7E" w14:paraId="0772DD5F" w14:textId="77777777" w:rsidTr="006E526D">
        <w:tc>
          <w:tcPr>
            <w:tcW w:w="2122" w:type="dxa"/>
          </w:tcPr>
          <w:p w14:paraId="7753A95F" w14:textId="2E9B78EE" w:rsidR="00D65A7E" w:rsidRPr="009B4860" w:rsidRDefault="00D65A7E" w:rsidP="00D65A7E">
            <w:pPr>
              <w:spacing w:before="40" w:after="40" w:line="240" w:lineRule="auto"/>
              <w:rPr>
                <w:rFonts w:ascii="Arial Narrow" w:hAnsi="Arial Narrow"/>
                <w:sz w:val="20"/>
                <w:szCs w:val="20"/>
              </w:rPr>
            </w:pPr>
            <w:r w:rsidRPr="009B4860">
              <w:rPr>
                <w:rFonts w:ascii="Arial Narrow" w:hAnsi="Arial Narrow"/>
                <w:b/>
                <w:sz w:val="20"/>
                <w:szCs w:val="20"/>
              </w:rPr>
              <w:t>Effectiveness</w:t>
            </w:r>
          </w:p>
        </w:tc>
        <w:tc>
          <w:tcPr>
            <w:tcW w:w="7449" w:type="dxa"/>
          </w:tcPr>
          <w:p w14:paraId="7775D0A9" w14:textId="3EA44106" w:rsidR="00D65A7E" w:rsidRPr="00776BF2" w:rsidRDefault="00D65A7E" w:rsidP="00D65A7E">
            <w:pPr>
              <w:pStyle w:val="ListParagraph"/>
              <w:numPr>
                <w:ilvl w:val="0"/>
                <w:numId w:val="8"/>
              </w:numPr>
              <w:spacing w:before="40" w:after="40" w:line="240" w:lineRule="auto"/>
              <w:ind w:left="321"/>
              <w:rPr>
                <w:rFonts w:ascii="Arial Narrow" w:hAnsi="Arial Narrow"/>
                <w:sz w:val="20"/>
                <w:szCs w:val="20"/>
              </w:rPr>
            </w:pPr>
            <w:r w:rsidRPr="00776BF2">
              <w:rPr>
                <w:rFonts w:ascii="Arial Narrow" w:hAnsi="Arial Narrow"/>
                <w:sz w:val="20"/>
                <w:szCs w:val="20"/>
              </w:rPr>
              <w:t>Patient-reported post</w:t>
            </w:r>
            <w:r w:rsidR="00C01C10">
              <w:rPr>
                <w:rFonts w:ascii="Arial Narrow" w:hAnsi="Arial Narrow"/>
                <w:sz w:val="20"/>
                <w:szCs w:val="20"/>
              </w:rPr>
              <w:t>operative</w:t>
            </w:r>
            <w:r w:rsidRPr="00776BF2">
              <w:rPr>
                <w:rFonts w:ascii="Arial Narrow" w:hAnsi="Arial Narrow"/>
                <w:sz w:val="20"/>
                <w:szCs w:val="20"/>
              </w:rPr>
              <w:t xml:space="preserve"> pain</w:t>
            </w:r>
            <w:r w:rsidR="00D76BE8">
              <w:rPr>
                <w:rFonts w:ascii="Arial Narrow" w:hAnsi="Arial Narrow"/>
                <w:sz w:val="20"/>
                <w:szCs w:val="20"/>
              </w:rPr>
              <w:t xml:space="preserve"> score</w:t>
            </w:r>
          </w:p>
          <w:p w14:paraId="7DD2C985" w14:textId="77777777" w:rsidR="00D65A7E" w:rsidRPr="00776BF2" w:rsidRDefault="00D65A7E" w:rsidP="00D65A7E">
            <w:pPr>
              <w:pStyle w:val="ListParagraph"/>
              <w:numPr>
                <w:ilvl w:val="0"/>
                <w:numId w:val="8"/>
              </w:numPr>
              <w:spacing w:before="40" w:after="40" w:line="240" w:lineRule="auto"/>
              <w:ind w:left="321"/>
              <w:rPr>
                <w:rFonts w:ascii="Arial Narrow" w:hAnsi="Arial Narrow"/>
                <w:sz w:val="20"/>
                <w:szCs w:val="20"/>
              </w:rPr>
            </w:pPr>
            <w:r w:rsidRPr="00776BF2">
              <w:rPr>
                <w:rFonts w:ascii="Arial Narrow" w:hAnsi="Arial Narrow"/>
                <w:sz w:val="20"/>
                <w:szCs w:val="20"/>
              </w:rPr>
              <w:t>Time to first mobilisation post-surgery</w:t>
            </w:r>
          </w:p>
          <w:p w14:paraId="39A0A34B" w14:textId="77777777" w:rsidR="00D65A7E" w:rsidRPr="00776BF2" w:rsidRDefault="00D65A7E" w:rsidP="00D65A7E">
            <w:pPr>
              <w:pStyle w:val="ListParagraph"/>
              <w:numPr>
                <w:ilvl w:val="0"/>
                <w:numId w:val="8"/>
              </w:numPr>
              <w:spacing w:before="40" w:after="40" w:line="240" w:lineRule="auto"/>
              <w:ind w:left="321"/>
              <w:rPr>
                <w:rFonts w:ascii="Arial Narrow" w:hAnsi="Arial Narrow"/>
                <w:sz w:val="20"/>
                <w:szCs w:val="20"/>
              </w:rPr>
            </w:pPr>
            <w:r w:rsidRPr="00776BF2">
              <w:rPr>
                <w:rFonts w:ascii="Arial Narrow" w:hAnsi="Arial Narrow"/>
                <w:sz w:val="20"/>
                <w:szCs w:val="20"/>
              </w:rPr>
              <w:t>Patient satisfaction with analgesia</w:t>
            </w:r>
          </w:p>
          <w:p w14:paraId="22603CAB" w14:textId="69716A64" w:rsidR="00D65A7E" w:rsidRPr="00776BF2" w:rsidRDefault="00D65A7E" w:rsidP="00D65A7E">
            <w:pPr>
              <w:pStyle w:val="ListParagraph"/>
              <w:numPr>
                <w:ilvl w:val="0"/>
                <w:numId w:val="8"/>
              </w:numPr>
              <w:spacing w:before="40" w:after="40" w:line="240" w:lineRule="auto"/>
              <w:ind w:left="321"/>
              <w:rPr>
                <w:rFonts w:ascii="Arial Narrow" w:hAnsi="Arial Narrow"/>
                <w:sz w:val="20"/>
                <w:szCs w:val="20"/>
              </w:rPr>
            </w:pPr>
            <w:r w:rsidRPr="00776BF2">
              <w:rPr>
                <w:rFonts w:ascii="Arial Narrow" w:hAnsi="Arial Narrow"/>
                <w:sz w:val="20"/>
                <w:szCs w:val="20"/>
              </w:rPr>
              <w:t xml:space="preserve">Time to, </w:t>
            </w:r>
            <w:r w:rsidR="00480008">
              <w:rPr>
                <w:rFonts w:ascii="Arial Narrow" w:hAnsi="Arial Narrow"/>
                <w:sz w:val="20"/>
                <w:szCs w:val="20"/>
              </w:rPr>
              <w:t>and</w:t>
            </w:r>
            <w:r w:rsidRPr="00776BF2">
              <w:rPr>
                <w:rFonts w:ascii="Arial Narrow" w:hAnsi="Arial Narrow"/>
                <w:sz w:val="20"/>
                <w:szCs w:val="20"/>
              </w:rPr>
              <w:t xml:space="preserve"> rate of supplementary analgesia use</w:t>
            </w:r>
          </w:p>
          <w:p w14:paraId="75955998" w14:textId="02BF8A93" w:rsidR="00D65A7E" w:rsidRPr="00776BF2" w:rsidRDefault="003A16E7" w:rsidP="00D65A7E">
            <w:pPr>
              <w:pStyle w:val="ListParagraph"/>
              <w:numPr>
                <w:ilvl w:val="0"/>
                <w:numId w:val="9"/>
              </w:numPr>
              <w:spacing w:before="40" w:after="40" w:line="240" w:lineRule="auto"/>
              <w:ind w:left="321"/>
              <w:rPr>
                <w:rFonts w:ascii="Arial Narrow" w:hAnsi="Arial Narrow"/>
                <w:b/>
                <w:bCs/>
                <w:i/>
                <w:iCs/>
                <w:sz w:val="20"/>
                <w:szCs w:val="20"/>
              </w:rPr>
            </w:pPr>
            <w:r>
              <w:rPr>
                <w:rFonts w:ascii="Arial Narrow" w:hAnsi="Arial Narrow"/>
                <w:sz w:val="20"/>
                <w:szCs w:val="20"/>
              </w:rPr>
              <w:t>R</w:t>
            </w:r>
            <w:r w:rsidR="00D65A7E" w:rsidRPr="00776BF2">
              <w:rPr>
                <w:rFonts w:ascii="Arial Narrow" w:hAnsi="Arial Narrow"/>
                <w:sz w:val="20"/>
                <w:szCs w:val="20"/>
              </w:rPr>
              <w:t xml:space="preserve">ate of chronic </w:t>
            </w:r>
            <w:r w:rsidR="000E6330" w:rsidRPr="00845CDF">
              <w:rPr>
                <w:rFonts w:ascii="Arial Narrow" w:hAnsi="Arial Narrow"/>
                <w:sz w:val="20"/>
                <w:szCs w:val="20"/>
              </w:rPr>
              <w:t>post</w:t>
            </w:r>
            <w:r w:rsidR="000E6330">
              <w:rPr>
                <w:rFonts w:ascii="Arial Narrow" w:hAnsi="Arial Narrow"/>
                <w:sz w:val="20"/>
                <w:szCs w:val="20"/>
              </w:rPr>
              <w:t>operative</w:t>
            </w:r>
            <w:r w:rsidR="000E6330" w:rsidRPr="00845CDF">
              <w:rPr>
                <w:rFonts w:ascii="Arial Narrow" w:hAnsi="Arial Narrow"/>
                <w:sz w:val="20"/>
                <w:szCs w:val="20"/>
              </w:rPr>
              <w:t xml:space="preserve"> </w:t>
            </w:r>
            <w:r w:rsidR="00D65A7E" w:rsidRPr="00776BF2">
              <w:rPr>
                <w:rFonts w:ascii="Arial Narrow" w:hAnsi="Arial Narrow"/>
                <w:sz w:val="20"/>
                <w:szCs w:val="20"/>
              </w:rPr>
              <w:t>pain</w:t>
            </w:r>
          </w:p>
          <w:p w14:paraId="07DF106E" w14:textId="77777777" w:rsidR="00D65A7E" w:rsidRDefault="00D65A7E" w:rsidP="00D65A7E">
            <w:pPr>
              <w:pStyle w:val="ListParagraph"/>
              <w:numPr>
                <w:ilvl w:val="0"/>
                <w:numId w:val="8"/>
              </w:numPr>
              <w:spacing w:before="40" w:after="40" w:line="240" w:lineRule="auto"/>
              <w:ind w:left="321"/>
              <w:rPr>
                <w:rFonts w:ascii="Arial Narrow" w:hAnsi="Arial Narrow"/>
                <w:sz w:val="20"/>
                <w:szCs w:val="20"/>
              </w:rPr>
            </w:pPr>
            <w:r w:rsidRPr="00776BF2">
              <w:rPr>
                <w:rFonts w:ascii="Arial Narrow" w:hAnsi="Arial Narrow"/>
                <w:sz w:val="20"/>
                <w:szCs w:val="20"/>
              </w:rPr>
              <w:t>Chest infection/pneumonia (consequence of poorly managed severe pain)</w:t>
            </w:r>
          </w:p>
          <w:p w14:paraId="5F958DEE" w14:textId="181E5E32" w:rsidR="00A820F4" w:rsidRPr="00776BF2" w:rsidRDefault="00A820F4" w:rsidP="00D65A7E">
            <w:pPr>
              <w:pStyle w:val="ListParagraph"/>
              <w:numPr>
                <w:ilvl w:val="0"/>
                <w:numId w:val="8"/>
              </w:numPr>
              <w:spacing w:before="40" w:after="40" w:line="240" w:lineRule="auto"/>
              <w:ind w:left="321"/>
              <w:rPr>
                <w:rFonts w:ascii="Arial Narrow" w:hAnsi="Arial Narrow"/>
                <w:sz w:val="20"/>
                <w:szCs w:val="20"/>
              </w:rPr>
            </w:pPr>
            <w:r>
              <w:rPr>
                <w:rFonts w:ascii="Arial Narrow" w:hAnsi="Arial Narrow"/>
                <w:sz w:val="20"/>
                <w:szCs w:val="20"/>
              </w:rPr>
              <w:t>Health-related Quality of Life</w:t>
            </w:r>
          </w:p>
        </w:tc>
      </w:tr>
      <w:tr w:rsidR="00D65A7E" w14:paraId="45975ADE" w14:textId="77777777" w:rsidTr="006E526D">
        <w:tc>
          <w:tcPr>
            <w:tcW w:w="2122" w:type="dxa"/>
          </w:tcPr>
          <w:p w14:paraId="67E8DDF9" w14:textId="783900EB" w:rsidR="00D65A7E" w:rsidRPr="009B4860" w:rsidRDefault="00D65A7E" w:rsidP="00D65A7E">
            <w:pPr>
              <w:spacing w:before="40" w:after="40" w:line="240" w:lineRule="auto"/>
              <w:rPr>
                <w:rFonts w:ascii="Arial Narrow" w:hAnsi="Arial Narrow"/>
                <w:b/>
                <w:sz w:val="20"/>
                <w:szCs w:val="20"/>
              </w:rPr>
            </w:pPr>
            <w:r w:rsidRPr="009B4860">
              <w:rPr>
                <w:rFonts w:ascii="Arial Narrow" w:hAnsi="Arial Narrow"/>
                <w:b/>
                <w:bCs/>
                <w:sz w:val="20"/>
                <w:szCs w:val="20"/>
              </w:rPr>
              <w:t>Safety</w:t>
            </w:r>
            <w:r>
              <w:rPr>
                <w:rFonts w:ascii="Arial Narrow" w:hAnsi="Arial Narrow"/>
                <w:b/>
                <w:bCs/>
                <w:sz w:val="20"/>
                <w:szCs w:val="20"/>
              </w:rPr>
              <w:t xml:space="preserve"> </w:t>
            </w:r>
            <w:r w:rsidRPr="009B4860">
              <w:rPr>
                <w:rFonts w:ascii="Arial Narrow" w:hAnsi="Arial Narrow"/>
                <w:b/>
                <w:bCs/>
                <w:sz w:val="20"/>
                <w:szCs w:val="20"/>
              </w:rPr>
              <w:t>/adverse effects</w:t>
            </w:r>
          </w:p>
        </w:tc>
        <w:tc>
          <w:tcPr>
            <w:tcW w:w="7449" w:type="dxa"/>
          </w:tcPr>
          <w:p w14:paraId="18261019" w14:textId="77777777" w:rsidR="00D65A7E" w:rsidRPr="00776BF2" w:rsidRDefault="00D65A7E" w:rsidP="00D65A7E">
            <w:pPr>
              <w:pStyle w:val="ListParagraph"/>
              <w:numPr>
                <w:ilvl w:val="0"/>
                <w:numId w:val="9"/>
              </w:numPr>
              <w:spacing w:before="40" w:after="40" w:line="240" w:lineRule="auto"/>
              <w:ind w:left="321"/>
              <w:rPr>
                <w:rFonts w:ascii="Arial Narrow" w:hAnsi="Arial Narrow"/>
                <w:b/>
                <w:bCs/>
                <w:i/>
                <w:iCs/>
                <w:sz w:val="20"/>
                <w:szCs w:val="20"/>
              </w:rPr>
            </w:pPr>
            <w:r w:rsidRPr="00776BF2">
              <w:rPr>
                <w:rFonts w:ascii="Arial Narrow" w:hAnsi="Arial Narrow"/>
                <w:sz w:val="20"/>
                <w:szCs w:val="20"/>
              </w:rPr>
              <w:t>Block-related complications (vascular injury, paraesthesia, motor block, failed block, neurological impairment, pneumothorax)</w:t>
            </w:r>
          </w:p>
          <w:p w14:paraId="5731B5F5" w14:textId="5647D136" w:rsidR="00D65A7E" w:rsidRPr="00776BF2" w:rsidRDefault="00D65A7E" w:rsidP="00D65A7E">
            <w:pPr>
              <w:pStyle w:val="ListParagraph"/>
              <w:numPr>
                <w:ilvl w:val="0"/>
                <w:numId w:val="9"/>
              </w:numPr>
              <w:spacing w:before="40" w:after="40" w:line="240" w:lineRule="auto"/>
              <w:ind w:left="321"/>
              <w:rPr>
                <w:rFonts w:ascii="Arial Narrow" w:hAnsi="Arial Narrow"/>
                <w:sz w:val="20"/>
                <w:szCs w:val="20"/>
              </w:rPr>
            </w:pPr>
            <w:r w:rsidRPr="00776BF2">
              <w:rPr>
                <w:rFonts w:ascii="Arial Narrow" w:hAnsi="Arial Narrow"/>
                <w:sz w:val="20"/>
                <w:szCs w:val="20"/>
              </w:rPr>
              <w:t xml:space="preserve">Catheter </w:t>
            </w:r>
            <w:r w:rsidR="003E596E" w:rsidRPr="00776BF2">
              <w:rPr>
                <w:rFonts w:ascii="Arial Narrow" w:hAnsi="Arial Narrow"/>
                <w:sz w:val="20"/>
                <w:szCs w:val="20"/>
              </w:rPr>
              <w:t>A</w:t>
            </w:r>
            <w:r w:rsidR="003E596E">
              <w:rPr>
                <w:rFonts w:ascii="Arial Narrow" w:hAnsi="Arial Narrow"/>
                <w:sz w:val="20"/>
                <w:szCs w:val="20"/>
              </w:rPr>
              <w:t>E</w:t>
            </w:r>
            <w:r w:rsidR="003E596E" w:rsidRPr="00776BF2">
              <w:rPr>
                <w:rFonts w:ascii="Arial Narrow" w:hAnsi="Arial Narrow"/>
                <w:sz w:val="20"/>
                <w:szCs w:val="20"/>
              </w:rPr>
              <w:t xml:space="preserve">s </w:t>
            </w:r>
            <w:r w:rsidRPr="00776BF2">
              <w:rPr>
                <w:rFonts w:ascii="Arial Narrow" w:hAnsi="Arial Narrow"/>
                <w:sz w:val="20"/>
                <w:szCs w:val="20"/>
              </w:rPr>
              <w:t>including insertion site infection</w:t>
            </w:r>
          </w:p>
          <w:p w14:paraId="3C65CB1E" w14:textId="77777777" w:rsidR="00D65A7E" w:rsidRPr="00776BF2" w:rsidRDefault="00D65A7E" w:rsidP="00D65A7E">
            <w:pPr>
              <w:pStyle w:val="ListParagraph"/>
              <w:numPr>
                <w:ilvl w:val="0"/>
                <w:numId w:val="9"/>
              </w:numPr>
              <w:spacing w:before="40" w:after="40" w:line="240" w:lineRule="auto"/>
              <w:ind w:left="321"/>
              <w:rPr>
                <w:rFonts w:ascii="Arial Narrow" w:hAnsi="Arial Narrow"/>
                <w:sz w:val="20"/>
                <w:szCs w:val="20"/>
              </w:rPr>
            </w:pPr>
            <w:r w:rsidRPr="00776BF2">
              <w:rPr>
                <w:rFonts w:ascii="Arial Narrow" w:hAnsi="Arial Narrow"/>
                <w:sz w:val="20"/>
                <w:szCs w:val="20"/>
              </w:rPr>
              <w:t>Local anaesthesia toxicity</w:t>
            </w:r>
          </w:p>
          <w:p w14:paraId="5C4FFF04" w14:textId="77777777" w:rsidR="00F71DB1" w:rsidRDefault="00D65A7E" w:rsidP="00D65A7E">
            <w:pPr>
              <w:pStyle w:val="ListParagraph"/>
              <w:numPr>
                <w:ilvl w:val="0"/>
                <w:numId w:val="9"/>
              </w:numPr>
              <w:spacing w:before="40" w:after="40" w:line="240" w:lineRule="auto"/>
              <w:ind w:left="321"/>
              <w:rPr>
                <w:rFonts w:ascii="Arial Narrow" w:hAnsi="Arial Narrow"/>
                <w:sz w:val="20"/>
                <w:szCs w:val="20"/>
              </w:rPr>
            </w:pPr>
            <w:r w:rsidRPr="00776BF2">
              <w:rPr>
                <w:rFonts w:ascii="Arial Narrow" w:hAnsi="Arial Narrow"/>
                <w:sz w:val="20"/>
                <w:szCs w:val="20"/>
              </w:rPr>
              <w:t>Death/mortality</w:t>
            </w:r>
          </w:p>
          <w:p w14:paraId="472A875A" w14:textId="743B89AF" w:rsidR="0019762A" w:rsidRPr="00776BF2" w:rsidRDefault="006D0FBA" w:rsidP="00D65A7E">
            <w:pPr>
              <w:pStyle w:val="ListParagraph"/>
              <w:numPr>
                <w:ilvl w:val="0"/>
                <w:numId w:val="9"/>
              </w:numPr>
              <w:spacing w:before="40" w:after="40" w:line="240" w:lineRule="auto"/>
              <w:ind w:left="321"/>
              <w:rPr>
                <w:rFonts w:ascii="Arial Narrow" w:hAnsi="Arial Narrow"/>
                <w:sz w:val="20"/>
                <w:szCs w:val="20"/>
              </w:rPr>
            </w:pPr>
            <w:r>
              <w:rPr>
                <w:rFonts w:ascii="Arial Narrow" w:hAnsi="Arial Narrow"/>
                <w:sz w:val="20"/>
                <w:szCs w:val="20"/>
              </w:rPr>
              <w:t xml:space="preserve">Complications or grade ≥3 </w:t>
            </w:r>
            <w:r w:rsidR="003E596E">
              <w:rPr>
                <w:rFonts w:ascii="Arial Narrow" w:hAnsi="Arial Narrow"/>
                <w:sz w:val="20"/>
                <w:szCs w:val="20"/>
              </w:rPr>
              <w:t xml:space="preserve">AEs </w:t>
            </w:r>
            <w:r>
              <w:rPr>
                <w:rFonts w:ascii="Arial Narrow" w:hAnsi="Arial Narrow"/>
                <w:sz w:val="20"/>
                <w:szCs w:val="20"/>
              </w:rPr>
              <w:t>for systemic analgesia</w:t>
            </w:r>
            <w:r w:rsidR="00D8579C">
              <w:rPr>
                <w:rFonts w:ascii="Arial Narrow" w:hAnsi="Arial Narrow"/>
                <w:sz w:val="20"/>
                <w:szCs w:val="20"/>
              </w:rPr>
              <w:t xml:space="preserve"> (short-term and long-term)</w:t>
            </w:r>
          </w:p>
        </w:tc>
      </w:tr>
      <w:tr w:rsidR="002C6141" w14:paraId="0AD07F32" w14:textId="77777777" w:rsidTr="006E526D">
        <w:tc>
          <w:tcPr>
            <w:tcW w:w="2122" w:type="dxa"/>
          </w:tcPr>
          <w:p w14:paraId="525BC419" w14:textId="12A6E012" w:rsidR="002C6141" w:rsidRPr="009B4860" w:rsidRDefault="002C6141" w:rsidP="009F6CA0">
            <w:pPr>
              <w:keepNext/>
              <w:spacing w:before="40" w:after="40" w:line="240" w:lineRule="auto"/>
              <w:rPr>
                <w:rFonts w:ascii="Arial Narrow" w:hAnsi="Arial Narrow"/>
                <w:b/>
                <w:sz w:val="20"/>
                <w:szCs w:val="20"/>
              </w:rPr>
            </w:pPr>
            <w:r w:rsidRPr="009B4860">
              <w:rPr>
                <w:rFonts w:ascii="Arial Narrow" w:hAnsi="Arial Narrow"/>
                <w:b/>
                <w:sz w:val="20"/>
                <w:szCs w:val="20"/>
              </w:rPr>
              <w:t>Resource Use</w:t>
            </w:r>
          </w:p>
        </w:tc>
        <w:tc>
          <w:tcPr>
            <w:tcW w:w="7449" w:type="dxa"/>
          </w:tcPr>
          <w:p w14:paraId="65CE6C08" w14:textId="035F6780" w:rsidR="002C6141" w:rsidRPr="00845CDF" w:rsidRDefault="0093138E" w:rsidP="009F6CA0">
            <w:pPr>
              <w:pStyle w:val="ListParagraph"/>
              <w:keepNext/>
              <w:numPr>
                <w:ilvl w:val="0"/>
                <w:numId w:val="9"/>
              </w:numPr>
              <w:spacing w:before="40" w:after="40" w:line="240" w:lineRule="auto"/>
              <w:ind w:left="321"/>
              <w:rPr>
                <w:rFonts w:ascii="Arial Narrow" w:hAnsi="Arial Narrow"/>
                <w:sz w:val="20"/>
                <w:szCs w:val="20"/>
              </w:rPr>
            </w:pPr>
            <w:r>
              <w:rPr>
                <w:rFonts w:ascii="Arial Narrow" w:hAnsi="Arial Narrow"/>
                <w:sz w:val="20"/>
                <w:szCs w:val="20"/>
              </w:rPr>
              <w:t>Block r</w:t>
            </w:r>
            <w:r w:rsidR="00330837" w:rsidRPr="00845CDF">
              <w:rPr>
                <w:rFonts w:ascii="Arial Narrow" w:hAnsi="Arial Narrow"/>
                <w:sz w:val="20"/>
                <w:szCs w:val="20"/>
              </w:rPr>
              <w:t>e-</w:t>
            </w:r>
            <w:r w:rsidR="00330837">
              <w:rPr>
                <w:rFonts w:ascii="Arial Narrow" w:hAnsi="Arial Narrow"/>
                <w:sz w:val="20"/>
                <w:szCs w:val="20"/>
              </w:rPr>
              <w:t>attempt</w:t>
            </w:r>
            <w:r>
              <w:rPr>
                <w:rFonts w:ascii="Arial Narrow" w:hAnsi="Arial Narrow"/>
                <w:sz w:val="20"/>
                <w:szCs w:val="20"/>
              </w:rPr>
              <w:t xml:space="preserve"> (block failure)</w:t>
            </w:r>
          </w:p>
          <w:p w14:paraId="64CCD8F9" w14:textId="77777777" w:rsidR="00890E79" w:rsidRDefault="00890E79" w:rsidP="009F6CA0">
            <w:pPr>
              <w:pStyle w:val="ListParagraph"/>
              <w:keepNext/>
              <w:numPr>
                <w:ilvl w:val="0"/>
                <w:numId w:val="9"/>
              </w:numPr>
              <w:spacing w:before="40" w:after="40" w:line="240" w:lineRule="auto"/>
              <w:ind w:left="321"/>
              <w:rPr>
                <w:rFonts w:ascii="Arial Narrow" w:hAnsi="Arial Narrow"/>
                <w:sz w:val="20"/>
                <w:szCs w:val="20"/>
              </w:rPr>
            </w:pPr>
            <w:r w:rsidRPr="00845CDF">
              <w:rPr>
                <w:rFonts w:ascii="Arial Narrow" w:hAnsi="Arial Narrow"/>
                <w:sz w:val="20"/>
                <w:szCs w:val="20"/>
              </w:rPr>
              <w:t>Hospital length of stay</w:t>
            </w:r>
          </w:p>
          <w:p w14:paraId="22387C9D" w14:textId="6B996DA2" w:rsidR="00890E79" w:rsidRPr="00845CDF" w:rsidRDefault="00890E79" w:rsidP="009F6CA0">
            <w:pPr>
              <w:pStyle w:val="ListParagraph"/>
              <w:keepNext/>
              <w:numPr>
                <w:ilvl w:val="0"/>
                <w:numId w:val="9"/>
              </w:numPr>
              <w:spacing w:before="40" w:after="40" w:line="240" w:lineRule="auto"/>
              <w:ind w:left="321"/>
              <w:rPr>
                <w:rFonts w:ascii="Arial Narrow" w:hAnsi="Arial Narrow"/>
                <w:sz w:val="20"/>
                <w:szCs w:val="20"/>
              </w:rPr>
            </w:pPr>
            <w:r w:rsidRPr="00845CDF">
              <w:rPr>
                <w:rFonts w:ascii="Arial Narrow" w:hAnsi="Arial Narrow"/>
                <w:sz w:val="20"/>
                <w:szCs w:val="20"/>
              </w:rPr>
              <w:t>Re-hospitalisation due to pain</w:t>
            </w:r>
          </w:p>
          <w:p w14:paraId="5E66D622" w14:textId="7DEB5037" w:rsidR="002C6141" w:rsidRDefault="00D3567E" w:rsidP="009F6CA0">
            <w:pPr>
              <w:pStyle w:val="ListParagraph"/>
              <w:keepNext/>
              <w:numPr>
                <w:ilvl w:val="0"/>
                <w:numId w:val="9"/>
              </w:numPr>
              <w:spacing w:before="40" w:after="40" w:line="240" w:lineRule="auto"/>
              <w:ind w:left="321"/>
              <w:rPr>
                <w:rFonts w:ascii="Arial Narrow" w:hAnsi="Arial Narrow"/>
                <w:sz w:val="20"/>
                <w:szCs w:val="20"/>
              </w:rPr>
            </w:pPr>
            <w:r>
              <w:rPr>
                <w:rFonts w:ascii="Arial Narrow" w:hAnsi="Arial Narrow"/>
                <w:sz w:val="20"/>
                <w:szCs w:val="20"/>
              </w:rPr>
              <w:t>A</w:t>
            </w:r>
            <w:r w:rsidR="002C6141" w:rsidRPr="00845CDF">
              <w:rPr>
                <w:rFonts w:ascii="Arial Narrow" w:hAnsi="Arial Narrow"/>
                <w:sz w:val="20"/>
                <w:szCs w:val="20"/>
              </w:rPr>
              <w:t xml:space="preserve">nalgesic </w:t>
            </w:r>
            <w:r>
              <w:rPr>
                <w:rFonts w:ascii="Arial Narrow" w:hAnsi="Arial Narrow"/>
                <w:sz w:val="20"/>
                <w:szCs w:val="20"/>
              </w:rPr>
              <w:t>use</w:t>
            </w:r>
            <w:r w:rsidR="00E54B73">
              <w:rPr>
                <w:rFonts w:ascii="Arial Narrow" w:hAnsi="Arial Narrow"/>
                <w:sz w:val="20"/>
                <w:szCs w:val="20"/>
              </w:rPr>
              <w:t xml:space="preserve"> (no</w:t>
            </w:r>
            <w:r w:rsidR="00DA5971">
              <w:rPr>
                <w:rFonts w:ascii="Arial Narrow" w:hAnsi="Arial Narrow"/>
                <w:sz w:val="20"/>
                <w:szCs w:val="20"/>
              </w:rPr>
              <w:t>te</w:t>
            </w:r>
            <w:r w:rsidR="00E54B73">
              <w:rPr>
                <w:rFonts w:ascii="Arial Narrow" w:hAnsi="Arial Narrow"/>
                <w:sz w:val="20"/>
                <w:szCs w:val="20"/>
              </w:rPr>
              <w:t xml:space="preserve"> time to supplementary analgesia is efficacy endpoint)</w:t>
            </w:r>
          </w:p>
          <w:p w14:paraId="2A31D103" w14:textId="6CBC16F0" w:rsidR="00C366F7" w:rsidRPr="00845CDF" w:rsidRDefault="00C366F7" w:rsidP="009F6CA0">
            <w:pPr>
              <w:pStyle w:val="ListParagraph"/>
              <w:keepNext/>
              <w:numPr>
                <w:ilvl w:val="0"/>
                <w:numId w:val="8"/>
              </w:numPr>
              <w:spacing w:before="40" w:after="40" w:line="240" w:lineRule="auto"/>
              <w:rPr>
                <w:rFonts w:ascii="Arial Narrow" w:hAnsi="Arial Narrow"/>
                <w:sz w:val="20"/>
                <w:szCs w:val="20"/>
              </w:rPr>
            </w:pPr>
            <w:r w:rsidRPr="00845CDF">
              <w:rPr>
                <w:rFonts w:ascii="Arial Narrow" w:hAnsi="Arial Narrow"/>
                <w:sz w:val="20"/>
                <w:szCs w:val="20"/>
              </w:rPr>
              <w:t>Analgesia requirements post-surgery (including opio</w:t>
            </w:r>
            <w:r w:rsidR="00566969">
              <w:rPr>
                <w:rFonts w:ascii="Arial Narrow" w:hAnsi="Arial Narrow"/>
                <w:sz w:val="20"/>
                <w:szCs w:val="20"/>
              </w:rPr>
              <w:t>i</w:t>
            </w:r>
            <w:r w:rsidRPr="00845CDF">
              <w:rPr>
                <w:rFonts w:ascii="Arial Narrow" w:hAnsi="Arial Narrow"/>
                <w:sz w:val="20"/>
                <w:szCs w:val="20"/>
              </w:rPr>
              <w:t>d consumption)</w:t>
            </w:r>
          </w:p>
          <w:p w14:paraId="257EC175" w14:textId="71101F7D" w:rsidR="00C366F7" w:rsidRPr="00C366F7" w:rsidRDefault="00C366F7" w:rsidP="009F6CA0">
            <w:pPr>
              <w:pStyle w:val="ListParagraph"/>
              <w:keepNext/>
              <w:numPr>
                <w:ilvl w:val="0"/>
                <w:numId w:val="8"/>
              </w:numPr>
              <w:spacing w:before="40" w:after="40" w:line="240" w:lineRule="auto"/>
              <w:rPr>
                <w:rFonts w:ascii="Arial Narrow" w:hAnsi="Arial Narrow"/>
                <w:sz w:val="20"/>
                <w:szCs w:val="20"/>
              </w:rPr>
            </w:pPr>
            <w:r w:rsidRPr="00845CDF">
              <w:rPr>
                <w:rFonts w:ascii="Arial Narrow" w:hAnsi="Arial Narrow"/>
                <w:sz w:val="20"/>
                <w:szCs w:val="20"/>
              </w:rPr>
              <w:t>Duration of analgesia</w:t>
            </w:r>
          </w:p>
        </w:tc>
      </w:tr>
    </w:tbl>
    <w:p w14:paraId="1BA72DAA" w14:textId="638606C8" w:rsidR="003E3414" w:rsidRDefault="00036397" w:rsidP="00D2440F">
      <w:pPr>
        <w:pStyle w:val="Tablenotes"/>
        <w:spacing w:after="240"/>
      </w:pPr>
      <w:r>
        <w:t>AE</w:t>
      </w:r>
      <w:r w:rsidR="009A18F6">
        <w:t>=</w:t>
      </w:r>
      <w:r>
        <w:t xml:space="preserve">adverse event; </w:t>
      </w:r>
      <w:r w:rsidR="00190ECD">
        <w:t>NSAIDs</w:t>
      </w:r>
      <w:r w:rsidR="009A18F6">
        <w:t>=</w:t>
      </w:r>
      <w:r w:rsidR="00190ECD">
        <w:t>non-steroidal anti-inflammatory drugs</w:t>
      </w:r>
      <w:r w:rsidR="003A16E7">
        <w:t>.</w:t>
      </w:r>
    </w:p>
    <w:p w14:paraId="3B56CDF9" w14:textId="004BFB96" w:rsidR="00B20D51" w:rsidRDefault="00B20D51" w:rsidP="003E3414">
      <w:pPr>
        <w:rPr>
          <w:i/>
          <w:iCs/>
        </w:rPr>
      </w:pPr>
      <w:r>
        <w:t xml:space="preserve">In considering </w:t>
      </w:r>
      <w:r w:rsidR="003A16E7">
        <w:t>A</w:t>
      </w:r>
      <w:r>
        <w:t xml:space="preserve">pplication 1308, MSAC stated that </w:t>
      </w:r>
      <w:r w:rsidRPr="00B20D51">
        <w:rPr>
          <w:i/>
          <w:iCs/>
        </w:rPr>
        <w:t>“data on length of hospital stay, recovery time, post-surgical chronic pain and QoL was very limited or not presented. If available</w:t>
      </w:r>
      <w:r w:rsidR="003A16E7">
        <w:rPr>
          <w:i/>
          <w:iCs/>
        </w:rPr>
        <w:t>,</w:t>
      </w:r>
      <w:r w:rsidRPr="00B20D51">
        <w:rPr>
          <w:i/>
          <w:iCs/>
        </w:rPr>
        <w:t xml:space="preserve"> this data may enable a cost-utility analysis to assist the </w:t>
      </w:r>
      <w:r w:rsidR="00E01479" w:rsidRPr="00B20D51">
        <w:rPr>
          <w:i/>
          <w:iCs/>
        </w:rPr>
        <w:t>committee’s</w:t>
      </w:r>
      <w:r w:rsidRPr="00B20D51">
        <w:rPr>
          <w:i/>
          <w:iCs/>
        </w:rPr>
        <w:t xml:space="preserve"> decision making.”</w:t>
      </w:r>
      <w:r w:rsidR="005607B3">
        <w:rPr>
          <w:i/>
          <w:iCs/>
        </w:rPr>
        <w:t xml:space="preserve"> </w:t>
      </w:r>
      <w:r w:rsidR="005607B3" w:rsidRPr="005607B3">
        <w:t xml:space="preserve">MSAC </w:t>
      </w:r>
      <w:r w:rsidR="005607B3">
        <w:t xml:space="preserve">also raised concerns regarding the </w:t>
      </w:r>
      <w:r w:rsidR="005607B3" w:rsidRPr="005607B3">
        <w:t xml:space="preserve">lack of patient-centred outcomes in </w:t>
      </w:r>
      <w:r w:rsidR="005607B3">
        <w:t xml:space="preserve">the </w:t>
      </w:r>
      <w:r w:rsidR="005607B3" w:rsidRPr="005607B3">
        <w:t>economic model, particularly pain</w:t>
      </w:r>
      <w:r w:rsidR="005607B3">
        <w:t>, whereas the</w:t>
      </w:r>
      <w:r w:rsidR="005607B3" w:rsidRPr="005607B3">
        <w:t xml:space="preserve"> impact of nerve blocks on pain was </w:t>
      </w:r>
      <w:r w:rsidR="005607B3">
        <w:t xml:space="preserve">considered </w:t>
      </w:r>
      <w:r w:rsidR="005607B3" w:rsidRPr="005607B3">
        <w:t>key to MSAC</w:t>
      </w:r>
      <w:r w:rsidR="005607B3">
        <w:t>’s</w:t>
      </w:r>
      <w:r w:rsidR="005607B3" w:rsidRPr="005607B3">
        <w:t xml:space="preserve"> decision-making.</w:t>
      </w:r>
      <w:r w:rsidR="00425DDD" w:rsidRPr="00425DDD">
        <w:rPr>
          <w:i/>
          <w:iCs/>
        </w:rPr>
        <w:t xml:space="preserve"> I</w:t>
      </w:r>
      <w:r w:rsidR="00425DDD">
        <w:rPr>
          <w:i/>
          <w:iCs/>
        </w:rPr>
        <w:t>t</w:t>
      </w:r>
      <w:r w:rsidR="00425DDD" w:rsidRPr="00425DDD">
        <w:rPr>
          <w:i/>
          <w:iCs/>
        </w:rPr>
        <w:t xml:space="preserve"> is possible hospital length of stay will not be needed if information on opioid consumption and time to supplementary analgesia can be presented. </w:t>
      </w:r>
    </w:p>
    <w:p w14:paraId="7E96C9C4" w14:textId="68573937" w:rsidR="003A20EB" w:rsidRPr="003A20EB" w:rsidRDefault="003A16E7" w:rsidP="003E3414">
      <w:r>
        <w:t>R</w:t>
      </w:r>
      <w:r w:rsidR="003A20EB">
        <w:t>ate</w:t>
      </w:r>
      <w:r>
        <w:t>s</w:t>
      </w:r>
      <w:r w:rsidR="003A20EB">
        <w:t xml:space="preserve"> of long-term chronic pain and chest infection / pneumonia are sequelae of poorly managed </w:t>
      </w:r>
      <w:r w:rsidR="00623071">
        <w:t>severe</w:t>
      </w:r>
      <w:r w:rsidR="003A20EB">
        <w:t xml:space="preserve"> post</w:t>
      </w:r>
      <w:r w:rsidR="00C01C10">
        <w:t>operative</w:t>
      </w:r>
      <w:r w:rsidR="003A20EB">
        <w:t xml:space="preserve"> pain and </w:t>
      </w:r>
      <w:r w:rsidR="00623071">
        <w:t xml:space="preserve">as such </w:t>
      </w:r>
      <w:r w:rsidR="003A20EB">
        <w:t xml:space="preserve">are included as efficacy outcomes rather than safety. </w:t>
      </w:r>
    </w:p>
    <w:p w14:paraId="71C8505F" w14:textId="07F4D201" w:rsidR="00815586" w:rsidRDefault="00815586" w:rsidP="00815586">
      <w:r>
        <w:t xml:space="preserve">Neurological impairment cited as a safety outcome associated with nerve blockade usually manifests as muscle weakness or sensory deficit. </w:t>
      </w:r>
    </w:p>
    <w:p w14:paraId="433B2F75" w14:textId="4B591C50" w:rsidR="00D60D3E" w:rsidRDefault="00D60D3E" w:rsidP="00815586">
      <w:r>
        <w:t>Side effects associated with both opioids and NSAIDs</w:t>
      </w:r>
      <w:r w:rsidR="00E50395">
        <w:t xml:space="preserve"> are well documented. </w:t>
      </w:r>
    </w:p>
    <w:p w14:paraId="662C6610" w14:textId="0DDA8EAA" w:rsidR="003E3414" w:rsidRDefault="003E3414" w:rsidP="003E3414">
      <w:r>
        <w:t xml:space="preserve">Although the applicant claims reduced potential for opioid dependence, it is </w:t>
      </w:r>
      <w:r w:rsidR="00BB3082">
        <w:t xml:space="preserve">not </w:t>
      </w:r>
      <w:r w:rsidR="00901555">
        <w:t>known whether</w:t>
      </w:r>
      <w:r>
        <w:t xml:space="preserve"> </w:t>
      </w:r>
      <w:r w:rsidR="004E6608">
        <w:t>the clinical</w:t>
      </w:r>
      <w:r>
        <w:t xml:space="preserve"> evidence will permit evaluation of this </w:t>
      </w:r>
      <w:r w:rsidR="00FE261B">
        <w:t>given</w:t>
      </w:r>
      <w:r>
        <w:t xml:space="preserve"> only a small number of patients are likely to develop opioid dependence as a proportion of </w:t>
      </w:r>
      <w:r w:rsidR="001E2DB4">
        <w:t>all</w:t>
      </w:r>
      <w:r>
        <w:t xml:space="preserve"> total post</w:t>
      </w:r>
      <w:r w:rsidR="00C01C10">
        <w:t>operative</w:t>
      </w:r>
      <w:r>
        <w:t xml:space="preserve"> </w:t>
      </w:r>
      <w:r w:rsidR="001E2DB4">
        <w:t>patients</w:t>
      </w:r>
      <w:r>
        <w:t xml:space="preserve">. </w:t>
      </w:r>
    </w:p>
    <w:p w14:paraId="1F6E35FC" w14:textId="434CC35F" w:rsidR="009943E3" w:rsidRDefault="009943E3" w:rsidP="003E3414">
      <w:r>
        <w:t xml:space="preserve">Rate of chronic pain </w:t>
      </w:r>
      <w:r w:rsidR="00C60A0E">
        <w:t>i</w:t>
      </w:r>
      <w:r w:rsidR="00F3727B">
        <w:t xml:space="preserve">s nominated as </w:t>
      </w:r>
      <w:r w:rsidR="00C60A0E">
        <w:t>an outcome, consistent with</w:t>
      </w:r>
      <w:r w:rsidR="00F3727B">
        <w:t xml:space="preserve"> a recent Cochrane review</w:t>
      </w:r>
      <w:r w:rsidR="00C11EF8">
        <w:t xml:space="preserve"> </w:t>
      </w:r>
      <w:r w:rsidR="00C11EF8" w:rsidRPr="00DD1924">
        <w:t>(</w:t>
      </w:r>
      <w:r w:rsidR="000E1FD0" w:rsidRPr="00DD1924">
        <w:t xml:space="preserve">Guay </w:t>
      </w:r>
      <w:r w:rsidR="008B2FF4">
        <w:t xml:space="preserve">et al., </w:t>
      </w:r>
      <w:r w:rsidR="000E1FD0" w:rsidRPr="00DD1924">
        <w:t>2017)</w:t>
      </w:r>
      <w:r w:rsidR="009C7B06" w:rsidRPr="00DD1924">
        <w:t xml:space="preserve"> of nerve block in hip arthroplasty patients, as</w:t>
      </w:r>
      <w:r w:rsidR="00E30C59" w:rsidRPr="00DD1924">
        <w:t xml:space="preserve"> sequelae of</w:t>
      </w:r>
      <w:r w:rsidR="009C7B06" w:rsidRPr="00DD1924">
        <w:t xml:space="preserve"> poorly managed post</w:t>
      </w:r>
      <w:r w:rsidR="00C01C10">
        <w:t>operative</w:t>
      </w:r>
      <w:r w:rsidR="009C7B06">
        <w:t xml:space="preserve"> pain </w:t>
      </w:r>
      <w:r w:rsidR="002022B5">
        <w:t>frequently</w:t>
      </w:r>
      <w:r w:rsidR="009C7B06">
        <w:t xml:space="preserve"> </w:t>
      </w:r>
      <w:r w:rsidR="00E30C59">
        <w:t xml:space="preserve">include </w:t>
      </w:r>
      <w:r w:rsidR="009C7B06">
        <w:t xml:space="preserve">development of </w:t>
      </w:r>
      <w:r w:rsidR="00E30C59">
        <w:t>chronic pain.</w:t>
      </w:r>
    </w:p>
    <w:p w14:paraId="091E9868" w14:textId="34C075CA" w:rsidR="009A4EF1" w:rsidRDefault="00D623C2" w:rsidP="003E3414">
      <w:r w:rsidRPr="009C5E39">
        <w:t>L</w:t>
      </w:r>
      <w:r w:rsidR="009A4EF1" w:rsidRPr="009C5E39">
        <w:t xml:space="preserve">ocal anaesthesia toxicity </w:t>
      </w:r>
      <w:r w:rsidR="000C1685" w:rsidRPr="009C5E39">
        <w:t xml:space="preserve">is </w:t>
      </w:r>
      <w:r w:rsidR="00C01330" w:rsidRPr="009C5E39">
        <w:t>likely</w:t>
      </w:r>
      <w:r w:rsidR="009A4EF1" w:rsidRPr="009C5E39">
        <w:t xml:space="preserve"> to be </w:t>
      </w:r>
      <w:r w:rsidR="00C01330" w:rsidRPr="009C5E39">
        <w:t>observed</w:t>
      </w:r>
      <w:r w:rsidR="009A4EF1" w:rsidRPr="009C5E39">
        <w:t xml:space="preserve"> in the first </w:t>
      </w:r>
      <w:r w:rsidR="009D17AD" w:rsidRPr="009C5E39">
        <w:t>1-5</w:t>
      </w:r>
      <w:r w:rsidR="009A4EF1" w:rsidRPr="009C5E39">
        <w:t xml:space="preserve"> minutes after the block is </w:t>
      </w:r>
      <w:r w:rsidR="00C01330" w:rsidRPr="009C5E39">
        <w:t>administered</w:t>
      </w:r>
      <w:r w:rsidR="0022307C">
        <w:t xml:space="preserve"> but there are </w:t>
      </w:r>
      <w:r w:rsidR="00D63C4B">
        <w:t xml:space="preserve">essentially </w:t>
      </w:r>
      <w:r w:rsidR="0022307C">
        <w:t xml:space="preserve">no implications for events occurring later </w:t>
      </w:r>
      <w:r w:rsidR="00D63C4B">
        <w:t xml:space="preserve">during an in-patient stay or </w:t>
      </w:r>
      <w:r w:rsidR="008B2FF4">
        <w:t>during</w:t>
      </w:r>
      <w:r w:rsidR="00D63C4B">
        <w:t xml:space="preserve"> follow-up as </w:t>
      </w:r>
      <w:r w:rsidR="008B2FF4">
        <w:t>may be the case</w:t>
      </w:r>
      <w:r w:rsidR="00D63C4B">
        <w:t xml:space="preserve"> for other types of drug toxicities</w:t>
      </w:r>
      <w:r w:rsidR="009C5E39" w:rsidRPr="009C5E39">
        <w:t>.</w:t>
      </w:r>
    </w:p>
    <w:p w14:paraId="3A2A4A15" w14:textId="7D9936C7" w:rsidR="00153E7B" w:rsidRDefault="007E50D8" w:rsidP="00C14C21">
      <w:r>
        <w:t>It is assumed that patients who have gone home with a catheter in place will return to the hospital for any catheter issues such as apparent infection, site swelling or difficulty with catheter removal. This would not involve a general practitioner visit.</w:t>
      </w:r>
    </w:p>
    <w:p w14:paraId="6069F0B5" w14:textId="77777777" w:rsidR="00D73332" w:rsidRPr="00490FBB" w:rsidRDefault="00D73332" w:rsidP="00713728">
      <w:pPr>
        <w:pStyle w:val="Heading2"/>
        <w:rPr>
          <w:b/>
          <w:bCs/>
          <w:i/>
        </w:rPr>
      </w:pPr>
      <w:r w:rsidRPr="00490FBB">
        <w:lastRenderedPageBreak/>
        <w:t>Clinical management algorithms</w:t>
      </w:r>
    </w:p>
    <w:p w14:paraId="0F4AD8C0" w14:textId="74053C60" w:rsidR="00C16AAA" w:rsidRDefault="00973F4D" w:rsidP="00264402">
      <w:r>
        <w:t>Algorithms</w:t>
      </w:r>
      <w:r w:rsidR="001C6CA2">
        <w:t xml:space="preserve"> for </w:t>
      </w:r>
      <w:r>
        <w:t>current and propose</w:t>
      </w:r>
      <w:r w:rsidR="002C33E3">
        <w:t>d</w:t>
      </w:r>
      <w:r w:rsidR="00531E00">
        <w:t xml:space="preserve"> management of patients with moderate to severe pain lasting more than 12 hours are presented in </w:t>
      </w:r>
      <w:r w:rsidR="007F5427">
        <w:rPr>
          <w:highlight w:val="yellow"/>
        </w:rPr>
        <w:fldChar w:fldCharType="begin"/>
      </w:r>
      <w:r w:rsidR="007F5427">
        <w:instrText xml:space="preserve"> REF _Ref68327680 \h </w:instrText>
      </w:r>
      <w:r w:rsidR="007F5427">
        <w:rPr>
          <w:highlight w:val="yellow"/>
        </w:rPr>
      </w:r>
      <w:r w:rsidR="007F5427">
        <w:rPr>
          <w:highlight w:val="yellow"/>
        </w:rPr>
        <w:fldChar w:fldCharType="separate"/>
      </w:r>
      <w:r w:rsidR="00B65CEE" w:rsidRPr="00FD5066">
        <w:t>Figure </w:t>
      </w:r>
      <w:r w:rsidR="00B65CEE">
        <w:rPr>
          <w:noProof/>
        </w:rPr>
        <w:t>1</w:t>
      </w:r>
      <w:r w:rsidR="007F5427">
        <w:rPr>
          <w:highlight w:val="yellow"/>
        </w:rPr>
        <w:fldChar w:fldCharType="end"/>
      </w:r>
      <w:r w:rsidR="00601ADF">
        <w:t xml:space="preserve"> </w:t>
      </w:r>
      <w:r w:rsidR="002C33E3">
        <w:t>and</w:t>
      </w:r>
      <w:r w:rsidR="007F5427">
        <w:t xml:space="preserve"> </w:t>
      </w:r>
      <w:r w:rsidR="007F5427">
        <w:rPr>
          <w:highlight w:val="yellow"/>
        </w:rPr>
        <w:fldChar w:fldCharType="begin"/>
      </w:r>
      <w:r w:rsidR="007F5427">
        <w:rPr>
          <w:highlight w:val="yellow"/>
        </w:rPr>
        <w:instrText xml:space="preserve"> REF _Ref129179727 \h </w:instrText>
      </w:r>
      <w:r w:rsidR="007F5427">
        <w:rPr>
          <w:highlight w:val="yellow"/>
        </w:rPr>
      </w:r>
      <w:r w:rsidR="007F5427">
        <w:rPr>
          <w:highlight w:val="yellow"/>
        </w:rPr>
        <w:fldChar w:fldCharType="separate"/>
      </w:r>
      <w:r w:rsidR="00B65CEE" w:rsidRPr="00FD5066">
        <w:t>Figure </w:t>
      </w:r>
      <w:r w:rsidR="00B65CEE">
        <w:rPr>
          <w:noProof/>
        </w:rPr>
        <w:t>2</w:t>
      </w:r>
      <w:r w:rsidR="007F5427">
        <w:rPr>
          <w:highlight w:val="yellow"/>
        </w:rPr>
        <w:fldChar w:fldCharType="end"/>
      </w:r>
      <w:r w:rsidR="002C33E3">
        <w:t>, respectively.</w:t>
      </w:r>
      <w:r w:rsidR="00866E05">
        <w:t xml:space="preserve"> </w:t>
      </w:r>
    </w:p>
    <w:p w14:paraId="395E7055" w14:textId="5C9286B2" w:rsidR="00871A30" w:rsidRDefault="00FF2988" w:rsidP="00264402">
      <w:r>
        <w:t xml:space="preserve">The applicant noted that </w:t>
      </w:r>
      <w:r w:rsidRPr="00D20A1A">
        <w:t xml:space="preserve">the goal </w:t>
      </w:r>
      <w:r w:rsidR="00900720">
        <w:t xml:space="preserve">for management of post-operative pain </w:t>
      </w:r>
      <w:r w:rsidRPr="00D20A1A">
        <w:t>is an incremental stepping down of analgesia requirements and opioid usage to simpl</w:t>
      </w:r>
      <w:r>
        <w:t>e</w:t>
      </w:r>
      <w:r w:rsidRPr="00D20A1A">
        <w:t xml:space="preserve"> analgesia. </w:t>
      </w:r>
      <w:r>
        <w:t>A</w:t>
      </w:r>
      <w:r w:rsidRPr="00D20A1A">
        <w:t xml:space="preserve"> regional catheter can remove the requirement for opioids in many situations.</w:t>
      </w:r>
      <w:r w:rsidR="00A125C3">
        <w:t xml:space="preserve"> </w:t>
      </w:r>
      <w:r w:rsidR="00C949C0">
        <w:t>T</w:t>
      </w:r>
      <w:r w:rsidR="00A125C3">
        <w:t xml:space="preserve">he </w:t>
      </w:r>
      <w:r w:rsidR="00FC3064">
        <w:t>algorithms are a reflection of what occur</w:t>
      </w:r>
      <w:r w:rsidR="00EF6A41">
        <w:t>s in practice</w:t>
      </w:r>
      <w:r w:rsidR="004A422B">
        <w:t>;</w:t>
      </w:r>
      <w:r w:rsidR="00FC3064">
        <w:t xml:space="preserve"> however, the </w:t>
      </w:r>
      <w:r w:rsidR="00A125C3">
        <w:t>timeframes</w:t>
      </w:r>
      <w:r w:rsidR="00DE5FEF">
        <w:t xml:space="preserve"> depicted in the algorithm may be adjusted </w:t>
      </w:r>
      <w:r w:rsidR="00B473A2">
        <w:t>to each patient</w:t>
      </w:r>
      <w:r w:rsidR="00F70058">
        <w:t xml:space="preserve">. </w:t>
      </w:r>
    </w:p>
    <w:p w14:paraId="143B3280" w14:textId="77777777" w:rsidR="005C071E" w:rsidRDefault="005C071E" w:rsidP="00264402"/>
    <w:p w14:paraId="78F995E3" w14:textId="77777777" w:rsidR="00297B5A" w:rsidRDefault="00297B5A" w:rsidP="00264402">
      <w:pPr>
        <w:sectPr w:rsidR="00297B5A" w:rsidSect="00AE6FE0">
          <w:pgSz w:w="11906" w:h="16838"/>
          <w:pgMar w:top="682" w:right="1134" w:bottom="1021" w:left="1191" w:header="709" w:footer="709" w:gutter="0"/>
          <w:cols w:space="708"/>
          <w:docGrid w:linePitch="360"/>
        </w:sectPr>
      </w:pPr>
    </w:p>
    <w:tbl>
      <w:tblPr>
        <w:tblStyle w:val="TableGrid"/>
        <w:tblW w:w="0" w:type="auto"/>
        <w:tblInd w:w="0" w:type="dxa"/>
        <w:tblLook w:val="04A0" w:firstRow="1" w:lastRow="0" w:firstColumn="1" w:lastColumn="0" w:noHBand="0" w:noVBand="1"/>
      </w:tblPr>
      <w:tblGrid>
        <w:gridCol w:w="9571"/>
      </w:tblGrid>
      <w:tr w:rsidR="00FD5066" w14:paraId="5DBD54DE" w14:textId="77777777" w:rsidTr="00FD5066">
        <w:tc>
          <w:tcPr>
            <w:tcW w:w="9571" w:type="dxa"/>
          </w:tcPr>
          <w:p w14:paraId="42E4C744" w14:textId="60BE5B75" w:rsidR="00FD5066" w:rsidRPr="007F5427" w:rsidRDefault="005E380F" w:rsidP="00E97935">
            <w:pPr>
              <w:pStyle w:val="Tabletext"/>
              <w:keepNext/>
              <w:rPr>
                <w:highlight w:val="green"/>
              </w:rPr>
            </w:pPr>
            <w:r>
              <w:rPr>
                <w:noProof/>
              </w:rPr>
              <w:lastRenderedPageBreak/>
              <w:drawing>
                <wp:inline distT="0" distB="0" distL="0" distR="0" wp14:anchorId="530DD64F" wp14:editId="6D33A9EA">
                  <wp:extent cx="5572125" cy="8752790"/>
                  <wp:effectExtent l="0" t="0" r="0" b="0"/>
                  <wp:docPr id="1" name="Picture 1" descr="Figure 1 Treatment algorithm for moderate to severe postoperative pain lasting 12 hours or longer: curren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Treatment algorithm for moderate to severe postoperative pain lasting 12 hours or longer: current practi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77982" cy="8761991"/>
                          </a:xfrm>
                          <a:prstGeom prst="rect">
                            <a:avLst/>
                          </a:prstGeom>
                          <a:noFill/>
                          <a:ln>
                            <a:noFill/>
                          </a:ln>
                        </pic:spPr>
                      </pic:pic>
                    </a:graphicData>
                  </a:graphic>
                </wp:inline>
              </w:drawing>
            </w:r>
          </w:p>
        </w:tc>
      </w:tr>
    </w:tbl>
    <w:p w14:paraId="06906D92" w14:textId="61E3F343" w:rsidR="00297B5A" w:rsidRDefault="00FD5066" w:rsidP="00A5039A">
      <w:pPr>
        <w:pStyle w:val="Caption"/>
      </w:pPr>
      <w:bookmarkStart w:id="30" w:name="_Ref68327593"/>
      <w:bookmarkStart w:id="31" w:name="_Ref68327680"/>
      <w:r w:rsidRPr="00FD5066">
        <w:t>Figure</w:t>
      </w:r>
      <w:bookmarkEnd w:id="30"/>
      <w:r w:rsidRPr="00FD5066">
        <w:t> </w:t>
      </w:r>
      <w:r w:rsidRPr="00FD5066">
        <w:fldChar w:fldCharType="begin"/>
      </w:r>
      <w:r w:rsidRPr="00FD5066">
        <w:instrText xml:space="preserve"> SEQ Figure \* ARABIC </w:instrText>
      </w:r>
      <w:r w:rsidRPr="00FD5066">
        <w:fldChar w:fldCharType="separate"/>
      </w:r>
      <w:r w:rsidR="00B65CEE">
        <w:rPr>
          <w:noProof/>
        </w:rPr>
        <w:t>1</w:t>
      </w:r>
      <w:r w:rsidRPr="00FD5066">
        <w:fldChar w:fldCharType="end"/>
      </w:r>
      <w:bookmarkEnd w:id="31"/>
      <w:r w:rsidRPr="00FD5066">
        <w:tab/>
      </w:r>
      <w:r w:rsidR="00D02425">
        <w:t>Treatment algorithm for moderate to severe post</w:t>
      </w:r>
      <w:r w:rsidR="00C01C10">
        <w:t>operative</w:t>
      </w:r>
      <w:r w:rsidR="00D02425">
        <w:t xml:space="preserve"> pain lasting 12 hours or longer</w:t>
      </w:r>
      <w:r w:rsidR="007F5427">
        <w:t>: current practice</w:t>
      </w:r>
    </w:p>
    <w:tbl>
      <w:tblPr>
        <w:tblStyle w:val="TableGrid"/>
        <w:tblW w:w="0" w:type="auto"/>
        <w:tblInd w:w="0" w:type="dxa"/>
        <w:tblLook w:val="04A0" w:firstRow="1" w:lastRow="0" w:firstColumn="1" w:lastColumn="0" w:noHBand="0" w:noVBand="1"/>
      </w:tblPr>
      <w:tblGrid>
        <w:gridCol w:w="9571"/>
      </w:tblGrid>
      <w:tr w:rsidR="007F5427" w14:paraId="530B3FA2" w14:textId="77777777" w:rsidTr="0020472B">
        <w:trPr>
          <w:trHeight w:val="70"/>
        </w:trPr>
        <w:tc>
          <w:tcPr>
            <w:tcW w:w="9571" w:type="dxa"/>
          </w:tcPr>
          <w:p w14:paraId="452F2130" w14:textId="77777777" w:rsidR="007F5427" w:rsidRDefault="008B4FFA" w:rsidP="00E97935">
            <w:pPr>
              <w:pStyle w:val="Tabletext"/>
              <w:keepNext/>
              <w:rPr>
                <w:noProof/>
              </w:rPr>
            </w:pPr>
            <w:r>
              <w:rPr>
                <w:noProof/>
              </w:rPr>
              <w:lastRenderedPageBreak/>
              <w:drawing>
                <wp:inline distT="0" distB="0" distL="0" distR="0" wp14:anchorId="49AB0379" wp14:editId="5927C356">
                  <wp:extent cx="6083935" cy="8482965"/>
                  <wp:effectExtent l="0" t="0" r="0" b="0"/>
                  <wp:docPr id="2" name="Picture 2" descr="Figure 2 Treatment algorithm for moderate to severe postoperative pain lasting 12 hours or longer: after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Treatment algorithm for moderate to severe postoperative pain lasting 12 hours or longer: after listi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83935" cy="8482965"/>
                          </a:xfrm>
                          <a:prstGeom prst="rect">
                            <a:avLst/>
                          </a:prstGeom>
                          <a:noFill/>
                          <a:ln>
                            <a:noFill/>
                          </a:ln>
                        </pic:spPr>
                      </pic:pic>
                    </a:graphicData>
                  </a:graphic>
                </wp:inline>
              </w:drawing>
            </w:r>
          </w:p>
          <w:p w14:paraId="0D6411CB" w14:textId="20C180FD" w:rsidR="0020472B" w:rsidRPr="0020472B" w:rsidRDefault="0020472B" w:rsidP="0020472B">
            <w:pPr>
              <w:rPr>
                <w:highlight w:val="green"/>
                <w:lang w:eastAsia="en-AU"/>
              </w:rPr>
            </w:pPr>
          </w:p>
        </w:tc>
      </w:tr>
    </w:tbl>
    <w:p w14:paraId="71950E1A" w14:textId="6D246841" w:rsidR="007F5427" w:rsidRDefault="007F5427" w:rsidP="007F5427">
      <w:pPr>
        <w:pStyle w:val="Caption"/>
      </w:pPr>
      <w:bookmarkStart w:id="32" w:name="_Ref129179727"/>
      <w:r w:rsidRPr="00FD5066">
        <w:t>Figure </w:t>
      </w:r>
      <w:r w:rsidRPr="00FD5066">
        <w:fldChar w:fldCharType="begin"/>
      </w:r>
      <w:r w:rsidRPr="00FD5066">
        <w:instrText xml:space="preserve"> SEQ Figure \* ARABIC </w:instrText>
      </w:r>
      <w:r w:rsidRPr="00FD5066">
        <w:fldChar w:fldCharType="separate"/>
      </w:r>
      <w:r w:rsidR="00B65CEE">
        <w:rPr>
          <w:noProof/>
        </w:rPr>
        <w:t>2</w:t>
      </w:r>
      <w:r w:rsidRPr="00FD5066">
        <w:fldChar w:fldCharType="end"/>
      </w:r>
      <w:bookmarkEnd w:id="32"/>
      <w:r w:rsidRPr="00FD5066">
        <w:tab/>
      </w:r>
      <w:r>
        <w:t>Treatment algorithm for moderate to severe post</w:t>
      </w:r>
      <w:r w:rsidR="00C01C10">
        <w:t>operative</w:t>
      </w:r>
      <w:r>
        <w:t xml:space="preserve"> pain lasting 12 hours or longer: after listing</w:t>
      </w:r>
    </w:p>
    <w:p w14:paraId="2BDE22B9" w14:textId="3A147EF3" w:rsidR="00D73332" w:rsidRDefault="00D73332" w:rsidP="00713728">
      <w:pPr>
        <w:pStyle w:val="Heading2"/>
        <w:rPr>
          <w:b/>
          <w:bCs/>
          <w:i/>
        </w:rPr>
      </w:pPr>
      <w:bookmarkStart w:id="33" w:name="_Ref129163429"/>
      <w:bookmarkStart w:id="34" w:name="_Ref129179510"/>
      <w:r w:rsidRPr="00490FBB">
        <w:lastRenderedPageBreak/>
        <w:t>Proposed economic evaluation</w:t>
      </w:r>
      <w:bookmarkEnd w:id="33"/>
      <w:bookmarkEnd w:id="34"/>
    </w:p>
    <w:p w14:paraId="524F203F" w14:textId="1F3B4B29" w:rsidR="00521A10" w:rsidRDefault="007E01E9" w:rsidP="004E62DD">
      <w:pPr>
        <w:spacing w:after="240"/>
      </w:pPr>
      <w:r w:rsidRPr="00947ACD">
        <w:t xml:space="preserve">The applicant’s </w:t>
      </w:r>
      <w:r w:rsidR="00EE6AAD" w:rsidRPr="00947ACD">
        <w:t xml:space="preserve">clinical </w:t>
      </w:r>
      <w:r w:rsidRPr="00947ACD">
        <w:t xml:space="preserve">claim is superiority versus single injection nerve blocks based on the </w:t>
      </w:r>
      <w:r w:rsidR="008C6C75" w:rsidRPr="00947ACD">
        <w:t xml:space="preserve">duration of analgesia the continuous block can provide in comparison with a single injection block (maximum 12 hours). </w:t>
      </w:r>
      <w:r w:rsidR="00C61C2A" w:rsidRPr="00C61C2A">
        <w:rPr>
          <w:i/>
          <w:iCs/>
        </w:rPr>
        <w:t>PASC noted t</w:t>
      </w:r>
      <w:r w:rsidR="00A74AAE" w:rsidRPr="00C61C2A">
        <w:rPr>
          <w:i/>
          <w:iCs/>
        </w:rPr>
        <w:t>he applicant confirmed the proposed claim is of non-inferior safety compared to single injection nerve block</w:t>
      </w:r>
      <w:r w:rsidR="00A74AAE" w:rsidRPr="00947ACD">
        <w:t>.</w:t>
      </w:r>
      <w:r w:rsidR="00983068" w:rsidRPr="00947ACD">
        <w:t xml:space="preserve"> A</w:t>
      </w:r>
      <w:r w:rsidR="00FB24C4" w:rsidRPr="00947ACD">
        <w:t xml:space="preserve"> cost-utility analysis would be the appropriate type of economic evaluation (see</w:t>
      </w:r>
      <w:r w:rsidR="005D2150">
        <w:t xml:space="preserve"> </w:t>
      </w:r>
      <w:r w:rsidR="00FB24C4">
        <w:fldChar w:fldCharType="begin"/>
      </w:r>
      <w:r w:rsidR="00FB24C4">
        <w:instrText xml:space="preserve"> REF _Ref54260209 \h </w:instrText>
      </w:r>
      <w:r w:rsidR="00FB24C4">
        <w:fldChar w:fldCharType="separate"/>
      </w:r>
      <w:r w:rsidR="00B65CEE" w:rsidRPr="00EF76F8">
        <w:t>Table </w:t>
      </w:r>
      <w:r w:rsidR="00B65CEE">
        <w:rPr>
          <w:noProof/>
        </w:rPr>
        <w:t>14</w:t>
      </w:r>
      <w:r w:rsidR="00FB24C4">
        <w:fldChar w:fldCharType="end"/>
      </w:r>
      <w:r w:rsidR="00FB24C4" w:rsidRPr="00947ACD">
        <w:t xml:space="preserve">, </w:t>
      </w:r>
      <w:r w:rsidR="00563316">
        <w:t>highlighted section</w:t>
      </w:r>
      <w:r w:rsidR="00FB24C4" w:rsidRPr="00947ACD">
        <w:t>).</w:t>
      </w:r>
    </w:p>
    <w:p w14:paraId="6DAB2DBD" w14:textId="6AEC6B65" w:rsidR="000939E0" w:rsidRPr="00EF76F8" w:rsidRDefault="000939E0" w:rsidP="00C40CC4">
      <w:pPr>
        <w:pStyle w:val="Caption"/>
      </w:pPr>
      <w:bookmarkStart w:id="35" w:name="_Ref54260209"/>
      <w:bookmarkStart w:id="36" w:name="_Toc423450289"/>
      <w:r w:rsidRPr="00EF76F8">
        <w:t>Table</w:t>
      </w:r>
      <w:r w:rsidR="00DE762F" w:rsidRPr="00EF76F8">
        <w:t> </w:t>
      </w:r>
      <w:r w:rsidRPr="00EF76F8">
        <w:fldChar w:fldCharType="begin"/>
      </w:r>
      <w:r w:rsidRPr="00EF76F8">
        <w:instrText xml:space="preserve"> SEQ Table \* ARABIC </w:instrText>
      </w:r>
      <w:r w:rsidRPr="00EF76F8">
        <w:fldChar w:fldCharType="separate"/>
      </w:r>
      <w:r w:rsidR="00B65CEE">
        <w:rPr>
          <w:noProof/>
        </w:rPr>
        <w:t>14</w:t>
      </w:r>
      <w:r w:rsidRPr="00EF76F8">
        <w:fldChar w:fldCharType="end"/>
      </w:r>
      <w:bookmarkEnd w:id="35"/>
      <w:r w:rsidR="001A5D2F" w:rsidRPr="00EF76F8">
        <w:tab/>
        <w:t>Classification of</w:t>
      </w:r>
      <w:r w:rsidRPr="00EF76F8">
        <w:t xml:space="preserve"> comparative effectiveness and safety of the proposed intervention</w:t>
      </w:r>
      <w:r w:rsidR="001A5D2F" w:rsidRPr="00EF76F8">
        <w:t>,</w:t>
      </w:r>
      <w:r w:rsidRPr="00EF76F8">
        <w:t xml:space="preserve"> compared with its main comparator</w:t>
      </w:r>
      <w:r w:rsidR="001A5D2F" w:rsidRPr="00EF76F8">
        <w:t>,</w:t>
      </w:r>
      <w:r w:rsidRPr="00EF76F8">
        <w:t xml:space="preserve"> and guide to the suitable type of economic evaluation</w:t>
      </w:r>
      <w:bookmarkEnd w:id="36"/>
    </w:p>
    <w:tbl>
      <w:tblPr>
        <w:tblW w:w="4872" w:type="pct"/>
        <w:tblInd w:w="115" w:type="dxa"/>
        <w:tblLayout w:type="fixed"/>
        <w:tblCellMar>
          <w:left w:w="115" w:type="dxa"/>
          <w:right w:w="115" w:type="dxa"/>
        </w:tblCellMar>
        <w:tblLook w:val="01E0" w:firstRow="1" w:lastRow="1" w:firstColumn="1" w:lastColumn="1" w:noHBand="0" w:noVBand="0"/>
        <w:tblCaption w:val="Classification of comparative effectiveness and safety of the proposed intervention,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D2440F" w:rsidRPr="00EF76F8" w14:paraId="5238F44C" w14:textId="77777777" w:rsidTr="00F4565B">
        <w:trPr>
          <w:tblHeader/>
        </w:trPr>
        <w:tc>
          <w:tcPr>
            <w:tcW w:w="2012" w:type="dxa"/>
            <w:vMerge w:val="restart"/>
            <w:tcBorders>
              <w:top w:val="single" w:sz="4" w:space="0" w:color="auto"/>
              <w:left w:val="single" w:sz="4" w:space="0" w:color="auto"/>
              <w:right w:val="single" w:sz="4" w:space="0" w:color="auto"/>
            </w:tcBorders>
            <w:vAlign w:val="center"/>
          </w:tcPr>
          <w:p w14:paraId="5B06A6EA" w14:textId="730AFFCD" w:rsidR="00D2440F" w:rsidRPr="00EF76F8" w:rsidRDefault="00D2440F" w:rsidP="00721C64">
            <w:pPr>
              <w:pStyle w:val="Tabletext"/>
              <w:spacing w:before="0"/>
              <w:rPr>
                <w:b/>
                <w:bCs/>
              </w:rPr>
            </w:pPr>
            <w:bookmarkStart w:id="37" w:name="Title_Table2" w:colFirst="0" w:colLast="0"/>
            <w:r w:rsidRPr="00EF76F8">
              <w:rPr>
                <w:b/>
                <w:bCs/>
              </w:rPr>
              <w:t>Comparative safety</w:t>
            </w:r>
            <w:r w:rsidRPr="00EF76F8">
              <w:rPr>
                <w:b/>
                <w:bCs/>
                <w:color w:val="FFFFFF" w:themeColor="background1"/>
              </w:rPr>
              <w:t>-</w:t>
            </w:r>
          </w:p>
        </w:tc>
        <w:tc>
          <w:tcPr>
            <w:tcW w:w="7314" w:type="dxa"/>
            <w:gridSpan w:val="4"/>
            <w:tcBorders>
              <w:top w:val="single" w:sz="4" w:space="0" w:color="auto"/>
              <w:left w:val="single" w:sz="4" w:space="0" w:color="auto"/>
              <w:bottom w:val="single" w:sz="4" w:space="0" w:color="auto"/>
              <w:right w:val="single" w:sz="4" w:space="0" w:color="auto"/>
            </w:tcBorders>
          </w:tcPr>
          <w:p w14:paraId="0FE152FA" w14:textId="1F02686C" w:rsidR="00D2440F" w:rsidRPr="00EF76F8" w:rsidRDefault="00D2440F" w:rsidP="00D2440F">
            <w:pPr>
              <w:pStyle w:val="Tabletext"/>
              <w:spacing w:before="0"/>
              <w:jc w:val="center"/>
              <w:rPr>
                <w:b/>
                <w:bCs/>
              </w:rPr>
            </w:pPr>
            <w:r w:rsidRPr="00EF76F8">
              <w:rPr>
                <w:b/>
                <w:bCs/>
              </w:rPr>
              <w:t>Comparative effectiveness</w:t>
            </w:r>
          </w:p>
        </w:tc>
      </w:tr>
      <w:bookmarkEnd w:id="37"/>
      <w:tr w:rsidR="00686EED" w:rsidRPr="00EF76F8" w14:paraId="78A8F3F1" w14:textId="77777777" w:rsidTr="00F4565B">
        <w:trPr>
          <w:tblHeader/>
        </w:trPr>
        <w:tc>
          <w:tcPr>
            <w:tcW w:w="2012" w:type="dxa"/>
            <w:vMerge/>
            <w:tcBorders>
              <w:left w:val="single" w:sz="4" w:space="0" w:color="auto"/>
              <w:bottom w:val="single" w:sz="4" w:space="0" w:color="auto"/>
              <w:right w:val="single" w:sz="4" w:space="0" w:color="auto"/>
            </w:tcBorders>
          </w:tcPr>
          <w:p w14:paraId="6E00D947" w14:textId="57BEC7DE" w:rsidR="00686EED" w:rsidRPr="00EF76F8" w:rsidRDefault="00686EED" w:rsidP="00721C64">
            <w:pPr>
              <w:pStyle w:val="Tabletext"/>
              <w:spacing w:before="0"/>
              <w:rPr>
                <w:b/>
                <w:bCs/>
              </w:rPr>
            </w:pPr>
          </w:p>
        </w:tc>
        <w:tc>
          <w:tcPr>
            <w:tcW w:w="1905" w:type="dxa"/>
            <w:tcBorders>
              <w:left w:val="single" w:sz="4" w:space="0" w:color="auto"/>
              <w:bottom w:val="single" w:sz="4" w:space="0" w:color="auto"/>
              <w:right w:val="single" w:sz="4" w:space="0" w:color="auto"/>
            </w:tcBorders>
          </w:tcPr>
          <w:p w14:paraId="319C788C" w14:textId="77777777" w:rsidR="00686EED" w:rsidRPr="00563316" w:rsidRDefault="00686EED" w:rsidP="00721C64">
            <w:pPr>
              <w:pStyle w:val="Tabletext"/>
              <w:spacing w:before="0"/>
              <w:rPr>
                <w:b/>
                <w:bCs/>
              </w:rPr>
            </w:pPr>
            <w:r w:rsidRPr="00563316">
              <w:rPr>
                <w:b/>
                <w:bCs/>
              </w:rPr>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563316" w:rsidRDefault="00686EED" w:rsidP="00721C64">
            <w:pPr>
              <w:pStyle w:val="Tabletext"/>
              <w:spacing w:before="0"/>
              <w:rPr>
                <w:b/>
                <w:bCs/>
              </w:rPr>
            </w:pPr>
            <w:r w:rsidRPr="00563316">
              <w:rPr>
                <w:b/>
                <w:bCs/>
              </w:rPr>
              <w:t>Uncertain</w:t>
            </w:r>
            <w:r w:rsidRPr="00563316">
              <w:rPr>
                <w:b/>
                <w:bCs/>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563316" w:rsidRDefault="00686EED" w:rsidP="00721C64">
            <w:pPr>
              <w:pStyle w:val="Tabletext"/>
              <w:spacing w:before="0"/>
              <w:rPr>
                <w:b/>
                <w:bCs/>
              </w:rPr>
            </w:pPr>
            <w:r w:rsidRPr="00563316">
              <w:rPr>
                <w:b/>
                <w:bCs/>
              </w:rPr>
              <w:t>Noninferior</w:t>
            </w:r>
            <w:r w:rsidRPr="00563316">
              <w:rPr>
                <w:b/>
                <w:bCs/>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EF76F8" w:rsidRDefault="00686EED" w:rsidP="00721C64">
            <w:pPr>
              <w:pStyle w:val="Tabletext"/>
              <w:spacing w:before="0"/>
              <w:rPr>
                <w:b/>
                <w:bCs/>
              </w:rPr>
            </w:pPr>
            <w:r w:rsidRPr="00EF76F8">
              <w:rPr>
                <w:b/>
                <w:bCs/>
              </w:rPr>
              <w:t>Superior</w:t>
            </w:r>
          </w:p>
        </w:tc>
      </w:tr>
      <w:tr w:rsidR="000939E0" w:rsidRPr="00EF76F8" w14:paraId="1E111DC3" w14:textId="77777777" w:rsidTr="00F4565B">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EF76F8" w:rsidRDefault="000939E0" w:rsidP="00721C64">
            <w:pPr>
              <w:pStyle w:val="Tabletext"/>
              <w:spacing w:before="0"/>
              <w:rPr>
                <w:b/>
                <w:bCs/>
              </w:rPr>
            </w:pPr>
            <w:r w:rsidRPr="00EF76F8">
              <w:rPr>
                <w:b/>
                <w:bCs/>
              </w:rPr>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563316" w:rsidRDefault="000939E0" w:rsidP="00721C64">
            <w:pPr>
              <w:pStyle w:val="Tabletext"/>
              <w:spacing w:before="0"/>
            </w:pPr>
            <w:r w:rsidRPr="00563316">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563316" w:rsidRDefault="000939E0" w:rsidP="00721C64">
            <w:pPr>
              <w:pStyle w:val="Tabletext"/>
              <w:spacing w:before="0"/>
            </w:pPr>
            <w:r w:rsidRPr="00563316">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563316" w:rsidRDefault="000939E0" w:rsidP="00721C64">
            <w:pPr>
              <w:pStyle w:val="Tabletext"/>
              <w:spacing w:before="0"/>
            </w:pPr>
            <w:r w:rsidRPr="00563316">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563316" w:rsidRDefault="000939E0" w:rsidP="00721C64">
            <w:pPr>
              <w:pStyle w:val="Tabletext"/>
              <w:spacing w:before="0"/>
              <w:rPr>
                <w:highlight w:val="yellow"/>
              </w:rPr>
            </w:pPr>
            <w:r w:rsidRPr="00563316">
              <w:rPr>
                <w:highlight w:val="yellow"/>
              </w:rPr>
              <w:t>? Likely CUA</w:t>
            </w:r>
          </w:p>
        </w:tc>
      </w:tr>
      <w:tr w:rsidR="000939E0" w:rsidRPr="00EF76F8" w14:paraId="463C2753" w14:textId="77777777" w:rsidTr="00F4565B">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EF76F8" w:rsidRDefault="000939E0" w:rsidP="00721C64">
            <w:pPr>
              <w:pStyle w:val="Tabletext"/>
              <w:spacing w:before="0"/>
              <w:rPr>
                <w:b/>
                <w:bCs/>
              </w:rPr>
            </w:pPr>
            <w:r w:rsidRPr="00EF76F8">
              <w:rPr>
                <w:b/>
                <w:bCs/>
              </w:rPr>
              <w:t>Uncertain</w:t>
            </w:r>
            <w:r w:rsidRPr="00EF76F8">
              <w:rPr>
                <w:b/>
                <w:bCs/>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563316" w:rsidRDefault="000939E0" w:rsidP="00721C64">
            <w:pPr>
              <w:pStyle w:val="Tabletext"/>
              <w:spacing w:before="0"/>
            </w:pPr>
            <w:r w:rsidRPr="00563316">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563316" w:rsidRDefault="000939E0" w:rsidP="00721C64">
            <w:pPr>
              <w:pStyle w:val="Tabletext"/>
              <w:spacing w:before="0"/>
            </w:pPr>
            <w:r w:rsidRPr="00563316">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563316" w:rsidRDefault="000939E0" w:rsidP="00721C64">
            <w:pPr>
              <w:pStyle w:val="Tabletext"/>
              <w:spacing w:before="0"/>
            </w:pPr>
            <w:r w:rsidRPr="00563316">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563316" w:rsidRDefault="000939E0" w:rsidP="00721C64">
            <w:pPr>
              <w:pStyle w:val="Tabletext"/>
              <w:spacing w:before="0"/>
              <w:rPr>
                <w:highlight w:val="yellow"/>
              </w:rPr>
            </w:pPr>
            <w:r w:rsidRPr="00563316">
              <w:rPr>
                <w:highlight w:val="yellow"/>
              </w:rPr>
              <w:t>? Likely CEA/CUA</w:t>
            </w:r>
          </w:p>
        </w:tc>
      </w:tr>
      <w:tr w:rsidR="000939E0" w:rsidRPr="00EF76F8" w14:paraId="47335FF9" w14:textId="77777777" w:rsidTr="00F4565B">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EF76F8" w:rsidRDefault="000939E0" w:rsidP="00721C64">
            <w:pPr>
              <w:pStyle w:val="Tabletext"/>
              <w:spacing w:before="0"/>
              <w:rPr>
                <w:b/>
                <w:bCs/>
              </w:rPr>
            </w:pPr>
            <w:r w:rsidRPr="00EF76F8">
              <w:rPr>
                <w:b/>
                <w:bCs/>
              </w:rPr>
              <w:t>Noninferior</w:t>
            </w:r>
            <w:r w:rsidRPr="00EF76F8">
              <w:rPr>
                <w:b/>
                <w:bCs/>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563316" w:rsidRDefault="000939E0" w:rsidP="00721C64">
            <w:pPr>
              <w:pStyle w:val="Tabletext"/>
              <w:spacing w:before="0"/>
            </w:pPr>
            <w:r w:rsidRPr="00563316">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563316" w:rsidRDefault="000939E0" w:rsidP="00721C64">
            <w:pPr>
              <w:pStyle w:val="Tabletext"/>
              <w:spacing w:before="0"/>
            </w:pPr>
            <w:r w:rsidRPr="00563316">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563316" w:rsidRDefault="000939E0" w:rsidP="00721C64">
            <w:pPr>
              <w:pStyle w:val="Tabletext"/>
              <w:spacing w:before="0"/>
            </w:pPr>
            <w:r w:rsidRPr="00563316">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563316" w:rsidRDefault="000939E0" w:rsidP="00721C64">
            <w:pPr>
              <w:pStyle w:val="Tabletext"/>
              <w:spacing w:before="0"/>
              <w:rPr>
                <w:highlight w:val="yellow"/>
              </w:rPr>
            </w:pPr>
            <w:r w:rsidRPr="00563316">
              <w:rPr>
                <w:highlight w:val="yellow"/>
              </w:rPr>
              <w:t>CEA/CUA</w:t>
            </w:r>
          </w:p>
        </w:tc>
      </w:tr>
      <w:tr w:rsidR="000939E0" w:rsidRPr="00EF76F8" w14:paraId="41AB5715" w14:textId="77777777" w:rsidTr="00F4565B">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EF76F8" w:rsidRDefault="000939E0" w:rsidP="00721C64">
            <w:pPr>
              <w:pStyle w:val="Tabletext"/>
              <w:spacing w:before="0"/>
              <w:rPr>
                <w:b/>
                <w:bCs/>
              </w:rPr>
            </w:pPr>
            <w:r w:rsidRPr="00EF76F8">
              <w:rPr>
                <w:b/>
                <w:bCs/>
              </w:rPr>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563316" w:rsidRDefault="000939E0" w:rsidP="00721C64">
            <w:pPr>
              <w:pStyle w:val="Tabletext"/>
              <w:spacing w:before="0"/>
            </w:pPr>
            <w:r w:rsidRPr="00563316">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563316" w:rsidRDefault="000939E0" w:rsidP="00721C64">
            <w:pPr>
              <w:pStyle w:val="Tabletext"/>
              <w:spacing w:before="0"/>
            </w:pPr>
            <w:r w:rsidRPr="00563316">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563316" w:rsidRDefault="000939E0" w:rsidP="00721C64">
            <w:pPr>
              <w:pStyle w:val="Tabletext"/>
              <w:spacing w:before="0"/>
            </w:pPr>
            <w:r w:rsidRPr="00563316">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563316" w:rsidRDefault="000939E0" w:rsidP="00721C64">
            <w:pPr>
              <w:pStyle w:val="Tabletext"/>
              <w:spacing w:before="0"/>
              <w:rPr>
                <w:highlight w:val="yellow"/>
              </w:rPr>
            </w:pPr>
            <w:r w:rsidRPr="00563316">
              <w:rPr>
                <w:highlight w:val="yellow"/>
              </w:rPr>
              <w:t>CEA/CUA</w:t>
            </w:r>
          </w:p>
        </w:tc>
      </w:tr>
    </w:tbl>
    <w:p w14:paraId="1CB9C9B3" w14:textId="77777777" w:rsidR="000939E0" w:rsidRPr="00490FBB" w:rsidRDefault="000939E0" w:rsidP="005D2150">
      <w:pPr>
        <w:pStyle w:val="Tablenotes"/>
        <w:keepNext/>
        <w:spacing w:before="120" w:after="240"/>
        <w:rPr>
          <w:szCs w:val="18"/>
        </w:rPr>
      </w:pPr>
      <w:r w:rsidRPr="00EF76F8">
        <w:rPr>
          <w:szCs w:val="18"/>
        </w:rPr>
        <w:t>CEA=cost-effectiveness analysis; CMA=cost-minimisation analysis; CUA=cost-utility analysis</w:t>
      </w:r>
      <w:r w:rsidR="00721C64" w:rsidRPr="00EF76F8">
        <w:rPr>
          <w:szCs w:val="18"/>
        </w:rPr>
        <w:tab/>
      </w:r>
      <w:r w:rsidR="00721C64" w:rsidRPr="00EF76F8">
        <w:rPr>
          <w:szCs w:val="18"/>
        </w:rPr>
        <w:br/>
      </w:r>
      <w:r w:rsidRPr="00EF76F8">
        <w:rPr>
          <w:szCs w:val="18"/>
        </w:rPr>
        <w:t xml:space="preserve">? = reflect uncertainties and any identified health trade-offs in the economic evaluation, as a minimum in a cost-consequences analysis </w:t>
      </w:r>
      <w:r w:rsidR="00721C64" w:rsidRPr="00EF76F8">
        <w:rPr>
          <w:szCs w:val="18"/>
        </w:rPr>
        <w:tab/>
      </w:r>
      <w:r w:rsidR="00721C64" w:rsidRPr="00EF76F8">
        <w:rPr>
          <w:szCs w:val="18"/>
        </w:rPr>
        <w:br/>
      </w:r>
      <w:r w:rsidRPr="00EF76F8">
        <w:rPr>
          <w:szCs w:val="18"/>
          <w:vertAlign w:val="superscript"/>
        </w:rPr>
        <w:t>a</w:t>
      </w:r>
      <w:r w:rsidRPr="00EF76F8">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r w:rsidR="00721C64" w:rsidRPr="00EF76F8">
        <w:rPr>
          <w:szCs w:val="18"/>
        </w:rPr>
        <w:tab/>
      </w:r>
      <w:r w:rsidR="00721C64" w:rsidRPr="00EF76F8">
        <w:rPr>
          <w:szCs w:val="18"/>
        </w:rPr>
        <w:br/>
      </w:r>
      <w:r w:rsidRPr="00EF76F8">
        <w:rPr>
          <w:szCs w:val="18"/>
          <w:vertAlign w:val="superscript"/>
        </w:rPr>
        <w:t>b</w:t>
      </w:r>
      <w:r w:rsidRPr="00EF76F8">
        <w:rPr>
          <w:szCs w:val="18"/>
        </w:rPr>
        <w:t> An adequate assessment of ‘noninferiority’ is the preferred basis for demonstrating equivalence</w:t>
      </w:r>
    </w:p>
    <w:p w14:paraId="7C02EBD1" w14:textId="6A0AFD09" w:rsidR="005D2150" w:rsidRDefault="005D2150" w:rsidP="005D2150">
      <w:pPr>
        <w:spacing w:after="240"/>
      </w:pPr>
      <w:r w:rsidRPr="00081A62">
        <w:t xml:space="preserve">The superiority claim does not form the basis of a higher fee for the requested item. The higher complexity for this item if listed (five basic units) was previously </w:t>
      </w:r>
      <w:r w:rsidR="00DC47DB">
        <w:t xml:space="preserve">supported </w:t>
      </w:r>
      <w:r>
        <w:t xml:space="preserve">by ESC </w:t>
      </w:r>
      <w:r w:rsidRPr="00081A62">
        <w:t xml:space="preserve">in </w:t>
      </w:r>
      <w:r w:rsidR="00021C68">
        <w:t>A</w:t>
      </w:r>
      <w:r w:rsidRPr="00081A62">
        <w:t>pplication 1308 and does not need to be established via a superiority claim.</w:t>
      </w:r>
      <w:r>
        <w:t xml:space="preserve"> Nevertheless, demonstration of superiority (instead of non-inferiority) compared with the single injection nerve block item could address MSAC’s request to show higher value nerve blocks. </w:t>
      </w:r>
    </w:p>
    <w:p w14:paraId="43BAD731" w14:textId="429A4193" w:rsidR="0051154A" w:rsidRDefault="00120A87" w:rsidP="007E5300">
      <w:pPr>
        <w:spacing w:after="240"/>
      </w:pPr>
      <w:r>
        <w:t>A</w:t>
      </w:r>
      <w:r w:rsidR="007E5300">
        <w:t xml:space="preserve">pplication 1308 presented three exemplar nerves (one for each type of nerve block) and based the claims and </w:t>
      </w:r>
      <w:r w:rsidR="00351EAF">
        <w:t xml:space="preserve">evaluation </w:t>
      </w:r>
      <w:r w:rsidR="007E5300">
        <w:t xml:space="preserve">around those examples. This application </w:t>
      </w:r>
      <w:r w:rsidR="0051154A">
        <w:t>will</w:t>
      </w:r>
      <w:r w:rsidR="007E5300">
        <w:t xml:space="preserve"> be more focused</w:t>
      </w:r>
      <w:r w:rsidR="00351EAF">
        <w:t>,</w:t>
      </w:r>
      <w:r w:rsidR="0051154A">
        <w:t xml:space="preserve"> as follows:</w:t>
      </w:r>
    </w:p>
    <w:p w14:paraId="63E35F75" w14:textId="12063461" w:rsidR="0051154A" w:rsidRDefault="007E5300" w:rsidP="0051154A">
      <w:pPr>
        <w:pStyle w:val="ListParagraph"/>
        <w:numPr>
          <w:ilvl w:val="0"/>
          <w:numId w:val="28"/>
        </w:numPr>
        <w:spacing w:after="240"/>
      </w:pPr>
      <w:r>
        <w:t>it only seeks funding for continuous nerve block</w:t>
      </w:r>
      <w:r w:rsidR="00120A87">
        <w:t>;</w:t>
      </w:r>
    </w:p>
    <w:p w14:paraId="5DB30EBE" w14:textId="4533EBE3" w:rsidR="0051154A" w:rsidRDefault="0051154A" w:rsidP="0051154A">
      <w:pPr>
        <w:pStyle w:val="ListParagraph"/>
        <w:numPr>
          <w:ilvl w:val="0"/>
          <w:numId w:val="28"/>
        </w:numPr>
        <w:spacing w:after="240"/>
      </w:pPr>
      <w:r>
        <w:t>the item is proposed for all peripheral nerves</w:t>
      </w:r>
      <w:r w:rsidR="00120A87">
        <w:t>; and</w:t>
      </w:r>
    </w:p>
    <w:p w14:paraId="3E52F767" w14:textId="347968BF" w:rsidR="0051154A" w:rsidRDefault="007E5300" w:rsidP="0051154A">
      <w:pPr>
        <w:pStyle w:val="ListParagraph"/>
        <w:numPr>
          <w:ilvl w:val="0"/>
          <w:numId w:val="28"/>
        </w:numPr>
        <w:spacing w:after="240"/>
      </w:pPr>
      <w:r>
        <w:t>there is now a single main comparator listed on the MBS</w:t>
      </w:r>
      <w:r w:rsidR="00F73FA5">
        <w:t>, which also covers all peripheral nerves</w:t>
      </w:r>
      <w:r w:rsidR="00120A87">
        <w:t>.</w:t>
      </w:r>
    </w:p>
    <w:p w14:paraId="49F35894" w14:textId="4307332C" w:rsidR="007E5300" w:rsidRDefault="00351EAF" w:rsidP="007E5300">
      <w:pPr>
        <w:spacing w:after="240"/>
      </w:pPr>
      <w:r>
        <w:t>T</w:t>
      </w:r>
      <w:r w:rsidR="007E5300">
        <w:t>he evidence search can encompass continuous nerve block for analgesia of any nerve (</w:t>
      </w:r>
      <w:r>
        <w:t>per</w:t>
      </w:r>
      <w:r w:rsidR="007E5300">
        <w:t xml:space="preserve"> examples in </w:t>
      </w:r>
      <w:r w:rsidR="007E5300">
        <w:fldChar w:fldCharType="begin"/>
      </w:r>
      <w:r w:rsidR="007E5300">
        <w:instrText xml:space="preserve"> REF _Ref127781272 \h </w:instrText>
      </w:r>
      <w:r w:rsidR="007E5300">
        <w:fldChar w:fldCharType="separate"/>
      </w:r>
      <w:r w:rsidR="00B65CEE" w:rsidRPr="001617CE">
        <w:rPr>
          <w:rFonts w:cstheme="minorHAnsi"/>
        </w:rPr>
        <w:t>Table </w:t>
      </w:r>
      <w:r w:rsidR="00B65CEE">
        <w:rPr>
          <w:rFonts w:cstheme="minorHAnsi"/>
          <w:noProof/>
        </w:rPr>
        <w:t>8</w:t>
      </w:r>
      <w:r w:rsidR="007E5300">
        <w:fldChar w:fldCharType="end"/>
      </w:r>
      <w:r w:rsidR="007E5300">
        <w:t xml:space="preserve">). Comparative evidence of continuous block versus a secondary comparator (systemic opioids or epidural) could be included as supportive if the evidence for the main comparator is limited. This could be a decision based on the results of the literature search made during the </w:t>
      </w:r>
      <w:r w:rsidR="00606CE5">
        <w:t>A</w:t>
      </w:r>
      <w:r w:rsidR="007E5300">
        <w:t xml:space="preserve">ssessment </w:t>
      </w:r>
      <w:r w:rsidR="00606CE5">
        <w:t>R</w:t>
      </w:r>
      <w:r w:rsidR="007E5300">
        <w:t xml:space="preserve">eport compilation. </w:t>
      </w:r>
    </w:p>
    <w:p w14:paraId="666685A7" w14:textId="6C6423A0" w:rsidR="009E3A5F" w:rsidRDefault="009E3A5F" w:rsidP="009E3A5F">
      <w:r w:rsidRPr="00886517">
        <w:t xml:space="preserve">The applicant claims the proposed intervention is less costly than a single injection nerve block based on savings to the hospital system while also noting that the catheter kits are more expensive than the kits for the single injection nerve block. None of these will be savings to Medicare or the Commonwealth. Savings to the hospital system will either </w:t>
      </w:r>
      <w:r>
        <w:t>be</w:t>
      </w:r>
      <w:r w:rsidRPr="00886517">
        <w:t xml:space="preserve"> savings to State and Territory health budgets (for private patients in public hospitals)</w:t>
      </w:r>
      <w:r>
        <w:t>,</w:t>
      </w:r>
      <w:r w:rsidRPr="00886517">
        <w:t xml:space="preserve"> to private hospitals, or</w:t>
      </w:r>
      <w:r>
        <w:t xml:space="preserve"> to</w:t>
      </w:r>
      <w:r w:rsidRPr="00886517">
        <w:t xml:space="preserve"> private hospital patients</w:t>
      </w:r>
      <w:r>
        <w:t xml:space="preserve"> themselves</w:t>
      </w:r>
      <w:r w:rsidRPr="00886517">
        <w:t>.</w:t>
      </w:r>
      <w:r>
        <w:t xml:space="preserve"> </w:t>
      </w:r>
      <w:r w:rsidR="00B44A91">
        <w:t xml:space="preserve">Note that PBS medicines </w:t>
      </w:r>
      <w:r w:rsidR="00B44A91">
        <w:lastRenderedPageBreak/>
        <w:t xml:space="preserve">cannot be </w:t>
      </w:r>
      <w:r w:rsidR="00505883">
        <w:t xml:space="preserve">funded </w:t>
      </w:r>
      <w:r w:rsidR="00FC2F9C">
        <w:t xml:space="preserve">by the Commonwealth </w:t>
      </w:r>
      <w:r w:rsidR="00B44A91">
        <w:t xml:space="preserve">for hospital in-patients, thus reduction in opioid or other analgesic use would still represent a saving to the States and Territories. In States and Territories where PBS medicines can be dispensed on discharge, reduced opioid or other analgesic dispensing may lead to a saving to the Commonwealth in the event that continuous nerve block is listed. </w:t>
      </w:r>
    </w:p>
    <w:p w14:paraId="0F664125" w14:textId="77777777" w:rsidR="00A7105C" w:rsidRPr="00DE762F" w:rsidRDefault="00A7105C" w:rsidP="00A7105C">
      <w:pPr>
        <w:pStyle w:val="Heading2"/>
      </w:pPr>
      <w:bookmarkStart w:id="38" w:name="_Ref129165378"/>
      <w:r w:rsidRPr="00DE762F">
        <w:t>Proposal for public funding</w:t>
      </w:r>
      <w:bookmarkEnd w:id="38"/>
    </w:p>
    <w:p w14:paraId="35949103" w14:textId="7BE882ED" w:rsidR="00B81182" w:rsidRPr="00D759FF" w:rsidRDefault="00C84E24" w:rsidP="00C84E24">
      <w:pPr>
        <w:spacing w:after="240"/>
      </w:pPr>
      <w:r w:rsidRPr="00D759FF">
        <w:t xml:space="preserve">This application </w:t>
      </w:r>
      <w:r w:rsidR="0041170C" w:rsidRPr="00D759FF">
        <w:t xml:space="preserve">is relevant to </w:t>
      </w:r>
      <w:r w:rsidRPr="00D759FF">
        <w:t>private patients</w:t>
      </w:r>
      <w:r w:rsidR="0041170C" w:rsidRPr="00D759FF">
        <w:t xml:space="preserve"> only</w:t>
      </w:r>
      <w:r w:rsidR="00B40978" w:rsidRPr="00D759FF">
        <w:t xml:space="preserve">, either </w:t>
      </w:r>
      <w:r w:rsidRPr="00D759FF">
        <w:t>in public hospitals</w:t>
      </w:r>
      <w:r w:rsidR="00B40978" w:rsidRPr="00D759FF">
        <w:t xml:space="preserve"> </w:t>
      </w:r>
      <w:r w:rsidR="0041170C" w:rsidRPr="00D759FF">
        <w:t>(</w:t>
      </w:r>
      <w:r w:rsidR="00B40978" w:rsidRPr="00D759FF">
        <w:t xml:space="preserve">where the services </w:t>
      </w:r>
      <w:r w:rsidR="008065F0">
        <w:t>would most likely</w:t>
      </w:r>
      <w:r w:rsidR="008065F0" w:rsidRPr="00D759FF">
        <w:t xml:space="preserve"> </w:t>
      </w:r>
      <w:r w:rsidR="00B40978" w:rsidRPr="00D759FF">
        <w:t>be bulk-billed to Medicare</w:t>
      </w:r>
      <w:r w:rsidR="0041170C" w:rsidRPr="00D759FF">
        <w:t>)</w:t>
      </w:r>
      <w:r w:rsidR="00B40978" w:rsidRPr="00D759FF">
        <w:t xml:space="preserve">, or in private hospitals </w:t>
      </w:r>
      <w:r w:rsidR="0041170C" w:rsidRPr="00D759FF">
        <w:t>(</w:t>
      </w:r>
      <w:r w:rsidR="00B40978" w:rsidRPr="00D759FF">
        <w:t>where the patient pays the costs</w:t>
      </w:r>
      <w:r w:rsidR="00B36463" w:rsidRPr="00D759FF">
        <w:t>, absorbing any gap,</w:t>
      </w:r>
      <w:r w:rsidR="00B40978" w:rsidRPr="00D759FF">
        <w:t xml:space="preserve"> and</w:t>
      </w:r>
      <w:r w:rsidR="002E7CE2" w:rsidRPr="00D759FF">
        <w:t xml:space="preserve"> the fee</w:t>
      </w:r>
      <w:r w:rsidR="00B40978" w:rsidRPr="00D759FF">
        <w:t xml:space="preserve"> is </w:t>
      </w:r>
      <w:r w:rsidR="00D124BB" w:rsidRPr="00D759FF">
        <w:t>rebated by Medicare less the 25% co-payment</w:t>
      </w:r>
      <w:r w:rsidR="00B36463" w:rsidRPr="00D759FF">
        <w:t>)</w:t>
      </w:r>
      <w:r w:rsidR="00D124BB" w:rsidRPr="00D759FF">
        <w:t>.</w:t>
      </w:r>
      <w:r w:rsidR="00DB7ACF" w:rsidRPr="00D759FF">
        <w:t xml:space="preserve"> </w:t>
      </w:r>
    </w:p>
    <w:p w14:paraId="0873938D" w14:textId="59F108B4" w:rsidR="00C84E24" w:rsidRDefault="00DB7ACF" w:rsidP="00C84E24">
      <w:pPr>
        <w:spacing w:after="240"/>
      </w:pPr>
      <w:r w:rsidRPr="00D759FF">
        <w:t>Furthermore, for private patients in public hospitals, an anaesthetist may only claim a benefit for an RVG item if they are working in that public hospital as part of their private practice, and not as an employee of the public hospital (intern</w:t>
      </w:r>
      <w:r w:rsidR="009131D6">
        <w:t xml:space="preserve"> or</w:t>
      </w:r>
      <w:r w:rsidRPr="00D759FF">
        <w:t xml:space="preserve"> registrar</w:t>
      </w:r>
      <w:r w:rsidR="009131D6">
        <w:t>, per</w:t>
      </w:r>
      <w:r w:rsidRPr="00D759FF">
        <w:t xml:space="preserve"> MBS Schedule general explanatory note GN.12.30).</w:t>
      </w:r>
    </w:p>
    <w:p w14:paraId="28A547C2" w14:textId="659A2BC4" w:rsidR="00E03BE3" w:rsidRPr="00D762EA" w:rsidRDefault="00E03BE3" w:rsidP="00C84E24">
      <w:pPr>
        <w:spacing w:after="240"/>
        <w:rPr>
          <w:i/>
        </w:rPr>
      </w:pPr>
      <w:r w:rsidRPr="00D762EA">
        <w:rPr>
          <w:i/>
        </w:rPr>
        <w:t>PASC noted it is not clear what the current funding arrangements are for patients currently receiving continuous nerve block</w:t>
      </w:r>
      <w:r w:rsidR="00AA1876" w:rsidRPr="00D762EA">
        <w:rPr>
          <w:i/>
        </w:rPr>
        <w:t>s</w:t>
      </w:r>
      <w:r w:rsidRPr="00D762EA">
        <w:rPr>
          <w:i/>
        </w:rPr>
        <w:t xml:space="preserve">. This remains an issue for </w:t>
      </w:r>
      <w:r w:rsidR="00CC455A" w:rsidRPr="00D762EA">
        <w:rPr>
          <w:i/>
        </w:rPr>
        <w:t xml:space="preserve">clarification in </w:t>
      </w:r>
      <w:r w:rsidRPr="00D762EA">
        <w:rPr>
          <w:i/>
        </w:rPr>
        <w:t xml:space="preserve">the </w:t>
      </w:r>
      <w:r w:rsidR="00606CE5" w:rsidRPr="00D762EA">
        <w:rPr>
          <w:i/>
        </w:rPr>
        <w:t>A</w:t>
      </w:r>
      <w:r w:rsidRPr="00D762EA">
        <w:rPr>
          <w:i/>
        </w:rPr>
        <w:t xml:space="preserve">ssessment </w:t>
      </w:r>
      <w:r w:rsidR="00606CE5" w:rsidRPr="00D762EA">
        <w:rPr>
          <w:i/>
        </w:rPr>
        <w:t>R</w:t>
      </w:r>
      <w:r w:rsidRPr="00D762EA">
        <w:rPr>
          <w:i/>
        </w:rPr>
        <w:t xml:space="preserve">eport. </w:t>
      </w:r>
    </w:p>
    <w:p w14:paraId="58ACFCF5" w14:textId="77777777" w:rsidR="00C12D75" w:rsidRDefault="00C12D75" w:rsidP="00C12D75">
      <w:pPr>
        <w:pStyle w:val="Heading3"/>
      </w:pPr>
      <w:r>
        <w:t>Type of item change, complexity and fee</w:t>
      </w:r>
    </w:p>
    <w:p w14:paraId="3A72D63C" w14:textId="454BDF7F" w:rsidR="00A7105C" w:rsidRPr="00DE762F" w:rsidRDefault="00B83F70" w:rsidP="00C12D75">
      <w:pPr>
        <w:pStyle w:val="Heading4"/>
      </w:pPr>
      <w:r>
        <w:t>Place in the Schedule</w:t>
      </w:r>
    </w:p>
    <w:p w14:paraId="2BD204E1" w14:textId="65380ECB" w:rsidR="00A545CC" w:rsidRDefault="00EB057F" w:rsidP="004447E5">
      <w:r>
        <w:t xml:space="preserve">The relevant section of the Schedule and the group of </w:t>
      </w:r>
      <w:r w:rsidR="002B38B2">
        <w:t xml:space="preserve">MBS nerve block </w:t>
      </w:r>
      <w:r>
        <w:t xml:space="preserve">items </w:t>
      </w:r>
      <w:r w:rsidR="002B38B2">
        <w:t>where</w:t>
      </w:r>
      <w:r w:rsidR="00A41E46">
        <w:t xml:space="preserve"> the new item </w:t>
      </w:r>
      <w:r w:rsidR="00E54D27">
        <w:t xml:space="preserve">is proposed to </w:t>
      </w:r>
      <w:r w:rsidR="002B38B2">
        <w:t>be listed</w:t>
      </w:r>
      <w:r w:rsidR="0051266D">
        <w:t xml:space="preserve">, that is Group T10 </w:t>
      </w:r>
      <w:r w:rsidR="00DF2EEC">
        <w:t xml:space="preserve">of </w:t>
      </w:r>
      <w:r w:rsidR="0051266D">
        <w:t>the RVG,</w:t>
      </w:r>
      <w:r w:rsidR="002B38B2">
        <w:t xml:space="preserve"> </w:t>
      </w:r>
      <w:r w:rsidR="00427436" w:rsidRPr="00EE384A">
        <w:t>is presented in</w:t>
      </w:r>
      <w:r w:rsidR="005F22B9">
        <w:t xml:space="preserve"> </w:t>
      </w:r>
      <w:r w:rsidR="00C47576">
        <w:fldChar w:fldCharType="begin"/>
      </w:r>
      <w:r w:rsidR="00C47576">
        <w:instrText xml:space="preserve"> REF _Ref130047246 \h </w:instrText>
      </w:r>
      <w:r w:rsidR="00C47576">
        <w:fldChar w:fldCharType="separate"/>
      </w:r>
      <w:r w:rsidR="00B65CEE">
        <w:t xml:space="preserve">Table </w:t>
      </w:r>
      <w:r w:rsidR="00B65CEE">
        <w:rPr>
          <w:noProof/>
        </w:rPr>
        <w:t>2</w:t>
      </w:r>
      <w:r w:rsidR="00C47576">
        <w:fldChar w:fldCharType="end"/>
      </w:r>
      <w:r w:rsidR="00427436" w:rsidRPr="00EE384A">
        <w:t xml:space="preserve">, </w:t>
      </w:r>
      <w:r w:rsidR="002E7CE2">
        <w:t>in</w:t>
      </w:r>
      <w:r w:rsidR="000E356C">
        <w:t xml:space="preserve"> </w:t>
      </w:r>
      <w:r w:rsidR="00C47576">
        <w:t>‘</w:t>
      </w:r>
      <w:r w:rsidR="000E356C">
        <w:fldChar w:fldCharType="begin"/>
      </w:r>
      <w:r w:rsidR="000E356C">
        <w:instrText xml:space="preserve"> REF _Ref126925622 \h </w:instrText>
      </w:r>
      <w:r w:rsidR="000E356C">
        <w:fldChar w:fldCharType="separate"/>
      </w:r>
      <w:r w:rsidR="00B65CEE">
        <w:t>Purpose of application</w:t>
      </w:r>
      <w:r w:rsidR="000E356C">
        <w:fldChar w:fldCharType="end"/>
      </w:r>
      <w:r w:rsidR="00C47576">
        <w:t>’</w:t>
      </w:r>
      <w:r w:rsidR="00A41E46">
        <w:t xml:space="preserve">. </w:t>
      </w:r>
    </w:p>
    <w:p w14:paraId="3CCF3770" w14:textId="4EF459C1" w:rsidR="00110C40" w:rsidRDefault="00110C40" w:rsidP="00110C40">
      <w:pPr>
        <w:spacing w:after="240"/>
      </w:pPr>
      <w:r>
        <w:t xml:space="preserve">The applicant states </w:t>
      </w:r>
      <w:r w:rsidR="00A0286C">
        <w:t xml:space="preserve">the </w:t>
      </w:r>
      <w:r>
        <w:t xml:space="preserve">proposed item will always be provided with anaesthesia and will be co-claimed with other eligible items, consistent with rules for </w:t>
      </w:r>
      <w:r w:rsidR="002E7CE2">
        <w:t xml:space="preserve">other </w:t>
      </w:r>
      <w:r>
        <w:t xml:space="preserve">RVG nerve block items. </w:t>
      </w:r>
    </w:p>
    <w:p w14:paraId="7E86F1A8" w14:textId="25AE698A" w:rsidR="00C12D75" w:rsidRPr="00390B85" w:rsidRDefault="00936A1C" w:rsidP="00C12D75">
      <w:pPr>
        <w:pStyle w:val="Heading4"/>
      </w:pPr>
      <w:r>
        <w:t>Type of</w:t>
      </w:r>
      <w:r w:rsidR="00C12D75">
        <w:t xml:space="preserve"> item</w:t>
      </w:r>
      <w:r>
        <w:t xml:space="preserve"> change</w:t>
      </w:r>
    </w:p>
    <w:p w14:paraId="19F1C81A" w14:textId="73B5A3B1" w:rsidR="00C12D75" w:rsidRDefault="00C12D75" w:rsidP="00C12D75">
      <w:r>
        <w:t xml:space="preserve">This proposed use will require a new item. </w:t>
      </w:r>
      <w:r w:rsidR="00120A87">
        <w:t>T</w:t>
      </w:r>
      <w:r>
        <w:t xml:space="preserve">he MSAC consideration of </w:t>
      </w:r>
      <w:r w:rsidR="00120A87">
        <w:t>A</w:t>
      </w:r>
      <w:r>
        <w:t xml:space="preserve">pplication 1308 and the </w:t>
      </w:r>
      <w:r w:rsidR="003404F2">
        <w:t xml:space="preserve">report from the </w:t>
      </w:r>
      <w:r>
        <w:t>MBS Review</w:t>
      </w:r>
      <w:r w:rsidR="003404F2">
        <w:t>’s</w:t>
      </w:r>
      <w:r>
        <w:t xml:space="preserve"> </w:t>
      </w:r>
      <w:r w:rsidR="003404F2">
        <w:t>Anaesthesia Clinical Committee</w:t>
      </w:r>
      <w:r>
        <w:t xml:space="preserve"> determined that a continuous nerve block should have a higher complexity</w:t>
      </w:r>
      <w:r w:rsidR="00BC2FB5">
        <w:t>,</w:t>
      </w:r>
      <w:r>
        <w:t xml:space="preserve"> and a different item</w:t>
      </w:r>
      <w:r w:rsidR="00BC2FB5">
        <w:t>,</w:t>
      </w:r>
      <w:r>
        <w:t xml:space="preserve"> than</w:t>
      </w:r>
      <w:r w:rsidR="00BC2FB5">
        <w:t xml:space="preserve"> </w:t>
      </w:r>
      <w:r>
        <w:t xml:space="preserve">single injection nerve block. </w:t>
      </w:r>
    </w:p>
    <w:p w14:paraId="5597EE7F" w14:textId="6ECB132E" w:rsidR="00A545CC" w:rsidRPr="00DE762F" w:rsidRDefault="00A545CC" w:rsidP="00936A1C">
      <w:pPr>
        <w:pStyle w:val="Heading4"/>
      </w:pPr>
      <w:r>
        <w:t xml:space="preserve">Draft item and </w:t>
      </w:r>
      <w:r w:rsidR="00BA2690">
        <w:t xml:space="preserve">descriptor </w:t>
      </w:r>
      <w:r>
        <w:t>wording</w:t>
      </w:r>
    </w:p>
    <w:p w14:paraId="4ADD3C2C" w14:textId="690C5281" w:rsidR="004447E5" w:rsidRDefault="00ED4DF6" w:rsidP="004447E5">
      <w:r>
        <w:t xml:space="preserve">A </w:t>
      </w:r>
      <w:r w:rsidR="0051023F">
        <w:t>draft</w:t>
      </w:r>
      <w:r>
        <w:t xml:space="preserve"> item </w:t>
      </w:r>
      <w:r w:rsidR="00C23896">
        <w:t xml:space="preserve">descriptor </w:t>
      </w:r>
      <w:r>
        <w:t xml:space="preserve">is presented </w:t>
      </w:r>
      <w:r w:rsidR="0015433F">
        <w:t xml:space="preserve">in </w:t>
      </w:r>
      <w:r w:rsidR="0015433F">
        <w:fldChar w:fldCharType="begin"/>
      </w:r>
      <w:r w:rsidR="0015433F">
        <w:instrText xml:space="preserve"> REF _Ref132977014 \h </w:instrText>
      </w:r>
      <w:r w:rsidR="0015433F">
        <w:fldChar w:fldCharType="separate"/>
      </w:r>
      <w:r w:rsidR="00B65CEE">
        <w:t xml:space="preserve">Table </w:t>
      </w:r>
      <w:r w:rsidR="00B65CEE">
        <w:rPr>
          <w:noProof/>
        </w:rPr>
        <w:t>15</w:t>
      </w:r>
      <w:r w:rsidR="0015433F">
        <w:fldChar w:fldCharType="end"/>
      </w:r>
      <w:r>
        <w:t>, b</w:t>
      </w:r>
      <w:r w:rsidR="000E356C">
        <w:t xml:space="preserve">ased on </w:t>
      </w:r>
      <w:r w:rsidR="0025004E">
        <w:t xml:space="preserve">wording of </w:t>
      </w:r>
      <w:r w:rsidR="000E356C">
        <w:t>existing</w:t>
      </w:r>
      <w:r w:rsidR="0025004E">
        <w:t xml:space="preserve"> </w:t>
      </w:r>
      <w:r w:rsidR="00264402">
        <w:t>Group T10 /</w:t>
      </w:r>
      <w:r w:rsidR="0025004E">
        <w:t xml:space="preserve"> </w:t>
      </w:r>
      <w:r w:rsidR="00264402">
        <w:t>RVG</w:t>
      </w:r>
      <w:r w:rsidR="000E356C">
        <w:t xml:space="preserve"> </w:t>
      </w:r>
      <w:r w:rsidR="00B219D4">
        <w:t xml:space="preserve">items </w:t>
      </w:r>
      <w:r w:rsidR="00457AF5" w:rsidRPr="00264402">
        <w:rPr>
          <w:i/>
        </w:rPr>
        <w:t>Nerve or Plexus Blocks for Post Operative Pain</w:t>
      </w:r>
      <w:r w:rsidR="004D2E44">
        <w:t xml:space="preserve">, </w:t>
      </w:r>
      <w:r w:rsidR="00191C5E">
        <w:t xml:space="preserve">and </w:t>
      </w:r>
      <w:r w:rsidR="00125979">
        <w:t>adapted from the applicant’s proposed wording</w:t>
      </w:r>
      <w:r w:rsidR="00457AF5">
        <w:t xml:space="preserve">. </w:t>
      </w:r>
    </w:p>
    <w:p w14:paraId="1A949C79" w14:textId="0FBC8DE2" w:rsidR="00487339" w:rsidRPr="00795D6E" w:rsidRDefault="00BE3E5B" w:rsidP="00BE3E5B">
      <w:pPr>
        <w:pStyle w:val="Caption"/>
        <w:rPr>
          <w:i/>
          <w:iCs/>
        </w:rPr>
      </w:pPr>
      <w:bookmarkStart w:id="39" w:name="_Ref132977014"/>
      <w:r>
        <w:t xml:space="preserve">Table </w:t>
      </w:r>
      <w:r>
        <w:fldChar w:fldCharType="begin"/>
      </w:r>
      <w:r>
        <w:instrText xml:space="preserve"> SEQ Table \* ARABIC </w:instrText>
      </w:r>
      <w:r>
        <w:fldChar w:fldCharType="separate"/>
      </w:r>
      <w:r w:rsidR="00B65CEE">
        <w:rPr>
          <w:noProof/>
        </w:rPr>
        <w:t>15</w:t>
      </w:r>
      <w:r>
        <w:fldChar w:fldCharType="end"/>
      </w:r>
      <w:bookmarkEnd w:id="39"/>
      <w:r w:rsidR="00FD321B">
        <w:tab/>
        <w:t>Proposed item descriptor</w:t>
      </w:r>
    </w:p>
    <w:tbl>
      <w:tblPr>
        <w:tblStyle w:val="TableGrid"/>
        <w:tblW w:w="0" w:type="auto"/>
        <w:tblInd w:w="0" w:type="dxa"/>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242"/>
      </w:tblGrid>
      <w:tr w:rsidR="002F3E40" w:rsidRPr="00D2670B" w14:paraId="4034848D"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hideMark/>
          </w:tcPr>
          <w:p w14:paraId="6DF614EC" w14:textId="77777777" w:rsidR="002F3E40" w:rsidRDefault="002F3E40" w:rsidP="00D2670B">
            <w:pPr>
              <w:spacing w:before="40" w:after="40" w:line="240" w:lineRule="auto"/>
              <w:rPr>
                <w:rFonts w:ascii="Arial Narrow" w:hAnsi="Arial Narrow"/>
                <w:sz w:val="20"/>
                <w:szCs w:val="20"/>
              </w:rPr>
            </w:pPr>
            <w:r w:rsidRPr="00C22B79">
              <w:rPr>
                <w:rFonts w:ascii="Arial Narrow" w:hAnsi="Arial Narrow"/>
                <w:sz w:val="20"/>
                <w:szCs w:val="20"/>
              </w:rPr>
              <w:t xml:space="preserve">Category </w:t>
            </w:r>
            <w:r w:rsidR="00C22B79" w:rsidRPr="00C22B79">
              <w:rPr>
                <w:rFonts w:ascii="Arial Narrow" w:hAnsi="Arial Narrow"/>
                <w:sz w:val="20"/>
                <w:szCs w:val="20"/>
              </w:rPr>
              <w:t>3</w:t>
            </w:r>
            <w:r w:rsidRPr="00C22B79">
              <w:rPr>
                <w:rFonts w:ascii="Arial Narrow" w:hAnsi="Arial Narrow"/>
                <w:sz w:val="20"/>
                <w:szCs w:val="20"/>
              </w:rPr>
              <w:t xml:space="preserve"> – </w:t>
            </w:r>
            <w:r w:rsidR="007A5924" w:rsidRPr="00C22B79">
              <w:rPr>
                <w:rFonts w:ascii="Arial Narrow" w:hAnsi="Arial Narrow"/>
                <w:sz w:val="20"/>
                <w:szCs w:val="20"/>
              </w:rPr>
              <w:t>THERAPEUTIC PROCEDURES</w:t>
            </w:r>
          </w:p>
          <w:p w14:paraId="5D778E1F" w14:textId="77777777" w:rsidR="001C05EC" w:rsidRPr="001C05EC" w:rsidRDefault="001C05EC" w:rsidP="001C05EC">
            <w:pPr>
              <w:spacing w:before="40" w:after="40" w:line="240" w:lineRule="auto"/>
              <w:rPr>
                <w:rFonts w:ascii="Arial Narrow" w:hAnsi="Arial Narrow"/>
                <w:sz w:val="20"/>
                <w:szCs w:val="20"/>
              </w:rPr>
            </w:pPr>
            <w:r w:rsidRPr="001C05EC">
              <w:rPr>
                <w:rFonts w:ascii="Arial Narrow" w:hAnsi="Arial Narrow"/>
                <w:sz w:val="20"/>
                <w:szCs w:val="20"/>
              </w:rPr>
              <w:t>GroupT10 - Relative Value Guide For Anaesthesia - Medicare Benefits Are Only Payable For Anaesthesia Performed In Association With An Eligible Service</w:t>
            </w:r>
          </w:p>
          <w:p w14:paraId="171FF631" w14:textId="4E943013" w:rsidR="002F3E40" w:rsidRPr="00C22B79" w:rsidRDefault="001C05EC" w:rsidP="00D2670B">
            <w:pPr>
              <w:spacing w:before="40" w:after="40" w:line="240" w:lineRule="auto"/>
              <w:rPr>
                <w:rFonts w:ascii="Arial Narrow" w:hAnsi="Arial Narrow"/>
                <w:sz w:val="20"/>
                <w:szCs w:val="20"/>
              </w:rPr>
            </w:pPr>
            <w:r w:rsidRPr="001C05EC">
              <w:rPr>
                <w:rFonts w:ascii="Arial Narrow" w:hAnsi="Arial Narrow"/>
                <w:sz w:val="20"/>
                <w:szCs w:val="20"/>
              </w:rPr>
              <w:t>Subgroup19 - Therapeutic And Diagnostic Services</w:t>
            </w:r>
          </w:p>
        </w:tc>
      </w:tr>
      <w:tr w:rsidR="002F3E40" w:rsidRPr="005771DC" w14:paraId="028C0CFB" w14:textId="77777777" w:rsidTr="002F3E40">
        <w:trPr>
          <w:cantSplit/>
          <w:tblHeader/>
        </w:trPr>
        <w:tc>
          <w:tcPr>
            <w:tcW w:w="9242" w:type="dxa"/>
            <w:tcBorders>
              <w:top w:val="single" w:sz="4" w:space="0" w:color="auto"/>
              <w:left w:val="single" w:sz="4" w:space="0" w:color="auto"/>
              <w:bottom w:val="single" w:sz="4" w:space="0" w:color="auto"/>
              <w:right w:val="single" w:sz="4" w:space="0" w:color="auto"/>
            </w:tcBorders>
          </w:tcPr>
          <w:p w14:paraId="279619C4" w14:textId="77777777" w:rsidR="004E6A18" w:rsidRPr="00DE762F" w:rsidRDefault="004E6A18" w:rsidP="004E6A18">
            <w:pPr>
              <w:spacing w:before="120" w:after="120" w:line="240" w:lineRule="auto"/>
              <w:rPr>
                <w:rFonts w:ascii="Arial Narrow" w:hAnsi="Arial Narrow"/>
                <w:sz w:val="20"/>
                <w:szCs w:val="20"/>
              </w:rPr>
            </w:pPr>
            <w:r w:rsidRPr="00DE762F">
              <w:rPr>
                <w:rFonts w:ascii="Arial Narrow" w:hAnsi="Arial Narrow"/>
                <w:sz w:val="20"/>
                <w:szCs w:val="20"/>
              </w:rPr>
              <w:t>MBS item XXXX</w:t>
            </w:r>
          </w:p>
          <w:p w14:paraId="43AFA61A" w14:textId="27A33BEF" w:rsidR="00C30FBE" w:rsidRPr="00C30FBE" w:rsidRDefault="00C30FBE" w:rsidP="00C30FBE">
            <w:pPr>
              <w:spacing w:before="120" w:after="120" w:line="240" w:lineRule="auto"/>
              <w:rPr>
                <w:rFonts w:ascii="Arial Narrow" w:hAnsi="Arial Narrow"/>
                <w:sz w:val="20"/>
                <w:szCs w:val="20"/>
              </w:rPr>
            </w:pPr>
            <w:r w:rsidRPr="00656C3F">
              <w:rPr>
                <w:rFonts w:ascii="Arial Narrow" w:hAnsi="Arial Narrow"/>
                <w:sz w:val="20"/>
                <w:szCs w:val="20"/>
              </w:rPr>
              <w:t>Perioperative</w:t>
            </w:r>
            <w:r w:rsidRPr="00C30FBE">
              <w:rPr>
                <w:rFonts w:ascii="Arial Narrow" w:hAnsi="Arial Narrow"/>
                <w:sz w:val="20"/>
                <w:szCs w:val="20"/>
              </w:rPr>
              <w:t xml:space="preserve"> introduction of a plexus or nerve block</w:t>
            </w:r>
            <w:r w:rsidR="003E700D">
              <w:rPr>
                <w:rFonts w:ascii="Arial Narrow" w:hAnsi="Arial Narrow"/>
                <w:sz w:val="20"/>
                <w:szCs w:val="20"/>
              </w:rPr>
              <w:t xml:space="preserve"> to a </w:t>
            </w:r>
            <w:r w:rsidR="003E700D" w:rsidRPr="00BD62A9">
              <w:rPr>
                <w:rFonts w:ascii="Arial Narrow" w:hAnsi="Arial Narrow"/>
                <w:sz w:val="20"/>
                <w:szCs w:val="20"/>
                <w:u w:val="single"/>
              </w:rPr>
              <w:t>peripheral</w:t>
            </w:r>
            <w:r w:rsidR="003E700D">
              <w:rPr>
                <w:rFonts w:ascii="Arial Narrow" w:hAnsi="Arial Narrow"/>
                <w:sz w:val="20"/>
                <w:szCs w:val="20"/>
              </w:rPr>
              <w:t xml:space="preserve"> nerve</w:t>
            </w:r>
            <w:r w:rsidR="00E701C6">
              <w:rPr>
                <w:rFonts w:ascii="Arial Narrow" w:hAnsi="Arial Narrow"/>
                <w:sz w:val="20"/>
                <w:szCs w:val="20"/>
              </w:rPr>
              <w:t>,</w:t>
            </w:r>
            <w:r w:rsidR="007D1B7D">
              <w:rPr>
                <w:rFonts w:ascii="Arial Narrow" w:hAnsi="Arial Narrow"/>
                <w:sz w:val="20"/>
                <w:szCs w:val="20"/>
              </w:rPr>
              <w:t xml:space="preserve"> </w:t>
            </w:r>
            <w:r w:rsidR="007D1B7D" w:rsidRPr="007D1B7D">
              <w:rPr>
                <w:rFonts w:ascii="Arial Narrow" w:hAnsi="Arial Narrow"/>
                <w:sz w:val="20"/>
                <w:szCs w:val="20"/>
              </w:rPr>
              <w:t xml:space="preserve">using an </w:t>
            </w:r>
            <w:r w:rsidR="007D1B7D" w:rsidRPr="003F16AA">
              <w:rPr>
                <w:rFonts w:ascii="Arial Narrow" w:hAnsi="Arial Narrow"/>
                <w:i/>
                <w:iCs/>
                <w:sz w:val="20"/>
                <w:szCs w:val="20"/>
              </w:rPr>
              <w:t>in</w:t>
            </w:r>
            <w:r w:rsidR="003F16AA" w:rsidRPr="003F16AA">
              <w:rPr>
                <w:rFonts w:ascii="Arial Narrow" w:hAnsi="Arial Narrow"/>
                <w:i/>
                <w:iCs/>
                <w:sz w:val="20"/>
                <w:szCs w:val="20"/>
              </w:rPr>
              <w:t xml:space="preserve"> </w:t>
            </w:r>
            <w:r w:rsidR="007D1B7D" w:rsidRPr="003F16AA">
              <w:rPr>
                <w:rFonts w:ascii="Arial Narrow" w:hAnsi="Arial Narrow"/>
                <w:i/>
                <w:iCs/>
                <w:sz w:val="20"/>
                <w:szCs w:val="20"/>
              </w:rPr>
              <w:t xml:space="preserve">situ </w:t>
            </w:r>
            <w:r w:rsidR="007D1B7D" w:rsidRPr="007D1B7D">
              <w:rPr>
                <w:rFonts w:ascii="Arial Narrow" w:hAnsi="Arial Narrow"/>
                <w:sz w:val="20"/>
                <w:szCs w:val="20"/>
              </w:rPr>
              <w:t>catheter</w:t>
            </w:r>
            <w:r w:rsidR="00E701C6" w:rsidRPr="00E701C6">
              <w:rPr>
                <w:rFonts w:ascii="Arial Narrow" w:hAnsi="Arial Narrow"/>
                <w:sz w:val="20"/>
                <w:szCs w:val="20"/>
              </w:rPr>
              <w:t xml:space="preserve"> in association with anaesthesia and surgery</w:t>
            </w:r>
            <w:r w:rsidR="00790ADC">
              <w:rPr>
                <w:rFonts w:ascii="Arial Narrow" w:hAnsi="Arial Narrow"/>
                <w:sz w:val="20"/>
                <w:szCs w:val="20"/>
              </w:rPr>
              <w:t>,</w:t>
            </w:r>
            <w:r w:rsidRPr="00C30FBE">
              <w:rPr>
                <w:rFonts w:ascii="Arial Narrow" w:hAnsi="Arial Narrow"/>
                <w:sz w:val="20"/>
                <w:szCs w:val="20"/>
              </w:rPr>
              <w:t xml:space="preserve"> for post operative pain management (</w:t>
            </w:r>
            <w:r>
              <w:rPr>
                <w:rFonts w:ascii="Arial Narrow" w:hAnsi="Arial Narrow"/>
                <w:sz w:val="20"/>
                <w:szCs w:val="20"/>
              </w:rPr>
              <w:t>5</w:t>
            </w:r>
            <w:r w:rsidRPr="00C30FBE">
              <w:rPr>
                <w:rFonts w:ascii="Arial Narrow" w:hAnsi="Arial Narrow"/>
                <w:sz w:val="20"/>
                <w:szCs w:val="20"/>
              </w:rPr>
              <w:t xml:space="preserve"> basic units)</w:t>
            </w:r>
            <w:r w:rsidR="00790ADC">
              <w:rPr>
                <w:rFonts w:ascii="Arial Narrow" w:hAnsi="Arial Narrow"/>
                <w:sz w:val="20"/>
                <w:szCs w:val="20"/>
              </w:rPr>
              <w:t>.</w:t>
            </w:r>
            <w:r w:rsidRPr="00C30FBE">
              <w:rPr>
                <w:rFonts w:ascii="Arial Narrow" w:hAnsi="Arial Narrow"/>
                <w:sz w:val="20"/>
                <w:szCs w:val="20"/>
              </w:rPr>
              <w:t xml:space="preserve"> </w:t>
            </w:r>
          </w:p>
          <w:p w14:paraId="5379CBCB" w14:textId="448410E2" w:rsidR="002F3E40" w:rsidRPr="00DE762F" w:rsidRDefault="00C30FBE" w:rsidP="00C30FBE">
            <w:pPr>
              <w:spacing w:before="120" w:after="120" w:line="240" w:lineRule="auto"/>
              <w:rPr>
                <w:rFonts w:ascii="Arial Narrow" w:hAnsi="Arial Narrow"/>
                <w:sz w:val="20"/>
                <w:szCs w:val="20"/>
              </w:rPr>
            </w:pPr>
            <w:r w:rsidRPr="00C30FBE">
              <w:rPr>
                <w:rFonts w:ascii="Arial Narrow" w:hAnsi="Arial Narrow"/>
                <w:sz w:val="20"/>
                <w:szCs w:val="20"/>
              </w:rPr>
              <w:t>(See para TN.10.17 of explanatory notes to this Category)</w:t>
            </w:r>
          </w:p>
        </w:tc>
      </w:tr>
      <w:tr w:rsidR="00D2670B" w:rsidRPr="005771DC" w14:paraId="4130676A" w14:textId="77777777" w:rsidTr="00D2670B">
        <w:trPr>
          <w:cantSplit/>
          <w:tblHeader/>
        </w:trPr>
        <w:tc>
          <w:tcPr>
            <w:tcW w:w="9242" w:type="dxa"/>
            <w:tcBorders>
              <w:top w:val="single" w:sz="4" w:space="0" w:color="auto"/>
              <w:left w:val="single" w:sz="4" w:space="0" w:color="auto"/>
              <w:bottom w:val="single" w:sz="4" w:space="0" w:color="auto"/>
              <w:right w:val="single" w:sz="4" w:space="0" w:color="auto"/>
            </w:tcBorders>
            <w:vAlign w:val="center"/>
          </w:tcPr>
          <w:p w14:paraId="56A2DE20" w14:textId="6B01EC09" w:rsidR="00D2670B" w:rsidRPr="00DE762F" w:rsidRDefault="00D2670B" w:rsidP="00D2670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315192" w:rsidRPr="00315192">
              <w:rPr>
                <w:rFonts w:ascii="Arial Narrow" w:hAnsi="Arial Narrow"/>
                <w:sz w:val="20"/>
                <w:szCs w:val="20"/>
              </w:rPr>
              <w:t xml:space="preserve">$104.75 </w:t>
            </w:r>
            <w:r w:rsidR="00E95C6B">
              <w:rPr>
                <w:rFonts w:ascii="Arial Narrow" w:hAnsi="Arial Narrow"/>
                <w:sz w:val="20"/>
                <w:szCs w:val="20"/>
              </w:rPr>
              <w:t xml:space="preserve"> </w:t>
            </w:r>
            <w:r w:rsidR="003E36F0">
              <w:rPr>
                <w:rFonts w:ascii="Arial Narrow" w:hAnsi="Arial Narrow"/>
                <w:sz w:val="20"/>
                <w:szCs w:val="20"/>
              </w:rPr>
              <w:t xml:space="preserve"> </w:t>
            </w:r>
            <w:r w:rsidR="00315192" w:rsidRPr="00315192">
              <w:rPr>
                <w:rFonts w:ascii="Arial Narrow" w:hAnsi="Arial Narrow"/>
                <w:sz w:val="20"/>
                <w:szCs w:val="20"/>
              </w:rPr>
              <w:t xml:space="preserve">Benefit: </w:t>
            </w:r>
            <w:r w:rsidR="003E36F0">
              <w:rPr>
                <w:rFonts w:ascii="Arial Narrow" w:hAnsi="Arial Narrow"/>
                <w:sz w:val="20"/>
                <w:szCs w:val="20"/>
              </w:rPr>
              <w:t xml:space="preserve"> </w:t>
            </w:r>
            <w:r w:rsidR="00315192" w:rsidRPr="00315192">
              <w:rPr>
                <w:rFonts w:ascii="Arial Narrow" w:hAnsi="Arial Narrow"/>
                <w:sz w:val="20"/>
                <w:szCs w:val="20"/>
              </w:rPr>
              <w:t xml:space="preserve">75% = $78.60 </w:t>
            </w:r>
            <w:r w:rsidR="00AC3FEE">
              <w:rPr>
                <w:rFonts w:ascii="Arial Narrow" w:hAnsi="Arial Narrow"/>
                <w:sz w:val="20"/>
                <w:szCs w:val="20"/>
              </w:rPr>
              <w:t xml:space="preserve">  </w:t>
            </w:r>
            <w:r w:rsidR="00315192" w:rsidRPr="00315192">
              <w:rPr>
                <w:rFonts w:ascii="Arial Narrow" w:hAnsi="Arial Narrow"/>
                <w:sz w:val="20"/>
                <w:szCs w:val="20"/>
              </w:rPr>
              <w:t>85% = $89.05</w:t>
            </w:r>
          </w:p>
        </w:tc>
      </w:tr>
    </w:tbl>
    <w:p w14:paraId="24021127" w14:textId="684EF266" w:rsidR="009275E4" w:rsidRDefault="00251187" w:rsidP="000D3100">
      <w:pPr>
        <w:pStyle w:val="Tablenotes"/>
        <w:spacing w:after="240"/>
      </w:pPr>
      <w:r>
        <w:t xml:space="preserve">75% benefit is payable </w:t>
      </w:r>
      <w:r w:rsidR="00E67DF4">
        <w:t>for treatment of</w:t>
      </w:r>
      <w:r>
        <w:t xml:space="preserve"> </w:t>
      </w:r>
      <w:r w:rsidR="00094293">
        <w:t xml:space="preserve">hospital in-patients; 85% to </w:t>
      </w:r>
      <w:r w:rsidR="00406835">
        <w:t>all other services</w:t>
      </w:r>
    </w:p>
    <w:p w14:paraId="625915BC" w14:textId="5D167DF7" w:rsidR="00A545CC" w:rsidRDefault="00A545CC" w:rsidP="00A545CC">
      <w:pPr>
        <w:spacing w:after="240"/>
      </w:pPr>
      <w:r>
        <w:lastRenderedPageBreak/>
        <w:t xml:space="preserve">The wording in the </w:t>
      </w:r>
      <w:r w:rsidR="006D2576">
        <w:t>existing single injection nerve block item ‘</w:t>
      </w:r>
      <w:r>
        <w:t>proximal to a lower leg or forearm</w:t>
      </w:r>
      <w:r w:rsidR="0097779B">
        <w:t>’</w:t>
      </w:r>
      <w:r>
        <w:t xml:space="preserve"> has been omitted from the proposed descriptor wording</w:t>
      </w:r>
      <w:r w:rsidR="00DC47DB">
        <w:t>,</w:t>
      </w:r>
      <w:r>
        <w:t xml:space="preserve"> </w:t>
      </w:r>
      <w:r w:rsidR="00E9068E">
        <w:t xml:space="preserve">which arose out of the </w:t>
      </w:r>
      <w:r w:rsidR="003404F2">
        <w:t xml:space="preserve">MBS Review’s </w:t>
      </w:r>
      <w:r w:rsidR="00E9068E">
        <w:t xml:space="preserve">Anaesthesia Clinical Committee </w:t>
      </w:r>
      <w:r w:rsidR="00525BFA">
        <w:t>report,</w:t>
      </w:r>
      <w:r w:rsidR="00E9068E">
        <w:t xml:space="preserve"> </w:t>
      </w:r>
      <w:r w:rsidR="007D6A32">
        <w:t>intended for limb surgery</w:t>
      </w:r>
      <w:r w:rsidR="00D94BCE">
        <w:t xml:space="preserve"> only</w:t>
      </w:r>
      <w:r w:rsidR="007D6A32">
        <w:t xml:space="preserve">. </w:t>
      </w:r>
      <w:r w:rsidR="0039703F">
        <w:t>U</w:t>
      </w:r>
      <w:r>
        <w:t xml:space="preserve">se of </w:t>
      </w:r>
      <w:r w:rsidR="00EF1363">
        <w:t>continuous nerve block</w:t>
      </w:r>
      <w:r w:rsidR="00B81F01">
        <w:t>s</w:t>
      </w:r>
      <w:r w:rsidR="00EF1363">
        <w:t xml:space="preserve"> </w:t>
      </w:r>
      <w:r>
        <w:t xml:space="preserve">will not be limited to nerves supplying the limbs. </w:t>
      </w:r>
      <w:r w:rsidR="00EF1363">
        <w:t xml:space="preserve">Although ‘proximal’ captures more than just </w:t>
      </w:r>
      <w:r w:rsidR="00012EDA">
        <w:t xml:space="preserve">those </w:t>
      </w:r>
      <w:r w:rsidR="00EF1363">
        <w:t xml:space="preserve">nerves, the </w:t>
      </w:r>
      <w:r w:rsidR="005A6F30">
        <w:t xml:space="preserve">applicant has indicated the </w:t>
      </w:r>
      <w:r w:rsidR="00EF1363">
        <w:t>reference could be confusing</w:t>
      </w:r>
      <w:r w:rsidR="001976FA">
        <w:t>.</w:t>
      </w:r>
      <w:r w:rsidR="00EF1363">
        <w:t xml:space="preserve"> </w:t>
      </w:r>
      <w:r>
        <w:t xml:space="preserve">Instead, the wording above refers to “a peripheral nerve”. </w:t>
      </w:r>
      <w:r w:rsidR="006026B8">
        <w:t>I</w:t>
      </w:r>
      <w:r>
        <w:t xml:space="preserve">n theory this could lead to attempts to administer a </w:t>
      </w:r>
      <w:r w:rsidR="006026B8">
        <w:t xml:space="preserve">continuous </w:t>
      </w:r>
      <w:r>
        <w:t xml:space="preserve">nerve block </w:t>
      </w:r>
      <w:r w:rsidR="00702F5C">
        <w:t>“</w:t>
      </w:r>
      <w:r>
        <w:t xml:space="preserve">distal to the </w:t>
      </w:r>
      <w:r w:rsidR="00702F5C">
        <w:t>lower leg and forearm”</w:t>
      </w:r>
      <w:r>
        <w:t>,</w:t>
      </w:r>
      <w:r w:rsidR="00702F5C">
        <w:t xml:space="preserve"> but</w:t>
      </w:r>
      <w:r>
        <w:t xml:space="preserve"> the applicant advises the nerves</w:t>
      </w:r>
      <w:r w:rsidR="00FD1FCF">
        <w:t xml:space="preserve"> </w:t>
      </w:r>
      <w:r w:rsidR="00DF4510">
        <w:t>i</w:t>
      </w:r>
      <w:r>
        <w:t xml:space="preserve">n these areas are too small to accommodate a catheter. </w:t>
      </w:r>
    </w:p>
    <w:p w14:paraId="393A9D84" w14:textId="77777777" w:rsidR="00204854" w:rsidRPr="00D762EA" w:rsidRDefault="00204854" w:rsidP="00204854">
      <w:pPr>
        <w:spacing w:after="240"/>
        <w:rPr>
          <w:i/>
          <w:iCs/>
        </w:rPr>
      </w:pPr>
      <w:r w:rsidRPr="00D762EA">
        <w:rPr>
          <w:i/>
          <w:iCs/>
        </w:rPr>
        <w:t xml:space="preserve">PASC discussed the options for wording of the item descriptor. As noted in ‘Intervention Target nerves’, the applicant confirmed the proposed item is intended for peripheral nerves for limb surgery and trunk surgery but these nerves should be “proximal to the lower leg or forearm”. </w:t>
      </w:r>
    </w:p>
    <w:p w14:paraId="442FA063" w14:textId="4638417F" w:rsidR="007013D6" w:rsidRDefault="007013D6" w:rsidP="00A545CC">
      <w:pPr>
        <w:spacing w:after="240"/>
      </w:pPr>
      <w:r>
        <w:t xml:space="preserve">It is understood the proposed item will be claimed once per </w:t>
      </w:r>
      <w:r w:rsidR="00C677FC">
        <w:t xml:space="preserve">nerve block </w:t>
      </w:r>
      <w:r>
        <w:t>per surgery</w:t>
      </w:r>
      <w:r w:rsidR="00C677FC">
        <w:t xml:space="preserve">, noting that more than one claim may </w:t>
      </w:r>
      <w:r w:rsidR="00060B77">
        <w:t>be made</w:t>
      </w:r>
      <w:r w:rsidR="00C677FC">
        <w:t xml:space="preserve"> if bilateral</w:t>
      </w:r>
      <w:r w:rsidR="008B5142">
        <w:t xml:space="preserve"> or multiple</w:t>
      </w:r>
      <w:r w:rsidR="00C677FC">
        <w:t xml:space="preserve"> </w:t>
      </w:r>
      <w:r w:rsidR="00535A7D">
        <w:t>continuous nerve block</w:t>
      </w:r>
      <w:r w:rsidR="00060B77">
        <w:t>s</w:t>
      </w:r>
      <w:r w:rsidR="00535A7D">
        <w:t xml:space="preserve"> </w:t>
      </w:r>
      <w:r w:rsidR="00060B77">
        <w:t>are</w:t>
      </w:r>
      <w:r w:rsidR="00535A7D">
        <w:t xml:space="preserve"> required</w:t>
      </w:r>
      <w:r>
        <w:t>.</w:t>
      </w:r>
    </w:p>
    <w:p w14:paraId="1E08EAF2" w14:textId="1DDB9A39" w:rsidR="00D762EA" w:rsidRPr="00D762EA" w:rsidRDefault="00D762EA" w:rsidP="00D762EA">
      <w:pPr>
        <w:rPr>
          <w:i/>
          <w:iCs/>
        </w:rPr>
      </w:pPr>
      <w:r w:rsidRPr="00D762EA">
        <w:rPr>
          <w:i/>
          <w:iCs/>
        </w:rPr>
        <w:t xml:space="preserve">PASC suggested that an explanatory note could be considered, specifying that ultrasound is not eligible to be claimed with this item </w:t>
      </w:r>
    </w:p>
    <w:p w14:paraId="04A98764" w14:textId="32FF79C3" w:rsidR="00390B85" w:rsidRPr="00390B85" w:rsidRDefault="00390B85" w:rsidP="00D762EA">
      <w:pPr>
        <w:pStyle w:val="Heading4"/>
        <w:spacing w:before="0"/>
      </w:pPr>
      <w:bookmarkStart w:id="40" w:name="_Ref129165678"/>
      <w:r>
        <w:t>Item complexity</w:t>
      </w:r>
      <w:bookmarkEnd w:id="40"/>
    </w:p>
    <w:p w14:paraId="2CF9A106" w14:textId="593FA7CD" w:rsidR="00D56D5C" w:rsidRDefault="00D56D5C" w:rsidP="002B38B2">
      <w:r>
        <w:t xml:space="preserve">For RVG items, the number of basic units determines the MBS fee. Item 22041 is two basic units. </w:t>
      </w:r>
    </w:p>
    <w:p w14:paraId="71C84A83" w14:textId="65B4B7E4" w:rsidR="002B38B2" w:rsidRDefault="009323A6" w:rsidP="002B38B2">
      <w:r>
        <w:t xml:space="preserve">For </w:t>
      </w:r>
      <w:r w:rsidR="00DC47DB">
        <w:t>A</w:t>
      </w:r>
      <w:r>
        <w:t>pplication 1308</w:t>
      </w:r>
      <w:r w:rsidR="002B38B2">
        <w:t xml:space="preserve">, </w:t>
      </w:r>
      <w:r>
        <w:t>ESC suggested</w:t>
      </w:r>
      <w:r w:rsidR="002B38B2">
        <w:t xml:space="preserve"> that </w:t>
      </w:r>
      <w:r>
        <w:t xml:space="preserve">a </w:t>
      </w:r>
      <w:r w:rsidR="002B38B2">
        <w:t xml:space="preserve">continuous nerve block </w:t>
      </w:r>
      <w:r w:rsidR="002F488E">
        <w:t>c</w:t>
      </w:r>
      <w:r w:rsidR="002B38B2">
        <w:t xml:space="preserve">ould be </w:t>
      </w:r>
      <w:r w:rsidR="00EB2167">
        <w:t>five</w:t>
      </w:r>
      <w:r w:rsidR="002B38B2">
        <w:t xml:space="preserve"> basic units according to the </w:t>
      </w:r>
      <w:r w:rsidR="00F2719B">
        <w:t xml:space="preserve">Group T10 </w:t>
      </w:r>
      <w:r w:rsidR="002B38B2">
        <w:t xml:space="preserve">Relative Value Guide </w:t>
      </w:r>
      <w:r w:rsidR="00C007A7">
        <w:t xml:space="preserve">for Anaesthesia </w:t>
      </w:r>
      <w:r w:rsidR="002B38B2">
        <w:t xml:space="preserve">principles. </w:t>
      </w:r>
    </w:p>
    <w:p w14:paraId="1094D5A4" w14:textId="7D93BA83" w:rsidR="006F7F0D" w:rsidRDefault="009B7805" w:rsidP="002B38B2">
      <w:r>
        <w:t>The</w:t>
      </w:r>
      <w:r w:rsidR="005F7034">
        <w:t xml:space="preserve"> </w:t>
      </w:r>
      <w:r w:rsidR="003404F2">
        <w:t xml:space="preserve">MBS Review’s </w:t>
      </w:r>
      <w:r w:rsidR="005F7034">
        <w:t>Anaesthesia Clinical C</w:t>
      </w:r>
      <w:r w:rsidR="003A225F">
        <w:t>o</w:t>
      </w:r>
      <w:r w:rsidR="005F7034">
        <w:t xml:space="preserve">mmittee suggested </w:t>
      </w:r>
      <w:r w:rsidR="00D56D5C">
        <w:t xml:space="preserve">instead </w:t>
      </w:r>
      <w:r w:rsidR="005F7034">
        <w:t xml:space="preserve">that a </w:t>
      </w:r>
      <w:r w:rsidR="00D56D5C">
        <w:t xml:space="preserve">continuous </w:t>
      </w:r>
      <w:r w:rsidR="0071534D">
        <w:t xml:space="preserve">nerve block could be four basic units, </w:t>
      </w:r>
      <w:r w:rsidR="00894A84">
        <w:t>although</w:t>
      </w:r>
      <w:r w:rsidR="0071534D">
        <w:t xml:space="preserve"> </w:t>
      </w:r>
      <w:r w:rsidR="00894A84">
        <w:t>it</w:t>
      </w:r>
      <w:r w:rsidR="007516F4">
        <w:t xml:space="preserve"> was considering </w:t>
      </w:r>
      <w:r w:rsidR="00B80770">
        <w:t>continuous block for</w:t>
      </w:r>
      <w:r w:rsidR="007516F4">
        <w:t xml:space="preserve"> limb surgery</w:t>
      </w:r>
      <w:r w:rsidR="006F7F0D">
        <w:t xml:space="preserve"> only</w:t>
      </w:r>
      <w:r w:rsidR="0071534D">
        <w:t xml:space="preserve">. </w:t>
      </w:r>
      <w:r w:rsidR="00F271C6">
        <w:t>For reference</w:t>
      </w:r>
      <w:r w:rsidR="009041C5">
        <w:t xml:space="preserve">, the RVG item for </w:t>
      </w:r>
      <w:r w:rsidR="00F271C6">
        <w:t xml:space="preserve">an initial </w:t>
      </w:r>
      <w:r w:rsidR="003247BA">
        <w:t>neuraxial block</w:t>
      </w:r>
      <w:r w:rsidR="00F271C6">
        <w:t xml:space="preserve"> with or without a catheter (</w:t>
      </w:r>
      <w:r w:rsidR="003404F2">
        <w:t xml:space="preserve">MBS </w:t>
      </w:r>
      <w:r w:rsidR="00F271C6">
        <w:t>item 22031)</w:t>
      </w:r>
      <w:r w:rsidR="00A85F9A">
        <w:t xml:space="preserve"> is </w:t>
      </w:r>
      <w:r w:rsidR="00F271C6">
        <w:t>assigned a complexity of</w:t>
      </w:r>
      <w:r w:rsidR="003B73C4">
        <w:t xml:space="preserve"> five </w:t>
      </w:r>
      <w:r w:rsidR="00A85F9A">
        <w:t>units</w:t>
      </w:r>
      <w:r w:rsidR="003247BA">
        <w:t xml:space="preserve">. </w:t>
      </w:r>
    </w:p>
    <w:p w14:paraId="576456C5" w14:textId="46A54206" w:rsidR="00775BA1" w:rsidRPr="00390B85" w:rsidRDefault="00775BA1" w:rsidP="00775BA1">
      <w:pPr>
        <w:pStyle w:val="Heading4"/>
      </w:pPr>
      <w:r>
        <w:t>Item fee</w:t>
      </w:r>
    </w:p>
    <w:p w14:paraId="10D1C677" w14:textId="1A9EFC53" w:rsidR="00267D73" w:rsidRDefault="00775BA1" w:rsidP="00267D73">
      <w:pPr>
        <w:spacing w:after="240"/>
        <w:rPr>
          <w:iCs/>
        </w:rPr>
      </w:pPr>
      <w:r>
        <w:rPr>
          <w:iCs/>
        </w:rPr>
        <w:t>R</w:t>
      </w:r>
      <w:r w:rsidR="00F414B3">
        <w:rPr>
          <w:iCs/>
        </w:rPr>
        <w:t>V</w:t>
      </w:r>
      <w:r>
        <w:rPr>
          <w:iCs/>
        </w:rPr>
        <w:t>G item</w:t>
      </w:r>
      <w:r w:rsidR="00CA3F7A">
        <w:rPr>
          <w:iCs/>
        </w:rPr>
        <w:t xml:space="preserve"> fee</w:t>
      </w:r>
      <w:r>
        <w:rPr>
          <w:iCs/>
        </w:rPr>
        <w:t xml:space="preserve">s </w:t>
      </w:r>
      <w:r w:rsidR="00CA3F7A">
        <w:rPr>
          <w:iCs/>
        </w:rPr>
        <w:t>are set using basic units as a measure of</w:t>
      </w:r>
      <w:r w:rsidR="00F414B3">
        <w:rPr>
          <w:iCs/>
        </w:rPr>
        <w:t xml:space="preserve"> complexity</w:t>
      </w:r>
      <w:r w:rsidR="003404F2">
        <w:rPr>
          <w:iCs/>
        </w:rPr>
        <w:t>;</w:t>
      </w:r>
      <w:r w:rsidR="00CA3F7A">
        <w:rPr>
          <w:iCs/>
        </w:rPr>
        <w:t xml:space="preserve"> no </w:t>
      </w:r>
      <w:r w:rsidR="00CA1A7A">
        <w:rPr>
          <w:iCs/>
        </w:rPr>
        <w:t>premium can be included</w:t>
      </w:r>
      <w:r w:rsidR="00F21F47">
        <w:rPr>
          <w:iCs/>
        </w:rPr>
        <w:t xml:space="preserve"> (to reflect a superiority claim</w:t>
      </w:r>
      <w:r w:rsidR="006C591C">
        <w:rPr>
          <w:iCs/>
        </w:rPr>
        <w:t>, for example</w:t>
      </w:r>
      <w:r w:rsidR="00F21F47">
        <w:rPr>
          <w:iCs/>
        </w:rPr>
        <w:t>)</w:t>
      </w:r>
      <w:r w:rsidR="00F414B3">
        <w:rPr>
          <w:iCs/>
        </w:rPr>
        <w:t xml:space="preserve">. </w:t>
      </w:r>
      <w:r w:rsidR="001F5D60">
        <w:rPr>
          <w:iCs/>
        </w:rPr>
        <w:t>For the current Financial Year, o</w:t>
      </w:r>
      <w:r w:rsidR="00FF3FFB">
        <w:rPr>
          <w:iCs/>
        </w:rPr>
        <w:t>ne</w:t>
      </w:r>
      <w:r w:rsidR="00267D73">
        <w:rPr>
          <w:iCs/>
        </w:rPr>
        <w:t xml:space="preserve"> basic unit</w:t>
      </w:r>
      <w:r w:rsidR="00E2732C">
        <w:rPr>
          <w:iCs/>
        </w:rPr>
        <w:t xml:space="preserve"> for an RVG item</w:t>
      </w:r>
      <w:r w:rsidR="00267D73">
        <w:rPr>
          <w:iCs/>
        </w:rPr>
        <w:t xml:space="preserve"> is$20.95. </w:t>
      </w:r>
      <w:r w:rsidR="00BE095C">
        <w:rPr>
          <w:iCs/>
        </w:rPr>
        <w:t xml:space="preserve">The </w:t>
      </w:r>
      <w:r w:rsidR="00267D73">
        <w:rPr>
          <w:iCs/>
        </w:rPr>
        <w:t xml:space="preserve">fee </w:t>
      </w:r>
      <w:r w:rsidR="00FF3FFB">
        <w:rPr>
          <w:iCs/>
        </w:rPr>
        <w:t>proposed by the applicant (</w:t>
      </w:r>
      <w:r w:rsidR="00267D73">
        <w:rPr>
          <w:iCs/>
        </w:rPr>
        <w:t>$104.75</w:t>
      </w:r>
      <w:r w:rsidR="00FF3FFB">
        <w:rPr>
          <w:iCs/>
        </w:rPr>
        <w:t>)</w:t>
      </w:r>
      <w:r w:rsidR="00267D73">
        <w:rPr>
          <w:iCs/>
        </w:rPr>
        <w:t xml:space="preserve"> </w:t>
      </w:r>
      <w:r w:rsidR="00904D79">
        <w:rPr>
          <w:iCs/>
        </w:rPr>
        <w:t xml:space="preserve">corresponds to </w:t>
      </w:r>
      <w:r w:rsidR="00FF3FFB">
        <w:rPr>
          <w:iCs/>
        </w:rPr>
        <w:t>five</w:t>
      </w:r>
      <w:r w:rsidR="00356D3D">
        <w:rPr>
          <w:iCs/>
        </w:rPr>
        <w:t xml:space="preserve"> basic unit</w:t>
      </w:r>
      <w:r w:rsidR="003A54DE">
        <w:rPr>
          <w:iCs/>
        </w:rPr>
        <w:t>s</w:t>
      </w:r>
      <w:r w:rsidR="00F120F1">
        <w:rPr>
          <w:iCs/>
        </w:rPr>
        <w:t>, as described above.</w:t>
      </w:r>
    </w:p>
    <w:p w14:paraId="203B90BA" w14:textId="455E32DD" w:rsidR="007C0F36" w:rsidRPr="00D762EA" w:rsidRDefault="007C0F36" w:rsidP="00267D73">
      <w:pPr>
        <w:spacing w:after="240"/>
        <w:rPr>
          <w:i/>
        </w:rPr>
      </w:pPr>
      <w:r w:rsidRPr="00D762EA">
        <w:rPr>
          <w:i/>
        </w:rPr>
        <w:t xml:space="preserve">PASC noted the fee should cover the cost of aftercare. </w:t>
      </w:r>
    </w:p>
    <w:p w14:paraId="0B50E2F3" w14:textId="2683956A" w:rsidR="00D05FE1" w:rsidRDefault="00D05FE1" w:rsidP="00D05FE1">
      <w:pPr>
        <w:pStyle w:val="Heading3"/>
      </w:pPr>
      <w:bookmarkStart w:id="41" w:name="_Ref129165386"/>
      <w:r>
        <w:t>Out of pocket costs</w:t>
      </w:r>
      <w:bookmarkEnd w:id="41"/>
    </w:p>
    <w:p w14:paraId="79D83C5A" w14:textId="77777777" w:rsidR="001C5CDB" w:rsidRDefault="0F551039" w:rsidP="00193AD9">
      <w:pPr>
        <w:spacing w:after="240"/>
      </w:pPr>
      <w:r>
        <w:t xml:space="preserve">The applicant notes the actual charge for the service will be approximately $303.56 and acknowledges there may be an out-of-pocket cost for the patient. This claim will need to be explored in the Assessment Report. </w:t>
      </w:r>
    </w:p>
    <w:p w14:paraId="610F462F" w14:textId="56F38B99" w:rsidR="003621D4" w:rsidRDefault="001224EC" w:rsidP="00977DB3">
      <w:r>
        <w:t>T</w:t>
      </w:r>
      <w:r w:rsidR="00FC2F1F">
        <w:t xml:space="preserve">he applicant has made a case that </w:t>
      </w:r>
      <w:r w:rsidR="004417E5">
        <w:t xml:space="preserve">the availability of a continuous nerve block </w:t>
      </w:r>
      <w:r w:rsidR="00EF7126">
        <w:t>with a</w:t>
      </w:r>
      <w:r w:rsidR="00FC2F1F">
        <w:t xml:space="preserve"> </w:t>
      </w:r>
      <w:r w:rsidR="00594075">
        <w:t>disposable</w:t>
      </w:r>
      <w:r w:rsidR="00FC2F1F">
        <w:t xml:space="preserve"> </w:t>
      </w:r>
      <w:r w:rsidR="00EC4EEC">
        <w:t xml:space="preserve">pain pump </w:t>
      </w:r>
      <w:r w:rsidR="00D356DA">
        <w:t>means</w:t>
      </w:r>
      <w:r w:rsidR="00EC4EEC">
        <w:t xml:space="preserve"> </w:t>
      </w:r>
      <w:r w:rsidR="00CA7679">
        <w:t>some patients</w:t>
      </w:r>
      <w:r w:rsidR="00967FCA">
        <w:t xml:space="preserve"> </w:t>
      </w:r>
      <w:r w:rsidR="00D356DA">
        <w:t>can be</w:t>
      </w:r>
      <w:r w:rsidR="006B16CC">
        <w:t xml:space="preserve"> discharged earlier or</w:t>
      </w:r>
      <w:r w:rsidR="00967FCA">
        <w:t xml:space="preserve"> treated as ambulatory</w:t>
      </w:r>
      <w:r w:rsidR="00934112">
        <w:t>. The patient is then</w:t>
      </w:r>
      <w:r w:rsidR="00967FCA">
        <w:t xml:space="preserve"> </w:t>
      </w:r>
      <w:r w:rsidR="006B16CC">
        <w:t>discharged</w:t>
      </w:r>
      <w:r w:rsidR="00967FCA">
        <w:t xml:space="preserve"> on the same day as surgery</w:t>
      </w:r>
      <w:r w:rsidR="006F0329">
        <w:t xml:space="preserve"> </w:t>
      </w:r>
      <w:r w:rsidR="00D356DA">
        <w:t>(or earlier than usual for in-patients)</w:t>
      </w:r>
      <w:r w:rsidR="00EF4358">
        <w:t xml:space="preserve">. </w:t>
      </w:r>
      <w:r w:rsidR="00AF47E4">
        <w:t>The</w:t>
      </w:r>
      <w:r w:rsidR="00EF4358">
        <w:t xml:space="preserve"> </w:t>
      </w:r>
      <w:r w:rsidR="00AF47E4">
        <w:t>out-of-pocket</w:t>
      </w:r>
      <w:r w:rsidR="00EF4358">
        <w:t xml:space="preserve"> cost for</w:t>
      </w:r>
      <w:r w:rsidR="00C60612">
        <w:t xml:space="preserve"> the continuous nerve block </w:t>
      </w:r>
      <w:r w:rsidR="009B7D4C">
        <w:t>c</w:t>
      </w:r>
      <w:r w:rsidR="00C60612">
        <w:t>ould be</w:t>
      </w:r>
      <w:r w:rsidR="00EF4358">
        <w:t xml:space="preserve"> off-set by </w:t>
      </w:r>
      <w:r w:rsidR="00547782">
        <w:t xml:space="preserve">the reduced or </w:t>
      </w:r>
      <w:r w:rsidR="003D7857">
        <w:t xml:space="preserve">no cost of </w:t>
      </w:r>
      <w:r w:rsidR="00952F02">
        <w:t>in-patient stay</w:t>
      </w:r>
      <w:r w:rsidR="00967FCA">
        <w:t>.</w:t>
      </w:r>
    </w:p>
    <w:p w14:paraId="62338695" w14:textId="41E530A2" w:rsidR="00D37A3F" w:rsidRPr="00D37A3F" w:rsidRDefault="003F0A39" w:rsidP="00713728">
      <w:pPr>
        <w:pStyle w:val="Heading2"/>
      </w:pPr>
      <w:r>
        <w:lastRenderedPageBreak/>
        <w:t>Summary of public consultation</w:t>
      </w:r>
      <w:r w:rsidRPr="00D37A3F">
        <w:t xml:space="preserve"> </w:t>
      </w:r>
      <w:r w:rsidR="00E470B0">
        <w:t>input</w:t>
      </w:r>
    </w:p>
    <w:p w14:paraId="3E3F6A3E" w14:textId="2750A2E5" w:rsidR="009324E8" w:rsidRDefault="3E7195C4" w:rsidP="4ECE59CF">
      <w:pPr>
        <w:spacing w:line="257" w:lineRule="auto"/>
        <w:rPr>
          <w:rFonts w:cs="Calibri"/>
        </w:rPr>
      </w:pPr>
      <w:r w:rsidRPr="4ECE59CF">
        <w:rPr>
          <w:rFonts w:cs="Calibri"/>
        </w:rPr>
        <w:t xml:space="preserve">Consultation feedback was received from one specialist organisation, Sunshine Coast Health and Hospital Services (SCHHS), and six individuals. All of the individuals identified as specialist medical practitioners. The consultation feedback received was all supportive of public funding for continuous nerve blockade using a catheter technique. </w:t>
      </w:r>
    </w:p>
    <w:p w14:paraId="5CE64EF7" w14:textId="43422115" w:rsidR="009324E8" w:rsidRDefault="3E7195C4" w:rsidP="4ECE59CF">
      <w:pPr>
        <w:spacing w:line="257" w:lineRule="auto"/>
        <w:rPr>
          <w:rFonts w:cs="Calibri"/>
          <w:b/>
          <w:bCs/>
        </w:rPr>
      </w:pPr>
      <w:r w:rsidRPr="4ECE59CF">
        <w:rPr>
          <w:rFonts w:cs="Calibri"/>
          <w:b/>
          <w:bCs/>
        </w:rPr>
        <w:t>Clinical need and public health significance</w:t>
      </w:r>
    </w:p>
    <w:p w14:paraId="366D0664" w14:textId="1C68C022" w:rsidR="009324E8" w:rsidRDefault="3E7195C4" w:rsidP="4ECE59CF">
      <w:pPr>
        <w:spacing w:line="257" w:lineRule="auto"/>
        <w:rPr>
          <w:rFonts w:cs="Calibri"/>
        </w:rPr>
      </w:pPr>
      <w:r w:rsidRPr="4ECE59CF">
        <w:rPr>
          <w:rFonts w:cs="Calibri"/>
        </w:rPr>
        <w:t>The main benefits of public funding received in the consultation feedback included superior, ongoing and consistent analgesia for patients, reduced opioid use and equity of access to the benefits of the intervention. Benefits also included avoiding motor and excessive blockade compared to regional analgesia, enhanced recovery and early mobilisation of patients, and reduced length of stay in hospital. Feedback was also received that noted benefits in reducing chronic pain and phantom pain development and reduced PTSD from trauma.</w:t>
      </w:r>
    </w:p>
    <w:p w14:paraId="7062D8DC" w14:textId="102DD4E8" w:rsidR="009324E8" w:rsidRDefault="3E7195C4" w:rsidP="4ECE59CF">
      <w:pPr>
        <w:spacing w:line="257" w:lineRule="auto"/>
        <w:rPr>
          <w:rFonts w:cs="Calibri"/>
        </w:rPr>
      </w:pPr>
      <w:r w:rsidRPr="4ECE59CF">
        <w:rPr>
          <w:rFonts w:cs="Calibri"/>
        </w:rPr>
        <w:t>The main disadvantages of public funding received in the consultation feedback included the requirement for additional training of staff and changes to service delivery in hospitals unfamiliar with the service, potential for severe, uncontrolled pain should the system fail, and increased risk of adverse events including haematoma at insertion site and intravascular infusion of local anaesthetic.</w:t>
      </w:r>
    </w:p>
    <w:p w14:paraId="28E297FC" w14:textId="7B419FB0" w:rsidR="009324E8" w:rsidRDefault="3E7195C4" w:rsidP="4ECE59CF">
      <w:pPr>
        <w:spacing w:line="257" w:lineRule="auto"/>
        <w:rPr>
          <w:rFonts w:cs="Calibri"/>
          <w:b/>
          <w:bCs/>
        </w:rPr>
      </w:pPr>
      <w:r w:rsidRPr="4ECE59CF">
        <w:rPr>
          <w:rFonts w:cs="Calibri"/>
          <w:b/>
          <w:bCs/>
        </w:rPr>
        <w:t>Indication(s) for the proposed medical service and clinical claim</w:t>
      </w:r>
    </w:p>
    <w:p w14:paraId="78E039C0" w14:textId="0F7BE57F" w:rsidR="009324E8" w:rsidRDefault="3E7195C4" w:rsidP="4ECE59CF">
      <w:pPr>
        <w:spacing w:line="257" w:lineRule="auto"/>
        <w:rPr>
          <w:rFonts w:cs="Calibri"/>
        </w:rPr>
      </w:pPr>
      <w:r w:rsidRPr="4ECE59CF">
        <w:rPr>
          <w:rFonts w:cs="Calibri"/>
        </w:rPr>
        <w:t>The majority of consultation feedback ranged from agreeing to strongly agreeing with the proposed population, comparator and clinical claim. Only one individual selected agree and disagree with regards to the proposed population, comparator and clinical claim. The accompanying comments included that opioids do not deliver a pain free experience unlike well conducted regional analgesia and discharge times are not a good indicator of success as there is more to postoperative care than pain relief.</w:t>
      </w:r>
    </w:p>
    <w:p w14:paraId="454B6829" w14:textId="6C86D7FE" w:rsidR="009324E8" w:rsidRDefault="3E7195C4" w:rsidP="4ECE59CF">
      <w:pPr>
        <w:spacing w:line="257" w:lineRule="auto"/>
        <w:rPr>
          <w:rFonts w:cs="Calibri"/>
        </w:rPr>
      </w:pPr>
      <w:r w:rsidRPr="4ECE59CF">
        <w:rPr>
          <w:rFonts w:cs="Calibri"/>
        </w:rPr>
        <w:t xml:space="preserve">One individual stated that any continuous nerve block (including for example distal forearm placement) should be included and that the service should be generic to allow for long bone fractures, frozen joints and chronic pain conditions. Several respondents supported the use of continuous nerve blockade using a catheter technique for non-operative management of rib fractures, noting that this can be complex, time consuming and more costly than other patient groups within the population. One respondent suggested a higher service fee for this class of catheter technique. </w:t>
      </w:r>
    </w:p>
    <w:p w14:paraId="5F87B230" w14:textId="62213BA9" w:rsidR="009324E8" w:rsidRDefault="3E7195C4" w:rsidP="4ECE59CF">
      <w:pPr>
        <w:spacing w:line="257" w:lineRule="auto"/>
        <w:rPr>
          <w:rFonts w:cs="Calibri"/>
          <w:b/>
          <w:bCs/>
        </w:rPr>
      </w:pPr>
      <w:r w:rsidRPr="4ECE59CF">
        <w:rPr>
          <w:rFonts w:cs="Calibri"/>
          <w:b/>
          <w:bCs/>
        </w:rPr>
        <w:t>Cost information for the proposed medical service</w:t>
      </w:r>
    </w:p>
    <w:p w14:paraId="403DE7C2" w14:textId="3368374D" w:rsidR="009324E8" w:rsidRDefault="3E7195C4" w:rsidP="4ECE59CF">
      <w:pPr>
        <w:spacing w:line="257" w:lineRule="auto"/>
        <w:rPr>
          <w:rFonts w:cs="Calibri"/>
        </w:rPr>
      </w:pPr>
      <w:r w:rsidRPr="4ECE59CF">
        <w:rPr>
          <w:rFonts w:cs="Calibri"/>
        </w:rPr>
        <w:t>The majority of consultation feedback ranged from agree to strongly agree with the proposed service descriptor and fee. One individual selected agree and disagree for the proposed service fee stating that follow up visits need to be included in funding.</w:t>
      </w:r>
    </w:p>
    <w:p w14:paraId="422968D3" w14:textId="141B1FB8" w:rsidR="009324E8" w:rsidRDefault="3E7195C4" w:rsidP="4ECE59CF">
      <w:pPr>
        <w:spacing w:line="257" w:lineRule="auto"/>
        <w:rPr>
          <w:rFonts w:cs="Calibri"/>
          <w:b/>
          <w:bCs/>
        </w:rPr>
      </w:pPr>
      <w:r w:rsidRPr="4ECE59CF">
        <w:rPr>
          <w:rFonts w:cs="Calibri"/>
          <w:b/>
          <w:bCs/>
        </w:rPr>
        <w:t>Additional comments</w:t>
      </w:r>
    </w:p>
    <w:p w14:paraId="319622EF" w14:textId="705A1494" w:rsidR="00FD161A" w:rsidRDefault="3E7195C4" w:rsidP="00D762EA">
      <w:pPr>
        <w:spacing w:line="257" w:lineRule="auto"/>
      </w:pPr>
      <w:r w:rsidRPr="4ECE59CF">
        <w:rPr>
          <w:rFonts w:cs="Calibri"/>
        </w:rPr>
        <w:t>The difference in techniques regarding continuous versus top up in catheters was brought up. Notably that there may be different follow up requirements for patients depending on the technique used, for example home based nurse visits versus electronic follow up by the same staff.</w:t>
      </w:r>
      <w:r w:rsidR="33E73462">
        <w:t xml:space="preserve"> </w:t>
      </w:r>
    </w:p>
    <w:p w14:paraId="4E68667F" w14:textId="77777777" w:rsidR="00D37A3F" w:rsidRPr="00D37A3F" w:rsidRDefault="00D37A3F" w:rsidP="00713728">
      <w:pPr>
        <w:pStyle w:val="Heading2"/>
      </w:pPr>
      <w:r w:rsidRPr="00D37A3F">
        <w:t>Next steps</w:t>
      </w:r>
    </w:p>
    <w:p w14:paraId="3E39D4BC" w14:textId="704C17CC" w:rsidR="000073AA" w:rsidRPr="00286347" w:rsidRDefault="004D00F8" w:rsidP="00E01349">
      <w:pPr>
        <w:pStyle w:val="Instructionaltext"/>
        <w:rPr>
          <w:iCs/>
          <w:color w:val="auto"/>
        </w:rPr>
      </w:pPr>
      <w:r w:rsidRPr="00286347">
        <w:rPr>
          <w:rFonts w:cs="Calibri"/>
          <w:iCs/>
          <w:color w:val="auto"/>
        </w:rPr>
        <w:t xml:space="preserve">The applicant confirmed </w:t>
      </w:r>
      <w:r w:rsidR="00286347" w:rsidRPr="00286347">
        <w:rPr>
          <w:rFonts w:cs="Calibri"/>
          <w:iCs/>
          <w:color w:val="auto"/>
        </w:rPr>
        <w:t xml:space="preserve">their </w:t>
      </w:r>
      <w:r w:rsidRPr="00286347">
        <w:rPr>
          <w:rFonts w:cs="Calibri"/>
          <w:iCs/>
          <w:color w:val="auto"/>
        </w:rPr>
        <w:t>intention for the application to proceed as a DCAR.</w:t>
      </w:r>
    </w:p>
    <w:p w14:paraId="18BE40DE" w14:textId="77777777" w:rsidR="005F79BA" w:rsidRPr="005F79BA" w:rsidRDefault="005F79BA" w:rsidP="005F79BA">
      <w:pPr>
        <w:keepNext/>
        <w:keepLines/>
        <w:tabs>
          <w:tab w:val="left" w:pos="1701"/>
        </w:tabs>
        <w:spacing w:before="360" w:after="120" w:line="240" w:lineRule="auto"/>
        <w:jc w:val="both"/>
        <w:outlineLvl w:val="1"/>
        <w:rPr>
          <w:rFonts w:ascii="Franklin Gothic Medium" w:eastAsiaTheme="majorEastAsia" w:hAnsi="Franklin Gothic Medium" w:cstheme="majorBidi"/>
          <w:color w:val="000000" w:themeColor="text1"/>
          <w:sz w:val="32"/>
          <w:szCs w:val="26"/>
        </w:rPr>
      </w:pPr>
      <w:r w:rsidRPr="005F79BA">
        <w:rPr>
          <w:rFonts w:ascii="Franklin Gothic Medium" w:eastAsiaTheme="majorEastAsia" w:hAnsi="Franklin Gothic Medium" w:cstheme="majorBidi"/>
          <w:color w:val="000000" w:themeColor="text1"/>
          <w:sz w:val="32"/>
          <w:szCs w:val="26"/>
        </w:rPr>
        <w:lastRenderedPageBreak/>
        <w:t>Applicant comment on the ratified PICO Confirmation</w:t>
      </w:r>
    </w:p>
    <w:p w14:paraId="203B043F" w14:textId="75A24D99" w:rsidR="004B7733" w:rsidRPr="00C60F27" w:rsidRDefault="004B7733" w:rsidP="004B7733">
      <w:pPr>
        <w:spacing w:after="160" w:line="259" w:lineRule="auto"/>
      </w:pPr>
      <w:r w:rsidRPr="46C8E81D">
        <w:t>The</w:t>
      </w:r>
      <w:r w:rsidR="00AD0C7E">
        <w:t xml:space="preserve"> clinical management</w:t>
      </w:r>
      <w:r w:rsidRPr="46C8E81D">
        <w:t xml:space="preserve"> algorithms above are accurate depictions of post operative analgesia for major surgery.</w:t>
      </w:r>
      <w:r>
        <w:t xml:space="preserve"> N</w:t>
      </w:r>
      <w:r w:rsidRPr="46C8E81D">
        <w:t xml:space="preserve">oting that a continuous nerve block via catheter </w:t>
      </w:r>
      <w:r>
        <w:t>is typically</w:t>
      </w:r>
      <w:r w:rsidRPr="46C8E81D">
        <w:t xml:space="preserve"> </w:t>
      </w:r>
      <w:r>
        <w:t>used</w:t>
      </w:r>
      <w:r w:rsidRPr="46C8E81D">
        <w:t xml:space="preserve"> for up to 72 hours</w:t>
      </w:r>
      <w:r>
        <w:t>. Use may</w:t>
      </w:r>
      <w:r w:rsidRPr="46C8E81D">
        <w:t xml:space="preserve"> </w:t>
      </w:r>
      <w:r>
        <w:t xml:space="preserve">extend </w:t>
      </w:r>
      <w:r w:rsidRPr="46C8E81D">
        <w:t xml:space="preserve">beyond 72 hours </w:t>
      </w:r>
      <w:r>
        <w:t>where</w:t>
      </w:r>
      <w:r w:rsidRPr="46C8E81D">
        <w:t xml:space="preserve"> clinically appropriate.  </w:t>
      </w:r>
    </w:p>
    <w:p w14:paraId="24B80BC2" w14:textId="77777777" w:rsidR="004B7733" w:rsidRDefault="004B7733" w:rsidP="004B7733">
      <w:pPr>
        <w:spacing w:after="160" w:line="259" w:lineRule="auto"/>
      </w:pPr>
      <w:r>
        <w:t>We would like to clarify that the figure of $303.56 is an estimated maximum charge for the service. This figure incorporates the cost of catheters, which are currently covered by the hospital. We would like to note this figure is not indicative of the actual charge for the service to the patient, and that an out-of-pocket expense for this service is not likely to be charged to the patient.</w:t>
      </w:r>
    </w:p>
    <w:p w14:paraId="43A7D5A9" w14:textId="77777777" w:rsidR="004B7733" w:rsidRDefault="004B7733" w:rsidP="004B7733">
      <w:pPr>
        <w:spacing w:after="160" w:line="259" w:lineRule="auto"/>
        <w:rPr>
          <w:rFonts w:cs="Calibri"/>
          <w:szCs w:val="24"/>
        </w:rPr>
      </w:pPr>
      <w:r w:rsidRPr="006116BC">
        <w:rPr>
          <w:rFonts w:cs="Calibri"/>
          <w:szCs w:val="24"/>
        </w:rPr>
        <w:t xml:space="preserve">The ASA will provide </w:t>
      </w:r>
      <w:r>
        <w:rPr>
          <w:rFonts w:cs="Calibri"/>
          <w:szCs w:val="24"/>
        </w:rPr>
        <w:t xml:space="preserve">further </w:t>
      </w:r>
      <w:r w:rsidRPr="006116BC">
        <w:rPr>
          <w:rFonts w:cs="Calibri"/>
          <w:szCs w:val="24"/>
        </w:rPr>
        <w:t>input on the proposed fees for the service. Any charge for the service will be in line with the MBS fee and Private Health Insurers rebate schedules.</w:t>
      </w:r>
    </w:p>
    <w:p w14:paraId="63846955" w14:textId="7E406468" w:rsidR="00A808A2" w:rsidRDefault="00A808A2" w:rsidP="004B7733">
      <w:pPr>
        <w:spacing w:after="160" w:line="259" w:lineRule="auto"/>
        <w:rPr>
          <w:rFonts w:eastAsiaTheme="minorHAnsi" w:cstheme="minorBidi"/>
          <w:color w:val="258221"/>
        </w:rPr>
      </w:pPr>
      <w:r>
        <w:br w:type="page"/>
      </w:r>
    </w:p>
    <w:p w14:paraId="73A2A9C9" w14:textId="75713C2D" w:rsidR="006478E7" w:rsidRDefault="00A33126" w:rsidP="00713728">
      <w:pPr>
        <w:pStyle w:val="Heading2"/>
      </w:pPr>
      <w:r w:rsidRPr="00A33126">
        <w:lastRenderedPageBreak/>
        <w:t>References</w:t>
      </w:r>
    </w:p>
    <w:p w14:paraId="098335DF" w14:textId="3464908F" w:rsidR="00CD4E8E" w:rsidRDefault="00CD4E8E" w:rsidP="00CD4E8E">
      <w:r w:rsidRPr="000B2379">
        <w:t xml:space="preserve">Australian Institute of Health and Welfare. Chronic pain in Australia. Cat. no. PHE 267. Canberra: AIHW, 2020. </w:t>
      </w:r>
      <w:hyperlink r:id="rId15" w:history="1">
        <w:r w:rsidRPr="00186A51">
          <w:rPr>
            <w:rStyle w:val="Hyperlink"/>
            <w:rFonts w:ascii="Calibri" w:hAnsi="Calibri"/>
          </w:rPr>
          <w:t>www.aihw.gov.au/getmedia/10434b6f-2147-46ab-b654-a90f05592d35/aihw-phe-267.pdf.aspx</w:t>
        </w:r>
      </w:hyperlink>
      <w:r>
        <w:t xml:space="preserve"> </w:t>
      </w:r>
      <w:r w:rsidRPr="000B2379">
        <w:t xml:space="preserve">[Accessed </w:t>
      </w:r>
      <w:r>
        <w:t>16</w:t>
      </w:r>
      <w:r w:rsidRPr="000B2379">
        <w:t xml:space="preserve"> </w:t>
      </w:r>
      <w:r>
        <w:t>March</w:t>
      </w:r>
      <w:r w:rsidRPr="000B2379">
        <w:t xml:space="preserve"> 202</w:t>
      </w:r>
      <w:r>
        <w:t>3</w:t>
      </w:r>
      <w:r w:rsidRPr="000B2379">
        <w:t>]</w:t>
      </w:r>
    </w:p>
    <w:p w14:paraId="6FEE6CB9" w14:textId="5CCD24CE" w:rsidR="00556F03" w:rsidRDefault="00556F03" w:rsidP="004070B0">
      <w:r>
        <w:t>Australian and New Zealand College of Anaesthetists</w:t>
      </w:r>
      <w:r w:rsidR="00786FD2">
        <w:t>. PG03(A) Major regional analgesia</w:t>
      </w:r>
      <w:r w:rsidR="008F0EAC">
        <w:t xml:space="preserve">. 2014. </w:t>
      </w:r>
      <w:hyperlink r:id="rId16" w:history="1">
        <w:r w:rsidR="009162AA" w:rsidRPr="00557E8C">
          <w:rPr>
            <w:rStyle w:val="Hyperlink"/>
            <w:rFonts w:ascii="Calibri" w:hAnsi="Calibri"/>
          </w:rPr>
          <w:t>https://www.anzca.edu.au/safety-advocacy/standards-of-practice/policies,-statements,-and-guidelines</w:t>
        </w:r>
      </w:hyperlink>
      <w:r w:rsidR="009162AA">
        <w:t xml:space="preserve"> [Accessed </w:t>
      </w:r>
      <w:r w:rsidR="00DB068A">
        <w:t>09 March 2023].</w:t>
      </w:r>
    </w:p>
    <w:p w14:paraId="1C790D53" w14:textId="273C9525" w:rsidR="00B131D8" w:rsidRDefault="00B131D8" w:rsidP="004070B0">
      <w:r>
        <w:t xml:space="preserve">Australian and New Zealand College of Anaesthetists. PS04(A)BP Position statement on the post-anaesthesia care unit. Background Paper 2020. </w:t>
      </w:r>
      <w:hyperlink r:id="rId17" w:history="1">
        <w:r w:rsidRPr="00186A51">
          <w:rPr>
            <w:rStyle w:val="Hyperlink"/>
            <w:rFonts w:ascii="Calibri" w:hAnsi="Calibri"/>
          </w:rPr>
          <w:t>www.anzca.edu.au/getattachment/fc82bdc3-ea8b-43c9-b6c5-aa857fc81e23/PS04BP-Statement-on-the-post-anaesthesia-care-unit-Background-Paper</w:t>
        </w:r>
      </w:hyperlink>
      <w:r>
        <w:t xml:space="preserve"> [Accessed 08 March 2023].</w:t>
      </w:r>
    </w:p>
    <w:p w14:paraId="5FFB4F09" w14:textId="0E080AA1" w:rsidR="006759CC" w:rsidRDefault="006759CC" w:rsidP="006759CC">
      <w:r>
        <w:t xml:space="preserve">Chou R, Gordon DB, de Leon-Casasola OA, Rosenberg JM, Bickler S, Brennan T, Carter T, Cassidy CL, Chittenden EH, Degenhardt E, Griffith S, Manworren R, McCarberg B, Montgomery R, Murphy J, Perkal MF, Suresh S, Sluka K, Strassels S, Thirlby R, </w:t>
      </w:r>
      <w:proofErr w:type="spellStart"/>
      <w:r>
        <w:t>Viscusi</w:t>
      </w:r>
      <w:proofErr w:type="spellEnd"/>
      <w:r>
        <w:t xml:space="preserve"> E, </w:t>
      </w:r>
      <w:proofErr w:type="spellStart"/>
      <w:r>
        <w:t>Walco</w:t>
      </w:r>
      <w:proofErr w:type="spellEnd"/>
      <w:r>
        <w:t xml:space="preserve"> GA, Warner L, Weisman SJ, Wu CL. Management of Postoperative Pain: A Clinical Practice Guideline From the American Pain Society, the American Society of Regional </w:t>
      </w:r>
      <w:proofErr w:type="spellStart"/>
      <w:r>
        <w:t>Anesthesia</w:t>
      </w:r>
      <w:proofErr w:type="spellEnd"/>
      <w:r>
        <w:t xml:space="preserve"> and Pain Medicine, and the American Society of </w:t>
      </w:r>
      <w:proofErr w:type="spellStart"/>
      <w:r>
        <w:t>Anesthesiologists'</w:t>
      </w:r>
      <w:proofErr w:type="spellEnd"/>
      <w:r>
        <w:t xml:space="preserve"> Committee on Regional </w:t>
      </w:r>
      <w:proofErr w:type="spellStart"/>
      <w:r>
        <w:t>Anesthesia</w:t>
      </w:r>
      <w:proofErr w:type="spellEnd"/>
      <w:r>
        <w:t>, Executive Committee, and Administrative Council. J Pain. 2016 Feb;17(2):131-57.</w:t>
      </w:r>
    </w:p>
    <w:p w14:paraId="20114D24" w14:textId="3131D669" w:rsidR="00CA3840" w:rsidRDefault="004070B0" w:rsidP="004070B0">
      <w:r>
        <w:t xml:space="preserve">Huang J, Li J, Wang H. The Principles and Procedures of Ultrasound-guided </w:t>
      </w:r>
      <w:proofErr w:type="spellStart"/>
      <w:r>
        <w:t>Anesthesia</w:t>
      </w:r>
      <w:proofErr w:type="spellEnd"/>
      <w:r>
        <w:t xml:space="preserve"> Techniques. </w:t>
      </w:r>
      <w:proofErr w:type="spellStart"/>
      <w:r>
        <w:t>Cureus</w:t>
      </w:r>
      <w:proofErr w:type="spellEnd"/>
      <w:r>
        <w:t>. 2018 Jul 13;10(7):e2980.</w:t>
      </w:r>
    </w:p>
    <w:p w14:paraId="59B334AE" w14:textId="77777777" w:rsidR="000566A0" w:rsidRDefault="000566A0" w:rsidP="000566A0">
      <w:proofErr w:type="spellStart"/>
      <w:r>
        <w:t>Gerbershagen</w:t>
      </w:r>
      <w:proofErr w:type="spellEnd"/>
      <w:r>
        <w:t xml:space="preserve"> HJ, </w:t>
      </w:r>
      <w:proofErr w:type="spellStart"/>
      <w:r>
        <w:t>Rothaug</w:t>
      </w:r>
      <w:proofErr w:type="spellEnd"/>
      <w:r>
        <w:t xml:space="preserve"> J, </w:t>
      </w:r>
      <w:proofErr w:type="spellStart"/>
      <w:r>
        <w:t>Kalkman</w:t>
      </w:r>
      <w:proofErr w:type="spellEnd"/>
      <w:r>
        <w:t xml:space="preserve"> CJ, Meissner W. Determination of moderate-to-severe postoperative pain on the numeric rating scale: a cut-off point analysis applying four different methods. Br J </w:t>
      </w:r>
      <w:proofErr w:type="spellStart"/>
      <w:r>
        <w:t>Anaesth</w:t>
      </w:r>
      <w:proofErr w:type="spellEnd"/>
      <w:r>
        <w:t>. 2011 Oct;107(4):619-26.</w:t>
      </w:r>
    </w:p>
    <w:p w14:paraId="301A2763" w14:textId="65FCA712" w:rsidR="009855AF" w:rsidRDefault="000178A7" w:rsidP="000178A7">
      <w:r>
        <w:t>Guay</w:t>
      </w:r>
      <w:r w:rsidR="00A629FF">
        <w:t xml:space="preserve"> J</w:t>
      </w:r>
      <w:r>
        <w:t>, Johnson</w:t>
      </w:r>
      <w:r w:rsidR="00A629FF">
        <w:t xml:space="preserve"> RL</w:t>
      </w:r>
      <w:r>
        <w:t>, Kopp</w:t>
      </w:r>
      <w:r w:rsidR="00A629FF">
        <w:t xml:space="preserve"> S</w:t>
      </w:r>
      <w:r>
        <w:t>, Cochrane Anaesthesia Group. Nerve blocks or no nerve blocks for pain control after elective hip replacement (arthroplasty) surgery in adults. Cochrane Database Syst Rev. 2017 Oct; 2017(10): CD011608.</w:t>
      </w:r>
    </w:p>
    <w:p w14:paraId="141E7952" w14:textId="2551042E" w:rsidR="00E01349" w:rsidRDefault="004E58C1" w:rsidP="00E01349">
      <w:r>
        <w:t xml:space="preserve">Jenkin DE, Harris IA, </w:t>
      </w:r>
      <w:proofErr w:type="spellStart"/>
      <w:r>
        <w:t>Descallar</w:t>
      </w:r>
      <w:proofErr w:type="spellEnd"/>
      <w:r>
        <w:t xml:space="preserve"> J, Naylor JM. Discharge to inpatient rehabilitation following arthroplasty is a strong predictor of persistent opioid use 90 days after surgery: a prospective, observational study. BMC </w:t>
      </w:r>
      <w:proofErr w:type="spellStart"/>
      <w:r>
        <w:t>Musculoskelet</w:t>
      </w:r>
      <w:proofErr w:type="spellEnd"/>
      <w:r>
        <w:t xml:space="preserve"> </w:t>
      </w:r>
      <w:proofErr w:type="spellStart"/>
      <w:r>
        <w:t>Disord</w:t>
      </w:r>
      <w:proofErr w:type="spellEnd"/>
      <w:r>
        <w:t>. 2023 Jan 14;24(1):31.</w:t>
      </w:r>
    </w:p>
    <w:p w14:paraId="44A6BB0B" w14:textId="77E5B6A7" w:rsidR="005E1A47" w:rsidRDefault="0003261C" w:rsidP="0003261C">
      <w:r>
        <w:t xml:space="preserve">Joshi G, Gandhi K, Shah N, Gadsden J, Corman SL. Peripheral nerve blocks in the management of postoperative pain: challenges and opportunities. J Clin </w:t>
      </w:r>
      <w:proofErr w:type="spellStart"/>
      <w:r>
        <w:t>Anesth</w:t>
      </w:r>
      <w:proofErr w:type="spellEnd"/>
      <w:r>
        <w:t>. 2016 Dec;35:524-529.</w:t>
      </w:r>
    </w:p>
    <w:p w14:paraId="42F998A9" w14:textId="5F02ED94" w:rsidR="00E15B60" w:rsidRDefault="009855AF" w:rsidP="00E15B60">
      <w:r w:rsidRPr="00394F92">
        <w:t>PROSPECT Working Group 2015.</w:t>
      </w:r>
      <w:r w:rsidR="00394F92" w:rsidRPr="00394F92">
        <w:t xml:space="preserve"> Thoracotomy</w:t>
      </w:r>
      <w:r w:rsidR="003B0072">
        <w:t xml:space="preserve"> – </w:t>
      </w:r>
      <w:r w:rsidR="003B0072" w:rsidRPr="003B0072">
        <w:t>Summary Recommendations</w:t>
      </w:r>
      <w:r w:rsidR="003B0072">
        <w:t>.</w:t>
      </w:r>
      <w:r w:rsidR="00D23A2B">
        <w:t xml:space="preserve"> </w:t>
      </w:r>
      <w:hyperlink r:id="rId18" w:history="1">
        <w:r w:rsidR="00D23A2B" w:rsidRPr="00811AEE">
          <w:rPr>
            <w:rStyle w:val="Hyperlink"/>
            <w:rFonts w:ascii="Calibri" w:hAnsi="Calibri"/>
          </w:rPr>
          <w:t>https://esraeurope.org/prospect/procedures/thoracotomy-2015/summary-recommendations-8/</w:t>
        </w:r>
      </w:hyperlink>
      <w:r w:rsidR="008627E6">
        <w:t xml:space="preserve"> </w:t>
      </w:r>
      <w:r w:rsidR="00E15B60">
        <w:br/>
      </w:r>
      <w:r w:rsidR="00D23A2B">
        <w:t xml:space="preserve">European Society of Regional Anaesthesia and Pain Therapy (ESRA). </w:t>
      </w:r>
      <w:r w:rsidR="00E15B60">
        <w:t>[Accessed 0</w:t>
      </w:r>
      <w:r w:rsidR="00D23A2B">
        <w:t>2</w:t>
      </w:r>
      <w:r w:rsidR="00E15B60">
        <w:t xml:space="preserve"> March 2023].</w:t>
      </w:r>
    </w:p>
    <w:p w14:paraId="05CA070D" w14:textId="77777777" w:rsidR="00BA5FEE" w:rsidRDefault="00BA5FEE" w:rsidP="00BA5FEE">
      <w:r>
        <w:t xml:space="preserve">Schug SA, Palmer GM, Scott DA, </w:t>
      </w:r>
      <w:proofErr w:type="spellStart"/>
      <w:r>
        <w:t>Alcock</w:t>
      </w:r>
      <w:proofErr w:type="spellEnd"/>
      <w:r>
        <w:t xml:space="preserve"> M, Halliwell R, Mott JF; APM:SE Working Group of the Australian and New Zealand College of Anaesthetists and Faculty of Pain Medicine (2020), Acute Pain Management: Scientific Evidence (5</w:t>
      </w:r>
      <w:r w:rsidRPr="00A84A25">
        <w:rPr>
          <w:vertAlign w:val="superscript"/>
        </w:rPr>
        <w:t>th</w:t>
      </w:r>
      <w:r>
        <w:t xml:space="preserve"> Edition), ANZCA &amp; FPM, Melbourne.</w:t>
      </w:r>
    </w:p>
    <w:p w14:paraId="029F6680" w14:textId="7640B5EF" w:rsidR="00F75EFA" w:rsidRDefault="00D90592" w:rsidP="00E01349">
      <w:r>
        <w:t xml:space="preserve">Toma O, </w:t>
      </w:r>
      <w:proofErr w:type="spellStart"/>
      <w:r>
        <w:t>Persoons</w:t>
      </w:r>
      <w:proofErr w:type="spellEnd"/>
      <w:r>
        <w:t xml:space="preserve"> B, </w:t>
      </w:r>
      <w:proofErr w:type="spellStart"/>
      <w:r>
        <w:t>Pogatzki</w:t>
      </w:r>
      <w:proofErr w:type="spellEnd"/>
      <w:r>
        <w:t>-Zahn E, Van de Velde M, Joshi GP; PROSPECT Working Group collaborators. PROSPECT guideline for rotator cuff repair surgery: systematic review and procedure-specific postoperative pain management recommendations. Anaesthesia. 2019 Oct;74(10):1320-1331</w:t>
      </w:r>
    </w:p>
    <w:p w14:paraId="4A9CACA1" w14:textId="77777777" w:rsidR="00DC6F07" w:rsidRDefault="00DC6F07" w:rsidP="00E01349">
      <w:pPr>
        <w:sectPr w:rsidR="00DC6F07" w:rsidSect="0020472B">
          <w:pgSz w:w="11906" w:h="16838"/>
          <w:pgMar w:top="682" w:right="1134" w:bottom="1021" w:left="1191" w:header="709" w:footer="680" w:gutter="0"/>
          <w:cols w:space="708"/>
          <w:docGrid w:linePitch="360"/>
        </w:sectPr>
      </w:pPr>
    </w:p>
    <w:p w14:paraId="7BA5158D" w14:textId="024FC54F" w:rsidR="00460E83" w:rsidRDefault="00460E83" w:rsidP="00460E83">
      <w:pPr>
        <w:pStyle w:val="Heading2"/>
      </w:pPr>
      <w:r>
        <w:lastRenderedPageBreak/>
        <w:t>Appendix</w:t>
      </w:r>
    </w:p>
    <w:p w14:paraId="54DB1004" w14:textId="77777777" w:rsidR="003D7CB0" w:rsidRDefault="003D7CB0" w:rsidP="003D7CB0">
      <w:pPr>
        <w:pStyle w:val="Heading3"/>
      </w:pPr>
      <w:r>
        <w:t>Background – previous MSAC considerations</w:t>
      </w:r>
    </w:p>
    <w:p w14:paraId="7302423E" w14:textId="77777777" w:rsidR="003D7CB0" w:rsidRDefault="003D7CB0" w:rsidP="003D7CB0">
      <w:pPr>
        <w:pStyle w:val="Heading4"/>
      </w:pPr>
      <w:r>
        <w:t>Application 1308 – Local anaesthetic nerve blockade</w:t>
      </w:r>
    </w:p>
    <w:p w14:paraId="06EBF9E2" w14:textId="56CB8AB1" w:rsidR="003D7CB0" w:rsidRPr="003D7CB0" w:rsidRDefault="003D7CB0" w:rsidP="003D7CB0">
      <w:pPr>
        <w:spacing w:after="240"/>
      </w:pPr>
      <w:r>
        <w:rPr>
          <w:iCs/>
        </w:rPr>
        <w:t xml:space="preserve">A previous application for peripheral nerve blocks, from the same applicant, was considered at the April 2017 MSAC meeting (1308 </w:t>
      </w:r>
      <w:r w:rsidRPr="005F32FD">
        <w:rPr>
          <w:iCs/>
        </w:rPr>
        <w:t>Local anaesthetic nerve blockade for post-surgical analgesia</w:t>
      </w:r>
      <w:r>
        <w:rPr>
          <w:iCs/>
        </w:rPr>
        <w:t>). That application requested three new items for regional nerve block; major, minor and continuous. It was proposed that the new items would replace three MBS items (22040, 22045 and 22050 – subsequently deleted; see</w:t>
      </w:r>
      <w:r w:rsidR="0015433F">
        <w:rPr>
          <w:iCs/>
        </w:rPr>
        <w:t xml:space="preserve"> </w:t>
      </w:r>
      <w:r w:rsidR="00C07CE3">
        <w:rPr>
          <w:iCs/>
        </w:rPr>
        <w:fldChar w:fldCharType="begin"/>
      </w:r>
      <w:r w:rsidR="00C07CE3">
        <w:rPr>
          <w:iCs/>
        </w:rPr>
        <w:instrText xml:space="preserve"> REF _Ref127883612 \h </w:instrText>
      </w:r>
      <w:r w:rsidR="00C07CE3">
        <w:rPr>
          <w:iCs/>
        </w:rPr>
      </w:r>
      <w:r w:rsidR="00C07CE3">
        <w:rPr>
          <w:iCs/>
        </w:rPr>
        <w:fldChar w:fldCharType="separate"/>
      </w:r>
      <w:r w:rsidR="00B65CEE" w:rsidRPr="00490FBB">
        <w:t>Table</w:t>
      </w:r>
      <w:r w:rsidR="00B65CEE">
        <w:t> </w:t>
      </w:r>
      <w:r w:rsidR="00B65CEE">
        <w:rPr>
          <w:noProof/>
        </w:rPr>
        <w:t>16</w:t>
      </w:r>
      <w:r w:rsidR="00C07CE3">
        <w:rPr>
          <w:iCs/>
        </w:rPr>
        <w:fldChar w:fldCharType="end"/>
      </w:r>
      <w:r>
        <w:rPr>
          <w:iCs/>
        </w:rPr>
        <w:t xml:space="preserve">) that were specific to nerve block of the femoral and sciatic nerves </w:t>
      </w:r>
      <w:r w:rsidRPr="009C5E9B">
        <w:rPr>
          <w:iCs/>
        </w:rPr>
        <w:t>(for hip, knee</w:t>
      </w:r>
      <w:r>
        <w:rPr>
          <w:iCs/>
        </w:rPr>
        <w:t>,</w:t>
      </w:r>
      <w:r w:rsidRPr="009C5E9B">
        <w:rPr>
          <w:iCs/>
        </w:rPr>
        <w:t xml:space="preserve"> </w:t>
      </w:r>
      <w:proofErr w:type="gramStart"/>
      <w:r w:rsidRPr="009C5E9B">
        <w:rPr>
          <w:iCs/>
        </w:rPr>
        <w:t>ankle</w:t>
      </w:r>
      <w:proofErr w:type="gramEnd"/>
      <w:r>
        <w:rPr>
          <w:iCs/>
        </w:rPr>
        <w:t xml:space="preserve"> </w:t>
      </w:r>
      <w:r w:rsidRPr="009C5E9B">
        <w:rPr>
          <w:iCs/>
        </w:rPr>
        <w:t>or foot surgery</w:t>
      </w:r>
      <w:r>
        <w:rPr>
          <w:iCs/>
        </w:rPr>
        <w:t>)</w:t>
      </w:r>
      <w:r w:rsidRPr="009C5E9B">
        <w:rPr>
          <w:iCs/>
        </w:rPr>
        <w:t xml:space="preserve"> and the brachial plexus (for shoulder</w:t>
      </w:r>
      <w:r>
        <w:rPr>
          <w:iCs/>
        </w:rPr>
        <w:t xml:space="preserve"> </w:t>
      </w:r>
      <w:r w:rsidRPr="009C5E9B">
        <w:rPr>
          <w:iCs/>
        </w:rPr>
        <w:t>surgery).</w:t>
      </w:r>
      <w:r>
        <w:rPr>
          <w:iCs/>
        </w:rPr>
        <w:t xml:space="preserve"> </w:t>
      </w:r>
    </w:p>
    <w:p w14:paraId="19D24B76" w14:textId="67B7E7E4" w:rsidR="00DC6F07" w:rsidRPr="00490FBB" w:rsidRDefault="00DC6F07" w:rsidP="00DC6F07">
      <w:pPr>
        <w:pStyle w:val="Caption"/>
      </w:pPr>
      <w:bookmarkStart w:id="42" w:name="_Ref127883612"/>
      <w:r w:rsidRPr="00490FBB">
        <w:t>Table</w:t>
      </w:r>
      <w:r>
        <w:t> </w:t>
      </w:r>
      <w:r>
        <w:fldChar w:fldCharType="begin"/>
      </w:r>
      <w:r>
        <w:instrText xml:space="preserve"> SEQ Table \* ARABIC </w:instrText>
      </w:r>
      <w:r>
        <w:fldChar w:fldCharType="separate"/>
      </w:r>
      <w:r w:rsidR="00B65CEE">
        <w:rPr>
          <w:noProof/>
        </w:rPr>
        <w:t>16</w:t>
      </w:r>
      <w:r>
        <w:fldChar w:fldCharType="end"/>
      </w:r>
      <w:bookmarkEnd w:id="42"/>
      <w:r>
        <w:tab/>
      </w:r>
      <w:r w:rsidR="00AF5AAF">
        <w:t>Deleted</w:t>
      </w:r>
      <w:r>
        <w:t xml:space="preserve"> MBS items: </w:t>
      </w:r>
      <w:r w:rsidR="00C06670" w:rsidRPr="00C06670">
        <w:t>Intra</w:t>
      </w:r>
      <w:r w:rsidR="00C01C10">
        <w:t>operative</w:t>
      </w:r>
      <w:r w:rsidR="00C06670" w:rsidRPr="00C06670">
        <w:t xml:space="preserve"> Blocks for Post</w:t>
      </w:r>
      <w:r w:rsidR="00C01C10">
        <w:t>operative</w:t>
      </w:r>
      <w:r w:rsidR="00C06670" w:rsidRPr="00C06670">
        <w:t xml:space="preserve"> Pain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688"/>
        <w:gridCol w:w="611"/>
        <w:gridCol w:w="2354"/>
        <w:gridCol w:w="4806"/>
        <w:gridCol w:w="1112"/>
      </w:tblGrid>
      <w:tr w:rsidR="00061BE1" w:rsidRPr="00490FBB" w14:paraId="11EB685F" w14:textId="77777777" w:rsidTr="006F6931">
        <w:trPr>
          <w:cantSplit/>
          <w:tblHeader/>
        </w:trPr>
        <w:tc>
          <w:tcPr>
            <w:tcW w:w="367" w:type="pct"/>
          </w:tcPr>
          <w:p w14:paraId="33A5AE02" w14:textId="77777777" w:rsidR="00061BE1" w:rsidRPr="00D638C0" w:rsidRDefault="00061BE1">
            <w:pPr>
              <w:pStyle w:val="TableHeading"/>
              <w:ind w:left="-57" w:right="-57"/>
            </w:pPr>
            <w:r w:rsidRPr="00D638C0">
              <w:t>MBS#</w:t>
            </w:r>
          </w:p>
        </w:tc>
        <w:tc>
          <w:tcPr>
            <w:tcW w:w="319" w:type="pct"/>
          </w:tcPr>
          <w:p w14:paraId="761148C8" w14:textId="77777777" w:rsidR="00061BE1" w:rsidRPr="00D638C0" w:rsidRDefault="00061BE1">
            <w:pPr>
              <w:pStyle w:val="TableHeading"/>
              <w:ind w:left="-57" w:right="-57"/>
              <w:jc w:val="center"/>
            </w:pPr>
            <w:r w:rsidRPr="00D638C0">
              <w:t>Basic units</w:t>
            </w:r>
          </w:p>
        </w:tc>
        <w:tc>
          <w:tcPr>
            <w:tcW w:w="1237" w:type="pct"/>
          </w:tcPr>
          <w:p w14:paraId="075F14BD" w14:textId="77777777" w:rsidR="00061BE1" w:rsidRPr="00D638C0" w:rsidRDefault="00061BE1">
            <w:pPr>
              <w:pStyle w:val="TableHeading"/>
              <w:ind w:left="-57" w:right="-57"/>
              <w:jc w:val="center"/>
            </w:pPr>
            <w:r w:rsidRPr="00D638C0">
              <w:t>Administration</w:t>
            </w:r>
          </w:p>
        </w:tc>
        <w:tc>
          <w:tcPr>
            <w:tcW w:w="2518" w:type="pct"/>
          </w:tcPr>
          <w:p w14:paraId="65AB5CA4" w14:textId="77777777" w:rsidR="00061BE1" w:rsidRPr="00D638C0" w:rsidRDefault="00061BE1">
            <w:pPr>
              <w:pStyle w:val="TableHeading"/>
              <w:ind w:left="-57" w:right="-57"/>
              <w:jc w:val="center"/>
            </w:pPr>
            <w:r w:rsidRPr="00D638C0">
              <w:t>Purpose</w:t>
            </w:r>
          </w:p>
        </w:tc>
        <w:tc>
          <w:tcPr>
            <w:tcW w:w="560" w:type="pct"/>
          </w:tcPr>
          <w:p w14:paraId="7A0DF271" w14:textId="77777777" w:rsidR="00061BE1" w:rsidRDefault="00061BE1">
            <w:pPr>
              <w:pStyle w:val="TableHeading"/>
              <w:ind w:left="-57" w:right="-57"/>
              <w:jc w:val="center"/>
            </w:pPr>
            <w:r w:rsidRPr="00D638C0">
              <w:t>Explanatory Notes</w:t>
            </w:r>
          </w:p>
        </w:tc>
      </w:tr>
      <w:tr w:rsidR="00061BE1" w:rsidRPr="00490FBB" w14:paraId="4B21F027" w14:textId="77777777" w:rsidTr="006F6931">
        <w:tc>
          <w:tcPr>
            <w:tcW w:w="367" w:type="pct"/>
            <w:vAlign w:val="center"/>
          </w:tcPr>
          <w:p w14:paraId="0F0FB66B" w14:textId="1594F5B3" w:rsidR="00061BE1" w:rsidRPr="00490FBB" w:rsidRDefault="00061BE1">
            <w:pPr>
              <w:pStyle w:val="Tabletext"/>
              <w:ind w:left="-57" w:right="-57"/>
            </w:pPr>
            <w:r>
              <w:t>22040</w:t>
            </w:r>
          </w:p>
        </w:tc>
        <w:tc>
          <w:tcPr>
            <w:tcW w:w="319" w:type="pct"/>
            <w:vAlign w:val="center"/>
          </w:tcPr>
          <w:p w14:paraId="68D5D94C" w14:textId="4EA10569" w:rsidR="00061BE1" w:rsidRPr="00490FBB" w:rsidRDefault="00061BE1">
            <w:pPr>
              <w:pStyle w:val="Tabletext"/>
              <w:ind w:left="-57" w:right="-57"/>
            </w:pPr>
            <w:r>
              <w:t>2</w:t>
            </w:r>
          </w:p>
        </w:tc>
        <w:tc>
          <w:tcPr>
            <w:tcW w:w="1237" w:type="pct"/>
          </w:tcPr>
          <w:p w14:paraId="40DDC2CD" w14:textId="77777777" w:rsidR="00061BE1" w:rsidRPr="0010600A" w:rsidRDefault="00061BE1" w:rsidP="000E3D13">
            <w:pPr>
              <w:pStyle w:val="Tabletext"/>
              <w:ind w:left="-57" w:right="-57"/>
            </w:pPr>
            <w:r w:rsidRPr="0010600A">
              <w:t>Regional or Field Nerve Block</w:t>
            </w:r>
          </w:p>
          <w:p w14:paraId="6A1EA493" w14:textId="1686F9A8" w:rsidR="00061BE1" w:rsidRPr="0010600A" w:rsidRDefault="00061BE1" w:rsidP="000E3D13">
            <w:pPr>
              <w:pStyle w:val="Tabletext"/>
              <w:ind w:left="-57" w:right="-57"/>
            </w:pPr>
            <w:r w:rsidRPr="0010600A">
              <w:rPr>
                <w:i/>
                <w:iCs/>
              </w:rPr>
              <w:t>[single injection item]</w:t>
            </w:r>
          </w:p>
        </w:tc>
        <w:tc>
          <w:tcPr>
            <w:tcW w:w="2518" w:type="pct"/>
            <w:vAlign w:val="center"/>
          </w:tcPr>
          <w:p w14:paraId="574C7AC3" w14:textId="434B9524" w:rsidR="00061BE1" w:rsidRDefault="00061BE1">
            <w:pPr>
              <w:pStyle w:val="Tabletext"/>
              <w:ind w:left="-57" w:right="-57"/>
            </w:pPr>
            <w:r>
              <w:t>I</w:t>
            </w:r>
            <w:r w:rsidRPr="00ED7EA3">
              <w:t>n addition to the general anaesthesia for the related procedure</w:t>
            </w:r>
          </w:p>
          <w:p w14:paraId="349C7910" w14:textId="484475EE" w:rsidR="00061BE1" w:rsidRPr="00490FBB" w:rsidRDefault="00061BE1">
            <w:pPr>
              <w:pStyle w:val="Tabletext"/>
              <w:ind w:left="-57" w:right="-57"/>
            </w:pPr>
            <w:r>
              <w:t>For post</w:t>
            </w:r>
            <w:r w:rsidR="00C01C10">
              <w:t>operative</w:t>
            </w:r>
            <w:r>
              <w:t xml:space="preserve"> pain via the femoral </w:t>
            </w:r>
            <w:r w:rsidRPr="00710A44">
              <w:rPr>
                <w:u w:val="single"/>
              </w:rPr>
              <w:t>OR</w:t>
            </w:r>
            <w:r>
              <w:t xml:space="preserve"> sciatic nerves, in conjunction with hip, knee, ankle or foot surgery</w:t>
            </w:r>
          </w:p>
        </w:tc>
        <w:tc>
          <w:tcPr>
            <w:tcW w:w="560" w:type="pct"/>
          </w:tcPr>
          <w:p w14:paraId="71DD3699" w14:textId="69F817C6" w:rsidR="00061BE1" w:rsidRDefault="00061BE1">
            <w:pPr>
              <w:pStyle w:val="Tabletext"/>
              <w:ind w:left="-57" w:right="-57"/>
            </w:pPr>
            <w:r>
              <w:t>TN.10.17; TN.10.21</w:t>
            </w:r>
          </w:p>
        </w:tc>
      </w:tr>
      <w:tr w:rsidR="00061BE1" w:rsidRPr="00490FBB" w14:paraId="1F113719" w14:textId="77777777" w:rsidTr="006F6931">
        <w:tc>
          <w:tcPr>
            <w:tcW w:w="367" w:type="pct"/>
            <w:vAlign w:val="center"/>
          </w:tcPr>
          <w:p w14:paraId="7006E022" w14:textId="3A272780" w:rsidR="00061BE1" w:rsidRPr="00490FBB" w:rsidRDefault="00061BE1" w:rsidP="00C43719">
            <w:pPr>
              <w:pStyle w:val="Tabletext"/>
              <w:ind w:left="-57" w:right="-57"/>
            </w:pPr>
            <w:r>
              <w:t>22045</w:t>
            </w:r>
          </w:p>
        </w:tc>
        <w:tc>
          <w:tcPr>
            <w:tcW w:w="319" w:type="pct"/>
            <w:vAlign w:val="center"/>
          </w:tcPr>
          <w:p w14:paraId="52D15BA1" w14:textId="77777777" w:rsidR="00061BE1" w:rsidRPr="00490FBB" w:rsidRDefault="00061BE1" w:rsidP="00C43719">
            <w:pPr>
              <w:pStyle w:val="Tabletext"/>
              <w:ind w:left="-57" w:right="-57"/>
            </w:pPr>
            <w:r>
              <w:t>3</w:t>
            </w:r>
          </w:p>
        </w:tc>
        <w:tc>
          <w:tcPr>
            <w:tcW w:w="1237" w:type="pct"/>
          </w:tcPr>
          <w:p w14:paraId="06C767BB" w14:textId="77777777" w:rsidR="00061BE1" w:rsidRPr="0010600A" w:rsidRDefault="00061BE1" w:rsidP="00C43719">
            <w:pPr>
              <w:pStyle w:val="Tabletext"/>
              <w:ind w:left="-57" w:right="-57"/>
            </w:pPr>
            <w:r w:rsidRPr="0010600A">
              <w:t>Regional or Field Nerve Block</w:t>
            </w:r>
          </w:p>
          <w:p w14:paraId="14B30200" w14:textId="2AE31221" w:rsidR="00061BE1" w:rsidRPr="0010600A" w:rsidRDefault="00061BE1" w:rsidP="00C43719">
            <w:pPr>
              <w:pStyle w:val="Tabletext"/>
              <w:ind w:left="-57" w:right="-57"/>
            </w:pPr>
            <w:r w:rsidRPr="0010600A">
              <w:rPr>
                <w:i/>
                <w:iCs/>
              </w:rPr>
              <w:t>[single injection item]</w:t>
            </w:r>
          </w:p>
        </w:tc>
        <w:tc>
          <w:tcPr>
            <w:tcW w:w="2518" w:type="pct"/>
            <w:vAlign w:val="center"/>
          </w:tcPr>
          <w:p w14:paraId="2DAF532B" w14:textId="77777777" w:rsidR="00061BE1" w:rsidRDefault="00061BE1" w:rsidP="00C43719">
            <w:pPr>
              <w:pStyle w:val="Tabletext"/>
              <w:ind w:left="-57" w:right="-57"/>
            </w:pPr>
            <w:r>
              <w:t>I</w:t>
            </w:r>
            <w:r w:rsidRPr="00ED7EA3">
              <w:t>n addition to the general anaesthesia for the related procedure</w:t>
            </w:r>
          </w:p>
          <w:p w14:paraId="32607079" w14:textId="4303C60D" w:rsidR="00061BE1" w:rsidRPr="00490FBB" w:rsidRDefault="00061BE1" w:rsidP="00710A44">
            <w:pPr>
              <w:pStyle w:val="Tabletext"/>
              <w:ind w:left="-57" w:right="-57"/>
            </w:pPr>
            <w:r>
              <w:t>For post</w:t>
            </w:r>
            <w:r w:rsidR="00C01C10">
              <w:t>operative</w:t>
            </w:r>
            <w:r>
              <w:t xml:space="preserve"> pain via the femoral </w:t>
            </w:r>
            <w:r w:rsidRPr="00710A44">
              <w:rPr>
                <w:u w:val="single"/>
              </w:rPr>
              <w:t>AND</w:t>
            </w:r>
            <w:r>
              <w:t xml:space="preserve"> sciatic nerves, in conjunction with hip, knee, ankle or foot surgery</w:t>
            </w:r>
          </w:p>
        </w:tc>
        <w:tc>
          <w:tcPr>
            <w:tcW w:w="560" w:type="pct"/>
          </w:tcPr>
          <w:p w14:paraId="38C7ADD2" w14:textId="38CA8D04" w:rsidR="00061BE1" w:rsidRDefault="00061BE1" w:rsidP="00C43719">
            <w:pPr>
              <w:pStyle w:val="Tabletext"/>
              <w:ind w:left="-57" w:right="-57"/>
            </w:pPr>
            <w:r>
              <w:t>TN.10.17; TN.10.21</w:t>
            </w:r>
          </w:p>
        </w:tc>
      </w:tr>
      <w:tr w:rsidR="00061BE1" w:rsidRPr="00490FBB" w14:paraId="08B9DFDD" w14:textId="77777777" w:rsidTr="006F6931">
        <w:tc>
          <w:tcPr>
            <w:tcW w:w="367" w:type="pct"/>
            <w:vAlign w:val="center"/>
          </w:tcPr>
          <w:p w14:paraId="727B6C0E" w14:textId="4618B29A" w:rsidR="00061BE1" w:rsidRPr="00490FBB" w:rsidRDefault="00061BE1" w:rsidP="00573DD2">
            <w:pPr>
              <w:pStyle w:val="Tabletext"/>
              <w:ind w:left="-57" w:right="-57"/>
            </w:pPr>
            <w:r w:rsidRPr="00211497">
              <w:t>220</w:t>
            </w:r>
            <w:r>
              <w:t>50</w:t>
            </w:r>
          </w:p>
        </w:tc>
        <w:tc>
          <w:tcPr>
            <w:tcW w:w="319" w:type="pct"/>
            <w:vAlign w:val="center"/>
          </w:tcPr>
          <w:p w14:paraId="03ED5B36" w14:textId="77777777" w:rsidR="00061BE1" w:rsidRPr="00490FBB" w:rsidRDefault="00061BE1" w:rsidP="00573DD2">
            <w:pPr>
              <w:pStyle w:val="Tabletext"/>
              <w:ind w:left="-57" w:right="-57"/>
            </w:pPr>
            <w:r>
              <w:t>2</w:t>
            </w:r>
          </w:p>
        </w:tc>
        <w:tc>
          <w:tcPr>
            <w:tcW w:w="1237" w:type="pct"/>
          </w:tcPr>
          <w:p w14:paraId="3327A455" w14:textId="77777777" w:rsidR="00061BE1" w:rsidRPr="0010600A" w:rsidRDefault="00061BE1" w:rsidP="00573DD2">
            <w:pPr>
              <w:pStyle w:val="Tabletext"/>
              <w:ind w:left="-57" w:right="-57"/>
            </w:pPr>
            <w:r w:rsidRPr="0010600A">
              <w:t>Regional or Field Nerve Block</w:t>
            </w:r>
          </w:p>
          <w:p w14:paraId="798949D8" w14:textId="12D82939" w:rsidR="00061BE1" w:rsidRPr="0010600A" w:rsidRDefault="00061BE1" w:rsidP="00573DD2">
            <w:pPr>
              <w:pStyle w:val="Tabletext"/>
              <w:ind w:left="-57" w:right="-57"/>
              <w:rPr>
                <w:i/>
                <w:iCs/>
              </w:rPr>
            </w:pPr>
            <w:r w:rsidRPr="0010600A">
              <w:rPr>
                <w:i/>
                <w:iCs/>
              </w:rPr>
              <w:t>[single injection item]</w:t>
            </w:r>
          </w:p>
        </w:tc>
        <w:tc>
          <w:tcPr>
            <w:tcW w:w="2518" w:type="pct"/>
            <w:vAlign w:val="center"/>
          </w:tcPr>
          <w:p w14:paraId="44BCD2EF" w14:textId="77777777" w:rsidR="00061BE1" w:rsidRDefault="00061BE1" w:rsidP="00573DD2">
            <w:pPr>
              <w:pStyle w:val="Tabletext"/>
              <w:ind w:left="-57" w:right="-57"/>
            </w:pPr>
            <w:r>
              <w:t>I</w:t>
            </w:r>
            <w:r w:rsidRPr="00ED7EA3">
              <w:t>n addition to the general anaesthesia for the related procedure</w:t>
            </w:r>
          </w:p>
          <w:p w14:paraId="22E2CCAC" w14:textId="401D7872" w:rsidR="00061BE1" w:rsidRPr="00490FBB" w:rsidRDefault="00061BE1" w:rsidP="00573DD2">
            <w:pPr>
              <w:pStyle w:val="Tabletext"/>
              <w:ind w:left="-57" w:right="-57"/>
            </w:pPr>
            <w:r>
              <w:t>For post</w:t>
            </w:r>
            <w:r w:rsidR="00C01C10">
              <w:t>operative</w:t>
            </w:r>
            <w:r>
              <w:t xml:space="preserve"> pain via the brachial plexus in conjunction with shoulder surgery</w:t>
            </w:r>
          </w:p>
        </w:tc>
        <w:tc>
          <w:tcPr>
            <w:tcW w:w="560" w:type="pct"/>
          </w:tcPr>
          <w:p w14:paraId="71D296DB" w14:textId="40C712C6" w:rsidR="00061BE1" w:rsidRDefault="00061BE1" w:rsidP="00573DD2">
            <w:pPr>
              <w:pStyle w:val="Tabletext"/>
              <w:ind w:left="-57" w:right="-57"/>
            </w:pPr>
            <w:r>
              <w:t>TN.10.17; TN.10.21</w:t>
            </w:r>
          </w:p>
        </w:tc>
      </w:tr>
    </w:tbl>
    <w:p w14:paraId="0B74C5BB" w14:textId="37095615" w:rsidR="00DC6F07" w:rsidRDefault="00DC6F07" w:rsidP="00612525">
      <w:pPr>
        <w:pStyle w:val="Tablenotes"/>
        <w:spacing w:after="240"/>
      </w:pPr>
      <w:r>
        <w:t xml:space="preserve">Source: </w:t>
      </w:r>
      <w:r w:rsidRPr="00F34701">
        <w:t>Medicare Benefits Schedule Book</w:t>
      </w:r>
      <w:r>
        <w:t>, 1 July 20</w:t>
      </w:r>
      <w:r w:rsidR="00976E4E">
        <w:t>19</w:t>
      </w:r>
      <w:r>
        <w:t>.</w:t>
      </w:r>
    </w:p>
    <w:p w14:paraId="3E875117" w14:textId="77777777" w:rsidR="00612525" w:rsidRDefault="00612525" w:rsidP="00612525">
      <w:pPr>
        <w:spacing w:after="240"/>
        <w:rPr>
          <w:iCs/>
        </w:rPr>
      </w:pPr>
      <w:r>
        <w:rPr>
          <w:iCs/>
        </w:rPr>
        <w:t xml:space="preserve">For reference, Application 1308 considered blocks of the following major nerves: </w:t>
      </w:r>
      <w:r w:rsidRPr="00402650">
        <w:rPr>
          <w:iCs/>
        </w:rPr>
        <w:t>paravertebral, lumbar plexus, extrapleural, intercostal, coeliac plexus, cervical plexus, retrobulbar, peribulbar, sub-tenons and adductor canal</w:t>
      </w:r>
      <w:r>
        <w:rPr>
          <w:iCs/>
        </w:rPr>
        <w:t xml:space="preserve">. Not all of these are relevant to the current application (for example, nerve blocks of the eye). Minor nerve blocks considered in Application 1308 included transversus abdominis plane, rectus sheath, </w:t>
      </w:r>
      <w:r w:rsidRPr="00DA08A5">
        <w:rPr>
          <w:iCs/>
        </w:rPr>
        <w:t>fascia iliaca</w:t>
      </w:r>
      <w:r w:rsidRPr="003022F0">
        <w:rPr>
          <w:iCs/>
        </w:rPr>
        <w:t xml:space="preserve"> compartment</w:t>
      </w:r>
      <w:r>
        <w:rPr>
          <w:iCs/>
        </w:rPr>
        <w:t>, axillary plexus and others. P</w:t>
      </w:r>
      <w:r w:rsidRPr="0060432B">
        <w:rPr>
          <w:iCs/>
        </w:rPr>
        <w:t xml:space="preserve">erioperative nerve blocks (without catheter insertion) have since been covered by listing of MBS item 22041 (see below). </w:t>
      </w:r>
    </w:p>
    <w:p w14:paraId="683EC6FB" w14:textId="77777777" w:rsidR="00612525" w:rsidRDefault="00612525" w:rsidP="00612525">
      <w:pPr>
        <w:spacing w:after="240"/>
        <w:rPr>
          <w:iCs/>
        </w:rPr>
      </w:pPr>
      <w:r>
        <w:rPr>
          <w:iCs/>
        </w:rPr>
        <w:t xml:space="preserve">The ESC suggested that five basic units would be reasonable for a continuous nerve block item. </w:t>
      </w:r>
    </w:p>
    <w:p w14:paraId="4B646D0A" w14:textId="77777777" w:rsidR="00612525" w:rsidRPr="00B81EE9" w:rsidRDefault="00612525" w:rsidP="00612525">
      <w:pPr>
        <w:spacing w:after="240"/>
        <w:rPr>
          <w:iCs/>
        </w:rPr>
      </w:pPr>
      <w:r>
        <w:rPr>
          <w:iCs/>
        </w:rPr>
        <w:t xml:space="preserve">MSAC did not support the requested listing of </w:t>
      </w:r>
      <w:r w:rsidRPr="005F32FD">
        <w:rPr>
          <w:iCs/>
        </w:rPr>
        <w:t>nerve blockade for post-surgical analgesia</w:t>
      </w:r>
      <w:r>
        <w:rPr>
          <w:iCs/>
        </w:rPr>
        <w:t>, noting</w:t>
      </w:r>
      <w:r w:rsidRPr="00E27B45">
        <w:rPr>
          <w:iCs/>
        </w:rPr>
        <w:t xml:space="preserve"> </w:t>
      </w:r>
      <w:r w:rsidRPr="00FB07DB">
        <w:rPr>
          <w:i/>
        </w:rPr>
        <w:t>“evidence for the comparative safety and effectiveness of nerve blocks against placebo or no block was greater than that for comparators such as epidural or intrathecal blocks”</w:t>
      </w:r>
      <w:r w:rsidRPr="00E27B45">
        <w:rPr>
          <w:iCs/>
        </w:rPr>
        <w:t>.</w:t>
      </w:r>
      <w:r>
        <w:rPr>
          <w:iCs/>
        </w:rPr>
        <w:t xml:space="preserve"> This appears to be the basis for MSAC’s recommendation that in any resubmission, “no block” should be the nominated comparator. </w:t>
      </w:r>
      <w:r>
        <w:rPr>
          <w:i/>
        </w:rPr>
        <w:t xml:space="preserve">MBS item </w:t>
      </w:r>
      <w:r w:rsidRPr="00E55B57">
        <w:rPr>
          <w:i/>
        </w:rPr>
        <w:t xml:space="preserve">22041 has </w:t>
      </w:r>
      <w:r>
        <w:rPr>
          <w:i/>
        </w:rPr>
        <w:t xml:space="preserve">subsequently </w:t>
      </w:r>
      <w:r w:rsidRPr="00E55B57">
        <w:rPr>
          <w:i/>
        </w:rPr>
        <w:t xml:space="preserve">been listed </w:t>
      </w:r>
      <w:r>
        <w:rPr>
          <w:i/>
        </w:rPr>
        <w:t>(see below). This item</w:t>
      </w:r>
      <w:r w:rsidRPr="00E55B57">
        <w:rPr>
          <w:i/>
        </w:rPr>
        <w:t xml:space="preserve"> represents a</w:t>
      </w:r>
      <w:r>
        <w:rPr>
          <w:i/>
        </w:rPr>
        <w:t>n appropriate</w:t>
      </w:r>
      <w:r w:rsidRPr="00E55B57">
        <w:rPr>
          <w:i/>
        </w:rPr>
        <w:t xml:space="preserve"> comparator </w:t>
      </w:r>
      <w:r>
        <w:rPr>
          <w:i/>
        </w:rPr>
        <w:t xml:space="preserve">for the current application </w:t>
      </w:r>
      <w:r w:rsidRPr="00E55B57">
        <w:rPr>
          <w:i/>
        </w:rPr>
        <w:t xml:space="preserve">and </w:t>
      </w:r>
      <w:r>
        <w:rPr>
          <w:i/>
        </w:rPr>
        <w:t>is</w:t>
      </w:r>
      <w:r w:rsidRPr="00E55B57">
        <w:rPr>
          <w:i/>
        </w:rPr>
        <w:t xml:space="preserve"> the basis of the applicant’s clinical claim. </w:t>
      </w:r>
      <w:r>
        <w:rPr>
          <w:iCs/>
        </w:rPr>
        <w:t xml:space="preserve"> </w:t>
      </w:r>
    </w:p>
    <w:p w14:paraId="66B7FB03" w14:textId="77777777" w:rsidR="00612525" w:rsidRDefault="00612525" w:rsidP="00612525">
      <w:pPr>
        <w:pStyle w:val="Heading4"/>
      </w:pPr>
      <w:r>
        <w:t>Report of the Anaesthesia Clinical Committee – MBS Review</w:t>
      </w:r>
    </w:p>
    <w:p w14:paraId="3B258EE3" w14:textId="77777777" w:rsidR="00612525" w:rsidRDefault="00612525" w:rsidP="00612525">
      <w:pPr>
        <w:spacing w:after="240"/>
        <w:rPr>
          <w:iCs/>
        </w:rPr>
      </w:pPr>
      <w:r>
        <w:rPr>
          <w:iCs/>
        </w:rPr>
        <w:t xml:space="preserve">Subsequent to Application 1308, the MBS Review’s </w:t>
      </w:r>
      <w:r w:rsidRPr="002F59CD">
        <w:rPr>
          <w:iCs/>
        </w:rPr>
        <w:t xml:space="preserve">Anaesthesia Clinical Committee </w:t>
      </w:r>
      <w:r>
        <w:rPr>
          <w:iCs/>
        </w:rPr>
        <w:t>made further recommendations regarding regional or field nerve blocks in its 2017 report</w:t>
      </w:r>
      <w:r>
        <w:rPr>
          <w:rStyle w:val="FootnoteReference"/>
          <w:iCs/>
        </w:rPr>
        <w:footnoteReference w:id="4"/>
      </w:r>
      <w:r>
        <w:rPr>
          <w:iCs/>
        </w:rPr>
        <w:t xml:space="preserve">. The outcome of that process </w:t>
      </w:r>
      <w:r>
        <w:rPr>
          <w:iCs/>
        </w:rPr>
        <w:lastRenderedPageBreak/>
        <w:t xml:space="preserve">resulted in the listing of item 22041 (though the Committee had recommended listing for use both with and without a catheter). </w:t>
      </w:r>
    </w:p>
    <w:p w14:paraId="2AE76A6A" w14:textId="77777777" w:rsidR="00612525" w:rsidRDefault="00612525" w:rsidP="00612525">
      <w:pPr>
        <w:spacing w:after="240"/>
        <w:rPr>
          <w:iCs/>
        </w:rPr>
      </w:pPr>
      <w:r>
        <w:rPr>
          <w:iCs/>
        </w:rPr>
        <w:t>Several points noted in the 1308 assessment are relevant to this application:</w:t>
      </w:r>
    </w:p>
    <w:p w14:paraId="0AEA3715" w14:textId="77777777" w:rsidR="00612525" w:rsidRDefault="00612525" w:rsidP="00612525">
      <w:pPr>
        <w:pStyle w:val="ListParagraph"/>
        <w:numPr>
          <w:ilvl w:val="0"/>
          <w:numId w:val="10"/>
        </w:numPr>
        <w:spacing w:after="240"/>
        <w:rPr>
          <w:iCs/>
        </w:rPr>
      </w:pPr>
      <w:r>
        <w:rPr>
          <w:iCs/>
        </w:rPr>
        <w:t>The Committee’s consideration was specific to limb surgery only, reflected in the descriptor for item 22041.</w:t>
      </w:r>
    </w:p>
    <w:p w14:paraId="564FDA8C" w14:textId="77777777" w:rsidR="00612525" w:rsidRDefault="00612525" w:rsidP="00612525">
      <w:pPr>
        <w:pStyle w:val="ListParagraph"/>
        <w:numPr>
          <w:ilvl w:val="0"/>
          <w:numId w:val="10"/>
        </w:numPr>
        <w:spacing w:after="240"/>
        <w:rPr>
          <w:iCs/>
        </w:rPr>
      </w:pPr>
      <w:r>
        <w:rPr>
          <w:iCs/>
        </w:rPr>
        <w:t xml:space="preserve">The report recommended a combined item </w:t>
      </w:r>
      <w:r>
        <w:t>for plexus or nerve blocks in the lower leg or forearm with/without a catheter.</w:t>
      </w:r>
    </w:p>
    <w:p w14:paraId="5080165C" w14:textId="77777777" w:rsidR="00612525" w:rsidRDefault="00612525" w:rsidP="00612525">
      <w:pPr>
        <w:pStyle w:val="ListParagraph"/>
        <w:numPr>
          <w:ilvl w:val="0"/>
          <w:numId w:val="10"/>
        </w:numPr>
        <w:spacing w:after="240"/>
        <w:rPr>
          <w:iCs/>
        </w:rPr>
      </w:pPr>
      <w:r>
        <w:rPr>
          <w:iCs/>
        </w:rPr>
        <w:t>N</w:t>
      </w:r>
      <w:r w:rsidRPr="001F28E3">
        <w:rPr>
          <w:iCs/>
        </w:rPr>
        <w:t>erve blocks for post</w:t>
      </w:r>
      <w:r>
        <w:rPr>
          <w:iCs/>
        </w:rPr>
        <w:t>operative</w:t>
      </w:r>
      <w:r w:rsidRPr="001F28E3">
        <w:rPr>
          <w:iCs/>
        </w:rPr>
        <w:t xml:space="preserve"> pain management following limb surgery would be covered by two items</w:t>
      </w:r>
      <w:r>
        <w:rPr>
          <w:iCs/>
        </w:rPr>
        <w:t>, one</w:t>
      </w:r>
      <w:r w:rsidRPr="001F28E3">
        <w:rPr>
          <w:iCs/>
        </w:rPr>
        <w:t xml:space="preserve"> </w:t>
      </w:r>
      <w:r>
        <w:rPr>
          <w:iCs/>
        </w:rPr>
        <w:t xml:space="preserve">with a </w:t>
      </w:r>
      <w:r w:rsidRPr="001F28E3">
        <w:rPr>
          <w:iCs/>
        </w:rPr>
        <w:t xml:space="preserve">catheter (4 units) and </w:t>
      </w:r>
      <w:r>
        <w:rPr>
          <w:iCs/>
        </w:rPr>
        <w:t xml:space="preserve">one </w:t>
      </w:r>
      <w:r w:rsidRPr="001F28E3">
        <w:rPr>
          <w:iCs/>
        </w:rPr>
        <w:t xml:space="preserve">without </w:t>
      </w:r>
      <w:r>
        <w:rPr>
          <w:iCs/>
        </w:rPr>
        <w:t xml:space="preserve">a </w:t>
      </w:r>
      <w:r w:rsidRPr="001F28E3">
        <w:rPr>
          <w:iCs/>
        </w:rPr>
        <w:t>catheter (2 units).</w:t>
      </w:r>
    </w:p>
    <w:p w14:paraId="5CE697AB" w14:textId="77777777" w:rsidR="00612525" w:rsidRDefault="00612525" w:rsidP="00612525">
      <w:pPr>
        <w:pStyle w:val="ListParagraph"/>
        <w:numPr>
          <w:ilvl w:val="0"/>
          <w:numId w:val="10"/>
        </w:numPr>
        <w:spacing w:after="240"/>
        <w:rPr>
          <w:iCs/>
        </w:rPr>
      </w:pPr>
      <w:r>
        <w:rPr>
          <w:iCs/>
        </w:rPr>
        <w:t xml:space="preserve">A </w:t>
      </w:r>
      <w:r w:rsidRPr="00CE1635">
        <w:rPr>
          <w:iCs/>
        </w:rPr>
        <w:t>maximum one service to be claimed per patient (per episode)</w:t>
      </w:r>
      <w:r>
        <w:rPr>
          <w:iCs/>
        </w:rPr>
        <w:t>.</w:t>
      </w:r>
    </w:p>
    <w:p w14:paraId="15556991" w14:textId="77777777" w:rsidR="00612525" w:rsidRDefault="00612525" w:rsidP="00612525">
      <w:pPr>
        <w:pStyle w:val="ListParagraph"/>
        <w:numPr>
          <w:ilvl w:val="0"/>
          <w:numId w:val="10"/>
        </w:numPr>
        <w:spacing w:after="240"/>
        <w:rPr>
          <w:iCs/>
        </w:rPr>
      </w:pPr>
      <w:r>
        <w:rPr>
          <w:iCs/>
        </w:rPr>
        <w:t>Additional time required for complex blocks should be compensated by co-claiming the appropriate anaesthesia time item.</w:t>
      </w:r>
    </w:p>
    <w:p w14:paraId="08BFAF7A" w14:textId="77777777" w:rsidR="00612525" w:rsidRDefault="00612525" w:rsidP="00612525">
      <w:pPr>
        <w:pStyle w:val="ListParagraph"/>
        <w:numPr>
          <w:ilvl w:val="0"/>
          <w:numId w:val="10"/>
        </w:numPr>
        <w:spacing w:after="240"/>
        <w:rPr>
          <w:iCs/>
        </w:rPr>
      </w:pPr>
      <w:r>
        <w:t>An</w:t>
      </w:r>
      <w:r>
        <w:rPr>
          <w:iCs/>
        </w:rPr>
        <w:t xml:space="preserve"> item was recommended for</w:t>
      </w:r>
      <w:r w:rsidRPr="00221B6C">
        <w:rPr>
          <w:iCs/>
        </w:rPr>
        <w:t xml:space="preserve"> follow-up visits by a practitioner following limb surgery to provide plexus or major nerve catheter top-up</w:t>
      </w:r>
      <w:r>
        <w:rPr>
          <w:iCs/>
        </w:rPr>
        <w:t xml:space="preserve">. </w:t>
      </w:r>
    </w:p>
    <w:p w14:paraId="3CBB9FF5" w14:textId="77777777" w:rsidR="00612525" w:rsidRDefault="00612525" w:rsidP="00612525">
      <w:pPr>
        <w:spacing w:after="240"/>
        <w:rPr>
          <w:iCs/>
        </w:rPr>
      </w:pPr>
      <w:r>
        <w:rPr>
          <w:iCs/>
        </w:rPr>
        <w:t>The following changes were made to the MBS on</w:t>
      </w:r>
      <w:r w:rsidRPr="00950D4B">
        <w:rPr>
          <w:iCs/>
        </w:rPr>
        <w:t xml:space="preserve"> 1 November 2019</w:t>
      </w:r>
      <w:r>
        <w:rPr>
          <w:iCs/>
        </w:rPr>
        <w:t>:</w:t>
      </w:r>
    </w:p>
    <w:p w14:paraId="04F43C2B" w14:textId="77777777" w:rsidR="00612525" w:rsidRPr="00950D4B" w:rsidRDefault="00612525" w:rsidP="00612525">
      <w:pPr>
        <w:pStyle w:val="ListParagraph"/>
        <w:numPr>
          <w:ilvl w:val="0"/>
          <w:numId w:val="27"/>
        </w:numPr>
        <w:spacing w:after="240"/>
        <w:rPr>
          <w:iCs/>
        </w:rPr>
      </w:pPr>
      <w:r w:rsidRPr="00950D4B">
        <w:rPr>
          <w:iCs/>
        </w:rPr>
        <w:t xml:space="preserve">The three nerve block items identified for amendment (22040, 22045, 22050) were </w:t>
      </w:r>
      <w:r>
        <w:rPr>
          <w:iCs/>
        </w:rPr>
        <w:t>deleted.</w:t>
      </w:r>
    </w:p>
    <w:p w14:paraId="28B50002" w14:textId="77777777" w:rsidR="00612525" w:rsidRPr="00E27FC8" w:rsidRDefault="00612525" w:rsidP="00612525">
      <w:pPr>
        <w:pStyle w:val="ListParagraph"/>
        <w:numPr>
          <w:ilvl w:val="0"/>
          <w:numId w:val="27"/>
        </w:numPr>
        <w:spacing w:after="240"/>
        <w:rPr>
          <w:iCs/>
        </w:rPr>
      </w:pPr>
      <w:r w:rsidRPr="00E27FC8">
        <w:rPr>
          <w:iCs/>
        </w:rPr>
        <w:t>A new item 22041 for single injection nerve block was listed, combining the uses of the deleted items, and expanding the nerves to which the item could be applied.</w:t>
      </w:r>
    </w:p>
    <w:p w14:paraId="42CE2405" w14:textId="77777777" w:rsidR="00612525" w:rsidRDefault="00612525" w:rsidP="00612525">
      <w:pPr>
        <w:spacing w:after="240"/>
        <w:rPr>
          <w:iCs/>
        </w:rPr>
      </w:pPr>
      <w:r>
        <w:rPr>
          <w:iCs/>
        </w:rPr>
        <w:t>Further changes were made on 1 March 2022:</w:t>
      </w:r>
    </w:p>
    <w:p w14:paraId="79489EBE" w14:textId="77777777" w:rsidR="00612525" w:rsidRDefault="00612525" w:rsidP="00612525">
      <w:pPr>
        <w:pStyle w:val="ListParagraph"/>
        <w:numPr>
          <w:ilvl w:val="0"/>
          <w:numId w:val="27"/>
        </w:numPr>
        <w:spacing w:after="240"/>
        <w:rPr>
          <w:iCs/>
        </w:rPr>
      </w:pPr>
      <w:r>
        <w:t xml:space="preserve">The descriptors for these two Group T7 maintenance items (18222, 18225) with the addition of the words 'continuous' and 'or injection by catheter'. </w:t>
      </w:r>
    </w:p>
    <w:p w14:paraId="71FED170" w14:textId="77777777" w:rsidR="00612525" w:rsidRDefault="00612525" w:rsidP="00612525">
      <w:pPr>
        <w:spacing w:after="240"/>
        <w:rPr>
          <w:iCs/>
        </w:rPr>
      </w:pPr>
      <w:r w:rsidRPr="009B3169">
        <w:rPr>
          <w:iCs/>
        </w:rPr>
        <w:t>The possibility to administer nerve blocks with a catheter</w:t>
      </w:r>
      <w:r>
        <w:rPr>
          <w:iCs/>
        </w:rPr>
        <w:t>,</w:t>
      </w:r>
      <w:r w:rsidRPr="009B3169">
        <w:rPr>
          <w:iCs/>
        </w:rPr>
        <w:t xml:space="preserve"> although recommended</w:t>
      </w:r>
      <w:r>
        <w:rPr>
          <w:iCs/>
        </w:rPr>
        <w:t>,</w:t>
      </w:r>
      <w:r w:rsidRPr="009B3169">
        <w:rPr>
          <w:iCs/>
        </w:rPr>
        <w:t xml:space="preserve"> was not included in the descriptor for </w:t>
      </w:r>
      <w:r>
        <w:rPr>
          <w:iCs/>
        </w:rPr>
        <w:t xml:space="preserve">MBS </w:t>
      </w:r>
      <w:r w:rsidRPr="009B3169">
        <w:rPr>
          <w:iCs/>
        </w:rPr>
        <w:t>item 22041. During implementation of the MBS Review recommendations, it was determined that a continuous block would be a new service as the existing items only covered single injection nerve blocks. This would require a new submission to MSAC.</w:t>
      </w:r>
    </w:p>
    <w:p w14:paraId="57B59D9D" w14:textId="77777777" w:rsidR="00612525" w:rsidRDefault="00612525" w:rsidP="00612525">
      <w:pPr>
        <w:pStyle w:val="Heading4"/>
      </w:pPr>
      <w:r>
        <w:t>Application 1183 – Ultrasound imaging in the practice of anaesthesia</w:t>
      </w:r>
    </w:p>
    <w:p w14:paraId="5E766DBD" w14:textId="023C95D4" w:rsidR="00FB3D6A" w:rsidRPr="00E01349" w:rsidRDefault="00612525" w:rsidP="009321FC">
      <w:pPr>
        <w:spacing w:after="240"/>
      </w:pPr>
      <w:r>
        <w:rPr>
          <w:iCs/>
        </w:rPr>
        <w:t xml:space="preserve">Best practice for administration of nerve blocks is to use ultrasound guidance for insertion. Previously, MBS item 55054 had been used to claim this ultrasound use. However, in 2012 the business rules for this item were amended to remove anaesthetists as eligible providers because the cost-effectiveness of this use had not been established. An application for ultrasound imaging in the practice of anaesthesia for patients requiring a central line catheter for venous access or percutaneous neural blockade (Application 1183) was considered by MSAC in November 2014 but was not supported. MSAC noted the use of ultrasound imaging was already best practice in anaesthesia and likely to continue as such, regardless of MBS funding status. Ultrasound guidance for injection or catheter insertion for anaesthesia is therefore not funded on the MBS. This applies to all the nerve block items in </w:t>
      </w:r>
      <w:r>
        <w:rPr>
          <w:iCs/>
        </w:rPr>
        <w:fldChar w:fldCharType="begin"/>
      </w:r>
      <w:r>
        <w:rPr>
          <w:iCs/>
        </w:rPr>
        <w:instrText xml:space="preserve"> REF _Ref117521437 \h </w:instrText>
      </w:r>
      <w:r>
        <w:rPr>
          <w:iCs/>
        </w:rPr>
      </w:r>
      <w:r>
        <w:rPr>
          <w:iCs/>
        </w:rPr>
        <w:fldChar w:fldCharType="separate"/>
      </w:r>
      <w:r w:rsidR="00B65CEE" w:rsidRPr="00490FBB">
        <w:t>Table</w:t>
      </w:r>
      <w:r w:rsidR="00B65CEE">
        <w:t> </w:t>
      </w:r>
      <w:r w:rsidR="00B65CEE">
        <w:rPr>
          <w:noProof/>
        </w:rPr>
        <w:t>3</w:t>
      </w:r>
      <w:r>
        <w:rPr>
          <w:iCs/>
        </w:rPr>
        <w:fldChar w:fldCharType="end"/>
      </w:r>
      <w:r>
        <w:rPr>
          <w:iCs/>
        </w:rPr>
        <w:t xml:space="preserve"> as well as the item proposed in the current application. Note that ultrasound under item 55054 can still be claimed for administration of a nerve block for Group T7 items. </w:t>
      </w:r>
    </w:p>
    <w:sectPr w:rsidR="00FB3D6A" w:rsidRPr="00E01349" w:rsidSect="00AE6FE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067A9" w14:textId="77777777" w:rsidR="00BD714C" w:rsidRDefault="00BD714C" w:rsidP="0016315C">
      <w:pPr>
        <w:spacing w:after="0" w:line="240" w:lineRule="auto"/>
      </w:pPr>
      <w:r>
        <w:separator/>
      </w:r>
    </w:p>
  </w:endnote>
  <w:endnote w:type="continuationSeparator" w:id="0">
    <w:p w14:paraId="2BAFE86F" w14:textId="77777777" w:rsidR="00BD714C" w:rsidRDefault="00BD714C" w:rsidP="0016315C">
      <w:pPr>
        <w:spacing w:after="0" w:line="240" w:lineRule="auto"/>
      </w:pPr>
      <w:r>
        <w:continuationSeparator/>
      </w:r>
    </w:p>
  </w:endnote>
  <w:endnote w:type="continuationNotice" w:id="1">
    <w:p w14:paraId="140D052E" w14:textId="77777777" w:rsidR="00BD714C" w:rsidRDefault="00BD7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506AC440"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36F42">
      <w:rPr>
        <w:rStyle w:val="PageNumber"/>
        <w:noProof/>
      </w:rPr>
      <w:t>2</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9294291"/>
      <w:docPartObj>
        <w:docPartGallery w:val="Page Numbers (Bottom of Page)"/>
        <w:docPartUnique/>
      </w:docPartObj>
    </w:sdtPr>
    <w:sdtEndPr>
      <w:rPr>
        <w:rStyle w:val="PageNumber"/>
      </w:rPr>
    </w:sdtEndPr>
    <w:sdtContent>
      <w:p w14:paraId="4DE593B1" w14:textId="30B2402E"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6C441587" w:rsidR="0016315C" w:rsidRPr="00685355" w:rsidRDefault="00E01479" w:rsidP="00BB0FFB">
    <w:pPr>
      <w:jc w:val="center"/>
    </w:pPr>
    <w:r>
      <w:t xml:space="preserve">Ratified </w:t>
    </w:r>
    <w:r w:rsidR="00BB0FFB" w:rsidRPr="000E3B40">
      <w:t xml:space="preserve">PICO </w:t>
    </w:r>
    <w:r>
      <w:t>Confirmation</w:t>
    </w:r>
    <w:r w:rsidR="00BB0FFB" w:rsidRPr="000E3B40">
      <w:t xml:space="preserve"> </w:t>
    </w:r>
    <w:r>
      <w:t>-</w:t>
    </w:r>
    <w:r w:rsidR="00BE658B">
      <w:t xml:space="preserve"> </w:t>
    </w:r>
    <w:r w:rsidR="000E3B40" w:rsidRPr="000E3B40">
      <w:t>April</w:t>
    </w:r>
    <w:r w:rsidR="00BB0FFB" w:rsidRPr="000E3B40">
      <w:t xml:space="preserve"> </w:t>
    </w:r>
    <w:r w:rsidR="00AB7050" w:rsidRPr="000E3B40">
      <w:t>2023</w:t>
    </w:r>
    <w:r>
      <w:t xml:space="preserve"> PASC Meeting</w:t>
    </w:r>
    <w:r w:rsidR="00BB0FFB">
      <w:br/>
    </w:r>
    <w:r w:rsidR="00685355" w:rsidRPr="00536F42">
      <w:t xml:space="preserve">Application </w:t>
    </w:r>
    <w:r w:rsidR="00AB7050" w:rsidRPr="00536F42">
      <w:t>1741</w:t>
    </w:r>
    <w:r>
      <w:t xml:space="preserve"> </w:t>
    </w:r>
    <w:r w:rsidR="00685355" w:rsidRPr="00536F42">
      <w:t xml:space="preserve">– </w:t>
    </w:r>
    <w:r w:rsidR="00536F42" w:rsidRPr="00536F42">
      <w:t>Continuous nerve blockade using a catheter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6E90" w14:textId="77777777" w:rsidR="00BD714C" w:rsidRDefault="00BD714C" w:rsidP="0016315C">
      <w:pPr>
        <w:spacing w:after="0" w:line="240" w:lineRule="auto"/>
      </w:pPr>
      <w:r>
        <w:separator/>
      </w:r>
    </w:p>
  </w:footnote>
  <w:footnote w:type="continuationSeparator" w:id="0">
    <w:p w14:paraId="560EDAAA" w14:textId="77777777" w:rsidR="00BD714C" w:rsidRDefault="00BD714C" w:rsidP="0016315C">
      <w:pPr>
        <w:spacing w:after="0" w:line="240" w:lineRule="auto"/>
      </w:pPr>
      <w:r>
        <w:continuationSeparator/>
      </w:r>
    </w:p>
  </w:footnote>
  <w:footnote w:type="continuationNotice" w:id="1">
    <w:p w14:paraId="55A9DF83" w14:textId="77777777" w:rsidR="00BD714C" w:rsidRDefault="00BD714C">
      <w:pPr>
        <w:spacing w:after="0" w:line="240" w:lineRule="auto"/>
      </w:pPr>
    </w:p>
  </w:footnote>
  <w:footnote w:id="2">
    <w:p w14:paraId="1085A133" w14:textId="688E35F6" w:rsidR="00E80040" w:rsidRPr="00E80040" w:rsidRDefault="00E80040">
      <w:pPr>
        <w:pStyle w:val="FootnoteText"/>
        <w:rPr>
          <w:lang w:val="en-US"/>
        </w:rPr>
      </w:pPr>
      <w:r>
        <w:rPr>
          <w:rStyle w:val="FootnoteReference"/>
        </w:rPr>
        <w:footnoteRef/>
      </w:r>
      <w:r>
        <w:t xml:space="preserve"> </w:t>
      </w:r>
      <w:hyperlink r:id="rId1" w:tooltip="Link to TGA website guidance on prescription opioids" w:history="1">
        <w:r w:rsidRPr="00C435ED">
          <w:rPr>
            <w:rStyle w:val="Hyperlink"/>
            <w:rFonts w:ascii="Calibri" w:hAnsi="Calibri"/>
          </w:rPr>
          <w:t>https://www.tga.gov.au/resources/resource/guidance/prescription-opioids-information-health-professionals</w:t>
        </w:r>
      </w:hyperlink>
      <w:r>
        <w:t xml:space="preserve"> </w:t>
      </w:r>
    </w:p>
  </w:footnote>
  <w:footnote w:id="3">
    <w:p w14:paraId="2AA2ADA9" w14:textId="47963CE0" w:rsidR="00FF3CB8" w:rsidRPr="00FF3CB8" w:rsidRDefault="00FF3CB8">
      <w:pPr>
        <w:pStyle w:val="FootnoteText"/>
        <w:rPr>
          <w:lang w:val="en-US"/>
        </w:rPr>
      </w:pPr>
      <w:r>
        <w:rPr>
          <w:rStyle w:val="FootnoteReference"/>
        </w:rPr>
        <w:footnoteRef/>
      </w:r>
      <w:r>
        <w:t xml:space="preserve"> </w:t>
      </w:r>
      <w:r>
        <w:rPr>
          <w:lang w:val="en-US"/>
        </w:rPr>
        <w:t xml:space="preserve">Note this guideline states: </w:t>
      </w:r>
      <w:r w:rsidRPr="00FF3CB8">
        <w:rPr>
          <w:i/>
          <w:iCs/>
          <w:lang w:val="en-US"/>
        </w:rPr>
        <w:t>“</w:t>
      </w:r>
      <w:r w:rsidRPr="00FF3CB8">
        <w:rPr>
          <w:i/>
          <w:iCs/>
          <w:color w:val="000000"/>
        </w:rPr>
        <w:t>This document is intended to apply to central neuraxial blocks and all other techniques where a catheter is inserted and left in situ […] The purpose of these guidelines is to facilitate the management of major regional blocks including epidural, subarachnoid, plexus and nerve blocks”</w:t>
      </w:r>
      <w:r>
        <w:rPr>
          <w:color w:val="000000"/>
        </w:rPr>
        <w:t>.</w:t>
      </w:r>
    </w:p>
  </w:footnote>
  <w:footnote w:id="4">
    <w:p w14:paraId="72CA8C2F" w14:textId="77777777" w:rsidR="00612525" w:rsidRPr="00F755A9" w:rsidRDefault="00612525" w:rsidP="00612525">
      <w:pPr>
        <w:pStyle w:val="FootnoteText"/>
        <w:rPr>
          <w:lang w:val="en-US"/>
        </w:rPr>
      </w:pPr>
      <w:r>
        <w:rPr>
          <w:rStyle w:val="FootnoteReference"/>
        </w:rPr>
        <w:footnoteRef/>
      </w:r>
      <w:r>
        <w:t xml:space="preserve"> </w:t>
      </w:r>
      <w:hyperlink r:id="rId2" w:history="1">
        <w:r w:rsidRPr="00811AEE">
          <w:rPr>
            <w:rStyle w:val="Hyperlink"/>
            <w:rFonts w:ascii="Calibri" w:hAnsi="Calibri"/>
          </w:rPr>
          <w:t>www.health.gov.au/resources/collections/mbs-review-final-taskforce-reports-findings-and-recommendations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E70"/>
    <w:multiLevelType w:val="hybridMultilevel"/>
    <w:tmpl w:val="52723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30960"/>
    <w:multiLevelType w:val="hybridMultilevel"/>
    <w:tmpl w:val="C04E1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027DF"/>
    <w:multiLevelType w:val="hybridMultilevel"/>
    <w:tmpl w:val="8C2AC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801818"/>
    <w:multiLevelType w:val="multilevel"/>
    <w:tmpl w:val="21F63A68"/>
    <w:lvl w:ilvl="0">
      <w:start w:val="1"/>
      <w:numFmt w:val="decimal"/>
      <w:lvlText w:val="%1."/>
      <w:lvlJc w:val="left"/>
      <w:pPr>
        <w:ind w:left="360" w:hanging="36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942484F"/>
    <w:multiLevelType w:val="hybridMultilevel"/>
    <w:tmpl w:val="A8987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DF68FC"/>
    <w:multiLevelType w:val="hybridMultilevel"/>
    <w:tmpl w:val="A9047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C6947FC"/>
    <w:multiLevelType w:val="hybridMultilevel"/>
    <w:tmpl w:val="728AB280"/>
    <w:lvl w:ilvl="0" w:tplc="8580F9D0">
      <w:start w:val="1"/>
      <w:numFmt w:val="decimal"/>
      <w:lvlText w:val="%1."/>
      <w:lvlJc w:val="left"/>
      <w:pPr>
        <w:ind w:left="720" w:hanging="360"/>
      </w:pPr>
    </w:lvl>
    <w:lvl w:ilvl="1" w:tplc="55AC3AD8">
      <w:start w:val="1"/>
      <w:numFmt w:val="lowerLetter"/>
      <w:lvlText w:val="%2."/>
      <w:lvlJc w:val="left"/>
      <w:pPr>
        <w:ind w:left="1440" w:hanging="360"/>
      </w:pPr>
    </w:lvl>
    <w:lvl w:ilvl="2" w:tplc="BA76FA16">
      <w:start w:val="1"/>
      <w:numFmt w:val="lowerRoman"/>
      <w:lvlText w:val="%3."/>
      <w:lvlJc w:val="right"/>
      <w:pPr>
        <w:ind w:left="2160" w:hanging="180"/>
      </w:pPr>
    </w:lvl>
    <w:lvl w:ilvl="3" w:tplc="D2FED3CA">
      <w:start w:val="1"/>
      <w:numFmt w:val="decimal"/>
      <w:lvlText w:val="%4."/>
      <w:lvlJc w:val="left"/>
      <w:pPr>
        <w:ind w:left="2880" w:hanging="360"/>
      </w:pPr>
    </w:lvl>
    <w:lvl w:ilvl="4" w:tplc="65FE1C3E">
      <w:start w:val="1"/>
      <w:numFmt w:val="lowerLetter"/>
      <w:lvlText w:val="%5."/>
      <w:lvlJc w:val="left"/>
      <w:pPr>
        <w:ind w:left="3600" w:hanging="360"/>
      </w:pPr>
    </w:lvl>
    <w:lvl w:ilvl="5" w:tplc="FFB2FA88">
      <w:start w:val="1"/>
      <w:numFmt w:val="lowerRoman"/>
      <w:lvlText w:val="%6."/>
      <w:lvlJc w:val="right"/>
      <w:pPr>
        <w:ind w:left="4320" w:hanging="180"/>
      </w:pPr>
    </w:lvl>
    <w:lvl w:ilvl="6" w:tplc="F7A62CAA">
      <w:start w:val="1"/>
      <w:numFmt w:val="decimal"/>
      <w:lvlText w:val="%7."/>
      <w:lvlJc w:val="left"/>
      <w:pPr>
        <w:ind w:left="5040" w:hanging="360"/>
      </w:pPr>
    </w:lvl>
    <w:lvl w:ilvl="7" w:tplc="E9562820">
      <w:start w:val="1"/>
      <w:numFmt w:val="lowerLetter"/>
      <w:lvlText w:val="%8."/>
      <w:lvlJc w:val="left"/>
      <w:pPr>
        <w:ind w:left="5760" w:hanging="360"/>
      </w:pPr>
    </w:lvl>
    <w:lvl w:ilvl="8" w:tplc="A692E0E0">
      <w:start w:val="1"/>
      <w:numFmt w:val="lowerRoman"/>
      <w:lvlText w:val="%9."/>
      <w:lvlJc w:val="right"/>
      <w:pPr>
        <w:ind w:left="6480" w:hanging="180"/>
      </w:pPr>
    </w:lvl>
  </w:abstractNum>
  <w:abstractNum w:abstractNumId="8" w15:restartNumberingAfterBreak="0">
    <w:nsid w:val="16492EEB"/>
    <w:multiLevelType w:val="hybridMultilevel"/>
    <w:tmpl w:val="4D205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C2374"/>
    <w:multiLevelType w:val="hybridMultilevel"/>
    <w:tmpl w:val="49E2DC3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15:restartNumberingAfterBreak="0">
    <w:nsid w:val="1DDE7C6A"/>
    <w:multiLevelType w:val="hybridMultilevel"/>
    <w:tmpl w:val="77DE02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C052CE"/>
    <w:multiLevelType w:val="hybridMultilevel"/>
    <w:tmpl w:val="DA32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C44A2"/>
    <w:multiLevelType w:val="hybridMultilevel"/>
    <w:tmpl w:val="8CBA3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D95C34"/>
    <w:multiLevelType w:val="hybridMultilevel"/>
    <w:tmpl w:val="086697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922C4"/>
    <w:multiLevelType w:val="hybridMultilevel"/>
    <w:tmpl w:val="E220A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A152882"/>
    <w:multiLevelType w:val="hybridMultilevel"/>
    <w:tmpl w:val="89C6F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548685"/>
    <w:multiLevelType w:val="hybridMultilevel"/>
    <w:tmpl w:val="FBB8617C"/>
    <w:lvl w:ilvl="0" w:tplc="33689966">
      <w:start w:val="1"/>
      <w:numFmt w:val="decimal"/>
      <w:lvlText w:val="%1."/>
      <w:lvlJc w:val="left"/>
      <w:pPr>
        <w:ind w:left="720" w:hanging="360"/>
      </w:pPr>
    </w:lvl>
    <w:lvl w:ilvl="1" w:tplc="82A8F6C2">
      <w:start w:val="1"/>
      <w:numFmt w:val="lowerLetter"/>
      <w:lvlText w:val="%2."/>
      <w:lvlJc w:val="left"/>
      <w:pPr>
        <w:ind w:left="1440" w:hanging="360"/>
      </w:pPr>
    </w:lvl>
    <w:lvl w:ilvl="2" w:tplc="FC68D96E">
      <w:start w:val="1"/>
      <w:numFmt w:val="lowerRoman"/>
      <w:lvlText w:val="%3."/>
      <w:lvlJc w:val="right"/>
      <w:pPr>
        <w:ind w:left="2160" w:hanging="180"/>
      </w:pPr>
    </w:lvl>
    <w:lvl w:ilvl="3" w:tplc="06BE064A">
      <w:start w:val="1"/>
      <w:numFmt w:val="decimal"/>
      <w:lvlText w:val="%4."/>
      <w:lvlJc w:val="left"/>
      <w:pPr>
        <w:ind w:left="2880" w:hanging="360"/>
      </w:pPr>
    </w:lvl>
    <w:lvl w:ilvl="4" w:tplc="A1023874">
      <w:start w:val="1"/>
      <w:numFmt w:val="lowerLetter"/>
      <w:lvlText w:val="%5."/>
      <w:lvlJc w:val="left"/>
      <w:pPr>
        <w:ind w:left="3600" w:hanging="360"/>
      </w:pPr>
    </w:lvl>
    <w:lvl w:ilvl="5" w:tplc="2D380BC2">
      <w:start w:val="1"/>
      <w:numFmt w:val="lowerRoman"/>
      <w:lvlText w:val="%6."/>
      <w:lvlJc w:val="right"/>
      <w:pPr>
        <w:ind w:left="4320" w:hanging="180"/>
      </w:pPr>
    </w:lvl>
    <w:lvl w:ilvl="6" w:tplc="8E5829FC">
      <w:start w:val="1"/>
      <w:numFmt w:val="decimal"/>
      <w:lvlText w:val="%7."/>
      <w:lvlJc w:val="left"/>
      <w:pPr>
        <w:ind w:left="5040" w:hanging="360"/>
      </w:pPr>
    </w:lvl>
    <w:lvl w:ilvl="7" w:tplc="061CCA1A">
      <w:start w:val="1"/>
      <w:numFmt w:val="lowerLetter"/>
      <w:lvlText w:val="%8."/>
      <w:lvlJc w:val="left"/>
      <w:pPr>
        <w:ind w:left="5760" w:hanging="360"/>
      </w:pPr>
    </w:lvl>
    <w:lvl w:ilvl="8" w:tplc="D92E7032">
      <w:start w:val="1"/>
      <w:numFmt w:val="lowerRoman"/>
      <w:lvlText w:val="%9."/>
      <w:lvlJc w:val="right"/>
      <w:pPr>
        <w:ind w:left="6480" w:hanging="180"/>
      </w:pPr>
    </w:lvl>
  </w:abstractNum>
  <w:abstractNum w:abstractNumId="18" w15:restartNumberingAfterBreak="0">
    <w:nsid w:val="31857DC5"/>
    <w:multiLevelType w:val="hybridMultilevel"/>
    <w:tmpl w:val="7E7AB478"/>
    <w:lvl w:ilvl="0" w:tplc="DB780554">
      <w:numFmt w:val="bullet"/>
      <w:lvlText w:val="•"/>
      <w:lvlJc w:val="left"/>
      <w:pPr>
        <w:ind w:left="1080" w:hanging="72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697408"/>
    <w:multiLevelType w:val="hybridMultilevel"/>
    <w:tmpl w:val="2C926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5A52F9D"/>
    <w:multiLevelType w:val="hybridMultilevel"/>
    <w:tmpl w:val="43F21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8F3B7D"/>
    <w:multiLevelType w:val="hybridMultilevel"/>
    <w:tmpl w:val="F8FC8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5205BD"/>
    <w:multiLevelType w:val="hybridMultilevel"/>
    <w:tmpl w:val="CA98B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B94FC9"/>
    <w:multiLevelType w:val="hybridMultilevel"/>
    <w:tmpl w:val="1608B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017F33"/>
    <w:multiLevelType w:val="hybridMultilevel"/>
    <w:tmpl w:val="8EBE7A2C"/>
    <w:lvl w:ilvl="0" w:tplc="DB780554">
      <w:numFmt w:val="bullet"/>
      <w:lvlText w:val="•"/>
      <w:lvlJc w:val="left"/>
      <w:pPr>
        <w:ind w:left="1080" w:hanging="72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D06038"/>
    <w:multiLevelType w:val="hybridMultilevel"/>
    <w:tmpl w:val="2F9E27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0D5C97"/>
    <w:multiLevelType w:val="hybridMultilevel"/>
    <w:tmpl w:val="9076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8"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CA3D1C"/>
    <w:multiLevelType w:val="hybridMultilevel"/>
    <w:tmpl w:val="493880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1C507D6"/>
    <w:multiLevelType w:val="hybridMultilevel"/>
    <w:tmpl w:val="8BF23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D57994"/>
    <w:multiLevelType w:val="hybridMultilevel"/>
    <w:tmpl w:val="30D816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B96D5B"/>
    <w:multiLevelType w:val="hybridMultilevel"/>
    <w:tmpl w:val="407E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D46472"/>
    <w:multiLevelType w:val="hybridMultilevel"/>
    <w:tmpl w:val="799821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692F93"/>
    <w:multiLevelType w:val="hybridMultilevel"/>
    <w:tmpl w:val="B1825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A312550"/>
    <w:multiLevelType w:val="hybridMultilevel"/>
    <w:tmpl w:val="60808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45406F"/>
    <w:multiLevelType w:val="hybridMultilevel"/>
    <w:tmpl w:val="31EA2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6615F3"/>
    <w:multiLevelType w:val="hybridMultilevel"/>
    <w:tmpl w:val="728AB2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9062B8A"/>
    <w:multiLevelType w:val="hybridMultilevel"/>
    <w:tmpl w:val="092C47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A9F7569"/>
    <w:multiLevelType w:val="hybridMultilevel"/>
    <w:tmpl w:val="85DE373E"/>
    <w:lvl w:ilvl="0" w:tplc="0C090001">
      <w:start w:val="1"/>
      <w:numFmt w:val="bullet"/>
      <w:lvlText w:val=""/>
      <w:lvlJc w:val="left"/>
      <w:pPr>
        <w:ind w:left="426" w:hanging="360"/>
      </w:pPr>
      <w:rPr>
        <w:rFonts w:ascii="Symbol" w:hAnsi="Symbol" w:hint="default"/>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1" w15:restartNumberingAfterBreak="0">
    <w:nsid w:val="7C952613"/>
    <w:multiLevelType w:val="hybridMultilevel"/>
    <w:tmpl w:val="A380F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E760D6"/>
    <w:multiLevelType w:val="hybridMultilevel"/>
    <w:tmpl w:val="96E8A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8"/>
  </w:num>
  <w:num w:numId="4">
    <w:abstractNumId w:val="27"/>
  </w:num>
  <w:num w:numId="5">
    <w:abstractNumId w:val="11"/>
  </w:num>
  <w:num w:numId="6">
    <w:abstractNumId w:val="30"/>
  </w:num>
  <w:num w:numId="7">
    <w:abstractNumId w:val="40"/>
  </w:num>
  <w:num w:numId="8">
    <w:abstractNumId w:val="36"/>
  </w:num>
  <w:num w:numId="9">
    <w:abstractNumId w:val="22"/>
  </w:num>
  <w:num w:numId="10">
    <w:abstractNumId w:val="25"/>
  </w:num>
  <w:num w:numId="11">
    <w:abstractNumId w:val="20"/>
  </w:num>
  <w:num w:numId="12">
    <w:abstractNumId w:val="8"/>
  </w:num>
  <w:num w:numId="13">
    <w:abstractNumId w:val="15"/>
  </w:num>
  <w:num w:numId="14">
    <w:abstractNumId w:val="35"/>
  </w:num>
  <w:num w:numId="15">
    <w:abstractNumId w:val="10"/>
  </w:num>
  <w:num w:numId="16">
    <w:abstractNumId w:val="12"/>
  </w:num>
  <w:num w:numId="17">
    <w:abstractNumId w:val="4"/>
  </w:num>
  <w:num w:numId="18">
    <w:abstractNumId w:val="32"/>
  </w:num>
  <w:num w:numId="19">
    <w:abstractNumId w:val="5"/>
  </w:num>
  <w:num w:numId="20">
    <w:abstractNumId w:val="2"/>
  </w:num>
  <w:num w:numId="21">
    <w:abstractNumId w:val="23"/>
  </w:num>
  <w:num w:numId="22">
    <w:abstractNumId w:val="16"/>
  </w:num>
  <w:num w:numId="23">
    <w:abstractNumId w:val="33"/>
  </w:num>
  <w:num w:numId="24">
    <w:abstractNumId w:val="9"/>
  </w:num>
  <w:num w:numId="25">
    <w:abstractNumId w:val="34"/>
  </w:num>
  <w:num w:numId="26">
    <w:abstractNumId w:val="19"/>
  </w:num>
  <w:num w:numId="27">
    <w:abstractNumId w:val="29"/>
  </w:num>
  <w:num w:numId="28">
    <w:abstractNumId w:val="13"/>
  </w:num>
  <w:num w:numId="29">
    <w:abstractNumId w:val="39"/>
  </w:num>
  <w:num w:numId="30">
    <w:abstractNumId w:val="17"/>
  </w:num>
  <w:num w:numId="31">
    <w:abstractNumId w:val="42"/>
  </w:num>
  <w:num w:numId="32">
    <w:abstractNumId w:val="37"/>
  </w:num>
  <w:num w:numId="33">
    <w:abstractNumId w:val="41"/>
  </w:num>
  <w:num w:numId="34">
    <w:abstractNumId w:val="26"/>
  </w:num>
  <w:num w:numId="35">
    <w:abstractNumId w:val="0"/>
  </w:num>
  <w:num w:numId="36">
    <w:abstractNumId w:val="14"/>
  </w:num>
  <w:num w:numId="37">
    <w:abstractNumId w:val="21"/>
  </w:num>
  <w:num w:numId="38">
    <w:abstractNumId w:val="1"/>
  </w:num>
  <w:num w:numId="39">
    <w:abstractNumId w:val="38"/>
  </w:num>
  <w:num w:numId="40">
    <w:abstractNumId w:val="3"/>
  </w:num>
  <w:num w:numId="41">
    <w:abstractNumId w:val="31"/>
  </w:num>
  <w:num w:numId="42">
    <w:abstractNumId w:val="24"/>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457"/>
    <w:rsid w:val="00000480"/>
    <w:rsid w:val="00000907"/>
    <w:rsid w:val="00000B7B"/>
    <w:rsid w:val="00000CA7"/>
    <w:rsid w:val="00001110"/>
    <w:rsid w:val="000011DD"/>
    <w:rsid w:val="00001426"/>
    <w:rsid w:val="00001617"/>
    <w:rsid w:val="00001BF0"/>
    <w:rsid w:val="00001CB7"/>
    <w:rsid w:val="00001D48"/>
    <w:rsid w:val="00001F22"/>
    <w:rsid w:val="00002036"/>
    <w:rsid w:val="0000218D"/>
    <w:rsid w:val="00002792"/>
    <w:rsid w:val="0000307D"/>
    <w:rsid w:val="000034EE"/>
    <w:rsid w:val="0000355A"/>
    <w:rsid w:val="00003567"/>
    <w:rsid w:val="00003977"/>
    <w:rsid w:val="00003E32"/>
    <w:rsid w:val="0000414F"/>
    <w:rsid w:val="0000452A"/>
    <w:rsid w:val="00004545"/>
    <w:rsid w:val="000045A7"/>
    <w:rsid w:val="00004EFF"/>
    <w:rsid w:val="00004F52"/>
    <w:rsid w:val="00005065"/>
    <w:rsid w:val="00005666"/>
    <w:rsid w:val="00005B86"/>
    <w:rsid w:val="00005BAE"/>
    <w:rsid w:val="00005BDD"/>
    <w:rsid w:val="00005DA3"/>
    <w:rsid w:val="000063B7"/>
    <w:rsid w:val="000064F5"/>
    <w:rsid w:val="0000661E"/>
    <w:rsid w:val="00007227"/>
    <w:rsid w:val="000073AA"/>
    <w:rsid w:val="0000740F"/>
    <w:rsid w:val="000077F2"/>
    <w:rsid w:val="00007936"/>
    <w:rsid w:val="00007BCA"/>
    <w:rsid w:val="00007C96"/>
    <w:rsid w:val="00007CEC"/>
    <w:rsid w:val="00007EA8"/>
    <w:rsid w:val="0001045F"/>
    <w:rsid w:val="00010B13"/>
    <w:rsid w:val="00010B48"/>
    <w:rsid w:val="0001113B"/>
    <w:rsid w:val="000112E2"/>
    <w:rsid w:val="0001130E"/>
    <w:rsid w:val="000118DC"/>
    <w:rsid w:val="00011AB9"/>
    <w:rsid w:val="00011AF2"/>
    <w:rsid w:val="00011EE6"/>
    <w:rsid w:val="0001236E"/>
    <w:rsid w:val="000123CA"/>
    <w:rsid w:val="00012636"/>
    <w:rsid w:val="00012899"/>
    <w:rsid w:val="000128E6"/>
    <w:rsid w:val="000128FA"/>
    <w:rsid w:val="00012BCF"/>
    <w:rsid w:val="00012CCF"/>
    <w:rsid w:val="00012EDA"/>
    <w:rsid w:val="00012FAC"/>
    <w:rsid w:val="00013238"/>
    <w:rsid w:val="00013447"/>
    <w:rsid w:val="00013CE3"/>
    <w:rsid w:val="000142C2"/>
    <w:rsid w:val="00014331"/>
    <w:rsid w:val="00014EE2"/>
    <w:rsid w:val="000150DE"/>
    <w:rsid w:val="00015675"/>
    <w:rsid w:val="00015DEB"/>
    <w:rsid w:val="00015F76"/>
    <w:rsid w:val="00016375"/>
    <w:rsid w:val="00016507"/>
    <w:rsid w:val="000167DC"/>
    <w:rsid w:val="00016AC5"/>
    <w:rsid w:val="00016D42"/>
    <w:rsid w:val="00016EB7"/>
    <w:rsid w:val="00017219"/>
    <w:rsid w:val="000173AF"/>
    <w:rsid w:val="00017422"/>
    <w:rsid w:val="00017599"/>
    <w:rsid w:val="000178A7"/>
    <w:rsid w:val="00017B3B"/>
    <w:rsid w:val="00017BB4"/>
    <w:rsid w:val="00020183"/>
    <w:rsid w:val="0002036C"/>
    <w:rsid w:val="000205D2"/>
    <w:rsid w:val="00020668"/>
    <w:rsid w:val="00020686"/>
    <w:rsid w:val="00020745"/>
    <w:rsid w:val="00020CCD"/>
    <w:rsid w:val="00020DF3"/>
    <w:rsid w:val="000211B4"/>
    <w:rsid w:val="00021293"/>
    <w:rsid w:val="000214CB"/>
    <w:rsid w:val="00021527"/>
    <w:rsid w:val="00021820"/>
    <w:rsid w:val="00021AB1"/>
    <w:rsid w:val="00021C51"/>
    <w:rsid w:val="00021C68"/>
    <w:rsid w:val="00021E59"/>
    <w:rsid w:val="00021E5C"/>
    <w:rsid w:val="000221F9"/>
    <w:rsid w:val="00022300"/>
    <w:rsid w:val="000223D2"/>
    <w:rsid w:val="000224B0"/>
    <w:rsid w:val="00022897"/>
    <w:rsid w:val="00022A18"/>
    <w:rsid w:val="00023408"/>
    <w:rsid w:val="00023717"/>
    <w:rsid w:val="00023921"/>
    <w:rsid w:val="0002393C"/>
    <w:rsid w:val="00023942"/>
    <w:rsid w:val="00023CCA"/>
    <w:rsid w:val="0002405F"/>
    <w:rsid w:val="0002418E"/>
    <w:rsid w:val="000242FE"/>
    <w:rsid w:val="000250BE"/>
    <w:rsid w:val="00025344"/>
    <w:rsid w:val="0002555C"/>
    <w:rsid w:val="000255E0"/>
    <w:rsid w:val="000257B9"/>
    <w:rsid w:val="000258C4"/>
    <w:rsid w:val="00025910"/>
    <w:rsid w:val="00025F6C"/>
    <w:rsid w:val="00026078"/>
    <w:rsid w:val="000260F0"/>
    <w:rsid w:val="0002616C"/>
    <w:rsid w:val="00026440"/>
    <w:rsid w:val="00026483"/>
    <w:rsid w:val="00026BE2"/>
    <w:rsid w:val="00026CD8"/>
    <w:rsid w:val="00026D14"/>
    <w:rsid w:val="00027233"/>
    <w:rsid w:val="000272C1"/>
    <w:rsid w:val="00027372"/>
    <w:rsid w:val="00027661"/>
    <w:rsid w:val="00027ACA"/>
    <w:rsid w:val="00027BFC"/>
    <w:rsid w:val="00027FE6"/>
    <w:rsid w:val="00030220"/>
    <w:rsid w:val="00030818"/>
    <w:rsid w:val="00030891"/>
    <w:rsid w:val="00030B25"/>
    <w:rsid w:val="00030EDF"/>
    <w:rsid w:val="0003120F"/>
    <w:rsid w:val="0003151F"/>
    <w:rsid w:val="00031849"/>
    <w:rsid w:val="0003192F"/>
    <w:rsid w:val="00031D6F"/>
    <w:rsid w:val="00031E71"/>
    <w:rsid w:val="00031F2C"/>
    <w:rsid w:val="0003261C"/>
    <w:rsid w:val="00032993"/>
    <w:rsid w:val="0003301F"/>
    <w:rsid w:val="00033362"/>
    <w:rsid w:val="00033709"/>
    <w:rsid w:val="00033AE8"/>
    <w:rsid w:val="0003400E"/>
    <w:rsid w:val="0003457D"/>
    <w:rsid w:val="000345A5"/>
    <w:rsid w:val="00034609"/>
    <w:rsid w:val="00034621"/>
    <w:rsid w:val="00034CFA"/>
    <w:rsid w:val="00034D25"/>
    <w:rsid w:val="00034FBD"/>
    <w:rsid w:val="00035213"/>
    <w:rsid w:val="0003543D"/>
    <w:rsid w:val="00035830"/>
    <w:rsid w:val="00035BDE"/>
    <w:rsid w:val="00035CC7"/>
    <w:rsid w:val="00035D17"/>
    <w:rsid w:val="00035D91"/>
    <w:rsid w:val="00035E96"/>
    <w:rsid w:val="0003625A"/>
    <w:rsid w:val="00036282"/>
    <w:rsid w:val="00036397"/>
    <w:rsid w:val="00036401"/>
    <w:rsid w:val="000366B7"/>
    <w:rsid w:val="00036832"/>
    <w:rsid w:val="000369D4"/>
    <w:rsid w:val="00036D8C"/>
    <w:rsid w:val="00036DA4"/>
    <w:rsid w:val="0003787F"/>
    <w:rsid w:val="00037945"/>
    <w:rsid w:val="00037B4A"/>
    <w:rsid w:val="00040480"/>
    <w:rsid w:val="000406DD"/>
    <w:rsid w:val="00040CC6"/>
    <w:rsid w:val="00040EC0"/>
    <w:rsid w:val="0004152A"/>
    <w:rsid w:val="00041539"/>
    <w:rsid w:val="0004158F"/>
    <w:rsid w:val="00041A5A"/>
    <w:rsid w:val="00041AC6"/>
    <w:rsid w:val="00041BEF"/>
    <w:rsid w:val="00041DB7"/>
    <w:rsid w:val="00041E30"/>
    <w:rsid w:val="000424D4"/>
    <w:rsid w:val="00042649"/>
    <w:rsid w:val="0004293D"/>
    <w:rsid w:val="00042B73"/>
    <w:rsid w:val="00042F0B"/>
    <w:rsid w:val="00043070"/>
    <w:rsid w:val="000430AF"/>
    <w:rsid w:val="000434C4"/>
    <w:rsid w:val="0004396E"/>
    <w:rsid w:val="00043DEC"/>
    <w:rsid w:val="00043E50"/>
    <w:rsid w:val="00044F3E"/>
    <w:rsid w:val="00044FBB"/>
    <w:rsid w:val="00045046"/>
    <w:rsid w:val="000456E6"/>
    <w:rsid w:val="000457A9"/>
    <w:rsid w:val="0004593B"/>
    <w:rsid w:val="00045E0D"/>
    <w:rsid w:val="0004615E"/>
    <w:rsid w:val="000461C6"/>
    <w:rsid w:val="000465F3"/>
    <w:rsid w:val="000466E9"/>
    <w:rsid w:val="00046C4F"/>
    <w:rsid w:val="0004729D"/>
    <w:rsid w:val="000473FC"/>
    <w:rsid w:val="000475DA"/>
    <w:rsid w:val="0004760B"/>
    <w:rsid w:val="000477C3"/>
    <w:rsid w:val="00047D26"/>
    <w:rsid w:val="00047DC1"/>
    <w:rsid w:val="00047E5A"/>
    <w:rsid w:val="000501DD"/>
    <w:rsid w:val="0005054E"/>
    <w:rsid w:val="00050B9B"/>
    <w:rsid w:val="00050C51"/>
    <w:rsid w:val="00050E04"/>
    <w:rsid w:val="00051517"/>
    <w:rsid w:val="000517F1"/>
    <w:rsid w:val="000518C0"/>
    <w:rsid w:val="00051AF3"/>
    <w:rsid w:val="00051B4B"/>
    <w:rsid w:val="00051CDA"/>
    <w:rsid w:val="00052114"/>
    <w:rsid w:val="0005250C"/>
    <w:rsid w:val="00052814"/>
    <w:rsid w:val="00052963"/>
    <w:rsid w:val="00052B44"/>
    <w:rsid w:val="00052F62"/>
    <w:rsid w:val="0005300C"/>
    <w:rsid w:val="00053868"/>
    <w:rsid w:val="000539F1"/>
    <w:rsid w:val="00053A40"/>
    <w:rsid w:val="00053DEE"/>
    <w:rsid w:val="00054258"/>
    <w:rsid w:val="0005435C"/>
    <w:rsid w:val="00054775"/>
    <w:rsid w:val="000547FD"/>
    <w:rsid w:val="000548D0"/>
    <w:rsid w:val="00054A13"/>
    <w:rsid w:val="00054C7F"/>
    <w:rsid w:val="00055230"/>
    <w:rsid w:val="00055272"/>
    <w:rsid w:val="0005566E"/>
    <w:rsid w:val="000556AB"/>
    <w:rsid w:val="0005574B"/>
    <w:rsid w:val="00055A99"/>
    <w:rsid w:val="00055EF5"/>
    <w:rsid w:val="00056273"/>
    <w:rsid w:val="00056280"/>
    <w:rsid w:val="00056372"/>
    <w:rsid w:val="000566A0"/>
    <w:rsid w:val="0005670C"/>
    <w:rsid w:val="00056A70"/>
    <w:rsid w:val="00056F20"/>
    <w:rsid w:val="00057084"/>
    <w:rsid w:val="000570CD"/>
    <w:rsid w:val="0005760C"/>
    <w:rsid w:val="0005782A"/>
    <w:rsid w:val="00057901"/>
    <w:rsid w:val="00057B10"/>
    <w:rsid w:val="00057BFD"/>
    <w:rsid w:val="00057C37"/>
    <w:rsid w:val="00057DC1"/>
    <w:rsid w:val="00057F8D"/>
    <w:rsid w:val="00057FB0"/>
    <w:rsid w:val="0006062A"/>
    <w:rsid w:val="00060B77"/>
    <w:rsid w:val="00061129"/>
    <w:rsid w:val="00061415"/>
    <w:rsid w:val="00061557"/>
    <w:rsid w:val="000617AA"/>
    <w:rsid w:val="000617FC"/>
    <w:rsid w:val="000618B9"/>
    <w:rsid w:val="00061943"/>
    <w:rsid w:val="00061BE1"/>
    <w:rsid w:val="00061D29"/>
    <w:rsid w:val="00061E2C"/>
    <w:rsid w:val="00061E47"/>
    <w:rsid w:val="00061ED3"/>
    <w:rsid w:val="00061F68"/>
    <w:rsid w:val="0006213F"/>
    <w:rsid w:val="0006263B"/>
    <w:rsid w:val="000630D3"/>
    <w:rsid w:val="000631F6"/>
    <w:rsid w:val="00063454"/>
    <w:rsid w:val="00063598"/>
    <w:rsid w:val="00063701"/>
    <w:rsid w:val="00063AB9"/>
    <w:rsid w:val="00063B39"/>
    <w:rsid w:val="00063D0A"/>
    <w:rsid w:val="00063D4D"/>
    <w:rsid w:val="00063F58"/>
    <w:rsid w:val="0006406B"/>
    <w:rsid w:val="000641FF"/>
    <w:rsid w:val="0006433C"/>
    <w:rsid w:val="00064787"/>
    <w:rsid w:val="00064A7F"/>
    <w:rsid w:val="00064D36"/>
    <w:rsid w:val="00064E49"/>
    <w:rsid w:val="00064E83"/>
    <w:rsid w:val="00064FA1"/>
    <w:rsid w:val="000651B2"/>
    <w:rsid w:val="000653FC"/>
    <w:rsid w:val="00065769"/>
    <w:rsid w:val="00065B47"/>
    <w:rsid w:val="00065C6F"/>
    <w:rsid w:val="0006638A"/>
    <w:rsid w:val="00066614"/>
    <w:rsid w:val="000670B1"/>
    <w:rsid w:val="0006749F"/>
    <w:rsid w:val="000675B5"/>
    <w:rsid w:val="000675BC"/>
    <w:rsid w:val="00067671"/>
    <w:rsid w:val="000678C1"/>
    <w:rsid w:val="000679D3"/>
    <w:rsid w:val="00067A72"/>
    <w:rsid w:val="00067F2A"/>
    <w:rsid w:val="00070005"/>
    <w:rsid w:val="00070119"/>
    <w:rsid w:val="0007027B"/>
    <w:rsid w:val="00070503"/>
    <w:rsid w:val="00070622"/>
    <w:rsid w:val="0007098A"/>
    <w:rsid w:val="00070A69"/>
    <w:rsid w:val="00070B8F"/>
    <w:rsid w:val="0007111F"/>
    <w:rsid w:val="00071410"/>
    <w:rsid w:val="00071521"/>
    <w:rsid w:val="0007166B"/>
    <w:rsid w:val="000716D7"/>
    <w:rsid w:val="00071937"/>
    <w:rsid w:val="00071E9B"/>
    <w:rsid w:val="00071F79"/>
    <w:rsid w:val="0007213B"/>
    <w:rsid w:val="000722E4"/>
    <w:rsid w:val="00072573"/>
    <w:rsid w:val="0007267C"/>
    <w:rsid w:val="000727DF"/>
    <w:rsid w:val="00072F06"/>
    <w:rsid w:val="000730B6"/>
    <w:rsid w:val="0007337F"/>
    <w:rsid w:val="00073435"/>
    <w:rsid w:val="000734F1"/>
    <w:rsid w:val="00073C54"/>
    <w:rsid w:val="00073F8B"/>
    <w:rsid w:val="00074270"/>
    <w:rsid w:val="00074357"/>
    <w:rsid w:val="000746E5"/>
    <w:rsid w:val="0007493E"/>
    <w:rsid w:val="00074946"/>
    <w:rsid w:val="00074C69"/>
    <w:rsid w:val="00074CF2"/>
    <w:rsid w:val="00075266"/>
    <w:rsid w:val="00075789"/>
    <w:rsid w:val="00075A01"/>
    <w:rsid w:val="00075C27"/>
    <w:rsid w:val="00075E24"/>
    <w:rsid w:val="00075F44"/>
    <w:rsid w:val="000760B7"/>
    <w:rsid w:val="00076351"/>
    <w:rsid w:val="00076544"/>
    <w:rsid w:val="00076A60"/>
    <w:rsid w:val="00077255"/>
    <w:rsid w:val="0007725B"/>
    <w:rsid w:val="00077535"/>
    <w:rsid w:val="0007757E"/>
    <w:rsid w:val="000776DB"/>
    <w:rsid w:val="00077801"/>
    <w:rsid w:val="0008004D"/>
    <w:rsid w:val="000801EB"/>
    <w:rsid w:val="00080231"/>
    <w:rsid w:val="000802A0"/>
    <w:rsid w:val="000807F8"/>
    <w:rsid w:val="00080AC1"/>
    <w:rsid w:val="00080B14"/>
    <w:rsid w:val="00080CE0"/>
    <w:rsid w:val="00080D05"/>
    <w:rsid w:val="00080F50"/>
    <w:rsid w:val="00080FA5"/>
    <w:rsid w:val="000815A1"/>
    <w:rsid w:val="0008180C"/>
    <w:rsid w:val="00081A01"/>
    <w:rsid w:val="00081A62"/>
    <w:rsid w:val="00081A9C"/>
    <w:rsid w:val="00081D54"/>
    <w:rsid w:val="00081E0D"/>
    <w:rsid w:val="000820C2"/>
    <w:rsid w:val="00082228"/>
    <w:rsid w:val="00082833"/>
    <w:rsid w:val="00082A76"/>
    <w:rsid w:val="00082B1E"/>
    <w:rsid w:val="00083188"/>
    <w:rsid w:val="00083531"/>
    <w:rsid w:val="0008353F"/>
    <w:rsid w:val="00083C3B"/>
    <w:rsid w:val="00083D7B"/>
    <w:rsid w:val="00083F40"/>
    <w:rsid w:val="00083FDC"/>
    <w:rsid w:val="0008401D"/>
    <w:rsid w:val="000841F6"/>
    <w:rsid w:val="0008422B"/>
    <w:rsid w:val="00084956"/>
    <w:rsid w:val="00084C7B"/>
    <w:rsid w:val="00084CC0"/>
    <w:rsid w:val="00084D74"/>
    <w:rsid w:val="000852CA"/>
    <w:rsid w:val="00085A0F"/>
    <w:rsid w:val="00085B9F"/>
    <w:rsid w:val="00086508"/>
    <w:rsid w:val="000866BB"/>
    <w:rsid w:val="00086716"/>
    <w:rsid w:val="000867CD"/>
    <w:rsid w:val="00086A2C"/>
    <w:rsid w:val="00086D7C"/>
    <w:rsid w:val="00086DFE"/>
    <w:rsid w:val="00087554"/>
    <w:rsid w:val="000875EB"/>
    <w:rsid w:val="00087D3A"/>
    <w:rsid w:val="00090416"/>
    <w:rsid w:val="000906F2"/>
    <w:rsid w:val="0009073B"/>
    <w:rsid w:val="00090FBD"/>
    <w:rsid w:val="0009190D"/>
    <w:rsid w:val="00091FD0"/>
    <w:rsid w:val="00092326"/>
    <w:rsid w:val="00092896"/>
    <w:rsid w:val="00092989"/>
    <w:rsid w:val="00093121"/>
    <w:rsid w:val="0009312D"/>
    <w:rsid w:val="000934DF"/>
    <w:rsid w:val="000939E0"/>
    <w:rsid w:val="00093A3D"/>
    <w:rsid w:val="00093A58"/>
    <w:rsid w:val="00093F69"/>
    <w:rsid w:val="00094293"/>
    <w:rsid w:val="00094619"/>
    <w:rsid w:val="00094659"/>
    <w:rsid w:val="00094975"/>
    <w:rsid w:val="00094B9B"/>
    <w:rsid w:val="00094BCB"/>
    <w:rsid w:val="00095101"/>
    <w:rsid w:val="00095318"/>
    <w:rsid w:val="00095539"/>
    <w:rsid w:val="00095BDF"/>
    <w:rsid w:val="00095C6A"/>
    <w:rsid w:val="00095D74"/>
    <w:rsid w:val="00096171"/>
    <w:rsid w:val="00096187"/>
    <w:rsid w:val="000968B4"/>
    <w:rsid w:val="00096AB8"/>
    <w:rsid w:val="0009749C"/>
    <w:rsid w:val="00097B4F"/>
    <w:rsid w:val="00097FF4"/>
    <w:rsid w:val="000A00B7"/>
    <w:rsid w:val="000A0449"/>
    <w:rsid w:val="000A1353"/>
    <w:rsid w:val="000A14AF"/>
    <w:rsid w:val="000A17C9"/>
    <w:rsid w:val="000A2859"/>
    <w:rsid w:val="000A2921"/>
    <w:rsid w:val="000A2AEB"/>
    <w:rsid w:val="000A2B42"/>
    <w:rsid w:val="000A3046"/>
    <w:rsid w:val="000A3242"/>
    <w:rsid w:val="000A325E"/>
    <w:rsid w:val="000A3385"/>
    <w:rsid w:val="000A34E9"/>
    <w:rsid w:val="000A355A"/>
    <w:rsid w:val="000A35EF"/>
    <w:rsid w:val="000A3604"/>
    <w:rsid w:val="000A3855"/>
    <w:rsid w:val="000A3AE4"/>
    <w:rsid w:val="000A3B2A"/>
    <w:rsid w:val="000A3B9A"/>
    <w:rsid w:val="000A3DCC"/>
    <w:rsid w:val="000A4031"/>
    <w:rsid w:val="000A416D"/>
    <w:rsid w:val="000A448E"/>
    <w:rsid w:val="000A45A9"/>
    <w:rsid w:val="000A49EB"/>
    <w:rsid w:val="000A4BD7"/>
    <w:rsid w:val="000A4DE3"/>
    <w:rsid w:val="000A4E12"/>
    <w:rsid w:val="000A51D9"/>
    <w:rsid w:val="000A553F"/>
    <w:rsid w:val="000A5575"/>
    <w:rsid w:val="000A57FD"/>
    <w:rsid w:val="000A5841"/>
    <w:rsid w:val="000A58A4"/>
    <w:rsid w:val="000A59A8"/>
    <w:rsid w:val="000A5ACA"/>
    <w:rsid w:val="000A5BBF"/>
    <w:rsid w:val="000A5BDB"/>
    <w:rsid w:val="000A63B9"/>
    <w:rsid w:val="000A674B"/>
    <w:rsid w:val="000A6825"/>
    <w:rsid w:val="000A6A2E"/>
    <w:rsid w:val="000A6E7F"/>
    <w:rsid w:val="000A7196"/>
    <w:rsid w:val="000A7280"/>
    <w:rsid w:val="000A742C"/>
    <w:rsid w:val="000A761A"/>
    <w:rsid w:val="000A772B"/>
    <w:rsid w:val="000A7A2C"/>
    <w:rsid w:val="000B0483"/>
    <w:rsid w:val="000B07C8"/>
    <w:rsid w:val="000B07C9"/>
    <w:rsid w:val="000B08BF"/>
    <w:rsid w:val="000B0A7A"/>
    <w:rsid w:val="000B11B0"/>
    <w:rsid w:val="000B15E3"/>
    <w:rsid w:val="000B1D0C"/>
    <w:rsid w:val="000B2093"/>
    <w:rsid w:val="000B2382"/>
    <w:rsid w:val="000B23F4"/>
    <w:rsid w:val="000B24CF"/>
    <w:rsid w:val="000B250B"/>
    <w:rsid w:val="000B266A"/>
    <w:rsid w:val="000B272F"/>
    <w:rsid w:val="000B2765"/>
    <w:rsid w:val="000B2A68"/>
    <w:rsid w:val="000B2ED9"/>
    <w:rsid w:val="000B3334"/>
    <w:rsid w:val="000B3355"/>
    <w:rsid w:val="000B380A"/>
    <w:rsid w:val="000B3EB2"/>
    <w:rsid w:val="000B4147"/>
    <w:rsid w:val="000B428E"/>
    <w:rsid w:val="000B466D"/>
    <w:rsid w:val="000B4790"/>
    <w:rsid w:val="000B49D6"/>
    <w:rsid w:val="000B4D61"/>
    <w:rsid w:val="000B501D"/>
    <w:rsid w:val="000B5100"/>
    <w:rsid w:val="000B5756"/>
    <w:rsid w:val="000B5C44"/>
    <w:rsid w:val="000B5E73"/>
    <w:rsid w:val="000B63ED"/>
    <w:rsid w:val="000B69BF"/>
    <w:rsid w:val="000B6B24"/>
    <w:rsid w:val="000B6C43"/>
    <w:rsid w:val="000B708F"/>
    <w:rsid w:val="000B74D8"/>
    <w:rsid w:val="000B768D"/>
    <w:rsid w:val="000B7B41"/>
    <w:rsid w:val="000B7E24"/>
    <w:rsid w:val="000B7EF3"/>
    <w:rsid w:val="000B7F50"/>
    <w:rsid w:val="000C0AE8"/>
    <w:rsid w:val="000C0D83"/>
    <w:rsid w:val="000C1685"/>
    <w:rsid w:val="000C178B"/>
    <w:rsid w:val="000C1979"/>
    <w:rsid w:val="000C1D2C"/>
    <w:rsid w:val="000C2288"/>
    <w:rsid w:val="000C22B0"/>
    <w:rsid w:val="000C2C63"/>
    <w:rsid w:val="000C2D35"/>
    <w:rsid w:val="000C2FBF"/>
    <w:rsid w:val="000C3288"/>
    <w:rsid w:val="000C33F6"/>
    <w:rsid w:val="000C3748"/>
    <w:rsid w:val="000C37F3"/>
    <w:rsid w:val="000C3AFE"/>
    <w:rsid w:val="000C3B7E"/>
    <w:rsid w:val="000C3F3B"/>
    <w:rsid w:val="000C3FF9"/>
    <w:rsid w:val="000C4039"/>
    <w:rsid w:val="000C432C"/>
    <w:rsid w:val="000C44C2"/>
    <w:rsid w:val="000C44F3"/>
    <w:rsid w:val="000C4B17"/>
    <w:rsid w:val="000C4D63"/>
    <w:rsid w:val="000C503C"/>
    <w:rsid w:val="000C51EF"/>
    <w:rsid w:val="000C5317"/>
    <w:rsid w:val="000C5499"/>
    <w:rsid w:val="000C5573"/>
    <w:rsid w:val="000C5599"/>
    <w:rsid w:val="000C56C9"/>
    <w:rsid w:val="000C5BE8"/>
    <w:rsid w:val="000C5FA9"/>
    <w:rsid w:val="000C6416"/>
    <w:rsid w:val="000C6833"/>
    <w:rsid w:val="000C6920"/>
    <w:rsid w:val="000C6CAB"/>
    <w:rsid w:val="000C6EF8"/>
    <w:rsid w:val="000C740D"/>
    <w:rsid w:val="000C76E5"/>
    <w:rsid w:val="000C7859"/>
    <w:rsid w:val="000D026F"/>
    <w:rsid w:val="000D0C6E"/>
    <w:rsid w:val="000D0D55"/>
    <w:rsid w:val="000D0E21"/>
    <w:rsid w:val="000D1280"/>
    <w:rsid w:val="000D13D6"/>
    <w:rsid w:val="000D1413"/>
    <w:rsid w:val="000D146E"/>
    <w:rsid w:val="000D19F1"/>
    <w:rsid w:val="000D1B3D"/>
    <w:rsid w:val="000D1FCF"/>
    <w:rsid w:val="000D22DB"/>
    <w:rsid w:val="000D24B5"/>
    <w:rsid w:val="000D2BCE"/>
    <w:rsid w:val="000D2C02"/>
    <w:rsid w:val="000D3100"/>
    <w:rsid w:val="000D33BE"/>
    <w:rsid w:val="000D347A"/>
    <w:rsid w:val="000D35FD"/>
    <w:rsid w:val="000D361E"/>
    <w:rsid w:val="000D3772"/>
    <w:rsid w:val="000D388D"/>
    <w:rsid w:val="000D3D1D"/>
    <w:rsid w:val="000D3E1F"/>
    <w:rsid w:val="000D3E5B"/>
    <w:rsid w:val="000D40DB"/>
    <w:rsid w:val="000D472E"/>
    <w:rsid w:val="000D4B7E"/>
    <w:rsid w:val="000D4D0E"/>
    <w:rsid w:val="000D4FE2"/>
    <w:rsid w:val="000D5866"/>
    <w:rsid w:val="000D5C3A"/>
    <w:rsid w:val="000D5F5A"/>
    <w:rsid w:val="000D6187"/>
    <w:rsid w:val="000D619A"/>
    <w:rsid w:val="000D68A3"/>
    <w:rsid w:val="000D6959"/>
    <w:rsid w:val="000D6C54"/>
    <w:rsid w:val="000D6F3A"/>
    <w:rsid w:val="000D7839"/>
    <w:rsid w:val="000D7936"/>
    <w:rsid w:val="000D79EE"/>
    <w:rsid w:val="000D7AD9"/>
    <w:rsid w:val="000D7B94"/>
    <w:rsid w:val="000D7D1E"/>
    <w:rsid w:val="000E01E0"/>
    <w:rsid w:val="000E021E"/>
    <w:rsid w:val="000E057A"/>
    <w:rsid w:val="000E06FC"/>
    <w:rsid w:val="000E0723"/>
    <w:rsid w:val="000E1409"/>
    <w:rsid w:val="000E15EC"/>
    <w:rsid w:val="000E171B"/>
    <w:rsid w:val="000E1871"/>
    <w:rsid w:val="000E192A"/>
    <w:rsid w:val="000E1FD0"/>
    <w:rsid w:val="000E216F"/>
    <w:rsid w:val="000E21F1"/>
    <w:rsid w:val="000E22B8"/>
    <w:rsid w:val="000E2638"/>
    <w:rsid w:val="000E26E3"/>
    <w:rsid w:val="000E3101"/>
    <w:rsid w:val="000E3153"/>
    <w:rsid w:val="000E32C8"/>
    <w:rsid w:val="000E356C"/>
    <w:rsid w:val="000E3691"/>
    <w:rsid w:val="000E3AB2"/>
    <w:rsid w:val="000E3B40"/>
    <w:rsid w:val="000E3D13"/>
    <w:rsid w:val="000E42E1"/>
    <w:rsid w:val="000E437E"/>
    <w:rsid w:val="000E4DE1"/>
    <w:rsid w:val="000E55A8"/>
    <w:rsid w:val="000E5653"/>
    <w:rsid w:val="000E57B7"/>
    <w:rsid w:val="000E5AFF"/>
    <w:rsid w:val="000E5DD4"/>
    <w:rsid w:val="000E5F28"/>
    <w:rsid w:val="000E5F37"/>
    <w:rsid w:val="000E60DC"/>
    <w:rsid w:val="000E623D"/>
    <w:rsid w:val="000E6330"/>
    <w:rsid w:val="000E65C9"/>
    <w:rsid w:val="000E66F2"/>
    <w:rsid w:val="000E687F"/>
    <w:rsid w:val="000E69D8"/>
    <w:rsid w:val="000E6D1D"/>
    <w:rsid w:val="000E6FD3"/>
    <w:rsid w:val="000E76D0"/>
    <w:rsid w:val="000E7C99"/>
    <w:rsid w:val="000F00D2"/>
    <w:rsid w:val="000F0CC1"/>
    <w:rsid w:val="000F0EA5"/>
    <w:rsid w:val="000F0F5F"/>
    <w:rsid w:val="000F16D4"/>
    <w:rsid w:val="000F1CEB"/>
    <w:rsid w:val="000F2514"/>
    <w:rsid w:val="000F2517"/>
    <w:rsid w:val="000F2CA7"/>
    <w:rsid w:val="000F2D51"/>
    <w:rsid w:val="000F3333"/>
    <w:rsid w:val="000F34D0"/>
    <w:rsid w:val="000F352C"/>
    <w:rsid w:val="000F354E"/>
    <w:rsid w:val="000F3558"/>
    <w:rsid w:val="000F3784"/>
    <w:rsid w:val="000F39B6"/>
    <w:rsid w:val="000F3D7D"/>
    <w:rsid w:val="000F408E"/>
    <w:rsid w:val="000F40C9"/>
    <w:rsid w:val="000F490B"/>
    <w:rsid w:val="000F4BA2"/>
    <w:rsid w:val="000F4FC9"/>
    <w:rsid w:val="000F5341"/>
    <w:rsid w:val="000F53C2"/>
    <w:rsid w:val="000F598A"/>
    <w:rsid w:val="000F5AF2"/>
    <w:rsid w:val="000F5D2E"/>
    <w:rsid w:val="000F636B"/>
    <w:rsid w:val="000F6480"/>
    <w:rsid w:val="000F68E5"/>
    <w:rsid w:val="000F69FE"/>
    <w:rsid w:val="000F6C4E"/>
    <w:rsid w:val="000F6DBC"/>
    <w:rsid w:val="000F787D"/>
    <w:rsid w:val="000F7B67"/>
    <w:rsid w:val="000F7BA9"/>
    <w:rsid w:val="000F7C35"/>
    <w:rsid w:val="000F7C95"/>
    <w:rsid w:val="001005DD"/>
    <w:rsid w:val="0010080B"/>
    <w:rsid w:val="00100D33"/>
    <w:rsid w:val="00100DB0"/>
    <w:rsid w:val="00100E55"/>
    <w:rsid w:val="0010111D"/>
    <w:rsid w:val="001011DF"/>
    <w:rsid w:val="0010136E"/>
    <w:rsid w:val="00101444"/>
    <w:rsid w:val="00101E95"/>
    <w:rsid w:val="0010242A"/>
    <w:rsid w:val="0010280B"/>
    <w:rsid w:val="0010283C"/>
    <w:rsid w:val="00102841"/>
    <w:rsid w:val="00102AA6"/>
    <w:rsid w:val="00102EDF"/>
    <w:rsid w:val="001038FD"/>
    <w:rsid w:val="00103C6C"/>
    <w:rsid w:val="00103D53"/>
    <w:rsid w:val="001040E4"/>
    <w:rsid w:val="0010416A"/>
    <w:rsid w:val="0010464E"/>
    <w:rsid w:val="0010484D"/>
    <w:rsid w:val="00104930"/>
    <w:rsid w:val="00104A9D"/>
    <w:rsid w:val="00104FF7"/>
    <w:rsid w:val="0010508F"/>
    <w:rsid w:val="00105328"/>
    <w:rsid w:val="001056D8"/>
    <w:rsid w:val="0010586E"/>
    <w:rsid w:val="0010600A"/>
    <w:rsid w:val="0010653B"/>
    <w:rsid w:val="001068FB"/>
    <w:rsid w:val="00106E89"/>
    <w:rsid w:val="00107191"/>
    <w:rsid w:val="00107365"/>
    <w:rsid w:val="00107597"/>
    <w:rsid w:val="001079C9"/>
    <w:rsid w:val="00107AD3"/>
    <w:rsid w:val="00107CC7"/>
    <w:rsid w:val="00107E8B"/>
    <w:rsid w:val="00107FC8"/>
    <w:rsid w:val="00110298"/>
    <w:rsid w:val="0011033B"/>
    <w:rsid w:val="00110429"/>
    <w:rsid w:val="00110AFE"/>
    <w:rsid w:val="00110C40"/>
    <w:rsid w:val="00110DBD"/>
    <w:rsid w:val="00110E37"/>
    <w:rsid w:val="001111CD"/>
    <w:rsid w:val="00111609"/>
    <w:rsid w:val="00111819"/>
    <w:rsid w:val="00111F4F"/>
    <w:rsid w:val="00111F5C"/>
    <w:rsid w:val="001126FE"/>
    <w:rsid w:val="00112818"/>
    <w:rsid w:val="00112D7B"/>
    <w:rsid w:val="00112FCE"/>
    <w:rsid w:val="00113842"/>
    <w:rsid w:val="00113B0E"/>
    <w:rsid w:val="00113C7C"/>
    <w:rsid w:val="00113EE6"/>
    <w:rsid w:val="00113F93"/>
    <w:rsid w:val="00114E46"/>
    <w:rsid w:val="001154F0"/>
    <w:rsid w:val="00115AFB"/>
    <w:rsid w:val="00115D31"/>
    <w:rsid w:val="0011605A"/>
    <w:rsid w:val="00116642"/>
    <w:rsid w:val="00116A6A"/>
    <w:rsid w:val="00116B3E"/>
    <w:rsid w:val="00116CC4"/>
    <w:rsid w:val="00116E5C"/>
    <w:rsid w:val="00120031"/>
    <w:rsid w:val="001202EB"/>
    <w:rsid w:val="00120A87"/>
    <w:rsid w:val="00120AA2"/>
    <w:rsid w:val="00120C04"/>
    <w:rsid w:val="00120F8A"/>
    <w:rsid w:val="00120FE9"/>
    <w:rsid w:val="001214E6"/>
    <w:rsid w:val="0012161F"/>
    <w:rsid w:val="00121B79"/>
    <w:rsid w:val="00121D32"/>
    <w:rsid w:val="001220BD"/>
    <w:rsid w:val="00122141"/>
    <w:rsid w:val="0012229B"/>
    <w:rsid w:val="00122476"/>
    <w:rsid w:val="001224EC"/>
    <w:rsid w:val="00122E81"/>
    <w:rsid w:val="001232AC"/>
    <w:rsid w:val="00123B7C"/>
    <w:rsid w:val="00123C1C"/>
    <w:rsid w:val="00123FC8"/>
    <w:rsid w:val="001240EA"/>
    <w:rsid w:val="00124299"/>
    <w:rsid w:val="00124678"/>
    <w:rsid w:val="0012469F"/>
    <w:rsid w:val="00124836"/>
    <w:rsid w:val="00124B82"/>
    <w:rsid w:val="00124F4F"/>
    <w:rsid w:val="00124F51"/>
    <w:rsid w:val="00124FFA"/>
    <w:rsid w:val="0012502B"/>
    <w:rsid w:val="001255C1"/>
    <w:rsid w:val="00125979"/>
    <w:rsid w:val="0012625B"/>
    <w:rsid w:val="001263E0"/>
    <w:rsid w:val="00126890"/>
    <w:rsid w:val="00126C9B"/>
    <w:rsid w:val="00126D70"/>
    <w:rsid w:val="00126DDB"/>
    <w:rsid w:val="00126F38"/>
    <w:rsid w:val="0012705E"/>
    <w:rsid w:val="00127191"/>
    <w:rsid w:val="0012730A"/>
    <w:rsid w:val="001273C9"/>
    <w:rsid w:val="001274EE"/>
    <w:rsid w:val="0012759C"/>
    <w:rsid w:val="001276A0"/>
    <w:rsid w:val="00127AB1"/>
    <w:rsid w:val="00130059"/>
    <w:rsid w:val="001300B4"/>
    <w:rsid w:val="00130184"/>
    <w:rsid w:val="00130218"/>
    <w:rsid w:val="001303B2"/>
    <w:rsid w:val="0013060D"/>
    <w:rsid w:val="00130929"/>
    <w:rsid w:val="00130953"/>
    <w:rsid w:val="00130E59"/>
    <w:rsid w:val="001310D9"/>
    <w:rsid w:val="00131265"/>
    <w:rsid w:val="00131492"/>
    <w:rsid w:val="00131721"/>
    <w:rsid w:val="00131911"/>
    <w:rsid w:val="00132179"/>
    <w:rsid w:val="0013260A"/>
    <w:rsid w:val="001327E1"/>
    <w:rsid w:val="001331C5"/>
    <w:rsid w:val="00133253"/>
    <w:rsid w:val="0013342C"/>
    <w:rsid w:val="001337A8"/>
    <w:rsid w:val="00133C90"/>
    <w:rsid w:val="00134002"/>
    <w:rsid w:val="001341B9"/>
    <w:rsid w:val="001341F1"/>
    <w:rsid w:val="001347C7"/>
    <w:rsid w:val="001348A2"/>
    <w:rsid w:val="001349C3"/>
    <w:rsid w:val="00134C4A"/>
    <w:rsid w:val="0013525F"/>
    <w:rsid w:val="001352EF"/>
    <w:rsid w:val="001354F6"/>
    <w:rsid w:val="00135968"/>
    <w:rsid w:val="001359D4"/>
    <w:rsid w:val="00135C51"/>
    <w:rsid w:val="00135E46"/>
    <w:rsid w:val="00135F5C"/>
    <w:rsid w:val="001366E1"/>
    <w:rsid w:val="00136AA8"/>
    <w:rsid w:val="00136CCE"/>
    <w:rsid w:val="00136DF6"/>
    <w:rsid w:val="00136DFC"/>
    <w:rsid w:val="00136FD3"/>
    <w:rsid w:val="00136FD6"/>
    <w:rsid w:val="00136FFD"/>
    <w:rsid w:val="00137063"/>
    <w:rsid w:val="0013711D"/>
    <w:rsid w:val="00137135"/>
    <w:rsid w:val="001373B0"/>
    <w:rsid w:val="0013751E"/>
    <w:rsid w:val="001377D0"/>
    <w:rsid w:val="001378A3"/>
    <w:rsid w:val="00137951"/>
    <w:rsid w:val="00137D84"/>
    <w:rsid w:val="00140082"/>
    <w:rsid w:val="0014021A"/>
    <w:rsid w:val="00140260"/>
    <w:rsid w:val="00140511"/>
    <w:rsid w:val="00140BD0"/>
    <w:rsid w:val="00141337"/>
    <w:rsid w:val="00141364"/>
    <w:rsid w:val="0014164E"/>
    <w:rsid w:val="001416E7"/>
    <w:rsid w:val="00141AEE"/>
    <w:rsid w:val="00141BBA"/>
    <w:rsid w:val="00142114"/>
    <w:rsid w:val="001421AA"/>
    <w:rsid w:val="0014280C"/>
    <w:rsid w:val="00142A2E"/>
    <w:rsid w:val="00142C0B"/>
    <w:rsid w:val="00142CAB"/>
    <w:rsid w:val="00143391"/>
    <w:rsid w:val="00143404"/>
    <w:rsid w:val="001435FA"/>
    <w:rsid w:val="00143723"/>
    <w:rsid w:val="001438D1"/>
    <w:rsid w:val="00143907"/>
    <w:rsid w:val="00143B17"/>
    <w:rsid w:val="00143CBB"/>
    <w:rsid w:val="00143D44"/>
    <w:rsid w:val="00143E9B"/>
    <w:rsid w:val="001440DD"/>
    <w:rsid w:val="00144486"/>
    <w:rsid w:val="00144758"/>
    <w:rsid w:val="00144A0E"/>
    <w:rsid w:val="00144B62"/>
    <w:rsid w:val="00144C86"/>
    <w:rsid w:val="00144E2E"/>
    <w:rsid w:val="00144F50"/>
    <w:rsid w:val="0014557A"/>
    <w:rsid w:val="00145618"/>
    <w:rsid w:val="00145872"/>
    <w:rsid w:val="00145DC7"/>
    <w:rsid w:val="001460A2"/>
    <w:rsid w:val="001460D9"/>
    <w:rsid w:val="001461FF"/>
    <w:rsid w:val="00146663"/>
    <w:rsid w:val="001467CE"/>
    <w:rsid w:val="00146ED2"/>
    <w:rsid w:val="00146F76"/>
    <w:rsid w:val="00147072"/>
    <w:rsid w:val="001472D9"/>
    <w:rsid w:val="001474A2"/>
    <w:rsid w:val="00147585"/>
    <w:rsid w:val="0014795A"/>
    <w:rsid w:val="00147B6E"/>
    <w:rsid w:val="00150071"/>
    <w:rsid w:val="001500EF"/>
    <w:rsid w:val="001501FF"/>
    <w:rsid w:val="001503B4"/>
    <w:rsid w:val="001504C5"/>
    <w:rsid w:val="00150846"/>
    <w:rsid w:val="00150898"/>
    <w:rsid w:val="001509BB"/>
    <w:rsid w:val="00150A3D"/>
    <w:rsid w:val="00150AB3"/>
    <w:rsid w:val="00150B0A"/>
    <w:rsid w:val="00150B38"/>
    <w:rsid w:val="00150DEC"/>
    <w:rsid w:val="00151192"/>
    <w:rsid w:val="001513AC"/>
    <w:rsid w:val="001513D2"/>
    <w:rsid w:val="001516FB"/>
    <w:rsid w:val="0015195E"/>
    <w:rsid w:val="0015196B"/>
    <w:rsid w:val="00151F8A"/>
    <w:rsid w:val="00152105"/>
    <w:rsid w:val="00152316"/>
    <w:rsid w:val="001523EF"/>
    <w:rsid w:val="0015242D"/>
    <w:rsid w:val="00152461"/>
    <w:rsid w:val="00152B0D"/>
    <w:rsid w:val="001531C9"/>
    <w:rsid w:val="0015327A"/>
    <w:rsid w:val="00153454"/>
    <w:rsid w:val="00153576"/>
    <w:rsid w:val="001536B1"/>
    <w:rsid w:val="001536B2"/>
    <w:rsid w:val="00153706"/>
    <w:rsid w:val="0015385F"/>
    <w:rsid w:val="001538E4"/>
    <w:rsid w:val="00153AF1"/>
    <w:rsid w:val="00153C26"/>
    <w:rsid w:val="00153CC5"/>
    <w:rsid w:val="00153CE4"/>
    <w:rsid w:val="00153E05"/>
    <w:rsid w:val="00153E7B"/>
    <w:rsid w:val="001540BE"/>
    <w:rsid w:val="001542CB"/>
    <w:rsid w:val="0015433F"/>
    <w:rsid w:val="001543B3"/>
    <w:rsid w:val="001543EE"/>
    <w:rsid w:val="001548DE"/>
    <w:rsid w:val="00154B29"/>
    <w:rsid w:val="00154D7C"/>
    <w:rsid w:val="00155315"/>
    <w:rsid w:val="001558CA"/>
    <w:rsid w:val="00155A3F"/>
    <w:rsid w:val="00155D89"/>
    <w:rsid w:val="00156091"/>
    <w:rsid w:val="001568B7"/>
    <w:rsid w:val="00156F5A"/>
    <w:rsid w:val="0015761B"/>
    <w:rsid w:val="00157D5D"/>
    <w:rsid w:val="00157F5E"/>
    <w:rsid w:val="0016000C"/>
    <w:rsid w:val="001601D4"/>
    <w:rsid w:val="00160631"/>
    <w:rsid w:val="00160AC9"/>
    <w:rsid w:val="00160E90"/>
    <w:rsid w:val="0016161C"/>
    <w:rsid w:val="001616A9"/>
    <w:rsid w:val="00161727"/>
    <w:rsid w:val="001617CE"/>
    <w:rsid w:val="00161A8A"/>
    <w:rsid w:val="00161E46"/>
    <w:rsid w:val="00161F4B"/>
    <w:rsid w:val="00161FEC"/>
    <w:rsid w:val="001627D9"/>
    <w:rsid w:val="001629D9"/>
    <w:rsid w:val="0016315C"/>
    <w:rsid w:val="00163523"/>
    <w:rsid w:val="001637CE"/>
    <w:rsid w:val="001638E3"/>
    <w:rsid w:val="00163C15"/>
    <w:rsid w:val="00164007"/>
    <w:rsid w:val="001641D5"/>
    <w:rsid w:val="0016437A"/>
    <w:rsid w:val="00164592"/>
    <w:rsid w:val="001645C3"/>
    <w:rsid w:val="00164A7A"/>
    <w:rsid w:val="00164B52"/>
    <w:rsid w:val="00164DE8"/>
    <w:rsid w:val="00165114"/>
    <w:rsid w:val="00165326"/>
    <w:rsid w:val="0016547B"/>
    <w:rsid w:val="0016584F"/>
    <w:rsid w:val="00165869"/>
    <w:rsid w:val="001659FF"/>
    <w:rsid w:val="00165A46"/>
    <w:rsid w:val="00165BE9"/>
    <w:rsid w:val="00165F3D"/>
    <w:rsid w:val="00165F41"/>
    <w:rsid w:val="0016603E"/>
    <w:rsid w:val="001664D0"/>
    <w:rsid w:val="00166647"/>
    <w:rsid w:val="0016674B"/>
    <w:rsid w:val="00166E07"/>
    <w:rsid w:val="00167363"/>
    <w:rsid w:val="001675F9"/>
    <w:rsid w:val="00167EE7"/>
    <w:rsid w:val="001700F6"/>
    <w:rsid w:val="001702E9"/>
    <w:rsid w:val="00170639"/>
    <w:rsid w:val="00170767"/>
    <w:rsid w:val="00170856"/>
    <w:rsid w:val="001709FB"/>
    <w:rsid w:val="00170A1F"/>
    <w:rsid w:val="00170C59"/>
    <w:rsid w:val="00170D35"/>
    <w:rsid w:val="00170FEE"/>
    <w:rsid w:val="0017101F"/>
    <w:rsid w:val="00171465"/>
    <w:rsid w:val="0017185C"/>
    <w:rsid w:val="00171D42"/>
    <w:rsid w:val="00171DC4"/>
    <w:rsid w:val="0017213A"/>
    <w:rsid w:val="00172C1E"/>
    <w:rsid w:val="00172D2B"/>
    <w:rsid w:val="0017311E"/>
    <w:rsid w:val="001731D5"/>
    <w:rsid w:val="001736FF"/>
    <w:rsid w:val="00173763"/>
    <w:rsid w:val="00173850"/>
    <w:rsid w:val="00173932"/>
    <w:rsid w:val="00173EA3"/>
    <w:rsid w:val="00174107"/>
    <w:rsid w:val="00174337"/>
    <w:rsid w:val="001743AA"/>
    <w:rsid w:val="00174D6B"/>
    <w:rsid w:val="00174E64"/>
    <w:rsid w:val="00174F1A"/>
    <w:rsid w:val="001752D6"/>
    <w:rsid w:val="001754D1"/>
    <w:rsid w:val="001754D8"/>
    <w:rsid w:val="00175DC8"/>
    <w:rsid w:val="00175F0C"/>
    <w:rsid w:val="00176696"/>
    <w:rsid w:val="00176949"/>
    <w:rsid w:val="00176A9F"/>
    <w:rsid w:val="00176C23"/>
    <w:rsid w:val="0017716B"/>
    <w:rsid w:val="001776E5"/>
    <w:rsid w:val="001778A6"/>
    <w:rsid w:val="00177ABD"/>
    <w:rsid w:val="00177B10"/>
    <w:rsid w:val="001802C1"/>
    <w:rsid w:val="00180361"/>
    <w:rsid w:val="0018045D"/>
    <w:rsid w:val="0018048F"/>
    <w:rsid w:val="00180A4F"/>
    <w:rsid w:val="00180D05"/>
    <w:rsid w:val="00181184"/>
    <w:rsid w:val="001816BB"/>
    <w:rsid w:val="00181702"/>
    <w:rsid w:val="00181720"/>
    <w:rsid w:val="001818B2"/>
    <w:rsid w:val="00181F87"/>
    <w:rsid w:val="0018238C"/>
    <w:rsid w:val="001827C2"/>
    <w:rsid w:val="001827FB"/>
    <w:rsid w:val="0018281A"/>
    <w:rsid w:val="0018288F"/>
    <w:rsid w:val="00182BA0"/>
    <w:rsid w:val="00182C2F"/>
    <w:rsid w:val="00182F4D"/>
    <w:rsid w:val="001835F5"/>
    <w:rsid w:val="001837F6"/>
    <w:rsid w:val="0018399D"/>
    <w:rsid w:val="00183B41"/>
    <w:rsid w:val="00183BB9"/>
    <w:rsid w:val="00183C99"/>
    <w:rsid w:val="00184044"/>
    <w:rsid w:val="001840D9"/>
    <w:rsid w:val="001842B7"/>
    <w:rsid w:val="0018430D"/>
    <w:rsid w:val="0018439A"/>
    <w:rsid w:val="00184536"/>
    <w:rsid w:val="0018461B"/>
    <w:rsid w:val="001846C3"/>
    <w:rsid w:val="00184908"/>
    <w:rsid w:val="0018498A"/>
    <w:rsid w:val="00184A4B"/>
    <w:rsid w:val="00184A83"/>
    <w:rsid w:val="00184C0A"/>
    <w:rsid w:val="001856A1"/>
    <w:rsid w:val="00185FB2"/>
    <w:rsid w:val="00186089"/>
    <w:rsid w:val="001868A9"/>
    <w:rsid w:val="00186B09"/>
    <w:rsid w:val="00186BFC"/>
    <w:rsid w:val="00186EFF"/>
    <w:rsid w:val="00186FF2"/>
    <w:rsid w:val="0018723D"/>
    <w:rsid w:val="00187AB5"/>
    <w:rsid w:val="00187C52"/>
    <w:rsid w:val="00187CD0"/>
    <w:rsid w:val="00187F91"/>
    <w:rsid w:val="00187FA5"/>
    <w:rsid w:val="0019084D"/>
    <w:rsid w:val="001909C3"/>
    <w:rsid w:val="001909D3"/>
    <w:rsid w:val="00190A2B"/>
    <w:rsid w:val="00190E29"/>
    <w:rsid w:val="00190ECD"/>
    <w:rsid w:val="00191298"/>
    <w:rsid w:val="00191317"/>
    <w:rsid w:val="00191396"/>
    <w:rsid w:val="00191C5E"/>
    <w:rsid w:val="00191DB2"/>
    <w:rsid w:val="00192308"/>
    <w:rsid w:val="00192406"/>
    <w:rsid w:val="00192594"/>
    <w:rsid w:val="00192686"/>
    <w:rsid w:val="001928EE"/>
    <w:rsid w:val="00192B49"/>
    <w:rsid w:val="00192BB0"/>
    <w:rsid w:val="001930A8"/>
    <w:rsid w:val="00193AD9"/>
    <w:rsid w:val="00193B00"/>
    <w:rsid w:val="00193B12"/>
    <w:rsid w:val="00193F2B"/>
    <w:rsid w:val="00194173"/>
    <w:rsid w:val="001943D1"/>
    <w:rsid w:val="00194447"/>
    <w:rsid w:val="001947E5"/>
    <w:rsid w:val="001948D4"/>
    <w:rsid w:val="001948EB"/>
    <w:rsid w:val="00194A6F"/>
    <w:rsid w:val="00194B6D"/>
    <w:rsid w:val="001952E2"/>
    <w:rsid w:val="001957F6"/>
    <w:rsid w:val="00195B11"/>
    <w:rsid w:val="00195FE1"/>
    <w:rsid w:val="00196606"/>
    <w:rsid w:val="00196686"/>
    <w:rsid w:val="001966CB"/>
    <w:rsid w:val="001966FC"/>
    <w:rsid w:val="00197173"/>
    <w:rsid w:val="0019762A"/>
    <w:rsid w:val="001976FA"/>
    <w:rsid w:val="001977A5"/>
    <w:rsid w:val="00197A33"/>
    <w:rsid w:val="00197A81"/>
    <w:rsid w:val="00197E67"/>
    <w:rsid w:val="00197ECF"/>
    <w:rsid w:val="001A014B"/>
    <w:rsid w:val="001A0734"/>
    <w:rsid w:val="001A079E"/>
    <w:rsid w:val="001A1094"/>
    <w:rsid w:val="001A14D7"/>
    <w:rsid w:val="001A15B7"/>
    <w:rsid w:val="001A1C20"/>
    <w:rsid w:val="001A1C4E"/>
    <w:rsid w:val="001A1C71"/>
    <w:rsid w:val="001A1D24"/>
    <w:rsid w:val="001A2084"/>
    <w:rsid w:val="001A2516"/>
    <w:rsid w:val="001A26EC"/>
    <w:rsid w:val="001A28CC"/>
    <w:rsid w:val="001A2A9B"/>
    <w:rsid w:val="001A2C5D"/>
    <w:rsid w:val="001A2D02"/>
    <w:rsid w:val="001A2D52"/>
    <w:rsid w:val="001A331F"/>
    <w:rsid w:val="001A343B"/>
    <w:rsid w:val="001A35AB"/>
    <w:rsid w:val="001A364B"/>
    <w:rsid w:val="001A375F"/>
    <w:rsid w:val="001A3AE6"/>
    <w:rsid w:val="001A3CBF"/>
    <w:rsid w:val="001A3E24"/>
    <w:rsid w:val="001A3EAF"/>
    <w:rsid w:val="001A3EE2"/>
    <w:rsid w:val="001A3FC8"/>
    <w:rsid w:val="001A418B"/>
    <w:rsid w:val="001A44D4"/>
    <w:rsid w:val="001A47CA"/>
    <w:rsid w:val="001A4891"/>
    <w:rsid w:val="001A49A3"/>
    <w:rsid w:val="001A49BA"/>
    <w:rsid w:val="001A4A19"/>
    <w:rsid w:val="001A4B80"/>
    <w:rsid w:val="001A533E"/>
    <w:rsid w:val="001A58B6"/>
    <w:rsid w:val="001A5995"/>
    <w:rsid w:val="001A5B14"/>
    <w:rsid w:val="001A5B5A"/>
    <w:rsid w:val="001A5BBB"/>
    <w:rsid w:val="001A5BE9"/>
    <w:rsid w:val="001A5D2F"/>
    <w:rsid w:val="001A6279"/>
    <w:rsid w:val="001A6339"/>
    <w:rsid w:val="001A63C7"/>
    <w:rsid w:val="001A646A"/>
    <w:rsid w:val="001A658A"/>
    <w:rsid w:val="001A6701"/>
    <w:rsid w:val="001A6A7F"/>
    <w:rsid w:val="001A6D38"/>
    <w:rsid w:val="001A743D"/>
    <w:rsid w:val="001A74F1"/>
    <w:rsid w:val="001A7876"/>
    <w:rsid w:val="001A7941"/>
    <w:rsid w:val="001A7C4B"/>
    <w:rsid w:val="001A7D0E"/>
    <w:rsid w:val="001A7F79"/>
    <w:rsid w:val="001B0085"/>
    <w:rsid w:val="001B00DC"/>
    <w:rsid w:val="001B00E0"/>
    <w:rsid w:val="001B0432"/>
    <w:rsid w:val="001B0777"/>
    <w:rsid w:val="001B077E"/>
    <w:rsid w:val="001B0984"/>
    <w:rsid w:val="001B0C19"/>
    <w:rsid w:val="001B0F26"/>
    <w:rsid w:val="001B12D5"/>
    <w:rsid w:val="001B13A5"/>
    <w:rsid w:val="001B157C"/>
    <w:rsid w:val="001B1EEB"/>
    <w:rsid w:val="001B1F7B"/>
    <w:rsid w:val="001B21D2"/>
    <w:rsid w:val="001B22A6"/>
    <w:rsid w:val="001B25F3"/>
    <w:rsid w:val="001B2714"/>
    <w:rsid w:val="001B2972"/>
    <w:rsid w:val="001B2C11"/>
    <w:rsid w:val="001B2E9D"/>
    <w:rsid w:val="001B2ECE"/>
    <w:rsid w:val="001B3329"/>
    <w:rsid w:val="001B36FE"/>
    <w:rsid w:val="001B381A"/>
    <w:rsid w:val="001B38B7"/>
    <w:rsid w:val="001B3914"/>
    <w:rsid w:val="001B3D10"/>
    <w:rsid w:val="001B409B"/>
    <w:rsid w:val="001B4294"/>
    <w:rsid w:val="001B4365"/>
    <w:rsid w:val="001B4410"/>
    <w:rsid w:val="001B45EA"/>
    <w:rsid w:val="001B4639"/>
    <w:rsid w:val="001B4852"/>
    <w:rsid w:val="001B490C"/>
    <w:rsid w:val="001B4A21"/>
    <w:rsid w:val="001B4A84"/>
    <w:rsid w:val="001B4CC2"/>
    <w:rsid w:val="001B587F"/>
    <w:rsid w:val="001B5B00"/>
    <w:rsid w:val="001B5B51"/>
    <w:rsid w:val="001B6066"/>
    <w:rsid w:val="001B60CC"/>
    <w:rsid w:val="001B673E"/>
    <w:rsid w:val="001B683D"/>
    <w:rsid w:val="001B6881"/>
    <w:rsid w:val="001B69AC"/>
    <w:rsid w:val="001B6CF7"/>
    <w:rsid w:val="001B6D15"/>
    <w:rsid w:val="001B71DC"/>
    <w:rsid w:val="001B73C1"/>
    <w:rsid w:val="001B777E"/>
    <w:rsid w:val="001B792F"/>
    <w:rsid w:val="001B79F9"/>
    <w:rsid w:val="001B7AB2"/>
    <w:rsid w:val="001B7D92"/>
    <w:rsid w:val="001B7FA2"/>
    <w:rsid w:val="001C02B0"/>
    <w:rsid w:val="001C05EC"/>
    <w:rsid w:val="001C0797"/>
    <w:rsid w:val="001C07E4"/>
    <w:rsid w:val="001C0ECA"/>
    <w:rsid w:val="001C1042"/>
    <w:rsid w:val="001C133F"/>
    <w:rsid w:val="001C1366"/>
    <w:rsid w:val="001C198D"/>
    <w:rsid w:val="001C1B67"/>
    <w:rsid w:val="001C1E3D"/>
    <w:rsid w:val="001C1F36"/>
    <w:rsid w:val="001C1F54"/>
    <w:rsid w:val="001C1F6C"/>
    <w:rsid w:val="001C21D2"/>
    <w:rsid w:val="001C239B"/>
    <w:rsid w:val="001C2C4A"/>
    <w:rsid w:val="001C2D39"/>
    <w:rsid w:val="001C2FA4"/>
    <w:rsid w:val="001C3120"/>
    <w:rsid w:val="001C3684"/>
    <w:rsid w:val="001C36AF"/>
    <w:rsid w:val="001C446B"/>
    <w:rsid w:val="001C4D9F"/>
    <w:rsid w:val="001C5276"/>
    <w:rsid w:val="001C54BA"/>
    <w:rsid w:val="001C578E"/>
    <w:rsid w:val="001C5817"/>
    <w:rsid w:val="001C583F"/>
    <w:rsid w:val="001C5A90"/>
    <w:rsid w:val="001C5B01"/>
    <w:rsid w:val="001C5B38"/>
    <w:rsid w:val="001C5CDB"/>
    <w:rsid w:val="001C5D53"/>
    <w:rsid w:val="001C5D92"/>
    <w:rsid w:val="001C5F41"/>
    <w:rsid w:val="001C613A"/>
    <w:rsid w:val="001C62BD"/>
    <w:rsid w:val="001C6342"/>
    <w:rsid w:val="001C63F1"/>
    <w:rsid w:val="001C6489"/>
    <w:rsid w:val="001C69F1"/>
    <w:rsid w:val="001C6B05"/>
    <w:rsid w:val="001C6C63"/>
    <w:rsid w:val="001C6CA2"/>
    <w:rsid w:val="001C7665"/>
    <w:rsid w:val="001C7703"/>
    <w:rsid w:val="001C78BD"/>
    <w:rsid w:val="001C79BD"/>
    <w:rsid w:val="001C7AF1"/>
    <w:rsid w:val="001C7B58"/>
    <w:rsid w:val="001C7BA2"/>
    <w:rsid w:val="001C7D6C"/>
    <w:rsid w:val="001D05B6"/>
    <w:rsid w:val="001D119D"/>
    <w:rsid w:val="001D14E8"/>
    <w:rsid w:val="001D1EA1"/>
    <w:rsid w:val="001D200B"/>
    <w:rsid w:val="001D2010"/>
    <w:rsid w:val="001D247E"/>
    <w:rsid w:val="001D2668"/>
    <w:rsid w:val="001D268B"/>
    <w:rsid w:val="001D28A9"/>
    <w:rsid w:val="001D2DC7"/>
    <w:rsid w:val="001D2E87"/>
    <w:rsid w:val="001D2EBC"/>
    <w:rsid w:val="001D3271"/>
    <w:rsid w:val="001D35FB"/>
    <w:rsid w:val="001D3871"/>
    <w:rsid w:val="001D39B5"/>
    <w:rsid w:val="001D3B8C"/>
    <w:rsid w:val="001D3BA2"/>
    <w:rsid w:val="001D3DB7"/>
    <w:rsid w:val="001D3DC6"/>
    <w:rsid w:val="001D4160"/>
    <w:rsid w:val="001D41CF"/>
    <w:rsid w:val="001D422B"/>
    <w:rsid w:val="001D429C"/>
    <w:rsid w:val="001D42FC"/>
    <w:rsid w:val="001D4493"/>
    <w:rsid w:val="001D4633"/>
    <w:rsid w:val="001D4AE3"/>
    <w:rsid w:val="001D4B8F"/>
    <w:rsid w:val="001D4B9B"/>
    <w:rsid w:val="001D4BAB"/>
    <w:rsid w:val="001D4D47"/>
    <w:rsid w:val="001D4DD5"/>
    <w:rsid w:val="001D5398"/>
    <w:rsid w:val="001D543B"/>
    <w:rsid w:val="001D549C"/>
    <w:rsid w:val="001D5E13"/>
    <w:rsid w:val="001D616B"/>
    <w:rsid w:val="001D6206"/>
    <w:rsid w:val="001D6410"/>
    <w:rsid w:val="001D67E7"/>
    <w:rsid w:val="001D6B1D"/>
    <w:rsid w:val="001D6C0F"/>
    <w:rsid w:val="001D6DDC"/>
    <w:rsid w:val="001D6E2E"/>
    <w:rsid w:val="001D764A"/>
    <w:rsid w:val="001D7E0F"/>
    <w:rsid w:val="001D7E6B"/>
    <w:rsid w:val="001E064E"/>
    <w:rsid w:val="001E0B86"/>
    <w:rsid w:val="001E0BEC"/>
    <w:rsid w:val="001E0E89"/>
    <w:rsid w:val="001E0EBD"/>
    <w:rsid w:val="001E0ECA"/>
    <w:rsid w:val="001E10B7"/>
    <w:rsid w:val="001E1887"/>
    <w:rsid w:val="001E189D"/>
    <w:rsid w:val="001E1C10"/>
    <w:rsid w:val="001E1EA2"/>
    <w:rsid w:val="001E21DC"/>
    <w:rsid w:val="001E2493"/>
    <w:rsid w:val="001E28EC"/>
    <w:rsid w:val="001E2C45"/>
    <w:rsid w:val="001E2DB4"/>
    <w:rsid w:val="001E2E43"/>
    <w:rsid w:val="001E2FA6"/>
    <w:rsid w:val="001E3007"/>
    <w:rsid w:val="001E35E6"/>
    <w:rsid w:val="001E3EE6"/>
    <w:rsid w:val="001E4056"/>
    <w:rsid w:val="001E4356"/>
    <w:rsid w:val="001E43CC"/>
    <w:rsid w:val="001E4434"/>
    <w:rsid w:val="001E448C"/>
    <w:rsid w:val="001E4999"/>
    <w:rsid w:val="001E49E2"/>
    <w:rsid w:val="001E4E50"/>
    <w:rsid w:val="001E4EDD"/>
    <w:rsid w:val="001E50D1"/>
    <w:rsid w:val="001E51A8"/>
    <w:rsid w:val="001E52F1"/>
    <w:rsid w:val="001E5498"/>
    <w:rsid w:val="001E5898"/>
    <w:rsid w:val="001E5A20"/>
    <w:rsid w:val="001E5A5D"/>
    <w:rsid w:val="001E5F9C"/>
    <w:rsid w:val="001E616A"/>
    <w:rsid w:val="001E6318"/>
    <w:rsid w:val="001E6592"/>
    <w:rsid w:val="001E65BA"/>
    <w:rsid w:val="001E6D20"/>
    <w:rsid w:val="001E7169"/>
    <w:rsid w:val="001E72D0"/>
    <w:rsid w:val="001E779E"/>
    <w:rsid w:val="001E7C16"/>
    <w:rsid w:val="001F04B5"/>
    <w:rsid w:val="001F09B5"/>
    <w:rsid w:val="001F0A46"/>
    <w:rsid w:val="001F11C9"/>
    <w:rsid w:val="001F13DC"/>
    <w:rsid w:val="001F15B9"/>
    <w:rsid w:val="001F15BD"/>
    <w:rsid w:val="001F161F"/>
    <w:rsid w:val="001F1C8E"/>
    <w:rsid w:val="001F2041"/>
    <w:rsid w:val="001F2417"/>
    <w:rsid w:val="001F2599"/>
    <w:rsid w:val="001F28E3"/>
    <w:rsid w:val="001F29C1"/>
    <w:rsid w:val="001F2AA2"/>
    <w:rsid w:val="001F2C5C"/>
    <w:rsid w:val="001F2E12"/>
    <w:rsid w:val="001F3237"/>
    <w:rsid w:val="001F34A6"/>
    <w:rsid w:val="001F3668"/>
    <w:rsid w:val="001F380B"/>
    <w:rsid w:val="001F39D8"/>
    <w:rsid w:val="001F39DC"/>
    <w:rsid w:val="001F3A24"/>
    <w:rsid w:val="001F3F53"/>
    <w:rsid w:val="001F4109"/>
    <w:rsid w:val="001F4536"/>
    <w:rsid w:val="001F45C8"/>
    <w:rsid w:val="001F4FC5"/>
    <w:rsid w:val="001F50C7"/>
    <w:rsid w:val="001F522A"/>
    <w:rsid w:val="001F52E4"/>
    <w:rsid w:val="001F5337"/>
    <w:rsid w:val="001F5683"/>
    <w:rsid w:val="001F58C4"/>
    <w:rsid w:val="001F5D60"/>
    <w:rsid w:val="001F5E5C"/>
    <w:rsid w:val="001F62E8"/>
    <w:rsid w:val="001F62EB"/>
    <w:rsid w:val="001F672B"/>
    <w:rsid w:val="001F7046"/>
    <w:rsid w:val="001F70EE"/>
    <w:rsid w:val="001F76E3"/>
    <w:rsid w:val="001F76F9"/>
    <w:rsid w:val="001F7917"/>
    <w:rsid w:val="001F79D4"/>
    <w:rsid w:val="001F7C1A"/>
    <w:rsid w:val="00200428"/>
    <w:rsid w:val="00200472"/>
    <w:rsid w:val="00200724"/>
    <w:rsid w:val="00200B29"/>
    <w:rsid w:val="00200F53"/>
    <w:rsid w:val="00201084"/>
    <w:rsid w:val="002011A4"/>
    <w:rsid w:val="0020127D"/>
    <w:rsid w:val="002014C3"/>
    <w:rsid w:val="00201645"/>
    <w:rsid w:val="002019CB"/>
    <w:rsid w:val="00201E95"/>
    <w:rsid w:val="0020200C"/>
    <w:rsid w:val="002021A2"/>
    <w:rsid w:val="002022A9"/>
    <w:rsid w:val="002022B5"/>
    <w:rsid w:val="0020245A"/>
    <w:rsid w:val="00202E47"/>
    <w:rsid w:val="00203184"/>
    <w:rsid w:val="00203575"/>
    <w:rsid w:val="00203643"/>
    <w:rsid w:val="002038FB"/>
    <w:rsid w:val="00203E28"/>
    <w:rsid w:val="0020429C"/>
    <w:rsid w:val="0020472B"/>
    <w:rsid w:val="00204786"/>
    <w:rsid w:val="00204854"/>
    <w:rsid w:val="00204B82"/>
    <w:rsid w:val="00204C95"/>
    <w:rsid w:val="00204CDD"/>
    <w:rsid w:val="00204F0F"/>
    <w:rsid w:val="00204F1A"/>
    <w:rsid w:val="002053F8"/>
    <w:rsid w:val="00205483"/>
    <w:rsid w:val="002056DD"/>
    <w:rsid w:val="002056FB"/>
    <w:rsid w:val="00205980"/>
    <w:rsid w:val="00205EDB"/>
    <w:rsid w:val="002060FA"/>
    <w:rsid w:val="0020628D"/>
    <w:rsid w:val="00206790"/>
    <w:rsid w:val="0020684E"/>
    <w:rsid w:val="002068A2"/>
    <w:rsid w:val="00206CB2"/>
    <w:rsid w:val="00206D28"/>
    <w:rsid w:val="00206D42"/>
    <w:rsid w:val="00206EE3"/>
    <w:rsid w:val="0020707D"/>
    <w:rsid w:val="002070A6"/>
    <w:rsid w:val="00207291"/>
    <w:rsid w:val="00207451"/>
    <w:rsid w:val="00207800"/>
    <w:rsid w:val="0021027F"/>
    <w:rsid w:val="002103CB"/>
    <w:rsid w:val="00210442"/>
    <w:rsid w:val="00210E98"/>
    <w:rsid w:val="00210FED"/>
    <w:rsid w:val="0021111C"/>
    <w:rsid w:val="002111A3"/>
    <w:rsid w:val="00211497"/>
    <w:rsid w:val="002117BA"/>
    <w:rsid w:val="00211959"/>
    <w:rsid w:val="00211B33"/>
    <w:rsid w:val="00211F3E"/>
    <w:rsid w:val="00212220"/>
    <w:rsid w:val="0021252E"/>
    <w:rsid w:val="00212653"/>
    <w:rsid w:val="0021270B"/>
    <w:rsid w:val="00212950"/>
    <w:rsid w:val="00212A6B"/>
    <w:rsid w:val="00212EEB"/>
    <w:rsid w:val="002133AF"/>
    <w:rsid w:val="002134E8"/>
    <w:rsid w:val="00213B4C"/>
    <w:rsid w:val="00213C88"/>
    <w:rsid w:val="00213C93"/>
    <w:rsid w:val="00213CA1"/>
    <w:rsid w:val="00213D83"/>
    <w:rsid w:val="00213EE1"/>
    <w:rsid w:val="00214515"/>
    <w:rsid w:val="00214CA9"/>
    <w:rsid w:val="002151E4"/>
    <w:rsid w:val="0021547C"/>
    <w:rsid w:val="002154C8"/>
    <w:rsid w:val="0021564E"/>
    <w:rsid w:val="00215684"/>
    <w:rsid w:val="002156EE"/>
    <w:rsid w:val="00215733"/>
    <w:rsid w:val="00215B5D"/>
    <w:rsid w:val="00215E99"/>
    <w:rsid w:val="00215F79"/>
    <w:rsid w:val="00216931"/>
    <w:rsid w:val="00216966"/>
    <w:rsid w:val="00216EA2"/>
    <w:rsid w:val="00217479"/>
    <w:rsid w:val="002174CE"/>
    <w:rsid w:val="00217BB7"/>
    <w:rsid w:val="0022020E"/>
    <w:rsid w:val="00220896"/>
    <w:rsid w:val="00220925"/>
    <w:rsid w:val="00220D9A"/>
    <w:rsid w:val="00220DBA"/>
    <w:rsid w:val="00220EAA"/>
    <w:rsid w:val="0022119A"/>
    <w:rsid w:val="002214AF"/>
    <w:rsid w:val="002215FC"/>
    <w:rsid w:val="00221ABC"/>
    <w:rsid w:val="00221B6C"/>
    <w:rsid w:val="00221C6E"/>
    <w:rsid w:val="00221D71"/>
    <w:rsid w:val="002220EC"/>
    <w:rsid w:val="00222241"/>
    <w:rsid w:val="002222A2"/>
    <w:rsid w:val="00222392"/>
    <w:rsid w:val="00222601"/>
    <w:rsid w:val="00222D57"/>
    <w:rsid w:val="0022307C"/>
    <w:rsid w:val="00223150"/>
    <w:rsid w:val="0022321B"/>
    <w:rsid w:val="00223724"/>
    <w:rsid w:val="00223A52"/>
    <w:rsid w:val="00223DEE"/>
    <w:rsid w:val="00223F06"/>
    <w:rsid w:val="0022420A"/>
    <w:rsid w:val="002245A0"/>
    <w:rsid w:val="00224638"/>
    <w:rsid w:val="002247AF"/>
    <w:rsid w:val="0022483F"/>
    <w:rsid w:val="00224C94"/>
    <w:rsid w:val="00224E15"/>
    <w:rsid w:val="002257D2"/>
    <w:rsid w:val="002257D7"/>
    <w:rsid w:val="00225941"/>
    <w:rsid w:val="00225C4E"/>
    <w:rsid w:val="00226543"/>
    <w:rsid w:val="002268E0"/>
    <w:rsid w:val="00226A60"/>
    <w:rsid w:val="00226A92"/>
    <w:rsid w:val="00226C86"/>
    <w:rsid w:val="00226F95"/>
    <w:rsid w:val="0022722F"/>
    <w:rsid w:val="0022725A"/>
    <w:rsid w:val="00227601"/>
    <w:rsid w:val="00227641"/>
    <w:rsid w:val="00227860"/>
    <w:rsid w:val="00227AF8"/>
    <w:rsid w:val="00227D78"/>
    <w:rsid w:val="00227E6C"/>
    <w:rsid w:val="0023031C"/>
    <w:rsid w:val="00231668"/>
    <w:rsid w:val="002319C8"/>
    <w:rsid w:val="00231AB1"/>
    <w:rsid w:val="00231AD9"/>
    <w:rsid w:val="00231B4C"/>
    <w:rsid w:val="00231BDB"/>
    <w:rsid w:val="00231F17"/>
    <w:rsid w:val="00232700"/>
    <w:rsid w:val="00232B35"/>
    <w:rsid w:val="00232C09"/>
    <w:rsid w:val="002331D1"/>
    <w:rsid w:val="00233596"/>
    <w:rsid w:val="00233699"/>
    <w:rsid w:val="002339CC"/>
    <w:rsid w:val="00233BCF"/>
    <w:rsid w:val="00233C7C"/>
    <w:rsid w:val="00233E42"/>
    <w:rsid w:val="00234016"/>
    <w:rsid w:val="002342C8"/>
    <w:rsid w:val="002345C9"/>
    <w:rsid w:val="00234730"/>
    <w:rsid w:val="002347E3"/>
    <w:rsid w:val="00234CDB"/>
    <w:rsid w:val="00234CFF"/>
    <w:rsid w:val="00235077"/>
    <w:rsid w:val="002355DB"/>
    <w:rsid w:val="0023573F"/>
    <w:rsid w:val="00235B21"/>
    <w:rsid w:val="00235D96"/>
    <w:rsid w:val="00235FA8"/>
    <w:rsid w:val="00236600"/>
    <w:rsid w:val="00236626"/>
    <w:rsid w:val="00236701"/>
    <w:rsid w:val="00236C96"/>
    <w:rsid w:val="00236F5D"/>
    <w:rsid w:val="00237019"/>
    <w:rsid w:val="00237213"/>
    <w:rsid w:val="00237959"/>
    <w:rsid w:val="00237BB7"/>
    <w:rsid w:val="00237C6A"/>
    <w:rsid w:val="00237C6D"/>
    <w:rsid w:val="00237F8F"/>
    <w:rsid w:val="00240407"/>
    <w:rsid w:val="002405D9"/>
    <w:rsid w:val="00240B32"/>
    <w:rsid w:val="00240E11"/>
    <w:rsid w:val="00241052"/>
    <w:rsid w:val="0024129C"/>
    <w:rsid w:val="00241442"/>
    <w:rsid w:val="0024197E"/>
    <w:rsid w:val="00241AD3"/>
    <w:rsid w:val="0024255E"/>
    <w:rsid w:val="00242631"/>
    <w:rsid w:val="00242AE2"/>
    <w:rsid w:val="002435B9"/>
    <w:rsid w:val="00243D50"/>
    <w:rsid w:val="00244459"/>
    <w:rsid w:val="00244976"/>
    <w:rsid w:val="00244B4C"/>
    <w:rsid w:val="00244B5C"/>
    <w:rsid w:val="00244CCA"/>
    <w:rsid w:val="00244DC5"/>
    <w:rsid w:val="00244F44"/>
    <w:rsid w:val="00244FED"/>
    <w:rsid w:val="002454EA"/>
    <w:rsid w:val="002458D9"/>
    <w:rsid w:val="00245BF1"/>
    <w:rsid w:val="00245C09"/>
    <w:rsid w:val="00245C7D"/>
    <w:rsid w:val="00246677"/>
    <w:rsid w:val="00246929"/>
    <w:rsid w:val="00247375"/>
    <w:rsid w:val="00247388"/>
    <w:rsid w:val="0024738E"/>
    <w:rsid w:val="002473AB"/>
    <w:rsid w:val="0024750F"/>
    <w:rsid w:val="00247594"/>
    <w:rsid w:val="002477A1"/>
    <w:rsid w:val="0024784A"/>
    <w:rsid w:val="00247B8C"/>
    <w:rsid w:val="0025004E"/>
    <w:rsid w:val="0025041F"/>
    <w:rsid w:val="00250698"/>
    <w:rsid w:val="00250908"/>
    <w:rsid w:val="00250B75"/>
    <w:rsid w:val="00250F75"/>
    <w:rsid w:val="00251162"/>
    <w:rsid w:val="00251187"/>
    <w:rsid w:val="002513D8"/>
    <w:rsid w:val="0025179E"/>
    <w:rsid w:val="00251A06"/>
    <w:rsid w:val="00251B45"/>
    <w:rsid w:val="00251DB3"/>
    <w:rsid w:val="00252006"/>
    <w:rsid w:val="00252288"/>
    <w:rsid w:val="002524DB"/>
    <w:rsid w:val="00252A03"/>
    <w:rsid w:val="00252AE7"/>
    <w:rsid w:val="00252B8D"/>
    <w:rsid w:val="00252DEB"/>
    <w:rsid w:val="00252EAA"/>
    <w:rsid w:val="00252F12"/>
    <w:rsid w:val="0025306A"/>
    <w:rsid w:val="0025310A"/>
    <w:rsid w:val="002531A1"/>
    <w:rsid w:val="002531EF"/>
    <w:rsid w:val="002536A5"/>
    <w:rsid w:val="0025397C"/>
    <w:rsid w:val="00253BD1"/>
    <w:rsid w:val="0025432A"/>
    <w:rsid w:val="0025461F"/>
    <w:rsid w:val="00254EB5"/>
    <w:rsid w:val="002558AF"/>
    <w:rsid w:val="0025594D"/>
    <w:rsid w:val="00256162"/>
    <w:rsid w:val="0025647B"/>
    <w:rsid w:val="002566A9"/>
    <w:rsid w:val="0025691D"/>
    <w:rsid w:val="00256A42"/>
    <w:rsid w:val="00256B1D"/>
    <w:rsid w:val="00256C80"/>
    <w:rsid w:val="002571E9"/>
    <w:rsid w:val="002577C5"/>
    <w:rsid w:val="002578E4"/>
    <w:rsid w:val="002578E5"/>
    <w:rsid w:val="00257B09"/>
    <w:rsid w:val="00257BDF"/>
    <w:rsid w:val="00257C20"/>
    <w:rsid w:val="00257F31"/>
    <w:rsid w:val="00260157"/>
    <w:rsid w:val="0026050E"/>
    <w:rsid w:val="00260CC6"/>
    <w:rsid w:val="00261118"/>
    <w:rsid w:val="0026192C"/>
    <w:rsid w:val="00261E32"/>
    <w:rsid w:val="00261EDC"/>
    <w:rsid w:val="002624F2"/>
    <w:rsid w:val="00262A49"/>
    <w:rsid w:val="00262B48"/>
    <w:rsid w:val="00262CB3"/>
    <w:rsid w:val="0026323D"/>
    <w:rsid w:val="002633BB"/>
    <w:rsid w:val="002634A2"/>
    <w:rsid w:val="0026359D"/>
    <w:rsid w:val="0026375B"/>
    <w:rsid w:val="002637A8"/>
    <w:rsid w:val="00263ADB"/>
    <w:rsid w:val="00263EA8"/>
    <w:rsid w:val="002641EF"/>
    <w:rsid w:val="002642A9"/>
    <w:rsid w:val="002643DE"/>
    <w:rsid w:val="00264402"/>
    <w:rsid w:val="0026461A"/>
    <w:rsid w:val="002646E8"/>
    <w:rsid w:val="00264A2F"/>
    <w:rsid w:val="00264BB5"/>
    <w:rsid w:val="00264D54"/>
    <w:rsid w:val="00264EA0"/>
    <w:rsid w:val="00264F87"/>
    <w:rsid w:val="00265045"/>
    <w:rsid w:val="00265667"/>
    <w:rsid w:val="0026568A"/>
    <w:rsid w:val="00265A24"/>
    <w:rsid w:val="00265ADA"/>
    <w:rsid w:val="00265AEE"/>
    <w:rsid w:val="00265B21"/>
    <w:rsid w:val="00265BA6"/>
    <w:rsid w:val="00265C96"/>
    <w:rsid w:val="00265F05"/>
    <w:rsid w:val="00265F45"/>
    <w:rsid w:val="0026617B"/>
    <w:rsid w:val="002666B5"/>
    <w:rsid w:val="002669FD"/>
    <w:rsid w:val="00266E21"/>
    <w:rsid w:val="00266FC7"/>
    <w:rsid w:val="002671E6"/>
    <w:rsid w:val="002672AE"/>
    <w:rsid w:val="00267A68"/>
    <w:rsid w:val="00267BAF"/>
    <w:rsid w:val="00267D73"/>
    <w:rsid w:val="00267F8E"/>
    <w:rsid w:val="002700B8"/>
    <w:rsid w:val="0027023D"/>
    <w:rsid w:val="0027032C"/>
    <w:rsid w:val="002705B4"/>
    <w:rsid w:val="002706C8"/>
    <w:rsid w:val="00270994"/>
    <w:rsid w:val="00270D22"/>
    <w:rsid w:val="00270EE9"/>
    <w:rsid w:val="00271050"/>
    <w:rsid w:val="0027170F"/>
    <w:rsid w:val="00271B79"/>
    <w:rsid w:val="0027215F"/>
    <w:rsid w:val="00272274"/>
    <w:rsid w:val="0027229E"/>
    <w:rsid w:val="002724CE"/>
    <w:rsid w:val="00272626"/>
    <w:rsid w:val="0027283F"/>
    <w:rsid w:val="00272A3B"/>
    <w:rsid w:val="002734CC"/>
    <w:rsid w:val="002736D8"/>
    <w:rsid w:val="00273A4D"/>
    <w:rsid w:val="00273A74"/>
    <w:rsid w:val="00273B83"/>
    <w:rsid w:val="00273E79"/>
    <w:rsid w:val="00273EA2"/>
    <w:rsid w:val="00274218"/>
    <w:rsid w:val="00274316"/>
    <w:rsid w:val="0027437F"/>
    <w:rsid w:val="00274789"/>
    <w:rsid w:val="002749E4"/>
    <w:rsid w:val="00274CD6"/>
    <w:rsid w:val="00274DB8"/>
    <w:rsid w:val="0027532E"/>
    <w:rsid w:val="00275529"/>
    <w:rsid w:val="00275616"/>
    <w:rsid w:val="0027581C"/>
    <w:rsid w:val="0027583F"/>
    <w:rsid w:val="0027597B"/>
    <w:rsid w:val="00275AB8"/>
    <w:rsid w:val="00275C0C"/>
    <w:rsid w:val="00275D12"/>
    <w:rsid w:val="00275D1C"/>
    <w:rsid w:val="00276176"/>
    <w:rsid w:val="00276C82"/>
    <w:rsid w:val="002770F1"/>
    <w:rsid w:val="002777C9"/>
    <w:rsid w:val="00277C3F"/>
    <w:rsid w:val="0028002A"/>
    <w:rsid w:val="0028067D"/>
    <w:rsid w:val="00280722"/>
    <w:rsid w:val="002808C2"/>
    <w:rsid w:val="00280988"/>
    <w:rsid w:val="00280BD3"/>
    <w:rsid w:val="00281007"/>
    <w:rsid w:val="002810CF"/>
    <w:rsid w:val="002813AB"/>
    <w:rsid w:val="00281815"/>
    <w:rsid w:val="00281830"/>
    <w:rsid w:val="00281ADE"/>
    <w:rsid w:val="0028256B"/>
    <w:rsid w:val="002825FB"/>
    <w:rsid w:val="00282F4C"/>
    <w:rsid w:val="002832ED"/>
    <w:rsid w:val="0028358E"/>
    <w:rsid w:val="00283689"/>
    <w:rsid w:val="002841D7"/>
    <w:rsid w:val="0028474B"/>
    <w:rsid w:val="00284BCD"/>
    <w:rsid w:val="00284CF3"/>
    <w:rsid w:val="00284D72"/>
    <w:rsid w:val="00285105"/>
    <w:rsid w:val="00285308"/>
    <w:rsid w:val="00285328"/>
    <w:rsid w:val="0028555C"/>
    <w:rsid w:val="0028563F"/>
    <w:rsid w:val="00285A48"/>
    <w:rsid w:val="00285B01"/>
    <w:rsid w:val="00285C6D"/>
    <w:rsid w:val="00285F2D"/>
    <w:rsid w:val="00285F84"/>
    <w:rsid w:val="0028613F"/>
    <w:rsid w:val="00286347"/>
    <w:rsid w:val="002863C3"/>
    <w:rsid w:val="00286496"/>
    <w:rsid w:val="002864BC"/>
    <w:rsid w:val="002868E9"/>
    <w:rsid w:val="002869F6"/>
    <w:rsid w:val="00286A15"/>
    <w:rsid w:val="00286C9B"/>
    <w:rsid w:val="00286CB8"/>
    <w:rsid w:val="00286FF3"/>
    <w:rsid w:val="0028700C"/>
    <w:rsid w:val="00287402"/>
    <w:rsid w:val="002875D4"/>
    <w:rsid w:val="00287B36"/>
    <w:rsid w:val="00287B3D"/>
    <w:rsid w:val="00287C6E"/>
    <w:rsid w:val="00287DC2"/>
    <w:rsid w:val="00287E51"/>
    <w:rsid w:val="00290366"/>
    <w:rsid w:val="00290910"/>
    <w:rsid w:val="00290A74"/>
    <w:rsid w:val="00290D17"/>
    <w:rsid w:val="00291AA5"/>
    <w:rsid w:val="00291E26"/>
    <w:rsid w:val="00291FE0"/>
    <w:rsid w:val="00292098"/>
    <w:rsid w:val="002923DD"/>
    <w:rsid w:val="00292762"/>
    <w:rsid w:val="00292875"/>
    <w:rsid w:val="00292CD9"/>
    <w:rsid w:val="00292CE3"/>
    <w:rsid w:val="00292E36"/>
    <w:rsid w:val="00292F76"/>
    <w:rsid w:val="00293044"/>
    <w:rsid w:val="0029304E"/>
    <w:rsid w:val="002930DC"/>
    <w:rsid w:val="0029317D"/>
    <w:rsid w:val="0029323B"/>
    <w:rsid w:val="002932B6"/>
    <w:rsid w:val="00293354"/>
    <w:rsid w:val="002934F3"/>
    <w:rsid w:val="00293648"/>
    <w:rsid w:val="002938B1"/>
    <w:rsid w:val="002939F4"/>
    <w:rsid w:val="00293BC4"/>
    <w:rsid w:val="002942CB"/>
    <w:rsid w:val="0029437A"/>
    <w:rsid w:val="002943A7"/>
    <w:rsid w:val="00294651"/>
    <w:rsid w:val="00294766"/>
    <w:rsid w:val="00294A71"/>
    <w:rsid w:val="0029584F"/>
    <w:rsid w:val="00295D0E"/>
    <w:rsid w:val="00296E70"/>
    <w:rsid w:val="00296EEC"/>
    <w:rsid w:val="00296FB7"/>
    <w:rsid w:val="00297120"/>
    <w:rsid w:val="00297127"/>
    <w:rsid w:val="002971E3"/>
    <w:rsid w:val="002974C7"/>
    <w:rsid w:val="0029777A"/>
    <w:rsid w:val="00297B5A"/>
    <w:rsid w:val="002A0485"/>
    <w:rsid w:val="002A06ED"/>
    <w:rsid w:val="002A08BB"/>
    <w:rsid w:val="002A0EC7"/>
    <w:rsid w:val="002A10E8"/>
    <w:rsid w:val="002A1567"/>
    <w:rsid w:val="002A179D"/>
    <w:rsid w:val="002A1C2D"/>
    <w:rsid w:val="002A264A"/>
    <w:rsid w:val="002A2843"/>
    <w:rsid w:val="002A2AC2"/>
    <w:rsid w:val="002A2CAC"/>
    <w:rsid w:val="002A2DA2"/>
    <w:rsid w:val="002A2FB5"/>
    <w:rsid w:val="002A3183"/>
    <w:rsid w:val="002A331F"/>
    <w:rsid w:val="002A347C"/>
    <w:rsid w:val="002A37E8"/>
    <w:rsid w:val="002A3A6D"/>
    <w:rsid w:val="002A3C85"/>
    <w:rsid w:val="002A3F5E"/>
    <w:rsid w:val="002A3FDA"/>
    <w:rsid w:val="002A4252"/>
    <w:rsid w:val="002A4330"/>
    <w:rsid w:val="002A439B"/>
    <w:rsid w:val="002A458D"/>
    <w:rsid w:val="002A54FF"/>
    <w:rsid w:val="002A5836"/>
    <w:rsid w:val="002A5976"/>
    <w:rsid w:val="002A5D4B"/>
    <w:rsid w:val="002A5EAD"/>
    <w:rsid w:val="002A60C3"/>
    <w:rsid w:val="002A67C5"/>
    <w:rsid w:val="002A6DCC"/>
    <w:rsid w:val="002A6F6A"/>
    <w:rsid w:val="002A72FF"/>
    <w:rsid w:val="002A73A7"/>
    <w:rsid w:val="002A7777"/>
    <w:rsid w:val="002A7B33"/>
    <w:rsid w:val="002B0516"/>
    <w:rsid w:val="002B103E"/>
    <w:rsid w:val="002B114B"/>
    <w:rsid w:val="002B1616"/>
    <w:rsid w:val="002B198F"/>
    <w:rsid w:val="002B1DA5"/>
    <w:rsid w:val="002B2068"/>
    <w:rsid w:val="002B21E2"/>
    <w:rsid w:val="002B285A"/>
    <w:rsid w:val="002B31B2"/>
    <w:rsid w:val="002B3368"/>
    <w:rsid w:val="002B34FD"/>
    <w:rsid w:val="002B3749"/>
    <w:rsid w:val="002B38B2"/>
    <w:rsid w:val="002B3AA0"/>
    <w:rsid w:val="002B3B62"/>
    <w:rsid w:val="002B3BE2"/>
    <w:rsid w:val="002B3D7A"/>
    <w:rsid w:val="002B41E5"/>
    <w:rsid w:val="002B4958"/>
    <w:rsid w:val="002B49D6"/>
    <w:rsid w:val="002B4A65"/>
    <w:rsid w:val="002B4B94"/>
    <w:rsid w:val="002B4C69"/>
    <w:rsid w:val="002B4DCF"/>
    <w:rsid w:val="002B501B"/>
    <w:rsid w:val="002B5306"/>
    <w:rsid w:val="002B5625"/>
    <w:rsid w:val="002B5AE2"/>
    <w:rsid w:val="002B5BC6"/>
    <w:rsid w:val="002B5C83"/>
    <w:rsid w:val="002B5E9F"/>
    <w:rsid w:val="002B6575"/>
    <w:rsid w:val="002B6611"/>
    <w:rsid w:val="002B6C10"/>
    <w:rsid w:val="002B6D8F"/>
    <w:rsid w:val="002B6EDC"/>
    <w:rsid w:val="002B7075"/>
    <w:rsid w:val="002B725F"/>
    <w:rsid w:val="002B73CB"/>
    <w:rsid w:val="002B787E"/>
    <w:rsid w:val="002C0247"/>
    <w:rsid w:val="002C0289"/>
    <w:rsid w:val="002C0BFC"/>
    <w:rsid w:val="002C0FD2"/>
    <w:rsid w:val="002C1055"/>
    <w:rsid w:val="002C10FE"/>
    <w:rsid w:val="002C123F"/>
    <w:rsid w:val="002C19E7"/>
    <w:rsid w:val="002C1A7D"/>
    <w:rsid w:val="002C1B7D"/>
    <w:rsid w:val="002C1CB4"/>
    <w:rsid w:val="002C1F42"/>
    <w:rsid w:val="002C20E6"/>
    <w:rsid w:val="002C265F"/>
    <w:rsid w:val="002C2BAC"/>
    <w:rsid w:val="002C2C19"/>
    <w:rsid w:val="002C3087"/>
    <w:rsid w:val="002C3300"/>
    <w:rsid w:val="002C33E3"/>
    <w:rsid w:val="002C33FC"/>
    <w:rsid w:val="002C3413"/>
    <w:rsid w:val="002C36AD"/>
    <w:rsid w:val="002C37CC"/>
    <w:rsid w:val="002C3D3B"/>
    <w:rsid w:val="002C41A4"/>
    <w:rsid w:val="002C427E"/>
    <w:rsid w:val="002C42EC"/>
    <w:rsid w:val="002C4727"/>
    <w:rsid w:val="002C4CCF"/>
    <w:rsid w:val="002C5045"/>
    <w:rsid w:val="002C5163"/>
    <w:rsid w:val="002C537C"/>
    <w:rsid w:val="002C53F2"/>
    <w:rsid w:val="002C5A7C"/>
    <w:rsid w:val="002C5B58"/>
    <w:rsid w:val="002C5CF0"/>
    <w:rsid w:val="002C5E15"/>
    <w:rsid w:val="002C6141"/>
    <w:rsid w:val="002C6486"/>
    <w:rsid w:val="002C649E"/>
    <w:rsid w:val="002C68DC"/>
    <w:rsid w:val="002C68E4"/>
    <w:rsid w:val="002C6A80"/>
    <w:rsid w:val="002C6DE8"/>
    <w:rsid w:val="002C7A77"/>
    <w:rsid w:val="002C7E08"/>
    <w:rsid w:val="002C7E65"/>
    <w:rsid w:val="002D03FF"/>
    <w:rsid w:val="002D0858"/>
    <w:rsid w:val="002D08EF"/>
    <w:rsid w:val="002D0A4B"/>
    <w:rsid w:val="002D10F5"/>
    <w:rsid w:val="002D1182"/>
    <w:rsid w:val="002D122D"/>
    <w:rsid w:val="002D127C"/>
    <w:rsid w:val="002D1296"/>
    <w:rsid w:val="002D1860"/>
    <w:rsid w:val="002D1A6C"/>
    <w:rsid w:val="002D1B47"/>
    <w:rsid w:val="002D1CCC"/>
    <w:rsid w:val="002D1ECF"/>
    <w:rsid w:val="002D2146"/>
    <w:rsid w:val="002D23E5"/>
    <w:rsid w:val="002D2AA5"/>
    <w:rsid w:val="002D2F47"/>
    <w:rsid w:val="002D2F69"/>
    <w:rsid w:val="002D31B8"/>
    <w:rsid w:val="002D32A2"/>
    <w:rsid w:val="002D3A47"/>
    <w:rsid w:val="002D3BDB"/>
    <w:rsid w:val="002D3BE5"/>
    <w:rsid w:val="002D3CD4"/>
    <w:rsid w:val="002D3DBF"/>
    <w:rsid w:val="002D3F2B"/>
    <w:rsid w:val="002D405A"/>
    <w:rsid w:val="002D4403"/>
    <w:rsid w:val="002D445D"/>
    <w:rsid w:val="002D48A7"/>
    <w:rsid w:val="002D49BD"/>
    <w:rsid w:val="002D4AA0"/>
    <w:rsid w:val="002D4DAD"/>
    <w:rsid w:val="002D55C3"/>
    <w:rsid w:val="002D5681"/>
    <w:rsid w:val="002D5A26"/>
    <w:rsid w:val="002D5BAF"/>
    <w:rsid w:val="002D5D59"/>
    <w:rsid w:val="002D5ECB"/>
    <w:rsid w:val="002D61AB"/>
    <w:rsid w:val="002D644D"/>
    <w:rsid w:val="002D6ACC"/>
    <w:rsid w:val="002D6B37"/>
    <w:rsid w:val="002D7054"/>
    <w:rsid w:val="002D7101"/>
    <w:rsid w:val="002D7357"/>
    <w:rsid w:val="002D73E9"/>
    <w:rsid w:val="002D75DC"/>
    <w:rsid w:val="002D76A5"/>
    <w:rsid w:val="002D77DB"/>
    <w:rsid w:val="002D7C73"/>
    <w:rsid w:val="002D7DFE"/>
    <w:rsid w:val="002D7E10"/>
    <w:rsid w:val="002E0012"/>
    <w:rsid w:val="002E044A"/>
    <w:rsid w:val="002E0652"/>
    <w:rsid w:val="002E0CF7"/>
    <w:rsid w:val="002E0F8B"/>
    <w:rsid w:val="002E1240"/>
    <w:rsid w:val="002E141D"/>
    <w:rsid w:val="002E1C34"/>
    <w:rsid w:val="002E204B"/>
    <w:rsid w:val="002E2050"/>
    <w:rsid w:val="002E212D"/>
    <w:rsid w:val="002E21A8"/>
    <w:rsid w:val="002E22AF"/>
    <w:rsid w:val="002E2606"/>
    <w:rsid w:val="002E270A"/>
    <w:rsid w:val="002E2718"/>
    <w:rsid w:val="002E2B71"/>
    <w:rsid w:val="002E2BA0"/>
    <w:rsid w:val="002E33ED"/>
    <w:rsid w:val="002E361B"/>
    <w:rsid w:val="002E3810"/>
    <w:rsid w:val="002E393D"/>
    <w:rsid w:val="002E3A8E"/>
    <w:rsid w:val="002E3CCA"/>
    <w:rsid w:val="002E3D27"/>
    <w:rsid w:val="002E3EAE"/>
    <w:rsid w:val="002E4066"/>
    <w:rsid w:val="002E43C2"/>
    <w:rsid w:val="002E463C"/>
    <w:rsid w:val="002E4B57"/>
    <w:rsid w:val="002E4BE4"/>
    <w:rsid w:val="002E4E00"/>
    <w:rsid w:val="002E5606"/>
    <w:rsid w:val="002E570D"/>
    <w:rsid w:val="002E5B9C"/>
    <w:rsid w:val="002E5DE1"/>
    <w:rsid w:val="002E6237"/>
    <w:rsid w:val="002E6699"/>
    <w:rsid w:val="002E6829"/>
    <w:rsid w:val="002E6D2E"/>
    <w:rsid w:val="002E6DA8"/>
    <w:rsid w:val="002E6E3A"/>
    <w:rsid w:val="002E7120"/>
    <w:rsid w:val="002E74AB"/>
    <w:rsid w:val="002E7531"/>
    <w:rsid w:val="002E75AF"/>
    <w:rsid w:val="002E762C"/>
    <w:rsid w:val="002E79D6"/>
    <w:rsid w:val="002E7A9E"/>
    <w:rsid w:val="002E7CE2"/>
    <w:rsid w:val="002E7D0D"/>
    <w:rsid w:val="002F0074"/>
    <w:rsid w:val="002F0808"/>
    <w:rsid w:val="002F0924"/>
    <w:rsid w:val="002F0ADE"/>
    <w:rsid w:val="002F0CDD"/>
    <w:rsid w:val="002F1AE6"/>
    <w:rsid w:val="002F1CBB"/>
    <w:rsid w:val="002F23E3"/>
    <w:rsid w:val="002F2596"/>
    <w:rsid w:val="002F2A7F"/>
    <w:rsid w:val="002F2B6A"/>
    <w:rsid w:val="002F2D00"/>
    <w:rsid w:val="002F31D6"/>
    <w:rsid w:val="002F3383"/>
    <w:rsid w:val="002F38F4"/>
    <w:rsid w:val="002F3B1D"/>
    <w:rsid w:val="002F3DC8"/>
    <w:rsid w:val="002F3E40"/>
    <w:rsid w:val="002F3F3B"/>
    <w:rsid w:val="002F432E"/>
    <w:rsid w:val="002F433E"/>
    <w:rsid w:val="002F488E"/>
    <w:rsid w:val="002F4A9C"/>
    <w:rsid w:val="002F4C96"/>
    <w:rsid w:val="002F52A6"/>
    <w:rsid w:val="002F59CD"/>
    <w:rsid w:val="002F5D5B"/>
    <w:rsid w:val="002F5E27"/>
    <w:rsid w:val="002F6036"/>
    <w:rsid w:val="002F62E0"/>
    <w:rsid w:val="002F63B1"/>
    <w:rsid w:val="002F6959"/>
    <w:rsid w:val="002F6AB6"/>
    <w:rsid w:val="002F6DC1"/>
    <w:rsid w:val="002F743B"/>
    <w:rsid w:val="002F7618"/>
    <w:rsid w:val="002F78E0"/>
    <w:rsid w:val="002F7CD0"/>
    <w:rsid w:val="002F7DDE"/>
    <w:rsid w:val="00300124"/>
    <w:rsid w:val="00300771"/>
    <w:rsid w:val="00300ABA"/>
    <w:rsid w:val="00300DD8"/>
    <w:rsid w:val="003010E0"/>
    <w:rsid w:val="003015EC"/>
    <w:rsid w:val="003018B0"/>
    <w:rsid w:val="00301BAE"/>
    <w:rsid w:val="003022F0"/>
    <w:rsid w:val="00302625"/>
    <w:rsid w:val="003029AC"/>
    <w:rsid w:val="00302B57"/>
    <w:rsid w:val="00302BDC"/>
    <w:rsid w:val="00302BEA"/>
    <w:rsid w:val="003031AD"/>
    <w:rsid w:val="003037F2"/>
    <w:rsid w:val="00303BCC"/>
    <w:rsid w:val="00303F74"/>
    <w:rsid w:val="003043BC"/>
    <w:rsid w:val="003044A5"/>
    <w:rsid w:val="003046E7"/>
    <w:rsid w:val="0030470B"/>
    <w:rsid w:val="0030486C"/>
    <w:rsid w:val="00304B65"/>
    <w:rsid w:val="00304D9D"/>
    <w:rsid w:val="00304E43"/>
    <w:rsid w:val="003054A7"/>
    <w:rsid w:val="00305822"/>
    <w:rsid w:val="00305831"/>
    <w:rsid w:val="003059CA"/>
    <w:rsid w:val="00305B20"/>
    <w:rsid w:val="00305D6A"/>
    <w:rsid w:val="00306C96"/>
    <w:rsid w:val="00306FB1"/>
    <w:rsid w:val="00307481"/>
    <w:rsid w:val="0030760A"/>
    <w:rsid w:val="00307803"/>
    <w:rsid w:val="00307BB1"/>
    <w:rsid w:val="00307C10"/>
    <w:rsid w:val="00310197"/>
    <w:rsid w:val="0031021E"/>
    <w:rsid w:val="00310274"/>
    <w:rsid w:val="003103C8"/>
    <w:rsid w:val="00310422"/>
    <w:rsid w:val="003106C5"/>
    <w:rsid w:val="0031072F"/>
    <w:rsid w:val="00310BE0"/>
    <w:rsid w:val="00310CDB"/>
    <w:rsid w:val="00310D7B"/>
    <w:rsid w:val="00310E9B"/>
    <w:rsid w:val="003110EA"/>
    <w:rsid w:val="0031155B"/>
    <w:rsid w:val="003118A2"/>
    <w:rsid w:val="00311B2B"/>
    <w:rsid w:val="00311BE1"/>
    <w:rsid w:val="00311C18"/>
    <w:rsid w:val="00311EEB"/>
    <w:rsid w:val="00312273"/>
    <w:rsid w:val="00312480"/>
    <w:rsid w:val="00312E9F"/>
    <w:rsid w:val="0031309C"/>
    <w:rsid w:val="003130F7"/>
    <w:rsid w:val="003131B5"/>
    <w:rsid w:val="00313808"/>
    <w:rsid w:val="00313881"/>
    <w:rsid w:val="003138D0"/>
    <w:rsid w:val="003138F6"/>
    <w:rsid w:val="00313A07"/>
    <w:rsid w:val="00313CC9"/>
    <w:rsid w:val="00313CE1"/>
    <w:rsid w:val="00313D2C"/>
    <w:rsid w:val="00313E1B"/>
    <w:rsid w:val="00313E7A"/>
    <w:rsid w:val="003143DA"/>
    <w:rsid w:val="00314802"/>
    <w:rsid w:val="00315001"/>
    <w:rsid w:val="00315145"/>
    <w:rsid w:val="00315192"/>
    <w:rsid w:val="0031537F"/>
    <w:rsid w:val="003155BD"/>
    <w:rsid w:val="00315999"/>
    <w:rsid w:val="00315B79"/>
    <w:rsid w:val="00315DB5"/>
    <w:rsid w:val="00316035"/>
    <w:rsid w:val="00316039"/>
    <w:rsid w:val="003161DE"/>
    <w:rsid w:val="00316328"/>
    <w:rsid w:val="0031689F"/>
    <w:rsid w:val="00316AD1"/>
    <w:rsid w:val="00316B4E"/>
    <w:rsid w:val="00316BE8"/>
    <w:rsid w:val="00316FF3"/>
    <w:rsid w:val="00317878"/>
    <w:rsid w:val="00317BFF"/>
    <w:rsid w:val="00317C65"/>
    <w:rsid w:val="0032037E"/>
    <w:rsid w:val="003209AB"/>
    <w:rsid w:val="003209F7"/>
    <w:rsid w:val="00320F05"/>
    <w:rsid w:val="00321325"/>
    <w:rsid w:val="0032135B"/>
    <w:rsid w:val="00321398"/>
    <w:rsid w:val="00321473"/>
    <w:rsid w:val="00321497"/>
    <w:rsid w:val="00321562"/>
    <w:rsid w:val="00321866"/>
    <w:rsid w:val="003219CF"/>
    <w:rsid w:val="00321A65"/>
    <w:rsid w:val="00322580"/>
    <w:rsid w:val="00322CF3"/>
    <w:rsid w:val="00322ED0"/>
    <w:rsid w:val="00323005"/>
    <w:rsid w:val="0032317B"/>
    <w:rsid w:val="003233B7"/>
    <w:rsid w:val="0032377B"/>
    <w:rsid w:val="00323B21"/>
    <w:rsid w:val="00323C49"/>
    <w:rsid w:val="00323CE4"/>
    <w:rsid w:val="00323EC4"/>
    <w:rsid w:val="0032404C"/>
    <w:rsid w:val="00324074"/>
    <w:rsid w:val="00324163"/>
    <w:rsid w:val="003241EF"/>
    <w:rsid w:val="003247BA"/>
    <w:rsid w:val="0032481F"/>
    <w:rsid w:val="00324968"/>
    <w:rsid w:val="00324EF8"/>
    <w:rsid w:val="00325159"/>
    <w:rsid w:val="003252A3"/>
    <w:rsid w:val="00325339"/>
    <w:rsid w:val="00325381"/>
    <w:rsid w:val="003254E5"/>
    <w:rsid w:val="0032568D"/>
    <w:rsid w:val="003259E7"/>
    <w:rsid w:val="00325BB8"/>
    <w:rsid w:val="00325CF4"/>
    <w:rsid w:val="0032609D"/>
    <w:rsid w:val="00326BD4"/>
    <w:rsid w:val="00326D21"/>
    <w:rsid w:val="003270B3"/>
    <w:rsid w:val="00327635"/>
    <w:rsid w:val="003279C6"/>
    <w:rsid w:val="00327BB5"/>
    <w:rsid w:val="00327C66"/>
    <w:rsid w:val="00327E92"/>
    <w:rsid w:val="00327F42"/>
    <w:rsid w:val="0033020D"/>
    <w:rsid w:val="003304BC"/>
    <w:rsid w:val="003304C8"/>
    <w:rsid w:val="00330708"/>
    <w:rsid w:val="00330837"/>
    <w:rsid w:val="003308D5"/>
    <w:rsid w:val="003311B7"/>
    <w:rsid w:val="003312A2"/>
    <w:rsid w:val="00331303"/>
    <w:rsid w:val="00331309"/>
    <w:rsid w:val="003313FE"/>
    <w:rsid w:val="00331557"/>
    <w:rsid w:val="003316B8"/>
    <w:rsid w:val="0033188F"/>
    <w:rsid w:val="003322A1"/>
    <w:rsid w:val="00332852"/>
    <w:rsid w:val="0033296F"/>
    <w:rsid w:val="00333340"/>
    <w:rsid w:val="003334C1"/>
    <w:rsid w:val="003335C9"/>
    <w:rsid w:val="00333765"/>
    <w:rsid w:val="00333A66"/>
    <w:rsid w:val="00333BEE"/>
    <w:rsid w:val="00333CCA"/>
    <w:rsid w:val="003341BB"/>
    <w:rsid w:val="00334D90"/>
    <w:rsid w:val="00334E50"/>
    <w:rsid w:val="00334EE7"/>
    <w:rsid w:val="00334FA3"/>
    <w:rsid w:val="00334FDF"/>
    <w:rsid w:val="0033510E"/>
    <w:rsid w:val="003352AE"/>
    <w:rsid w:val="003352DF"/>
    <w:rsid w:val="00336498"/>
    <w:rsid w:val="00336620"/>
    <w:rsid w:val="0033687C"/>
    <w:rsid w:val="0033692B"/>
    <w:rsid w:val="00337176"/>
    <w:rsid w:val="003374BE"/>
    <w:rsid w:val="003376EC"/>
    <w:rsid w:val="00340195"/>
    <w:rsid w:val="0034042F"/>
    <w:rsid w:val="0034048A"/>
    <w:rsid w:val="003404F2"/>
    <w:rsid w:val="0034072C"/>
    <w:rsid w:val="0034086E"/>
    <w:rsid w:val="003408AF"/>
    <w:rsid w:val="0034097A"/>
    <w:rsid w:val="00340AD6"/>
    <w:rsid w:val="00340CD1"/>
    <w:rsid w:val="00340CE6"/>
    <w:rsid w:val="00340D6B"/>
    <w:rsid w:val="00340F3F"/>
    <w:rsid w:val="00340FCD"/>
    <w:rsid w:val="00341554"/>
    <w:rsid w:val="00341B9D"/>
    <w:rsid w:val="00341BB2"/>
    <w:rsid w:val="00341DE9"/>
    <w:rsid w:val="00342BCD"/>
    <w:rsid w:val="00342F73"/>
    <w:rsid w:val="0034310D"/>
    <w:rsid w:val="003432E3"/>
    <w:rsid w:val="003436F6"/>
    <w:rsid w:val="003438BD"/>
    <w:rsid w:val="00343C2B"/>
    <w:rsid w:val="00343E34"/>
    <w:rsid w:val="00343F5F"/>
    <w:rsid w:val="0034421F"/>
    <w:rsid w:val="003442CD"/>
    <w:rsid w:val="003443DC"/>
    <w:rsid w:val="00344599"/>
    <w:rsid w:val="0034472C"/>
    <w:rsid w:val="003448F8"/>
    <w:rsid w:val="00344DBB"/>
    <w:rsid w:val="00345562"/>
    <w:rsid w:val="0034592E"/>
    <w:rsid w:val="00345A00"/>
    <w:rsid w:val="00345A03"/>
    <w:rsid w:val="00345EAC"/>
    <w:rsid w:val="003461E9"/>
    <w:rsid w:val="00346202"/>
    <w:rsid w:val="00346837"/>
    <w:rsid w:val="0034693E"/>
    <w:rsid w:val="00346BDE"/>
    <w:rsid w:val="0034704A"/>
    <w:rsid w:val="00347122"/>
    <w:rsid w:val="0034762F"/>
    <w:rsid w:val="00347766"/>
    <w:rsid w:val="003477E2"/>
    <w:rsid w:val="00347B41"/>
    <w:rsid w:val="00347D75"/>
    <w:rsid w:val="00347FB0"/>
    <w:rsid w:val="003506BB"/>
    <w:rsid w:val="003506EE"/>
    <w:rsid w:val="00350AFD"/>
    <w:rsid w:val="00350EF8"/>
    <w:rsid w:val="00351207"/>
    <w:rsid w:val="003515B5"/>
    <w:rsid w:val="0035169E"/>
    <w:rsid w:val="0035193D"/>
    <w:rsid w:val="003519FC"/>
    <w:rsid w:val="00351C71"/>
    <w:rsid w:val="00351EAF"/>
    <w:rsid w:val="0035206F"/>
    <w:rsid w:val="003520A1"/>
    <w:rsid w:val="003527AB"/>
    <w:rsid w:val="00352B51"/>
    <w:rsid w:val="00352B66"/>
    <w:rsid w:val="00352BDA"/>
    <w:rsid w:val="00352D27"/>
    <w:rsid w:val="003531F0"/>
    <w:rsid w:val="0035347D"/>
    <w:rsid w:val="00353563"/>
    <w:rsid w:val="00353B7D"/>
    <w:rsid w:val="00353E98"/>
    <w:rsid w:val="00353FCB"/>
    <w:rsid w:val="00354184"/>
    <w:rsid w:val="003542D7"/>
    <w:rsid w:val="003547DE"/>
    <w:rsid w:val="00354D02"/>
    <w:rsid w:val="00355077"/>
    <w:rsid w:val="003550CE"/>
    <w:rsid w:val="00355110"/>
    <w:rsid w:val="003553C2"/>
    <w:rsid w:val="003557C9"/>
    <w:rsid w:val="00355810"/>
    <w:rsid w:val="003558C0"/>
    <w:rsid w:val="00355B8F"/>
    <w:rsid w:val="00355F1C"/>
    <w:rsid w:val="00356390"/>
    <w:rsid w:val="00356523"/>
    <w:rsid w:val="00356579"/>
    <w:rsid w:val="00356976"/>
    <w:rsid w:val="00356D3D"/>
    <w:rsid w:val="00356EA3"/>
    <w:rsid w:val="00357142"/>
    <w:rsid w:val="0035716B"/>
    <w:rsid w:val="0035729C"/>
    <w:rsid w:val="003573B5"/>
    <w:rsid w:val="0035748C"/>
    <w:rsid w:val="003575E3"/>
    <w:rsid w:val="003579AB"/>
    <w:rsid w:val="00357EFF"/>
    <w:rsid w:val="00360062"/>
    <w:rsid w:val="0036010C"/>
    <w:rsid w:val="003601E1"/>
    <w:rsid w:val="00360674"/>
    <w:rsid w:val="003607A7"/>
    <w:rsid w:val="003609CF"/>
    <w:rsid w:val="00360A96"/>
    <w:rsid w:val="00360F5B"/>
    <w:rsid w:val="00361061"/>
    <w:rsid w:val="003613E6"/>
    <w:rsid w:val="00361CF5"/>
    <w:rsid w:val="00361DDF"/>
    <w:rsid w:val="003620DF"/>
    <w:rsid w:val="003621D4"/>
    <w:rsid w:val="00362291"/>
    <w:rsid w:val="00362550"/>
    <w:rsid w:val="00362FA1"/>
    <w:rsid w:val="00362FC4"/>
    <w:rsid w:val="00363CFB"/>
    <w:rsid w:val="00363D4D"/>
    <w:rsid w:val="00363DEB"/>
    <w:rsid w:val="00363E68"/>
    <w:rsid w:val="0036481A"/>
    <w:rsid w:val="0036495B"/>
    <w:rsid w:val="00364DF6"/>
    <w:rsid w:val="00365252"/>
    <w:rsid w:val="00365364"/>
    <w:rsid w:val="003654BA"/>
    <w:rsid w:val="003657B5"/>
    <w:rsid w:val="00365A67"/>
    <w:rsid w:val="00365A73"/>
    <w:rsid w:val="00365F5A"/>
    <w:rsid w:val="003660EB"/>
    <w:rsid w:val="00366999"/>
    <w:rsid w:val="00366F25"/>
    <w:rsid w:val="00366FA6"/>
    <w:rsid w:val="003670B4"/>
    <w:rsid w:val="003674FC"/>
    <w:rsid w:val="00367567"/>
    <w:rsid w:val="00367916"/>
    <w:rsid w:val="00367CEF"/>
    <w:rsid w:val="003700F9"/>
    <w:rsid w:val="0037070C"/>
    <w:rsid w:val="00370731"/>
    <w:rsid w:val="00370C4E"/>
    <w:rsid w:val="00370CBB"/>
    <w:rsid w:val="00370F05"/>
    <w:rsid w:val="00371A47"/>
    <w:rsid w:val="00371F0A"/>
    <w:rsid w:val="003721E0"/>
    <w:rsid w:val="003727CB"/>
    <w:rsid w:val="00372D74"/>
    <w:rsid w:val="00372DF4"/>
    <w:rsid w:val="00372DFC"/>
    <w:rsid w:val="00373299"/>
    <w:rsid w:val="00373775"/>
    <w:rsid w:val="003739F5"/>
    <w:rsid w:val="00373B5E"/>
    <w:rsid w:val="00373D2C"/>
    <w:rsid w:val="00373F17"/>
    <w:rsid w:val="00373FF9"/>
    <w:rsid w:val="0037409E"/>
    <w:rsid w:val="00374152"/>
    <w:rsid w:val="003741F9"/>
    <w:rsid w:val="003742A0"/>
    <w:rsid w:val="0037445F"/>
    <w:rsid w:val="0037477D"/>
    <w:rsid w:val="00374C27"/>
    <w:rsid w:val="003751F2"/>
    <w:rsid w:val="00375796"/>
    <w:rsid w:val="003758A1"/>
    <w:rsid w:val="00375BF4"/>
    <w:rsid w:val="00376242"/>
    <w:rsid w:val="0037635B"/>
    <w:rsid w:val="00376426"/>
    <w:rsid w:val="00376548"/>
    <w:rsid w:val="00376609"/>
    <w:rsid w:val="00376D68"/>
    <w:rsid w:val="00376D7E"/>
    <w:rsid w:val="00376E74"/>
    <w:rsid w:val="00376F7B"/>
    <w:rsid w:val="00377202"/>
    <w:rsid w:val="003774CA"/>
    <w:rsid w:val="0037752C"/>
    <w:rsid w:val="00377759"/>
    <w:rsid w:val="0037787E"/>
    <w:rsid w:val="00377C4C"/>
    <w:rsid w:val="00377DD9"/>
    <w:rsid w:val="00380678"/>
    <w:rsid w:val="00380AA3"/>
    <w:rsid w:val="00380DAD"/>
    <w:rsid w:val="00380E93"/>
    <w:rsid w:val="003811AC"/>
    <w:rsid w:val="0038160E"/>
    <w:rsid w:val="00381829"/>
    <w:rsid w:val="0038182B"/>
    <w:rsid w:val="00381B97"/>
    <w:rsid w:val="0038205C"/>
    <w:rsid w:val="0038223D"/>
    <w:rsid w:val="0038235F"/>
    <w:rsid w:val="003825BA"/>
    <w:rsid w:val="003829F3"/>
    <w:rsid w:val="00382E0F"/>
    <w:rsid w:val="00382E63"/>
    <w:rsid w:val="00382FD3"/>
    <w:rsid w:val="0038320A"/>
    <w:rsid w:val="003839BF"/>
    <w:rsid w:val="00383BC8"/>
    <w:rsid w:val="00383E1B"/>
    <w:rsid w:val="003840DF"/>
    <w:rsid w:val="00384125"/>
    <w:rsid w:val="003846AB"/>
    <w:rsid w:val="003846AE"/>
    <w:rsid w:val="00384E23"/>
    <w:rsid w:val="00385D48"/>
    <w:rsid w:val="00385FD3"/>
    <w:rsid w:val="00386208"/>
    <w:rsid w:val="0038637B"/>
    <w:rsid w:val="0038656F"/>
    <w:rsid w:val="003865CB"/>
    <w:rsid w:val="00386BC9"/>
    <w:rsid w:val="00386F68"/>
    <w:rsid w:val="00387370"/>
    <w:rsid w:val="00387E57"/>
    <w:rsid w:val="003905BB"/>
    <w:rsid w:val="00390653"/>
    <w:rsid w:val="003908CE"/>
    <w:rsid w:val="00390B85"/>
    <w:rsid w:val="00390E32"/>
    <w:rsid w:val="00390EB2"/>
    <w:rsid w:val="003912F9"/>
    <w:rsid w:val="0039133C"/>
    <w:rsid w:val="003917FF"/>
    <w:rsid w:val="003919E3"/>
    <w:rsid w:val="00391C2F"/>
    <w:rsid w:val="00391F70"/>
    <w:rsid w:val="00392231"/>
    <w:rsid w:val="003926C5"/>
    <w:rsid w:val="0039282B"/>
    <w:rsid w:val="00392A89"/>
    <w:rsid w:val="00392C53"/>
    <w:rsid w:val="0039339E"/>
    <w:rsid w:val="00393A1B"/>
    <w:rsid w:val="00393F2E"/>
    <w:rsid w:val="00394427"/>
    <w:rsid w:val="003945B6"/>
    <w:rsid w:val="00394838"/>
    <w:rsid w:val="00394A35"/>
    <w:rsid w:val="00394A51"/>
    <w:rsid w:val="00394BD0"/>
    <w:rsid w:val="00394CA8"/>
    <w:rsid w:val="00394F92"/>
    <w:rsid w:val="003951B8"/>
    <w:rsid w:val="00395796"/>
    <w:rsid w:val="003959D8"/>
    <w:rsid w:val="00395AE7"/>
    <w:rsid w:val="00395FEF"/>
    <w:rsid w:val="003963C1"/>
    <w:rsid w:val="00396842"/>
    <w:rsid w:val="00396974"/>
    <w:rsid w:val="003969B0"/>
    <w:rsid w:val="00396B96"/>
    <w:rsid w:val="00396CD8"/>
    <w:rsid w:val="0039703F"/>
    <w:rsid w:val="00397A48"/>
    <w:rsid w:val="00397D28"/>
    <w:rsid w:val="00397DF4"/>
    <w:rsid w:val="003A03EB"/>
    <w:rsid w:val="003A082B"/>
    <w:rsid w:val="003A09DE"/>
    <w:rsid w:val="003A0A05"/>
    <w:rsid w:val="003A0E41"/>
    <w:rsid w:val="003A0F34"/>
    <w:rsid w:val="003A1145"/>
    <w:rsid w:val="003A1385"/>
    <w:rsid w:val="003A152A"/>
    <w:rsid w:val="003A1611"/>
    <w:rsid w:val="003A16E7"/>
    <w:rsid w:val="003A1A1B"/>
    <w:rsid w:val="003A1A4A"/>
    <w:rsid w:val="003A1D1C"/>
    <w:rsid w:val="003A1E8D"/>
    <w:rsid w:val="003A1E91"/>
    <w:rsid w:val="003A1E94"/>
    <w:rsid w:val="003A2091"/>
    <w:rsid w:val="003A20EB"/>
    <w:rsid w:val="003A225F"/>
    <w:rsid w:val="003A236F"/>
    <w:rsid w:val="003A248C"/>
    <w:rsid w:val="003A25D7"/>
    <w:rsid w:val="003A270B"/>
    <w:rsid w:val="003A2F04"/>
    <w:rsid w:val="003A2F07"/>
    <w:rsid w:val="003A2F8D"/>
    <w:rsid w:val="003A33E8"/>
    <w:rsid w:val="003A3416"/>
    <w:rsid w:val="003A3454"/>
    <w:rsid w:val="003A388E"/>
    <w:rsid w:val="003A38B6"/>
    <w:rsid w:val="003A3CB4"/>
    <w:rsid w:val="003A4101"/>
    <w:rsid w:val="003A415A"/>
    <w:rsid w:val="003A45E8"/>
    <w:rsid w:val="003A4BEC"/>
    <w:rsid w:val="003A5446"/>
    <w:rsid w:val="003A54DE"/>
    <w:rsid w:val="003A5525"/>
    <w:rsid w:val="003A5550"/>
    <w:rsid w:val="003A5785"/>
    <w:rsid w:val="003A5852"/>
    <w:rsid w:val="003A59DB"/>
    <w:rsid w:val="003A5CAC"/>
    <w:rsid w:val="003A5F84"/>
    <w:rsid w:val="003A6196"/>
    <w:rsid w:val="003A6888"/>
    <w:rsid w:val="003A69F9"/>
    <w:rsid w:val="003A6C08"/>
    <w:rsid w:val="003A6D26"/>
    <w:rsid w:val="003A733E"/>
    <w:rsid w:val="003A74C2"/>
    <w:rsid w:val="003A7631"/>
    <w:rsid w:val="003A7632"/>
    <w:rsid w:val="003A7758"/>
    <w:rsid w:val="003A7856"/>
    <w:rsid w:val="003A7C4E"/>
    <w:rsid w:val="003A7CDC"/>
    <w:rsid w:val="003B0072"/>
    <w:rsid w:val="003B0392"/>
    <w:rsid w:val="003B0585"/>
    <w:rsid w:val="003B0598"/>
    <w:rsid w:val="003B075C"/>
    <w:rsid w:val="003B0765"/>
    <w:rsid w:val="003B0ACD"/>
    <w:rsid w:val="003B0C96"/>
    <w:rsid w:val="003B0D37"/>
    <w:rsid w:val="003B16F6"/>
    <w:rsid w:val="003B18DA"/>
    <w:rsid w:val="003B1AAA"/>
    <w:rsid w:val="003B1C54"/>
    <w:rsid w:val="003B1D47"/>
    <w:rsid w:val="003B1E47"/>
    <w:rsid w:val="003B235D"/>
    <w:rsid w:val="003B2499"/>
    <w:rsid w:val="003B267D"/>
    <w:rsid w:val="003B2688"/>
    <w:rsid w:val="003B28C1"/>
    <w:rsid w:val="003B2987"/>
    <w:rsid w:val="003B2B5C"/>
    <w:rsid w:val="003B31F8"/>
    <w:rsid w:val="003B36C0"/>
    <w:rsid w:val="003B38B1"/>
    <w:rsid w:val="003B3DD1"/>
    <w:rsid w:val="003B3E9F"/>
    <w:rsid w:val="003B4209"/>
    <w:rsid w:val="003B4815"/>
    <w:rsid w:val="003B4979"/>
    <w:rsid w:val="003B4AF1"/>
    <w:rsid w:val="003B5133"/>
    <w:rsid w:val="003B515D"/>
    <w:rsid w:val="003B51B0"/>
    <w:rsid w:val="003B5254"/>
    <w:rsid w:val="003B5832"/>
    <w:rsid w:val="003B588C"/>
    <w:rsid w:val="003B59D5"/>
    <w:rsid w:val="003B5C41"/>
    <w:rsid w:val="003B5D4E"/>
    <w:rsid w:val="003B5E00"/>
    <w:rsid w:val="003B5E4A"/>
    <w:rsid w:val="003B6006"/>
    <w:rsid w:val="003B60BD"/>
    <w:rsid w:val="003B611A"/>
    <w:rsid w:val="003B628C"/>
    <w:rsid w:val="003B62A5"/>
    <w:rsid w:val="003B6594"/>
    <w:rsid w:val="003B6B0A"/>
    <w:rsid w:val="003B6B43"/>
    <w:rsid w:val="003B6BEE"/>
    <w:rsid w:val="003B6D86"/>
    <w:rsid w:val="003B73C4"/>
    <w:rsid w:val="003B7670"/>
    <w:rsid w:val="003B7B75"/>
    <w:rsid w:val="003B7EA6"/>
    <w:rsid w:val="003C005E"/>
    <w:rsid w:val="003C04C6"/>
    <w:rsid w:val="003C0AE5"/>
    <w:rsid w:val="003C0BFA"/>
    <w:rsid w:val="003C0E8E"/>
    <w:rsid w:val="003C0F1B"/>
    <w:rsid w:val="003C10A0"/>
    <w:rsid w:val="003C1768"/>
    <w:rsid w:val="003C17F7"/>
    <w:rsid w:val="003C18A1"/>
    <w:rsid w:val="003C18C5"/>
    <w:rsid w:val="003C1DB3"/>
    <w:rsid w:val="003C1DE6"/>
    <w:rsid w:val="003C1F2C"/>
    <w:rsid w:val="003C2898"/>
    <w:rsid w:val="003C28F4"/>
    <w:rsid w:val="003C32C7"/>
    <w:rsid w:val="003C33A4"/>
    <w:rsid w:val="003C356B"/>
    <w:rsid w:val="003C37F2"/>
    <w:rsid w:val="003C3AC0"/>
    <w:rsid w:val="003C3B34"/>
    <w:rsid w:val="003C3E80"/>
    <w:rsid w:val="003C3E98"/>
    <w:rsid w:val="003C4680"/>
    <w:rsid w:val="003C4A99"/>
    <w:rsid w:val="003C4C17"/>
    <w:rsid w:val="003C51E7"/>
    <w:rsid w:val="003C51F8"/>
    <w:rsid w:val="003C5230"/>
    <w:rsid w:val="003C5579"/>
    <w:rsid w:val="003C5620"/>
    <w:rsid w:val="003C5933"/>
    <w:rsid w:val="003C5B98"/>
    <w:rsid w:val="003C6004"/>
    <w:rsid w:val="003C68D6"/>
    <w:rsid w:val="003C6B04"/>
    <w:rsid w:val="003C6C7E"/>
    <w:rsid w:val="003C6E32"/>
    <w:rsid w:val="003C70E4"/>
    <w:rsid w:val="003C7310"/>
    <w:rsid w:val="003C7514"/>
    <w:rsid w:val="003C75D2"/>
    <w:rsid w:val="003C7760"/>
    <w:rsid w:val="003C78F4"/>
    <w:rsid w:val="003C791F"/>
    <w:rsid w:val="003C7A61"/>
    <w:rsid w:val="003D0026"/>
    <w:rsid w:val="003D010D"/>
    <w:rsid w:val="003D0164"/>
    <w:rsid w:val="003D01CA"/>
    <w:rsid w:val="003D030D"/>
    <w:rsid w:val="003D0884"/>
    <w:rsid w:val="003D08A0"/>
    <w:rsid w:val="003D0CB3"/>
    <w:rsid w:val="003D0D28"/>
    <w:rsid w:val="003D0F25"/>
    <w:rsid w:val="003D1C96"/>
    <w:rsid w:val="003D1DB3"/>
    <w:rsid w:val="003D1F01"/>
    <w:rsid w:val="003D20F6"/>
    <w:rsid w:val="003D280A"/>
    <w:rsid w:val="003D2AED"/>
    <w:rsid w:val="003D3178"/>
    <w:rsid w:val="003D3524"/>
    <w:rsid w:val="003D35C8"/>
    <w:rsid w:val="003D36FD"/>
    <w:rsid w:val="003D3B93"/>
    <w:rsid w:val="003D41E4"/>
    <w:rsid w:val="003D42FD"/>
    <w:rsid w:val="003D4B30"/>
    <w:rsid w:val="003D4FF9"/>
    <w:rsid w:val="003D511C"/>
    <w:rsid w:val="003D51F4"/>
    <w:rsid w:val="003D52D0"/>
    <w:rsid w:val="003D537C"/>
    <w:rsid w:val="003D545B"/>
    <w:rsid w:val="003D5824"/>
    <w:rsid w:val="003D585D"/>
    <w:rsid w:val="003D5DEA"/>
    <w:rsid w:val="003D6166"/>
    <w:rsid w:val="003D625C"/>
    <w:rsid w:val="003D6357"/>
    <w:rsid w:val="003D6396"/>
    <w:rsid w:val="003D63BE"/>
    <w:rsid w:val="003D6556"/>
    <w:rsid w:val="003D68A7"/>
    <w:rsid w:val="003D6980"/>
    <w:rsid w:val="003D6AB0"/>
    <w:rsid w:val="003D6F7D"/>
    <w:rsid w:val="003D7272"/>
    <w:rsid w:val="003D742F"/>
    <w:rsid w:val="003D75B4"/>
    <w:rsid w:val="003D7825"/>
    <w:rsid w:val="003D7857"/>
    <w:rsid w:val="003D7AC4"/>
    <w:rsid w:val="003D7CB0"/>
    <w:rsid w:val="003D7E1E"/>
    <w:rsid w:val="003E00F8"/>
    <w:rsid w:val="003E05F5"/>
    <w:rsid w:val="003E0C7D"/>
    <w:rsid w:val="003E0E3A"/>
    <w:rsid w:val="003E13C1"/>
    <w:rsid w:val="003E14D3"/>
    <w:rsid w:val="003E1815"/>
    <w:rsid w:val="003E1E5D"/>
    <w:rsid w:val="003E22BE"/>
    <w:rsid w:val="003E2367"/>
    <w:rsid w:val="003E24F0"/>
    <w:rsid w:val="003E2A8D"/>
    <w:rsid w:val="003E2B9C"/>
    <w:rsid w:val="003E2D2C"/>
    <w:rsid w:val="003E2EBB"/>
    <w:rsid w:val="003E2ED3"/>
    <w:rsid w:val="003E306D"/>
    <w:rsid w:val="003E3171"/>
    <w:rsid w:val="003E3414"/>
    <w:rsid w:val="003E36F0"/>
    <w:rsid w:val="003E3BC5"/>
    <w:rsid w:val="003E443B"/>
    <w:rsid w:val="003E4D1C"/>
    <w:rsid w:val="003E51B8"/>
    <w:rsid w:val="003E538F"/>
    <w:rsid w:val="003E596E"/>
    <w:rsid w:val="003E5E95"/>
    <w:rsid w:val="003E6451"/>
    <w:rsid w:val="003E64C4"/>
    <w:rsid w:val="003E6553"/>
    <w:rsid w:val="003E6B93"/>
    <w:rsid w:val="003E6C94"/>
    <w:rsid w:val="003E6CF2"/>
    <w:rsid w:val="003E6EE5"/>
    <w:rsid w:val="003E6F19"/>
    <w:rsid w:val="003E700D"/>
    <w:rsid w:val="003E78EC"/>
    <w:rsid w:val="003F0299"/>
    <w:rsid w:val="003F0371"/>
    <w:rsid w:val="003F05F8"/>
    <w:rsid w:val="003F05FD"/>
    <w:rsid w:val="003F0667"/>
    <w:rsid w:val="003F0A39"/>
    <w:rsid w:val="003F0CDC"/>
    <w:rsid w:val="003F1166"/>
    <w:rsid w:val="003F1294"/>
    <w:rsid w:val="003F14DE"/>
    <w:rsid w:val="003F15BA"/>
    <w:rsid w:val="003F15E5"/>
    <w:rsid w:val="003F16AA"/>
    <w:rsid w:val="003F19A6"/>
    <w:rsid w:val="003F1C5D"/>
    <w:rsid w:val="003F1D40"/>
    <w:rsid w:val="003F200F"/>
    <w:rsid w:val="003F2293"/>
    <w:rsid w:val="003F2BEA"/>
    <w:rsid w:val="003F2C22"/>
    <w:rsid w:val="003F2D8F"/>
    <w:rsid w:val="003F2EA0"/>
    <w:rsid w:val="003F31D4"/>
    <w:rsid w:val="003F3554"/>
    <w:rsid w:val="003F36C2"/>
    <w:rsid w:val="003F36CE"/>
    <w:rsid w:val="003F36EB"/>
    <w:rsid w:val="003F38A9"/>
    <w:rsid w:val="003F3944"/>
    <w:rsid w:val="003F3AB8"/>
    <w:rsid w:val="003F3D6E"/>
    <w:rsid w:val="003F3D9F"/>
    <w:rsid w:val="003F4091"/>
    <w:rsid w:val="003F41E0"/>
    <w:rsid w:val="003F4A5D"/>
    <w:rsid w:val="003F4C53"/>
    <w:rsid w:val="003F5011"/>
    <w:rsid w:val="003F50DF"/>
    <w:rsid w:val="003F5379"/>
    <w:rsid w:val="003F558A"/>
    <w:rsid w:val="003F5698"/>
    <w:rsid w:val="003F5723"/>
    <w:rsid w:val="003F5724"/>
    <w:rsid w:val="003F59F2"/>
    <w:rsid w:val="003F5E9A"/>
    <w:rsid w:val="003F5F40"/>
    <w:rsid w:val="003F5F94"/>
    <w:rsid w:val="003F6098"/>
    <w:rsid w:val="003F63EC"/>
    <w:rsid w:val="003F651D"/>
    <w:rsid w:val="003F65DD"/>
    <w:rsid w:val="003F666D"/>
    <w:rsid w:val="003F6AD4"/>
    <w:rsid w:val="003F6C74"/>
    <w:rsid w:val="003F6EA8"/>
    <w:rsid w:val="003F7458"/>
    <w:rsid w:val="003F745C"/>
    <w:rsid w:val="003F7729"/>
    <w:rsid w:val="003F78C6"/>
    <w:rsid w:val="0040066B"/>
    <w:rsid w:val="00400C58"/>
    <w:rsid w:val="0040126E"/>
    <w:rsid w:val="00401394"/>
    <w:rsid w:val="00401396"/>
    <w:rsid w:val="00401AEF"/>
    <w:rsid w:val="00401BF2"/>
    <w:rsid w:val="00401CEE"/>
    <w:rsid w:val="00401F3E"/>
    <w:rsid w:val="004024AC"/>
    <w:rsid w:val="004025F5"/>
    <w:rsid w:val="00402650"/>
    <w:rsid w:val="00402656"/>
    <w:rsid w:val="00402729"/>
    <w:rsid w:val="00402A77"/>
    <w:rsid w:val="00402C71"/>
    <w:rsid w:val="00402CD8"/>
    <w:rsid w:val="00403577"/>
    <w:rsid w:val="00403F87"/>
    <w:rsid w:val="00403FE2"/>
    <w:rsid w:val="004041B9"/>
    <w:rsid w:val="00404840"/>
    <w:rsid w:val="00404C2B"/>
    <w:rsid w:val="00405198"/>
    <w:rsid w:val="0040532A"/>
    <w:rsid w:val="0040553F"/>
    <w:rsid w:val="00405A39"/>
    <w:rsid w:val="00405DFC"/>
    <w:rsid w:val="00405F7D"/>
    <w:rsid w:val="00405F7F"/>
    <w:rsid w:val="0040601E"/>
    <w:rsid w:val="00406337"/>
    <w:rsid w:val="004064BE"/>
    <w:rsid w:val="004065C0"/>
    <w:rsid w:val="00406678"/>
    <w:rsid w:val="00406835"/>
    <w:rsid w:val="004068C9"/>
    <w:rsid w:val="00406DA1"/>
    <w:rsid w:val="004070B0"/>
    <w:rsid w:val="00407577"/>
    <w:rsid w:val="004075D9"/>
    <w:rsid w:val="004078CC"/>
    <w:rsid w:val="004079C8"/>
    <w:rsid w:val="00407B5B"/>
    <w:rsid w:val="00407F5C"/>
    <w:rsid w:val="00407F70"/>
    <w:rsid w:val="00407F76"/>
    <w:rsid w:val="00410213"/>
    <w:rsid w:val="00410433"/>
    <w:rsid w:val="004105E9"/>
    <w:rsid w:val="00410727"/>
    <w:rsid w:val="00410C63"/>
    <w:rsid w:val="00410FC9"/>
    <w:rsid w:val="00411193"/>
    <w:rsid w:val="004113B1"/>
    <w:rsid w:val="00411521"/>
    <w:rsid w:val="004116A9"/>
    <w:rsid w:val="0041170C"/>
    <w:rsid w:val="004121E4"/>
    <w:rsid w:val="0041257F"/>
    <w:rsid w:val="004126DD"/>
    <w:rsid w:val="0041291E"/>
    <w:rsid w:val="00412A7B"/>
    <w:rsid w:val="00412AF6"/>
    <w:rsid w:val="00412DEA"/>
    <w:rsid w:val="00413089"/>
    <w:rsid w:val="004130DA"/>
    <w:rsid w:val="004132AD"/>
    <w:rsid w:val="00413720"/>
    <w:rsid w:val="004137FF"/>
    <w:rsid w:val="00413955"/>
    <w:rsid w:val="00413982"/>
    <w:rsid w:val="004139CD"/>
    <w:rsid w:val="00413A9C"/>
    <w:rsid w:val="00413AF4"/>
    <w:rsid w:val="00413B5B"/>
    <w:rsid w:val="00413FB0"/>
    <w:rsid w:val="00414312"/>
    <w:rsid w:val="004143C5"/>
    <w:rsid w:val="0041493F"/>
    <w:rsid w:val="00414D18"/>
    <w:rsid w:val="00414F79"/>
    <w:rsid w:val="00414FB2"/>
    <w:rsid w:val="00415009"/>
    <w:rsid w:val="00415C28"/>
    <w:rsid w:val="00415EBA"/>
    <w:rsid w:val="004163B3"/>
    <w:rsid w:val="00416418"/>
    <w:rsid w:val="004166BD"/>
    <w:rsid w:val="00416725"/>
    <w:rsid w:val="0041774E"/>
    <w:rsid w:val="00417822"/>
    <w:rsid w:val="00417AF9"/>
    <w:rsid w:val="00420C6D"/>
    <w:rsid w:val="00420E2B"/>
    <w:rsid w:val="0042129B"/>
    <w:rsid w:val="0042137C"/>
    <w:rsid w:val="00421BC3"/>
    <w:rsid w:val="00421BC5"/>
    <w:rsid w:val="00421BE5"/>
    <w:rsid w:val="00421C4C"/>
    <w:rsid w:val="00422174"/>
    <w:rsid w:val="00422389"/>
    <w:rsid w:val="00423043"/>
    <w:rsid w:val="004230CB"/>
    <w:rsid w:val="00423292"/>
    <w:rsid w:val="00423489"/>
    <w:rsid w:val="004242B5"/>
    <w:rsid w:val="00424432"/>
    <w:rsid w:val="0042480A"/>
    <w:rsid w:val="00424865"/>
    <w:rsid w:val="00424983"/>
    <w:rsid w:val="00424BFE"/>
    <w:rsid w:val="00424D16"/>
    <w:rsid w:val="00424D91"/>
    <w:rsid w:val="004252F9"/>
    <w:rsid w:val="00425763"/>
    <w:rsid w:val="00425833"/>
    <w:rsid w:val="004259EE"/>
    <w:rsid w:val="00425DDD"/>
    <w:rsid w:val="00425E99"/>
    <w:rsid w:val="00425FD8"/>
    <w:rsid w:val="00426234"/>
    <w:rsid w:val="00426269"/>
    <w:rsid w:val="00426636"/>
    <w:rsid w:val="00426C1A"/>
    <w:rsid w:val="00426C29"/>
    <w:rsid w:val="0042733C"/>
    <w:rsid w:val="00427436"/>
    <w:rsid w:val="00427642"/>
    <w:rsid w:val="00427AFE"/>
    <w:rsid w:val="004300B9"/>
    <w:rsid w:val="00430328"/>
    <w:rsid w:val="0043070F"/>
    <w:rsid w:val="00430AF7"/>
    <w:rsid w:val="00430C78"/>
    <w:rsid w:val="00430D91"/>
    <w:rsid w:val="00430FAC"/>
    <w:rsid w:val="00431381"/>
    <w:rsid w:val="00431488"/>
    <w:rsid w:val="00431800"/>
    <w:rsid w:val="00431CDB"/>
    <w:rsid w:val="00431CF9"/>
    <w:rsid w:val="00431DF1"/>
    <w:rsid w:val="0043205C"/>
    <w:rsid w:val="004322D8"/>
    <w:rsid w:val="00432336"/>
    <w:rsid w:val="0043256E"/>
    <w:rsid w:val="004329D3"/>
    <w:rsid w:val="004330CF"/>
    <w:rsid w:val="004332E8"/>
    <w:rsid w:val="0043331E"/>
    <w:rsid w:val="0043350E"/>
    <w:rsid w:val="0043360E"/>
    <w:rsid w:val="00433653"/>
    <w:rsid w:val="00433928"/>
    <w:rsid w:val="0043395A"/>
    <w:rsid w:val="0043396A"/>
    <w:rsid w:val="004339B8"/>
    <w:rsid w:val="00433C59"/>
    <w:rsid w:val="00433CB3"/>
    <w:rsid w:val="0043407E"/>
    <w:rsid w:val="004348EC"/>
    <w:rsid w:val="00434AC1"/>
    <w:rsid w:val="00434DD2"/>
    <w:rsid w:val="0043545F"/>
    <w:rsid w:val="004354CA"/>
    <w:rsid w:val="00435713"/>
    <w:rsid w:val="00435B0B"/>
    <w:rsid w:val="00435D55"/>
    <w:rsid w:val="00436AC3"/>
    <w:rsid w:val="00436C33"/>
    <w:rsid w:val="00436E28"/>
    <w:rsid w:val="004371A7"/>
    <w:rsid w:val="00437534"/>
    <w:rsid w:val="004375E1"/>
    <w:rsid w:val="004378CC"/>
    <w:rsid w:val="00440017"/>
    <w:rsid w:val="0044033E"/>
    <w:rsid w:val="00440399"/>
    <w:rsid w:val="00440601"/>
    <w:rsid w:val="0044060F"/>
    <w:rsid w:val="004408E0"/>
    <w:rsid w:val="004408F4"/>
    <w:rsid w:val="00440915"/>
    <w:rsid w:val="00440BC5"/>
    <w:rsid w:val="004411DD"/>
    <w:rsid w:val="00441297"/>
    <w:rsid w:val="0044176B"/>
    <w:rsid w:val="004417E5"/>
    <w:rsid w:val="00441A1C"/>
    <w:rsid w:val="00441C0A"/>
    <w:rsid w:val="00441C3D"/>
    <w:rsid w:val="00441C56"/>
    <w:rsid w:val="00442030"/>
    <w:rsid w:val="00442043"/>
    <w:rsid w:val="0044214B"/>
    <w:rsid w:val="004421C3"/>
    <w:rsid w:val="00442612"/>
    <w:rsid w:val="00442E66"/>
    <w:rsid w:val="004436E7"/>
    <w:rsid w:val="00443A35"/>
    <w:rsid w:val="00443B31"/>
    <w:rsid w:val="00443CB7"/>
    <w:rsid w:val="0044435F"/>
    <w:rsid w:val="00444432"/>
    <w:rsid w:val="0044447F"/>
    <w:rsid w:val="004447E5"/>
    <w:rsid w:val="00444EAB"/>
    <w:rsid w:val="00444EC4"/>
    <w:rsid w:val="00444EF3"/>
    <w:rsid w:val="0044502E"/>
    <w:rsid w:val="004450C1"/>
    <w:rsid w:val="00445C5A"/>
    <w:rsid w:val="00445F23"/>
    <w:rsid w:val="00446078"/>
    <w:rsid w:val="00446201"/>
    <w:rsid w:val="0044661D"/>
    <w:rsid w:val="004467FE"/>
    <w:rsid w:val="00446A11"/>
    <w:rsid w:val="00446B1D"/>
    <w:rsid w:val="004473CD"/>
    <w:rsid w:val="0044765F"/>
    <w:rsid w:val="004477E2"/>
    <w:rsid w:val="00450098"/>
    <w:rsid w:val="004502B9"/>
    <w:rsid w:val="00450B0B"/>
    <w:rsid w:val="00450B88"/>
    <w:rsid w:val="00450BEA"/>
    <w:rsid w:val="00450D7D"/>
    <w:rsid w:val="00450E29"/>
    <w:rsid w:val="004513B3"/>
    <w:rsid w:val="004513FC"/>
    <w:rsid w:val="0045198F"/>
    <w:rsid w:val="00451A11"/>
    <w:rsid w:val="00451AB7"/>
    <w:rsid w:val="00451C9B"/>
    <w:rsid w:val="0045204C"/>
    <w:rsid w:val="0045205D"/>
    <w:rsid w:val="00452311"/>
    <w:rsid w:val="00452348"/>
    <w:rsid w:val="004525C0"/>
    <w:rsid w:val="004527BC"/>
    <w:rsid w:val="004528C4"/>
    <w:rsid w:val="00452E06"/>
    <w:rsid w:val="00453027"/>
    <w:rsid w:val="00453407"/>
    <w:rsid w:val="00453468"/>
    <w:rsid w:val="0045396F"/>
    <w:rsid w:val="004539E0"/>
    <w:rsid w:val="00453D59"/>
    <w:rsid w:val="00453E64"/>
    <w:rsid w:val="0045408E"/>
    <w:rsid w:val="0045438E"/>
    <w:rsid w:val="004546F9"/>
    <w:rsid w:val="004548A1"/>
    <w:rsid w:val="004548D1"/>
    <w:rsid w:val="00454962"/>
    <w:rsid w:val="004549D6"/>
    <w:rsid w:val="00454BC6"/>
    <w:rsid w:val="00455026"/>
    <w:rsid w:val="0045506C"/>
    <w:rsid w:val="00455381"/>
    <w:rsid w:val="00455765"/>
    <w:rsid w:val="00455BAE"/>
    <w:rsid w:val="00455BB3"/>
    <w:rsid w:val="00456161"/>
    <w:rsid w:val="00456486"/>
    <w:rsid w:val="00456F6D"/>
    <w:rsid w:val="00457558"/>
    <w:rsid w:val="004578EF"/>
    <w:rsid w:val="00457ABF"/>
    <w:rsid w:val="00457AF5"/>
    <w:rsid w:val="00457BCA"/>
    <w:rsid w:val="004600DD"/>
    <w:rsid w:val="004600F0"/>
    <w:rsid w:val="00460275"/>
    <w:rsid w:val="004602E9"/>
    <w:rsid w:val="0046061C"/>
    <w:rsid w:val="004606D4"/>
    <w:rsid w:val="004606E5"/>
    <w:rsid w:val="004609FD"/>
    <w:rsid w:val="00460E72"/>
    <w:rsid w:val="00460E83"/>
    <w:rsid w:val="00460ED3"/>
    <w:rsid w:val="004618F3"/>
    <w:rsid w:val="004619B3"/>
    <w:rsid w:val="00461EC6"/>
    <w:rsid w:val="0046208F"/>
    <w:rsid w:val="00462144"/>
    <w:rsid w:val="00462362"/>
    <w:rsid w:val="004623E4"/>
    <w:rsid w:val="00462447"/>
    <w:rsid w:val="004625E0"/>
    <w:rsid w:val="00462D09"/>
    <w:rsid w:val="00463447"/>
    <w:rsid w:val="0046367B"/>
    <w:rsid w:val="004637E9"/>
    <w:rsid w:val="00463865"/>
    <w:rsid w:val="00463C8D"/>
    <w:rsid w:val="00463EA7"/>
    <w:rsid w:val="004642A9"/>
    <w:rsid w:val="00464518"/>
    <w:rsid w:val="0046467F"/>
    <w:rsid w:val="00464C64"/>
    <w:rsid w:val="00464D71"/>
    <w:rsid w:val="00465014"/>
    <w:rsid w:val="00465215"/>
    <w:rsid w:val="0046559B"/>
    <w:rsid w:val="0046598A"/>
    <w:rsid w:val="004659EC"/>
    <w:rsid w:val="00465B39"/>
    <w:rsid w:val="00465DE3"/>
    <w:rsid w:val="00465E04"/>
    <w:rsid w:val="00466825"/>
    <w:rsid w:val="004669E5"/>
    <w:rsid w:val="00466B1D"/>
    <w:rsid w:val="00466B40"/>
    <w:rsid w:val="00466E38"/>
    <w:rsid w:val="00466F96"/>
    <w:rsid w:val="00467043"/>
    <w:rsid w:val="00467306"/>
    <w:rsid w:val="0046760D"/>
    <w:rsid w:val="0046784D"/>
    <w:rsid w:val="004704F8"/>
    <w:rsid w:val="00470A5F"/>
    <w:rsid w:val="00470B44"/>
    <w:rsid w:val="00470BFE"/>
    <w:rsid w:val="00470CF1"/>
    <w:rsid w:val="00470F8B"/>
    <w:rsid w:val="0047106C"/>
    <w:rsid w:val="00471278"/>
    <w:rsid w:val="0047155C"/>
    <w:rsid w:val="0047181D"/>
    <w:rsid w:val="0047182E"/>
    <w:rsid w:val="00471927"/>
    <w:rsid w:val="00471B0E"/>
    <w:rsid w:val="00471B90"/>
    <w:rsid w:val="00471F83"/>
    <w:rsid w:val="004720CE"/>
    <w:rsid w:val="00472919"/>
    <w:rsid w:val="00472A18"/>
    <w:rsid w:val="00472A70"/>
    <w:rsid w:val="00472B40"/>
    <w:rsid w:val="00472EE1"/>
    <w:rsid w:val="00473160"/>
    <w:rsid w:val="004731F4"/>
    <w:rsid w:val="004733E5"/>
    <w:rsid w:val="00473FDA"/>
    <w:rsid w:val="00473FFA"/>
    <w:rsid w:val="00474772"/>
    <w:rsid w:val="00474821"/>
    <w:rsid w:val="00474BC3"/>
    <w:rsid w:val="004750C2"/>
    <w:rsid w:val="00475DDE"/>
    <w:rsid w:val="00476032"/>
    <w:rsid w:val="004763EA"/>
    <w:rsid w:val="004766F6"/>
    <w:rsid w:val="004769B3"/>
    <w:rsid w:val="00477073"/>
    <w:rsid w:val="0047746B"/>
    <w:rsid w:val="004775B7"/>
    <w:rsid w:val="004775D2"/>
    <w:rsid w:val="00477666"/>
    <w:rsid w:val="00477699"/>
    <w:rsid w:val="004778B7"/>
    <w:rsid w:val="004778C1"/>
    <w:rsid w:val="00477932"/>
    <w:rsid w:val="00477A9E"/>
    <w:rsid w:val="00477DEB"/>
    <w:rsid w:val="00477E10"/>
    <w:rsid w:val="00480008"/>
    <w:rsid w:val="004801C4"/>
    <w:rsid w:val="004801EF"/>
    <w:rsid w:val="004805A9"/>
    <w:rsid w:val="004809E5"/>
    <w:rsid w:val="00480CAB"/>
    <w:rsid w:val="00481059"/>
    <w:rsid w:val="004813CD"/>
    <w:rsid w:val="0048145F"/>
    <w:rsid w:val="00481960"/>
    <w:rsid w:val="00481CED"/>
    <w:rsid w:val="00481E02"/>
    <w:rsid w:val="00481E09"/>
    <w:rsid w:val="004821D3"/>
    <w:rsid w:val="00482446"/>
    <w:rsid w:val="00482600"/>
    <w:rsid w:val="00482707"/>
    <w:rsid w:val="00482895"/>
    <w:rsid w:val="0048308B"/>
    <w:rsid w:val="00483293"/>
    <w:rsid w:val="00483300"/>
    <w:rsid w:val="00483430"/>
    <w:rsid w:val="00483A21"/>
    <w:rsid w:val="00483C4A"/>
    <w:rsid w:val="004840D2"/>
    <w:rsid w:val="004847BF"/>
    <w:rsid w:val="00484AFC"/>
    <w:rsid w:val="00484DC9"/>
    <w:rsid w:val="004850F6"/>
    <w:rsid w:val="004852B1"/>
    <w:rsid w:val="0048566D"/>
    <w:rsid w:val="004856EE"/>
    <w:rsid w:val="00485A02"/>
    <w:rsid w:val="00485BA5"/>
    <w:rsid w:val="00485BE1"/>
    <w:rsid w:val="00485F0D"/>
    <w:rsid w:val="00485F2B"/>
    <w:rsid w:val="00486177"/>
    <w:rsid w:val="0048628F"/>
    <w:rsid w:val="00486355"/>
    <w:rsid w:val="00486564"/>
    <w:rsid w:val="00486704"/>
    <w:rsid w:val="0048670E"/>
    <w:rsid w:val="004868B2"/>
    <w:rsid w:val="00486B1B"/>
    <w:rsid w:val="00486DD1"/>
    <w:rsid w:val="004870E1"/>
    <w:rsid w:val="0048729D"/>
    <w:rsid w:val="00487339"/>
    <w:rsid w:val="0048753A"/>
    <w:rsid w:val="00487919"/>
    <w:rsid w:val="00487A65"/>
    <w:rsid w:val="00487D30"/>
    <w:rsid w:val="00490202"/>
    <w:rsid w:val="0049024C"/>
    <w:rsid w:val="00490506"/>
    <w:rsid w:val="004907F2"/>
    <w:rsid w:val="00490951"/>
    <w:rsid w:val="00490A8D"/>
    <w:rsid w:val="00490CE2"/>
    <w:rsid w:val="00490DE9"/>
    <w:rsid w:val="00490E05"/>
    <w:rsid w:val="00490EE0"/>
    <w:rsid w:val="00490FBB"/>
    <w:rsid w:val="004913BA"/>
    <w:rsid w:val="004914CC"/>
    <w:rsid w:val="00491760"/>
    <w:rsid w:val="00491804"/>
    <w:rsid w:val="00491817"/>
    <w:rsid w:val="00491A58"/>
    <w:rsid w:val="00491CE9"/>
    <w:rsid w:val="00491E01"/>
    <w:rsid w:val="00492169"/>
    <w:rsid w:val="00492787"/>
    <w:rsid w:val="00492915"/>
    <w:rsid w:val="004929E6"/>
    <w:rsid w:val="00492BB7"/>
    <w:rsid w:val="00492E3C"/>
    <w:rsid w:val="00492EA2"/>
    <w:rsid w:val="0049305D"/>
    <w:rsid w:val="00493239"/>
    <w:rsid w:val="0049376B"/>
    <w:rsid w:val="004939E7"/>
    <w:rsid w:val="004939FF"/>
    <w:rsid w:val="00493D18"/>
    <w:rsid w:val="00493F37"/>
    <w:rsid w:val="00494180"/>
    <w:rsid w:val="004942A4"/>
    <w:rsid w:val="00494738"/>
    <w:rsid w:val="00494897"/>
    <w:rsid w:val="00494BA7"/>
    <w:rsid w:val="00494BA9"/>
    <w:rsid w:val="00495437"/>
    <w:rsid w:val="00495D82"/>
    <w:rsid w:val="00495F3B"/>
    <w:rsid w:val="004961F6"/>
    <w:rsid w:val="00496399"/>
    <w:rsid w:val="00496B1F"/>
    <w:rsid w:val="00496F8D"/>
    <w:rsid w:val="0049751F"/>
    <w:rsid w:val="004976F2"/>
    <w:rsid w:val="004979CC"/>
    <w:rsid w:val="004A0587"/>
    <w:rsid w:val="004A084B"/>
    <w:rsid w:val="004A09A3"/>
    <w:rsid w:val="004A0B0C"/>
    <w:rsid w:val="004A0C7F"/>
    <w:rsid w:val="004A0DC0"/>
    <w:rsid w:val="004A1293"/>
    <w:rsid w:val="004A1870"/>
    <w:rsid w:val="004A1C82"/>
    <w:rsid w:val="004A2347"/>
    <w:rsid w:val="004A2877"/>
    <w:rsid w:val="004A2E1E"/>
    <w:rsid w:val="004A34AB"/>
    <w:rsid w:val="004A37FC"/>
    <w:rsid w:val="004A393E"/>
    <w:rsid w:val="004A3A49"/>
    <w:rsid w:val="004A3AD4"/>
    <w:rsid w:val="004A3DD1"/>
    <w:rsid w:val="004A40BC"/>
    <w:rsid w:val="004A40FB"/>
    <w:rsid w:val="004A41B4"/>
    <w:rsid w:val="004A4226"/>
    <w:rsid w:val="004A422B"/>
    <w:rsid w:val="004A423E"/>
    <w:rsid w:val="004A4250"/>
    <w:rsid w:val="004A4771"/>
    <w:rsid w:val="004A497D"/>
    <w:rsid w:val="004A4AA7"/>
    <w:rsid w:val="004A4AF4"/>
    <w:rsid w:val="004A5184"/>
    <w:rsid w:val="004A5355"/>
    <w:rsid w:val="004A55BC"/>
    <w:rsid w:val="004A55C2"/>
    <w:rsid w:val="004A55E4"/>
    <w:rsid w:val="004A55E6"/>
    <w:rsid w:val="004A5A37"/>
    <w:rsid w:val="004A5BC8"/>
    <w:rsid w:val="004A5C12"/>
    <w:rsid w:val="004A5D5B"/>
    <w:rsid w:val="004A655D"/>
    <w:rsid w:val="004A67A8"/>
    <w:rsid w:val="004A6C2B"/>
    <w:rsid w:val="004A6F81"/>
    <w:rsid w:val="004A6FCB"/>
    <w:rsid w:val="004A71BD"/>
    <w:rsid w:val="004A7255"/>
    <w:rsid w:val="004A758A"/>
    <w:rsid w:val="004A7753"/>
    <w:rsid w:val="004A79F9"/>
    <w:rsid w:val="004A7A3F"/>
    <w:rsid w:val="004A7B05"/>
    <w:rsid w:val="004B01DF"/>
    <w:rsid w:val="004B0486"/>
    <w:rsid w:val="004B0B87"/>
    <w:rsid w:val="004B0E1D"/>
    <w:rsid w:val="004B1670"/>
    <w:rsid w:val="004B18B1"/>
    <w:rsid w:val="004B214C"/>
    <w:rsid w:val="004B24AE"/>
    <w:rsid w:val="004B24F9"/>
    <w:rsid w:val="004B2599"/>
    <w:rsid w:val="004B276E"/>
    <w:rsid w:val="004B2BF5"/>
    <w:rsid w:val="004B2CC3"/>
    <w:rsid w:val="004B31A1"/>
    <w:rsid w:val="004B3372"/>
    <w:rsid w:val="004B371A"/>
    <w:rsid w:val="004B3D6E"/>
    <w:rsid w:val="004B40C8"/>
    <w:rsid w:val="004B433A"/>
    <w:rsid w:val="004B49F7"/>
    <w:rsid w:val="004B4C75"/>
    <w:rsid w:val="004B4EE1"/>
    <w:rsid w:val="004B530A"/>
    <w:rsid w:val="004B5651"/>
    <w:rsid w:val="004B5667"/>
    <w:rsid w:val="004B57EC"/>
    <w:rsid w:val="004B5A4A"/>
    <w:rsid w:val="004B60A3"/>
    <w:rsid w:val="004B611D"/>
    <w:rsid w:val="004B6227"/>
    <w:rsid w:val="004B67DC"/>
    <w:rsid w:val="004B681D"/>
    <w:rsid w:val="004B6827"/>
    <w:rsid w:val="004B6EBF"/>
    <w:rsid w:val="004B6F3A"/>
    <w:rsid w:val="004B7588"/>
    <w:rsid w:val="004B7733"/>
    <w:rsid w:val="004B7CD9"/>
    <w:rsid w:val="004B7E80"/>
    <w:rsid w:val="004B7F0E"/>
    <w:rsid w:val="004C0736"/>
    <w:rsid w:val="004C090C"/>
    <w:rsid w:val="004C0D09"/>
    <w:rsid w:val="004C0D62"/>
    <w:rsid w:val="004C0DDF"/>
    <w:rsid w:val="004C0EA6"/>
    <w:rsid w:val="004C1B02"/>
    <w:rsid w:val="004C1C13"/>
    <w:rsid w:val="004C1D2D"/>
    <w:rsid w:val="004C24CF"/>
    <w:rsid w:val="004C251F"/>
    <w:rsid w:val="004C2722"/>
    <w:rsid w:val="004C28DD"/>
    <w:rsid w:val="004C2C08"/>
    <w:rsid w:val="004C2C5E"/>
    <w:rsid w:val="004C2C9A"/>
    <w:rsid w:val="004C2CB7"/>
    <w:rsid w:val="004C2D10"/>
    <w:rsid w:val="004C315B"/>
    <w:rsid w:val="004C318C"/>
    <w:rsid w:val="004C319E"/>
    <w:rsid w:val="004C34C2"/>
    <w:rsid w:val="004C3571"/>
    <w:rsid w:val="004C3659"/>
    <w:rsid w:val="004C3681"/>
    <w:rsid w:val="004C390C"/>
    <w:rsid w:val="004C3957"/>
    <w:rsid w:val="004C3B55"/>
    <w:rsid w:val="004C3F06"/>
    <w:rsid w:val="004C41CC"/>
    <w:rsid w:val="004C42A2"/>
    <w:rsid w:val="004C42B2"/>
    <w:rsid w:val="004C4855"/>
    <w:rsid w:val="004C48C7"/>
    <w:rsid w:val="004C4A36"/>
    <w:rsid w:val="004C5023"/>
    <w:rsid w:val="004C57CD"/>
    <w:rsid w:val="004C58D5"/>
    <w:rsid w:val="004C596F"/>
    <w:rsid w:val="004C5DFB"/>
    <w:rsid w:val="004C5F0D"/>
    <w:rsid w:val="004C6524"/>
    <w:rsid w:val="004C67E2"/>
    <w:rsid w:val="004C6F84"/>
    <w:rsid w:val="004C6F9B"/>
    <w:rsid w:val="004C7070"/>
    <w:rsid w:val="004C7125"/>
    <w:rsid w:val="004C7458"/>
    <w:rsid w:val="004C7605"/>
    <w:rsid w:val="004C76F3"/>
    <w:rsid w:val="004C7BB1"/>
    <w:rsid w:val="004C7EC7"/>
    <w:rsid w:val="004C7EF7"/>
    <w:rsid w:val="004D00F8"/>
    <w:rsid w:val="004D026C"/>
    <w:rsid w:val="004D0609"/>
    <w:rsid w:val="004D07DF"/>
    <w:rsid w:val="004D0BA6"/>
    <w:rsid w:val="004D0BB9"/>
    <w:rsid w:val="004D0C6B"/>
    <w:rsid w:val="004D0CE1"/>
    <w:rsid w:val="004D0D58"/>
    <w:rsid w:val="004D0E94"/>
    <w:rsid w:val="004D0EFB"/>
    <w:rsid w:val="004D1096"/>
    <w:rsid w:val="004D1121"/>
    <w:rsid w:val="004D11D3"/>
    <w:rsid w:val="004D1325"/>
    <w:rsid w:val="004D1F73"/>
    <w:rsid w:val="004D22D5"/>
    <w:rsid w:val="004D26CF"/>
    <w:rsid w:val="004D2BFD"/>
    <w:rsid w:val="004D2E44"/>
    <w:rsid w:val="004D2EBC"/>
    <w:rsid w:val="004D352D"/>
    <w:rsid w:val="004D35A3"/>
    <w:rsid w:val="004D35FF"/>
    <w:rsid w:val="004D3841"/>
    <w:rsid w:val="004D39CC"/>
    <w:rsid w:val="004D3AD1"/>
    <w:rsid w:val="004D40B6"/>
    <w:rsid w:val="004D464A"/>
    <w:rsid w:val="004D46DD"/>
    <w:rsid w:val="004D473F"/>
    <w:rsid w:val="004D4D45"/>
    <w:rsid w:val="004D4F7D"/>
    <w:rsid w:val="004D510F"/>
    <w:rsid w:val="004D5190"/>
    <w:rsid w:val="004D52D9"/>
    <w:rsid w:val="004D61DE"/>
    <w:rsid w:val="004D65F1"/>
    <w:rsid w:val="004D6968"/>
    <w:rsid w:val="004D6A1A"/>
    <w:rsid w:val="004D7494"/>
    <w:rsid w:val="004D779C"/>
    <w:rsid w:val="004D78D7"/>
    <w:rsid w:val="004D794A"/>
    <w:rsid w:val="004D79A7"/>
    <w:rsid w:val="004D7C78"/>
    <w:rsid w:val="004D7ED0"/>
    <w:rsid w:val="004E0043"/>
    <w:rsid w:val="004E01B9"/>
    <w:rsid w:val="004E04AE"/>
    <w:rsid w:val="004E050E"/>
    <w:rsid w:val="004E07C2"/>
    <w:rsid w:val="004E07FA"/>
    <w:rsid w:val="004E0AAC"/>
    <w:rsid w:val="004E0C98"/>
    <w:rsid w:val="004E0FF2"/>
    <w:rsid w:val="004E1A4D"/>
    <w:rsid w:val="004E1B6E"/>
    <w:rsid w:val="004E1D25"/>
    <w:rsid w:val="004E2516"/>
    <w:rsid w:val="004E305A"/>
    <w:rsid w:val="004E30D8"/>
    <w:rsid w:val="004E333F"/>
    <w:rsid w:val="004E39EB"/>
    <w:rsid w:val="004E3A07"/>
    <w:rsid w:val="004E3ABF"/>
    <w:rsid w:val="004E3B5D"/>
    <w:rsid w:val="004E3BBA"/>
    <w:rsid w:val="004E3BF3"/>
    <w:rsid w:val="004E41DE"/>
    <w:rsid w:val="004E4307"/>
    <w:rsid w:val="004E45EC"/>
    <w:rsid w:val="004E517D"/>
    <w:rsid w:val="004E541B"/>
    <w:rsid w:val="004E55DC"/>
    <w:rsid w:val="004E58C1"/>
    <w:rsid w:val="004E62DD"/>
    <w:rsid w:val="004E650B"/>
    <w:rsid w:val="004E6608"/>
    <w:rsid w:val="004E6833"/>
    <w:rsid w:val="004E6A18"/>
    <w:rsid w:val="004E6AAF"/>
    <w:rsid w:val="004E70C0"/>
    <w:rsid w:val="004E72C6"/>
    <w:rsid w:val="004E7342"/>
    <w:rsid w:val="004E76C7"/>
    <w:rsid w:val="004E7DA6"/>
    <w:rsid w:val="004F0176"/>
    <w:rsid w:val="004F03CC"/>
    <w:rsid w:val="004F058C"/>
    <w:rsid w:val="004F0C3C"/>
    <w:rsid w:val="004F0D26"/>
    <w:rsid w:val="004F0F5D"/>
    <w:rsid w:val="004F1070"/>
    <w:rsid w:val="004F146A"/>
    <w:rsid w:val="004F1509"/>
    <w:rsid w:val="004F1FCF"/>
    <w:rsid w:val="004F245E"/>
    <w:rsid w:val="004F25D8"/>
    <w:rsid w:val="004F2B3A"/>
    <w:rsid w:val="004F2B60"/>
    <w:rsid w:val="004F2BEC"/>
    <w:rsid w:val="004F2DDC"/>
    <w:rsid w:val="004F2FD3"/>
    <w:rsid w:val="004F3275"/>
    <w:rsid w:val="004F3994"/>
    <w:rsid w:val="004F3D0A"/>
    <w:rsid w:val="004F3D8E"/>
    <w:rsid w:val="004F3DD7"/>
    <w:rsid w:val="004F3F13"/>
    <w:rsid w:val="004F4162"/>
    <w:rsid w:val="004F4C92"/>
    <w:rsid w:val="004F4D21"/>
    <w:rsid w:val="004F4DAE"/>
    <w:rsid w:val="004F530D"/>
    <w:rsid w:val="004F5544"/>
    <w:rsid w:val="004F58CC"/>
    <w:rsid w:val="004F59E6"/>
    <w:rsid w:val="004F5B2A"/>
    <w:rsid w:val="004F6188"/>
    <w:rsid w:val="004F63CE"/>
    <w:rsid w:val="004F6F81"/>
    <w:rsid w:val="004F727D"/>
    <w:rsid w:val="004F79C5"/>
    <w:rsid w:val="004F79F2"/>
    <w:rsid w:val="004F7F43"/>
    <w:rsid w:val="004F7F5B"/>
    <w:rsid w:val="00500031"/>
    <w:rsid w:val="00500072"/>
    <w:rsid w:val="005000B4"/>
    <w:rsid w:val="00500A56"/>
    <w:rsid w:val="00500CAD"/>
    <w:rsid w:val="00500FC0"/>
    <w:rsid w:val="005017D8"/>
    <w:rsid w:val="00501902"/>
    <w:rsid w:val="00501D72"/>
    <w:rsid w:val="00501DE2"/>
    <w:rsid w:val="005021CC"/>
    <w:rsid w:val="005022EA"/>
    <w:rsid w:val="0050237A"/>
    <w:rsid w:val="0050257B"/>
    <w:rsid w:val="00502BDC"/>
    <w:rsid w:val="00502DE0"/>
    <w:rsid w:val="00502E67"/>
    <w:rsid w:val="005033AE"/>
    <w:rsid w:val="0050382B"/>
    <w:rsid w:val="00503DEC"/>
    <w:rsid w:val="00503FC8"/>
    <w:rsid w:val="00504457"/>
    <w:rsid w:val="0050459E"/>
    <w:rsid w:val="005046CE"/>
    <w:rsid w:val="005047F5"/>
    <w:rsid w:val="00504955"/>
    <w:rsid w:val="005050DE"/>
    <w:rsid w:val="005051D4"/>
    <w:rsid w:val="005053BA"/>
    <w:rsid w:val="00505500"/>
    <w:rsid w:val="00505606"/>
    <w:rsid w:val="00505883"/>
    <w:rsid w:val="0050636C"/>
    <w:rsid w:val="0050656F"/>
    <w:rsid w:val="005065FD"/>
    <w:rsid w:val="00506B22"/>
    <w:rsid w:val="00506FAE"/>
    <w:rsid w:val="005071EE"/>
    <w:rsid w:val="0050731F"/>
    <w:rsid w:val="00507548"/>
    <w:rsid w:val="0050790F"/>
    <w:rsid w:val="005079A2"/>
    <w:rsid w:val="00507BBB"/>
    <w:rsid w:val="00507F27"/>
    <w:rsid w:val="0051000C"/>
    <w:rsid w:val="0051015E"/>
    <w:rsid w:val="0051023F"/>
    <w:rsid w:val="00510565"/>
    <w:rsid w:val="005107F4"/>
    <w:rsid w:val="00510CB0"/>
    <w:rsid w:val="00510DF2"/>
    <w:rsid w:val="00511247"/>
    <w:rsid w:val="005112A4"/>
    <w:rsid w:val="005112FB"/>
    <w:rsid w:val="0051154A"/>
    <w:rsid w:val="005117AE"/>
    <w:rsid w:val="005119AC"/>
    <w:rsid w:val="00511A81"/>
    <w:rsid w:val="00511AA8"/>
    <w:rsid w:val="00511D82"/>
    <w:rsid w:val="00511F59"/>
    <w:rsid w:val="00511F7C"/>
    <w:rsid w:val="00511FB7"/>
    <w:rsid w:val="0051211D"/>
    <w:rsid w:val="00512171"/>
    <w:rsid w:val="005123AA"/>
    <w:rsid w:val="0051266D"/>
    <w:rsid w:val="00512737"/>
    <w:rsid w:val="005127E3"/>
    <w:rsid w:val="00512A29"/>
    <w:rsid w:val="00512A72"/>
    <w:rsid w:val="00513476"/>
    <w:rsid w:val="0051391E"/>
    <w:rsid w:val="00513F6C"/>
    <w:rsid w:val="0051407B"/>
    <w:rsid w:val="0051432E"/>
    <w:rsid w:val="005144F2"/>
    <w:rsid w:val="00514C8A"/>
    <w:rsid w:val="00515003"/>
    <w:rsid w:val="00515157"/>
    <w:rsid w:val="005152DF"/>
    <w:rsid w:val="005153F9"/>
    <w:rsid w:val="005155D9"/>
    <w:rsid w:val="0051576E"/>
    <w:rsid w:val="00515A10"/>
    <w:rsid w:val="00515CFD"/>
    <w:rsid w:val="00516160"/>
    <w:rsid w:val="00516275"/>
    <w:rsid w:val="005162D1"/>
    <w:rsid w:val="00516350"/>
    <w:rsid w:val="0051640B"/>
    <w:rsid w:val="005167BA"/>
    <w:rsid w:val="00516B4E"/>
    <w:rsid w:val="00516EF4"/>
    <w:rsid w:val="00517113"/>
    <w:rsid w:val="00517183"/>
    <w:rsid w:val="005179AD"/>
    <w:rsid w:val="00517AF1"/>
    <w:rsid w:val="00517B0C"/>
    <w:rsid w:val="00517B38"/>
    <w:rsid w:val="005201CF"/>
    <w:rsid w:val="0052022C"/>
    <w:rsid w:val="005203A3"/>
    <w:rsid w:val="005203A8"/>
    <w:rsid w:val="00520402"/>
    <w:rsid w:val="00520460"/>
    <w:rsid w:val="00520688"/>
    <w:rsid w:val="005207C4"/>
    <w:rsid w:val="005209A1"/>
    <w:rsid w:val="00520BC7"/>
    <w:rsid w:val="00520CCB"/>
    <w:rsid w:val="00520E7D"/>
    <w:rsid w:val="00520EC6"/>
    <w:rsid w:val="00520FEE"/>
    <w:rsid w:val="00521585"/>
    <w:rsid w:val="00521A10"/>
    <w:rsid w:val="00521AA4"/>
    <w:rsid w:val="00521B17"/>
    <w:rsid w:val="00521FFF"/>
    <w:rsid w:val="0052201A"/>
    <w:rsid w:val="00522539"/>
    <w:rsid w:val="005227A1"/>
    <w:rsid w:val="00522896"/>
    <w:rsid w:val="00522C5E"/>
    <w:rsid w:val="00522F4D"/>
    <w:rsid w:val="00523016"/>
    <w:rsid w:val="0052328A"/>
    <w:rsid w:val="0052339D"/>
    <w:rsid w:val="005236CD"/>
    <w:rsid w:val="005236FC"/>
    <w:rsid w:val="00523882"/>
    <w:rsid w:val="0052398C"/>
    <w:rsid w:val="005239D8"/>
    <w:rsid w:val="00523ACB"/>
    <w:rsid w:val="00523DD4"/>
    <w:rsid w:val="00523F48"/>
    <w:rsid w:val="00524142"/>
    <w:rsid w:val="00524825"/>
    <w:rsid w:val="00525215"/>
    <w:rsid w:val="005254BB"/>
    <w:rsid w:val="005257E2"/>
    <w:rsid w:val="005258E6"/>
    <w:rsid w:val="00525A3B"/>
    <w:rsid w:val="00525BFA"/>
    <w:rsid w:val="00525F46"/>
    <w:rsid w:val="00525FD5"/>
    <w:rsid w:val="0052605B"/>
    <w:rsid w:val="00526088"/>
    <w:rsid w:val="005261BD"/>
    <w:rsid w:val="0052635B"/>
    <w:rsid w:val="0052643C"/>
    <w:rsid w:val="005266CE"/>
    <w:rsid w:val="005267C5"/>
    <w:rsid w:val="00526A2B"/>
    <w:rsid w:val="00526BAF"/>
    <w:rsid w:val="00526DC6"/>
    <w:rsid w:val="0052702B"/>
    <w:rsid w:val="005271DD"/>
    <w:rsid w:val="00527943"/>
    <w:rsid w:val="00527A68"/>
    <w:rsid w:val="00527B41"/>
    <w:rsid w:val="00527C5C"/>
    <w:rsid w:val="00527D8B"/>
    <w:rsid w:val="00527E90"/>
    <w:rsid w:val="00530339"/>
    <w:rsid w:val="00530399"/>
    <w:rsid w:val="00530B00"/>
    <w:rsid w:val="00530BC9"/>
    <w:rsid w:val="0053104B"/>
    <w:rsid w:val="00531259"/>
    <w:rsid w:val="005315C4"/>
    <w:rsid w:val="005316BF"/>
    <w:rsid w:val="005316EA"/>
    <w:rsid w:val="00531A35"/>
    <w:rsid w:val="00531AFC"/>
    <w:rsid w:val="00531E00"/>
    <w:rsid w:val="00532098"/>
    <w:rsid w:val="005320EF"/>
    <w:rsid w:val="0053212F"/>
    <w:rsid w:val="00532387"/>
    <w:rsid w:val="0053246C"/>
    <w:rsid w:val="0053255C"/>
    <w:rsid w:val="00532746"/>
    <w:rsid w:val="00532839"/>
    <w:rsid w:val="00532CE2"/>
    <w:rsid w:val="005331A3"/>
    <w:rsid w:val="00533425"/>
    <w:rsid w:val="00533450"/>
    <w:rsid w:val="005335BB"/>
    <w:rsid w:val="005335BF"/>
    <w:rsid w:val="005339C1"/>
    <w:rsid w:val="00533CA6"/>
    <w:rsid w:val="00533CF4"/>
    <w:rsid w:val="00534145"/>
    <w:rsid w:val="00534264"/>
    <w:rsid w:val="005342E6"/>
    <w:rsid w:val="0053457F"/>
    <w:rsid w:val="0053484F"/>
    <w:rsid w:val="00534A79"/>
    <w:rsid w:val="00535035"/>
    <w:rsid w:val="00535538"/>
    <w:rsid w:val="00535897"/>
    <w:rsid w:val="00535A7D"/>
    <w:rsid w:val="00535B55"/>
    <w:rsid w:val="00535CE6"/>
    <w:rsid w:val="00535E7D"/>
    <w:rsid w:val="00535F1B"/>
    <w:rsid w:val="00536042"/>
    <w:rsid w:val="00536059"/>
    <w:rsid w:val="005364A6"/>
    <w:rsid w:val="00536659"/>
    <w:rsid w:val="00536C98"/>
    <w:rsid w:val="00536D17"/>
    <w:rsid w:val="00536F1F"/>
    <w:rsid w:val="00536F42"/>
    <w:rsid w:val="00536F4C"/>
    <w:rsid w:val="00536F6B"/>
    <w:rsid w:val="00537872"/>
    <w:rsid w:val="00537999"/>
    <w:rsid w:val="00537BC2"/>
    <w:rsid w:val="0054009D"/>
    <w:rsid w:val="00540173"/>
    <w:rsid w:val="00540502"/>
    <w:rsid w:val="00540860"/>
    <w:rsid w:val="00540988"/>
    <w:rsid w:val="005409BE"/>
    <w:rsid w:val="00540D10"/>
    <w:rsid w:val="00540EA2"/>
    <w:rsid w:val="00540F7D"/>
    <w:rsid w:val="005412DF"/>
    <w:rsid w:val="005412E4"/>
    <w:rsid w:val="0054187F"/>
    <w:rsid w:val="00541E23"/>
    <w:rsid w:val="00541F8A"/>
    <w:rsid w:val="00542357"/>
    <w:rsid w:val="005424EE"/>
    <w:rsid w:val="00542B6D"/>
    <w:rsid w:val="00542D02"/>
    <w:rsid w:val="00542E7E"/>
    <w:rsid w:val="00542F2B"/>
    <w:rsid w:val="005433A5"/>
    <w:rsid w:val="00543443"/>
    <w:rsid w:val="00543476"/>
    <w:rsid w:val="00543D15"/>
    <w:rsid w:val="0054403A"/>
    <w:rsid w:val="00544692"/>
    <w:rsid w:val="00544D39"/>
    <w:rsid w:val="00544D44"/>
    <w:rsid w:val="00544DD1"/>
    <w:rsid w:val="00545608"/>
    <w:rsid w:val="00545828"/>
    <w:rsid w:val="00545B3F"/>
    <w:rsid w:val="00545BAE"/>
    <w:rsid w:val="00545BBD"/>
    <w:rsid w:val="00545F24"/>
    <w:rsid w:val="005462A7"/>
    <w:rsid w:val="005462C0"/>
    <w:rsid w:val="005465B2"/>
    <w:rsid w:val="0054672C"/>
    <w:rsid w:val="00546803"/>
    <w:rsid w:val="005468E3"/>
    <w:rsid w:val="00546B70"/>
    <w:rsid w:val="00547100"/>
    <w:rsid w:val="00547782"/>
    <w:rsid w:val="00547822"/>
    <w:rsid w:val="00547A83"/>
    <w:rsid w:val="00547BE3"/>
    <w:rsid w:val="00547E9A"/>
    <w:rsid w:val="0055015F"/>
    <w:rsid w:val="0055031D"/>
    <w:rsid w:val="005503D6"/>
    <w:rsid w:val="005506F8"/>
    <w:rsid w:val="00550A48"/>
    <w:rsid w:val="00550A7F"/>
    <w:rsid w:val="00550DE8"/>
    <w:rsid w:val="00550FAA"/>
    <w:rsid w:val="00551051"/>
    <w:rsid w:val="005510A9"/>
    <w:rsid w:val="005511C1"/>
    <w:rsid w:val="00551494"/>
    <w:rsid w:val="0055152D"/>
    <w:rsid w:val="005516AF"/>
    <w:rsid w:val="00551E40"/>
    <w:rsid w:val="005522CA"/>
    <w:rsid w:val="005524BF"/>
    <w:rsid w:val="005527EF"/>
    <w:rsid w:val="00552903"/>
    <w:rsid w:val="0055291B"/>
    <w:rsid w:val="005529BD"/>
    <w:rsid w:val="00552C32"/>
    <w:rsid w:val="0055313C"/>
    <w:rsid w:val="00553227"/>
    <w:rsid w:val="005538A1"/>
    <w:rsid w:val="00553AFF"/>
    <w:rsid w:val="00553B50"/>
    <w:rsid w:val="00553CAD"/>
    <w:rsid w:val="00553D77"/>
    <w:rsid w:val="005547F7"/>
    <w:rsid w:val="0055485F"/>
    <w:rsid w:val="00554DB7"/>
    <w:rsid w:val="00554E8B"/>
    <w:rsid w:val="00555045"/>
    <w:rsid w:val="00555250"/>
    <w:rsid w:val="005554C2"/>
    <w:rsid w:val="0055582B"/>
    <w:rsid w:val="00555A38"/>
    <w:rsid w:val="00555D68"/>
    <w:rsid w:val="00555E5D"/>
    <w:rsid w:val="0055667C"/>
    <w:rsid w:val="0055674E"/>
    <w:rsid w:val="00556C03"/>
    <w:rsid w:val="00556D8D"/>
    <w:rsid w:val="00556EF4"/>
    <w:rsid w:val="00556F03"/>
    <w:rsid w:val="00557938"/>
    <w:rsid w:val="005579F5"/>
    <w:rsid w:val="00557C7B"/>
    <w:rsid w:val="005600F7"/>
    <w:rsid w:val="0056015E"/>
    <w:rsid w:val="005601D5"/>
    <w:rsid w:val="00560355"/>
    <w:rsid w:val="005603BC"/>
    <w:rsid w:val="00560533"/>
    <w:rsid w:val="0056058E"/>
    <w:rsid w:val="005607B3"/>
    <w:rsid w:val="00560946"/>
    <w:rsid w:val="0056098E"/>
    <w:rsid w:val="00560CFA"/>
    <w:rsid w:val="00560D82"/>
    <w:rsid w:val="00560ED4"/>
    <w:rsid w:val="005616EE"/>
    <w:rsid w:val="00561F05"/>
    <w:rsid w:val="005622AD"/>
    <w:rsid w:val="00562332"/>
    <w:rsid w:val="005628F2"/>
    <w:rsid w:val="0056324B"/>
    <w:rsid w:val="00563291"/>
    <w:rsid w:val="00563316"/>
    <w:rsid w:val="00563E7E"/>
    <w:rsid w:val="00564174"/>
    <w:rsid w:val="0056420E"/>
    <w:rsid w:val="0056473B"/>
    <w:rsid w:val="005648A9"/>
    <w:rsid w:val="00564903"/>
    <w:rsid w:val="00564B12"/>
    <w:rsid w:val="00564B52"/>
    <w:rsid w:val="00564D0D"/>
    <w:rsid w:val="00564FA3"/>
    <w:rsid w:val="00564FF0"/>
    <w:rsid w:val="0056509C"/>
    <w:rsid w:val="0056521B"/>
    <w:rsid w:val="005652B4"/>
    <w:rsid w:val="00565362"/>
    <w:rsid w:val="005659FD"/>
    <w:rsid w:val="00565F76"/>
    <w:rsid w:val="0056630C"/>
    <w:rsid w:val="005664E3"/>
    <w:rsid w:val="005666B2"/>
    <w:rsid w:val="005668C7"/>
    <w:rsid w:val="00566969"/>
    <w:rsid w:val="005672A9"/>
    <w:rsid w:val="005673B8"/>
    <w:rsid w:val="005675B5"/>
    <w:rsid w:val="00567A6C"/>
    <w:rsid w:val="00567DFC"/>
    <w:rsid w:val="00567E0A"/>
    <w:rsid w:val="00567F80"/>
    <w:rsid w:val="0057000E"/>
    <w:rsid w:val="005700BB"/>
    <w:rsid w:val="005702A2"/>
    <w:rsid w:val="005702D4"/>
    <w:rsid w:val="00570366"/>
    <w:rsid w:val="00570463"/>
    <w:rsid w:val="00570B24"/>
    <w:rsid w:val="00570BCB"/>
    <w:rsid w:val="00570BFD"/>
    <w:rsid w:val="00570C2B"/>
    <w:rsid w:val="00570EB1"/>
    <w:rsid w:val="00571223"/>
    <w:rsid w:val="0057146C"/>
    <w:rsid w:val="00571580"/>
    <w:rsid w:val="0057180C"/>
    <w:rsid w:val="0057199D"/>
    <w:rsid w:val="00571CBF"/>
    <w:rsid w:val="005725EE"/>
    <w:rsid w:val="005727BE"/>
    <w:rsid w:val="005728A5"/>
    <w:rsid w:val="00572E64"/>
    <w:rsid w:val="00572FA9"/>
    <w:rsid w:val="005733C6"/>
    <w:rsid w:val="00573569"/>
    <w:rsid w:val="005735B4"/>
    <w:rsid w:val="0057374A"/>
    <w:rsid w:val="00573D15"/>
    <w:rsid w:val="00573DD2"/>
    <w:rsid w:val="00573EC5"/>
    <w:rsid w:val="00574058"/>
    <w:rsid w:val="0057408E"/>
    <w:rsid w:val="005741C2"/>
    <w:rsid w:val="0057433D"/>
    <w:rsid w:val="005744A9"/>
    <w:rsid w:val="005745E6"/>
    <w:rsid w:val="005746DD"/>
    <w:rsid w:val="00574B6D"/>
    <w:rsid w:val="0057528A"/>
    <w:rsid w:val="005754F3"/>
    <w:rsid w:val="0057568D"/>
    <w:rsid w:val="0057599E"/>
    <w:rsid w:val="00575BD4"/>
    <w:rsid w:val="00576769"/>
    <w:rsid w:val="005767C4"/>
    <w:rsid w:val="00576A18"/>
    <w:rsid w:val="00576AA7"/>
    <w:rsid w:val="00576E2D"/>
    <w:rsid w:val="00576E69"/>
    <w:rsid w:val="005771DC"/>
    <w:rsid w:val="00577250"/>
    <w:rsid w:val="0057740D"/>
    <w:rsid w:val="005775DC"/>
    <w:rsid w:val="00577E97"/>
    <w:rsid w:val="005802F5"/>
    <w:rsid w:val="005804F5"/>
    <w:rsid w:val="005805E5"/>
    <w:rsid w:val="0058079C"/>
    <w:rsid w:val="00580875"/>
    <w:rsid w:val="005809BC"/>
    <w:rsid w:val="00580EA5"/>
    <w:rsid w:val="005810DB"/>
    <w:rsid w:val="00581332"/>
    <w:rsid w:val="0058169D"/>
    <w:rsid w:val="005816B3"/>
    <w:rsid w:val="005816DA"/>
    <w:rsid w:val="00581840"/>
    <w:rsid w:val="00581B5C"/>
    <w:rsid w:val="00581EF8"/>
    <w:rsid w:val="005820F1"/>
    <w:rsid w:val="0058222C"/>
    <w:rsid w:val="0058271C"/>
    <w:rsid w:val="005828BA"/>
    <w:rsid w:val="00582A50"/>
    <w:rsid w:val="00582E49"/>
    <w:rsid w:val="00582F32"/>
    <w:rsid w:val="00583089"/>
    <w:rsid w:val="005834DA"/>
    <w:rsid w:val="00583CC8"/>
    <w:rsid w:val="00584034"/>
    <w:rsid w:val="005844F1"/>
    <w:rsid w:val="00584996"/>
    <w:rsid w:val="005851BF"/>
    <w:rsid w:val="0058536B"/>
    <w:rsid w:val="00585517"/>
    <w:rsid w:val="00585F7A"/>
    <w:rsid w:val="00586816"/>
    <w:rsid w:val="00586911"/>
    <w:rsid w:val="00586AD5"/>
    <w:rsid w:val="00586C6D"/>
    <w:rsid w:val="00587997"/>
    <w:rsid w:val="00587B6B"/>
    <w:rsid w:val="00587D76"/>
    <w:rsid w:val="005900DA"/>
    <w:rsid w:val="0059040C"/>
    <w:rsid w:val="0059074C"/>
    <w:rsid w:val="005908C3"/>
    <w:rsid w:val="00590C1D"/>
    <w:rsid w:val="00590C21"/>
    <w:rsid w:val="005911FA"/>
    <w:rsid w:val="00591639"/>
    <w:rsid w:val="0059173C"/>
    <w:rsid w:val="00591A97"/>
    <w:rsid w:val="00591C01"/>
    <w:rsid w:val="00592719"/>
    <w:rsid w:val="00592B96"/>
    <w:rsid w:val="00592D76"/>
    <w:rsid w:val="00592EC5"/>
    <w:rsid w:val="0059364B"/>
    <w:rsid w:val="0059376A"/>
    <w:rsid w:val="00593946"/>
    <w:rsid w:val="00593BE9"/>
    <w:rsid w:val="00594075"/>
    <w:rsid w:val="005946FB"/>
    <w:rsid w:val="00594749"/>
    <w:rsid w:val="00594B97"/>
    <w:rsid w:val="00594BD5"/>
    <w:rsid w:val="00594CA1"/>
    <w:rsid w:val="00594CE1"/>
    <w:rsid w:val="00594E31"/>
    <w:rsid w:val="00595212"/>
    <w:rsid w:val="00595319"/>
    <w:rsid w:val="005955BF"/>
    <w:rsid w:val="00595644"/>
    <w:rsid w:val="00595B4A"/>
    <w:rsid w:val="00595D71"/>
    <w:rsid w:val="00595F20"/>
    <w:rsid w:val="00596096"/>
    <w:rsid w:val="005960E4"/>
    <w:rsid w:val="0059661D"/>
    <w:rsid w:val="00596697"/>
    <w:rsid w:val="005974D4"/>
    <w:rsid w:val="00597B62"/>
    <w:rsid w:val="00597C74"/>
    <w:rsid w:val="00597D9A"/>
    <w:rsid w:val="005A0426"/>
    <w:rsid w:val="005A042B"/>
    <w:rsid w:val="005A058B"/>
    <w:rsid w:val="005A0CFF"/>
    <w:rsid w:val="005A0DF6"/>
    <w:rsid w:val="005A0EAD"/>
    <w:rsid w:val="005A131E"/>
    <w:rsid w:val="005A149C"/>
    <w:rsid w:val="005A16B4"/>
    <w:rsid w:val="005A1ABF"/>
    <w:rsid w:val="005A1B21"/>
    <w:rsid w:val="005A1EE0"/>
    <w:rsid w:val="005A1FB0"/>
    <w:rsid w:val="005A21AB"/>
    <w:rsid w:val="005A2411"/>
    <w:rsid w:val="005A2DBB"/>
    <w:rsid w:val="005A31AF"/>
    <w:rsid w:val="005A336F"/>
    <w:rsid w:val="005A3373"/>
    <w:rsid w:val="005A3E49"/>
    <w:rsid w:val="005A446B"/>
    <w:rsid w:val="005A46EC"/>
    <w:rsid w:val="005A4ADB"/>
    <w:rsid w:val="005A53B7"/>
    <w:rsid w:val="005A582E"/>
    <w:rsid w:val="005A5B31"/>
    <w:rsid w:val="005A5B33"/>
    <w:rsid w:val="005A6566"/>
    <w:rsid w:val="005A6948"/>
    <w:rsid w:val="005A69CB"/>
    <w:rsid w:val="005A6A20"/>
    <w:rsid w:val="005A6F30"/>
    <w:rsid w:val="005A7118"/>
    <w:rsid w:val="005A7146"/>
    <w:rsid w:val="005A7153"/>
    <w:rsid w:val="005A73C4"/>
    <w:rsid w:val="005A7B8D"/>
    <w:rsid w:val="005A7C10"/>
    <w:rsid w:val="005A7CE5"/>
    <w:rsid w:val="005A7D7C"/>
    <w:rsid w:val="005A7D88"/>
    <w:rsid w:val="005B008A"/>
    <w:rsid w:val="005B01E7"/>
    <w:rsid w:val="005B0605"/>
    <w:rsid w:val="005B0A84"/>
    <w:rsid w:val="005B1070"/>
    <w:rsid w:val="005B1515"/>
    <w:rsid w:val="005B188D"/>
    <w:rsid w:val="005B18DD"/>
    <w:rsid w:val="005B1972"/>
    <w:rsid w:val="005B1A53"/>
    <w:rsid w:val="005B1BAF"/>
    <w:rsid w:val="005B1F28"/>
    <w:rsid w:val="005B25AE"/>
    <w:rsid w:val="005B2A7B"/>
    <w:rsid w:val="005B2E36"/>
    <w:rsid w:val="005B2F2B"/>
    <w:rsid w:val="005B2FD9"/>
    <w:rsid w:val="005B323A"/>
    <w:rsid w:val="005B3A82"/>
    <w:rsid w:val="005B3D20"/>
    <w:rsid w:val="005B3E0A"/>
    <w:rsid w:val="005B4070"/>
    <w:rsid w:val="005B4093"/>
    <w:rsid w:val="005B46D8"/>
    <w:rsid w:val="005B4748"/>
    <w:rsid w:val="005B4A16"/>
    <w:rsid w:val="005B510E"/>
    <w:rsid w:val="005B5191"/>
    <w:rsid w:val="005B5466"/>
    <w:rsid w:val="005B559B"/>
    <w:rsid w:val="005B5BF0"/>
    <w:rsid w:val="005B5C6D"/>
    <w:rsid w:val="005B5D62"/>
    <w:rsid w:val="005B5F2C"/>
    <w:rsid w:val="005B6047"/>
    <w:rsid w:val="005B61E2"/>
    <w:rsid w:val="005B64F7"/>
    <w:rsid w:val="005B6CAB"/>
    <w:rsid w:val="005B6E1F"/>
    <w:rsid w:val="005B73FA"/>
    <w:rsid w:val="005B7851"/>
    <w:rsid w:val="005B7D19"/>
    <w:rsid w:val="005C060E"/>
    <w:rsid w:val="005C071E"/>
    <w:rsid w:val="005C08C4"/>
    <w:rsid w:val="005C09DD"/>
    <w:rsid w:val="005C0A54"/>
    <w:rsid w:val="005C0C9A"/>
    <w:rsid w:val="005C188C"/>
    <w:rsid w:val="005C1922"/>
    <w:rsid w:val="005C1CAC"/>
    <w:rsid w:val="005C1E1F"/>
    <w:rsid w:val="005C23EE"/>
    <w:rsid w:val="005C2EB2"/>
    <w:rsid w:val="005C317B"/>
    <w:rsid w:val="005C32E9"/>
    <w:rsid w:val="005C3448"/>
    <w:rsid w:val="005C3CFE"/>
    <w:rsid w:val="005C3D87"/>
    <w:rsid w:val="005C3DCD"/>
    <w:rsid w:val="005C3EC5"/>
    <w:rsid w:val="005C3EEA"/>
    <w:rsid w:val="005C484E"/>
    <w:rsid w:val="005C51CD"/>
    <w:rsid w:val="005C52B4"/>
    <w:rsid w:val="005C560D"/>
    <w:rsid w:val="005C5672"/>
    <w:rsid w:val="005C5726"/>
    <w:rsid w:val="005C5ABB"/>
    <w:rsid w:val="005C5E89"/>
    <w:rsid w:val="005C614B"/>
    <w:rsid w:val="005C6532"/>
    <w:rsid w:val="005C6756"/>
    <w:rsid w:val="005C759E"/>
    <w:rsid w:val="005C775B"/>
    <w:rsid w:val="005C7F2E"/>
    <w:rsid w:val="005D06CE"/>
    <w:rsid w:val="005D09F4"/>
    <w:rsid w:val="005D0C6C"/>
    <w:rsid w:val="005D0FDD"/>
    <w:rsid w:val="005D11B3"/>
    <w:rsid w:val="005D12F2"/>
    <w:rsid w:val="005D14A3"/>
    <w:rsid w:val="005D14C2"/>
    <w:rsid w:val="005D1597"/>
    <w:rsid w:val="005D1692"/>
    <w:rsid w:val="005D2150"/>
    <w:rsid w:val="005D2229"/>
    <w:rsid w:val="005D2348"/>
    <w:rsid w:val="005D2753"/>
    <w:rsid w:val="005D27D4"/>
    <w:rsid w:val="005D293F"/>
    <w:rsid w:val="005D2AF7"/>
    <w:rsid w:val="005D2B4F"/>
    <w:rsid w:val="005D2BE2"/>
    <w:rsid w:val="005D2CA9"/>
    <w:rsid w:val="005D2E07"/>
    <w:rsid w:val="005D2E93"/>
    <w:rsid w:val="005D340D"/>
    <w:rsid w:val="005D3A83"/>
    <w:rsid w:val="005D3DA4"/>
    <w:rsid w:val="005D3E72"/>
    <w:rsid w:val="005D405F"/>
    <w:rsid w:val="005D4063"/>
    <w:rsid w:val="005D412A"/>
    <w:rsid w:val="005D42DB"/>
    <w:rsid w:val="005D44E2"/>
    <w:rsid w:val="005D4823"/>
    <w:rsid w:val="005D4AC5"/>
    <w:rsid w:val="005D4FB0"/>
    <w:rsid w:val="005D50E3"/>
    <w:rsid w:val="005D510D"/>
    <w:rsid w:val="005D54A2"/>
    <w:rsid w:val="005D564B"/>
    <w:rsid w:val="005D572E"/>
    <w:rsid w:val="005D57FF"/>
    <w:rsid w:val="005D5B0F"/>
    <w:rsid w:val="005D5DD0"/>
    <w:rsid w:val="005D5DFF"/>
    <w:rsid w:val="005D5F40"/>
    <w:rsid w:val="005D6440"/>
    <w:rsid w:val="005D6630"/>
    <w:rsid w:val="005D688A"/>
    <w:rsid w:val="005D6B62"/>
    <w:rsid w:val="005D6F4B"/>
    <w:rsid w:val="005D6FA2"/>
    <w:rsid w:val="005D6FFA"/>
    <w:rsid w:val="005D70D1"/>
    <w:rsid w:val="005D712C"/>
    <w:rsid w:val="005D7878"/>
    <w:rsid w:val="005D78F6"/>
    <w:rsid w:val="005D7AF1"/>
    <w:rsid w:val="005D7D84"/>
    <w:rsid w:val="005D7F6A"/>
    <w:rsid w:val="005E0092"/>
    <w:rsid w:val="005E0329"/>
    <w:rsid w:val="005E054D"/>
    <w:rsid w:val="005E05C6"/>
    <w:rsid w:val="005E0724"/>
    <w:rsid w:val="005E0829"/>
    <w:rsid w:val="005E09F5"/>
    <w:rsid w:val="005E0AE1"/>
    <w:rsid w:val="005E0B86"/>
    <w:rsid w:val="005E0BEB"/>
    <w:rsid w:val="005E104B"/>
    <w:rsid w:val="005E11DE"/>
    <w:rsid w:val="005E1766"/>
    <w:rsid w:val="005E1A27"/>
    <w:rsid w:val="005E1A47"/>
    <w:rsid w:val="005E1AC4"/>
    <w:rsid w:val="005E1AE6"/>
    <w:rsid w:val="005E1C65"/>
    <w:rsid w:val="005E1F96"/>
    <w:rsid w:val="005E2359"/>
    <w:rsid w:val="005E235C"/>
    <w:rsid w:val="005E23A2"/>
    <w:rsid w:val="005E24B5"/>
    <w:rsid w:val="005E25E7"/>
    <w:rsid w:val="005E275B"/>
    <w:rsid w:val="005E2BDD"/>
    <w:rsid w:val="005E2EEF"/>
    <w:rsid w:val="005E31A5"/>
    <w:rsid w:val="005E32A5"/>
    <w:rsid w:val="005E333B"/>
    <w:rsid w:val="005E380F"/>
    <w:rsid w:val="005E3C40"/>
    <w:rsid w:val="005E4302"/>
    <w:rsid w:val="005E479F"/>
    <w:rsid w:val="005E4A43"/>
    <w:rsid w:val="005E4BED"/>
    <w:rsid w:val="005E4ED1"/>
    <w:rsid w:val="005E52A0"/>
    <w:rsid w:val="005E53C9"/>
    <w:rsid w:val="005E572C"/>
    <w:rsid w:val="005E5ABB"/>
    <w:rsid w:val="005E5BC2"/>
    <w:rsid w:val="005E5E47"/>
    <w:rsid w:val="005E609B"/>
    <w:rsid w:val="005E650B"/>
    <w:rsid w:val="005E66BF"/>
    <w:rsid w:val="005E6C27"/>
    <w:rsid w:val="005E6C6B"/>
    <w:rsid w:val="005E6D30"/>
    <w:rsid w:val="005E6E1A"/>
    <w:rsid w:val="005E6E45"/>
    <w:rsid w:val="005E74D0"/>
    <w:rsid w:val="005E7552"/>
    <w:rsid w:val="005E7637"/>
    <w:rsid w:val="005E77DD"/>
    <w:rsid w:val="005E7810"/>
    <w:rsid w:val="005E7952"/>
    <w:rsid w:val="005F00F6"/>
    <w:rsid w:val="005F06F6"/>
    <w:rsid w:val="005F0A2A"/>
    <w:rsid w:val="005F0A46"/>
    <w:rsid w:val="005F0F12"/>
    <w:rsid w:val="005F12C5"/>
    <w:rsid w:val="005F1386"/>
    <w:rsid w:val="005F148C"/>
    <w:rsid w:val="005F154A"/>
    <w:rsid w:val="005F15D7"/>
    <w:rsid w:val="005F1634"/>
    <w:rsid w:val="005F1AC0"/>
    <w:rsid w:val="005F1B40"/>
    <w:rsid w:val="005F1C02"/>
    <w:rsid w:val="005F1EB6"/>
    <w:rsid w:val="005F2163"/>
    <w:rsid w:val="005F22B9"/>
    <w:rsid w:val="005F2313"/>
    <w:rsid w:val="005F2407"/>
    <w:rsid w:val="005F284F"/>
    <w:rsid w:val="005F2B48"/>
    <w:rsid w:val="005F2E20"/>
    <w:rsid w:val="005F2E36"/>
    <w:rsid w:val="005F2EAB"/>
    <w:rsid w:val="005F31DE"/>
    <w:rsid w:val="005F32E9"/>
    <w:rsid w:val="005F32FD"/>
    <w:rsid w:val="005F39ED"/>
    <w:rsid w:val="005F3A52"/>
    <w:rsid w:val="005F3BA9"/>
    <w:rsid w:val="005F3DF5"/>
    <w:rsid w:val="005F42A4"/>
    <w:rsid w:val="005F444E"/>
    <w:rsid w:val="005F475A"/>
    <w:rsid w:val="005F4AB9"/>
    <w:rsid w:val="005F4C6A"/>
    <w:rsid w:val="005F5039"/>
    <w:rsid w:val="005F523D"/>
    <w:rsid w:val="005F55BF"/>
    <w:rsid w:val="005F5A91"/>
    <w:rsid w:val="005F5B5C"/>
    <w:rsid w:val="005F5DC1"/>
    <w:rsid w:val="005F5E98"/>
    <w:rsid w:val="005F607B"/>
    <w:rsid w:val="005F6407"/>
    <w:rsid w:val="005F66EA"/>
    <w:rsid w:val="005F6EEC"/>
    <w:rsid w:val="005F7034"/>
    <w:rsid w:val="005F72DB"/>
    <w:rsid w:val="005F77D3"/>
    <w:rsid w:val="005F79BA"/>
    <w:rsid w:val="005F7E0C"/>
    <w:rsid w:val="005F7FB9"/>
    <w:rsid w:val="006008DB"/>
    <w:rsid w:val="00600981"/>
    <w:rsid w:val="00600A15"/>
    <w:rsid w:val="00600CE4"/>
    <w:rsid w:val="00600EC8"/>
    <w:rsid w:val="006010E1"/>
    <w:rsid w:val="006011AC"/>
    <w:rsid w:val="0060124B"/>
    <w:rsid w:val="0060130D"/>
    <w:rsid w:val="00601ADF"/>
    <w:rsid w:val="00601B51"/>
    <w:rsid w:val="00601DE2"/>
    <w:rsid w:val="00601FBD"/>
    <w:rsid w:val="00602216"/>
    <w:rsid w:val="0060228F"/>
    <w:rsid w:val="0060233C"/>
    <w:rsid w:val="006026B8"/>
    <w:rsid w:val="006028B8"/>
    <w:rsid w:val="00602D12"/>
    <w:rsid w:val="00603154"/>
    <w:rsid w:val="0060325F"/>
    <w:rsid w:val="006032A8"/>
    <w:rsid w:val="0060335C"/>
    <w:rsid w:val="006036A4"/>
    <w:rsid w:val="006039F5"/>
    <w:rsid w:val="00603B6C"/>
    <w:rsid w:val="0060418C"/>
    <w:rsid w:val="0060432B"/>
    <w:rsid w:val="006043DD"/>
    <w:rsid w:val="0060466A"/>
    <w:rsid w:val="00604BEC"/>
    <w:rsid w:val="00604E5D"/>
    <w:rsid w:val="006050C9"/>
    <w:rsid w:val="00605253"/>
    <w:rsid w:val="00605420"/>
    <w:rsid w:val="00605595"/>
    <w:rsid w:val="00605810"/>
    <w:rsid w:val="00605C80"/>
    <w:rsid w:val="00605E25"/>
    <w:rsid w:val="00606206"/>
    <w:rsid w:val="0060622F"/>
    <w:rsid w:val="00606592"/>
    <w:rsid w:val="00606AAB"/>
    <w:rsid w:val="00606AD8"/>
    <w:rsid w:val="00606C0D"/>
    <w:rsid w:val="00606CE5"/>
    <w:rsid w:val="00607BB6"/>
    <w:rsid w:val="00607C8A"/>
    <w:rsid w:val="00607F2A"/>
    <w:rsid w:val="00610007"/>
    <w:rsid w:val="0061012B"/>
    <w:rsid w:val="00610253"/>
    <w:rsid w:val="00610853"/>
    <w:rsid w:val="006108E3"/>
    <w:rsid w:val="00610E07"/>
    <w:rsid w:val="006113D1"/>
    <w:rsid w:val="006115E2"/>
    <w:rsid w:val="006119E1"/>
    <w:rsid w:val="00611A4D"/>
    <w:rsid w:val="00611E40"/>
    <w:rsid w:val="006120D9"/>
    <w:rsid w:val="00612369"/>
    <w:rsid w:val="00612492"/>
    <w:rsid w:val="00612525"/>
    <w:rsid w:val="006128EF"/>
    <w:rsid w:val="00612CE6"/>
    <w:rsid w:val="00612D46"/>
    <w:rsid w:val="00612E81"/>
    <w:rsid w:val="00612F85"/>
    <w:rsid w:val="00612FCB"/>
    <w:rsid w:val="00613139"/>
    <w:rsid w:val="00613218"/>
    <w:rsid w:val="00613376"/>
    <w:rsid w:val="0061353C"/>
    <w:rsid w:val="00613669"/>
    <w:rsid w:val="00613743"/>
    <w:rsid w:val="0061391D"/>
    <w:rsid w:val="00613A50"/>
    <w:rsid w:val="006146FD"/>
    <w:rsid w:val="00614967"/>
    <w:rsid w:val="00614A59"/>
    <w:rsid w:val="00614C0D"/>
    <w:rsid w:val="00614C7F"/>
    <w:rsid w:val="0061506C"/>
    <w:rsid w:val="0061542A"/>
    <w:rsid w:val="006156D1"/>
    <w:rsid w:val="006159A6"/>
    <w:rsid w:val="00615C3C"/>
    <w:rsid w:val="00616293"/>
    <w:rsid w:val="00616376"/>
    <w:rsid w:val="006164F5"/>
    <w:rsid w:val="00616664"/>
    <w:rsid w:val="00616885"/>
    <w:rsid w:val="006168B0"/>
    <w:rsid w:val="00617084"/>
    <w:rsid w:val="0061738A"/>
    <w:rsid w:val="00617599"/>
    <w:rsid w:val="006175B3"/>
    <w:rsid w:val="00617BBA"/>
    <w:rsid w:val="00617C3B"/>
    <w:rsid w:val="00617DE9"/>
    <w:rsid w:val="00620881"/>
    <w:rsid w:val="0062093A"/>
    <w:rsid w:val="00620977"/>
    <w:rsid w:val="006210BB"/>
    <w:rsid w:val="00621815"/>
    <w:rsid w:val="00621AE9"/>
    <w:rsid w:val="00621B9C"/>
    <w:rsid w:val="00621D83"/>
    <w:rsid w:val="00622052"/>
    <w:rsid w:val="00622136"/>
    <w:rsid w:val="006221B0"/>
    <w:rsid w:val="00622255"/>
    <w:rsid w:val="006222C9"/>
    <w:rsid w:val="0062265C"/>
    <w:rsid w:val="00622680"/>
    <w:rsid w:val="00622A3D"/>
    <w:rsid w:val="00622A85"/>
    <w:rsid w:val="00622DAA"/>
    <w:rsid w:val="00622FBD"/>
    <w:rsid w:val="00623071"/>
    <w:rsid w:val="006230A5"/>
    <w:rsid w:val="00623207"/>
    <w:rsid w:val="006232DA"/>
    <w:rsid w:val="006232F2"/>
    <w:rsid w:val="006235F7"/>
    <w:rsid w:val="006235FC"/>
    <w:rsid w:val="0062370B"/>
    <w:rsid w:val="00623798"/>
    <w:rsid w:val="00623BD3"/>
    <w:rsid w:val="00623DA9"/>
    <w:rsid w:val="00623FB2"/>
    <w:rsid w:val="00624783"/>
    <w:rsid w:val="006247EA"/>
    <w:rsid w:val="006249D8"/>
    <w:rsid w:val="00624B0C"/>
    <w:rsid w:val="00624C12"/>
    <w:rsid w:val="00624D75"/>
    <w:rsid w:val="00625169"/>
    <w:rsid w:val="00625246"/>
    <w:rsid w:val="006256C0"/>
    <w:rsid w:val="00625915"/>
    <w:rsid w:val="0062595C"/>
    <w:rsid w:val="00625EA5"/>
    <w:rsid w:val="006260B8"/>
    <w:rsid w:val="00626687"/>
    <w:rsid w:val="006267CC"/>
    <w:rsid w:val="00626956"/>
    <w:rsid w:val="00626968"/>
    <w:rsid w:val="00626A8C"/>
    <w:rsid w:val="00626B10"/>
    <w:rsid w:val="00626BA8"/>
    <w:rsid w:val="00626F90"/>
    <w:rsid w:val="006270E8"/>
    <w:rsid w:val="006271CF"/>
    <w:rsid w:val="00627992"/>
    <w:rsid w:val="00627A8A"/>
    <w:rsid w:val="00627C92"/>
    <w:rsid w:val="00627D3E"/>
    <w:rsid w:val="00627D51"/>
    <w:rsid w:val="00627F3B"/>
    <w:rsid w:val="00630382"/>
    <w:rsid w:val="00630411"/>
    <w:rsid w:val="0063057D"/>
    <w:rsid w:val="006311D4"/>
    <w:rsid w:val="006312C9"/>
    <w:rsid w:val="006313A1"/>
    <w:rsid w:val="00631514"/>
    <w:rsid w:val="006315E9"/>
    <w:rsid w:val="00631674"/>
    <w:rsid w:val="00631772"/>
    <w:rsid w:val="00631955"/>
    <w:rsid w:val="006319E9"/>
    <w:rsid w:val="00631F13"/>
    <w:rsid w:val="00631FD1"/>
    <w:rsid w:val="00632453"/>
    <w:rsid w:val="00632819"/>
    <w:rsid w:val="006328CF"/>
    <w:rsid w:val="006329A7"/>
    <w:rsid w:val="00632A47"/>
    <w:rsid w:val="00632B45"/>
    <w:rsid w:val="00633283"/>
    <w:rsid w:val="0063340C"/>
    <w:rsid w:val="00633729"/>
    <w:rsid w:val="006338E4"/>
    <w:rsid w:val="00633B34"/>
    <w:rsid w:val="00633CDE"/>
    <w:rsid w:val="00633EC1"/>
    <w:rsid w:val="00633F99"/>
    <w:rsid w:val="00634051"/>
    <w:rsid w:val="0063453A"/>
    <w:rsid w:val="00634AAC"/>
    <w:rsid w:val="00634CFA"/>
    <w:rsid w:val="0063511A"/>
    <w:rsid w:val="006357BD"/>
    <w:rsid w:val="006359B6"/>
    <w:rsid w:val="00635B00"/>
    <w:rsid w:val="00635CC7"/>
    <w:rsid w:val="00635EB8"/>
    <w:rsid w:val="00635F3A"/>
    <w:rsid w:val="00635FAB"/>
    <w:rsid w:val="006362C6"/>
    <w:rsid w:val="00636317"/>
    <w:rsid w:val="00636321"/>
    <w:rsid w:val="0063646D"/>
    <w:rsid w:val="006364DB"/>
    <w:rsid w:val="00636A99"/>
    <w:rsid w:val="00637945"/>
    <w:rsid w:val="00637A62"/>
    <w:rsid w:val="00637A88"/>
    <w:rsid w:val="00637B96"/>
    <w:rsid w:val="00637BAC"/>
    <w:rsid w:val="00640159"/>
    <w:rsid w:val="0064022E"/>
    <w:rsid w:val="00640346"/>
    <w:rsid w:val="00640482"/>
    <w:rsid w:val="00640585"/>
    <w:rsid w:val="00640DEF"/>
    <w:rsid w:val="00640E99"/>
    <w:rsid w:val="0064197E"/>
    <w:rsid w:val="00641ADA"/>
    <w:rsid w:val="00641CB7"/>
    <w:rsid w:val="00641CFF"/>
    <w:rsid w:val="00641D17"/>
    <w:rsid w:val="00641D9A"/>
    <w:rsid w:val="0064287F"/>
    <w:rsid w:val="006428B8"/>
    <w:rsid w:val="00642C19"/>
    <w:rsid w:val="00642E03"/>
    <w:rsid w:val="00642E26"/>
    <w:rsid w:val="00642F87"/>
    <w:rsid w:val="00643510"/>
    <w:rsid w:val="00643A7A"/>
    <w:rsid w:val="00643B63"/>
    <w:rsid w:val="00643F6F"/>
    <w:rsid w:val="0064419F"/>
    <w:rsid w:val="006446A2"/>
    <w:rsid w:val="006448FD"/>
    <w:rsid w:val="00644C87"/>
    <w:rsid w:val="00645052"/>
    <w:rsid w:val="006456F5"/>
    <w:rsid w:val="006457B6"/>
    <w:rsid w:val="00645A73"/>
    <w:rsid w:val="00645BF6"/>
    <w:rsid w:val="00645ED3"/>
    <w:rsid w:val="006460B7"/>
    <w:rsid w:val="00646363"/>
    <w:rsid w:val="006464C8"/>
    <w:rsid w:val="0064654C"/>
    <w:rsid w:val="006469C4"/>
    <w:rsid w:val="006469F0"/>
    <w:rsid w:val="00646A26"/>
    <w:rsid w:val="00646A78"/>
    <w:rsid w:val="00646E0A"/>
    <w:rsid w:val="00646F5E"/>
    <w:rsid w:val="0064704A"/>
    <w:rsid w:val="00647442"/>
    <w:rsid w:val="006474F8"/>
    <w:rsid w:val="00647648"/>
    <w:rsid w:val="006478E7"/>
    <w:rsid w:val="00647E68"/>
    <w:rsid w:val="00650128"/>
    <w:rsid w:val="006502BE"/>
    <w:rsid w:val="00650639"/>
    <w:rsid w:val="006508BD"/>
    <w:rsid w:val="00650B26"/>
    <w:rsid w:val="00650CEE"/>
    <w:rsid w:val="006510D1"/>
    <w:rsid w:val="00651255"/>
    <w:rsid w:val="0065153F"/>
    <w:rsid w:val="00651616"/>
    <w:rsid w:val="00651AE9"/>
    <w:rsid w:val="00651FB2"/>
    <w:rsid w:val="0065205D"/>
    <w:rsid w:val="006522F1"/>
    <w:rsid w:val="006524AE"/>
    <w:rsid w:val="006525CF"/>
    <w:rsid w:val="006526DC"/>
    <w:rsid w:val="00652787"/>
    <w:rsid w:val="0065289A"/>
    <w:rsid w:val="0065294E"/>
    <w:rsid w:val="00652E9C"/>
    <w:rsid w:val="00653298"/>
    <w:rsid w:val="006538F8"/>
    <w:rsid w:val="00654944"/>
    <w:rsid w:val="00654A3D"/>
    <w:rsid w:val="00654BE6"/>
    <w:rsid w:val="00654E2A"/>
    <w:rsid w:val="00655130"/>
    <w:rsid w:val="00655269"/>
    <w:rsid w:val="0065530A"/>
    <w:rsid w:val="00655667"/>
    <w:rsid w:val="006556BF"/>
    <w:rsid w:val="0065570E"/>
    <w:rsid w:val="00655B4A"/>
    <w:rsid w:val="00655B4E"/>
    <w:rsid w:val="00655E56"/>
    <w:rsid w:val="00655F3F"/>
    <w:rsid w:val="00656751"/>
    <w:rsid w:val="00656800"/>
    <w:rsid w:val="00656A10"/>
    <w:rsid w:val="00656AE1"/>
    <w:rsid w:val="00656C3F"/>
    <w:rsid w:val="00656FED"/>
    <w:rsid w:val="00657811"/>
    <w:rsid w:val="00657ACB"/>
    <w:rsid w:val="00657F1E"/>
    <w:rsid w:val="00657F2F"/>
    <w:rsid w:val="00660063"/>
    <w:rsid w:val="00660219"/>
    <w:rsid w:val="00660344"/>
    <w:rsid w:val="006603A6"/>
    <w:rsid w:val="006604ED"/>
    <w:rsid w:val="00660609"/>
    <w:rsid w:val="00660D3B"/>
    <w:rsid w:val="0066106F"/>
    <w:rsid w:val="006611C3"/>
    <w:rsid w:val="006615CD"/>
    <w:rsid w:val="0066162A"/>
    <w:rsid w:val="006617B1"/>
    <w:rsid w:val="006618A1"/>
    <w:rsid w:val="006620E1"/>
    <w:rsid w:val="0066218F"/>
    <w:rsid w:val="006621C9"/>
    <w:rsid w:val="0066230F"/>
    <w:rsid w:val="00662450"/>
    <w:rsid w:val="006625D2"/>
    <w:rsid w:val="0066261B"/>
    <w:rsid w:val="0066275C"/>
    <w:rsid w:val="006627A3"/>
    <w:rsid w:val="00662CD2"/>
    <w:rsid w:val="00662D8B"/>
    <w:rsid w:val="00663056"/>
    <w:rsid w:val="006632EA"/>
    <w:rsid w:val="006633B1"/>
    <w:rsid w:val="006638EF"/>
    <w:rsid w:val="00663984"/>
    <w:rsid w:val="00663BAD"/>
    <w:rsid w:val="00663D98"/>
    <w:rsid w:val="00664072"/>
    <w:rsid w:val="006643E1"/>
    <w:rsid w:val="0066483C"/>
    <w:rsid w:val="006648E8"/>
    <w:rsid w:val="00664903"/>
    <w:rsid w:val="00664C2B"/>
    <w:rsid w:val="00664EE2"/>
    <w:rsid w:val="00664F0E"/>
    <w:rsid w:val="0066525E"/>
    <w:rsid w:val="0066530C"/>
    <w:rsid w:val="006653D9"/>
    <w:rsid w:val="00665647"/>
    <w:rsid w:val="00665690"/>
    <w:rsid w:val="00665CAE"/>
    <w:rsid w:val="00665E18"/>
    <w:rsid w:val="00666A19"/>
    <w:rsid w:val="00666F02"/>
    <w:rsid w:val="00666F32"/>
    <w:rsid w:val="006672AE"/>
    <w:rsid w:val="00667784"/>
    <w:rsid w:val="00667BE4"/>
    <w:rsid w:val="00670482"/>
    <w:rsid w:val="00670959"/>
    <w:rsid w:val="00670DF8"/>
    <w:rsid w:val="00670FF3"/>
    <w:rsid w:val="00671002"/>
    <w:rsid w:val="0067105D"/>
    <w:rsid w:val="0067117E"/>
    <w:rsid w:val="0067138B"/>
    <w:rsid w:val="00671738"/>
    <w:rsid w:val="006719DE"/>
    <w:rsid w:val="00671BFC"/>
    <w:rsid w:val="00671DE0"/>
    <w:rsid w:val="00671E7E"/>
    <w:rsid w:val="00672069"/>
    <w:rsid w:val="00672588"/>
    <w:rsid w:val="006727A4"/>
    <w:rsid w:val="006729C2"/>
    <w:rsid w:val="00672C6E"/>
    <w:rsid w:val="0067304E"/>
    <w:rsid w:val="0067334D"/>
    <w:rsid w:val="00673BC4"/>
    <w:rsid w:val="00673F4B"/>
    <w:rsid w:val="006741B9"/>
    <w:rsid w:val="0067437F"/>
    <w:rsid w:val="006745CC"/>
    <w:rsid w:val="006746A4"/>
    <w:rsid w:val="0067477A"/>
    <w:rsid w:val="00674B14"/>
    <w:rsid w:val="00674D72"/>
    <w:rsid w:val="00674DCB"/>
    <w:rsid w:val="0067533E"/>
    <w:rsid w:val="00675606"/>
    <w:rsid w:val="006756D6"/>
    <w:rsid w:val="0067598C"/>
    <w:rsid w:val="006759CC"/>
    <w:rsid w:val="00675D64"/>
    <w:rsid w:val="0067610F"/>
    <w:rsid w:val="0067627C"/>
    <w:rsid w:val="006762AC"/>
    <w:rsid w:val="00676401"/>
    <w:rsid w:val="0067641B"/>
    <w:rsid w:val="006766A7"/>
    <w:rsid w:val="00676755"/>
    <w:rsid w:val="0067681F"/>
    <w:rsid w:val="006768AE"/>
    <w:rsid w:val="00676A92"/>
    <w:rsid w:val="00676A9C"/>
    <w:rsid w:val="00676B2C"/>
    <w:rsid w:val="00676E12"/>
    <w:rsid w:val="00676E17"/>
    <w:rsid w:val="00676E4D"/>
    <w:rsid w:val="00676E9F"/>
    <w:rsid w:val="00676F20"/>
    <w:rsid w:val="00677122"/>
    <w:rsid w:val="00677236"/>
    <w:rsid w:val="00677503"/>
    <w:rsid w:val="006776B6"/>
    <w:rsid w:val="00677971"/>
    <w:rsid w:val="00677AE3"/>
    <w:rsid w:val="00677B95"/>
    <w:rsid w:val="00677CD2"/>
    <w:rsid w:val="00677D61"/>
    <w:rsid w:val="0068005A"/>
    <w:rsid w:val="00680172"/>
    <w:rsid w:val="00681021"/>
    <w:rsid w:val="006810A7"/>
    <w:rsid w:val="006815DF"/>
    <w:rsid w:val="00681B23"/>
    <w:rsid w:val="0068256E"/>
    <w:rsid w:val="00682AA6"/>
    <w:rsid w:val="00682B64"/>
    <w:rsid w:val="00682CAD"/>
    <w:rsid w:val="00682D6F"/>
    <w:rsid w:val="00682EE5"/>
    <w:rsid w:val="006833E4"/>
    <w:rsid w:val="006836BE"/>
    <w:rsid w:val="00683750"/>
    <w:rsid w:val="00683E08"/>
    <w:rsid w:val="00683FCC"/>
    <w:rsid w:val="006842F8"/>
    <w:rsid w:val="006845A1"/>
    <w:rsid w:val="006846A8"/>
    <w:rsid w:val="0068492E"/>
    <w:rsid w:val="00684BC0"/>
    <w:rsid w:val="00684CC0"/>
    <w:rsid w:val="00684FAC"/>
    <w:rsid w:val="00684FDE"/>
    <w:rsid w:val="0068512C"/>
    <w:rsid w:val="00685195"/>
    <w:rsid w:val="00685355"/>
    <w:rsid w:val="0068552F"/>
    <w:rsid w:val="00685574"/>
    <w:rsid w:val="006855AA"/>
    <w:rsid w:val="0068569E"/>
    <w:rsid w:val="006856D1"/>
    <w:rsid w:val="00685A58"/>
    <w:rsid w:val="00685A90"/>
    <w:rsid w:val="00686008"/>
    <w:rsid w:val="00686565"/>
    <w:rsid w:val="006866C9"/>
    <w:rsid w:val="00686841"/>
    <w:rsid w:val="00686C84"/>
    <w:rsid w:val="00686D15"/>
    <w:rsid w:val="00686EA0"/>
    <w:rsid w:val="00686EED"/>
    <w:rsid w:val="00687231"/>
    <w:rsid w:val="00687414"/>
    <w:rsid w:val="00687739"/>
    <w:rsid w:val="00687984"/>
    <w:rsid w:val="00687CDA"/>
    <w:rsid w:val="00690137"/>
    <w:rsid w:val="00690173"/>
    <w:rsid w:val="0069025A"/>
    <w:rsid w:val="006904E9"/>
    <w:rsid w:val="0069051E"/>
    <w:rsid w:val="006906FD"/>
    <w:rsid w:val="006909F9"/>
    <w:rsid w:val="00691195"/>
    <w:rsid w:val="00691721"/>
    <w:rsid w:val="006918DA"/>
    <w:rsid w:val="00691D39"/>
    <w:rsid w:val="00693169"/>
    <w:rsid w:val="0069316B"/>
    <w:rsid w:val="006931A0"/>
    <w:rsid w:val="006931BD"/>
    <w:rsid w:val="006932F8"/>
    <w:rsid w:val="006935D9"/>
    <w:rsid w:val="006937ED"/>
    <w:rsid w:val="00693B30"/>
    <w:rsid w:val="00693DCA"/>
    <w:rsid w:val="00693E3B"/>
    <w:rsid w:val="00693F5A"/>
    <w:rsid w:val="006941D6"/>
    <w:rsid w:val="006943A0"/>
    <w:rsid w:val="006947D1"/>
    <w:rsid w:val="006948FC"/>
    <w:rsid w:val="00694A0D"/>
    <w:rsid w:val="00694CDF"/>
    <w:rsid w:val="00694EF8"/>
    <w:rsid w:val="00695508"/>
    <w:rsid w:val="006955FD"/>
    <w:rsid w:val="00695738"/>
    <w:rsid w:val="00695861"/>
    <w:rsid w:val="00695B69"/>
    <w:rsid w:val="00695F99"/>
    <w:rsid w:val="00696063"/>
    <w:rsid w:val="00696422"/>
    <w:rsid w:val="006964A1"/>
    <w:rsid w:val="0069692F"/>
    <w:rsid w:val="00697295"/>
    <w:rsid w:val="006974A3"/>
    <w:rsid w:val="006977DD"/>
    <w:rsid w:val="00697823"/>
    <w:rsid w:val="00697C89"/>
    <w:rsid w:val="00697E08"/>
    <w:rsid w:val="00697F4A"/>
    <w:rsid w:val="006A005B"/>
    <w:rsid w:val="006A00CF"/>
    <w:rsid w:val="006A01C3"/>
    <w:rsid w:val="006A0461"/>
    <w:rsid w:val="006A04A4"/>
    <w:rsid w:val="006A06C5"/>
    <w:rsid w:val="006A112B"/>
    <w:rsid w:val="006A1307"/>
    <w:rsid w:val="006A1621"/>
    <w:rsid w:val="006A18E6"/>
    <w:rsid w:val="006A19D6"/>
    <w:rsid w:val="006A19E4"/>
    <w:rsid w:val="006A1BAF"/>
    <w:rsid w:val="006A2240"/>
    <w:rsid w:val="006A2307"/>
    <w:rsid w:val="006A247C"/>
    <w:rsid w:val="006A248C"/>
    <w:rsid w:val="006A254F"/>
    <w:rsid w:val="006A2634"/>
    <w:rsid w:val="006A26F6"/>
    <w:rsid w:val="006A26F8"/>
    <w:rsid w:val="006A2BE2"/>
    <w:rsid w:val="006A2C0C"/>
    <w:rsid w:val="006A2EDC"/>
    <w:rsid w:val="006A31CD"/>
    <w:rsid w:val="006A33D1"/>
    <w:rsid w:val="006A3771"/>
    <w:rsid w:val="006A3AB9"/>
    <w:rsid w:val="006A3AD2"/>
    <w:rsid w:val="006A3D6F"/>
    <w:rsid w:val="006A40B5"/>
    <w:rsid w:val="006A4427"/>
    <w:rsid w:val="006A456E"/>
    <w:rsid w:val="006A4675"/>
    <w:rsid w:val="006A467F"/>
    <w:rsid w:val="006A5057"/>
    <w:rsid w:val="006A53A7"/>
    <w:rsid w:val="006A5708"/>
    <w:rsid w:val="006A5A6C"/>
    <w:rsid w:val="006A5CEE"/>
    <w:rsid w:val="006A60C9"/>
    <w:rsid w:val="006A614C"/>
    <w:rsid w:val="006A6194"/>
    <w:rsid w:val="006A619C"/>
    <w:rsid w:val="006A638D"/>
    <w:rsid w:val="006A694A"/>
    <w:rsid w:val="006A6B49"/>
    <w:rsid w:val="006A6EEC"/>
    <w:rsid w:val="006A7372"/>
    <w:rsid w:val="006A78FF"/>
    <w:rsid w:val="006A795E"/>
    <w:rsid w:val="006A7AA4"/>
    <w:rsid w:val="006A7B77"/>
    <w:rsid w:val="006B0197"/>
    <w:rsid w:val="006B043B"/>
    <w:rsid w:val="006B075B"/>
    <w:rsid w:val="006B0930"/>
    <w:rsid w:val="006B0D26"/>
    <w:rsid w:val="006B12C2"/>
    <w:rsid w:val="006B146D"/>
    <w:rsid w:val="006B1569"/>
    <w:rsid w:val="006B16A9"/>
    <w:rsid w:val="006B16CC"/>
    <w:rsid w:val="006B174C"/>
    <w:rsid w:val="006B1BFB"/>
    <w:rsid w:val="006B1D10"/>
    <w:rsid w:val="006B22B7"/>
    <w:rsid w:val="006B25FA"/>
    <w:rsid w:val="006B28E6"/>
    <w:rsid w:val="006B29C6"/>
    <w:rsid w:val="006B30D9"/>
    <w:rsid w:val="006B35B1"/>
    <w:rsid w:val="006B3636"/>
    <w:rsid w:val="006B371E"/>
    <w:rsid w:val="006B3736"/>
    <w:rsid w:val="006B3EBF"/>
    <w:rsid w:val="006B3FCA"/>
    <w:rsid w:val="006B4594"/>
    <w:rsid w:val="006B46E6"/>
    <w:rsid w:val="006B4BBF"/>
    <w:rsid w:val="006B4C42"/>
    <w:rsid w:val="006B50B1"/>
    <w:rsid w:val="006B5116"/>
    <w:rsid w:val="006B511D"/>
    <w:rsid w:val="006B569B"/>
    <w:rsid w:val="006B5996"/>
    <w:rsid w:val="006B59E5"/>
    <w:rsid w:val="006B5C85"/>
    <w:rsid w:val="006B5DBA"/>
    <w:rsid w:val="006B5E53"/>
    <w:rsid w:val="006B5E8A"/>
    <w:rsid w:val="006B5F4A"/>
    <w:rsid w:val="006B6077"/>
    <w:rsid w:val="006B64EC"/>
    <w:rsid w:val="006B6532"/>
    <w:rsid w:val="006B678F"/>
    <w:rsid w:val="006B67DF"/>
    <w:rsid w:val="006B6D3F"/>
    <w:rsid w:val="006B6DDF"/>
    <w:rsid w:val="006B6EFA"/>
    <w:rsid w:val="006B6F53"/>
    <w:rsid w:val="006B79DD"/>
    <w:rsid w:val="006B7D47"/>
    <w:rsid w:val="006C0221"/>
    <w:rsid w:val="006C0836"/>
    <w:rsid w:val="006C096C"/>
    <w:rsid w:val="006C0B3C"/>
    <w:rsid w:val="006C0C11"/>
    <w:rsid w:val="006C0E71"/>
    <w:rsid w:val="006C0F34"/>
    <w:rsid w:val="006C10D3"/>
    <w:rsid w:val="006C15F5"/>
    <w:rsid w:val="006C1625"/>
    <w:rsid w:val="006C18D3"/>
    <w:rsid w:val="006C2316"/>
    <w:rsid w:val="006C23EE"/>
    <w:rsid w:val="006C2488"/>
    <w:rsid w:val="006C24FD"/>
    <w:rsid w:val="006C289B"/>
    <w:rsid w:val="006C2F60"/>
    <w:rsid w:val="006C34C2"/>
    <w:rsid w:val="006C35CA"/>
    <w:rsid w:val="006C372E"/>
    <w:rsid w:val="006C3938"/>
    <w:rsid w:val="006C3B7F"/>
    <w:rsid w:val="006C3BC7"/>
    <w:rsid w:val="006C3BE2"/>
    <w:rsid w:val="006C410C"/>
    <w:rsid w:val="006C41D3"/>
    <w:rsid w:val="006C43F8"/>
    <w:rsid w:val="006C46A5"/>
    <w:rsid w:val="006C475A"/>
    <w:rsid w:val="006C4959"/>
    <w:rsid w:val="006C4C4D"/>
    <w:rsid w:val="006C4CF3"/>
    <w:rsid w:val="006C4DA4"/>
    <w:rsid w:val="006C4E6B"/>
    <w:rsid w:val="006C5134"/>
    <w:rsid w:val="006C551A"/>
    <w:rsid w:val="006C591C"/>
    <w:rsid w:val="006C5A5A"/>
    <w:rsid w:val="006C5C10"/>
    <w:rsid w:val="006C5D82"/>
    <w:rsid w:val="006C64BB"/>
    <w:rsid w:val="006C6B08"/>
    <w:rsid w:val="006C6C1B"/>
    <w:rsid w:val="006C723A"/>
    <w:rsid w:val="006C72E6"/>
    <w:rsid w:val="006C74F8"/>
    <w:rsid w:val="006C76CD"/>
    <w:rsid w:val="006C7CB9"/>
    <w:rsid w:val="006D0140"/>
    <w:rsid w:val="006D037C"/>
    <w:rsid w:val="006D0491"/>
    <w:rsid w:val="006D08AA"/>
    <w:rsid w:val="006D0B01"/>
    <w:rsid w:val="006D0FBA"/>
    <w:rsid w:val="006D145F"/>
    <w:rsid w:val="006D15C1"/>
    <w:rsid w:val="006D1780"/>
    <w:rsid w:val="006D17BD"/>
    <w:rsid w:val="006D1BF7"/>
    <w:rsid w:val="006D1CD9"/>
    <w:rsid w:val="006D1D89"/>
    <w:rsid w:val="006D1FBB"/>
    <w:rsid w:val="006D1FC5"/>
    <w:rsid w:val="006D2064"/>
    <w:rsid w:val="006D2185"/>
    <w:rsid w:val="006D2246"/>
    <w:rsid w:val="006D2576"/>
    <w:rsid w:val="006D2A32"/>
    <w:rsid w:val="006D2DD5"/>
    <w:rsid w:val="006D2EB4"/>
    <w:rsid w:val="006D30AB"/>
    <w:rsid w:val="006D3373"/>
    <w:rsid w:val="006D36A1"/>
    <w:rsid w:val="006D37CC"/>
    <w:rsid w:val="006D3819"/>
    <w:rsid w:val="006D3DF2"/>
    <w:rsid w:val="006D3E2C"/>
    <w:rsid w:val="006D41A3"/>
    <w:rsid w:val="006D4293"/>
    <w:rsid w:val="006D4398"/>
    <w:rsid w:val="006D4586"/>
    <w:rsid w:val="006D48D6"/>
    <w:rsid w:val="006D4F68"/>
    <w:rsid w:val="006D5164"/>
    <w:rsid w:val="006D51CB"/>
    <w:rsid w:val="006D565B"/>
    <w:rsid w:val="006D5667"/>
    <w:rsid w:val="006D572D"/>
    <w:rsid w:val="006D592D"/>
    <w:rsid w:val="006D6198"/>
    <w:rsid w:val="006D6C75"/>
    <w:rsid w:val="006D6DE9"/>
    <w:rsid w:val="006D7308"/>
    <w:rsid w:val="006D7460"/>
    <w:rsid w:val="006D78FA"/>
    <w:rsid w:val="006D7AD9"/>
    <w:rsid w:val="006D7D1C"/>
    <w:rsid w:val="006D7D7E"/>
    <w:rsid w:val="006D7F63"/>
    <w:rsid w:val="006E01BB"/>
    <w:rsid w:val="006E07B7"/>
    <w:rsid w:val="006E07E6"/>
    <w:rsid w:val="006E0858"/>
    <w:rsid w:val="006E0B18"/>
    <w:rsid w:val="006E0B5B"/>
    <w:rsid w:val="006E14FF"/>
    <w:rsid w:val="006E1BA8"/>
    <w:rsid w:val="006E2369"/>
    <w:rsid w:val="006E2BF4"/>
    <w:rsid w:val="006E2D6B"/>
    <w:rsid w:val="006E3982"/>
    <w:rsid w:val="006E3C3E"/>
    <w:rsid w:val="006E3F4D"/>
    <w:rsid w:val="006E43C0"/>
    <w:rsid w:val="006E44E4"/>
    <w:rsid w:val="006E45DB"/>
    <w:rsid w:val="006E4714"/>
    <w:rsid w:val="006E4A43"/>
    <w:rsid w:val="006E526D"/>
    <w:rsid w:val="006E537C"/>
    <w:rsid w:val="006E5383"/>
    <w:rsid w:val="006E5605"/>
    <w:rsid w:val="006E5AA4"/>
    <w:rsid w:val="006E6007"/>
    <w:rsid w:val="006E610B"/>
    <w:rsid w:val="006E62F7"/>
    <w:rsid w:val="006E6851"/>
    <w:rsid w:val="006E6923"/>
    <w:rsid w:val="006E6E1C"/>
    <w:rsid w:val="006E6EC0"/>
    <w:rsid w:val="006E6F3A"/>
    <w:rsid w:val="006E6F94"/>
    <w:rsid w:val="006E719E"/>
    <w:rsid w:val="006E775B"/>
    <w:rsid w:val="006F01C4"/>
    <w:rsid w:val="006F0329"/>
    <w:rsid w:val="006F03D6"/>
    <w:rsid w:val="006F0581"/>
    <w:rsid w:val="006F06C7"/>
    <w:rsid w:val="006F08BE"/>
    <w:rsid w:val="006F0AC4"/>
    <w:rsid w:val="006F0AD6"/>
    <w:rsid w:val="006F0BF5"/>
    <w:rsid w:val="006F17B7"/>
    <w:rsid w:val="006F1EB5"/>
    <w:rsid w:val="006F1ECE"/>
    <w:rsid w:val="006F2144"/>
    <w:rsid w:val="006F2170"/>
    <w:rsid w:val="006F222D"/>
    <w:rsid w:val="006F258E"/>
    <w:rsid w:val="006F2747"/>
    <w:rsid w:val="006F280E"/>
    <w:rsid w:val="006F2A3C"/>
    <w:rsid w:val="006F2B6E"/>
    <w:rsid w:val="006F2C48"/>
    <w:rsid w:val="006F2D3B"/>
    <w:rsid w:val="006F2D4C"/>
    <w:rsid w:val="006F32C1"/>
    <w:rsid w:val="006F347A"/>
    <w:rsid w:val="006F39C2"/>
    <w:rsid w:val="006F3A35"/>
    <w:rsid w:val="006F3B61"/>
    <w:rsid w:val="006F3DAC"/>
    <w:rsid w:val="006F41CA"/>
    <w:rsid w:val="006F430E"/>
    <w:rsid w:val="006F43DD"/>
    <w:rsid w:val="006F47C5"/>
    <w:rsid w:val="006F4967"/>
    <w:rsid w:val="006F4A44"/>
    <w:rsid w:val="006F526F"/>
    <w:rsid w:val="006F52A9"/>
    <w:rsid w:val="006F5302"/>
    <w:rsid w:val="006F563B"/>
    <w:rsid w:val="006F58AD"/>
    <w:rsid w:val="006F590F"/>
    <w:rsid w:val="006F5FD3"/>
    <w:rsid w:val="006F6206"/>
    <w:rsid w:val="006F6322"/>
    <w:rsid w:val="006F645D"/>
    <w:rsid w:val="006F6853"/>
    <w:rsid w:val="006F68EE"/>
    <w:rsid w:val="006F6931"/>
    <w:rsid w:val="006F6E4A"/>
    <w:rsid w:val="006F6EB0"/>
    <w:rsid w:val="006F72FE"/>
    <w:rsid w:val="006F74F5"/>
    <w:rsid w:val="006F7705"/>
    <w:rsid w:val="006F7AFA"/>
    <w:rsid w:val="006F7D33"/>
    <w:rsid w:val="006F7DC2"/>
    <w:rsid w:val="006F7F0D"/>
    <w:rsid w:val="006F7F5C"/>
    <w:rsid w:val="007001C1"/>
    <w:rsid w:val="00700614"/>
    <w:rsid w:val="0070090A"/>
    <w:rsid w:val="00700DF1"/>
    <w:rsid w:val="00701129"/>
    <w:rsid w:val="00701349"/>
    <w:rsid w:val="007013D6"/>
    <w:rsid w:val="0070150D"/>
    <w:rsid w:val="00701563"/>
    <w:rsid w:val="007015AD"/>
    <w:rsid w:val="0070180B"/>
    <w:rsid w:val="007021D7"/>
    <w:rsid w:val="0070223D"/>
    <w:rsid w:val="0070226B"/>
    <w:rsid w:val="00702824"/>
    <w:rsid w:val="00702B83"/>
    <w:rsid w:val="00702DF8"/>
    <w:rsid w:val="00702F5C"/>
    <w:rsid w:val="00702F83"/>
    <w:rsid w:val="0070377A"/>
    <w:rsid w:val="00703879"/>
    <w:rsid w:val="00704C8F"/>
    <w:rsid w:val="00704D05"/>
    <w:rsid w:val="0070518F"/>
    <w:rsid w:val="007052EC"/>
    <w:rsid w:val="0070562C"/>
    <w:rsid w:val="007057CD"/>
    <w:rsid w:val="00705D0E"/>
    <w:rsid w:val="00705EC6"/>
    <w:rsid w:val="00705EF3"/>
    <w:rsid w:val="007060DB"/>
    <w:rsid w:val="0070624D"/>
    <w:rsid w:val="0070648F"/>
    <w:rsid w:val="007078B3"/>
    <w:rsid w:val="00707A2B"/>
    <w:rsid w:val="00707B51"/>
    <w:rsid w:val="00707C86"/>
    <w:rsid w:val="007100C7"/>
    <w:rsid w:val="00710400"/>
    <w:rsid w:val="0071061F"/>
    <w:rsid w:val="00710A44"/>
    <w:rsid w:val="00710CF7"/>
    <w:rsid w:val="00710F22"/>
    <w:rsid w:val="007111D5"/>
    <w:rsid w:val="0071255E"/>
    <w:rsid w:val="0071279B"/>
    <w:rsid w:val="00712983"/>
    <w:rsid w:val="007133E7"/>
    <w:rsid w:val="0071354C"/>
    <w:rsid w:val="00713598"/>
    <w:rsid w:val="00713728"/>
    <w:rsid w:val="00713976"/>
    <w:rsid w:val="00713BC6"/>
    <w:rsid w:val="007142AA"/>
    <w:rsid w:val="00714362"/>
    <w:rsid w:val="00714480"/>
    <w:rsid w:val="007146A1"/>
    <w:rsid w:val="007146BF"/>
    <w:rsid w:val="007148AF"/>
    <w:rsid w:val="00714D63"/>
    <w:rsid w:val="00714DC0"/>
    <w:rsid w:val="00714F96"/>
    <w:rsid w:val="00714FEA"/>
    <w:rsid w:val="0071534D"/>
    <w:rsid w:val="00715438"/>
    <w:rsid w:val="007155C4"/>
    <w:rsid w:val="00715CE3"/>
    <w:rsid w:val="00715E70"/>
    <w:rsid w:val="0071601A"/>
    <w:rsid w:val="00716A54"/>
    <w:rsid w:val="007171D3"/>
    <w:rsid w:val="0071735F"/>
    <w:rsid w:val="00717443"/>
    <w:rsid w:val="00717A4F"/>
    <w:rsid w:val="00717B9B"/>
    <w:rsid w:val="00717CDA"/>
    <w:rsid w:val="00717F3A"/>
    <w:rsid w:val="0072049F"/>
    <w:rsid w:val="0072066F"/>
    <w:rsid w:val="007206F9"/>
    <w:rsid w:val="00720832"/>
    <w:rsid w:val="00720AF1"/>
    <w:rsid w:val="00721B0C"/>
    <w:rsid w:val="00721C64"/>
    <w:rsid w:val="00722671"/>
    <w:rsid w:val="00722716"/>
    <w:rsid w:val="0072280F"/>
    <w:rsid w:val="00722912"/>
    <w:rsid w:val="00722B74"/>
    <w:rsid w:val="00722D56"/>
    <w:rsid w:val="00722DBF"/>
    <w:rsid w:val="0072308C"/>
    <w:rsid w:val="0072313E"/>
    <w:rsid w:val="00723203"/>
    <w:rsid w:val="00723343"/>
    <w:rsid w:val="00723698"/>
    <w:rsid w:val="00723C50"/>
    <w:rsid w:val="00723F1B"/>
    <w:rsid w:val="007245B9"/>
    <w:rsid w:val="00724664"/>
    <w:rsid w:val="007246A6"/>
    <w:rsid w:val="00724754"/>
    <w:rsid w:val="00724AC7"/>
    <w:rsid w:val="00724D44"/>
    <w:rsid w:val="00724DDC"/>
    <w:rsid w:val="00724FAA"/>
    <w:rsid w:val="007250DF"/>
    <w:rsid w:val="0072521A"/>
    <w:rsid w:val="007254AE"/>
    <w:rsid w:val="007257C4"/>
    <w:rsid w:val="007257ED"/>
    <w:rsid w:val="0072583D"/>
    <w:rsid w:val="00725CC5"/>
    <w:rsid w:val="00725D3A"/>
    <w:rsid w:val="0072623D"/>
    <w:rsid w:val="007266DE"/>
    <w:rsid w:val="007267FE"/>
    <w:rsid w:val="00726DA4"/>
    <w:rsid w:val="00726E11"/>
    <w:rsid w:val="00726E30"/>
    <w:rsid w:val="00726E33"/>
    <w:rsid w:val="00727179"/>
    <w:rsid w:val="00727399"/>
    <w:rsid w:val="0072758B"/>
    <w:rsid w:val="007277D4"/>
    <w:rsid w:val="007279F7"/>
    <w:rsid w:val="00727D4C"/>
    <w:rsid w:val="00730143"/>
    <w:rsid w:val="007302B6"/>
    <w:rsid w:val="0073038E"/>
    <w:rsid w:val="007303A4"/>
    <w:rsid w:val="00730BBE"/>
    <w:rsid w:val="00730E39"/>
    <w:rsid w:val="0073111B"/>
    <w:rsid w:val="007316DC"/>
    <w:rsid w:val="00731F0E"/>
    <w:rsid w:val="00731FFE"/>
    <w:rsid w:val="00732126"/>
    <w:rsid w:val="00732452"/>
    <w:rsid w:val="007326FF"/>
    <w:rsid w:val="00732AF8"/>
    <w:rsid w:val="00732B57"/>
    <w:rsid w:val="00732D05"/>
    <w:rsid w:val="0073375D"/>
    <w:rsid w:val="00733CC1"/>
    <w:rsid w:val="00733D8A"/>
    <w:rsid w:val="00733E49"/>
    <w:rsid w:val="00734139"/>
    <w:rsid w:val="00734183"/>
    <w:rsid w:val="007344F7"/>
    <w:rsid w:val="007345DC"/>
    <w:rsid w:val="007348E8"/>
    <w:rsid w:val="00734AAB"/>
    <w:rsid w:val="00734AFA"/>
    <w:rsid w:val="00735443"/>
    <w:rsid w:val="00735547"/>
    <w:rsid w:val="0073580B"/>
    <w:rsid w:val="007358A7"/>
    <w:rsid w:val="00735A55"/>
    <w:rsid w:val="00735CE2"/>
    <w:rsid w:val="00735E84"/>
    <w:rsid w:val="00736096"/>
    <w:rsid w:val="007361EA"/>
    <w:rsid w:val="00736644"/>
    <w:rsid w:val="007367CB"/>
    <w:rsid w:val="00736C3F"/>
    <w:rsid w:val="0073718E"/>
    <w:rsid w:val="00737766"/>
    <w:rsid w:val="00737775"/>
    <w:rsid w:val="00737CF2"/>
    <w:rsid w:val="00737E76"/>
    <w:rsid w:val="00737E89"/>
    <w:rsid w:val="007401D7"/>
    <w:rsid w:val="007403DE"/>
    <w:rsid w:val="007408E5"/>
    <w:rsid w:val="00740FA7"/>
    <w:rsid w:val="00740FD7"/>
    <w:rsid w:val="00741017"/>
    <w:rsid w:val="0074145B"/>
    <w:rsid w:val="00741933"/>
    <w:rsid w:val="00741BC3"/>
    <w:rsid w:val="00742383"/>
    <w:rsid w:val="007424AD"/>
    <w:rsid w:val="0074256D"/>
    <w:rsid w:val="00742B41"/>
    <w:rsid w:val="00742B59"/>
    <w:rsid w:val="00742CBC"/>
    <w:rsid w:val="00743168"/>
    <w:rsid w:val="00743177"/>
    <w:rsid w:val="00743232"/>
    <w:rsid w:val="00743649"/>
    <w:rsid w:val="0074388C"/>
    <w:rsid w:val="00743ACA"/>
    <w:rsid w:val="0074433A"/>
    <w:rsid w:val="00744E8B"/>
    <w:rsid w:val="00745115"/>
    <w:rsid w:val="007457E7"/>
    <w:rsid w:val="007459BD"/>
    <w:rsid w:val="00745B8E"/>
    <w:rsid w:val="00745C09"/>
    <w:rsid w:val="00745DEF"/>
    <w:rsid w:val="00745F39"/>
    <w:rsid w:val="007463E8"/>
    <w:rsid w:val="007466C3"/>
    <w:rsid w:val="007468FA"/>
    <w:rsid w:val="00747054"/>
    <w:rsid w:val="0074731C"/>
    <w:rsid w:val="00747778"/>
    <w:rsid w:val="00747810"/>
    <w:rsid w:val="00747987"/>
    <w:rsid w:val="00747AB0"/>
    <w:rsid w:val="00747C00"/>
    <w:rsid w:val="00747EBF"/>
    <w:rsid w:val="00747F36"/>
    <w:rsid w:val="00750B95"/>
    <w:rsid w:val="00750C3A"/>
    <w:rsid w:val="00751099"/>
    <w:rsid w:val="00751114"/>
    <w:rsid w:val="007516F4"/>
    <w:rsid w:val="00751967"/>
    <w:rsid w:val="00751974"/>
    <w:rsid w:val="00751E46"/>
    <w:rsid w:val="00751E7F"/>
    <w:rsid w:val="00751FE1"/>
    <w:rsid w:val="00752350"/>
    <w:rsid w:val="007525C7"/>
    <w:rsid w:val="00752AF1"/>
    <w:rsid w:val="00752B15"/>
    <w:rsid w:val="00752E9E"/>
    <w:rsid w:val="00752EAE"/>
    <w:rsid w:val="0075331E"/>
    <w:rsid w:val="0075339C"/>
    <w:rsid w:val="0075371E"/>
    <w:rsid w:val="007537CA"/>
    <w:rsid w:val="00753910"/>
    <w:rsid w:val="00753D9B"/>
    <w:rsid w:val="0075426E"/>
    <w:rsid w:val="007542C2"/>
    <w:rsid w:val="00754508"/>
    <w:rsid w:val="00754817"/>
    <w:rsid w:val="007554C3"/>
    <w:rsid w:val="007559F2"/>
    <w:rsid w:val="00755AAE"/>
    <w:rsid w:val="00755AFC"/>
    <w:rsid w:val="00755E7B"/>
    <w:rsid w:val="00755FA5"/>
    <w:rsid w:val="007560F0"/>
    <w:rsid w:val="0075646E"/>
    <w:rsid w:val="007569B2"/>
    <w:rsid w:val="00757574"/>
    <w:rsid w:val="00757679"/>
    <w:rsid w:val="00757832"/>
    <w:rsid w:val="00757F2F"/>
    <w:rsid w:val="00757FD5"/>
    <w:rsid w:val="00760597"/>
    <w:rsid w:val="00760D38"/>
    <w:rsid w:val="0076106E"/>
    <w:rsid w:val="007612A0"/>
    <w:rsid w:val="00761A8E"/>
    <w:rsid w:val="00762038"/>
    <w:rsid w:val="00762BE0"/>
    <w:rsid w:val="00762BF7"/>
    <w:rsid w:val="00762F87"/>
    <w:rsid w:val="00762FC0"/>
    <w:rsid w:val="00762FEA"/>
    <w:rsid w:val="00763079"/>
    <w:rsid w:val="00763495"/>
    <w:rsid w:val="00763990"/>
    <w:rsid w:val="00763A88"/>
    <w:rsid w:val="00763B5D"/>
    <w:rsid w:val="00764015"/>
    <w:rsid w:val="00764118"/>
    <w:rsid w:val="0076415F"/>
    <w:rsid w:val="00764189"/>
    <w:rsid w:val="00764444"/>
    <w:rsid w:val="007644D9"/>
    <w:rsid w:val="00764948"/>
    <w:rsid w:val="00764AD8"/>
    <w:rsid w:val="00764CFE"/>
    <w:rsid w:val="00764D37"/>
    <w:rsid w:val="0076550F"/>
    <w:rsid w:val="00765815"/>
    <w:rsid w:val="00765851"/>
    <w:rsid w:val="0076595B"/>
    <w:rsid w:val="00765DE8"/>
    <w:rsid w:val="00765E58"/>
    <w:rsid w:val="007662D9"/>
    <w:rsid w:val="00766554"/>
    <w:rsid w:val="007668C8"/>
    <w:rsid w:val="00766A7B"/>
    <w:rsid w:val="00766ACA"/>
    <w:rsid w:val="00766CDF"/>
    <w:rsid w:val="0076740E"/>
    <w:rsid w:val="00767AF2"/>
    <w:rsid w:val="00767BEE"/>
    <w:rsid w:val="007701DA"/>
    <w:rsid w:val="00770B24"/>
    <w:rsid w:val="00770DFF"/>
    <w:rsid w:val="007710E8"/>
    <w:rsid w:val="0077140F"/>
    <w:rsid w:val="007718B3"/>
    <w:rsid w:val="007718FB"/>
    <w:rsid w:val="00771A67"/>
    <w:rsid w:val="00771B03"/>
    <w:rsid w:val="00771F4E"/>
    <w:rsid w:val="0077257D"/>
    <w:rsid w:val="007726AC"/>
    <w:rsid w:val="00772867"/>
    <w:rsid w:val="00772E89"/>
    <w:rsid w:val="00773068"/>
    <w:rsid w:val="0077336A"/>
    <w:rsid w:val="00773519"/>
    <w:rsid w:val="007739AE"/>
    <w:rsid w:val="00773A59"/>
    <w:rsid w:val="00773B9F"/>
    <w:rsid w:val="00773C4D"/>
    <w:rsid w:val="007747A3"/>
    <w:rsid w:val="007747A4"/>
    <w:rsid w:val="00774C0F"/>
    <w:rsid w:val="00774EF8"/>
    <w:rsid w:val="00775020"/>
    <w:rsid w:val="0077514B"/>
    <w:rsid w:val="00775590"/>
    <w:rsid w:val="00775601"/>
    <w:rsid w:val="0077568B"/>
    <w:rsid w:val="00775842"/>
    <w:rsid w:val="00775BA1"/>
    <w:rsid w:val="00775F57"/>
    <w:rsid w:val="00776322"/>
    <w:rsid w:val="00776BF2"/>
    <w:rsid w:val="007773F0"/>
    <w:rsid w:val="007775AA"/>
    <w:rsid w:val="00777B88"/>
    <w:rsid w:val="00777D5E"/>
    <w:rsid w:val="007807A1"/>
    <w:rsid w:val="00780A0D"/>
    <w:rsid w:val="00780A98"/>
    <w:rsid w:val="00780BA2"/>
    <w:rsid w:val="00780BEA"/>
    <w:rsid w:val="00781422"/>
    <w:rsid w:val="0078155C"/>
    <w:rsid w:val="007819DE"/>
    <w:rsid w:val="00781B5D"/>
    <w:rsid w:val="00781C67"/>
    <w:rsid w:val="00781FBA"/>
    <w:rsid w:val="0078271D"/>
    <w:rsid w:val="007829A8"/>
    <w:rsid w:val="00782EE2"/>
    <w:rsid w:val="007835AE"/>
    <w:rsid w:val="007835D0"/>
    <w:rsid w:val="00783F32"/>
    <w:rsid w:val="00783F4A"/>
    <w:rsid w:val="00783F81"/>
    <w:rsid w:val="007841A3"/>
    <w:rsid w:val="00784268"/>
    <w:rsid w:val="00784321"/>
    <w:rsid w:val="00784429"/>
    <w:rsid w:val="007844AD"/>
    <w:rsid w:val="00784513"/>
    <w:rsid w:val="00784886"/>
    <w:rsid w:val="00784993"/>
    <w:rsid w:val="007849E1"/>
    <w:rsid w:val="00784B01"/>
    <w:rsid w:val="00784E29"/>
    <w:rsid w:val="00785217"/>
    <w:rsid w:val="0078531D"/>
    <w:rsid w:val="007855E0"/>
    <w:rsid w:val="0078561D"/>
    <w:rsid w:val="0078564C"/>
    <w:rsid w:val="0078585D"/>
    <w:rsid w:val="007858D8"/>
    <w:rsid w:val="00785AF1"/>
    <w:rsid w:val="00785E5B"/>
    <w:rsid w:val="00786016"/>
    <w:rsid w:val="007862C5"/>
    <w:rsid w:val="0078645C"/>
    <w:rsid w:val="00786501"/>
    <w:rsid w:val="0078668D"/>
    <w:rsid w:val="007867DC"/>
    <w:rsid w:val="0078687C"/>
    <w:rsid w:val="007869D8"/>
    <w:rsid w:val="00786A84"/>
    <w:rsid w:val="00786C98"/>
    <w:rsid w:val="00786F00"/>
    <w:rsid w:val="00786FD2"/>
    <w:rsid w:val="007872D5"/>
    <w:rsid w:val="00787361"/>
    <w:rsid w:val="0078753B"/>
    <w:rsid w:val="0078753F"/>
    <w:rsid w:val="007876DC"/>
    <w:rsid w:val="00787863"/>
    <w:rsid w:val="0078792A"/>
    <w:rsid w:val="0079051B"/>
    <w:rsid w:val="007906CB"/>
    <w:rsid w:val="0079079A"/>
    <w:rsid w:val="007907FC"/>
    <w:rsid w:val="0079092F"/>
    <w:rsid w:val="00790ADC"/>
    <w:rsid w:val="00790F02"/>
    <w:rsid w:val="00791248"/>
    <w:rsid w:val="00791423"/>
    <w:rsid w:val="00791437"/>
    <w:rsid w:val="00791600"/>
    <w:rsid w:val="00792116"/>
    <w:rsid w:val="007921F5"/>
    <w:rsid w:val="007922BF"/>
    <w:rsid w:val="00792315"/>
    <w:rsid w:val="007927F4"/>
    <w:rsid w:val="007928BB"/>
    <w:rsid w:val="00792BCB"/>
    <w:rsid w:val="00792D7B"/>
    <w:rsid w:val="00792EB4"/>
    <w:rsid w:val="00793665"/>
    <w:rsid w:val="00793DCA"/>
    <w:rsid w:val="0079408E"/>
    <w:rsid w:val="007940C9"/>
    <w:rsid w:val="00794164"/>
    <w:rsid w:val="00794423"/>
    <w:rsid w:val="00794A07"/>
    <w:rsid w:val="00794D81"/>
    <w:rsid w:val="00795797"/>
    <w:rsid w:val="0079584A"/>
    <w:rsid w:val="00795B85"/>
    <w:rsid w:val="00795D6E"/>
    <w:rsid w:val="007964D8"/>
    <w:rsid w:val="007965B9"/>
    <w:rsid w:val="00796671"/>
    <w:rsid w:val="007968D8"/>
    <w:rsid w:val="007971C4"/>
    <w:rsid w:val="00797268"/>
    <w:rsid w:val="00797654"/>
    <w:rsid w:val="007976B2"/>
    <w:rsid w:val="00797AE8"/>
    <w:rsid w:val="00797DE5"/>
    <w:rsid w:val="00797F53"/>
    <w:rsid w:val="007A0037"/>
    <w:rsid w:val="007A04E3"/>
    <w:rsid w:val="007A05FC"/>
    <w:rsid w:val="007A0DD3"/>
    <w:rsid w:val="007A0E2E"/>
    <w:rsid w:val="007A1169"/>
    <w:rsid w:val="007A1248"/>
    <w:rsid w:val="007A139D"/>
    <w:rsid w:val="007A1469"/>
    <w:rsid w:val="007A148F"/>
    <w:rsid w:val="007A1982"/>
    <w:rsid w:val="007A1CDA"/>
    <w:rsid w:val="007A1F64"/>
    <w:rsid w:val="007A2020"/>
    <w:rsid w:val="007A2322"/>
    <w:rsid w:val="007A2487"/>
    <w:rsid w:val="007A24DC"/>
    <w:rsid w:val="007A28F5"/>
    <w:rsid w:val="007A2E64"/>
    <w:rsid w:val="007A2EA2"/>
    <w:rsid w:val="007A2F19"/>
    <w:rsid w:val="007A3273"/>
    <w:rsid w:val="007A32C8"/>
    <w:rsid w:val="007A33A4"/>
    <w:rsid w:val="007A3502"/>
    <w:rsid w:val="007A3526"/>
    <w:rsid w:val="007A3664"/>
    <w:rsid w:val="007A3AD4"/>
    <w:rsid w:val="007A406D"/>
    <w:rsid w:val="007A4163"/>
    <w:rsid w:val="007A41BF"/>
    <w:rsid w:val="007A41DF"/>
    <w:rsid w:val="007A4386"/>
    <w:rsid w:val="007A4680"/>
    <w:rsid w:val="007A4A21"/>
    <w:rsid w:val="007A4DA0"/>
    <w:rsid w:val="007A53F8"/>
    <w:rsid w:val="007A546F"/>
    <w:rsid w:val="007A559F"/>
    <w:rsid w:val="007A5663"/>
    <w:rsid w:val="007A585C"/>
    <w:rsid w:val="007A5924"/>
    <w:rsid w:val="007A5936"/>
    <w:rsid w:val="007A60C7"/>
    <w:rsid w:val="007A669A"/>
    <w:rsid w:val="007A66C8"/>
    <w:rsid w:val="007A6A35"/>
    <w:rsid w:val="007A6ABE"/>
    <w:rsid w:val="007A6C4A"/>
    <w:rsid w:val="007A6F45"/>
    <w:rsid w:val="007A75C3"/>
    <w:rsid w:val="007A7C78"/>
    <w:rsid w:val="007A7D5F"/>
    <w:rsid w:val="007B075A"/>
    <w:rsid w:val="007B0B91"/>
    <w:rsid w:val="007B0F92"/>
    <w:rsid w:val="007B1AAC"/>
    <w:rsid w:val="007B1ABA"/>
    <w:rsid w:val="007B1C69"/>
    <w:rsid w:val="007B1C8D"/>
    <w:rsid w:val="007B1C8F"/>
    <w:rsid w:val="007B1E4A"/>
    <w:rsid w:val="007B22B6"/>
    <w:rsid w:val="007B2481"/>
    <w:rsid w:val="007B26F3"/>
    <w:rsid w:val="007B28F2"/>
    <w:rsid w:val="007B292A"/>
    <w:rsid w:val="007B2D20"/>
    <w:rsid w:val="007B314F"/>
    <w:rsid w:val="007B334D"/>
    <w:rsid w:val="007B3736"/>
    <w:rsid w:val="007B380B"/>
    <w:rsid w:val="007B3C58"/>
    <w:rsid w:val="007B3F3D"/>
    <w:rsid w:val="007B408A"/>
    <w:rsid w:val="007B46CD"/>
    <w:rsid w:val="007B4A13"/>
    <w:rsid w:val="007B4B6C"/>
    <w:rsid w:val="007B4D09"/>
    <w:rsid w:val="007B52EC"/>
    <w:rsid w:val="007B55A8"/>
    <w:rsid w:val="007B57E9"/>
    <w:rsid w:val="007B595F"/>
    <w:rsid w:val="007B5EF6"/>
    <w:rsid w:val="007B6183"/>
    <w:rsid w:val="007B61B9"/>
    <w:rsid w:val="007B634C"/>
    <w:rsid w:val="007B6408"/>
    <w:rsid w:val="007B6725"/>
    <w:rsid w:val="007B6978"/>
    <w:rsid w:val="007B6A1A"/>
    <w:rsid w:val="007B6D87"/>
    <w:rsid w:val="007B6DD2"/>
    <w:rsid w:val="007B727C"/>
    <w:rsid w:val="007B7328"/>
    <w:rsid w:val="007B733E"/>
    <w:rsid w:val="007B7823"/>
    <w:rsid w:val="007B78E6"/>
    <w:rsid w:val="007B7E06"/>
    <w:rsid w:val="007C002D"/>
    <w:rsid w:val="007C0067"/>
    <w:rsid w:val="007C0795"/>
    <w:rsid w:val="007C09C6"/>
    <w:rsid w:val="007C0D38"/>
    <w:rsid w:val="007C0F36"/>
    <w:rsid w:val="007C111A"/>
    <w:rsid w:val="007C1B98"/>
    <w:rsid w:val="007C2082"/>
    <w:rsid w:val="007C2136"/>
    <w:rsid w:val="007C2329"/>
    <w:rsid w:val="007C2531"/>
    <w:rsid w:val="007C2724"/>
    <w:rsid w:val="007C2842"/>
    <w:rsid w:val="007C297E"/>
    <w:rsid w:val="007C299F"/>
    <w:rsid w:val="007C2B29"/>
    <w:rsid w:val="007C3387"/>
    <w:rsid w:val="007C377B"/>
    <w:rsid w:val="007C3832"/>
    <w:rsid w:val="007C3862"/>
    <w:rsid w:val="007C3A15"/>
    <w:rsid w:val="007C3FA6"/>
    <w:rsid w:val="007C41BD"/>
    <w:rsid w:val="007C44DC"/>
    <w:rsid w:val="007C45B5"/>
    <w:rsid w:val="007C4931"/>
    <w:rsid w:val="007C49A1"/>
    <w:rsid w:val="007C49FF"/>
    <w:rsid w:val="007C4AB4"/>
    <w:rsid w:val="007C4F59"/>
    <w:rsid w:val="007C501C"/>
    <w:rsid w:val="007C5064"/>
    <w:rsid w:val="007C5A37"/>
    <w:rsid w:val="007C5E87"/>
    <w:rsid w:val="007C615F"/>
    <w:rsid w:val="007C655F"/>
    <w:rsid w:val="007C6594"/>
    <w:rsid w:val="007C6820"/>
    <w:rsid w:val="007C69FB"/>
    <w:rsid w:val="007C6BBC"/>
    <w:rsid w:val="007C7118"/>
    <w:rsid w:val="007C7442"/>
    <w:rsid w:val="007C7A47"/>
    <w:rsid w:val="007C7D6E"/>
    <w:rsid w:val="007C7E1E"/>
    <w:rsid w:val="007D0A93"/>
    <w:rsid w:val="007D0E7E"/>
    <w:rsid w:val="007D0FED"/>
    <w:rsid w:val="007D1050"/>
    <w:rsid w:val="007D1B11"/>
    <w:rsid w:val="007D1B7D"/>
    <w:rsid w:val="007D1CB6"/>
    <w:rsid w:val="007D2319"/>
    <w:rsid w:val="007D236E"/>
    <w:rsid w:val="007D248A"/>
    <w:rsid w:val="007D2685"/>
    <w:rsid w:val="007D29D5"/>
    <w:rsid w:val="007D2C3C"/>
    <w:rsid w:val="007D3135"/>
    <w:rsid w:val="007D3316"/>
    <w:rsid w:val="007D34F7"/>
    <w:rsid w:val="007D371C"/>
    <w:rsid w:val="007D376B"/>
    <w:rsid w:val="007D39A2"/>
    <w:rsid w:val="007D3B4E"/>
    <w:rsid w:val="007D3C94"/>
    <w:rsid w:val="007D3E02"/>
    <w:rsid w:val="007D3E56"/>
    <w:rsid w:val="007D3EBF"/>
    <w:rsid w:val="007D4211"/>
    <w:rsid w:val="007D429D"/>
    <w:rsid w:val="007D4358"/>
    <w:rsid w:val="007D462D"/>
    <w:rsid w:val="007D4667"/>
    <w:rsid w:val="007D4B30"/>
    <w:rsid w:val="007D4D68"/>
    <w:rsid w:val="007D4D9D"/>
    <w:rsid w:val="007D4E7B"/>
    <w:rsid w:val="007D5477"/>
    <w:rsid w:val="007D557F"/>
    <w:rsid w:val="007D5745"/>
    <w:rsid w:val="007D5BA0"/>
    <w:rsid w:val="007D5D3E"/>
    <w:rsid w:val="007D5D94"/>
    <w:rsid w:val="007D5E42"/>
    <w:rsid w:val="007D5E67"/>
    <w:rsid w:val="007D5FC5"/>
    <w:rsid w:val="007D6061"/>
    <w:rsid w:val="007D6901"/>
    <w:rsid w:val="007D6A32"/>
    <w:rsid w:val="007D6B83"/>
    <w:rsid w:val="007D6E2C"/>
    <w:rsid w:val="007D703C"/>
    <w:rsid w:val="007D79D4"/>
    <w:rsid w:val="007D7A70"/>
    <w:rsid w:val="007D7A96"/>
    <w:rsid w:val="007D7EA3"/>
    <w:rsid w:val="007D7F03"/>
    <w:rsid w:val="007D7FA3"/>
    <w:rsid w:val="007E01E9"/>
    <w:rsid w:val="007E0751"/>
    <w:rsid w:val="007E0CF7"/>
    <w:rsid w:val="007E10B1"/>
    <w:rsid w:val="007E1113"/>
    <w:rsid w:val="007E133B"/>
    <w:rsid w:val="007E1361"/>
    <w:rsid w:val="007E1375"/>
    <w:rsid w:val="007E15AE"/>
    <w:rsid w:val="007E16BD"/>
    <w:rsid w:val="007E1A5A"/>
    <w:rsid w:val="007E1BC5"/>
    <w:rsid w:val="007E1F2A"/>
    <w:rsid w:val="007E254E"/>
    <w:rsid w:val="007E26E7"/>
    <w:rsid w:val="007E29D4"/>
    <w:rsid w:val="007E2A6E"/>
    <w:rsid w:val="007E2C1C"/>
    <w:rsid w:val="007E2DB2"/>
    <w:rsid w:val="007E2EA4"/>
    <w:rsid w:val="007E2F63"/>
    <w:rsid w:val="007E3794"/>
    <w:rsid w:val="007E3831"/>
    <w:rsid w:val="007E3A31"/>
    <w:rsid w:val="007E40D7"/>
    <w:rsid w:val="007E410A"/>
    <w:rsid w:val="007E4347"/>
    <w:rsid w:val="007E43A2"/>
    <w:rsid w:val="007E47CB"/>
    <w:rsid w:val="007E4E95"/>
    <w:rsid w:val="007E4EDB"/>
    <w:rsid w:val="007E4FD1"/>
    <w:rsid w:val="007E50D8"/>
    <w:rsid w:val="007E5300"/>
    <w:rsid w:val="007E5459"/>
    <w:rsid w:val="007E5652"/>
    <w:rsid w:val="007E5B40"/>
    <w:rsid w:val="007E5C7F"/>
    <w:rsid w:val="007E5D38"/>
    <w:rsid w:val="007E5F22"/>
    <w:rsid w:val="007E5FD3"/>
    <w:rsid w:val="007E62D4"/>
    <w:rsid w:val="007E6BC8"/>
    <w:rsid w:val="007E6EB8"/>
    <w:rsid w:val="007E6EBC"/>
    <w:rsid w:val="007E709C"/>
    <w:rsid w:val="007E70C9"/>
    <w:rsid w:val="007E761E"/>
    <w:rsid w:val="007E781E"/>
    <w:rsid w:val="007E7CE7"/>
    <w:rsid w:val="007F0443"/>
    <w:rsid w:val="007F0479"/>
    <w:rsid w:val="007F06A4"/>
    <w:rsid w:val="007F08E4"/>
    <w:rsid w:val="007F0988"/>
    <w:rsid w:val="007F0BA8"/>
    <w:rsid w:val="007F0BC1"/>
    <w:rsid w:val="007F0CE6"/>
    <w:rsid w:val="007F102C"/>
    <w:rsid w:val="007F162B"/>
    <w:rsid w:val="007F16A8"/>
    <w:rsid w:val="007F1711"/>
    <w:rsid w:val="007F1740"/>
    <w:rsid w:val="007F175F"/>
    <w:rsid w:val="007F181F"/>
    <w:rsid w:val="007F1CBF"/>
    <w:rsid w:val="007F1F8C"/>
    <w:rsid w:val="007F1FAE"/>
    <w:rsid w:val="007F241B"/>
    <w:rsid w:val="007F24B5"/>
    <w:rsid w:val="007F28A0"/>
    <w:rsid w:val="007F2C17"/>
    <w:rsid w:val="007F31C6"/>
    <w:rsid w:val="007F37E2"/>
    <w:rsid w:val="007F38F4"/>
    <w:rsid w:val="007F39E2"/>
    <w:rsid w:val="007F3BED"/>
    <w:rsid w:val="007F3C0B"/>
    <w:rsid w:val="007F3C69"/>
    <w:rsid w:val="007F419D"/>
    <w:rsid w:val="007F458E"/>
    <w:rsid w:val="007F4E78"/>
    <w:rsid w:val="007F5263"/>
    <w:rsid w:val="007F5278"/>
    <w:rsid w:val="007F52EF"/>
    <w:rsid w:val="007F52F7"/>
    <w:rsid w:val="007F5400"/>
    <w:rsid w:val="007F5427"/>
    <w:rsid w:val="007F5775"/>
    <w:rsid w:val="007F5B14"/>
    <w:rsid w:val="007F5D14"/>
    <w:rsid w:val="007F5D17"/>
    <w:rsid w:val="007F5E3B"/>
    <w:rsid w:val="007F600A"/>
    <w:rsid w:val="007F612B"/>
    <w:rsid w:val="007F6DF8"/>
    <w:rsid w:val="007F7DCA"/>
    <w:rsid w:val="007F7DD4"/>
    <w:rsid w:val="007F7ECE"/>
    <w:rsid w:val="007F7FC0"/>
    <w:rsid w:val="00800448"/>
    <w:rsid w:val="00800D33"/>
    <w:rsid w:val="00800DD0"/>
    <w:rsid w:val="0080109C"/>
    <w:rsid w:val="0080175B"/>
    <w:rsid w:val="00801A49"/>
    <w:rsid w:val="00801B68"/>
    <w:rsid w:val="00801F7F"/>
    <w:rsid w:val="00802088"/>
    <w:rsid w:val="00802485"/>
    <w:rsid w:val="0080256D"/>
    <w:rsid w:val="0080274A"/>
    <w:rsid w:val="00802D8D"/>
    <w:rsid w:val="008031C1"/>
    <w:rsid w:val="00803352"/>
    <w:rsid w:val="00803444"/>
    <w:rsid w:val="008034AE"/>
    <w:rsid w:val="0080350F"/>
    <w:rsid w:val="00803532"/>
    <w:rsid w:val="0080357F"/>
    <w:rsid w:val="00803648"/>
    <w:rsid w:val="00803924"/>
    <w:rsid w:val="008039D2"/>
    <w:rsid w:val="00803A0F"/>
    <w:rsid w:val="00803E49"/>
    <w:rsid w:val="00804929"/>
    <w:rsid w:val="00804B52"/>
    <w:rsid w:val="00804EF1"/>
    <w:rsid w:val="008050BA"/>
    <w:rsid w:val="00805A63"/>
    <w:rsid w:val="00805AA1"/>
    <w:rsid w:val="0080605A"/>
    <w:rsid w:val="00806218"/>
    <w:rsid w:val="008065D7"/>
    <w:rsid w:val="008065F0"/>
    <w:rsid w:val="00806DE4"/>
    <w:rsid w:val="00807019"/>
    <w:rsid w:val="008070D0"/>
    <w:rsid w:val="00807248"/>
    <w:rsid w:val="00807479"/>
    <w:rsid w:val="008074A5"/>
    <w:rsid w:val="00807772"/>
    <w:rsid w:val="00807A9D"/>
    <w:rsid w:val="00807CA8"/>
    <w:rsid w:val="00807FA9"/>
    <w:rsid w:val="00810007"/>
    <w:rsid w:val="008102B3"/>
    <w:rsid w:val="0081043C"/>
    <w:rsid w:val="008104C0"/>
    <w:rsid w:val="00810608"/>
    <w:rsid w:val="0081074E"/>
    <w:rsid w:val="00810C08"/>
    <w:rsid w:val="00811383"/>
    <w:rsid w:val="008118DC"/>
    <w:rsid w:val="00811B88"/>
    <w:rsid w:val="0081227E"/>
    <w:rsid w:val="00812340"/>
    <w:rsid w:val="00812593"/>
    <w:rsid w:val="0081260C"/>
    <w:rsid w:val="00812771"/>
    <w:rsid w:val="008127BC"/>
    <w:rsid w:val="008127CE"/>
    <w:rsid w:val="00812884"/>
    <w:rsid w:val="008128F4"/>
    <w:rsid w:val="00812930"/>
    <w:rsid w:val="00812BAC"/>
    <w:rsid w:val="008130F4"/>
    <w:rsid w:val="0081343E"/>
    <w:rsid w:val="008135E1"/>
    <w:rsid w:val="00813AC3"/>
    <w:rsid w:val="00813C06"/>
    <w:rsid w:val="00813F89"/>
    <w:rsid w:val="008143E0"/>
    <w:rsid w:val="00814854"/>
    <w:rsid w:val="00814EA2"/>
    <w:rsid w:val="008154D6"/>
    <w:rsid w:val="00815563"/>
    <w:rsid w:val="00815586"/>
    <w:rsid w:val="00815ECF"/>
    <w:rsid w:val="00816629"/>
    <w:rsid w:val="00816DCC"/>
    <w:rsid w:val="0081706F"/>
    <w:rsid w:val="0081711D"/>
    <w:rsid w:val="00817142"/>
    <w:rsid w:val="008175D7"/>
    <w:rsid w:val="00817772"/>
    <w:rsid w:val="00817799"/>
    <w:rsid w:val="00817931"/>
    <w:rsid w:val="00817BCA"/>
    <w:rsid w:val="00817D84"/>
    <w:rsid w:val="00817DFC"/>
    <w:rsid w:val="00817F36"/>
    <w:rsid w:val="00820160"/>
    <w:rsid w:val="00820218"/>
    <w:rsid w:val="00820301"/>
    <w:rsid w:val="00820527"/>
    <w:rsid w:val="008206E2"/>
    <w:rsid w:val="008208BC"/>
    <w:rsid w:val="008213CE"/>
    <w:rsid w:val="0082207A"/>
    <w:rsid w:val="0082210F"/>
    <w:rsid w:val="008221E2"/>
    <w:rsid w:val="008223EF"/>
    <w:rsid w:val="0082354A"/>
    <w:rsid w:val="0082417E"/>
    <w:rsid w:val="00824221"/>
    <w:rsid w:val="008242D7"/>
    <w:rsid w:val="00824784"/>
    <w:rsid w:val="008249BC"/>
    <w:rsid w:val="00824A3F"/>
    <w:rsid w:val="00824AFD"/>
    <w:rsid w:val="0082506E"/>
    <w:rsid w:val="00825564"/>
    <w:rsid w:val="00825976"/>
    <w:rsid w:val="00825E57"/>
    <w:rsid w:val="008263E8"/>
    <w:rsid w:val="00826713"/>
    <w:rsid w:val="00826DD7"/>
    <w:rsid w:val="00826EC1"/>
    <w:rsid w:val="00827188"/>
    <w:rsid w:val="00827409"/>
    <w:rsid w:val="0082791C"/>
    <w:rsid w:val="00827AAB"/>
    <w:rsid w:val="00830086"/>
    <w:rsid w:val="00830307"/>
    <w:rsid w:val="00830726"/>
    <w:rsid w:val="00830819"/>
    <w:rsid w:val="00830B84"/>
    <w:rsid w:val="00830D52"/>
    <w:rsid w:val="008310FC"/>
    <w:rsid w:val="008311C9"/>
    <w:rsid w:val="00831210"/>
    <w:rsid w:val="00831760"/>
    <w:rsid w:val="00831C93"/>
    <w:rsid w:val="00831CF0"/>
    <w:rsid w:val="00831DA6"/>
    <w:rsid w:val="00832FA5"/>
    <w:rsid w:val="008333EF"/>
    <w:rsid w:val="008333FB"/>
    <w:rsid w:val="008337A3"/>
    <w:rsid w:val="00833A9F"/>
    <w:rsid w:val="00833AFD"/>
    <w:rsid w:val="00833B68"/>
    <w:rsid w:val="0083403A"/>
    <w:rsid w:val="0083413C"/>
    <w:rsid w:val="0083479C"/>
    <w:rsid w:val="00834CE2"/>
    <w:rsid w:val="0083553D"/>
    <w:rsid w:val="008355C9"/>
    <w:rsid w:val="00835654"/>
    <w:rsid w:val="00835729"/>
    <w:rsid w:val="008359A3"/>
    <w:rsid w:val="008359B1"/>
    <w:rsid w:val="00835AD2"/>
    <w:rsid w:val="00835B64"/>
    <w:rsid w:val="00835D1A"/>
    <w:rsid w:val="00835DA3"/>
    <w:rsid w:val="00836893"/>
    <w:rsid w:val="008368FC"/>
    <w:rsid w:val="00836EE3"/>
    <w:rsid w:val="00836FB5"/>
    <w:rsid w:val="008370A0"/>
    <w:rsid w:val="008378BD"/>
    <w:rsid w:val="00837E99"/>
    <w:rsid w:val="00840250"/>
    <w:rsid w:val="00840458"/>
    <w:rsid w:val="008406E0"/>
    <w:rsid w:val="00840867"/>
    <w:rsid w:val="0084088C"/>
    <w:rsid w:val="00840D79"/>
    <w:rsid w:val="0084135E"/>
    <w:rsid w:val="00841B85"/>
    <w:rsid w:val="00841FE7"/>
    <w:rsid w:val="00842770"/>
    <w:rsid w:val="00842874"/>
    <w:rsid w:val="008428CF"/>
    <w:rsid w:val="008429C9"/>
    <w:rsid w:val="00842E5F"/>
    <w:rsid w:val="00842F7F"/>
    <w:rsid w:val="008431A9"/>
    <w:rsid w:val="00843364"/>
    <w:rsid w:val="0084336F"/>
    <w:rsid w:val="00843464"/>
    <w:rsid w:val="008434E0"/>
    <w:rsid w:val="00843537"/>
    <w:rsid w:val="00843B9F"/>
    <w:rsid w:val="0084408C"/>
    <w:rsid w:val="0084460E"/>
    <w:rsid w:val="0084476C"/>
    <w:rsid w:val="0084477C"/>
    <w:rsid w:val="00844CA9"/>
    <w:rsid w:val="00844D70"/>
    <w:rsid w:val="00844F4B"/>
    <w:rsid w:val="00844F5D"/>
    <w:rsid w:val="00844FBD"/>
    <w:rsid w:val="008450BA"/>
    <w:rsid w:val="0084530E"/>
    <w:rsid w:val="008454C0"/>
    <w:rsid w:val="008457AF"/>
    <w:rsid w:val="008457CD"/>
    <w:rsid w:val="0084580C"/>
    <w:rsid w:val="00845CDB"/>
    <w:rsid w:val="00845CDF"/>
    <w:rsid w:val="00845DE0"/>
    <w:rsid w:val="008460DA"/>
    <w:rsid w:val="008465B8"/>
    <w:rsid w:val="008466AC"/>
    <w:rsid w:val="0084679B"/>
    <w:rsid w:val="008467DA"/>
    <w:rsid w:val="00846B77"/>
    <w:rsid w:val="00846FF0"/>
    <w:rsid w:val="008471A9"/>
    <w:rsid w:val="008476FC"/>
    <w:rsid w:val="008479C0"/>
    <w:rsid w:val="00847B0A"/>
    <w:rsid w:val="0085035D"/>
    <w:rsid w:val="008505F9"/>
    <w:rsid w:val="00850960"/>
    <w:rsid w:val="00850D8B"/>
    <w:rsid w:val="0085111F"/>
    <w:rsid w:val="00851146"/>
    <w:rsid w:val="00851147"/>
    <w:rsid w:val="0085133F"/>
    <w:rsid w:val="0085140A"/>
    <w:rsid w:val="008518B0"/>
    <w:rsid w:val="008518CD"/>
    <w:rsid w:val="00851A28"/>
    <w:rsid w:val="00851BF1"/>
    <w:rsid w:val="00852541"/>
    <w:rsid w:val="008525B4"/>
    <w:rsid w:val="00852922"/>
    <w:rsid w:val="00852B01"/>
    <w:rsid w:val="00852D0E"/>
    <w:rsid w:val="00852E8B"/>
    <w:rsid w:val="00852F28"/>
    <w:rsid w:val="00853404"/>
    <w:rsid w:val="00853733"/>
    <w:rsid w:val="00853AA2"/>
    <w:rsid w:val="00853D14"/>
    <w:rsid w:val="008540B4"/>
    <w:rsid w:val="008541E7"/>
    <w:rsid w:val="008545B4"/>
    <w:rsid w:val="00854B9B"/>
    <w:rsid w:val="008550E2"/>
    <w:rsid w:val="0085575A"/>
    <w:rsid w:val="008557F0"/>
    <w:rsid w:val="00855896"/>
    <w:rsid w:val="00855AA8"/>
    <w:rsid w:val="00855BD5"/>
    <w:rsid w:val="00855EEB"/>
    <w:rsid w:val="00855FF7"/>
    <w:rsid w:val="008563EE"/>
    <w:rsid w:val="0085669F"/>
    <w:rsid w:val="00856732"/>
    <w:rsid w:val="00856B4E"/>
    <w:rsid w:val="00856FA2"/>
    <w:rsid w:val="00856FD3"/>
    <w:rsid w:val="008570B9"/>
    <w:rsid w:val="00857176"/>
    <w:rsid w:val="008572CF"/>
    <w:rsid w:val="00857449"/>
    <w:rsid w:val="00857470"/>
    <w:rsid w:val="0085750E"/>
    <w:rsid w:val="008575E9"/>
    <w:rsid w:val="008576A3"/>
    <w:rsid w:val="008576EC"/>
    <w:rsid w:val="008578B0"/>
    <w:rsid w:val="00857B64"/>
    <w:rsid w:val="00857BE4"/>
    <w:rsid w:val="00857D67"/>
    <w:rsid w:val="00857FDF"/>
    <w:rsid w:val="00860089"/>
    <w:rsid w:val="00860270"/>
    <w:rsid w:val="008605DD"/>
    <w:rsid w:val="00860F23"/>
    <w:rsid w:val="0086121E"/>
    <w:rsid w:val="00861755"/>
    <w:rsid w:val="008620F4"/>
    <w:rsid w:val="0086253E"/>
    <w:rsid w:val="008626B7"/>
    <w:rsid w:val="008627E6"/>
    <w:rsid w:val="00862C2C"/>
    <w:rsid w:val="00862D7C"/>
    <w:rsid w:val="00863255"/>
    <w:rsid w:val="00863735"/>
    <w:rsid w:val="008637C0"/>
    <w:rsid w:val="00864008"/>
    <w:rsid w:val="008645F0"/>
    <w:rsid w:val="00864C30"/>
    <w:rsid w:val="00864D26"/>
    <w:rsid w:val="00864DDA"/>
    <w:rsid w:val="00864E59"/>
    <w:rsid w:val="0086500E"/>
    <w:rsid w:val="008651FC"/>
    <w:rsid w:val="008652B2"/>
    <w:rsid w:val="00865306"/>
    <w:rsid w:val="00865401"/>
    <w:rsid w:val="008657A3"/>
    <w:rsid w:val="008657EE"/>
    <w:rsid w:val="00865937"/>
    <w:rsid w:val="00865A32"/>
    <w:rsid w:val="00865EB6"/>
    <w:rsid w:val="00865F49"/>
    <w:rsid w:val="00866367"/>
    <w:rsid w:val="0086640D"/>
    <w:rsid w:val="008664FB"/>
    <w:rsid w:val="00866958"/>
    <w:rsid w:val="00866CBD"/>
    <w:rsid w:val="00866E05"/>
    <w:rsid w:val="00867207"/>
    <w:rsid w:val="008672F6"/>
    <w:rsid w:val="00867821"/>
    <w:rsid w:val="008702DE"/>
    <w:rsid w:val="00870E82"/>
    <w:rsid w:val="0087113D"/>
    <w:rsid w:val="008718BE"/>
    <w:rsid w:val="00871A30"/>
    <w:rsid w:val="00871A54"/>
    <w:rsid w:val="00871DD5"/>
    <w:rsid w:val="00871F80"/>
    <w:rsid w:val="00871FE0"/>
    <w:rsid w:val="0087203E"/>
    <w:rsid w:val="00872233"/>
    <w:rsid w:val="008724D0"/>
    <w:rsid w:val="0087266D"/>
    <w:rsid w:val="00872798"/>
    <w:rsid w:val="0087279C"/>
    <w:rsid w:val="00872813"/>
    <w:rsid w:val="00872953"/>
    <w:rsid w:val="00872E7F"/>
    <w:rsid w:val="00873133"/>
    <w:rsid w:val="0087325C"/>
    <w:rsid w:val="00873396"/>
    <w:rsid w:val="008736FE"/>
    <w:rsid w:val="00873DB3"/>
    <w:rsid w:val="0087477F"/>
    <w:rsid w:val="00874847"/>
    <w:rsid w:val="008748CA"/>
    <w:rsid w:val="00874D6F"/>
    <w:rsid w:val="00874EA5"/>
    <w:rsid w:val="008754D9"/>
    <w:rsid w:val="00875567"/>
    <w:rsid w:val="00875AEE"/>
    <w:rsid w:val="00875B05"/>
    <w:rsid w:val="008761CE"/>
    <w:rsid w:val="008762CF"/>
    <w:rsid w:val="00876381"/>
    <w:rsid w:val="00876611"/>
    <w:rsid w:val="008769C1"/>
    <w:rsid w:val="00876ABC"/>
    <w:rsid w:val="00876AF2"/>
    <w:rsid w:val="00876F3B"/>
    <w:rsid w:val="0087714D"/>
    <w:rsid w:val="00877455"/>
    <w:rsid w:val="008774A6"/>
    <w:rsid w:val="00877D35"/>
    <w:rsid w:val="00877E34"/>
    <w:rsid w:val="0088007B"/>
    <w:rsid w:val="008800D5"/>
    <w:rsid w:val="00880442"/>
    <w:rsid w:val="0088049C"/>
    <w:rsid w:val="0088051F"/>
    <w:rsid w:val="00880936"/>
    <w:rsid w:val="008809E5"/>
    <w:rsid w:val="00880D79"/>
    <w:rsid w:val="00880F9F"/>
    <w:rsid w:val="00880FF6"/>
    <w:rsid w:val="0088149C"/>
    <w:rsid w:val="00881593"/>
    <w:rsid w:val="0088192E"/>
    <w:rsid w:val="00881958"/>
    <w:rsid w:val="008827CA"/>
    <w:rsid w:val="0088280E"/>
    <w:rsid w:val="0088284D"/>
    <w:rsid w:val="00882A34"/>
    <w:rsid w:val="008830E4"/>
    <w:rsid w:val="0088327C"/>
    <w:rsid w:val="00883868"/>
    <w:rsid w:val="00883A1B"/>
    <w:rsid w:val="00883B35"/>
    <w:rsid w:val="00883B60"/>
    <w:rsid w:val="00883BA2"/>
    <w:rsid w:val="00883BBE"/>
    <w:rsid w:val="00883D87"/>
    <w:rsid w:val="00883F97"/>
    <w:rsid w:val="00884057"/>
    <w:rsid w:val="00884084"/>
    <w:rsid w:val="008841DD"/>
    <w:rsid w:val="00884250"/>
    <w:rsid w:val="008842B3"/>
    <w:rsid w:val="0088435B"/>
    <w:rsid w:val="00884573"/>
    <w:rsid w:val="008846D6"/>
    <w:rsid w:val="0088478E"/>
    <w:rsid w:val="00884E5B"/>
    <w:rsid w:val="00885E1C"/>
    <w:rsid w:val="00885E57"/>
    <w:rsid w:val="00885E9F"/>
    <w:rsid w:val="00885F1C"/>
    <w:rsid w:val="00885FD6"/>
    <w:rsid w:val="0088648B"/>
    <w:rsid w:val="00886517"/>
    <w:rsid w:val="0088654E"/>
    <w:rsid w:val="00886B82"/>
    <w:rsid w:val="00886C57"/>
    <w:rsid w:val="008871B7"/>
    <w:rsid w:val="008875C1"/>
    <w:rsid w:val="00887AE4"/>
    <w:rsid w:val="00887C87"/>
    <w:rsid w:val="008901EA"/>
    <w:rsid w:val="00890706"/>
    <w:rsid w:val="00890A19"/>
    <w:rsid w:val="00890AA5"/>
    <w:rsid w:val="00890DBC"/>
    <w:rsid w:val="00890E79"/>
    <w:rsid w:val="00890FB8"/>
    <w:rsid w:val="008911B6"/>
    <w:rsid w:val="008911D4"/>
    <w:rsid w:val="008912CE"/>
    <w:rsid w:val="00891429"/>
    <w:rsid w:val="00891488"/>
    <w:rsid w:val="008915B3"/>
    <w:rsid w:val="00891819"/>
    <w:rsid w:val="008918A0"/>
    <w:rsid w:val="00891C98"/>
    <w:rsid w:val="0089240D"/>
    <w:rsid w:val="00892FF1"/>
    <w:rsid w:val="0089304C"/>
    <w:rsid w:val="0089308B"/>
    <w:rsid w:val="008930DA"/>
    <w:rsid w:val="00893378"/>
    <w:rsid w:val="00893A9C"/>
    <w:rsid w:val="00893E69"/>
    <w:rsid w:val="00893F72"/>
    <w:rsid w:val="008940DA"/>
    <w:rsid w:val="00894424"/>
    <w:rsid w:val="00894603"/>
    <w:rsid w:val="00894A84"/>
    <w:rsid w:val="00894D16"/>
    <w:rsid w:val="00894D3A"/>
    <w:rsid w:val="00895045"/>
    <w:rsid w:val="0089519A"/>
    <w:rsid w:val="00895511"/>
    <w:rsid w:val="00895737"/>
    <w:rsid w:val="00895E6D"/>
    <w:rsid w:val="008960FF"/>
    <w:rsid w:val="0089632C"/>
    <w:rsid w:val="008965A7"/>
    <w:rsid w:val="0089673B"/>
    <w:rsid w:val="00896902"/>
    <w:rsid w:val="008969BA"/>
    <w:rsid w:val="00896DDD"/>
    <w:rsid w:val="008970C8"/>
    <w:rsid w:val="00897128"/>
    <w:rsid w:val="00897167"/>
    <w:rsid w:val="00897175"/>
    <w:rsid w:val="00897E47"/>
    <w:rsid w:val="00897F0B"/>
    <w:rsid w:val="00897F58"/>
    <w:rsid w:val="008A034F"/>
    <w:rsid w:val="008A04AC"/>
    <w:rsid w:val="008A05AC"/>
    <w:rsid w:val="008A093F"/>
    <w:rsid w:val="008A0A19"/>
    <w:rsid w:val="008A1419"/>
    <w:rsid w:val="008A155D"/>
    <w:rsid w:val="008A156F"/>
    <w:rsid w:val="008A1E79"/>
    <w:rsid w:val="008A1EFC"/>
    <w:rsid w:val="008A1FCD"/>
    <w:rsid w:val="008A210C"/>
    <w:rsid w:val="008A2829"/>
    <w:rsid w:val="008A29D5"/>
    <w:rsid w:val="008A2AB7"/>
    <w:rsid w:val="008A2E21"/>
    <w:rsid w:val="008A332E"/>
    <w:rsid w:val="008A3D13"/>
    <w:rsid w:val="008A4C60"/>
    <w:rsid w:val="008A51D1"/>
    <w:rsid w:val="008A5328"/>
    <w:rsid w:val="008A5415"/>
    <w:rsid w:val="008A5CB7"/>
    <w:rsid w:val="008A5D98"/>
    <w:rsid w:val="008A5FF4"/>
    <w:rsid w:val="008A6188"/>
    <w:rsid w:val="008A6195"/>
    <w:rsid w:val="008A64AA"/>
    <w:rsid w:val="008A650D"/>
    <w:rsid w:val="008A6565"/>
    <w:rsid w:val="008A68BA"/>
    <w:rsid w:val="008A693B"/>
    <w:rsid w:val="008A6D7B"/>
    <w:rsid w:val="008A6E13"/>
    <w:rsid w:val="008A6E74"/>
    <w:rsid w:val="008A7269"/>
    <w:rsid w:val="008A7403"/>
    <w:rsid w:val="008A7971"/>
    <w:rsid w:val="008A799C"/>
    <w:rsid w:val="008A7A20"/>
    <w:rsid w:val="008A7A89"/>
    <w:rsid w:val="008A7B47"/>
    <w:rsid w:val="008A7EAF"/>
    <w:rsid w:val="008B001B"/>
    <w:rsid w:val="008B0471"/>
    <w:rsid w:val="008B0769"/>
    <w:rsid w:val="008B09BE"/>
    <w:rsid w:val="008B0A75"/>
    <w:rsid w:val="008B0A97"/>
    <w:rsid w:val="008B0B5A"/>
    <w:rsid w:val="008B13AD"/>
    <w:rsid w:val="008B1408"/>
    <w:rsid w:val="008B1615"/>
    <w:rsid w:val="008B1629"/>
    <w:rsid w:val="008B1E2F"/>
    <w:rsid w:val="008B1F1E"/>
    <w:rsid w:val="008B279D"/>
    <w:rsid w:val="008B2A2F"/>
    <w:rsid w:val="008B2B38"/>
    <w:rsid w:val="008B2BF6"/>
    <w:rsid w:val="008B2FF4"/>
    <w:rsid w:val="008B318F"/>
    <w:rsid w:val="008B33E7"/>
    <w:rsid w:val="008B3891"/>
    <w:rsid w:val="008B3AF9"/>
    <w:rsid w:val="008B4055"/>
    <w:rsid w:val="008B41CA"/>
    <w:rsid w:val="008B446A"/>
    <w:rsid w:val="008B4722"/>
    <w:rsid w:val="008B4A1C"/>
    <w:rsid w:val="008B4A83"/>
    <w:rsid w:val="008B4AF3"/>
    <w:rsid w:val="008B4D17"/>
    <w:rsid w:val="008B4FFA"/>
    <w:rsid w:val="008B5071"/>
    <w:rsid w:val="008B5082"/>
    <w:rsid w:val="008B5086"/>
    <w:rsid w:val="008B5142"/>
    <w:rsid w:val="008B52AA"/>
    <w:rsid w:val="008B551F"/>
    <w:rsid w:val="008B55EE"/>
    <w:rsid w:val="008B5730"/>
    <w:rsid w:val="008B5A86"/>
    <w:rsid w:val="008B612E"/>
    <w:rsid w:val="008B61E0"/>
    <w:rsid w:val="008B6278"/>
    <w:rsid w:val="008B62C1"/>
    <w:rsid w:val="008B6359"/>
    <w:rsid w:val="008B641D"/>
    <w:rsid w:val="008B65F1"/>
    <w:rsid w:val="008B6B26"/>
    <w:rsid w:val="008B6DEA"/>
    <w:rsid w:val="008B6FB3"/>
    <w:rsid w:val="008B734B"/>
    <w:rsid w:val="008B76F2"/>
    <w:rsid w:val="008B77C9"/>
    <w:rsid w:val="008B7F4E"/>
    <w:rsid w:val="008C0BA6"/>
    <w:rsid w:val="008C0BDC"/>
    <w:rsid w:val="008C0FB3"/>
    <w:rsid w:val="008C203F"/>
    <w:rsid w:val="008C2459"/>
    <w:rsid w:val="008C278C"/>
    <w:rsid w:val="008C2835"/>
    <w:rsid w:val="008C2862"/>
    <w:rsid w:val="008C2BB2"/>
    <w:rsid w:val="008C2BE6"/>
    <w:rsid w:val="008C2FAC"/>
    <w:rsid w:val="008C34B3"/>
    <w:rsid w:val="008C3715"/>
    <w:rsid w:val="008C37C5"/>
    <w:rsid w:val="008C3904"/>
    <w:rsid w:val="008C44F9"/>
    <w:rsid w:val="008C483A"/>
    <w:rsid w:val="008C49B6"/>
    <w:rsid w:val="008C4B3C"/>
    <w:rsid w:val="008C4E66"/>
    <w:rsid w:val="008C538A"/>
    <w:rsid w:val="008C5A72"/>
    <w:rsid w:val="008C5AAF"/>
    <w:rsid w:val="008C5CB5"/>
    <w:rsid w:val="008C5F87"/>
    <w:rsid w:val="008C61D2"/>
    <w:rsid w:val="008C64B3"/>
    <w:rsid w:val="008C6A65"/>
    <w:rsid w:val="008C6C53"/>
    <w:rsid w:val="008C6C75"/>
    <w:rsid w:val="008C6E47"/>
    <w:rsid w:val="008C7110"/>
    <w:rsid w:val="008C788A"/>
    <w:rsid w:val="008C798D"/>
    <w:rsid w:val="008C7A73"/>
    <w:rsid w:val="008D011E"/>
    <w:rsid w:val="008D02A7"/>
    <w:rsid w:val="008D02AD"/>
    <w:rsid w:val="008D061A"/>
    <w:rsid w:val="008D07F8"/>
    <w:rsid w:val="008D0BC1"/>
    <w:rsid w:val="008D1044"/>
    <w:rsid w:val="008D1068"/>
    <w:rsid w:val="008D15EF"/>
    <w:rsid w:val="008D2078"/>
    <w:rsid w:val="008D2755"/>
    <w:rsid w:val="008D275E"/>
    <w:rsid w:val="008D2EC0"/>
    <w:rsid w:val="008D2F7D"/>
    <w:rsid w:val="008D40DE"/>
    <w:rsid w:val="008D4165"/>
    <w:rsid w:val="008D44CF"/>
    <w:rsid w:val="008D49FD"/>
    <w:rsid w:val="008D4A0A"/>
    <w:rsid w:val="008D4B02"/>
    <w:rsid w:val="008D4C43"/>
    <w:rsid w:val="008D4EC6"/>
    <w:rsid w:val="008D52E0"/>
    <w:rsid w:val="008D534E"/>
    <w:rsid w:val="008D5583"/>
    <w:rsid w:val="008D578A"/>
    <w:rsid w:val="008D57A9"/>
    <w:rsid w:val="008D590D"/>
    <w:rsid w:val="008D5ADD"/>
    <w:rsid w:val="008D5AFB"/>
    <w:rsid w:val="008D5B38"/>
    <w:rsid w:val="008D5BD1"/>
    <w:rsid w:val="008D5C7A"/>
    <w:rsid w:val="008D5CAD"/>
    <w:rsid w:val="008D5D23"/>
    <w:rsid w:val="008D5D9E"/>
    <w:rsid w:val="008D5F87"/>
    <w:rsid w:val="008D5FAD"/>
    <w:rsid w:val="008D6227"/>
    <w:rsid w:val="008D63D8"/>
    <w:rsid w:val="008D6467"/>
    <w:rsid w:val="008D65C1"/>
    <w:rsid w:val="008D715D"/>
    <w:rsid w:val="008D7227"/>
    <w:rsid w:val="008D7A71"/>
    <w:rsid w:val="008D7DA9"/>
    <w:rsid w:val="008E00DB"/>
    <w:rsid w:val="008E0334"/>
    <w:rsid w:val="008E047C"/>
    <w:rsid w:val="008E06C4"/>
    <w:rsid w:val="008E0832"/>
    <w:rsid w:val="008E092D"/>
    <w:rsid w:val="008E0A2F"/>
    <w:rsid w:val="008E0B2A"/>
    <w:rsid w:val="008E10F0"/>
    <w:rsid w:val="008E1685"/>
    <w:rsid w:val="008E18D7"/>
    <w:rsid w:val="008E1D17"/>
    <w:rsid w:val="008E21AE"/>
    <w:rsid w:val="008E2BB1"/>
    <w:rsid w:val="008E2DE3"/>
    <w:rsid w:val="008E2F1E"/>
    <w:rsid w:val="008E30CC"/>
    <w:rsid w:val="008E310E"/>
    <w:rsid w:val="008E3131"/>
    <w:rsid w:val="008E320D"/>
    <w:rsid w:val="008E336A"/>
    <w:rsid w:val="008E3A4C"/>
    <w:rsid w:val="008E3AD8"/>
    <w:rsid w:val="008E3B0C"/>
    <w:rsid w:val="008E3C20"/>
    <w:rsid w:val="008E406E"/>
    <w:rsid w:val="008E4123"/>
    <w:rsid w:val="008E432F"/>
    <w:rsid w:val="008E43F5"/>
    <w:rsid w:val="008E4F6F"/>
    <w:rsid w:val="008E51C1"/>
    <w:rsid w:val="008E56C1"/>
    <w:rsid w:val="008E585D"/>
    <w:rsid w:val="008E5922"/>
    <w:rsid w:val="008E5CA7"/>
    <w:rsid w:val="008E6116"/>
    <w:rsid w:val="008E62D0"/>
    <w:rsid w:val="008E665B"/>
    <w:rsid w:val="008E6EE0"/>
    <w:rsid w:val="008E7125"/>
    <w:rsid w:val="008E7141"/>
    <w:rsid w:val="008E755B"/>
    <w:rsid w:val="008E77E9"/>
    <w:rsid w:val="008E787E"/>
    <w:rsid w:val="008E7D13"/>
    <w:rsid w:val="008E7E61"/>
    <w:rsid w:val="008F0559"/>
    <w:rsid w:val="008F05A7"/>
    <w:rsid w:val="008F06C5"/>
    <w:rsid w:val="008F08B4"/>
    <w:rsid w:val="008F0EAC"/>
    <w:rsid w:val="008F1005"/>
    <w:rsid w:val="008F143D"/>
    <w:rsid w:val="008F1532"/>
    <w:rsid w:val="008F1959"/>
    <w:rsid w:val="008F19C1"/>
    <w:rsid w:val="008F2082"/>
    <w:rsid w:val="008F21C8"/>
    <w:rsid w:val="008F223A"/>
    <w:rsid w:val="008F2396"/>
    <w:rsid w:val="008F2457"/>
    <w:rsid w:val="008F2484"/>
    <w:rsid w:val="008F28AC"/>
    <w:rsid w:val="008F2C0C"/>
    <w:rsid w:val="008F2C71"/>
    <w:rsid w:val="008F2F55"/>
    <w:rsid w:val="008F3406"/>
    <w:rsid w:val="008F3495"/>
    <w:rsid w:val="008F35A5"/>
    <w:rsid w:val="008F3C17"/>
    <w:rsid w:val="008F3F7D"/>
    <w:rsid w:val="008F477C"/>
    <w:rsid w:val="008F4E86"/>
    <w:rsid w:val="008F51FC"/>
    <w:rsid w:val="008F5352"/>
    <w:rsid w:val="008F53B5"/>
    <w:rsid w:val="008F5474"/>
    <w:rsid w:val="008F56F3"/>
    <w:rsid w:val="008F5F8C"/>
    <w:rsid w:val="008F612C"/>
    <w:rsid w:val="008F63F2"/>
    <w:rsid w:val="008F654F"/>
    <w:rsid w:val="008F6653"/>
    <w:rsid w:val="008F6721"/>
    <w:rsid w:val="008F6AA3"/>
    <w:rsid w:val="008F6C38"/>
    <w:rsid w:val="008F6C4D"/>
    <w:rsid w:val="008F74F0"/>
    <w:rsid w:val="008F76C5"/>
    <w:rsid w:val="008F7843"/>
    <w:rsid w:val="0090006A"/>
    <w:rsid w:val="0090066C"/>
    <w:rsid w:val="00900720"/>
    <w:rsid w:val="00900888"/>
    <w:rsid w:val="009011F5"/>
    <w:rsid w:val="00901555"/>
    <w:rsid w:val="009017B1"/>
    <w:rsid w:val="009017F4"/>
    <w:rsid w:val="009018B0"/>
    <w:rsid w:val="00901960"/>
    <w:rsid w:val="00901AE2"/>
    <w:rsid w:val="00901E79"/>
    <w:rsid w:val="00901FB8"/>
    <w:rsid w:val="009021B1"/>
    <w:rsid w:val="00902563"/>
    <w:rsid w:val="0090292A"/>
    <w:rsid w:val="00902CC3"/>
    <w:rsid w:val="009031CB"/>
    <w:rsid w:val="009034E7"/>
    <w:rsid w:val="009037CD"/>
    <w:rsid w:val="009041C5"/>
    <w:rsid w:val="00904340"/>
    <w:rsid w:val="00904711"/>
    <w:rsid w:val="009048A9"/>
    <w:rsid w:val="009048F0"/>
    <w:rsid w:val="00904D2E"/>
    <w:rsid w:val="00904D79"/>
    <w:rsid w:val="00904FAE"/>
    <w:rsid w:val="00905018"/>
    <w:rsid w:val="009050C9"/>
    <w:rsid w:val="00905220"/>
    <w:rsid w:val="00905362"/>
    <w:rsid w:val="009054B9"/>
    <w:rsid w:val="0090597E"/>
    <w:rsid w:val="00905B5C"/>
    <w:rsid w:val="00905B5E"/>
    <w:rsid w:val="00905BA7"/>
    <w:rsid w:val="00905BEB"/>
    <w:rsid w:val="00905D96"/>
    <w:rsid w:val="00906ADB"/>
    <w:rsid w:val="00906C38"/>
    <w:rsid w:val="00906EC8"/>
    <w:rsid w:val="00906ED2"/>
    <w:rsid w:val="00907565"/>
    <w:rsid w:val="009075F9"/>
    <w:rsid w:val="00907654"/>
    <w:rsid w:val="00907A80"/>
    <w:rsid w:val="00907A88"/>
    <w:rsid w:val="00907B64"/>
    <w:rsid w:val="00907DD5"/>
    <w:rsid w:val="00907E0B"/>
    <w:rsid w:val="0091005E"/>
    <w:rsid w:val="009101C3"/>
    <w:rsid w:val="009102AB"/>
    <w:rsid w:val="00910665"/>
    <w:rsid w:val="00910A1A"/>
    <w:rsid w:val="00910F36"/>
    <w:rsid w:val="009112FE"/>
    <w:rsid w:val="00911898"/>
    <w:rsid w:val="0091190F"/>
    <w:rsid w:val="00911A74"/>
    <w:rsid w:val="00911B7B"/>
    <w:rsid w:val="0091263D"/>
    <w:rsid w:val="00912660"/>
    <w:rsid w:val="00912734"/>
    <w:rsid w:val="0091283E"/>
    <w:rsid w:val="009128D9"/>
    <w:rsid w:val="00912925"/>
    <w:rsid w:val="0091294B"/>
    <w:rsid w:val="009130EF"/>
    <w:rsid w:val="009131D6"/>
    <w:rsid w:val="009131F9"/>
    <w:rsid w:val="00913567"/>
    <w:rsid w:val="009137A3"/>
    <w:rsid w:val="00913C78"/>
    <w:rsid w:val="009142B0"/>
    <w:rsid w:val="00914510"/>
    <w:rsid w:val="00914A98"/>
    <w:rsid w:val="00914B3A"/>
    <w:rsid w:val="009151D0"/>
    <w:rsid w:val="009158E4"/>
    <w:rsid w:val="009159DD"/>
    <w:rsid w:val="00915E6F"/>
    <w:rsid w:val="00916012"/>
    <w:rsid w:val="00916076"/>
    <w:rsid w:val="00916242"/>
    <w:rsid w:val="009162AA"/>
    <w:rsid w:val="00916566"/>
    <w:rsid w:val="00916B0D"/>
    <w:rsid w:val="00916F83"/>
    <w:rsid w:val="00917097"/>
    <w:rsid w:val="0091715E"/>
    <w:rsid w:val="00917773"/>
    <w:rsid w:val="00917959"/>
    <w:rsid w:val="00917DFE"/>
    <w:rsid w:val="00917EF9"/>
    <w:rsid w:val="0092013B"/>
    <w:rsid w:val="009203B2"/>
    <w:rsid w:val="00920E1A"/>
    <w:rsid w:val="0092148D"/>
    <w:rsid w:val="00921866"/>
    <w:rsid w:val="00921A97"/>
    <w:rsid w:val="00921B77"/>
    <w:rsid w:val="00921C10"/>
    <w:rsid w:val="00921D19"/>
    <w:rsid w:val="00922219"/>
    <w:rsid w:val="00922356"/>
    <w:rsid w:val="00922727"/>
    <w:rsid w:val="00922984"/>
    <w:rsid w:val="00922DC0"/>
    <w:rsid w:val="00923403"/>
    <w:rsid w:val="009241A4"/>
    <w:rsid w:val="00924693"/>
    <w:rsid w:val="00924940"/>
    <w:rsid w:val="00924950"/>
    <w:rsid w:val="00924CEF"/>
    <w:rsid w:val="00924DE4"/>
    <w:rsid w:val="00924F18"/>
    <w:rsid w:val="009250A1"/>
    <w:rsid w:val="009255A8"/>
    <w:rsid w:val="00925C19"/>
    <w:rsid w:val="00925FED"/>
    <w:rsid w:val="00926239"/>
    <w:rsid w:val="0092652B"/>
    <w:rsid w:val="009265AE"/>
    <w:rsid w:val="00926870"/>
    <w:rsid w:val="009268C1"/>
    <w:rsid w:val="00926A2A"/>
    <w:rsid w:val="00926B05"/>
    <w:rsid w:val="00926CAE"/>
    <w:rsid w:val="00926E25"/>
    <w:rsid w:val="009270CD"/>
    <w:rsid w:val="00927153"/>
    <w:rsid w:val="009271A9"/>
    <w:rsid w:val="009271FB"/>
    <w:rsid w:val="009275E4"/>
    <w:rsid w:val="0092788E"/>
    <w:rsid w:val="00927E54"/>
    <w:rsid w:val="00927FA4"/>
    <w:rsid w:val="00927FDB"/>
    <w:rsid w:val="00930164"/>
    <w:rsid w:val="009305F8"/>
    <w:rsid w:val="00930627"/>
    <w:rsid w:val="00930C00"/>
    <w:rsid w:val="00930E13"/>
    <w:rsid w:val="0093138E"/>
    <w:rsid w:val="00931422"/>
    <w:rsid w:val="009315DA"/>
    <w:rsid w:val="00931A7E"/>
    <w:rsid w:val="00931C2B"/>
    <w:rsid w:val="00931EAD"/>
    <w:rsid w:val="009321FC"/>
    <w:rsid w:val="009323A6"/>
    <w:rsid w:val="009324E8"/>
    <w:rsid w:val="009328F9"/>
    <w:rsid w:val="00932FC2"/>
    <w:rsid w:val="00933681"/>
    <w:rsid w:val="009337A7"/>
    <w:rsid w:val="00933860"/>
    <w:rsid w:val="00933CBE"/>
    <w:rsid w:val="00934052"/>
    <w:rsid w:val="00934112"/>
    <w:rsid w:val="009341AD"/>
    <w:rsid w:val="00934415"/>
    <w:rsid w:val="00934B6A"/>
    <w:rsid w:val="00934CCE"/>
    <w:rsid w:val="00934F59"/>
    <w:rsid w:val="0093526F"/>
    <w:rsid w:val="009352D0"/>
    <w:rsid w:val="0093538A"/>
    <w:rsid w:val="009356A0"/>
    <w:rsid w:val="00935A1B"/>
    <w:rsid w:val="00935AFC"/>
    <w:rsid w:val="00935B29"/>
    <w:rsid w:val="00935B94"/>
    <w:rsid w:val="00935DDF"/>
    <w:rsid w:val="00936041"/>
    <w:rsid w:val="009364A8"/>
    <w:rsid w:val="00936A1C"/>
    <w:rsid w:val="00936A2F"/>
    <w:rsid w:val="009372BD"/>
    <w:rsid w:val="00937372"/>
    <w:rsid w:val="009373EE"/>
    <w:rsid w:val="0093741C"/>
    <w:rsid w:val="00937952"/>
    <w:rsid w:val="00937A2B"/>
    <w:rsid w:val="00937A50"/>
    <w:rsid w:val="00937BE5"/>
    <w:rsid w:val="009400B4"/>
    <w:rsid w:val="009404C4"/>
    <w:rsid w:val="0094073F"/>
    <w:rsid w:val="009409D0"/>
    <w:rsid w:val="00940B6E"/>
    <w:rsid w:val="00940D87"/>
    <w:rsid w:val="00941576"/>
    <w:rsid w:val="009416E5"/>
    <w:rsid w:val="00941AAD"/>
    <w:rsid w:val="00941B97"/>
    <w:rsid w:val="00941FEA"/>
    <w:rsid w:val="00942324"/>
    <w:rsid w:val="00942599"/>
    <w:rsid w:val="00942BC0"/>
    <w:rsid w:val="00942FC5"/>
    <w:rsid w:val="0094306F"/>
    <w:rsid w:val="009434BB"/>
    <w:rsid w:val="0094361D"/>
    <w:rsid w:val="00943D70"/>
    <w:rsid w:val="00944259"/>
    <w:rsid w:val="0094472B"/>
    <w:rsid w:val="0094494A"/>
    <w:rsid w:val="0094495B"/>
    <w:rsid w:val="0094496C"/>
    <w:rsid w:val="00944A00"/>
    <w:rsid w:val="00944B79"/>
    <w:rsid w:val="00944DB1"/>
    <w:rsid w:val="00944EE2"/>
    <w:rsid w:val="00944FE2"/>
    <w:rsid w:val="009453A3"/>
    <w:rsid w:val="0094572A"/>
    <w:rsid w:val="009457A5"/>
    <w:rsid w:val="00945945"/>
    <w:rsid w:val="00945D03"/>
    <w:rsid w:val="00945F3D"/>
    <w:rsid w:val="00946066"/>
    <w:rsid w:val="00946259"/>
    <w:rsid w:val="009463FC"/>
    <w:rsid w:val="00946688"/>
    <w:rsid w:val="00946787"/>
    <w:rsid w:val="009468DD"/>
    <w:rsid w:val="0094697F"/>
    <w:rsid w:val="00946DCD"/>
    <w:rsid w:val="00946EE1"/>
    <w:rsid w:val="009477E5"/>
    <w:rsid w:val="00947ACD"/>
    <w:rsid w:val="00947B8B"/>
    <w:rsid w:val="009501EC"/>
    <w:rsid w:val="00950284"/>
    <w:rsid w:val="009502C2"/>
    <w:rsid w:val="009506F8"/>
    <w:rsid w:val="009508FD"/>
    <w:rsid w:val="00950934"/>
    <w:rsid w:val="009509E5"/>
    <w:rsid w:val="00950AB0"/>
    <w:rsid w:val="00950D4B"/>
    <w:rsid w:val="00951D6D"/>
    <w:rsid w:val="00952015"/>
    <w:rsid w:val="00952466"/>
    <w:rsid w:val="009525B3"/>
    <w:rsid w:val="00952F02"/>
    <w:rsid w:val="00952F6E"/>
    <w:rsid w:val="00953044"/>
    <w:rsid w:val="009539F7"/>
    <w:rsid w:val="00953C7E"/>
    <w:rsid w:val="00953D7B"/>
    <w:rsid w:val="00953E21"/>
    <w:rsid w:val="009540B8"/>
    <w:rsid w:val="009545A0"/>
    <w:rsid w:val="00954AA6"/>
    <w:rsid w:val="00954B09"/>
    <w:rsid w:val="009551B7"/>
    <w:rsid w:val="0095524B"/>
    <w:rsid w:val="009554C8"/>
    <w:rsid w:val="0095552D"/>
    <w:rsid w:val="00955AB9"/>
    <w:rsid w:val="00955D48"/>
    <w:rsid w:val="00955E1F"/>
    <w:rsid w:val="00955F9D"/>
    <w:rsid w:val="0095636C"/>
    <w:rsid w:val="009565D5"/>
    <w:rsid w:val="00956652"/>
    <w:rsid w:val="009566A2"/>
    <w:rsid w:val="009569C5"/>
    <w:rsid w:val="00956A55"/>
    <w:rsid w:val="00956CA6"/>
    <w:rsid w:val="009571D3"/>
    <w:rsid w:val="009573A4"/>
    <w:rsid w:val="0095772C"/>
    <w:rsid w:val="00957915"/>
    <w:rsid w:val="00957BAD"/>
    <w:rsid w:val="00957CE6"/>
    <w:rsid w:val="00957E19"/>
    <w:rsid w:val="00957FCA"/>
    <w:rsid w:val="00960110"/>
    <w:rsid w:val="0096013D"/>
    <w:rsid w:val="0096014D"/>
    <w:rsid w:val="00960267"/>
    <w:rsid w:val="00960B80"/>
    <w:rsid w:val="00960DB7"/>
    <w:rsid w:val="00960EB0"/>
    <w:rsid w:val="00961390"/>
    <w:rsid w:val="00961636"/>
    <w:rsid w:val="00961678"/>
    <w:rsid w:val="0096179F"/>
    <w:rsid w:val="009617B6"/>
    <w:rsid w:val="00961A76"/>
    <w:rsid w:val="00961C5E"/>
    <w:rsid w:val="00961D03"/>
    <w:rsid w:val="00961F8A"/>
    <w:rsid w:val="0096207E"/>
    <w:rsid w:val="0096228E"/>
    <w:rsid w:val="00962784"/>
    <w:rsid w:val="00962804"/>
    <w:rsid w:val="009629E1"/>
    <w:rsid w:val="00962B4B"/>
    <w:rsid w:val="00962B6A"/>
    <w:rsid w:val="00962F09"/>
    <w:rsid w:val="009630A5"/>
    <w:rsid w:val="00963225"/>
    <w:rsid w:val="00963409"/>
    <w:rsid w:val="00963558"/>
    <w:rsid w:val="00963644"/>
    <w:rsid w:val="00963830"/>
    <w:rsid w:val="00963E17"/>
    <w:rsid w:val="00964165"/>
    <w:rsid w:val="0096432C"/>
    <w:rsid w:val="009643BC"/>
    <w:rsid w:val="0096440E"/>
    <w:rsid w:val="00964950"/>
    <w:rsid w:val="009649CB"/>
    <w:rsid w:val="00964A12"/>
    <w:rsid w:val="00964AE1"/>
    <w:rsid w:val="00964C0E"/>
    <w:rsid w:val="00965182"/>
    <w:rsid w:val="00965BD1"/>
    <w:rsid w:val="00965C80"/>
    <w:rsid w:val="00965DC7"/>
    <w:rsid w:val="00965EF7"/>
    <w:rsid w:val="009662A0"/>
    <w:rsid w:val="0096630C"/>
    <w:rsid w:val="009663B0"/>
    <w:rsid w:val="009663C8"/>
    <w:rsid w:val="009666EF"/>
    <w:rsid w:val="009669E3"/>
    <w:rsid w:val="00966D2D"/>
    <w:rsid w:val="00966D95"/>
    <w:rsid w:val="00967029"/>
    <w:rsid w:val="009670E3"/>
    <w:rsid w:val="0096754A"/>
    <w:rsid w:val="009679C9"/>
    <w:rsid w:val="00967A18"/>
    <w:rsid w:val="00967A85"/>
    <w:rsid w:val="00967FCA"/>
    <w:rsid w:val="009704EC"/>
    <w:rsid w:val="009705F6"/>
    <w:rsid w:val="009707FB"/>
    <w:rsid w:val="00970AD7"/>
    <w:rsid w:val="00970FC1"/>
    <w:rsid w:val="009710E2"/>
    <w:rsid w:val="009710F4"/>
    <w:rsid w:val="00971176"/>
    <w:rsid w:val="0097117E"/>
    <w:rsid w:val="00971476"/>
    <w:rsid w:val="009714C0"/>
    <w:rsid w:val="009714DF"/>
    <w:rsid w:val="0097182B"/>
    <w:rsid w:val="00971833"/>
    <w:rsid w:val="009719D2"/>
    <w:rsid w:val="00971B21"/>
    <w:rsid w:val="00972A55"/>
    <w:rsid w:val="00972BC5"/>
    <w:rsid w:val="00972E57"/>
    <w:rsid w:val="00972F2A"/>
    <w:rsid w:val="00973344"/>
    <w:rsid w:val="00973598"/>
    <w:rsid w:val="00973CAF"/>
    <w:rsid w:val="00973E6F"/>
    <w:rsid w:val="00973F1B"/>
    <w:rsid w:val="00973F4D"/>
    <w:rsid w:val="00973FE0"/>
    <w:rsid w:val="00974808"/>
    <w:rsid w:val="00974941"/>
    <w:rsid w:val="00974C41"/>
    <w:rsid w:val="00974D8A"/>
    <w:rsid w:val="0097504D"/>
    <w:rsid w:val="009750C6"/>
    <w:rsid w:val="00975505"/>
    <w:rsid w:val="0097565E"/>
    <w:rsid w:val="00975DFF"/>
    <w:rsid w:val="00975E57"/>
    <w:rsid w:val="0097603F"/>
    <w:rsid w:val="009760CB"/>
    <w:rsid w:val="00976404"/>
    <w:rsid w:val="0097658A"/>
    <w:rsid w:val="009765FF"/>
    <w:rsid w:val="009769FF"/>
    <w:rsid w:val="00976AEA"/>
    <w:rsid w:val="00976E4E"/>
    <w:rsid w:val="00976EEE"/>
    <w:rsid w:val="0097779B"/>
    <w:rsid w:val="00977A4E"/>
    <w:rsid w:val="00977C5D"/>
    <w:rsid w:val="00977CA3"/>
    <w:rsid w:val="00977DB3"/>
    <w:rsid w:val="00980321"/>
    <w:rsid w:val="00980515"/>
    <w:rsid w:val="00980581"/>
    <w:rsid w:val="00980639"/>
    <w:rsid w:val="0098068B"/>
    <w:rsid w:val="00980931"/>
    <w:rsid w:val="009819FF"/>
    <w:rsid w:val="00981A5C"/>
    <w:rsid w:val="00981B85"/>
    <w:rsid w:val="00981C49"/>
    <w:rsid w:val="00981E47"/>
    <w:rsid w:val="00981ED5"/>
    <w:rsid w:val="00981EEA"/>
    <w:rsid w:val="00982110"/>
    <w:rsid w:val="009829DE"/>
    <w:rsid w:val="00982F83"/>
    <w:rsid w:val="00983068"/>
    <w:rsid w:val="0098317E"/>
    <w:rsid w:val="0098349E"/>
    <w:rsid w:val="00983591"/>
    <w:rsid w:val="0098409C"/>
    <w:rsid w:val="0098488D"/>
    <w:rsid w:val="009849AF"/>
    <w:rsid w:val="00984BC2"/>
    <w:rsid w:val="00984E6A"/>
    <w:rsid w:val="00985440"/>
    <w:rsid w:val="00985478"/>
    <w:rsid w:val="009855AF"/>
    <w:rsid w:val="00985A61"/>
    <w:rsid w:val="00985AA4"/>
    <w:rsid w:val="00985E26"/>
    <w:rsid w:val="00985FB0"/>
    <w:rsid w:val="0098612F"/>
    <w:rsid w:val="0098633E"/>
    <w:rsid w:val="0098663B"/>
    <w:rsid w:val="00986BF9"/>
    <w:rsid w:val="00986EA7"/>
    <w:rsid w:val="00986F58"/>
    <w:rsid w:val="00986F79"/>
    <w:rsid w:val="009870D3"/>
    <w:rsid w:val="0098763C"/>
    <w:rsid w:val="0098782B"/>
    <w:rsid w:val="0098787C"/>
    <w:rsid w:val="00987888"/>
    <w:rsid w:val="009878B3"/>
    <w:rsid w:val="00987CC5"/>
    <w:rsid w:val="00987D36"/>
    <w:rsid w:val="00990068"/>
    <w:rsid w:val="009900EB"/>
    <w:rsid w:val="0099048E"/>
    <w:rsid w:val="009905A0"/>
    <w:rsid w:val="009905F7"/>
    <w:rsid w:val="009906C8"/>
    <w:rsid w:val="00990E1A"/>
    <w:rsid w:val="00990FC0"/>
    <w:rsid w:val="0099178D"/>
    <w:rsid w:val="009918B9"/>
    <w:rsid w:val="009919A7"/>
    <w:rsid w:val="00991ABB"/>
    <w:rsid w:val="00991B75"/>
    <w:rsid w:val="00991DEB"/>
    <w:rsid w:val="00991F55"/>
    <w:rsid w:val="00992764"/>
    <w:rsid w:val="0099284A"/>
    <w:rsid w:val="00992B52"/>
    <w:rsid w:val="00992FB6"/>
    <w:rsid w:val="0099340B"/>
    <w:rsid w:val="00993538"/>
    <w:rsid w:val="00993B3F"/>
    <w:rsid w:val="00993C3B"/>
    <w:rsid w:val="0099410D"/>
    <w:rsid w:val="0099414A"/>
    <w:rsid w:val="00994160"/>
    <w:rsid w:val="00994318"/>
    <w:rsid w:val="009943A8"/>
    <w:rsid w:val="009943E3"/>
    <w:rsid w:val="00994453"/>
    <w:rsid w:val="009945B3"/>
    <w:rsid w:val="00994BE4"/>
    <w:rsid w:val="00995418"/>
    <w:rsid w:val="00995692"/>
    <w:rsid w:val="009959C2"/>
    <w:rsid w:val="0099608D"/>
    <w:rsid w:val="00996256"/>
    <w:rsid w:val="009969ED"/>
    <w:rsid w:val="00996D39"/>
    <w:rsid w:val="00996E32"/>
    <w:rsid w:val="009975CF"/>
    <w:rsid w:val="0099760B"/>
    <w:rsid w:val="009977D0"/>
    <w:rsid w:val="0099781E"/>
    <w:rsid w:val="00997CC0"/>
    <w:rsid w:val="009A058C"/>
    <w:rsid w:val="009A094B"/>
    <w:rsid w:val="009A096F"/>
    <w:rsid w:val="009A09B1"/>
    <w:rsid w:val="009A09D5"/>
    <w:rsid w:val="009A0C3D"/>
    <w:rsid w:val="009A0C84"/>
    <w:rsid w:val="009A0C98"/>
    <w:rsid w:val="009A1085"/>
    <w:rsid w:val="009A1246"/>
    <w:rsid w:val="009A12B0"/>
    <w:rsid w:val="009A17E2"/>
    <w:rsid w:val="009A18F6"/>
    <w:rsid w:val="009A1902"/>
    <w:rsid w:val="009A1B53"/>
    <w:rsid w:val="009A1B9D"/>
    <w:rsid w:val="009A1CE0"/>
    <w:rsid w:val="009A229B"/>
    <w:rsid w:val="009A25F3"/>
    <w:rsid w:val="009A2624"/>
    <w:rsid w:val="009A290D"/>
    <w:rsid w:val="009A2918"/>
    <w:rsid w:val="009A298F"/>
    <w:rsid w:val="009A2AE1"/>
    <w:rsid w:val="009A308B"/>
    <w:rsid w:val="009A3575"/>
    <w:rsid w:val="009A36CE"/>
    <w:rsid w:val="009A37B0"/>
    <w:rsid w:val="009A3A84"/>
    <w:rsid w:val="009A3CA7"/>
    <w:rsid w:val="009A3ECD"/>
    <w:rsid w:val="009A408B"/>
    <w:rsid w:val="009A4100"/>
    <w:rsid w:val="009A427F"/>
    <w:rsid w:val="009A42AD"/>
    <w:rsid w:val="009A4615"/>
    <w:rsid w:val="009A4EF1"/>
    <w:rsid w:val="009A5A2C"/>
    <w:rsid w:val="009A5DCF"/>
    <w:rsid w:val="009A5F9A"/>
    <w:rsid w:val="009A600F"/>
    <w:rsid w:val="009A625A"/>
    <w:rsid w:val="009A62B9"/>
    <w:rsid w:val="009A63BB"/>
    <w:rsid w:val="009A6714"/>
    <w:rsid w:val="009A68DF"/>
    <w:rsid w:val="009A69DD"/>
    <w:rsid w:val="009A6BC0"/>
    <w:rsid w:val="009A6D2C"/>
    <w:rsid w:val="009A7627"/>
    <w:rsid w:val="009A7D82"/>
    <w:rsid w:val="009A7E0D"/>
    <w:rsid w:val="009B00BE"/>
    <w:rsid w:val="009B0304"/>
    <w:rsid w:val="009B088B"/>
    <w:rsid w:val="009B0AF0"/>
    <w:rsid w:val="009B0C1B"/>
    <w:rsid w:val="009B0CB1"/>
    <w:rsid w:val="009B2030"/>
    <w:rsid w:val="009B21A4"/>
    <w:rsid w:val="009B2876"/>
    <w:rsid w:val="009B2C6A"/>
    <w:rsid w:val="009B2FEB"/>
    <w:rsid w:val="009B31CC"/>
    <w:rsid w:val="009B3732"/>
    <w:rsid w:val="009B3757"/>
    <w:rsid w:val="009B3CFA"/>
    <w:rsid w:val="009B4860"/>
    <w:rsid w:val="009B4C08"/>
    <w:rsid w:val="009B4F90"/>
    <w:rsid w:val="009B4FAF"/>
    <w:rsid w:val="009B5379"/>
    <w:rsid w:val="009B5464"/>
    <w:rsid w:val="009B54D0"/>
    <w:rsid w:val="009B5631"/>
    <w:rsid w:val="009B575D"/>
    <w:rsid w:val="009B5803"/>
    <w:rsid w:val="009B59C6"/>
    <w:rsid w:val="009B5D76"/>
    <w:rsid w:val="009B60BB"/>
    <w:rsid w:val="009B6447"/>
    <w:rsid w:val="009B64C8"/>
    <w:rsid w:val="009B67C8"/>
    <w:rsid w:val="009B6897"/>
    <w:rsid w:val="009B68EF"/>
    <w:rsid w:val="009B6E11"/>
    <w:rsid w:val="009B6EA9"/>
    <w:rsid w:val="009B6F33"/>
    <w:rsid w:val="009B7520"/>
    <w:rsid w:val="009B7580"/>
    <w:rsid w:val="009B75DF"/>
    <w:rsid w:val="009B760A"/>
    <w:rsid w:val="009B76EC"/>
    <w:rsid w:val="009B770A"/>
    <w:rsid w:val="009B7805"/>
    <w:rsid w:val="009B7C59"/>
    <w:rsid w:val="009B7D4C"/>
    <w:rsid w:val="009B7F2E"/>
    <w:rsid w:val="009C017F"/>
    <w:rsid w:val="009C01C0"/>
    <w:rsid w:val="009C0825"/>
    <w:rsid w:val="009C0CD5"/>
    <w:rsid w:val="009C0D0D"/>
    <w:rsid w:val="009C0F4E"/>
    <w:rsid w:val="009C11C7"/>
    <w:rsid w:val="009C14ED"/>
    <w:rsid w:val="009C1811"/>
    <w:rsid w:val="009C18DF"/>
    <w:rsid w:val="009C1950"/>
    <w:rsid w:val="009C1BCB"/>
    <w:rsid w:val="009C1CF2"/>
    <w:rsid w:val="009C1D9C"/>
    <w:rsid w:val="009C1E17"/>
    <w:rsid w:val="009C2490"/>
    <w:rsid w:val="009C2520"/>
    <w:rsid w:val="009C286E"/>
    <w:rsid w:val="009C2BA9"/>
    <w:rsid w:val="009C2D22"/>
    <w:rsid w:val="009C2E68"/>
    <w:rsid w:val="009C3165"/>
    <w:rsid w:val="009C326E"/>
    <w:rsid w:val="009C3AB5"/>
    <w:rsid w:val="009C3CBC"/>
    <w:rsid w:val="009C3E58"/>
    <w:rsid w:val="009C3EB8"/>
    <w:rsid w:val="009C4083"/>
    <w:rsid w:val="009C4588"/>
    <w:rsid w:val="009C45DF"/>
    <w:rsid w:val="009C462F"/>
    <w:rsid w:val="009C46F9"/>
    <w:rsid w:val="009C4AF2"/>
    <w:rsid w:val="009C4BEE"/>
    <w:rsid w:val="009C4C33"/>
    <w:rsid w:val="009C4DEF"/>
    <w:rsid w:val="009C4F2B"/>
    <w:rsid w:val="009C50CC"/>
    <w:rsid w:val="009C570B"/>
    <w:rsid w:val="009C574E"/>
    <w:rsid w:val="009C57C9"/>
    <w:rsid w:val="009C5B93"/>
    <w:rsid w:val="009C5E1F"/>
    <w:rsid w:val="009C5E39"/>
    <w:rsid w:val="009C5E9B"/>
    <w:rsid w:val="009C6028"/>
    <w:rsid w:val="009C6185"/>
    <w:rsid w:val="009C6528"/>
    <w:rsid w:val="009C671B"/>
    <w:rsid w:val="009C68C4"/>
    <w:rsid w:val="009C6A5C"/>
    <w:rsid w:val="009C6ED7"/>
    <w:rsid w:val="009C6F6B"/>
    <w:rsid w:val="009C7088"/>
    <w:rsid w:val="009C79A5"/>
    <w:rsid w:val="009C7B06"/>
    <w:rsid w:val="009D0272"/>
    <w:rsid w:val="009D02D2"/>
    <w:rsid w:val="009D04AB"/>
    <w:rsid w:val="009D07D1"/>
    <w:rsid w:val="009D0A5F"/>
    <w:rsid w:val="009D0CB9"/>
    <w:rsid w:val="009D105C"/>
    <w:rsid w:val="009D1081"/>
    <w:rsid w:val="009D109A"/>
    <w:rsid w:val="009D144C"/>
    <w:rsid w:val="009D17AD"/>
    <w:rsid w:val="009D1A1C"/>
    <w:rsid w:val="009D2205"/>
    <w:rsid w:val="009D223E"/>
    <w:rsid w:val="009D2669"/>
    <w:rsid w:val="009D2AF7"/>
    <w:rsid w:val="009D2B33"/>
    <w:rsid w:val="009D372D"/>
    <w:rsid w:val="009D40B4"/>
    <w:rsid w:val="009D45CD"/>
    <w:rsid w:val="009D4A2B"/>
    <w:rsid w:val="009D4B1E"/>
    <w:rsid w:val="009D571E"/>
    <w:rsid w:val="009D57C1"/>
    <w:rsid w:val="009D58FF"/>
    <w:rsid w:val="009D610A"/>
    <w:rsid w:val="009D6287"/>
    <w:rsid w:val="009D671B"/>
    <w:rsid w:val="009D685C"/>
    <w:rsid w:val="009D6CC4"/>
    <w:rsid w:val="009D6E34"/>
    <w:rsid w:val="009D6E99"/>
    <w:rsid w:val="009D70A6"/>
    <w:rsid w:val="009D7294"/>
    <w:rsid w:val="009D73CF"/>
    <w:rsid w:val="009D74A1"/>
    <w:rsid w:val="009D75AA"/>
    <w:rsid w:val="009D7D17"/>
    <w:rsid w:val="009E025E"/>
    <w:rsid w:val="009E04F8"/>
    <w:rsid w:val="009E0CE9"/>
    <w:rsid w:val="009E0F16"/>
    <w:rsid w:val="009E0FC5"/>
    <w:rsid w:val="009E14E6"/>
    <w:rsid w:val="009E18D8"/>
    <w:rsid w:val="009E1AD5"/>
    <w:rsid w:val="009E1ADC"/>
    <w:rsid w:val="009E1BEB"/>
    <w:rsid w:val="009E1DBF"/>
    <w:rsid w:val="009E2399"/>
    <w:rsid w:val="009E2A02"/>
    <w:rsid w:val="009E2BAA"/>
    <w:rsid w:val="009E3182"/>
    <w:rsid w:val="009E35FD"/>
    <w:rsid w:val="009E36AB"/>
    <w:rsid w:val="009E37F8"/>
    <w:rsid w:val="009E3A5F"/>
    <w:rsid w:val="009E3A92"/>
    <w:rsid w:val="009E424B"/>
    <w:rsid w:val="009E4443"/>
    <w:rsid w:val="009E492D"/>
    <w:rsid w:val="009E49A0"/>
    <w:rsid w:val="009E4F69"/>
    <w:rsid w:val="009E4F92"/>
    <w:rsid w:val="009E5336"/>
    <w:rsid w:val="009E53FB"/>
    <w:rsid w:val="009E548B"/>
    <w:rsid w:val="009E5492"/>
    <w:rsid w:val="009E567E"/>
    <w:rsid w:val="009E5DA5"/>
    <w:rsid w:val="009E6556"/>
    <w:rsid w:val="009E66A7"/>
    <w:rsid w:val="009E6B72"/>
    <w:rsid w:val="009E6F40"/>
    <w:rsid w:val="009E7564"/>
    <w:rsid w:val="009E79D8"/>
    <w:rsid w:val="009F0084"/>
    <w:rsid w:val="009F02BE"/>
    <w:rsid w:val="009F02D8"/>
    <w:rsid w:val="009F04AF"/>
    <w:rsid w:val="009F0569"/>
    <w:rsid w:val="009F073D"/>
    <w:rsid w:val="009F0C29"/>
    <w:rsid w:val="009F0EEE"/>
    <w:rsid w:val="009F12A4"/>
    <w:rsid w:val="009F17A3"/>
    <w:rsid w:val="009F1B20"/>
    <w:rsid w:val="009F1C50"/>
    <w:rsid w:val="009F2135"/>
    <w:rsid w:val="009F222B"/>
    <w:rsid w:val="009F250F"/>
    <w:rsid w:val="009F2A4F"/>
    <w:rsid w:val="009F2B9D"/>
    <w:rsid w:val="009F2BBF"/>
    <w:rsid w:val="009F2D5E"/>
    <w:rsid w:val="009F2FC2"/>
    <w:rsid w:val="009F336B"/>
    <w:rsid w:val="009F365E"/>
    <w:rsid w:val="009F3754"/>
    <w:rsid w:val="009F37B0"/>
    <w:rsid w:val="009F38DC"/>
    <w:rsid w:val="009F3B4E"/>
    <w:rsid w:val="009F41FA"/>
    <w:rsid w:val="009F42E2"/>
    <w:rsid w:val="009F4648"/>
    <w:rsid w:val="009F4EB9"/>
    <w:rsid w:val="009F5B3C"/>
    <w:rsid w:val="009F5CB9"/>
    <w:rsid w:val="009F5D6A"/>
    <w:rsid w:val="009F61B9"/>
    <w:rsid w:val="009F6232"/>
    <w:rsid w:val="009F63AA"/>
    <w:rsid w:val="009F63D2"/>
    <w:rsid w:val="009F6876"/>
    <w:rsid w:val="009F68D6"/>
    <w:rsid w:val="009F6B71"/>
    <w:rsid w:val="009F6CA0"/>
    <w:rsid w:val="009F7726"/>
    <w:rsid w:val="009F7755"/>
    <w:rsid w:val="009F7ABC"/>
    <w:rsid w:val="009F7AC3"/>
    <w:rsid w:val="009F7ACC"/>
    <w:rsid w:val="009F7B40"/>
    <w:rsid w:val="009F7F0E"/>
    <w:rsid w:val="00A0011E"/>
    <w:rsid w:val="00A004C4"/>
    <w:rsid w:val="00A00A02"/>
    <w:rsid w:val="00A00A94"/>
    <w:rsid w:val="00A00F31"/>
    <w:rsid w:val="00A0107F"/>
    <w:rsid w:val="00A01184"/>
    <w:rsid w:val="00A01397"/>
    <w:rsid w:val="00A02221"/>
    <w:rsid w:val="00A0260D"/>
    <w:rsid w:val="00A027CD"/>
    <w:rsid w:val="00A0286C"/>
    <w:rsid w:val="00A02988"/>
    <w:rsid w:val="00A0303E"/>
    <w:rsid w:val="00A03C2A"/>
    <w:rsid w:val="00A04025"/>
    <w:rsid w:val="00A040FB"/>
    <w:rsid w:val="00A04B0C"/>
    <w:rsid w:val="00A04B2E"/>
    <w:rsid w:val="00A04B7F"/>
    <w:rsid w:val="00A04BC1"/>
    <w:rsid w:val="00A04BD1"/>
    <w:rsid w:val="00A04CF3"/>
    <w:rsid w:val="00A04DDA"/>
    <w:rsid w:val="00A05BC0"/>
    <w:rsid w:val="00A05CFB"/>
    <w:rsid w:val="00A05D3D"/>
    <w:rsid w:val="00A062D2"/>
    <w:rsid w:val="00A0681C"/>
    <w:rsid w:val="00A06A9A"/>
    <w:rsid w:val="00A06C61"/>
    <w:rsid w:val="00A06DC4"/>
    <w:rsid w:val="00A071CD"/>
    <w:rsid w:val="00A07310"/>
    <w:rsid w:val="00A074B5"/>
    <w:rsid w:val="00A07585"/>
    <w:rsid w:val="00A0776F"/>
    <w:rsid w:val="00A07813"/>
    <w:rsid w:val="00A07DBC"/>
    <w:rsid w:val="00A10039"/>
    <w:rsid w:val="00A10373"/>
    <w:rsid w:val="00A106FA"/>
    <w:rsid w:val="00A10ABF"/>
    <w:rsid w:val="00A10C48"/>
    <w:rsid w:val="00A10D8E"/>
    <w:rsid w:val="00A10DB7"/>
    <w:rsid w:val="00A11686"/>
    <w:rsid w:val="00A11898"/>
    <w:rsid w:val="00A11A9D"/>
    <w:rsid w:val="00A11CC6"/>
    <w:rsid w:val="00A11E54"/>
    <w:rsid w:val="00A12158"/>
    <w:rsid w:val="00A121F7"/>
    <w:rsid w:val="00A12369"/>
    <w:rsid w:val="00A12401"/>
    <w:rsid w:val="00A1244E"/>
    <w:rsid w:val="00A125C3"/>
    <w:rsid w:val="00A12933"/>
    <w:rsid w:val="00A129B7"/>
    <w:rsid w:val="00A12A11"/>
    <w:rsid w:val="00A12C72"/>
    <w:rsid w:val="00A12CBE"/>
    <w:rsid w:val="00A12DF5"/>
    <w:rsid w:val="00A12E5C"/>
    <w:rsid w:val="00A12EA2"/>
    <w:rsid w:val="00A12FAD"/>
    <w:rsid w:val="00A134CD"/>
    <w:rsid w:val="00A13708"/>
    <w:rsid w:val="00A137DE"/>
    <w:rsid w:val="00A1405A"/>
    <w:rsid w:val="00A140B9"/>
    <w:rsid w:val="00A14161"/>
    <w:rsid w:val="00A1418D"/>
    <w:rsid w:val="00A14B5B"/>
    <w:rsid w:val="00A14D34"/>
    <w:rsid w:val="00A14DD1"/>
    <w:rsid w:val="00A14FB3"/>
    <w:rsid w:val="00A1557D"/>
    <w:rsid w:val="00A15642"/>
    <w:rsid w:val="00A157F8"/>
    <w:rsid w:val="00A1597E"/>
    <w:rsid w:val="00A15CD9"/>
    <w:rsid w:val="00A16009"/>
    <w:rsid w:val="00A16088"/>
    <w:rsid w:val="00A16116"/>
    <w:rsid w:val="00A16275"/>
    <w:rsid w:val="00A16AEA"/>
    <w:rsid w:val="00A16C86"/>
    <w:rsid w:val="00A173E6"/>
    <w:rsid w:val="00A1740F"/>
    <w:rsid w:val="00A1757E"/>
    <w:rsid w:val="00A1789E"/>
    <w:rsid w:val="00A17A4C"/>
    <w:rsid w:val="00A17E0A"/>
    <w:rsid w:val="00A17E58"/>
    <w:rsid w:val="00A17EA9"/>
    <w:rsid w:val="00A17EF4"/>
    <w:rsid w:val="00A17F4B"/>
    <w:rsid w:val="00A2009D"/>
    <w:rsid w:val="00A2020F"/>
    <w:rsid w:val="00A20895"/>
    <w:rsid w:val="00A20AB6"/>
    <w:rsid w:val="00A20CF9"/>
    <w:rsid w:val="00A20D7E"/>
    <w:rsid w:val="00A210C4"/>
    <w:rsid w:val="00A212B8"/>
    <w:rsid w:val="00A2162F"/>
    <w:rsid w:val="00A21817"/>
    <w:rsid w:val="00A21858"/>
    <w:rsid w:val="00A21892"/>
    <w:rsid w:val="00A21BC0"/>
    <w:rsid w:val="00A22030"/>
    <w:rsid w:val="00A22056"/>
    <w:rsid w:val="00A223B6"/>
    <w:rsid w:val="00A22560"/>
    <w:rsid w:val="00A228EE"/>
    <w:rsid w:val="00A22984"/>
    <w:rsid w:val="00A22B23"/>
    <w:rsid w:val="00A22B43"/>
    <w:rsid w:val="00A22CDC"/>
    <w:rsid w:val="00A22CE2"/>
    <w:rsid w:val="00A22D36"/>
    <w:rsid w:val="00A22FCA"/>
    <w:rsid w:val="00A230C4"/>
    <w:rsid w:val="00A231F0"/>
    <w:rsid w:val="00A236E4"/>
    <w:rsid w:val="00A23BF2"/>
    <w:rsid w:val="00A23E84"/>
    <w:rsid w:val="00A24093"/>
    <w:rsid w:val="00A25579"/>
    <w:rsid w:val="00A25634"/>
    <w:rsid w:val="00A2572B"/>
    <w:rsid w:val="00A25E81"/>
    <w:rsid w:val="00A26277"/>
    <w:rsid w:val="00A266DD"/>
    <w:rsid w:val="00A267C1"/>
    <w:rsid w:val="00A26801"/>
    <w:rsid w:val="00A269AC"/>
    <w:rsid w:val="00A26BF2"/>
    <w:rsid w:val="00A26C4B"/>
    <w:rsid w:val="00A271B3"/>
    <w:rsid w:val="00A274E4"/>
    <w:rsid w:val="00A27803"/>
    <w:rsid w:val="00A2789C"/>
    <w:rsid w:val="00A27BF0"/>
    <w:rsid w:val="00A27C84"/>
    <w:rsid w:val="00A27D8D"/>
    <w:rsid w:val="00A27E68"/>
    <w:rsid w:val="00A27FC0"/>
    <w:rsid w:val="00A308CE"/>
    <w:rsid w:val="00A308E1"/>
    <w:rsid w:val="00A30C61"/>
    <w:rsid w:val="00A30E2D"/>
    <w:rsid w:val="00A30EAD"/>
    <w:rsid w:val="00A30FDE"/>
    <w:rsid w:val="00A311CD"/>
    <w:rsid w:val="00A3120B"/>
    <w:rsid w:val="00A3157E"/>
    <w:rsid w:val="00A31800"/>
    <w:rsid w:val="00A31939"/>
    <w:rsid w:val="00A319D8"/>
    <w:rsid w:val="00A31C43"/>
    <w:rsid w:val="00A31D05"/>
    <w:rsid w:val="00A31E07"/>
    <w:rsid w:val="00A31E33"/>
    <w:rsid w:val="00A3219C"/>
    <w:rsid w:val="00A322F6"/>
    <w:rsid w:val="00A3241F"/>
    <w:rsid w:val="00A32658"/>
    <w:rsid w:val="00A32D16"/>
    <w:rsid w:val="00A32E6D"/>
    <w:rsid w:val="00A32F19"/>
    <w:rsid w:val="00A33126"/>
    <w:rsid w:val="00A33339"/>
    <w:rsid w:val="00A333D1"/>
    <w:rsid w:val="00A3343D"/>
    <w:rsid w:val="00A3348C"/>
    <w:rsid w:val="00A33830"/>
    <w:rsid w:val="00A33872"/>
    <w:rsid w:val="00A33C7C"/>
    <w:rsid w:val="00A33EBC"/>
    <w:rsid w:val="00A3404D"/>
    <w:rsid w:val="00A34053"/>
    <w:rsid w:val="00A341D2"/>
    <w:rsid w:val="00A34252"/>
    <w:rsid w:val="00A342B7"/>
    <w:rsid w:val="00A345AA"/>
    <w:rsid w:val="00A34962"/>
    <w:rsid w:val="00A34C3F"/>
    <w:rsid w:val="00A350E5"/>
    <w:rsid w:val="00A35126"/>
    <w:rsid w:val="00A3517E"/>
    <w:rsid w:val="00A351EC"/>
    <w:rsid w:val="00A35B6F"/>
    <w:rsid w:val="00A35CB0"/>
    <w:rsid w:val="00A35EDC"/>
    <w:rsid w:val="00A3615F"/>
    <w:rsid w:val="00A3660E"/>
    <w:rsid w:val="00A36809"/>
    <w:rsid w:val="00A36C7F"/>
    <w:rsid w:val="00A36FF1"/>
    <w:rsid w:val="00A370BF"/>
    <w:rsid w:val="00A37126"/>
    <w:rsid w:val="00A37406"/>
    <w:rsid w:val="00A37713"/>
    <w:rsid w:val="00A37779"/>
    <w:rsid w:val="00A377FE"/>
    <w:rsid w:val="00A37BC2"/>
    <w:rsid w:val="00A3EE3C"/>
    <w:rsid w:val="00A400B2"/>
    <w:rsid w:val="00A401BC"/>
    <w:rsid w:val="00A403C1"/>
    <w:rsid w:val="00A40425"/>
    <w:rsid w:val="00A40653"/>
    <w:rsid w:val="00A40670"/>
    <w:rsid w:val="00A407D9"/>
    <w:rsid w:val="00A40AF5"/>
    <w:rsid w:val="00A40BEC"/>
    <w:rsid w:val="00A40D42"/>
    <w:rsid w:val="00A40D57"/>
    <w:rsid w:val="00A41498"/>
    <w:rsid w:val="00A416E5"/>
    <w:rsid w:val="00A418BB"/>
    <w:rsid w:val="00A41A64"/>
    <w:rsid w:val="00A41A8A"/>
    <w:rsid w:val="00A41BF4"/>
    <w:rsid w:val="00A41E46"/>
    <w:rsid w:val="00A41F52"/>
    <w:rsid w:val="00A4248B"/>
    <w:rsid w:val="00A424DB"/>
    <w:rsid w:val="00A42529"/>
    <w:rsid w:val="00A426F5"/>
    <w:rsid w:val="00A42D85"/>
    <w:rsid w:val="00A42DBC"/>
    <w:rsid w:val="00A42DF6"/>
    <w:rsid w:val="00A42E2B"/>
    <w:rsid w:val="00A42F06"/>
    <w:rsid w:val="00A4333B"/>
    <w:rsid w:val="00A43815"/>
    <w:rsid w:val="00A43CBB"/>
    <w:rsid w:val="00A43D0B"/>
    <w:rsid w:val="00A43D4F"/>
    <w:rsid w:val="00A43EFD"/>
    <w:rsid w:val="00A43F26"/>
    <w:rsid w:val="00A44813"/>
    <w:rsid w:val="00A44EA6"/>
    <w:rsid w:val="00A451B9"/>
    <w:rsid w:val="00A456BA"/>
    <w:rsid w:val="00A459DC"/>
    <w:rsid w:val="00A461CD"/>
    <w:rsid w:val="00A462DB"/>
    <w:rsid w:val="00A4659A"/>
    <w:rsid w:val="00A46C89"/>
    <w:rsid w:val="00A47067"/>
    <w:rsid w:val="00A47725"/>
    <w:rsid w:val="00A478FA"/>
    <w:rsid w:val="00A47A5B"/>
    <w:rsid w:val="00A47B32"/>
    <w:rsid w:val="00A47FF2"/>
    <w:rsid w:val="00A5039A"/>
    <w:rsid w:val="00A5071F"/>
    <w:rsid w:val="00A50A3A"/>
    <w:rsid w:val="00A50D4B"/>
    <w:rsid w:val="00A50D4D"/>
    <w:rsid w:val="00A50DFF"/>
    <w:rsid w:val="00A50E1D"/>
    <w:rsid w:val="00A50FB6"/>
    <w:rsid w:val="00A513CC"/>
    <w:rsid w:val="00A51A1C"/>
    <w:rsid w:val="00A51B40"/>
    <w:rsid w:val="00A52101"/>
    <w:rsid w:val="00A52233"/>
    <w:rsid w:val="00A5236E"/>
    <w:rsid w:val="00A52FA1"/>
    <w:rsid w:val="00A52FC8"/>
    <w:rsid w:val="00A52FDF"/>
    <w:rsid w:val="00A53040"/>
    <w:rsid w:val="00A531D1"/>
    <w:rsid w:val="00A533D5"/>
    <w:rsid w:val="00A53645"/>
    <w:rsid w:val="00A53DA2"/>
    <w:rsid w:val="00A53F04"/>
    <w:rsid w:val="00A54008"/>
    <w:rsid w:val="00A54402"/>
    <w:rsid w:val="00A5446B"/>
    <w:rsid w:val="00A54537"/>
    <w:rsid w:val="00A545CC"/>
    <w:rsid w:val="00A5485E"/>
    <w:rsid w:val="00A548E4"/>
    <w:rsid w:val="00A5497B"/>
    <w:rsid w:val="00A54ACD"/>
    <w:rsid w:val="00A54E99"/>
    <w:rsid w:val="00A553B1"/>
    <w:rsid w:val="00A5548B"/>
    <w:rsid w:val="00A554AE"/>
    <w:rsid w:val="00A5552F"/>
    <w:rsid w:val="00A555F6"/>
    <w:rsid w:val="00A558F0"/>
    <w:rsid w:val="00A559D7"/>
    <w:rsid w:val="00A55AA1"/>
    <w:rsid w:val="00A55D5B"/>
    <w:rsid w:val="00A55E14"/>
    <w:rsid w:val="00A55E9D"/>
    <w:rsid w:val="00A56197"/>
    <w:rsid w:val="00A563F1"/>
    <w:rsid w:val="00A56634"/>
    <w:rsid w:val="00A56BBE"/>
    <w:rsid w:val="00A56E61"/>
    <w:rsid w:val="00A570C6"/>
    <w:rsid w:val="00A578F3"/>
    <w:rsid w:val="00A5799C"/>
    <w:rsid w:val="00A57B50"/>
    <w:rsid w:val="00A57E0D"/>
    <w:rsid w:val="00A6020B"/>
    <w:rsid w:val="00A6024B"/>
    <w:rsid w:val="00A6028C"/>
    <w:rsid w:val="00A610C2"/>
    <w:rsid w:val="00A6147D"/>
    <w:rsid w:val="00A6172E"/>
    <w:rsid w:val="00A61846"/>
    <w:rsid w:val="00A61A4B"/>
    <w:rsid w:val="00A61AF8"/>
    <w:rsid w:val="00A61D02"/>
    <w:rsid w:val="00A62163"/>
    <w:rsid w:val="00A6269E"/>
    <w:rsid w:val="00A62773"/>
    <w:rsid w:val="00A629FF"/>
    <w:rsid w:val="00A62C7A"/>
    <w:rsid w:val="00A62CBC"/>
    <w:rsid w:val="00A62D2A"/>
    <w:rsid w:val="00A62E79"/>
    <w:rsid w:val="00A63142"/>
    <w:rsid w:val="00A635EA"/>
    <w:rsid w:val="00A63607"/>
    <w:rsid w:val="00A63616"/>
    <w:rsid w:val="00A6363C"/>
    <w:rsid w:val="00A6368F"/>
    <w:rsid w:val="00A63AB0"/>
    <w:rsid w:val="00A63C9D"/>
    <w:rsid w:val="00A63E01"/>
    <w:rsid w:val="00A6466D"/>
    <w:rsid w:val="00A64D45"/>
    <w:rsid w:val="00A65301"/>
    <w:rsid w:val="00A653F6"/>
    <w:rsid w:val="00A65505"/>
    <w:rsid w:val="00A6575D"/>
    <w:rsid w:val="00A65805"/>
    <w:rsid w:val="00A65B04"/>
    <w:rsid w:val="00A65C27"/>
    <w:rsid w:val="00A65D59"/>
    <w:rsid w:val="00A65DA0"/>
    <w:rsid w:val="00A66011"/>
    <w:rsid w:val="00A66187"/>
    <w:rsid w:val="00A6659A"/>
    <w:rsid w:val="00A66BEC"/>
    <w:rsid w:val="00A66E77"/>
    <w:rsid w:val="00A66F21"/>
    <w:rsid w:val="00A66FF6"/>
    <w:rsid w:val="00A6748D"/>
    <w:rsid w:val="00A674A7"/>
    <w:rsid w:val="00A678AC"/>
    <w:rsid w:val="00A679CA"/>
    <w:rsid w:val="00A679E2"/>
    <w:rsid w:val="00A67ACA"/>
    <w:rsid w:val="00A67B03"/>
    <w:rsid w:val="00A67CE1"/>
    <w:rsid w:val="00A67D3C"/>
    <w:rsid w:val="00A70060"/>
    <w:rsid w:val="00A7044D"/>
    <w:rsid w:val="00A70C68"/>
    <w:rsid w:val="00A70DE4"/>
    <w:rsid w:val="00A7105C"/>
    <w:rsid w:val="00A714D0"/>
    <w:rsid w:val="00A717B3"/>
    <w:rsid w:val="00A71A44"/>
    <w:rsid w:val="00A71C1A"/>
    <w:rsid w:val="00A71E1F"/>
    <w:rsid w:val="00A71F15"/>
    <w:rsid w:val="00A7207A"/>
    <w:rsid w:val="00A723EF"/>
    <w:rsid w:val="00A72450"/>
    <w:rsid w:val="00A72F13"/>
    <w:rsid w:val="00A73068"/>
    <w:rsid w:val="00A730B4"/>
    <w:rsid w:val="00A731AD"/>
    <w:rsid w:val="00A732AE"/>
    <w:rsid w:val="00A7340F"/>
    <w:rsid w:val="00A734CD"/>
    <w:rsid w:val="00A73519"/>
    <w:rsid w:val="00A7357D"/>
    <w:rsid w:val="00A738C3"/>
    <w:rsid w:val="00A73F7C"/>
    <w:rsid w:val="00A740F6"/>
    <w:rsid w:val="00A74335"/>
    <w:rsid w:val="00A7439F"/>
    <w:rsid w:val="00A745D0"/>
    <w:rsid w:val="00A74AAE"/>
    <w:rsid w:val="00A74C04"/>
    <w:rsid w:val="00A751B6"/>
    <w:rsid w:val="00A753D9"/>
    <w:rsid w:val="00A757B3"/>
    <w:rsid w:val="00A759E5"/>
    <w:rsid w:val="00A75A8B"/>
    <w:rsid w:val="00A75B03"/>
    <w:rsid w:val="00A75B04"/>
    <w:rsid w:val="00A75C90"/>
    <w:rsid w:val="00A760B9"/>
    <w:rsid w:val="00A765D2"/>
    <w:rsid w:val="00A76978"/>
    <w:rsid w:val="00A76DDF"/>
    <w:rsid w:val="00A7734C"/>
    <w:rsid w:val="00A773D3"/>
    <w:rsid w:val="00A775F3"/>
    <w:rsid w:val="00A7760A"/>
    <w:rsid w:val="00A77791"/>
    <w:rsid w:val="00A77A79"/>
    <w:rsid w:val="00A77B15"/>
    <w:rsid w:val="00A77D2F"/>
    <w:rsid w:val="00A77E31"/>
    <w:rsid w:val="00A8034D"/>
    <w:rsid w:val="00A804E5"/>
    <w:rsid w:val="00A80676"/>
    <w:rsid w:val="00A80681"/>
    <w:rsid w:val="00A808A2"/>
    <w:rsid w:val="00A80A54"/>
    <w:rsid w:val="00A81381"/>
    <w:rsid w:val="00A814A8"/>
    <w:rsid w:val="00A81CB8"/>
    <w:rsid w:val="00A82042"/>
    <w:rsid w:val="00A820F4"/>
    <w:rsid w:val="00A82292"/>
    <w:rsid w:val="00A82515"/>
    <w:rsid w:val="00A826D9"/>
    <w:rsid w:val="00A82A4C"/>
    <w:rsid w:val="00A82F6A"/>
    <w:rsid w:val="00A83024"/>
    <w:rsid w:val="00A833A6"/>
    <w:rsid w:val="00A8399A"/>
    <w:rsid w:val="00A83A75"/>
    <w:rsid w:val="00A83BDF"/>
    <w:rsid w:val="00A83DFE"/>
    <w:rsid w:val="00A83E65"/>
    <w:rsid w:val="00A84453"/>
    <w:rsid w:val="00A84848"/>
    <w:rsid w:val="00A84A3A"/>
    <w:rsid w:val="00A84C4A"/>
    <w:rsid w:val="00A851C0"/>
    <w:rsid w:val="00A85439"/>
    <w:rsid w:val="00A85698"/>
    <w:rsid w:val="00A85B80"/>
    <w:rsid w:val="00A85E37"/>
    <w:rsid w:val="00A85F9A"/>
    <w:rsid w:val="00A85FA7"/>
    <w:rsid w:val="00A8630C"/>
    <w:rsid w:val="00A86580"/>
    <w:rsid w:val="00A86AF7"/>
    <w:rsid w:val="00A86F37"/>
    <w:rsid w:val="00A8764B"/>
    <w:rsid w:val="00A878F2"/>
    <w:rsid w:val="00A879FA"/>
    <w:rsid w:val="00A87A9C"/>
    <w:rsid w:val="00A87CFF"/>
    <w:rsid w:val="00A9051E"/>
    <w:rsid w:val="00A9062B"/>
    <w:rsid w:val="00A9062E"/>
    <w:rsid w:val="00A90BB2"/>
    <w:rsid w:val="00A90E33"/>
    <w:rsid w:val="00A90F21"/>
    <w:rsid w:val="00A9106D"/>
    <w:rsid w:val="00A910E6"/>
    <w:rsid w:val="00A911A2"/>
    <w:rsid w:val="00A91664"/>
    <w:rsid w:val="00A91796"/>
    <w:rsid w:val="00A9193D"/>
    <w:rsid w:val="00A91A80"/>
    <w:rsid w:val="00A924F6"/>
    <w:rsid w:val="00A9254C"/>
    <w:rsid w:val="00A928D3"/>
    <w:rsid w:val="00A92A78"/>
    <w:rsid w:val="00A92DF8"/>
    <w:rsid w:val="00A932CE"/>
    <w:rsid w:val="00A933BC"/>
    <w:rsid w:val="00A93862"/>
    <w:rsid w:val="00A938CD"/>
    <w:rsid w:val="00A93CBA"/>
    <w:rsid w:val="00A93CC6"/>
    <w:rsid w:val="00A93D02"/>
    <w:rsid w:val="00A941AF"/>
    <w:rsid w:val="00A9422A"/>
    <w:rsid w:val="00A943C4"/>
    <w:rsid w:val="00A9456D"/>
    <w:rsid w:val="00A945DD"/>
    <w:rsid w:val="00A94719"/>
    <w:rsid w:val="00A94955"/>
    <w:rsid w:val="00A94B0F"/>
    <w:rsid w:val="00A94B94"/>
    <w:rsid w:val="00A94C08"/>
    <w:rsid w:val="00A951FC"/>
    <w:rsid w:val="00A958CC"/>
    <w:rsid w:val="00A95985"/>
    <w:rsid w:val="00A96426"/>
    <w:rsid w:val="00A96C99"/>
    <w:rsid w:val="00A96CDF"/>
    <w:rsid w:val="00A97D20"/>
    <w:rsid w:val="00AA0207"/>
    <w:rsid w:val="00AA02AF"/>
    <w:rsid w:val="00AA033D"/>
    <w:rsid w:val="00AA04C9"/>
    <w:rsid w:val="00AA0913"/>
    <w:rsid w:val="00AA0D1D"/>
    <w:rsid w:val="00AA0ECF"/>
    <w:rsid w:val="00AA14CE"/>
    <w:rsid w:val="00AA169A"/>
    <w:rsid w:val="00AA16AB"/>
    <w:rsid w:val="00AA1754"/>
    <w:rsid w:val="00AA1762"/>
    <w:rsid w:val="00AA179A"/>
    <w:rsid w:val="00AA1876"/>
    <w:rsid w:val="00AA1A25"/>
    <w:rsid w:val="00AA1BE5"/>
    <w:rsid w:val="00AA1D3D"/>
    <w:rsid w:val="00AA1F2B"/>
    <w:rsid w:val="00AA23F4"/>
    <w:rsid w:val="00AA26FE"/>
    <w:rsid w:val="00AA27D1"/>
    <w:rsid w:val="00AA2B1F"/>
    <w:rsid w:val="00AA2C7F"/>
    <w:rsid w:val="00AA39FA"/>
    <w:rsid w:val="00AA427A"/>
    <w:rsid w:val="00AA4AF5"/>
    <w:rsid w:val="00AA4D71"/>
    <w:rsid w:val="00AA509A"/>
    <w:rsid w:val="00AA524F"/>
    <w:rsid w:val="00AA52CD"/>
    <w:rsid w:val="00AA5630"/>
    <w:rsid w:val="00AA56D2"/>
    <w:rsid w:val="00AA58D8"/>
    <w:rsid w:val="00AA5B5D"/>
    <w:rsid w:val="00AA5F69"/>
    <w:rsid w:val="00AA6012"/>
    <w:rsid w:val="00AA71D7"/>
    <w:rsid w:val="00AA7474"/>
    <w:rsid w:val="00AA778F"/>
    <w:rsid w:val="00AA79A7"/>
    <w:rsid w:val="00AA79C6"/>
    <w:rsid w:val="00AA7F48"/>
    <w:rsid w:val="00AA7F6F"/>
    <w:rsid w:val="00AB080F"/>
    <w:rsid w:val="00AB0AF8"/>
    <w:rsid w:val="00AB0CE4"/>
    <w:rsid w:val="00AB0FEB"/>
    <w:rsid w:val="00AB11DA"/>
    <w:rsid w:val="00AB1406"/>
    <w:rsid w:val="00AB1AF9"/>
    <w:rsid w:val="00AB22B4"/>
    <w:rsid w:val="00AB23F7"/>
    <w:rsid w:val="00AB2769"/>
    <w:rsid w:val="00AB30CF"/>
    <w:rsid w:val="00AB334E"/>
    <w:rsid w:val="00AB37BC"/>
    <w:rsid w:val="00AB3879"/>
    <w:rsid w:val="00AB3CA5"/>
    <w:rsid w:val="00AB3CF6"/>
    <w:rsid w:val="00AB4392"/>
    <w:rsid w:val="00AB4417"/>
    <w:rsid w:val="00AB46EA"/>
    <w:rsid w:val="00AB498F"/>
    <w:rsid w:val="00AB4AAA"/>
    <w:rsid w:val="00AB4F34"/>
    <w:rsid w:val="00AB505C"/>
    <w:rsid w:val="00AB5090"/>
    <w:rsid w:val="00AB52B7"/>
    <w:rsid w:val="00AB5496"/>
    <w:rsid w:val="00AB6243"/>
    <w:rsid w:val="00AB6552"/>
    <w:rsid w:val="00AB6BF3"/>
    <w:rsid w:val="00AB6EF8"/>
    <w:rsid w:val="00AB7050"/>
    <w:rsid w:val="00AB71F8"/>
    <w:rsid w:val="00AB7532"/>
    <w:rsid w:val="00AB7548"/>
    <w:rsid w:val="00AB792B"/>
    <w:rsid w:val="00AB7BC6"/>
    <w:rsid w:val="00AB7E16"/>
    <w:rsid w:val="00AC02C3"/>
    <w:rsid w:val="00AC03E5"/>
    <w:rsid w:val="00AC06F1"/>
    <w:rsid w:val="00AC074D"/>
    <w:rsid w:val="00AC07FB"/>
    <w:rsid w:val="00AC0942"/>
    <w:rsid w:val="00AC0B2F"/>
    <w:rsid w:val="00AC124F"/>
    <w:rsid w:val="00AC15C8"/>
    <w:rsid w:val="00AC1D17"/>
    <w:rsid w:val="00AC1F35"/>
    <w:rsid w:val="00AC1FB1"/>
    <w:rsid w:val="00AC2190"/>
    <w:rsid w:val="00AC2822"/>
    <w:rsid w:val="00AC2B37"/>
    <w:rsid w:val="00AC2BEE"/>
    <w:rsid w:val="00AC2D39"/>
    <w:rsid w:val="00AC31BA"/>
    <w:rsid w:val="00AC3417"/>
    <w:rsid w:val="00AC3859"/>
    <w:rsid w:val="00AC39AB"/>
    <w:rsid w:val="00AC3AFF"/>
    <w:rsid w:val="00AC3DB2"/>
    <w:rsid w:val="00AC3FEE"/>
    <w:rsid w:val="00AC43B2"/>
    <w:rsid w:val="00AC4409"/>
    <w:rsid w:val="00AC4743"/>
    <w:rsid w:val="00AC4835"/>
    <w:rsid w:val="00AC4849"/>
    <w:rsid w:val="00AC4C1B"/>
    <w:rsid w:val="00AC4F44"/>
    <w:rsid w:val="00AC4FD2"/>
    <w:rsid w:val="00AC4FFD"/>
    <w:rsid w:val="00AC5001"/>
    <w:rsid w:val="00AC50B0"/>
    <w:rsid w:val="00AC50EC"/>
    <w:rsid w:val="00AC51F9"/>
    <w:rsid w:val="00AC5558"/>
    <w:rsid w:val="00AC590E"/>
    <w:rsid w:val="00AC5A8C"/>
    <w:rsid w:val="00AC5EC4"/>
    <w:rsid w:val="00AC5F49"/>
    <w:rsid w:val="00AC6658"/>
    <w:rsid w:val="00AC6D69"/>
    <w:rsid w:val="00AC72B9"/>
    <w:rsid w:val="00AC7316"/>
    <w:rsid w:val="00AC7349"/>
    <w:rsid w:val="00AC75F1"/>
    <w:rsid w:val="00AC76C4"/>
    <w:rsid w:val="00AC797D"/>
    <w:rsid w:val="00AC7A0D"/>
    <w:rsid w:val="00AC7B44"/>
    <w:rsid w:val="00AC7CD9"/>
    <w:rsid w:val="00AC7FE0"/>
    <w:rsid w:val="00AD03A0"/>
    <w:rsid w:val="00AD0846"/>
    <w:rsid w:val="00AD0974"/>
    <w:rsid w:val="00AD0A65"/>
    <w:rsid w:val="00AD0A9C"/>
    <w:rsid w:val="00AD0C51"/>
    <w:rsid w:val="00AD0C7E"/>
    <w:rsid w:val="00AD0D66"/>
    <w:rsid w:val="00AD0E22"/>
    <w:rsid w:val="00AD1258"/>
    <w:rsid w:val="00AD12D4"/>
    <w:rsid w:val="00AD1CDE"/>
    <w:rsid w:val="00AD2059"/>
    <w:rsid w:val="00AD20E4"/>
    <w:rsid w:val="00AD2374"/>
    <w:rsid w:val="00AD2412"/>
    <w:rsid w:val="00AD2819"/>
    <w:rsid w:val="00AD2A3B"/>
    <w:rsid w:val="00AD2A55"/>
    <w:rsid w:val="00AD2C49"/>
    <w:rsid w:val="00AD2EC4"/>
    <w:rsid w:val="00AD31A6"/>
    <w:rsid w:val="00AD3764"/>
    <w:rsid w:val="00AD3D84"/>
    <w:rsid w:val="00AD406D"/>
    <w:rsid w:val="00AD41FC"/>
    <w:rsid w:val="00AD44EE"/>
    <w:rsid w:val="00AD46F4"/>
    <w:rsid w:val="00AD49AE"/>
    <w:rsid w:val="00AD4FD8"/>
    <w:rsid w:val="00AD5294"/>
    <w:rsid w:val="00AD54BD"/>
    <w:rsid w:val="00AD578E"/>
    <w:rsid w:val="00AD59F3"/>
    <w:rsid w:val="00AD5D61"/>
    <w:rsid w:val="00AD5DDE"/>
    <w:rsid w:val="00AD6204"/>
    <w:rsid w:val="00AD6422"/>
    <w:rsid w:val="00AD6952"/>
    <w:rsid w:val="00AD6BFA"/>
    <w:rsid w:val="00AD6DD3"/>
    <w:rsid w:val="00AD71DA"/>
    <w:rsid w:val="00AD724C"/>
    <w:rsid w:val="00AE0126"/>
    <w:rsid w:val="00AE05FE"/>
    <w:rsid w:val="00AE08E2"/>
    <w:rsid w:val="00AE0B45"/>
    <w:rsid w:val="00AE0B7E"/>
    <w:rsid w:val="00AE0D99"/>
    <w:rsid w:val="00AE13B1"/>
    <w:rsid w:val="00AE141C"/>
    <w:rsid w:val="00AE1CE9"/>
    <w:rsid w:val="00AE1E06"/>
    <w:rsid w:val="00AE2363"/>
    <w:rsid w:val="00AE2375"/>
    <w:rsid w:val="00AE23C8"/>
    <w:rsid w:val="00AE2541"/>
    <w:rsid w:val="00AE2642"/>
    <w:rsid w:val="00AE290D"/>
    <w:rsid w:val="00AE2978"/>
    <w:rsid w:val="00AE2E5F"/>
    <w:rsid w:val="00AE3546"/>
    <w:rsid w:val="00AE3568"/>
    <w:rsid w:val="00AE380B"/>
    <w:rsid w:val="00AE3943"/>
    <w:rsid w:val="00AE39BF"/>
    <w:rsid w:val="00AE3ABB"/>
    <w:rsid w:val="00AE3D64"/>
    <w:rsid w:val="00AE403A"/>
    <w:rsid w:val="00AE417C"/>
    <w:rsid w:val="00AE41BF"/>
    <w:rsid w:val="00AE4277"/>
    <w:rsid w:val="00AE4285"/>
    <w:rsid w:val="00AE431A"/>
    <w:rsid w:val="00AE4333"/>
    <w:rsid w:val="00AE4399"/>
    <w:rsid w:val="00AE4527"/>
    <w:rsid w:val="00AE48D2"/>
    <w:rsid w:val="00AE49E6"/>
    <w:rsid w:val="00AE4A2C"/>
    <w:rsid w:val="00AE513C"/>
    <w:rsid w:val="00AE52AC"/>
    <w:rsid w:val="00AE545F"/>
    <w:rsid w:val="00AE5838"/>
    <w:rsid w:val="00AE661B"/>
    <w:rsid w:val="00AE6FE0"/>
    <w:rsid w:val="00AE70F5"/>
    <w:rsid w:val="00AE724F"/>
    <w:rsid w:val="00AE732D"/>
    <w:rsid w:val="00AE7527"/>
    <w:rsid w:val="00AE79D3"/>
    <w:rsid w:val="00AF021C"/>
    <w:rsid w:val="00AF05F5"/>
    <w:rsid w:val="00AF08F0"/>
    <w:rsid w:val="00AF0A48"/>
    <w:rsid w:val="00AF0B8A"/>
    <w:rsid w:val="00AF0C47"/>
    <w:rsid w:val="00AF1046"/>
    <w:rsid w:val="00AF1872"/>
    <w:rsid w:val="00AF19A9"/>
    <w:rsid w:val="00AF1AAB"/>
    <w:rsid w:val="00AF1AC3"/>
    <w:rsid w:val="00AF1C31"/>
    <w:rsid w:val="00AF1C7C"/>
    <w:rsid w:val="00AF1F87"/>
    <w:rsid w:val="00AF21D1"/>
    <w:rsid w:val="00AF22A7"/>
    <w:rsid w:val="00AF268B"/>
    <w:rsid w:val="00AF26F6"/>
    <w:rsid w:val="00AF276E"/>
    <w:rsid w:val="00AF2AE1"/>
    <w:rsid w:val="00AF2C4C"/>
    <w:rsid w:val="00AF3004"/>
    <w:rsid w:val="00AF33CC"/>
    <w:rsid w:val="00AF3457"/>
    <w:rsid w:val="00AF3540"/>
    <w:rsid w:val="00AF3AC0"/>
    <w:rsid w:val="00AF3D68"/>
    <w:rsid w:val="00AF3DBC"/>
    <w:rsid w:val="00AF47E4"/>
    <w:rsid w:val="00AF4866"/>
    <w:rsid w:val="00AF4CDD"/>
    <w:rsid w:val="00AF4D67"/>
    <w:rsid w:val="00AF5065"/>
    <w:rsid w:val="00AF548A"/>
    <w:rsid w:val="00AF5792"/>
    <w:rsid w:val="00AF580C"/>
    <w:rsid w:val="00AF5AAF"/>
    <w:rsid w:val="00AF60D6"/>
    <w:rsid w:val="00AF6211"/>
    <w:rsid w:val="00AF62A5"/>
    <w:rsid w:val="00AF676C"/>
    <w:rsid w:val="00AF7271"/>
    <w:rsid w:val="00AF73BB"/>
    <w:rsid w:val="00AF7909"/>
    <w:rsid w:val="00AF7DEE"/>
    <w:rsid w:val="00B001AB"/>
    <w:rsid w:val="00B0048C"/>
    <w:rsid w:val="00B010F8"/>
    <w:rsid w:val="00B011C0"/>
    <w:rsid w:val="00B01774"/>
    <w:rsid w:val="00B01F9B"/>
    <w:rsid w:val="00B0212B"/>
    <w:rsid w:val="00B022A7"/>
    <w:rsid w:val="00B02BA6"/>
    <w:rsid w:val="00B04244"/>
    <w:rsid w:val="00B04307"/>
    <w:rsid w:val="00B043BA"/>
    <w:rsid w:val="00B04D64"/>
    <w:rsid w:val="00B054E2"/>
    <w:rsid w:val="00B05771"/>
    <w:rsid w:val="00B05BC1"/>
    <w:rsid w:val="00B05C1E"/>
    <w:rsid w:val="00B05D08"/>
    <w:rsid w:val="00B05D97"/>
    <w:rsid w:val="00B05EB8"/>
    <w:rsid w:val="00B060CA"/>
    <w:rsid w:val="00B061DD"/>
    <w:rsid w:val="00B06543"/>
    <w:rsid w:val="00B066FE"/>
    <w:rsid w:val="00B068DF"/>
    <w:rsid w:val="00B06967"/>
    <w:rsid w:val="00B06BD2"/>
    <w:rsid w:val="00B06F1B"/>
    <w:rsid w:val="00B071D8"/>
    <w:rsid w:val="00B0740E"/>
    <w:rsid w:val="00B0751A"/>
    <w:rsid w:val="00B075E1"/>
    <w:rsid w:val="00B07774"/>
    <w:rsid w:val="00B07B77"/>
    <w:rsid w:val="00B07D6A"/>
    <w:rsid w:val="00B07E55"/>
    <w:rsid w:val="00B1027D"/>
    <w:rsid w:val="00B10288"/>
    <w:rsid w:val="00B10518"/>
    <w:rsid w:val="00B10847"/>
    <w:rsid w:val="00B10CCC"/>
    <w:rsid w:val="00B1187D"/>
    <w:rsid w:val="00B11B51"/>
    <w:rsid w:val="00B11B64"/>
    <w:rsid w:val="00B11F38"/>
    <w:rsid w:val="00B1265E"/>
    <w:rsid w:val="00B12EEC"/>
    <w:rsid w:val="00B131CB"/>
    <w:rsid w:val="00B131D7"/>
    <w:rsid w:val="00B131D8"/>
    <w:rsid w:val="00B1354F"/>
    <w:rsid w:val="00B138DC"/>
    <w:rsid w:val="00B1398B"/>
    <w:rsid w:val="00B13A7F"/>
    <w:rsid w:val="00B13E95"/>
    <w:rsid w:val="00B1416D"/>
    <w:rsid w:val="00B14174"/>
    <w:rsid w:val="00B141AB"/>
    <w:rsid w:val="00B142AC"/>
    <w:rsid w:val="00B144B4"/>
    <w:rsid w:val="00B14B6A"/>
    <w:rsid w:val="00B14CD3"/>
    <w:rsid w:val="00B1500D"/>
    <w:rsid w:val="00B15238"/>
    <w:rsid w:val="00B1524E"/>
    <w:rsid w:val="00B155AB"/>
    <w:rsid w:val="00B159C5"/>
    <w:rsid w:val="00B15A65"/>
    <w:rsid w:val="00B15C4E"/>
    <w:rsid w:val="00B16014"/>
    <w:rsid w:val="00B16085"/>
    <w:rsid w:val="00B16936"/>
    <w:rsid w:val="00B16B30"/>
    <w:rsid w:val="00B16B8B"/>
    <w:rsid w:val="00B16C48"/>
    <w:rsid w:val="00B16C86"/>
    <w:rsid w:val="00B16D31"/>
    <w:rsid w:val="00B16DEE"/>
    <w:rsid w:val="00B173D0"/>
    <w:rsid w:val="00B175EC"/>
    <w:rsid w:val="00B17B73"/>
    <w:rsid w:val="00B17B75"/>
    <w:rsid w:val="00B17B7E"/>
    <w:rsid w:val="00B17C74"/>
    <w:rsid w:val="00B17CBB"/>
    <w:rsid w:val="00B17D0E"/>
    <w:rsid w:val="00B17E19"/>
    <w:rsid w:val="00B17F19"/>
    <w:rsid w:val="00B203B9"/>
    <w:rsid w:val="00B204C8"/>
    <w:rsid w:val="00B205DC"/>
    <w:rsid w:val="00B207C6"/>
    <w:rsid w:val="00B20CF1"/>
    <w:rsid w:val="00B20D51"/>
    <w:rsid w:val="00B21103"/>
    <w:rsid w:val="00B211BB"/>
    <w:rsid w:val="00B212F7"/>
    <w:rsid w:val="00B2149E"/>
    <w:rsid w:val="00B21593"/>
    <w:rsid w:val="00B215C2"/>
    <w:rsid w:val="00B215DD"/>
    <w:rsid w:val="00B21930"/>
    <w:rsid w:val="00B219D4"/>
    <w:rsid w:val="00B2231E"/>
    <w:rsid w:val="00B2262E"/>
    <w:rsid w:val="00B2269B"/>
    <w:rsid w:val="00B22B6D"/>
    <w:rsid w:val="00B22BE1"/>
    <w:rsid w:val="00B22E80"/>
    <w:rsid w:val="00B23014"/>
    <w:rsid w:val="00B230D1"/>
    <w:rsid w:val="00B2314E"/>
    <w:rsid w:val="00B2330F"/>
    <w:rsid w:val="00B23759"/>
    <w:rsid w:val="00B23CA4"/>
    <w:rsid w:val="00B23FD6"/>
    <w:rsid w:val="00B23FDF"/>
    <w:rsid w:val="00B242E8"/>
    <w:rsid w:val="00B24575"/>
    <w:rsid w:val="00B24597"/>
    <w:rsid w:val="00B24798"/>
    <w:rsid w:val="00B24AFF"/>
    <w:rsid w:val="00B24C36"/>
    <w:rsid w:val="00B24F5B"/>
    <w:rsid w:val="00B25772"/>
    <w:rsid w:val="00B25AE4"/>
    <w:rsid w:val="00B25BD7"/>
    <w:rsid w:val="00B25D3C"/>
    <w:rsid w:val="00B25E5C"/>
    <w:rsid w:val="00B2670A"/>
    <w:rsid w:val="00B26A0A"/>
    <w:rsid w:val="00B26B6A"/>
    <w:rsid w:val="00B26EA3"/>
    <w:rsid w:val="00B2754A"/>
    <w:rsid w:val="00B27E40"/>
    <w:rsid w:val="00B27ED2"/>
    <w:rsid w:val="00B30070"/>
    <w:rsid w:val="00B303C6"/>
    <w:rsid w:val="00B30708"/>
    <w:rsid w:val="00B30A07"/>
    <w:rsid w:val="00B30D58"/>
    <w:rsid w:val="00B30F75"/>
    <w:rsid w:val="00B310D1"/>
    <w:rsid w:val="00B310EB"/>
    <w:rsid w:val="00B3156A"/>
    <w:rsid w:val="00B315C2"/>
    <w:rsid w:val="00B317B8"/>
    <w:rsid w:val="00B31841"/>
    <w:rsid w:val="00B31E23"/>
    <w:rsid w:val="00B3285C"/>
    <w:rsid w:val="00B32DEF"/>
    <w:rsid w:val="00B32F58"/>
    <w:rsid w:val="00B330D3"/>
    <w:rsid w:val="00B33205"/>
    <w:rsid w:val="00B33AF9"/>
    <w:rsid w:val="00B33B1C"/>
    <w:rsid w:val="00B33B77"/>
    <w:rsid w:val="00B342C3"/>
    <w:rsid w:val="00B345FF"/>
    <w:rsid w:val="00B346AD"/>
    <w:rsid w:val="00B3490A"/>
    <w:rsid w:val="00B3496A"/>
    <w:rsid w:val="00B349BD"/>
    <w:rsid w:val="00B34B09"/>
    <w:rsid w:val="00B34C6C"/>
    <w:rsid w:val="00B34CE8"/>
    <w:rsid w:val="00B35025"/>
    <w:rsid w:val="00B3516A"/>
    <w:rsid w:val="00B351AA"/>
    <w:rsid w:val="00B3553E"/>
    <w:rsid w:val="00B3557E"/>
    <w:rsid w:val="00B355A8"/>
    <w:rsid w:val="00B35825"/>
    <w:rsid w:val="00B35BA2"/>
    <w:rsid w:val="00B35BC7"/>
    <w:rsid w:val="00B35C57"/>
    <w:rsid w:val="00B3638D"/>
    <w:rsid w:val="00B36463"/>
    <w:rsid w:val="00B364AF"/>
    <w:rsid w:val="00B3659C"/>
    <w:rsid w:val="00B369E0"/>
    <w:rsid w:val="00B36BE7"/>
    <w:rsid w:val="00B36F1B"/>
    <w:rsid w:val="00B37221"/>
    <w:rsid w:val="00B375B8"/>
    <w:rsid w:val="00B3779C"/>
    <w:rsid w:val="00B37A2A"/>
    <w:rsid w:val="00B37CA8"/>
    <w:rsid w:val="00B37E40"/>
    <w:rsid w:val="00B4018F"/>
    <w:rsid w:val="00B403DB"/>
    <w:rsid w:val="00B40978"/>
    <w:rsid w:val="00B409D6"/>
    <w:rsid w:val="00B40ABC"/>
    <w:rsid w:val="00B40FBA"/>
    <w:rsid w:val="00B4141A"/>
    <w:rsid w:val="00B414BC"/>
    <w:rsid w:val="00B4169F"/>
    <w:rsid w:val="00B416BF"/>
    <w:rsid w:val="00B418D0"/>
    <w:rsid w:val="00B41AB1"/>
    <w:rsid w:val="00B425F7"/>
    <w:rsid w:val="00B4269A"/>
    <w:rsid w:val="00B42982"/>
    <w:rsid w:val="00B42EB2"/>
    <w:rsid w:val="00B430B2"/>
    <w:rsid w:val="00B432BB"/>
    <w:rsid w:val="00B43672"/>
    <w:rsid w:val="00B43B48"/>
    <w:rsid w:val="00B43B69"/>
    <w:rsid w:val="00B43C11"/>
    <w:rsid w:val="00B4448E"/>
    <w:rsid w:val="00B444DC"/>
    <w:rsid w:val="00B4462E"/>
    <w:rsid w:val="00B44681"/>
    <w:rsid w:val="00B44720"/>
    <w:rsid w:val="00B44A91"/>
    <w:rsid w:val="00B44E17"/>
    <w:rsid w:val="00B44F64"/>
    <w:rsid w:val="00B453CB"/>
    <w:rsid w:val="00B45E18"/>
    <w:rsid w:val="00B46019"/>
    <w:rsid w:val="00B4602B"/>
    <w:rsid w:val="00B46055"/>
    <w:rsid w:val="00B468E7"/>
    <w:rsid w:val="00B46A6A"/>
    <w:rsid w:val="00B46B27"/>
    <w:rsid w:val="00B46F2A"/>
    <w:rsid w:val="00B473A2"/>
    <w:rsid w:val="00B473CF"/>
    <w:rsid w:val="00B473EE"/>
    <w:rsid w:val="00B47498"/>
    <w:rsid w:val="00B47586"/>
    <w:rsid w:val="00B478DF"/>
    <w:rsid w:val="00B47BFD"/>
    <w:rsid w:val="00B47C0B"/>
    <w:rsid w:val="00B504D4"/>
    <w:rsid w:val="00B50621"/>
    <w:rsid w:val="00B50777"/>
    <w:rsid w:val="00B50A5D"/>
    <w:rsid w:val="00B50B7B"/>
    <w:rsid w:val="00B51088"/>
    <w:rsid w:val="00B5115B"/>
    <w:rsid w:val="00B51713"/>
    <w:rsid w:val="00B51910"/>
    <w:rsid w:val="00B51918"/>
    <w:rsid w:val="00B519FE"/>
    <w:rsid w:val="00B51E12"/>
    <w:rsid w:val="00B52284"/>
    <w:rsid w:val="00B52767"/>
    <w:rsid w:val="00B52839"/>
    <w:rsid w:val="00B52AD2"/>
    <w:rsid w:val="00B52F4F"/>
    <w:rsid w:val="00B53118"/>
    <w:rsid w:val="00B536B0"/>
    <w:rsid w:val="00B53C6F"/>
    <w:rsid w:val="00B53F5F"/>
    <w:rsid w:val="00B5408A"/>
    <w:rsid w:val="00B54534"/>
    <w:rsid w:val="00B5479C"/>
    <w:rsid w:val="00B548D9"/>
    <w:rsid w:val="00B549B5"/>
    <w:rsid w:val="00B54AC2"/>
    <w:rsid w:val="00B56031"/>
    <w:rsid w:val="00B5605E"/>
    <w:rsid w:val="00B5609E"/>
    <w:rsid w:val="00B5611C"/>
    <w:rsid w:val="00B562D8"/>
    <w:rsid w:val="00B56392"/>
    <w:rsid w:val="00B56403"/>
    <w:rsid w:val="00B56786"/>
    <w:rsid w:val="00B56850"/>
    <w:rsid w:val="00B56923"/>
    <w:rsid w:val="00B56B21"/>
    <w:rsid w:val="00B56E4C"/>
    <w:rsid w:val="00B57146"/>
    <w:rsid w:val="00B57189"/>
    <w:rsid w:val="00B573A8"/>
    <w:rsid w:val="00B575B6"/>
    <w:rsid w:val="00B57602"/>
    <w:rsid w:val="00B57894"/>
    <w:rsid w:val="00B57B51"/>
    <w:rsid w:val="00B57D40"/>
    <w:rsid w:val="00B60359"/>
    <w:rsid w:val="00B604E8"/>
    <w:rsid w:val="00B607B3"/>
    <w:rsid w:val="00B608C5"/>
    <w:rsid w:val="00B609E3"/>
    <w:rsid w:val="00B60B70"/>
    <w:rsid w:val="00B6137F"/>
    <w:rsid w:val="00B6166C"/>
    <w:rsid w:val="00B616EA"/>
    <w:rsid w:val="00B61AA2"/>
    <w:rsid w:val="00B61AF1"/>
    <w:rsid w:val="00B61F25"/>
    <w:rsid w:val="00B61F91"/>
    <w:rsid w:val="00B62421"/>
    <w:rsid w:val="00B62836"/>
    <w:rsid w:val="00B62E95"/>
    <w:rsid w:val="00B62F6C"/>
    <w:rsid w:val="00B632A4"/>
    <w:rsid w:val="00B6336C"/>
    <w:rsid w:val="00B63DFA"/>
    <w:rsid w:val="00B63EAF"/>
    <w:rsid w:val="00B6435B"/>
    <w:rsid w:val="00B64402"/>
    <w:rsid w:val="00B64A34"/>
    <w:rsid w:val="00B64ABD"/>
    <w:rsid w:val="00B65882"/>
    <w:rsid w:val="00B658D1"/>
    <w:rsid w:val="00B6597D"/>
    <w:rsid w:val="00B65CEE"/>
    <w:rsid w:val="00B65E5E"/>
    <w:rsid w:val="00B662CD"/>
    <w:rsid w:val="00B66343"/>
    <w:rsid w:val="00B669A1"/>
    <w:rsid w:val="00B66B6F"/>
    <w:rsid w:val="00B67BEB"/>
    <w:rsid w:val="00B67CBE"/>
    <w:rsid w:val="00B70187"/>
    <w:rsid w:val="00B703E3"/>
    <w:rsid w:val="00B7050D"/>
    <w:rsid w:val="00B705D1"/>
    <w:rsid w:val="00B709AE"/>
    <w:rsid w:val="00B70BC9"/>
    <w:rsid w:val="00B70E2F"/>
    <w:rsid w:val="00B70EEF"/>
    <w:rsid w:val="00B7113E"/>
    <w:rsid w:val="00B7130B"/>
    <w:rsid w:val="00B717A3"/>
    <w:rsid w:val="00B71C02"/>
    <w:rsid w:val="00B71CEA"/>
    <w:rsid w:val="00B72111"/>
    <w:rsid w:val="00B72450"/>
    <w:rsid w:val="00B72524"/>
    <w:rsid w:val="00B72580"/>
    <w:rsid w:val="00B726FD"/>
    <w:rsid w:val="00B72895"/>
    <w:rsid w:val="00B728BC"/>
    <w:rsid w:val="00B72F37"/>
    <w:rsid w:val="00B73461"/>
    <w:rsid w:val="00B7361D"/>
    <w:rsid w:val="00B73627"/>
    <w:rsid w:val="00B74294"/>
    <w:rsid w:val="00B742EC"/>
    <w:rsid w:val="00B74314"/>
    <w:rsid w:val="00B743EB"/>
    <w:rsid w:val="00B7442A"/>
    <w:rsid w:val="00B74982"/>
    <w:rsid w:val="00B74E8B"/>
    <w:rsid w:val="00B75078"/>
    <w:rsid w:val="00B75093"/>
    <w:rsid w:val="00B750ED"/>
    <w:rsid w:val="00B7540F"/>
    <w:rsid w:val="00B75465"/>
    <w:rsid w:val="00B75836"/>
    <w:rsid w:val="00B75D8B"/>
    <w:rsid w:val="00B75E7C"/>
    <w:rsid w:val="00B75FD2"/>
    <w:rsid w:val="00B7621C"/>
    <w:rsid w:val="00B76243"/>
    <w:rsid w:val="00B7655C"/>
    <w:rsid w:val="00B766F5"/>
    <w:rsid w:val="00B767BD"/>
    <w:rsid w:val="00B767F6"/>
    <w:rsid w:val="00B7695F"/>
    <w:rsid w:val="00B76AA9"/>
    <w:rsid w:val="00B76D38"/>
    <w:rsid w:val="00B76E85"/>
    <w:rsid w:val="00B76F6F"/>
    <w:rsid w:val="00B772CB"/>
    <w:rsid w:val="00B77360"/>
    <w:rsid w:val="00B77438"/>
    <w:rsid w:val="00B77E3D"/>
    <w:rsid w:val="00B77F14"/>
    <w:rsid w:val="00B8039E"/>
    <w:rsid w:val="00B80770"/>
    <w:rsid w:val="00B80803"/>
    <w:rsid w:val="00B809D9"/>
    <w:rsid w:val="00B80ADF"/>
    <w:rsid w:val="00B81182"/>
    <w:rsid w:val="00B81412"/>
    <w:rsid w:val="00B81EE9"/>
    <w:rsid w:val="00B81F01"/>
    <w:rsid w:val="00B82526"/>
    <w:rsid w:val="00B828E8"/>
    <w:rsid w:val="00B82A03"/>
    <w:rsid w:val="00B82FD8"/>
    <w:rsid w:val="00B83142"/>
    <w:rsid w:val="00B83247"/>
    <w:rsid w:val="00B834BC"/>
    <w:rsid w:val="00B83A6E"/>
    <w:rsid w:val="00B83F2B"/>
    <w:rsid w:val="00B83F70"/>
    <w:rsid w:val="00B83FA9"/>
    <w:rsid w:val="00B8410F"/>
    <w:rsid w:val="00B841AA"/>
    <w:rsid w:val="00B842C2"/>
    <w:rsid w:val="00B84714"/>
    <w:rsid w:val="00B84AFB"/>
    <w:rsid w:val="00B84DD1"/>
    <w:rsid w:val="00B852B9"/>
    <w:rsid w:val="00B8568D"/>
    <w:rsid w:val="00B85A34"/>
    <w:rsid w:val="00B85E15"/>
    <w:rsid w:val="00B85E20"/>
    <w:rsid w:val="00B85EE1"/>
    <w:rsid w:val="00B86592"/>
    <w:rsid w:val="00B86606"/>
    <w:rsid w:val="00B8663F"/>
    <w:rsid w:val="00B867A6"/>
    <w:rsid w:val="00B86808"/>
    <w:rsid w:val="00B86955"/>
    <w:rsid w:val="00B869C6"/>
    <w:rsid w:val="00B86A3F"/>
    <w:rsid w:val="00B86E9C"/>
    <w:rsid w:val="00B87578"/>
    <w:rsid w:val="00B878C4"/>
    <w:rsid w:val="00B90141"/>
    <w:rsid w:val="00B901C3"/>
    <w:rsid w:val="00B904A4"/>
    <w:rsid w:val="00B906F8"/>
    <w:rsid w:val="00B9082A"/>
    <w:rsid w:val="00B90CD4"/>
    <w:rsid w:val="00B90DF5"/>
    <w:rsid w:val="00B91982"/>
    <w:rsid w:val="00B91F68"/>
    <w:rsid w:val="00B92430"/>
    <w:rsid w:val="00B9259B"/>
    <w:rsid w:val="00B92A93"/>
    <w:rsid w:val="00B92C04"/>
    <w:rsid w:val="00B932BD"/>
    <w:rsid w:val="00B93394"/>
    <w:rsid w:val="00B93506"/>
    <w:rsid w:val="00B93A17"/>
    <w:rsid w:val="00B93CD2"/>
    <w:rsid w:val="00B93D01"/>
    <w:rsid w:val="00B93EBA"/>
    <w:rsid w:val="00B93ED2"/>
    <w:rsid w:val="00B93EDA"/>
    <w:rsid w:val="00B942E7"/>
    <w:rsid w:val="00B944D6"/>
    <w:rsid w:val="00B9479F"/>
    <w:rsid w:val="00B9480A"/>
    <w:rsid w:val="00B94C31"/>
    <w:rsid w:val="00B94C3C"/>
    <w:rsid w:val="00B94CAE"/>
    <w:rsid w:val="00B94D50"/>
    <w:rsid w:val="00B95371"/>
    <w:rsid w:val="00B9543E"/>
    <w:rsid w:val="00B95654"/>
    <w:rsid w:val="00B959F1"/>
    <w:rsid w:val="00B95D22"/>
    <w:rsid w:val="00B95F05"/>
    <w:rsid w:val="00B96076"/>
    <w:rsid w:val="00B96110"/>
    <w:rsid w:val="00B963FF"/>
    <w:rsid w:val="00B9643F"/>
    <w:rsid w:val="00B96712"/>
    <w:rsid w:val="00B96840"/>
    <w:rsid w:val="00B9698D"/>
    <w:rsid w:val="00B96BBD"/>
    <w:rsid w:val="00B96EE2"/>
    <w:rsid w:val="00B970CE"/>
    <w:rsid w:val="00B972CB"/>
    <w:rsid w:val="00B976D1"/>
    <w:rsid w:val="00B977B3"/>
    <w:rsid w:val="00B9794F"/>
    <w:rsid w:val="00B97BCF"/>
    <w:rsid w:val="00B97E44"/>
    <w:rsid w:val="00B97FDA"/>
    <w:rsid w:val="00BA00B3"/>
    <w:rsid w:val="00BA01E0"/>
    <w:rsid w:val="00BA05B2"/>
    <w:rsid w:val="00BA072E"/>
    <w:rsid w:val="00BA0785"/>
    <w:rsid w:val="00BA0832"/>
    <w:rsid w:val="00BA0EBF"/>
    <w:rsid w:val="00BA12F7"/>
    <w:rsid w:val="00BA1731"/>
    <w:rsid w:val="00BA1828"/>
    <w:rsid w:val="00BA1B76"/>
    <w:rsid w:val="00BA1CBA"/>
    <w:rsid w:val="00BA1DDB"/>
    <w:rsid w:val="00BA2099"/>
    <w:rsid w:val="00BA21DB"/>
    <w:rsid w:val="00BA2278"/>
    <w:rsid w:val="00BA2664"/>
    <w:rsid w:val="00BA2690"/>
    <w:rsid w:val="00BA2860"/>
    <w:rsid w:val="00BA317F"/>
    <w:rsid w:val="00BA37BC"/>
    <w:rsid w:val="00BA3A67"/>
    <w:rsid w:val="00BA3D11"/>
    <w:rsid w:val="00BA41E4"/>
    <w:rsid w:val="00BA473B"/>
    <w:rsid w:val="00BA4766"/>
    <w:rsid w:val="00BA49FF"/>
    <w:rsid w:val="00BA4D8E"/>
    <w:rsid w:val="00BA4DB9"/>
    <w:rsid w:val="00BA4E34"/>
    <w:rsid w:val="00BA4E3B"/>
    <w:rsid w:val="00BA52BA"/>
    <w:rsid w:val="00BA5934"/>
    <w:rsid w:val="00BA5AF2"/>
    <w:rsid w:val="00BA5E20"/>
    <w:rsid w:val="00BA5FEE"/>
    <w:rsid w:val="00BA6302"/>
    <w:rsid w:val="00BA633A"/>
    <w:rsid w:val="00BA6447"/>
    <w:rsid w:val="00BA649D"/>
    <w:rsid w:val="00BA6962"/>
    <w:rsid w:val="00BA6F2E"/>
    <w:rsid w:val="00BA70D7"/>
    <w:rsid w:val="00BA7217"/>
    <w:rsid w:val="00BA7426"/>
    <w:rsid w:val="00BA74CF"/>
    <w:rsid w:val="00BA756C"/>
    <w:rsid w:val="00BA7826"/>
    <w:rsid w:val="00BA793B"/>
    <w:rsid w:val="00BA79C0"/>
    <w:rsid w:val="00BA7A90"/>
    <w:rsid w:val="00BA7D69"/>
    <w:rsid w:val="00BB054B"/>
    <w:rsid w:val="00BB09F8"/>
    <w:rsid w:val="00BB0C42"/>
    <w:rsid w:val="00BB0C7E"/>
    <w:rsid w:val="00BB0F4D"/>
    <w:rsid w:val="00BB0FC1"/>
    <w:rsid w:val="00BB0FFB"/>
    <w:rsid w:val="00BB110C"/>
    <w:rsid w:val="00BB1554"/>
    <w:rsid w:val="00BB1586"/>
    <w:rsid w:val="00BB168F"/>
    <w:rsid w:val="00BB1698"/>
    <w:rsid w:val="00BB18B3"/>
    <w:rsid w:val="00BB1D12"/>
    <w:rsid w:val="00BB1E3E"/>
    <w:rsid w:val="00BB224F"/>
    <w:rsid w:val="00BB257C"/>
    <w:rsid w:val="00BB2A79"/>
    <w:rsid w:val="00BB2AB5"/>
    <w:rsid w:val="00BB2E4B"/>
    <w:rsid w:val="00BB3082"/>
    <w:rsid w:val="00BB3207"/>
    <w:rsid w:val="00BB362F"/>
    <w:rsid w:val="00BB38A9"/>
    <w:rsid w:val="00BB3909"/>
    <w:rsid w:val="00BB3A82"/>
    <w:rsid w:val="00BB4365"/>
    <w:rsid w:val="00BB43A1"/>
    <w:rsid w:val="00BB464E"/>
    <w:rsid w:val="00BB4762"/>
    <w:rsid w:val="00BB4C00"/>
    <w:rsid w:val="00BB4EF0"/>
    <w:rsid w:val="00BB4F30"/>
    <w:rsid w:val="00BB5248"/>
    <w:rsid w:val="00BB5323"/>
    <w:rsid w:val="00BB539A"/>
    <w:rsid w:val="00BB55D1"/>
    <w:rsid w:val="00BB5C9F"/>
    <w:rsid w:val="00BB5DDC"/>
    <w:rsid w:val="00BB5E94"/>
    <w:rsid w:val="00BB6A8E"/>
    <w:rsid w:val="00BB6EFF"/>
    <w:rsid w:val="00BB6FC2"/>
    <w:rsid w:val="00BB7055"/>
    <w:rsid w:val="00BB72AA"/>
    <w:rsid w:val="00BB73B5"/>
    <w:rsid w:val="00BB7434"/>
    <w:rsid w:val="00BB798E"/>
    <w:rsid w:val="00BB79B2"/>
    <w:rsid w:val="00BB7F44"/>
    <w:rsid w:val="00BC0116"/>
    <w:rsid w:val="00BC017D"/>
    <w:rsid w:val="00BC02EB"/>
    <w:rsid w:val="00BC0715"/>
    <w:rsid w:val="00BC0895"/>
    <w:rsid w:val="00BC08B5"/>
    <w:rsid w:val="00BC099A"/>
    <w:rsid w:val="00BC0DB8"/>
    <w:rsid w:val="00BC0E65"/>
    <w:rsid w:val="00BC0F20"/>
    <w:rsid w:val="00BC13D1"/>
    <w:rsid w:val="00BC1553"/>
    <w:rsid w:val="00BC23A5"/>
    <w:rsid w:val="00BC27A0"/>
    <w:rsid w:val="00BC2A67"/>
    <w:rsid w:val="00BC2FB5"/>
    <w:rsid w:val="00BC3967"/>
    <w:rsid w:val="00BC39EA"/>
    <w:rsid w:val="00BC41CD"/>
    <w:rsid w:val="00BC4339"/>
    <w:rsid w:val="00BC4653"/>
    <w:rsid w:val="00BC4AFD"/>
    <w:rsid w:val="00BC4C55"/>
    <w:rsid w:val="00BC4CE4"/>
    <w:rsid w:val="00BC4DA1"/>
    <w:rsid w:val="00BC5116"/>
    <w:rsid w:val="00BC5182"/>
    <w:rsid w:val="00BC5312"/>
    <w:rsid w:val="00BC5529"/>
    <w:rsid w:val="00BC568E"/>
    <w:rsid w:val="00BC58D1"/>
    <w:rsid w:val="00BC58F9"/>
    <w:rsid w:val="00BC5E5A"/>
    <w:rsid w:val="00BC5EE6"/>
    <w:rsid w:val="00BC6040"/>
    <w:rsid w:val="00BC635F"/>
    <w:rsid w:val="00BC6451"/>
    <w:rsid w:val="00BC6461"/>
    <w:rsid w:val="00BC6783"/>
    <w:rsid w:val="00BC6911"/>
    <w:rsid w:val="00BC6982"/>
    <w:rsid w:val="00BC6B83"/>
    <w:rsid w:val="00BC6E18"/>
    <w:rsid w:val="00BC7251"/>
    <w:rsid w:val="00BC778F"/>
    <w:rsid w:val="00BC794C"/>
    <w:rsid w:val="00BC7A87"/>
    <w:rsid w:val="00BD004B"/>
    <w:rsid w:val="00BD006B"/>
    <w:rsid w:val="00BD025E"/>
    <w:rsid w:val="00BD0B80"/>
    <w:rsid w:val="00BD105B"/>
    <w:rsid w:val="00BD1278"/>
    <w:rsid w:val="00BD1A8F"/>
    <w:rsid w:val="00BD2771"/>
    <w:rsid w:val="00BD3768"/>
    <w:rsid w:val="00BD3C11"/>
    <w:rsid w:val="00BD4142"/>
    <w:rsid w:val="00BD479B"/>
    <w:rsid w:val="00BD49E1"/>
    <w:rsid w:val="00BD4CDC"/>
    <w:rsid w:val="00BD4F59"/>
    <w:rsid w:val="00BD4F5F"/>
    <w:rsid w:val="00BD53A8"/>
    <w:rsid w:val="00BD556D"/>
    <w:rsid w:val="00BD57D7"/>
    <w:rsid w:val="00BD5FC0"/>
    <w:rsid w:val="00BD6188"/>
    <w:rsid w:val="00BD62A9"/>
    <w:rsid w:val="00BD660F"/>
    <w:rsid w:val="00BD714C"/>
    <w:rsid w:val="00BE055D"/>
    <w:rsid w:val="00BE095C"/>
    <w:rsid w:val="00BE0999"/>
    <w:rsid w:val="00BE0DD3"/>
    <w:rsid w:val="00BE0FAF"/>
    <w:rsid w:val="00BE0FDC"/>
    <w:rsid w:val="00BE1105"/>
    <w:rsid w:val="00BE11BD"/>
    <w:rsid w:val="00BE12F4"/>
    <w:rsid w:val="00BE19EE"/>
    <w:rsid w:val="00BE1E9D"/>
    <w:rsid w:val="00BE1F9E"/>
    <w:rsid w:val="00BE2011"/>
    <w:rsid w:val="00BE210D"/>
    <w:rsid w:val="00BE2A40"/>
    <w:rsid w:val="00BE2AEF"/>
    <w:rsid w:val="00BE2B2B"/>
    <w:rsid w:val="00BE2B50"/>
    <w:rsid w:val="00BE34F1"/>
    <w:rsid w:val="00BE3885"/>
    <w:rsid w:val="00BE38C2"/>
    <w:rsid w:val="00BE3D06"/>
    <w:rsid w:val="00BE3E5B"/>
    <w:rsid w:val="00BE4055"/>
    <w:rsid w:val="00BE4782"/>
    <w:rsid w:val="00BE4B18"/>
    <w:rsid w:val="00BE5225"/>
    <w:rsid w:val="00BE52EE"/>
    <w:rsid w:val="00BE5578"/>
    <w:rsid w:val="00BE59D5"/>
    <w:rsid w:val="00BE5E9D"/>
    <w:rsid w:val="00BE658B"/>
    <w:rsid w:val="00BE668A"/>
    <w:rsid w:val="00BE6D0B"/>
    <w:rsid w:val="00BE6DCE"/>
    <w:rsid w:val="00BE7488"/>
    <w:rsid w:val="00BE75C1"/>
    <w:rsid w:val="00BE7B96"/>
    <w:rsid w:val="00BE7E2D"/>
    <w:rsid w:val="00BE7E34"/>
    <w:rsid w:val="00BF0113"/>
    <w:rsid w:val="00BF015F"/>
    <w:rsid w:val="00BF03CB"/>
    <w:rsid w:val="00BF058E"/>
    <w:rsid w:val="00BF0A8C"/>
    <w:rsid w:val="00BF0C2C"/>
    <w:rsid w:val="00BF0E0F"/>
    <w:rsid w:val="00BF0E19"/>
    <w:rsid w:val="00BF1749"/>
    <w:rsid w:val="00BF195C"/>
    <w:rsid w:val="00BF1B04"/>
    <w:rsid w:val="00BF1D0A"/>
    <w:rsid w:val="00BF21A8"/>
    <w:rsid w:val="00BF2510"/>
    <w:rsid w:val="00BF2EA2"/>
    <w:rsid w:val="00BF2EA7"/>
    <w:rsid w:val="00BF2F18"/>
    <w:rsid w:val="00BF306D"/>
    <w:rsid w:val="00BF31EF"/>
    <w:rsid w:val="00BF3275"/>
    <w:rsid w:val="00BF32EC"/>
    <w:rsid w:val="00BF3588"/>
    <w:rsid w:val="00BF3705"/>
    <w:rsid w:val="00BF383E"/>
    <w:rsid w:val="00BF39C7"/>
    <w:rsid w:val="00BF3AB9"/>
    <w:rsid w:val="00BF3C8D"/>
    <w:rsid w:val="00BF3CA8"/>
    <w:rsid w:val="00BF3CAE"/>
    <w:rsid w:val="00BF3E45"/>
    <w:rsid w:val="00BF40A3"/>
    <w:rsid w:val="00BF418E"/>
    <w:rsid w:val="00BF434F"/>
    <w:rsid w:val="00BF4393"/>
    <w:rsid w:val="00BF4544"/>
    <w:rsid w:val="00BF4840"/>
    <w:rsid w:val="00BF4BEE"/>
    <w:rsid w:val="00BF4F43"/>
    <w:rsid w:val="00BF4FFA"/>
    <w:rsid w:val="00BF511D"/>
    <w:rsid w:val="00BF557C"/>
    <w:rsid w:val="00BF617A"/>
    <w:rsid w:val="00BF63BB"/>
    <w:rsid w:val="00BF6441"/>
    <w:rsid w:val="00BF64BD"/>
    <w:rsid w:val="00BF6630"/>
    <w:rsid w:val="00BF6877"/>
    <w:rsid w:val="00BF6DB7"/>
    <w:rsid w:val="00BF6FAC"/>
    <w:rsid w:val="00BF715B"/>
    <w:rsid w:val="00BF7208"/>
    <w:rsid w:val="00BF7581"/>
    <w:rsid w:val="00BF79A7"/>
    <w:rsid w:val="00BF79D4"/>
    <w:rsid w:val="00BF7FD3"/>
    <w:rsid w:val="00C00350"/>
    <w:rsid w:val="00C003F5"/>
    <w:rsid w:val="00C004C5"/>
    <w:rsid w:val="00C0076E"/>
    <w:rsid w:val="00C007A7"/>
    <w:rsid w:val="00C008CE"/>
    <w:rsid w:val="00C00C6E"/>
    <w:rsid w:val="00C00E63"/>
    <w:rsid w:val="00C01067"/>
    <w:rsid w:val="00C012D8"/>
    <w:rsid w:val="00C012F4"/>
    <w:rsid w:val="00C01330"/>
    <w:rsid w:val="00C0140C"/>
    <w:rsid w:val="00C014A3"/>
    <w:rsid w:val="00C01588"/>
    <w:rsid w:val="00C01B40"/>
    <w:rsid w:val="00C01C10"/>
    <w:rsid w:val="00C020E2"/>
    <w:rsid w:val="00C022E1"/>
    <w:rsid w:val="00C022F8"/>
    <w:rsid w:val="00C0294D"/>
    <w:rsid w:val="00C02A98"/>
    <w:rsid w:val="00C02C72"/>
    <w:rsid w:val="00C0315C"/>
    <w:rsid w:val="00C032EA"/>
    <w:rsid w:val="00C035E6"/>
    <w:rsid w:val="00C03A53"/>
    <w:rsid w:val="00C03DD3"/>
    <w:rsid w:val="00C03F83"/>
    <w:rsid w:val="00C045B3"/>
    <w:rsid w:val="00C049AB"/>
    <w:rsid w:val="00C04ACD"/>
    <w:rsid w:val="00C04C9D"/>
    <w:rsid w:val="00C04D18"/>
    <w:rsid w:val="00C04D40"/>
    <w:rsid w:val="00C04DF3"/>
    <w:rsid w:val="00C04F5C"/>
    <w:rsid w:val="00C04FD6"/>
    <w:rsid w:val="00C04FFF"/>
    <w:rsid w:val="00C0564D"/>
    <w:rsid w:val="00C05685"/>
    <w:rsid w:val="00C05912"/>
    <w:rsid w:val="00C0595F"/>
    <w:rsid w:val="00C05A29"/>
    <w:rsid w:val="00C05C3A"/>
    <w:rsid w:val="00C05D12"/>
    <w:rsid w:val="00C0631F"/>
    <w:rsid w:val="00C0663F"/>
    <w:rsid w:val="00C06670"/>
    <w:rsid w:val="00C06700"/>
    <w:rsid w:val="00C06785"/>
    <w:rsid w:val="00C06DF2"/>
    <w:rsid w:val="00C06EB9"/>
    <w:rsid w:val="00C06FCC"/>
    <w:rsid w:val="00C071E5"/>
    <w:rsid w:val="00C073B2"/>
    <w:rsid w:val="00C0744B"/>
    <w:rsid w:val="00C07CE3"/>
    <w:rsid w:val="00C07F04"/>
    <w:rsid w:val="00C07FD6"/>
    <w:rsid w:val="00C10227"/>
    <w:rsid w:val="00C1053E"/>
    <w:rsid w:val="00C1076C"/>
    <w:rsid w:val="00C10DEF"/>
    <w:rsid w:val="00C10FAD"/>
    <w:rsid w:val="00C11247"/>
    <w:rsid w:val="00C11494"/>
    <w:rsid w:val="00C115C0"/>
    <w:rsid w:val="00C1166D"/>
    <w:rsid w:val="00C1195C"/>
    <w:rsid w:val="00C11BFB"/>
    <w:rsid w:val="00C11EF8"/>
    <w:rsid w:val="00C11F0B"/>
    <w:rsid w:val="00C1223E"/>
    <w:rsid w:val="00C1256F"/>
    <w:rsid w:val="00C125A4"/>
    <w:rsid w:val="00C127CE"/>
    <w:rsid w:val="00C128A6"/>
    <w:rsid w:val="00C12ABA"/>
    <w:rsid w:val="00C12D75"/>
    <w:rsid w:val="00C12D8F"/>
    <w:rsid w:val="00C12DAF"/>
    <w:rsid w:val="00C13029"/>
    <w:rsid w:val="00C1302A"/>
    <w:rsid w:val="00C130D1"/>
    <w:rsid w:val="00C1351F"/>
    <w:rsid w:val="00C13807"/>
    <w:rsid w:val="00C140F4"/>
    <w:rsid w:val="00C14531"/>
    <w:rsid w:val="00C14816"/>
    <w:rsid w:val="00C148E4"/>
    <w:rsid w:val="00C14C21"/>
    <w:rsid w:val="00C14F80"/>
    <w:rsid w:val="00C152CC"/>
    <w:rsid w:val="00C154C1"/>
    <w:rsid w:val="00C1576B"/>
    <w:rsid w:val="00C158A0"/>
    <w:rsid w:val="00C15A97"/>
    <w:rsid w:val="00C15AFC"/>
    <w:rsid w:val="00C15BF6"/>
    <w:rsid w:val="00C15C52"/>
    <w:rsid w:val="00C15E53"/>
    <w:rsid w:val="00C163A1"/>
    <w:rsid w:val="00C16452"/>
    <w:rsid w:val="00C164E0"/>
    <w:rsid w:val="00C16898"/>
    <w:rsid w:val="00C16AAA"/>
    <w:rsid w:val="00C16C13"/>
    <w:rsid w:val="00C16E9F"/>
    <w:rsid w:val="00C171B2"/>
    <w:rsid w:val="00C175A2"/>
    <w:rsid w:val="00C175C1"/>
    <w:rsid w:val="00C17D10"/>
    <w:rsid w:val="00C17E10"/>
    <w:rsid w:val="00C205E0"/>
    <w:rsid w:val="00C206E1"/>
    <w:rsid w:val="00C20F76"/>
    <w:rsid w:val="00C20FF3"/>
    <w:rsid w:val="00C21A14"/>
    <w:rsid w:val="00C21AA0"/>
    <w:rsid w:val="00C21B0F"/>
    <w:rsid w:val="00C21F34"/>
    <w:rsid w:val="00C2236C"/>
    <w:rsid w:val="00C22783"/>
    <w:rsid w:val="00C22B79"/>
    <w:rsid w:val="00C23512"/>
    <w:rsid w:val="00C2353F"/>
    <w:rsid w:val="00C23896"/>
    <w:rsid w:val="00C23B3A"/>
    <w:rsid w:val="00C23C90"/>
    <w:rsid w:val="00C24273"/>
    <w:rsid w:val="00C244A0"/>
    <w:rsid w:val="00C24A25"/>
    <w:rsid w:val="00C24BA0"/>
    <w:rsid w:val="00C24BA8"/>
    <w:rsid w:val="00C24F13"/>
    <w:rsid w:val="00C252A7"/>
    <w:rsid w:val="00C253A0"/>
    <w:rsid w:val="00C25C7F"/>
    <w:rsid w:val="00C262B8"/>
    <w:rsid w:val="00C26576"/>
    <w:rsid w:val="00C269EE"/>
    <w:rsid w:val="00C26BA6"/>
    <w:rsid w:val="00C26D99"/>
    <w:rsid w:val="00C27032"/>
    <w:rsid w:val="00C27036"/>
    <w:rsid w:val="00C2779B"/>
    <w:rsid w:val="00C277F7"/>
    <w:rsid w:val="00C27A03"/>
    <w:rsid w:val="00C27A39"/>
    <w:rsid w:val="00C27DD3"/>
    <w:rsid w:val="00C27FC2"/>
    <w:rsid w:val="00C301B0"/>
    <w:rsid w:val="00C301E8"/>
    <w:rsid w:val="00C305EF"/>
    <w:rsid w:val="00C30B63"/>
    <w:rsid w:val="00C30C5F"/>
    <w:rsid w:val="00C30FBE"/>
    <w:rsid w:val="00C31160"/>
    <w:rsid w:val="00C3125C"/>
    <w:rsid w:val="00C316B1"/>
    <w:rsid w:val="00C31C72"/>
    <w:rsid w:val="00C32042"/>
    <w:rsid w:val="00C3221B"/>
    <w:rsid w:val="00C3297E"/>
    <w:rsid w:val="00C32C3A"/>
    <w:rsid w:val="00C32CC6"/>
    <w:rsid w:val="00C3338A"/>
    <w:rsid w:val="00C337DA"/>
    <w:rsid w:val="00C33A8A"/>
    <w:rsid w:val="00C33C55"/>
    <w:rsid w:val="00C33EE5"/>
    <w:rsid w:val="00C33FD5"/>
    <w:rsid w:val="00C34188"/>
    <w:rsid w:val="00C34773"/>
    <w:rsid w:val="00C348AF"/>
    <w:rsid w:val="00C348FD"/>
    <w:rsid w:val="00C3499A"/>
    <w:rsid w:val="00C34F3B"/>
    <w:rsid w:val="00C34F51"/>
    <w:rsid w:val="00C350A4"/>
    <w:rsid w:val="00C35178"/>
    <w:rsid w:val="00C35271"/>
    <w:rsid w:val="00C35387"/>
    <w:rsid w:val="00C35399"/>
    <w:rsid w:val="00C35788"/>
    <w:rsid w:val="00C35F73"/>
    <w:rsid w:val="00C361D7"/>
    <w:rsid w:val="00C36212"/>
    <w:rsid w:val="00C366F7"/>
    <w:rsid w:val="00C367B2"/>
    <w:rsid w:val="00C36A77"/>
    <w:rsid w:val="00C36DC4"/>
    <w:rsid w:val="00C36F18"/>
    <w:rsid w:val="00C36F91"/>
    <w:rsid w:val="00C37153"/>
    <w:rsid w:val="00C372B6"/>
    <w:rsid w:val="00C3769F"/>
    <w:rsid w:val="00C37758"/>
    <w:rsid w:val="00C37E87"/>
    <w:rsid w:val="00C37F5B"/>
    <w:rsid w:val="00C37FEA"/>
    <w:rsid w:val="00C40166"/>
    <w:rsid w:val="00C40738"/>
    <w:rsid w:val="00C40B87"/>
    <w:rsid w:val="00C40C40"/>
    <w:rsid w:val="00C40CC4"/>
    <w:rsid w:val="00C41198"/>
    <w:rsid w:val="00C41737"/>
    <w:rsid w:val="00C41D82"/>
    <w:rsid w:val="00C41E71"/>
    <w:rsid w:val="00C41F4F"/>
    <w:rsid w:val="00C41F62"/>
    <w:rsid w:val="00C42816"/>
    <w:rsid w:val="00C42A3D"/>
    <w:rsid w:val="00C42B09"/>
    <w:rsid w:val="00C42D35"/>
    <w:rsid w:val="00C43328"/>
    <w:rsid w:val="00C435B9"/>
    <w:rsid w:val="00C43719"/>
    <w:rsid w:val="00C43773"/>
    <w:rsid w:val="00C43A3D"/>
    <w:rsid w:val="00C43AB3"/>
    <w:rsid w:val="00C43B5F"/>
    <w:rsid w:val="00C43BF3"/>
    <w:rsid w:val="00C4409B"/>
    <w:rsid w:val="00C440FF"/>
    <w:rsid w:val="00C441BD"/>
    <w:rsid w:val="00C445A3"/>
    <w:rsid w:val="00C44A6B"/>
    <w:rsid w:val="00C44B80"/>
    <w:rsid w:val="00C44B86"/>
    <w:rsid w:val="00C44EC6"/>
    <w:rsid w:val="00C4500B"/>
    <w:rsid w:val="00C452B1"/>
    <w:rsid w:val="00C45465"/>
    <w:rsid w:val="00C459D4"/>
    <w:rsid w:val="00C45EEB"/>
    <w:rsid w:val="00C46734"/>
    <w:rsid w:val="00C467FC"/>
    <w:rsid w:val="00C46876"/>
    <w:rsid w:val="00C46EAB"/>
    <w:rsid w:val="00C472B7"/>
    <w:rsid w:val="00C47403"/>
    <w:rsid w:val="00C47576"/>
    <w:rsid w:val="00C47893"/>
    <w:rsid w:val="00C47B11"/>
    <w:rsid w:val="00C47BA7"/>
    <w:rsid w:val="00C47E91"/>
    <w:rsid w:val="00C5053E"/>
    <w:rsid w:val="00C505D8"/>
    <w:rsid w:val="00C51712"/>
    <w:rsid w:val="00C51763"/>
    <w:rsid w:val="00C5198D"/>
    <w:rsid w:val="00C51A12"/>
    <w:rsid w:val="00C51C12"/>
    <w:rsid w:val="00C520A6"/>
    <w:rsid w:val="00C526DC"/>
    <w:rsid w:val="00C5281E"/>
    <w:rsid w:val="00C528FC"/>
    <w:rsid w:val="00C52E9E"/>
    <w:rsid w:val="00C5307B"/>
    <w:rsid w:val="00C53082"/>
    <w:rsid w:val="00C532AD"/>
    <w:rsid w:val="00C53AF3"/>
    <w:rsid w:val="00C540DB"/>
    <w:rsid w:val="00C54349"/>
    <w:rsid w:val="00C543D4"/>
    <w:rsid w:val="00C54596"/>
    <w:rsid w:val="00C545AF"/>
    <w:rsid w:val="00C546A2"/>
    <w:rsid w:val="00C54712"/>
    <w:rsid w:val="00C54925"/>
    <w:rsid w:val="00C54BBA"/>
    <w:rsid w:val="00C552CB"/>
    <w:rsid w:val="00C554A0"/>
    <w:rsid w:val="00C5597E"/>
    <w:rsid w:val="00C55B7D"/>
    <w:rsid w:val="00C566EC"/>
    <w:rsid w:val="00C56A3F"/>
    <w:rsid w:val="00C56CFB"/>
    <w:rsid w:val="00C56DE1"/>
    <w:rsid w:val="00C571C1"/>
    <w:rsid w:val="00C575AB"/>
    <w:rsid w:val="00C5786F"/>
    <w:rsid w:val="00C57953"/>
    <w:rsid w:val="00C579B1"/>
    <w:rsid w:val="00C57D9E"/>
    <w:rsid w:val="00C57E7A"/>
    <w:rsid w:val="00C57E82"/>
    <w:rsid w:val="00C57F4D"/>
    <w:rsid w:val="00C60359"/>
    <w:rsid w:val="00C6045B"/>
    <w:rsid w:val="00C60612"/>
    <w:rsid w:val="00C609C4"/>
    <w:rsid w:val="00C60A0E"/>
    <w:rsid w:val="00C60E4C"/>
    <w:rsid w:val="00C616B3"/>
    <w:rsid w:val="00C6187F"/>
    <w:rsid w:val="00C61A8F"/>
    <w:rsid w:val="00C61C2A"/>
    <w:rsid w:val="00C62067"/>
    <w:rsid w:val="00C62723"/>
    <w:rsid w:val="00C6295B"/>
    <w:rsid w:val="00C62975"/>
    <w:rsid w:val="00C62A8D"/>
    <w:rsid w:val="00C62CB4"/>
    <w:rsid w:val="00C63457"/>
    <w:rsid w:val="00C6374B"/>
    <w:rsid w:val="00C639CB"/>
    <w:rsid w:val="00C63A52"/>
    <w:rsid w:val="00C63C97"/>
    <w:rsid w:val="00C64764"/>
    <w:rsid w:val="00C64CD3"/>
    <w:rsid w:val="00C65125"/>
    <w:rsid w:val="00C6517D"/>
    <w:rsid w:val="00C65222"/>
    <w:rsid w:val="00C6549E"/>
    <w:rsid w:val="00C65520"/>
    <w:rsid w:val="00C657F1"/>
    <w:rsid w:val="00C6596C"/>
    <w:rsid w:val="00C65E98"/>
    <w:rsid w:val="00C65F9E"/>
    <w:rsid w:val="00C667DA"/>
    <w:rsid w:val="00C668B0"/>
    <w:rsid w:val="00C66C5F"/>
    <w:rsid w:val="00C66D25"/>
    <w:rsid w:val="00C671DC"/>
    <w:rsid w:val="00C677FC"/>
    <w:rsid w:val="00C679FD"/>
    <w:rsid w:val="00C67A6C"/>
    <w:rsid w:val="00C67B9E"/>
    <w:rsid w:val="00C67D8D"/>
    <w:rsid w:val="00C67E6F"/>
    <w:rsid w:val="00C67ED1"/>
    <w:rsid w:val="00C70A69"/>
    <w:rsid w:val="00C71285"/>
    <w:rsid w:val="00C7220B"/>
    <w:rsid w:val="00C72384"/>
    <w:rsid w:val="00C72629"/>
    <w:rsid w:val="00C727EA"/>
    <w:rsid w:val="00C73014"/>
    <w:rsid w:val="00C730AC"/>
    <w:rsid w:val="00C73C64"/>
    <w:rsid w:val="00C73EBE"/>
    <w:rsid w:val="00C74109"/>
    <w:rsid w:val="00C7421A"/>
    <w:rsid w:val="00C74265"/>
    <w:rsid w:val="00C7436F"/>
    <w:rsid w:val="00C747C1"/>
    <w:rsid w:val="00C749E0"/>
    <w:rsid w:val="00C74F5D"/>
    <w:rsid w:val="00C75099"/>
    <w:rsid w:val="00C751B2"/>
    <w:rsid w:val="00C756C2"/>
    <w:rsid w:val="00C75B0B"/>
    <w:rsid w:val="00C75B58"/>
    <w:rsid w:val="00C75BBD"/>
    <w:rsid w:val="00C75D4F"/>
    <w:rsid w:val="00C764F1"/>
    <w:rsid w:val="00C767B4"/>
    <w:rsid w:val="00C768C7"/>
    <w:rsid w:val="00C76A50"/>
    <w:rsid w:val="00C76A97"/>
    <w:rsid w:val="00C76F5D"/>
    <w:rsid w:val="00C76FDE"/>
    <w:rsid w:val="00C771AF"/>
    <w:rsid w:val="00C773E0"/>
    <w:rsid w:val="00C777DE"/>
    <w:rsid w:val="00C7782F"/>
    <w:rsid w:val="00C77EA4"/>
    <w:rsid w:val="00C802AA"/>
    <w:rsid w:val="00C809DF"/>
    <w:rsid w:val="00C8102F"/>
    <w:rsid w:val="00C81318"/>
    <w:rsid w:val="00C817F6"/>
    <w:rsid w:val="00C819E4"/>
    <w:rsid w:val="00C81A5E"/>
    <w:rsid w:val="00C823A8"/>
    <w:rsid w:val="00C82491"/>
    <w:rsid w:val="00C82599"/>
    <w:rsid w:val="00C82634"/>
    <w:rsid w:val="00C826BB"/>
    <w:rsid w:val="00C828E8"/>
    <w:rsid w:val="00C83757"/>
    <w:rsid w:val="00C83FA1"/>
    <w:rsid w:val="00C83FD2"/>
    <w:rsid w:val="00C8417F"/>
    <w:rsid w:val="00C84183"/>
    <w:rsid w:val="00C8418C"/>
    <w:rsid w:val="00C84326"/>
    <w:rsid w:val="00C84372"/>
    <w:rsid w:val="00C84CB7"/>
    <w:rsid w:val="00C84CFA"/>
    <w:rsid w:val="00C84E1A"/>
    <w:rsid w:val="00C84E24"/>
    <w:rsid w:val="00C85846"/>
    <w:rsid w:val="00C8588A"/>
    <w:rsid w:val="00C85D4B"/>
    <w:rsid w:val="00C8608F"/>
    <w:rsid w:val="00C86886"/>
    <w:rsid w:val="00C86C7A"/>
    <w:rsid w:val="00C86E43"/>
    <w:rsid w:val="00C86E7D"/>
    <w:rsid w:val="00C87904"/>
    <w:rsid w:val="00C87F21"/>
    <w:rsid w:val="00C9017E"/>
    <w:rsid w:val="00C9022F"/>
    <w:rsid w:val="00C9071D"/>
    <w:rsid w:val="00C90BAE"/>
    <w:rsid w:val="00C913CC"/>
    <w:rsid w:val="00C913FA"/>
    <w:rsid w:val="00C91D6E"/>
    <w:rsid w:val="00C91F94"/>
    <w:rsid w:val="00C92056"/>
    <w:rsid w:val="00C923D2"/>
    <w:rsid w:val="00C928CB"/>
    <w:rsid w:val="00C92905"/>
    <w:rsid w:val="00C92980"/>
    <w:rsid w:val="00C92AE8"/>
    <w:rsid w:val="00C92D6C"/>
    <w:rsid w:val="00C934A4"/>
    <w:rsid w:val="00C93541"/>
    <w:rsid w:val="00C9362B"/>
    <w:rsid w:val="00C9421C"/>
    <w:rsid w:val="00C94504"/>
    <w:rsid w:val="00C94505"/>
    <w:rsid w:val="00C948F9"/>
    <w:rsid w:val="00C94961"/>
    <w:rsid w:val="00C949C0"/>
    <w:rsid w:val="00C950C0"/>
    <w:rsid w:val="00C95463"/>
    <w:rsid w:val="00C95715"/>
    <w:rsid w:val="00C95BCC"/>
    <w:rsid w:val="00C95CE0"/>
    <w:rsid w:val="00C95E2F"/>
    <w:rsid w:val="00C96251"/>
    <w:rsid w:val="00C96450"/>
    <w:rsid w:val="00C96565"/>
    <w:rsid w:val="00C96F2E"/>
    <w:rsid w:val="00C970FE"/>
    <w:rsid w:val="00C97253"/>
    <w:rsid w:val="00C972EB"/>
    <w:rsid w:val="00C9737F"/>
    <w:rsid w:val="00C9743E"/>
    <w:rsid w:val="00C97663"/>
    <w:rsid w:val="00C976B4"/>
    <w:rsid w:val="00C97796"/>
    <w:rsid w:val="00C978B8"/>
    <w:rsid w:val="00CA058E"/>
    <w:rsid w:val="00CA0613"/>
    <w:rsid w:val="00CA0795"/>
    <w:rsid w:val="00CA0E13"/>
    <w:rsid w:val="00CA1041"/>
    <w:rsid w:val="00CA13A7"/>
    <w:rsid w:val="00CA142E"/>
    <w:rsid w:val="00CA1621"/>
    <w:rsid w:val="00CA18A3"/>
    <w:rsid w:val="00CA1A7A"/>
    <w:rsid w:val="00CA1B37"/>
    <w:rsid w:val="00CA1BE0"/>
    <w:rsid w:val="00CA1E3A"/>
    <w:rsid w:val="00CA204A"/>
    <w:rsid w:val="00CA237C"/>
    <w:rsid w:val="00CA23E3"/>
    <w:rsid w:val="00CA2464"/>
    <w:rsid w:val="00CA25B9"/>
    <w:rsid w:val="00CA2703"/>
    <w:rsid w:val="00CA2945"/>
    <w:rsid w:val="00CA2AE4"/>
    <w:rsid w:val="00CA2C91"/>
    <w:rsid w:val="00CA2DDF"/>
    <w:rsid w:val="00CA31DF"/>
    <w:rsid w:val="00CA3237"/>
    <w:rsid w:val="00CA34F7"/>
    <w:rsid w:val="00CA35F0"/>
    <w:rsid w:val="00CA3636"/>
    <w:rsid w:val="00CA36A9"/>
    <w:rsid w:val="00CA3725"/>
    <w:rsid w:val="00CA3840"/>
    <w:rsid w:val="00CA3E3D"/>
    <w:rsid w:val="00CA3F5C"/>
    <w:rsid w:val="00CA3F7A"/>
    <w:rsid w:val="00CA4033"/>
    <w:rsid w:val="00CA432F"/>
    <w:rsid w:val="00CA4578"/>
    <w:rsid w:val="00CA4847"/>
    <w:rsid w:val="00CA4A3C"/>
    <w:rsid w:val="00CA4C75"/>
    <w:rsid w:val="00CA4D02"/>
    <w:rsid w:val="00CA4FAD"/>
    <w:rsid w:val="00CA5090"/>
    <w:rsid w:val="00CA5197"/>
    <w:rsid w:val="00CA5624"/>
    <w:rsid w:val="00CA5910"/>
    <w:rsid w:val="00CA5993"/>
    <w:rsid w:val="00CA5B80"/>
    <w:rsid w:val="00CA5C24"/>
    <w:rsid w:val="00CA5DBA"/>
    <w:rsid w:val="00CA5E3F"/>
    <w:rsid w:val="00CA64F0"/>
    <w:rsid w:val="00CA6564"/>
    <w:rsid w:val="00CA65A3"/>
    <w:rsid w:val="00CA660B"/>
    <w:rsid w:val="00CA6B64"/>
    <w:rsid w:val="00CA6BC3"/>
    <w:rsid w:val="00CA6DD0"/>
    <w:rsid w:val="00CA6E30"/>
    <w:rsid w:val="00CA72B8"/>
    <w:rsid w:val="00CA7679"/>
    <w:rsid w:val="00CA7B07"/>
    <w:rsid w:val="00CA7B1A"/>
    <w:rsid w:val="00CA7B81"/>
    <w:rsid w:val="00CA7C0C"/>
    <w:rsid w:val="00CA7D77"/>
    <w:rsid w:val="00CB0041"/>
    <w:rsid w:val="00CB03BB"/>
    <w:rsid w:val="00CB0420"/>
    <w:rsid w:val="00CB0569"/>
    <w:rsid w:val="00CB105D"/>
    <w:rsid w:val="00CB1341"/>
    <w:rsid w:val="00CB24B2"/>
    <w:rsid w:val="00CB269F"/>
    <w:rsid w:val="00CB29E0"/>
    <w:rsid w:val="00CB2EAB"/>
    <w:rsid w:val="00CB2F99"/>
    <w:rsid w:val="00CB33E3"/>
    <w:rsid w:val="00CB3DCA"/>
    <w:rsid w:val="00CB3E47"/>
    <w:rsid w:val="00CB40A5"/>
    <w:rsid w:val="00CB40BE"/>
    <w:rsid w:val="00CB410A"/>
    <w:rsid w:val="00CB416A"/>
    <w:rsid w:val="00CB4D7A"/>
    <w:rsid w:val="00CB4E20"/>
    <w:rsid w:val="00CB5126"/>
    <w:rsid w:val="00CB58CD"/>
    <w:rsid w:val="00CB5AE4"/>
    <w:rsid w:val="00CB5ED9"/>
    <w:rsid w:val="00CB6546"/>
    <w:rsid w:val="00CB6E59"/>
    <w:rsid w:val="00CB7365"/>
    <w:rsid w:val="00CB748A"/>
    <w:rsid w:val="00CB7624"/>
    <w:rsid w:val="00CB7769"/>
    <w:rsid w:val="00CB79DD"/>
    <w:rsid w:val="00CB7C66"/>
    <w:rsid w:val="00CB7D81"/>
    <w:rsid w:val="00CB7EB8"/>
    <w:rsid w:val="00CC0149"/>
    <w:rsid w:val="00CC0248"/>
    <w:rsid w:val="00CC0278"/>
    <w:rsid w:val="00CC02D5"/>
    <w:rsid w:val="00CC079B"/>
    <w:rsid w:val="00CC090F"/>
    <w:rsid w:val="00CC0984"/>
    <w:rsid w:val="00CC0B09"/>
    <w:rsid w:val="00CC0D7F"/>
    <w:rsid w:val="00CC0FEC"/>
    <w:rsid w:val="00CC10ED"/>
    <w:rsid w:val="00CC1E61"/>
    <w:rsid w:val="00CC2124"/>
    <w:rsid w:val="00CC2186"/>
    <w:rsid w:val="00CC219D"/>
    <w:rsid w:val="00CC23B9"/>
    <w:rsid w:val="00CC27A7"/>
    <w:rsid w:val="00CC296A"/>
    <w:rsid w:val="00CC2AA4"/>
    <w:rsid w:val="00CC2AE7"/>
    <w:rsid w:val="00CC2D77"/>
    <w:rsid w:val="00CC2DA1"/>
    <w:rsid w:val="00CC3155"/>
    <w:rsid w:val="00CC3165"/>
    <w:rsid w:val="00CC3203"/>
    <w:rsid w:val="00CC3249"/>
    <w:rsid w:val="00CC32F8"/>
    <w:rsid w:val="00CC3445"/>
    <w:rsid w:val="00CC359C"/>
    <w:rsid w:val="00CC384F"/>
    <w:rsid w:val="00CC452F"/>
    <w:rsid w:val="00CC455A"/>
    <w:rsid w:val="00CC45C7"/>
    <w:rsid w:val="00CC45EB"/>
    <w:rsid w:val="00CC491A"/>
    <w:rsid w:val="00CC4E15"/>
    <w:rsid w:val="00CC4E7F"/>
    <w:rsid w:val="00CC4F5B"/>
    <w:rsid w:val="00CC5AF7"/>
    <w:rsid w:val="00CC5CE4"/>
    <w:rsid w:val="00CC5FD3"/>
    <w:rsid w:val="00CC6101"/>
    <w:rsid w:val="00CC621A"/>
    <w:rsid w:val="00CC623B"/>
    <w:rsid w:val="00CC62E2"/>
    <w:rsid w:val="00CC6516"/>
    <w:rsid w:val="00CC6998"/>
    <w:rsid w:val="00CC6A23"/>
    <w:rsid w:val="00CC6B32"/>
    <w:rsid w:val="00CC7069"/>
    <w:rsid w:val="00CC70A8"/>
    <w:rsid w:val="00CC78CF"/>
    <w:rsid w:val="00CD003E"/>
    <w:rsid w:val="00CD051E"/>
    <w:rsid w:val="00CD06D2"/>
    <w:rsid w:val="00CD0D85"/>
    <w:rsid w:val="00CD1832"/>
    <w:rsid w:val="00CD19CE"/>
    <w:rsid w:val="00CD1ADF"/>
    <w:rsid w:val="00CD1F63"/>
    <w:rsid w:val="00CD2668"/>
    <w:rsid w:val="00CD26CD"/>
    <w:rsid w:val="00CD294F"/>
    <w:rsid w:val="00CD3338"/>
    <w:rsid w:val="00CD3469"/>
    <w:rsid w:val="00CD4172"/>
    <w:rsid w:val="00CD4E8E"/>
    <w:rsid w:val="00CD5697"/>
    <w:rsid w:val="00CD5821"/>
    <w:rsid w:val="00CD589C"/>
    <w:rsid w:val="00CD59EC"/>
    <w:rsid w:val="00CD5DDD"/>
    <w:rsid w:val="00CD5FDC"/>
    <w:rsid w:val="00CD65D1"/>
    <w:rsid w:val="00CD7B29"/>
    <w:rsid w:val="00CD7B4C"/>
    <w:rsid w:val="00CD7D84"/>
    <w:rsid w:val="00CD7E2D"/>
    <w:rsid w:val="00CD7E9B"/>
    <w:rsid w:val="00CE08B4"/>
    <w:rsid w:val="00CE0963"/>
    <w:rsid w:val="00CE0B4C"/>
    <w:rsid w:val="00CE1084"/>
    <w:rsid w:val="00CE1097"/>
    <w:rsid w:val="00CE1530"/>
    <w:rsid w:val="00CE1635"/>
    <w:rsid w:val="00CE17B8"/>
    <w:rsid w:val="00CE1854"/>
    <w:rsid w:val="00CE1B13"/>
    <w:rsid w:val="00CE1C72"/>
    <w:rsid w:val="00CE1D67"/>
    <w:rsid w:val="00CE1F3D"/>
    <w:rsid w:val="00CE2145"/>
    <w:rsid w:val="00CE2269"/>
    <w:rsid w:val="00CE23BF"/>
    <w:rsid w:val="00CE24F8"/>
    <w:rsid w:val="00CE258F"/>
    <w:rsid w:val="00CE281F"/>
    <w:rsid w:val="00CE2C69"/>
    <w:rsid w:val="00CE2CB1"/>
    <w:rsid w:val="00CE2DB0"/>
    <w:rsid w:val="00CE2EF9"/>
    <w:rsid w:val="00CE2F59"/>
    <w:rsid w:val="00CE3041"/>
    <w:rsid w:val="00CE3301"/>
    <w:rsid w:val="00CE342B"/>
    <w:rsid w:val="00CE34C1"/>
    <w:rsid w:val="00CE36E9"/>
    <w:rsid w:val="00CE3E5D"/>
    <w:rsid w:val="00CE3FFC"/>
    <w:rsid w:val="00CE46DF"/>
    <w:rsid w:val="00CE4B3E"/>
    <w:rsid w:val="00CE4C31"/>
    <w:rsid w:val="00CE4C81"/>
    <w:rsid w:val="00CE51A8"/>
    <w:rsid w:val="00CE550F"/>
    <w:rsid w:val="00CE570C"/>
    <w:rsid w:val="00CE5971"/>
    <w:rsid w:val="00CE63AC"/>
    <w:rsid w:val="00CE6B1C"/>
    <w:rsid w:val="00CE7677"/>
    <w:rsid w:val="00CE76BF"/>
    <w:rsid w:val="00CE7CDD"/>
    <w:rsid w:val="00CE7E00"/>
    <w:rsid w:val="00CF02C4"/>
    <w:rsid w:val="00CF03EB"/>
    <w:rsid w:val="00CF04D3"/>
    <w:rsid w:val="00CF0729"/>
    <w:rsid w:val="00CF0896"/>
    <w:rsid w:val="00CF08D2"/>
    <w:rsid w:val="00CF093B"/>
    <w:rsid w:val="00CF0A47"/>
    <w:rsid w:val="00CF0B44"/>
    <w:rsid w:val="00CF0BAA"/>
    <w:rsid w:val="00CF0E2B"/>
    <w:rsid w:val="00CF0E3F"/>
    <w:rsid w:val="00CF1287"/>
    <w:rsid w:val="00CF1374"/>
    <w:rsid w:val="00CF1CA9"/>
    <w:rsid w:val="00CF1F55"/>
    <w:rsid w:val="00CF2153"/>
    <w:rsid w:val="00CF225C"/>
    <w:rsid w:val="00CF2271"/>
    <w:rsid w:val="00CF23B9"/>
    <w:rsid w:val="00CF2641"/>
    <w:rsid w:val="00CF2739"/>
    <w:rsid w:val="00CF2768"/>
    <w:rsid w:val="00CF2901"/>
    <w:rsid w:val="00CF2CB3"/>
    <w:rsid w:val="00CF2DDA"/>
    <w:rsid w:val="00CF2E39"/>
    <w:rsid w:val="00CF3403"/>
    <w:rsid w:val="00CF3574"/>
    <w:rsid w:val="00CF36BD"/>
    <w:rsid w:val="00CF3A3D"/>
    <w:rsid w:val="00CF3D00"/>
    <w:rsid w:val="00CF3D35"/>
    <w:rsid w:val="00CF3F2C"/>
    <w:rsid w:val="00CF4464"/>
    <w:rsid w:val="00CF47EA"/>
    <w:rsid w:val="00CF51A6"/>
    <w:rsid w:val="00CF5457"/>
    <w:rsid w:val="00CF58F7"/>
    <w:rsid w:val="00CF5D87"/>
    <w:rsid w:val="00CF5E25"/>
    <w:rsid w:val="00CF624E"/>
    <w:rsid w:val="00CF676C"/>
    <w:rsid w:val="00CF69B1"/>
    <w:rsid w:val="00CF718D"/>
    <w:rsid w:val="00CF72CC"/>
    <w:rsid w:val="00CF7599"/>
    <w:rsid w:val="00CF763B"/>
    <w:rsid w:val="00CF7742"/>
    <w:rsid w:val="00CF7C5F"/>
    <w:rsid w:val="00CF7CC8"/>
    <w:rsid w:val="00CF7CEF"/>
    <w:rsid w:val="00CF7D00"/>
    <w:rsid w:val="00CF7DB0"/>
    <w:rsid w:val="00CF7E94"/>
    <w:rsid w:val="00CF7FEE"/>
    <w:rsid w:val="00D00067"/>
    <w:rsid w:val="00D001BB"/>
    <w:rsid w:val="00D002B8"/>
    <w:rsid w:val="00D00304"/>
    <w:rsid w:val="00D0031E"/>
    <w:rsid w:val="00D00479"/>
    <w:rsid w:val="00D00F10"/>
    <w:rsid w:val="00D010FD"/>
    <w:rsid w:val="00D011E5"/>
    <w:rsid w:val="00D01226"/>
    <w:rsid w:val="00D014FD"/>
    <w:rsid w:val="00D018D8"/>
    <w:rsid w:val="00D01A26"/>
    <w:rsid w:val="00D01E6F"/>
    <w:rsid w:val="00D02134"/>
    <w:rsid w:val="00D0214D"/>
    <w:rsid w:val="00D02177"/>
    <w:rsid w:val="00D02425"/>
    <w:rsid w:val="00D024B0"/>
    <w:rsid w:val="00D0265B"/>
    <w:rsid w:val="00D026DC"/>
    <w:rsid w:val="00D0280F"/>
    <w:rsid w:val="00D029EE"/>
    <w:rsid w:val="00D02B7C"/>
    <w:rsid w:val="00D02BA9"/>
    <w:rsid w:val="00D02E62"/>
    <w:rsid w:val="00D0328B"/>
    <w:rsid w:val="00D03301"/>
    <w:rsid w:val="00D0353E"/>
    <w:rsid w:val="00D03688"/>
    <w:rsid w:val="00D036C5"/>
    <w:rsid w:val="00D03820"/>
    <w:rsid w:val="00D0398E"/>
    <w:rsid w:val="00D039C4"/>
    <w:rsid w:val="00D039E0"/>
    <w:rsid w:val="00D03EBE"/>
    <w:rsid w:val="00D0415D"/>
    <w:rsid w:val="00D0445D"/>
    <w:rsid w:val="00D0447C"/>
    <w:rsid w:val="00D04952"/>
    <w:rsid w:val="00D04C82"/>
    <w:rsid w:val="00D059B9"/>
    <w:rsid w:val="00D05F61"/>
    <w:rsid w:val="00D05FE1"/>
    <w:rsid w:val="00D06087"/>
    <w:rsid w:val="00D0633B"/>
    <w:rsid w:val="00D06385"/>
    <w:rsid w:val="00D0661B"/>
    <w:rsid w:val="00D066FD"/>
    <w:rsid w:val="00D0673A"/>
    <w:rsid w:val="00D067A9"/>
    <w:rsid w:val="00D068D3"/>
    <w:rsid w:val="00D06EAC"/>
    <w:rsid w:val="00D070D9"/>
    <w:rsid w:val="00D072B9"/>
    <w:rsid w:val="00D07544"/>
    <w:rsid w:val="00D076B7"/>
    <w:rsid w:val="00D07761"/>
    <w:rsid w:val="00D07D4C"/>
    <w:rsid w:val="00D10097"/>
    <w:rsid w:val="00D10A33"/>
    <w:rsid w:val="00D10CF6"/>
    <w:rsid w:val="00D10F49"/>
    <w:rsid w:val="00D10FC1"/>
    <w:rsid w:val="00D11231"/>
    <w:rsid w:val="00D1158E"/>
    <w:rsid w:val="00D11A81"/>
    <w:rsid w:val="00D11BBD"/>
    <w:rsid w:val="00D122E9"/>
    <w:rsid w:val="00D124BB"/>
    <w:rsid w:val="00D125E8"/>
    <w:rsid w:val="00D126F1"/>
    <w:rsid w:val="00D127B7"/>
    <w:rsid w:val="00D12939"/>
    <w:rsid w:val="00D12AB0"/>
    <w:rsid w:val="00D134CC"/>
    <w:rsid w:val="00D135C2"/>
    <w:rsid w:val="00D13C65"/>
    <w:rsid w:val="00D1476B"/>
    <w:rsid w:val="00D14A01"/>
    <w:rsid w:val="00D14A8D"/>
    <w:rsid w:val="00D14B2B"/>
    <w:rsid w:val="00D14D71"/>
    <w:rsid w:val="00D15616"/>
    <w:rsid w:val="00D15655"/>
    <w:rsid w:val="00D157DB"/>
    <w:rsid w:val="00D1596B"/>
    <w:rsid w:val="00D15995"/>
    <w:rsid w:val="00D15CA7"/>
    <w:rsid w:val="00D15E79"/>
    <w:rsid w:val="00D1619A"/>
    <w:rsid w:val="00D161DF"/>
    <w:rsid w:val="00D1627E"/>
    <w:rsid w:val="00D162B9"/>
    <w:rsid w:val="00D16335"/>
    <w:rsid w:val="00D167EB"/>
    <w:rsid w:val="00D16A86"/>
    <w:rsid w:val="00D16BF5"/>
    <w:rsid w:val="00D1749B"/>
    <w:rsid w:val="00D176CB"/>
    <w:rsid w:val="00D17725"/>
    <w:rsid w:val="00D179EA"/>
    <w:rsid w:val="00D17A6C"/>
    <w:rsid w:val="00D17D66"/>
    <w:rsid w:val="00D17DB8"/>
    <w:rsid w:val="00D17FFD"/>
    <w:rsid w:val="00D20142"/>
    <w:rsid w:val="00D204F2"/>
    <w:rsid w:val="00D20A1A"/>
    <w:rsid w:val="00D20A66"/>
    <w:rsid w:val="00D20E9D"/>
    <w:rsid w:val="00D21442"/>
    <w:rsid w:val="00D2180F"/>
    <w:rsid w:val="00D218E1"/>
    <w:rsid w:val="00D21D3F"/>
    <w:rsid w:val="00D21EFC"/>
    <w:rsid w:val="00D21FD0"/>
    <w:rsid w:val="00D22085"/>
    <w:rsid w:val="00D220AB"/>
    <w:rsid w:val="00D22111"/>
    <w:rsid w:val="00D22277"/>
    <w:rsid w:val="00D22382"/>
    <w:rsid w:val="00D22B96"/>
    <w:rsid w:val="00D22BB8"/>
    <w:rsid w:val="00D22BC7"/>
    <w:rsid w:val="00D22D5E"/>
    <w:rsid w:val="00D22FE4"/>
    <w:rsid w:val="00D23276"/>
    <w:rsid w:val="00D23348"/>
    <w:rsid w:val="00D235B6"/>
    <w:rsid w:val="00D2380C"/>
    <w:rsid w:val="00D239B1"/>
    <w:rsid w:val="00D23A2B"/>
    <w:rsid w:val="00D23B3F"/>
    <w:rsid w:val="00D23B43"/>
    <w:rsid w:val="00D23F8C"/>
    <w:rsid w:val="00D2400E"/>
    <w:rsid w:val="00D2420D"/>
    <w:rsid w:val="00D2440F"/>
    <w:rsid w:val="00D24457"/>
    <w:rsid w:val="00D2456C"/>
    <w:rsid w:val="00D245EA"/>
    <w:rsid w:val="00D25148"/>
    <w:rsid w:val="00D253F3"/>
    <w:rsid w:val="00D2540B"/>
    <w:rsid w:val="00D25410"/>
    <w:rsid w:val="00D25676"/>
    <w:rsid w:val="00D256E5"/>
    <w:rsid w:val="00D25908"/>
    <w:rsid w:val="00D25ECA"/>
    <w:rsid w:val="00D263FE"/>
    <w:rsid w:val="00D26571"/>
    <w:rsid w:val="00D265C0"/>
    <w:rsid w:val="00D2670B"/>
    <w:rsid w:val="00D267D6"/>
    <w:rsid w:val="00D26DF8"/>
    <w:rsid w:val="00D27007"/>
    <w:rsid w:val="00D2726E"/>
    <w:rsid w:val="00D27522"/>
    <w:rsid w:val="00D27525"/>
    <w:rsid w:val="00D2773E"/>
    <w:rsid w:val="00D27931"/>
    <w:rsid w:val="00D27A20"/>
    <w:rsid w:val="00D27C94"/>
    <w:rsid w:val="00D305B3"/>
    <w:rsid w:val="00D30764"/>
    <w:rsid w:val="00D30B60"/>
    <w:rsid w:val="00D31121"/>
    <w:rsid w:val="00D3134F"/>
    <w:rsid w:val="00D31713"/>
    <w:rsid w:val="00D3185F"/>
    <w:rsid w:val="00D31B1A"/>
    <w:rsid w:val="00D31C53"/>
    <w:rsid w:val="00D3279C"/>
    <w:rsid w:val="00D32D11"/>
    <w:rsid w:val="00D32ED7"/>
    <w:rsid w:val="00D32FDF"/>
    <w:rsid w:val="00D33271"/>
    <w:rsid w:val="00D33432"/>
    <w:rsid w:val="00D33779"/>
    <w:rsid w:val="00D338BE"/>
    <w:rsid w:val="00D33D35"/>
    <w:rsid w:val="00D33F22"/>
    <w:rsid w:val="00D34731"/>
    <w:rsid w:val="00D347DF"/>
    <w:rsid w:val="00D3488F"/>
    <w:rsid w:val="00D34CA5"/>
    <w:rsid w:val="00D34FF5"/>
    <w:rsid w:val="00D35473"/>
    <w:rsid w:val="00D354AE"/>
    <w:rsid w:val="00D3558E"/>
    <w:rsid w:val="00D3567E"/>
    <w:rsid w:val="00D356DA"/>
    <w:rsid w:val="00D357BF"/>
    <w:rsid w:val="00D35D3A"/>
    <w:rsid w:val="00D368D9"/>
    <w:rsid w:val="00D369C1"/>
    <w:rsid w:val="00D36A60"/>
    <w:rsid w:val="00D36BDE"/>
    <w:rsid w:val="00D36E5D"/>
    <w:rsid w:val="00D36EDA"/>
    <w:rsid w:val="00D36FB9"/>
    <w:rsid w:val="00D37069"/>
    <w:rsid w:val="00D37201"/>
    <w:rsid w:val="00D37469"/>
    <w:rsid w:val="00D37592"/>
    <w:rsid w:val="00D37A3F"/>
    <w:rsid w:val="00D37A45"/>
    <w:rsid w:val="00D37E57"/>
    <w:rsid w:val="00D4020C"/>
    <w:rsid w:val="00D4073D"/>
    <w:rsid w:val="00D408DE"/>
    <w:rsid w:val="00D4092E"/>
    <w:rsid w:val="00D40A36"/>
    <w:rsid w:val="00D411FD"/>
    <w:rsid w:val="00D41289"/>
    <w:rsid w:val="00D4134C"/>
    <w:rsid w:val="00D4153C"/>
    <w:rsid w:val="00D415F9"/>
    <w:rsid w:val="00D4168D"/>
    <w:rsid w:val="00D416F2"/>
    <w:rsid w:val="00D41931"/>
    <w:rsid w:val="00D41C10"/>
    <w:rsid w:val="00D41C8C"/>
    <w:rsid w:val="00D41DAE"/>
    <w:rsid w:val="00D41EEA"/>
    <w:rsid w:val="00D42143"/>
    <w:rsid w:val="00D4257C"/>
    <w:rsid w:val="00D42792"/>
    <w:rsid w:val="00D42BB8"/>
    <w:rsid w:val="00D431FB"/>
    <w:rsid w:val="00D43314"/>
    <w:rsid w:val="00D435D6"/>
    <w:rsid w:val="00D441CC"/>
    <w:rsid w:val="00D44B1E"/>
    <w:rsid w:val="00D44BD6"/>
    <w:rsid w:val="00D44DB7"/>
    <w:rsid w:val="00D44F60"/>
    <w:rsid w:val="00D44F79"/>
    <w:rsid w:val="00D452AC"/>
    <w:rsid w:val="00D45645"/>
    <w:rsid w:val="00D459E3"/>
    <w:rsid w:val="00D45AE8"/>
    <w:rsid w:val="00D45B46"/>
    <w:rsid w:val="00D45B81"/>
    <w:rsid w:val="00D45E43"/>
    <w:rsid w:val="00D462B2"/>
    <w:rsid w:val="00D464C3"/>
    <w:rsid w:val="00D469D2"/>
    <w:rsid w:val="00D47165"/>
    <w:rsid w:val="00D471DB"/>
    <w:rsid w:val="00D476F2"/>
    <w:rsid w:val="00D47788"/>
    <w:rsid w:val="00D477B6"/>
    <w:rsid w:val="00D47A6E"/>
    <w:rsid w:val="00D500E5"/>
    <w:rsid w:val="00D504A1"/>
    <w:rsid w:val="00D50DBA"/>
    <w:rsid w:val="00D5174A"/>
    <w:rsid w:val="00D51AD1"/>
    <w:rsid w:val="00D51C77"/>
    <w:rsid w:val="00D52043"/>
    <w:rsid w:val="00D52226"/>
    <w:rsid w:val="00D52367"/>
    <w:rsid w:val="00D5242C"/>
    <w:rsid w:val="00D52728"/>
    <w:rsid w:val="00D52766"/>
    <w:rsid w:val="00D52956"/>
    <w:rsid w:val="00D52C44"/>
    <w:rsid w:val="00D5314C"/>
    <w:rsid w:val="00D53430"/>
    <w:rsid w:val="00D535FE"/>
    <w:rsid w:val="00D53A52"/>
    <w:rsid w:val="00D53D01"/>
    <w:rsid w:val="00D53E56"/>
    <w:rsid w:val="00D5426C"/>
    <w:rsid w:val="00D54798"/>
    <w:rsid w:val="00D548B8"/>
    <w:rsid w:val="00D54A63"/>
    <w:rsid w:val="00D54BB0"/>
    <w:rsid w:val="00D54FFD"/>
    <w:rsid w:val="00D553A7"/>
    <w:rsid w:val="00D558DB"/>
    <w:rsid w:val="00D55A27"/>
    <w:rsid w:val="00D5605D"/>
    <w:rsid w:val="00D5638F"/>
    <w:rsid w:val="00D56407"/>
    <w:rsid w:val="00D565B3"/>
    <w:rsid w:val="00D565C1"/>
    <w:rsid w:val="00D5677B"/>
    <w:rsid w:val="00D56D5C"/>
    <w:rsid w:val="00D56DC3"/>
    <w:rsid w:val="00D5740E"/>
    <w:rsid w:val="00D574BD"/>
    <w:rsid w:val="00D5752F"/>
    <w:rsid w:val="00D5792B"/>
    <w:rsid w:val="00D57C7A"/>
    <w:rsid w:val="00D60143"/>
    <w:rsid w:val="00D60CDC"/>
    <w:rsid w:val="00D60D3E"/>
    <w:rsid w:val="00D60D4B"/>
    <w:rsid w:val="00D60FF3"/>
    <w:rsid w:val="00D61216"/>
    <w:rsid w:val="00D6127D"/>
    <w:rsid w:val="00D61C4F"/>
    <w:rsid w:val="00D61F7A"/>
    <w:rsid w:val="00D623C2"/>
    <w:rsid w:val="00D6278E"/>
    <w:rsid w:val="00D628EA"/>
    <w:rsid w:val="00D62ACF"/>
    <w:rsid w:val="00D62B14"/>
    <w:rsid w:val="00D62D73"/>
    <w:rsid w:val="00D62E2D"/>
    <w:rsid w:val="00D632D4"/>
    <w:rsid w:val="00D63301"/>
    <w:rsid w:val="00D6366D"/>
    <w:rsid w:val="00D638C0"/>
    <w:rsid w:val="00D63A47"/>
    <w:rsid w:val="00D63B7D"/>
    <w:rsid w:val="00D63C4B"/>
    <w:rsid w:val="00D63D17"/>
    <w:rsid w:val="00D63E8F"/>
    <w:rsid w:val="00D641FF"/>
    <w:rsid w:val="00D6450F"/>
    <w:rsid w:val="00D64AA1"/>
    <w:rsid w:val="00D64FF9"/>
    <w:rsid w:val="00D65211"/>
    <w:rsid w:val="00D654BD"/>
    <w:rsid w:val="00D654D1"/>
    <w:rsid w:val="00D65789"/>
    <w:rsid w:val="00D657E1"/>
    <w:rsid w:val="00D65A7E"/>
    <w:rsid w:val="00D65D28"/>
    <w:rsid w:val="00D663B7"/>
    <w:rsid w:val="00D66799"/>
    <w:rsid w:val="00D66A5C"/>
    <w:rsid w:val="00D66C9E"/>
    <w:rsid w:val="00D66DA9"/>
    <w:rsid w:val="00D66F82"/>
    <w:rsid w:val="00D670BB"/>
    <w:rsid w:val="00D670F1"/>
    <w:rsid w:val="00D67151"/>
    <w:rsid w:val="00D67382"/>
    <w:rsid w:val="00D676DE"/>
    <w:rsid w:val="00D6776D"/>
    <w:rsid w:val="00D67F8D"/>
    <w:rsid w:val="00D702D3"/>
    <w:rsid w:val="00D702EB"/>
    <w:rsid w:val="00D7089B"/>
    <w:rsid w:val="00D70D65"/>
    <w:rsid w:val="00D7135A"/>
    <w:rsid w:val="00D7148A"/>
    <w:rsid w:val="00D71793"/>
    <w:rsid w:val="00D719F0"/>
    <w:rsid w:val="00D71A38"/>
    <w:rsid w:val="00D71F37"/>
    <w:rsid w:val="00D7204D"/>
    <w:rsid w:val="00D726A3"/>
    <w:rsid w:val="00D7272F"/>
    <w:rsid w:val="00D7284E"/>
    <w:rsid w:val="00D72A3B"/>
    <w:rsid w:val="00D73332"/>
    <w:rsid w:val="00D7376D"/>
    <w:rsid w:val="00D73C3F"/>
    <w:rsid w:val="00D73CDF"/>
    <w:rsid w:val="00D73D56"/>
    <w:rsid w:val="00D7401A"/>
    <w:rsid w:val="00D74270"/>
    <w:rsid w:val="00D743EA"/>
    <w:rsid w:val="00D74823"/>
    <w:rsid w:val="00D74A4E"/>
    <w:rsid w:val="00D74BEE"/>
    <w:rsid w:val="00D74F23"/>
    <w:rsid w:val="00D74F9F"/>
    <w:rsid w:val="00D750F4"/>
    <w:rsid w:val="00D750FB"/>
    <w:rsid w:val="00D7532E"/>
    <w:rsid w:val="00D753D7"/>
    <w:rsid w:val="00D7540F"/>
    <w:rsid w:val="00D755AA"/>
    <w:rsid w:val="00D75789"/>
    <w:rsid w:val="00D759FF"/>
    <w:rsid w:val="00D75CC5"/>
    <w:rsid w:val="00D75CDC"/>
    <w:rsid w:val="00D75DA1"/>
    <w:rsid w:val="00D75E08"/>
    <w:rsid w:val="00D762EA"/>
    <w:rsid w:val="00D76B2A"/>
    <w:rsid w:val="00D76BE8"/>
    <w:rsid w:val="00D76D06"/>
    <w:rsid w:val="00D76E56"/>
    <w:rsid w:val="00D77A22"/>
    <w:rsid w:val="00D80549"/>
    <w:rsid w:val="00D80858"/>
    <w:rsid w:val="00D808A1"/>
    <w:rsid w:val="00D81026"/>
    <w:rsid w:val="00D814C5"/>
    <w:rsid w:val="00D81504"/>
    <w:rsid w:val="00D81924"/>
    <w:rsid w:val="00D81BAB"/>
    <w:rsid w:val="00D81C40"/>
    <w:rsid w:val="00D81E4E"/>
    <w:rsid w:val="00D81EED"/>
    <w:rsid w:val="00D8240E"/>
    <w:rsid w:val="00D826FF"/>
    <w:rsid w:val="00D8273A"/>
    <w:rsid w:val="00D82774"/>
    <w:rsid w:val="00D827FF"/>
    <w:rsid w:val="00D82BA0"/>
    <w:rsid w:val="00D82D61"/>
    <w:rsid w:val="00D82D6F"/>
    <w:rsid w:val="00D83062"/>
    <w:rsid w:val="00D834DF"/>
    <w:rsid w:val="00D83525"/>
    <w:rsid w:val="00D83842"/>
    <w:rsid w:val="00D83BEE"/>
    <w:rsid w:val="00D83CED"/>
    <w:rsid w:val="00D83F76"/>
    <w:rsid w:val="00D845FF"/>
    <w:rsid w:val="00D846C3"/>
    <w:rsid w:val="00D84E12"/>
    <w:rsid w:val="00D85051"/>
    <w:rsid w:val="00D8507D"/>
    <w:rsid w:val="00D850B7"/>
    <w:rsid w:val="00D85150"/>
    <w:rsid w:val="00D851A2"/>
    <w:rsid w:val="00D852C0"/>
    <w:rsid w:val="00D85611"/>
    <w:rsid w:val="00D8563A"/>
    <w:rsid w:val="00D85679"/>
    <w:rsid w:val="00D8579C"/>
    <w:rsid w:val="00D85894"/>
    <w:rsid w:val="00D85ABD"/>
    <w:rsid w:val="00D85AC4"/>
    <w:rsid w:val="00D85BDF"/>
    <w:rsid w:val="00D85D37"/>
    <w:rsid w:val="00D85EA0"/>
    <w:rsid w:val="00D8612A"/>
    <w:rsid w:val="00D864D6"/>
    <w:rsid w:val="00D867D5"/>
    <w:rsid w:val="00D8687B"/>
    <w:rsid w:val="00D8694F"/>
    <w:rsid w:val="00D86998"/>
    <w:rsid w:val="00D86A99"/>
    <w:rsid w:val="00D87233"/>
    <w:rsid w:val="00D87869"/>
    <w:rsid w:val="00D8793A"/>
    <w:rsid w:val="00D90382"/>
    <w:rsid w:val="00D90592"/>
    <w:rsid w:val="00D906DE"/>
    <w:rsid w:val="00D90C55"/>
    <w:rsid w:val="00D9133C"/>
    <w:rsid w:val="00D91889"/>
    <w:rsid w:val="00D91A4F"/>
    <w:rsid w:val="00D92080"/>
    <w:rsid w:val="00D924E3"/>
    <w:rsid w:val="00D92503"/>
    <w:rsid w:val="00D9279C"/>
    <w:rsid w:val="00D92B18"/>
    <w:rsid w:val="00D92E1F"/>
    <w:rsid w:val="00D9307D"/>
    <w:rsid w:val="00D93118"/>
    <w:rsid w:val="00D93265"/>
    <w:rsid w:val="00D934C3"/>
    <w:rsid w:val="00D936AD"/>
    <w:rsid w:val="00D93CCE"/>
    <w:rsid w:val="00D940A6"/>
    <w:rsid w:val="00D94BCE"/>
    <w:rsid w:val="00D94ECF"/>
    <w:rsid w:val="00D95392"/>
    <w:rsid w:val="00D957DC"/>
    <w:rsid w:val="00D95B68"/>
    <w:rsid w:val="00D95C6E"/>
    <w:rsid w:val="00D95FE2"/>
    <w:rsid w:val="00D961F2"/>
    <w:rsid w:val="00D964FE"/>
    <w:rsid w:val="00D9676E"/>
    <w:rsid w:val="00D96E69"/>
    <w:rsid w:val="00D970F5"/>
    <w:rsid w:val="00D97128"/>
    <w:rsid w:val="00D972D7"/>
    <w:rsid w:val="00D97320"/>
    <w:rsid w:val="00D97512"/>
    <w:rsid w:val="00D977E9"/>
    <w:rsid w:val="00D977FF"/>
    <w:rsid w:val="00D97AB8"/>
    <w:rsid w:val="00D97B7B"/>
    <w:rsid w:val="00D97BDE"/>
    <w:rsid w:val="00D97FB6"/>
    <w:rsid w:val="00DA01C2"/>
    <w:rsid w:val="00DA08A5"/>
    <w:rsid w:val="00DA0C4F"/>
    <w:rsid w:val="00DA0D73"/>
    <w:rsid w:val="00DA0F22"/>
    <w:rsid w:val="00DA105E"/>
    <w:rsid w:val="00DA10BB"/>
    <w:rsid w:val="00DA10E3"/>
    <w:rsid w:val="00DA15FF"/>
    <w:rsid w:val="00DA176B"/>
    <w:rsid w:val="00DA19E4"/>
    <w:rsid w:val="00DA238A"/>
    <w:rsid w:val="00DA24F1"/>
    <w:rsid w:val="00DA24F5"/>
    <w:rsid w:val="00DA2739"/>
    <w:rsid w:val="00DA2937"/>
    <w:rsid w:val="00DA2ADB"/>
    <w:rsid w:val="00DA300F"/>
    <w:rsid w:val="00DA378F"/>
    <w:rsid w:val="00DA3870"/>
    <w:rsid w:val="00DA395B"/>
    <w:rsid w:val="00DA4527"/>
    <w:rsid w:val="00DA462C"/>
    <w:rsid w:val="00DA47DC"/>
    <w:rsid w:val="00DA494D"/>
    <w:rsid w:val="00DA4AC5"/>
    <w:rsid w:val="00DA4D9B"/>
    <w:rsid w:val="00DA56B4"/>
    <w:rsid w:val="00DA5971"/>
    <w:rsid w:val="00DA5B15"/>
    <w:rsid w:val="00DA6080"/>
    <w:rsid w:val="00DA6760"/>
    <w:rsid w:val="00DA70D5"/>
    <w:rsid w:val="00DA70EC"/>
    <w:rsid w:val="00DA7953"/>
    <w:rsid w:val="00DA79AB"/>
    <w:rsid w:val="00DA7A3E"/>
    <w:rsid w:val="00DA7D00"/>
    <w:rsid w:val="00DB0020"/>
    <w:rsid w:val="00DB045A"/>
    <w:rsid w:val="00DB068A"/>
    <w:rsid w:val="00DB0961"/>
    <w:rsid w:val="00DB0A84"/>
    <w:rsid w:val="00DB0A9C"/>
    <w:rsid w:val="00DB0D8B"/>
    <w:rsid w:val="00DB111D"/>
    <w:rsid w:val="00DB16D5"/>
    <w:rsid w:val="00DB1878"/>
    <w:rsid w:val="00DB1CB1"/>
    <w:rsid w:val="00DB1ECD"/>
    <w:rsid w:val="00DB2278"/>
    <w:rsid w:val="00DB2418"/>
    <w:rsid w:val="00DB260A"/>
    <w:rsid w:val="00DB26A3"/>
    <w:rsid w:val="00DB26BE"/>
    <w:rsid w:val="00DB2A6C"/>
    <w:rsid w:val="00DB2EBD"/>
    <w:rsid w:val="00DB2FCF"/>
    <w:rsid w:val="00DB3389"/>
    <w:rsid w:val="00DB3F0B"/>
    <w:rsid w:val="00DB41BA"/>
    <w:rsid w:val="00DB4476"/>
    <w:rsid w:val="00DB4533"/>
    <w:rsid w:val="00DB4B5F"/>
    <w:rsid w:val="00DB4FCE"/>
    <w:rsid w:val="00DB52A6"/>
    <w:rsid w:val="00DB532E"/>
    <w:rsid w:val="00DB54D5"/>
    <w:rsid w:val="00DB57BD"/>
    <w:rsid w:val="00DB5A09"/>
    <w:rsid w:val="00DB5AAD"/>
    <w:rsid w:val="00DB6AF9"/>
    <w:rsid w:val="00DB6CD3"/>
    <w:rsid w:val="00DB7222"/>
    <w:rsid w:val="00DB73C3"/>
    <w:rsid w:val="00DB7447"/>
    <w:rsid w:val="00DB7655"/>
    <w:rsid w:val="00DB77D4"/>
    <w:rsid w:val="00DB7810"/>
    <w:rsid w:val="00DB7ACF"/>
    <w:rsid w:val="00DB7EA1"/>
    <w:rsid w:val="00DC0259"/>
    <w:rsid w:val="00DC0454"/>
    <w:rsid w:val="00DC0A3E"/>
    <w:rsid w:val="00DC0B21"/>
    <w:rsid w:val="00DC0DA6"/>
    <w:rsid w:val="00DC1275"/>
    <w:rsid w:val="00DC1311"/>
    <w:rsid w:val="00DC1BEC"/>
    <w:rsid w:val="00DC20C8"/>
    <w:rsid w:val="00DC2453"/>
    <w:rsid w:val="00DC25C0"/>
    <w:rsid w:val="00DC2830"/>
    <w:rsid w:val="00DC294E"/>
    <w:rsid w:val="00DC2C4C"/>
    <w:rsid w:val="00DC3095"/>
    <w:rsid w:val="00DC325B"/>
    <w:rsid w:val="00DC3375"/>
    <w:rsid w:val="00DC34C8"/>
    <w:rsid w:val="00DC3A7D"/>
    <w:rsid w:val="00DC3B0A"/>
    <w:rsid w:val="00DC431C"/>
    <w:rsid w:val="00DC4754"/>
    <w:rsid w:val="00DC47DB"/>
    <w:rsid w:val="00DC4CE2"/>
    <w:rsid w:val="00DC5011"/>
    <w:rsid w:val="00DC523B"/>
    <w:rsid w:val="00DC5689"/>
    <w:rsid w:val="00DC56EA"/>
    <w:rsid w:val="00DC5F6F"/>
    <w:rsid w:val="00DC616A"/>
    <w:rsid w:val="00DC6B29"/>
    <w:rsid w:val="00DC6BEF"/>
    <w:rsid w:val="00DC6F07"/>
    <w:rsid w:val="00DC70B0"/>
    <w:rsid w:val="00DC744D"/>
    <w:rsid w:val="00DC7910"/>
    <w:rsid w:val="00DC798E"/>
    <w:rsid w:val="00DC7AA8"/>
    <w:rsid w:val="00DC7F30"/>
    <w:rsid w:val="00DD01D4"/>
    <w:rsid w:val="00DD02AC"/>
    <w:rsid w:val="00DD0842"/>
    <w:rsid w:val="00DD095D"/>
    <w:rsid w:val="00DD0DF2"/>
    <w:rsid w:val="00DD101C"/>
    <w:rsid w:val="00DD121C"/>
    <w:rsid w:val="00DD12F7"/>
    <w:rsid w:val="00DD166D"/>
    <w:rsid w:val="00DD182B"/>
    <w:rsid w:val="00DD1924"/>
    <w:rsid w:val="00DD19FB"/>
    <w:rsid w:val="00DD1E68"/>
    <w:rsid w:val="00DD21DC"/>
    <w:rsid w:val="00DD21ED"/>
    <w:rsid w:val="00DD2336"/>
    <w:rsid w:val="00DD24D8"/>
    <w:rsid w:val="00DD274D"/>
    <w:rsid w:val="00DD29E6"/>
    <w:rsid w:val="00DD2C55"/>
    <w:rsid w:val="00DD2EF4"/>
    <w:rsid w:val="00DD307B"/>
    <w:rsid w:val="00DD3520"/>
    <w:rsid w:val="00DD3680"/>
    <w:rsid w:val="00DD38D3"/>
    <w:rsid w:val="00DD3EE1"/>
    <w:rsid w:val="00DD3FA4"/>
    <w:rsid w:val="00DD40CB"/>
    <w:rsid w:val="00DD4330"/>
    <w:rsid w:val="00DD4639"/>
    <w:rsid w:val="00DD4648"/>
    <w:rsid w:val="00DD4B00"/>
    <w:rsid w:val="00DD4B6C"/>
    <w:rsid w:val="00DD4CE3"/>
    <w:rsid w:val="00DD5026"/>
    <w:rsid w:val="00DD50B6"/>
    <w:rsid w:val="00DD50BD"/>
    <w:rsid w:val="00DD54CC"/>
    <w:rsid w:val="00DD5505"/>
    <w:rsid w:val="00DD5D81"/>
    <w:rsid w:val="00DD5D94"/>
    <w:rsid w:val="00DD5EFD"/>
    <w:rsid w:val="00DD61D6"/>
    <w:rsid w:val="00DD63E7"/>
    <w:rsid w:val="00DD65A1"/>
    <w:rsid w:val="00DD67DB"/>
    <w:rsid w:val="00DD6971"/>
    <w:rsid w:val="00DD699C"/>
    <w:rsid w:val="00DD69FC"/>
    <w:rsid w:val="00DD6D88"/>
    <w:rsid w:val="00DD720F"/>
    <w:rsid w:val="00DD7277"/>
    <w:rsid w:val="00DD754B"/>
    <w:rsid w:val="00DD772D"/>
    <w:rsid w:val="00DD77C8"/>
    <w:rsid w:val="00DD7BDC"/>
    <w:rsid w:val="00DE0072"/>
    <w:rsid w:val="00DE016A"/>
    <w:rsid w:val="00DE01DA"/>
    <w:rsid w:val="00DE05DD"/>
    <w:rsid w:val="00DE06F2"/>
    <w:rsid w:val="00DE099D"/>
    <w:rsid w:val="00DE0C4C"/>
    <w:rsid w:val="00DE0D0C"/>
    <w:rsid w:val="00DE10AA"/>
    <w:rsid w:val="00DE133C"/>
    <w:rsid w:val="00DE1900"/>
    <w:rsid w:val="00DE1DD9"/>
    <w:rsid w:val="00DE1E6F"/>
    <w:rsid w:val="00DE1F3F"/>
    <w:rsid w:val="00DE21C4"/>
    <w:rsid w:val="00DE301D"/>
    <w:rsid w:val="00DE32E4"/>
    <w:rsid w:val="00DE35DD"/>
    <w:rsid w:val="00DE3B70"/>
    <w:rsid w:val="00DE3BD8"/>
    <w:rsid w:val="00DE3D2E"/>
    <w:rsid w:val="00DE3DB1"/>
    <w:rsid w:val="00DE3F1B"/>
    <w:rsid w:val="00DE4201"/>
    <w:rsid w:val="00DE4862"/>
    <w:rsid w:val="00DE5373"/>
    <w:rsid w:val="00DE55E7"/>
    <w:rsid w:val="00DE594C"/>
    <w:rsid w:val="00DE5DB7"/>
    <w:rsid w:val="00DE5FEF"/>
    <w:rsid w:val="00DE625C"/>
    <w:rsid w:val="00DE62ED"/>
    <w:rsid w:val="00DE6311"/>
    <w:rsid w:val="00DE656F"/>
    <w:rsid w:val="00DE67BA"/>
    <w:rsid w:val="00DE6A8C"/>
    <w:rsid w:val="00DE7612"/>
    <w:rsid w:val="00DE762F"/>
    <w:rsid w:val="00DE7947"/>
    <w:rsid w:val="00DE795E"/>
    <w:rsid w:val="00DE7A63"/>
    <w:rsid w:val="00DE7C04"/>
    <w:rsid w:val="00DE7D14"/>
    <w:rsid w:val="00DF00DF"/>
    <w:rsid w:val="00DF0378"/>
    <w:rsid w:val="00DF0445"/>
    <w:rsid w:val="00DF0530"/>
    <w:rsid w:val="00DF07CA"/>
    <w:rsid w:val="00DF0A1B"/>
    <w:rsid w:val="00DF0FFA"/>
    <w:rsid w:val="00DF1182"/>
    <w:rsid w:val="00DF1491"/>
    <w:rsid w:val="00DF1A11"/>
    <w:rsid w:val="00DF1E5E"/>
    <w:rsid w:val="00DF1F17"/>
    <w:rsid w:val="00DF22E4"/>
    <w:rsid w:val="00DF2330"/>
    <w:rsid w:val="00DF24D7"/>
    <w:rsid w:val="00DF261E"/>
    <w:rsid w:val="00DF2E54"/>
    <w:rsid w:val="00DF2E93"/>
    <w:rsid w:val="00DF2ED6"/>
    <w:rsid w:val="00DF2EEC"/>
    <w:rsid w:val="00DF2FD7"/>
    <w:rsid w:val="00DF3352"/>
    <w:rsid w:val="00DF34C1"/>
    <w:rsid w:val="00DF36D3"/>
    <w:rsid w:val="00DF382C"/>
    <w:rsid w:val="00DF3A2A"/>
    <w:rsid w:val="00DF3ADD"/>
    <w:rsid w:val="00DF3D92"/>
    <w:rsid w:val="00DF3F76"/>
    <w:rsid w:val="00DF3FE3"/>
    <w:rsid w:val="00DF413B"/>
    <w:rsid w:val="00DF4510"/>
    <w:rsid w:val="00DF4600"/>
    <w:rsid w:val="00DF4726"/>
    <w:rsid w:val="00DF47CD"/>
    <w:rsid w:val="00DF4D1A"/>
    <w:rsid w:val="00DF4D70"/>
    <w:rsid w:val="00DF4F0F"/>
    <w:rsid w:val="00DF4F48"/>
    <w:rsid w:val="00DF5319"/>
    <w:rsid w:val="00DF558A"/>
    <w:rsid w:val="00DF5C0F"/>
    <w:rsid w:val="00DF5D02"/>
    <w:rsid w:val="00DF5FDF"/>
    <w:rsid w:val="00DF6395"/>
    <w:rsid w:val="00DF63FD"/>
    <w:rsid w:val="00DF651B"/>
    <w:rsid w:val="00DF65F5"/>
    <w:rsid w:val="00DF6B3A"/>
    <w:rsid w:val="00DF7023"/>
    <w:rsid w:val="00DF702F"/>
    <w:rsid w:val="00DF74EB"/>
    <w:rsid w:val="00DF7AE8"/>
    <w:rsid w:val="00E0012C"/>
    <w:rsid w:val="00E00892"/>
    <w:rsid w:val="00E00903"/>
    <w:rsid w:val="00E00F6C"/>
    <w:rsid w:val="00E00FA1"/>
    <w:rsid w:val="00E012EB"/>
    <w:rsid w:val="00E01349"/>
    <w:rsid w:val="00E01367"/>
    <w:rsid w:val="00E013AA"/>
    <w:rsid w:val="00E01429"/>
    <w:rsid w:val="00E01479"/>
    <w:rsid w:val="00E014B7"/>
    <w:rsid w:val="00E014E7"/>
    <w:rsid w:val="00E01676"/>
    <w:rsid w:val="00E016DA"/>
    <w:rsid w:val="00E01D7B"/>
    <w:rsid w:val="00E021CB"/>
    <w:rsid w:val="00E0223F"/>
    <w:rsid w:val="00E023DB"/>
    <w:rsid w:val="00E02741"/>
    <w:rsid w:val="00E0297E"/>
    <w:rsid w:val="00E02F08"/>
    <w:rsid w:val="00E02FD9"/>
    <w:rsid w:val="00E03518"/>
    <w:rsid w:val="00E03982"/>
    <w:rsid w:val="00E03986"/>
    <w:rsid w:val="00E039D3"/>
    <w:rsid w:val="00E03A58"/>
    <w:rsid w:val="00E03B1D"/>
    <w:rsid w:val="00E03BE3"/>
    <w:rsid w:val="00E03D81"/>
    <w:rsid w:val="00E03DD9"/>
    <w:rsid w:val="00E03DDD"/>
    <w:rsid w:val="00E03E1C"/>
    <w:rsid w:val="00E03EB2"/>
    <w:rsid w:val="00E03EE9"/>
    <w:rsid w:val="00E03F8A"/>
    <w:rsid w:val="00E04082"/>
    <w:rsid w:val="00E040EC"/>
    <w:rsid w:val="00E04BAF"/>
    <w:rsid w:val="00E04C41"/>
    <w:rsid w:val="00E04D83"/>
    <w:rsid w:val="00E04EAF"/>
    <w:rsid w:val="00E054C5"/>
    <w:rsid w:val="00E05C26"/>
    <w:rsid w:val="00E05EDB"/>
    <w:rsid w:val="00E065CA"/>
    <w:rsid w:val="00E06A00"/>
    <w:rsid w:val="00E06A24"/>
    <w:rsid w:val="00E06AE5"/>
    <w:rsid w:val="00E077B2"/>
    <w:rsid w:val="00E077E9"/>
    <w:rsid w:val="00E07B21"/>
    <w:rsid w:val="00E07CD9"/>
    <w:rsid w:val="00E07FC7"/>
    <w:rsid w:val="00E1004F"/>
    <w:rsid w:val="00E1036C"/>
    <w:rsid w:val="00E10486"/>
    <w:rsid w:val="00E10998"/>
    <w:rsid w:val="00E109B6"/>
    <w:rsid w:val="00E10B08"/>
    <w:rsid w:val="00E10E21"/>
    <w:rsid w:val="00E11167"/>
    <w:rsid w:val="00E1120F"/>
    <w:rsid w:val="00E1130B"/>
    <w:rsid w:val="00E113C5"/>
    <w:rsid w:val="00E11C34"/>
    <w:rsid w:val="00E11C65"/>
    <w:rsid w:val="00E11E2F"/>
    <w:rsid w:val="00E122B8"/>
    <w:rsid w:val="00E12651"/>
    <w:rsid w:val="00E128D1"/>
    <w:rsid w:val="00E12B68"/>
    <w:rsid w:val="00E13155"/>
    <w:rsid w:val="00E131B2"/>
    <w:rsid w:val="00E1338F"/>
    <w:rsid w:val="00E13876"/>
    <w:rsid w:val="00E13AA8"/>
    <w:rsid w:val="00E13D5A"/>
    <w:rsid w:val="00E13F6D"/>
    <w:rsid w:val="00E14204"/>
    <w:rsid w:val="00E1422D"/>
    <w:rsid w:val="00E14582"/>
    <w:rsid w:val="00E146A2"/>
    <w:rsid w:val="00E14B81"/>
    <w:rsid w:val="00E14BBC"/>
    <w:rsid w:val="00E153FA"/>
    <w:rsid w:val="00E15956"/>
    <w:rsid w:val="00E15B60"/>
    <w:rsid w:val="00E16045"/>
    <w:rsid w:val="00E16688"/>
    <w:rsid w:val="00E16D50"/>
    <w:rsid w:val="00E16ECD"/>
    <w:rsid w:val="00E16ED1"/>
    <w:rsid w:val="00E1707E"/>
    <w:rsid w:val="00E1725C"/>
    <w:rsid w:val="00E17514"/>
    <w:rsid w:val="00E176BE"/>
    <w:rsid w:val="00E1785D"/>
    <w:rsid w:val="00E178E4"/>
    <w:rsid w:val="00E179C5"/>
    <w:rsid w:val="00E179D8"/>
    <w:rsid w:val="00E17AAC"/>
    <w:rsid w:val="00E20EC3"/>
    <w:rsid w:val="00E20EE0"/>
    <w:rsid w:val="00E21BA7"/>
    <w:rsid w:val="00E21C36"/>
    <w:rsid w:val="00E21C3D"/>
    <w:rsid w:val="00E21C76"/>
    <w:rsid w:val="00E21CFC"/>
    <w:rsid w:val="00E21F38"/>
    <w:rsid w:val="00E21FA5"/>
    <w:rsid w:val="00E22049"/>
    <w:rsid w:val="00E22083"/>
    <w:rsid w:val="00E227F8"/>
    <w:rsid w:val="00E2289C"/>
    <w:rsid w:val="00E22963"/>
    <w:rsid w:val="00E2296E"/>
    <w:rsid w:val="00E22F30"/>
    <w:rsid w:val="00E2339B"/>
    <w:rsid w:val="00E23480"/>
    <w:rsid w:val="00E2352C"/>
    <w:rsid w:val="00E23712"/>
    <w:rsid w:val="00E2378C"/>
    <w:rsid w:val="00E23979"/>
    <w:rsid w:val="00E24766"/>
    <w:rsid w:val="00E248EA"/>
    <w:rsid w:val="00E24D89"/>
    <w:rsid w:val="00E2520B"/>
    <w:rsid w:val="00E255FC"/>
    <w:rsid w:val="00E2583E"/>
    <w:rsid w:val="00E25898"/>
    <w:rsid w:val="00E25A5D"/>
    <w:rsid w:val="00E2623F"/>
    <w:rsid w:val="00E2640B"/>
    <w:rsid w:val="00E2641E"/>
    <w:rsid w:val="00E264E3"/>
    <w:rsid w:val="00E267D2"/>
    <w:rsid w:val="00E2685A"/>
    <w:rsid w:val="00E26CAF"/>
    <w:rsid w:val="00E26E63"/>
    <w:rsid w:val="00E270A3"/>
    <w:rsid w:val="00E2732C"/>
    <w:rsid w:val="00E27B45"/>
    <w:rsid w:val="00E30416"/>
    <w:rsid w:val="00E30C59"/>
    <w:rsid w:val="00E30E83"/>
    <w:rsid w:val="00E31099"/>
    <w:rsid w:val="00E312E7"/>
    <w:rsid w:val="00E3138E"/>
    <w:rsid w:val="00E31743"/>
    <w:rsid w:val="00E317A0"/>
    <w:rsid w:val="00E31950"/>
    <w:rsid w:val="00E31A38"/>
    <w:rsid w:val="00E31A82"/>
    <w:rsid w:val="00E31B4F"/>
    <w:rsid w:val="00E31BBF"/>
    <w:rsid w:val="00E31C82"/>
    <w:rsid w:val="00E31D28"/>
    <w:rsid w:val="00E32444"/>
    <w:rsid w:val="00E32C4C"/>
    <w:rsid w:val="00E32D0C"/>
    <w:rsid w:val="00E32EC0"/>
    <w:rsid w:val="00E3381D"/>
    <w:rsid w:val="00E33CB9"/>
    <w:rsid w:val="00E342CC"/>
    <w:rsid w:val="00E34BAD"/>
    <w:rsid w:val="00E35309"/>
    <w:rsid w:val="00E3541B"/>
    <w:rsid w:val="00E35446"/>
    <w:rsid w:val="00E3553A"/>
    <w:rsid w:val="00E35A6D"/>
    <w:rsid w:val="00E35F8C"/>
    <w:rsid w:val="00E360DD"/>
    <w:rsid w:val="00E36DF5"/>
    <w:rsid w:val="00E374C9"/>
    <w:rsid w:val="00E37505"/>
    <w:rsid w:val="00E375A6"/>
    <w:rsid w:val="00E378D7"/>
    <w:rsid w:val="00E37AE5"/>
    <w:rsid w:val="00E37C49"/>
    <w:rsid w:val="00E37C85"/>
    <w:rsid w:val="00E37CA9"/>
    <w:rsid w:val="00E37CCC"/>
    <w:rsid w:val="00E401E8"/>
    <w:rsid w:val="00E4043D"/>
    <w:rsid w:val="00E407E5"/>
    <w:rsid w:val="00E40993"/>
    <w:rsid w:val="00E40D78"/>
    <w:rsid w:val="00E412C5"/>
    <w:rsid w:val="00E414A7"/>
    <w:rsid w:val="00E41748"/>
    <w:rsid w:val="00E41B92"/>
    <w:rsid w:val="00E41E0C"/>
    <w:rsid w:val="00E4244F"/>
    <w:rsid w:val="00E425E0"/>
    <w:rsid w:val="00E43103"/>
    <w:rsid w:val="00E431C8"/>
    <w:rsid w:val="00E43432"/>
    <w:rsid w:val="00E43471"/>
    <w:rsid w:val="00E43529"/>
    <w:rsid w:val="00E43540"/>
    <w:rsid w:val="00E436A0"/>
    <w:rsid w:val="00E4384F"/>
    <w:rsid w:val="00E4396D"/>
    <w:rsid w:val="00E43A63"/>
    <w:rsid w:val="00E43C10"/>
    <w:rsid w:val="00E43C63"/>
    <w:rsid w:val="00E43D13"/>
    <w:rsid w:val="00E441DD"/>
    <w:rsid w:val="00E444F7"/>
    <w:rsid w:val="00E44600"/>
    <w:rsid w:val="00E449C5"/>
    <w:rsid w:val="00E44B47"/>
    <w:rsid w:val="00E44DFA"/>
    <w:rsid w:val="00E44E6A"/>
    <w:rsid w:val="00E44F20"/>
    <w:rsid w:val="00E450D3"/>
    <w:rsid w:val="00E453BF"/>
    <w:rsid w:val="00E456AB"/>
    <w:rsid w:val="00E45A8C"/>
    <w:rsid w:val="00E4604A"/>
    <w:rsid w:val="00E465E2"/>
    <w:rsid w:val="00E468AF"/>
    <w:rsid w:val="00E46993"/>
    <w:rsid w:val="00E46E29"/>
    <w:rsid w:val="00E470B0"/>
    <w:rsid w:val="00E470D3"/>
    <w:rsid w:val="00E470E2"/>
    <w:rsid w:val="00E471CE"/>
    <w:rsid w:val="00E473EC"/>
    <w:rsid w:val="00E476A5"/>
    <w:rsid w:val="00E47ACA"/>
    <w:rsid w:val="00E47AFC"/>
    <w:rsid w:val="00E47C68"/>
    <w:rsid w:val="00E50063"/>
    <w:rsid w:val="00E500BD"/>
    <w:rsid w:val="00E50395"/>
    <w:rsid w:val="00E503BB"/>
    <w:rsid w:val="00E509D6"/>
    <w:rsid w:val="00E510A2"/>
    <w:rsid w:val="00E51301"/>
    <w:rsid w:val="00E5152B"/>
    <w:rsid w:val="00E51991"/>
    <w:rsid w:val="00E51D53"/>
    <w:rsid w:val="00E51DDC"/>
    <w:rsid w:val="00E51F23"/>
    <w:rsid w:val="00E51F2C"/>
    <w:rsid w:val="00E51FEF"/>
    <w:rsid w:val="00E52288"/>
    <w:rsid w:val="00E527D7"/>
    <w:rsid w:val="00E529B7"/>
    <w:rsid w:val="00E52B66"/>
    <w:rsid w:val="00E53AE0"/>
    <w:rsid w:val="00E53D2B"/>
    <w:rsid w:val="00E53D86"/>
    <w:rsid w:val="00E5442D"/>
    <w:rsid w:val="00E544E4"/>
    <w:rsid w:val="00E54690"/>
    <w:rsid w:val="00E548D9"/>
    <w:rsid w:val="00E54A32"/>
    <w:rsid w:val="00E54AED"/>
    <w:rsid w:val="00E54B73"/>
    <w:rsid w:val="00E54C88"/>
    <w:rsid w:val="00E54D27"/>
    <w:rsid w:val="00E54D2D"/>
    <w:rsid w:val="00E54E7A"/>
    <w:rsid w:val="00E552BB"/>
    <w:rsid w:val="00E556E5"/>
    <w:rsid w:val="00E558CF"/>
    <w:rsid w:val="00E55936"/>
    <w:rsid w:val="00E55B57"/>
    <w:rsid w:val="00E55D3C"/>
    <w:rsid w:val="00E5624F"/>
    <w:rsid w:val="00E566BE"/>
    <w:rsid w:val="00E56EF0"/>
    <w:rsid w:val="00E572EC"/>
    <w:rsid w:val="00E5736F"/>
    <w:rsid w:val="00E57436"/>
    <w:rsid w:val="00E5764E"/>
    <w:rsid w:val="00E5783C"/>
    <w:rsid w:val="00E604BF"/>
    <w:rsid w:val="00E6056F"/>
    <w:rsid w:val="00E6064B"/>
    <w:rsid w:val="00E607F3"/>
    <w:rsid w:val="00E60916"/>
    <w:rsid w:val="00E60986"/>
    <w:rsid w:val="00E60D06"/>
    <w:rsid w:val="00E60E14"/>
    <w:rsid w:val="00E614A8"/>
    <w:rsid w:val="00E614C6"/>
    <w:rsid w:val="00E61649"/>
    <w:rsid w:val="00E61676"/>
    <w:rsid w:val="00E61867"/>
    <w:rsid w:val="00E61968"/>
    <w:rsid w:val="00E61A54"/>
    <w:rsid w:val="00E61D27"/>
    <w:rsid w:val="00E61F7B"/>
    <w:rsid w:val="00E62287"/>
    <w:rsid w:val="00E62344"/>
    <w:rsid w:val="00E62726"/>
    <w:rsid w:val="00E62A27"/>
    <w:rsid w:val="00E62C65"/>
    <w:rsid w:val="00E62CF8"/>
    <w:rsid w:val="00E62FED"/>
    <w:rsid w:val="00E6333F"/>
    <w:rsid w:val="00E635BC"/>
    <w:rsid w:val="00E63602"/>
    <w:rsid w:val="00E63A36"/>
    <w:rsid w:val="00E63B84"/>
    <w:rsid w:val="00E6453B"/>
    <w:rsid w:val="00E648E2"/>
    <w:rsid w:val="00E64948"/>
    <w:rsid w:val="00E64BA7"/>
    <w:rsid w:val="00E64E61"/>
    <w:rsid w:val="00E65079"/>
    <w:rsid w:val="00E65156"/>
    <w:rsid w:val="00E65236"/>
    <w:rsid w:val="00E654D3"/>
    <w:rsid w:val="00E65948"/>
    <w:rsid w:val="00E65BF6"/>
    <w:rsid w:val="00E65D13"/>
    <w:rsid w:val="00E65E19"/>
    <w:rsid w:val="00E66073"/>
    <w:rsid w:val="00E66639"/>
    <w:rsid w:val="00E66767"/>
    <w:rsid w:val="00E66BFE"/>
    <w:rsid w:val="00E66DF4"/>
    <w:rsid w:val="00E66E40"/>
    <w:rsid w:val="00E66E54"/>
    <w:rsid w:val="00E6700A"/>
    <w:rsid w:val="00E67031"/>
    <w:rsid w:val="00E67691"/>
    <w:rsid w:val="00E6774A"/>
    <w:rsid w:val="00E677AB"/>
    <w:rsid w:val="00E67A6E"/>
    <w:rsid w:val="00E67BEF"/>
    <w:rsid w:val="00E67DF4"/>
    <w:rsid w:val="00E67ED0"/>
    <w:rsid w:val="00E67FC3"/>
    <w:rsid w:val="00E701C6"/>
    <w:rsid w:val="00E708F5"/>
    <w:rsid w:val="00E70A0A"/>
    <w:rsid w:val="00E710DB"/>
    <w:rsid w:val="00E7130C"/>
    <w:rsid w:val="00E71692"/>
    <w:rsid w:val="00E71E81"/>
    <w:rsid w:val="00E71FDC"/>
    <w:rsid w:val="00E72242"/>
    <w:rsid w:val="00E724F9"/>
    <w:rsid w:val="00E72B29"/>
    <w:rsid w:val="00E73065"/>
    <w:rsid w:val="00E733A7"/>
    <w:rsid w:val="00E73441"/>
    <w:rsid w:val="00E7370B"/>
    <w:rsid w:val="00E738F4"/>
    <w:rsid w:val="00E73900"/>
    <w:rsid w:val="00E73A6A"/>
    <w:rsid w:val="00E73DB5"/>
    <w:rsid w:val="00E73ED5"/>
    <w:rsid w:val="00E73F29"/>
    <w:rsid w:val="00E740B7"/>
    <w:rsid w:val="00E74135"/>
    <w:rsid w:val="00E742C5"/>
    <w:rsid w:val="00E746EF"/>
    <w:rsid w:val="00E7482A"/>
    <w:rsid w:val="00E74949"/>
    <w:rsid w:val="00E74AF6"/>
    <w:rsid w:val="00E74BA2"/>
    <w:rsid w:val="00E74E6F"/>
    <w:rsid w:val="00E74F39"/>
    <w:rsid w:val="00E75AED"/>
    <w:rsid w:val="00E75E13"/>
    <w:rsid w:val="00E7662B"/>
    <w:rsid w:val="00E76B45"/>
    <w:rsid w:val="00E76F3E"/>
    <w:rsid w:val="00E77029"/>
    <w:rsid w:val="00E7728F"/>
    <w:rsid w:val="00E7742F"/>
    <w:rsid w:val="00E77801"/>
    <w:rsid w:val="00E77999"/>
    <w:rsid w:val="00E77B84"/>
    <w:rsid w:val="00E80040"/>
    <w:rsid w:val="00E80113"/>
    <w:rsid w:val="00E802C8"/>
    <w:rsid w:val="00E80356"/>
    <w:rsid w:val="00E80AB9"/>
    <w:rsid w:val="00E80DF4"/>
    <w:rsid w:val="00E812F5"/>
    <w:rsid w:val="00E815A2"/>
    <w:rsid w:val="00E816A8"/>
    <w:rsid w:val="00E81918"/>
    <w:rsid w:val="00E82239"/>
    <w:rsid w:val="00E82375"/>
    <w:rsid w:val="00E8266A"/>
    <w:rsid w:val="00E828EB"/>
    <w:rsid w:val="00E82C1A"/>
    <w:rsid w:val="00E82D73"/>
    <w:rsid w:val="00E82D9B"/>
    <w:rsid w:val="00E82FED"/>
    <w:rsid w:val="00E831C7"/>
    <w:rsid w:val="00E83258"/>
    <w:rsid w:val="00E8328B"/>
    <w:rsid w:val="00E83589"/>
    <w:rsid w:val="00E83832"/>
    <w:rsid w:val="00E83B01"/>
    <w:rsid w:val="00E83BAA"/>
    <w:rsid w:val="00E83BC7"/>
    <w:rsid w:val="00E84115"/>
    <w:rsid w:val="00E842F2"/>
    <w:rsid w:val="00E84440"/>
    <w:rsid w:val="00E845C8"/>
    <w:rsid w:val="00E847D5"/>
    <w:rsid w:val="00E84F2F"/>
    <w:rsid w:val="00E85080"/>
    <w:rsid w:val="00E85C89"/>
    <w:rsid w:val="00E85D08"/>
    <w:rsid w:val="00E85DFF"/>
    <w:rsid w:val="00E866C5"/>
    <w:rsid w:val="00E868B1"/>
    <w:rsid w:val="00E869A4"/>
    <w:rsid w:val="00E869FF"/>
    <w:rsid w:val="00E86C03"/>
    <w:rsid w:val="00E86C45"/>
    <w:rsid w:val="00E87AC2"/>
    <w:rsid w:val="00E90092"/>
    <w:rsid w:val="00E9068E"/>
    <w:rsid w:val="00E90CEB"/>
    <w:rsid w:val="00E90D3D"/>
    <w:rsid w:val="00E91007"/>
    <w:rsid w:val="00E913B9"/>
    <w:rsid w:val="00E91766"/>
    <w:rsid w:val="00E91AF4"/>
    <w:rsid w:val="00E92091"/>
    <w:rsid w:val="00E92361"/>
    <w:rsid w:val="00E9248C"/>
    <w:rsid w:val="00E92E5A"/>
    <w:rsid w:val="00E93280"/>
    <w:rsid w:val="00E93321"/>
    <w:rsid w:val="00E938EE"/>
    <w:rsid w:val="00E93C46"/>
    <w:rsid w:val="00E93EB2"/>
    <w:rsid w:val="00E948BB"/>
    <w:rsid w:val="00E94C2A"/>
    <w:rsid w:val="00E9509E"/>
    <w:rsid w:val="00E95991"/>
    <w:rsid w:val="00E95C6B"/>
    <w:rsid w:val="00E95CB2"/>
    <w:rsid w:val="00E96165"/>
    <w:rsid w:val="00E9626C"/>
    <w:rsid w:val="00E96345"/>
    <w:rsid w:val="00E967A7"/>
    <w:rsid w:val="00E969EB"/>
    <w:rsid w:val="00E96DA6"/>
    <w:rsid w:val="00E96F23"/>
    <w:rsid w:val="00E970F5"/>
    <w:rsid w:val="00E974DE"/>
    <w:rsid w:val="00E9763F"/>
    <w:rsid w:val="00E9774F"/>
    <w:rsid w:val="00E97935"/>
    <w:rsid w:val="00E97982"/>
    <w:rsid w:val="00E979EC"/>
    <w:rsid w:val="00E97CD6"/>
    <w:rsid w:val="00E97DBE"/>
    <w:rsid w:val="00EA0474"/>
    <w:rsid w:val="00EA04D6"/>
    <w:rsid w:val="00EA065F"/>
    <w:rsid w:val="00EA06E2"/>
    <w:rsid w:val="00EA0DE6"/>
    <w:rsid w:val="00EA1124"/>
    <w:rsid w:val="00EA1589"/>
    <w:rsid w:val="00EA178E"/>
    <w:rsid w:val="00EA1835"/>
    <w:rsid w:val="00EA1B95"/>
    <w:rsid w:val="00EA1D14"/>
    <w:rsid w:val="00EA1F88"/>
    <w:rsid w:val="00EA20CF"/>
    <w:rsid w:val="00EA2983"/>
    <w:rsid w:val="00EA3179"/>
    <w:rsid w:val="00EA3AFC"/>
    <w:rsid w:val="00EA41DD"/>
    <w:rsid w:val="00EA45FC"/>
    <w:rsid w:val="00EA4BD9"/>
    <w:rsid w:val="00EA4D0D"/>
    <w:rsid w:val="00EA4ED3"/>
    <w:rsid w:val="00EA5DB2"/>
    <w:rsid w:val="00EA5F73"/>
    <w:rsid w:val="00EA6626"/>
    <w:rsid w:val="00EA6AB0"/>
    <w:rsid w:val="00EA6CE7"/>
    <w:rsid w:val="00EA6D19"/>
    <w:rsid w:val="00EA6F28"/>
    <w:rsid w:val="00EA6FF7"/>
    <w:rsid w:val="00EA714B"/>
    <w:rsid w:val="00EA72ED"/>
    <w:rsid w:val="00EA7711"/>
    <w:rsid w:val="00EA7C8D"/>
    <w:rsid w:val="00EA7D41"/>
    <w:rsid w:val="00EB041B"/>
    <w:rsid w:val="00EB057F"/>
    <w:rsid w:val="00EB07B3"/>
    <w:rsid w:val="00EB09C7"/>
    <w:rsid w:val="00EB1021"/>
    <w:rsid w:val="00EB1297"/>
    <w:rsid w:val="00EB12F5"/>
    <w:rsid w:val="00EB15F0"/>
    <w:rsid w:val="00EB16CA"/>
    <w:rsid w:val="00EB1AC5"/>
    <w:rsid w:val="00EB1ACE"/>
    <w:rsid w:val="00EB1C61"/>
    <w:rsid w:val="00EB1D36"/>
    <w:rsid w:val="00EB1ECF"/>
    <w:rsid w:val="00EB2167"/>
    <w:rsid w:val="00EB2219"/>
    <w:rsid w:val="00EB22AD"/>
    <w:rsid w:val="00EB22FA"/>
    <w:rsid w:val="00EB236D"/>
    <w:rsid w:val="00EB23FA"/>
    <w:rsid w:val="00EB2545"/>
    <w:rsid w:val="00EB2CC0"/>
    <w:rsid w:val="00EB3378"/>
    <w:rsid w:val="00EB348E"/>
    <w:rsid w:val="00EB367D"/>
    <w:rsid w:val="00EB3F72"/>
    <w:rsid w:val="00EB424A"/>
    <w:rsid w:val="00EB425E"/>
    <w:rsid w:val="00EB42AA"/>
    <w:rsid w:val="00EB4397"/>
    <w:rsid w:val="00EB43AD"/>
    <w:rsid w:val="00EB44D8"/>
    <w:rsid w:val="00EB465C"/>
    <w:rsid w:val="00EB494C"/>
    <w:rsid w:val="00EB55D4"/>
    <w:rsid w:val="00EB563C"/>
    <w:rsid w:val="00EB56F4"/>
    <w:rsid w:val="00EB5AC5"/>
    <w:rsid w:val="00EB5B46"/>
    <w:rsid w:val="00EB5B89"/>
    <w:rsid w:val="00EB6DF9"/>
    <w:rsid w:val="00EB71F8"/>
    <w:rsid w:val="00EB74FF"/>
    <w:rsid w:val="00EB79BA"/>
    <w:rsid w:val="00EB7B20"/>
    <w:rsid w:val="00EB7D55"/>
    <w:rsid w:val="00EB7F57"/>
    <w:rsid w:val="00EC001B"/>
    <w:rsid w:val="00EC034A"/>
    <w:rsid w:val="00EC0845"/>
    <w:rsid w:val="00EC0D65"/>
    <w:rsid w:val="00EC0F19"/>
    <w:rsid w:val="00EC0F39"/>
    <w:rsid w:val="00EC12C1"/>
    <w:rsid w:val="00EC18EA"/>
    <w:rsid w:val="00EC1A6D"/>
    <w:rsid w:val="00EC1C3B"/>
    <w:rsid w:val="00EC1D02"/>
    <w:rsid w:val="00EC212D"/>
    <w:rsid w:val="00EC2388"/>
    <w:rsid w:val="00EC24CB"/>
    <w:rsid w:val="00EC2698"/>
    <w:rsid w:val="00EC289B"/>
    <w:rsid w:val="00EC2AA4"/>
    <w:rsid w:val="00EC2C96"/>
    <w:rsid w:val="00EC3061"/>
    <w:rsid w:val="00EC35C0"/>
    <w:rsid w:val="00EC47C7"/>
    <w:rsid w:val="00EC4D30"/>
    <w:rsid w:val="00EC4D86"/>
    <w:rsid w:val="00EC4EEC"/>
    <w:rsid w:val="00EC52F8"/>
    <w:rsid w:val="00EC5589"/>
    <w:rsid w:val="00EC5AEB"/>
    <w:rsid w:val="00EC5C48"/>
    <w:rsid w:val="00EC5F25"/>
    <w:rsid w:val="00EC6215"/>
    <w:rsid w:val="00EC624C"/>
    <w:rsid w:val="00EC6277"/>
    <w:rsid w:val="00EC66E1"/>
    <w:rsid w:val="00EC66F5"/>
    <w:rsid w:val="00EC6C2C"/>
    <w:rsid w:val="00EC6C2F"/>
    <w:rsid w:val="00EC6CF7"/>
    <w:rsid w:val="00EC6EFB"/>
    <w:rsid w:val="00EC6F63"/>
    <w:rsid w:val="00EC70D2"/>
    <w:rsid w:val="00EC7D2D"/>
    <w:rsid w:val="00EC7D4A"/>
    <w:rsid w:val="00EC7FDE"/>
    <w:rsid w:val="00ED00BB"/>
    <w:rsid w:val="00ED0BE7"/>
    <w:rsid w:val="00ED0E48"/>
    <w:rsid w:val="00ED115A"/>
    <w:rsid w:val="00ED135E"/>
    <w:rsid w:val="00ED191E"/>
    <w:rsid w:val="00ED1A11"/>
    <w:rsid w:val="00ED1F4B"/>
    <w:rsid w:val="00ED2530"/>
    <w:rsid w:val="00ED26F6"/>
    <w:rsid w:val="00ED2D10"/>
    <w:rsid w:val="00ED3796"/>
    <w:rsid w:val="00ED39EF"/>
    <w:rsid w:val="00ED3F1A"/>
    <w:rsid w:val="00ED417A"/>
    <w:rsid w:val="00ED457F"/>
    <w:rsid w:val="00ED46C5"/>
    <w:rsid w:val="00ED46C9"/>
    <w:rsid w:val="00ED4775"/>
    <w:rsid w:val="00ED4853"/>
    <w:rsid w:val="00ED49BB"/>
    <w:rsid w:val="00ED4A13"/>
    <w:rsid w:val="00ED4DF6"/>
    <w:rsid w:val="00ED50D8"/>
    <w:rsid w:val="00ED55B2"/>
    <w:rsid w:val="00ED5A3C"/>
    <w:rsid w:val="00ED5AF2"/>
    <w:rsid w:val="00ED5C95"/>
    <w:rsid w:val="00ED690B"/>
    <w:rsid w:val="00ED6A49"/>
    <w:rsid w:val="00ED6CAA"/>
    <w:rsid w:val="00ED710D"/>
    <w:rsid w:val="00ED7165"/>
    <w:rsid w:val="00ED71DC"/>
    <w:rsid w:val="00ED7274"/>
    <w:rsid w:val="00ED74CD"/>
    <w:rsid w:val="00ED750A"/>
    <w:rsid w:val="00ED7EA3"/>
    <w:rsid w:val="00EE03CA"/>
    <w:rsid w:val="00EE0895"/>
    <w:rsid w:val="00EE09DC"/>
    <w:rsid w:val="00EE0C74"/>
    <w:rsid w:val="00EE0C82"/>
    <w:rsid w:val="00EE0D7A"/>
    <w:rsid w:val="00EE15BC"/>
    <w:rsid w:val="00EE1811"/>
    <w:rsid w:val="00EE2071"/>
    <w:rsid w:val="00EE22D7"/>
    <w:rsid w:val="00EE255E"/>
    <w:rsid w:val="00EE2B4B"/>
    <w:rsid w:val="00EE2D0A"/>
    <w:rsid w:val="00EE2D6E"/>
    <w:rsid w:val="00EE2DEE"/>
    <w:rsid w:val="00EE2FE8"/>
    <w:rsid w:val="00EE385C"/>
    <w:rsid w:val="00EE3997"/>
    <w:rsid w:val="00EE3DBF"/>
    <w:rsid w:val="00EE3E78"/>
    <w:rsid w:val="00EE3F0D"/>
    <w:rsid w:val="00EE414E"/>
    <w:rsid w:val="00EE4408"/>
    <w:rsid w:val="00EE46F1"/>
    <w:rsid w:val="00EE49D8"/>
    <w:rsid w:val="00EE4AB8"/>
    <w:rsid w:val="00EE4B65"/>
    <w:rsid w:val="00EE588F"/>
    <w:rsid w:val="00EE5916"/>
    <w:rsid w:val="00EE5A18"/>
    <w:rsid w:val="00EE5AEF"/>
    <w:rsid w:val="00EE61BB"/>
    <w:rsid w:val="00EE61DA"/>
    <w:rsid w:val="00EE636A"/>
    <w:rsid w:val="00EE67BE"/>
    <w:rsid w:val="00EE67F1"/>
    <w:rsid w:val="00EE6897"/>
    <w:rsid w:val="00EE6AAD"/>
    <w:rsid w:val="00EE70F1"/>
    <w:rsid w:val="00EE7988"/>
    <w:rsid w:val="00EE79C5"/>
    <w:rsid w:val="00EE7E5E"/>
    <w:rsid w:val="00EF0007"/>
    <w:rsid w:val="00EF0137"/>
    <w:rsid w:val="00EF042C"/>
    <w:rsid w:val="00EF056F"/>
    <w:rsid w:val="00EF09BE"/>
    <w:rsid w:val="00EF09F7"/>
    <w:rsid w:val="00EF0B9D"/>
    <w:rsid w:val="00EF1363"/>
    <w:rsid w:val="00EF1A9E"/>
    <w:rsid w:val="00EF1CB6"/>
    <w:rsid w:val="00EF2375"/>
    <w:rsid w:val="00EF27F9"/>
    <w:rsid w:val="00EF37E4"/>
    <w:rsid w:val="00EF3B21"/>
    <w:rsid w:val="00EF3BAE"/>
    <w:rsid w:val="00EF4358"/>
    <w:rsid w:val="00EF47BF"/>
    <w:rsid w:val="00EF48D6"/>
    <w:rsid w:val="00EF5093"/>
    <w:rsid w:val="00EF5139"/>
    <w:rsid w:val="00EF5200"/>
    <w:rsid w:val="00EF571B"/>
    <w:rsid w:val="00EF5B4B"/>
    <w:rsid w:val="00EF5B57"/>
    <w:rsid w:val="00EF5CAB"/>
    <w:rsid w:val="00EF5D57"/>
    <w:rsid w:val="00EF5F4C"/>
    <w:rsid w:val="00EF5FC5"/>
    <w:rsid w:val="00EF61D0"/>
    <w:rsid w:val="00EF63DD"/>
    <w:rsid w:val="00EF6A17"/>
    <w:rsid w:val="00EF6A41"/>
    <w:rsid w:val="00EF6F92"/>
    <w:rsid w:val="00EF7126"/>
    <w:rsid w:val="00EF72AC"/>
    <w:rsid w:val="00EF748D"/>
    <w:rsid w:val="00EF76F8"/>
    <w:rsid w:val="00EF7792"/>
    <w:rsid w:val="00EF7A8A"/>
    <w:rsid w:val="00F000D4"/>
    <w:rsid w:val="00F000E4"/>
    <w:rsid w:val="00F003B4"/>
    <w:rsid w:val="00F003D0"/>
    <w:rsid w:val="00F00674"/>
    <w:rsid w:val="00F00997"/>
    <w:rsid w:val="00F00A36"/>
    <w:rsid w:val="00F00F85"/>
    <w:rsid w:val="00F00F86"/>
    <w:rsid w:val="00F01024"/>
    <w:rsid w:val="00F0140A"/>
    <w:rsid w:val="00F01470"/>
    <w:rsid w:val="00F014A4"/>
    <w:rsid w:val="00F0152B"/>
    <w:rsid w:val="00F015BD"/>
    <w:rsid w:val="00F01619"/>
    <w:rsid w:val="00F01645"/>
    <w:rsid w:val="00F01805"/>
    <w:rsid w:val="00F0188A"/>
    <w:rsid w:val="00F01CF6"/>
    <w:rsid w:val="00F01F9F"/>
    <w:rsid w:val="00F023A1"/>
    <w:rsid w:val="00F02501"/>
    <w:rsid w:val="00F02584"/>
    <w:rsid w:val="00F026B5"/>
    <w:rsid w:val="00F027D8"/>
    <w:rsid w:val="00F02880"/>
    <w:rsid w:val="00F029E6"/>
    <w:rsid w:val="00F02AB9"/>
    <w:rsid w:val="00F03187"/>
    <w:rsid w:val="00F034A3"/>
    <w:rsid w:val="00F042CE"/>
    <w:rsid w:val="00F0455B"/>
    <w:rsid w:val="00F0485B"/>
    <w:rsid w:val="00F048AD"/>
    <w:rsid w:val="00F04962"/>
    <w:rsid w:val="00F04C24"/>
    <w:rsid w:val="00F04EDB"/>
    <w:rsid w:val="00F0506C"/>
    <w:rsid w:val="00F050C3"/>
    <w:rsid w:val="00F05106"/>
    <w:rsid w:val="00F05188"/>
    <w:rsid w:val="00F05405"/>
    <w:rsid w:val="00F056B4"/>
    <w:rsid w:val="00F05815"/>
    <w:rsid w:val="00F058E7"/>
    <w:rsid w:val="00F05A38"/>
    <w:rsid w:val="00F05BC7"/>
    <w:rsid w:val="00F05D25"/>
    <w:rsid w:val="00F06016"/>
    <w:rsid w:val="00F06328"/>
    <w:rsid w:val="00F069EF"/>
    <w:rsid w:val="00F06AE5"/>
    <w:rsid w:val="00F06FD4"/>
    <w:rsid w:val="00F07415"/>
    <w:rsid w:val="00F07E00"/>
    <w:rsid w:val="00F07E78"/>
    <w:rsid w:val="00F07E7A"/>
    <w:rsid w:val="00F07EB7"/>
    <w:rsid w:val="00F10293"/>
    <w:rsid w:val="00F10313"/>
    <w:rsid w:val="00F103FD"/>
    <w:rsid w:val="00F10958"/>
    <w:rsid w:val="00F10E33"/>
    <w:rsid w:val="00F10F22"/>
    <w:rsid w:val="00F1132C"/>
    <w:rsid w:val="00F118B2"/>
    <w:rsid w:val="00F119E6"/>
    <w:rsid w:val="00F11A64"/>
    <w:rsid w:val="00F11FB6"/>
    <w:rsid w:val="00F11FF9"/>
    <w:rsid w:val="00F120F1"/>
    <w:rsid w:val="00F1256B"/>
    <w:rsid w:val="00F12726"/>
    <w:rsid w:val="00F12BB0"/>
    <w:rsid w:val="00F13594"/>
    <w:rsid w:val="00F1371B"/>
    <w:rsid w:val="00F138A2"/>
    <w:rsid w:val="00F13911"/>
    <w:rsid w:val="00F1393B"/>
    <w:rsid w:val="00F139D0"/>
    <w:rsid w:val="00F13AAB"/>
    <w:rsid w:val="00F13AAF"/>
    <w:rsid w:val="00F13F4F"/>
    <w:rsid w:val="00F142B9"/>
    <w:rsid w:val="00F1430A"/>
    <w:rsid w:val="00F146B0"/>
    <w:rsid w:val="00F14B08"/>
    <w:rsid w:val="00F152B2"/>
    <w:rsid w:val="00F1545A"/>
    <w:rsid w:val="00F15481"/>
    <w:rsid w:val="00F15C92"/>
    <w:rsid w:val="00F160F6"/>
    <w:rsid w:val="00F16354"/>
    <w:rsid w:val="00F16366"/>
    <w:rsid w:val="00F1648E"/>
    <w:rsid w:val="00F16A86"/>
    <w:rsid w:val="00F16C2C"/>
    <w:rsid w:val="00F16D31"/>
    <w:rsid w:val="00F16FAE"/>
    <w:rsid w:val="00F1722C"/>
    <w:rsid w:val="00F174B0"/>
    <w:rsid w:val="00F17A3A"/>
    <w:rsid w:val="00F2073A"/>
    <w:rsid w:val="00F2080B"/>
    <w:rsid w:val="00F20FE5"/>
    <w:rsid w:val="00F21107"/>
    <w:rsid w:val="00F212D3"/>
    <w:rsid w:val="00F212EF"/>
    <w:rsid w:val="00F2168F"/>
    <w:rsid w:val="00F21937"/>
    <w:rsid w:val="00F21D46"/>
    <w:rsid w:val="00F21F47"/>
    <w:rsid w:val="00F21F59"/>
    <w:rsid w:val="00F22500"/>
    <w:rsid w:val="00F22967"/>
    <w:rsid w:val="00F22988"/>
    <w:rsid w:val="00F22C5A"/>
    <w:rsid w:val="00F22D63"/>
    <w:rsid w:val="00F22D7F"/>
    <w:rsid w:val="00F23448"/>
    <w:rsid w:val="00F23554"/>
    <w:rsid w:val="00F23665"/>
    <w:rsid w:val="00F237B3"/>
    <w:rsid w:val="00F23BDC"/>
    <w:rsid w:val="00F23DAE"/>
    <w:rsid w:val="00F23EFA"/>
    <w:rsid w:val="00F240F5"/>
    <w:rsid w:val="00F24446"/>
    <w:rsid w:val="00F24634"/>
    <w:rsid w:val="00F248D9"/>
    <w:rsid w:val="00F24F83"/>
    <w:rsid w:val="00F251B6"/>
    <w:rsid w:val="00F258E5"/>
    <w:rsid w:val="00F25C6F"/>
    <w:rsid w:val="00F26AE1"/>
    <w:rsid w:val="00F2719B"/>
    <w:rsid w:val="00F271C6"/>
    <w:rsid w:val="00F27335"/>
    <w:rsid w:val="00F2769E"/>
    <w:rsid w:val="00F27903"/>
    <w:rsid w:val="00F27916"/>
    <w:rsid w:val="00F27C2B"/>
    <w:rsid w:val="00F27E4F"/>
    <w:rsid w:val="00F27EE4"/>
    <w:rsid w:val="00F27FDD"/>
    <w:rsid w:val="00F30066"/>
    <w:rsid w:val="00F300D4"/>
    <w:rsid w:val="00F30102"/>
    <w:rsid w:val="00F3014D"/>
    <w:rsid w:val="00F30858"/>
    <w:rsid w:val="00F309A4"/>
    <w:rsid w:val="00F309FF"/>
    <w:rsid w:val="00F30CDE"/>
    <w:rsid w:val="00F30E7F"/>
    <w:rsid w:val="00F315EB"/>
    <w:rsid w:val="00F31CDF"/>
    <w:rsid w:val="00F31F43"/>
    <w:rsid w:val="00F32561"/>
    <w:rsid w:val="00F325E8"/>
    <w:rsid w:val="00F3260B"/>
    <w:rsid w:val="00F327FD"/>
    <w:rsid w:val="00F32B1C"/>
    <w:rsid w:val="00F32B5A"/>
    <w:rsid w:val="00F32C05"/>
    <w:rsid w:val="00F32E0A"/>
    <w:rsid w:val="00F32F34"/>
    <w:rsid w:val="00F33072"/>
    <w:rsid w:val="00F332BB"/>
    <w:rsid w:val="00F33412"/>
    <w:rsid w:val="00F33575"/>
    <w:rsid w:val="00F33A45"/>
    <w:rsid w:val="00F340DA"/>
    <w:rsid w:val="00F34701"/>
    <w:rsid w:val="00F348F6"/>
    <w:rsid w:val="00F34A59"/>
    <w:rsid w:val="00F35056"/>
    <w:rsid w:val="00F3519A"/>
    <w:rsid w:val="00F356AE"/>
    <w:rsid w:val="00F357A3"/>
    <w:rsid w:val="00F366DA"/>
    <w:rsid w:val="00F369C9"/>
    <w:rsid w:val="00F36BC0"/>
    <w:rsid w:val="00F3727B"/>
    <w:rsid w:val="00F374D3"/>
    <w:rsid w:val="00F37648"/>
    <w:rsid w:val="00F376C4"/>
    <w:rsid w:val="00F37EC9"/>
    <w:rsid w:val="00F4036D"/>
    <w:rsid w:val="00F40783"/>
    <w:rsid w:val="00F40AB2"/>
    <w:rsid w:val="00F40B93"/>
    <w:rsid w:val="00F40CE2"/>
    <w:rsid w:val="00F410DD"/>
    <w:rsid w:val="00F41276"/>
    <w:rsid w:val="00F414B3"/>
    <w:rsid w:val="00F416D1"/>
    <w:rsid w:val="00F419A3"/>
    <w:rsid w:val="00F41C86"/>
    <w:rsid w:val="00F41D97"/>
    <w:rsid w:val="00F41E42"/>
    <w:rsid w:val="00F41ECA"/>
    <w:rsid w:val="00F4209E"/>
    <w:rsid w:val="00F425F2"/>
    <w:rsid w:val="00F426EC"/>
    <w:rsid w:val="00F42B87"/>
    <w:rsid w:val="00F42CA0"/>
    <w:rsid w:val="00F42DB3"/>
    <w:rsid w:val="00F42F2F"/>
    <w:rsid w:val="00F42F55"/>
    <w:rsid w:val="00F43B55"/>
    <w:rsid w:val="00F43B64"/>
    <w:rsid w:val="00F43F05"/>
    <w:rsid w:val="00F443F4"/>
    <w:rsid w:val="00F444EA"/>
    <w:rsid w:val="00F44B3D"/>
    <w:rsid w:val="00F4565B"/>
    <w:rsid w:val="00F4576A"/>
    <w:rsid w:val="00F45891"/>
    <w:rsid w:val="00F45A10"/>
    <w:rsid w:val="00F45C20"/>
    <w:rsid w:val="00F45DD2"/>
    <w:rsid w:val="00F4614B"/>
    <w:rsid w:val="00F46398"/>
    <w:rsid w:val="00F463C2"/>
    <w:rsid w:val="00F4675F"/>
    <w:rsid w:val="00F46B95"/>
    <w:rsid w:val="00F477D8"/>
    <w:rsid w:val="00F47AB5"/>
    <w:rsid w:val="00F47BE7"/>
    <w:rsid w:val="00F47BE8"/>
    <w:rsid w:val="00F47FBE"/>
    <w:rsid w:val="00F5001D"/>
    <w:rsid w:val="00F50924"/>
    <w:rsid w:val="00F50955"/>
    <w:rsid w:val="00F50F63"/>
    <w:rsid w:val="00F510DB"/>
    <w:rsid w:val="00F513EA"/>
    <w:rsid w:val="00F5160D"/>
    <w:rsid w:val="00F5175F"/>
    <w:rsid w:val="00F51ABF"/>
    <w:rsid w:val="00F51FF2"/>
    <w:rsid w:val="00F523B4"/>
    <w:rsid w:val="00F525AE"/>
    <w:rsid w:val="00F52967"/>
    <w:rsid w:val="00F52978"/>
    <w:rsid w:val="00F52E94"/>
    <w:rsid w:val="00F5304D"/>
    <w:rsid w:val="00F530B4"/>
    <w:rsid w:val="00F53263"/>
    <w:rsid w:val="00F53905"/>
    <w:rsid w:val="00F542F9"/>
    <w:rsid w:val="00F543FE"/>
    <w:rsid w:val="00F54446"/>
    <w:rsid w:val="00F55277"/>
    <w:rsid w:val="00F5530D"/>
    <w:rsid w:val="00F5557E"/>
    <w:rsid w:val="00F556AE"/>
    <w:rsid w:val="00F559EC"/>
    <w:rsid w:val="00F55BEF"/>
    <w:rsid w:val="00F55E52"/>
    <w:rsid w:val="00F55E66"/>
    <w:rsid w:val="00F55FEA"/>
    <w:rsid w:val="00F56670"/>
    <w:rsid w:val="00F56E62"/>
    <w:rsid w:val="00F5724D"/>
    <w:rsid w:val="00F5761D"/>
    <w:rsid w:val="00F57C70"/>
    <w:rsid w:val="00F6052D"/>
    <w:rsid w:val="00F60838"/>
    <w:rsid w:val="00F60C5F"/>
    <w:rsid w:val="00F60CA6"/>
    <w:rsid w:val="00F6138E"/>
    <w:rsid w:val="00F61393"/>
    <w:rsid w:val="00F62388"/>
    <w:rsid w:val="00F6285B"/>
    <w:rsid w:val="00F6297F"/>
    <w:rsid w:val="00F62B40"/>
    <w:rsid w:val="00F62E9A"/>
    <w:rsid w:val="00F62F5B"/>
    <w:rsid w:val="00F63008"/>
    <w:rsid w:val="00F6327D"/>
    <w:rsid w:val="00F63827"/>
    <w:rsid w:val="00F63AD0"/>
    <w:rsid w:val="00F63B9B"/>
    <w:rsid w:val="00F63BB8"/>
    <w:rsid w:val="00F63D3D"/>
    <w:rsid w:val="00F64B1B"/>
    <w:rsid w:val="00F64E4F"/>
    <w:rsid w:val="00F65352"/>
    <w:rsid w:val="00F653A6"/>
    <w:rsid w:val="00F65493"/>
    <w:rsid w:val="00F6558F"/>
    <w:rsid w:val="00F6561D"/>
    <w:rsid w:val="00F65B10"/>
    <w:rsid w:val="00F65CF5"/>
    <w:rsid w:val="00F65D1F"/>
    <w:rsid w:val="00F65ED0"/>
    <w:rsid w:val="00F65FBC"/>
    <w:rsid w:val="00F660E8"/>
    <w:rsid w:val="00F6617F"/>
    <w:rsid w:val="00F661EE"/>
    <w:rsid w:val="00F664BA"/>
    <w:rsid w:val="00F66810"/>
    <w:rsid w:val="00F669CF"/>
    <w:rsid w:val="00F6706E"/>
    <w:rsid w:val="00F67668"/>
    <w:rsid w:val="00F6769F"/>
    <w:rsid w:val="00F67953"/>
    <w:rsid w:val="00F67BEF"/>
    <w:rsid w:val="00F67C05"/>
    <w:rsid w:val="00F6BF88"/>
    <w:rsid w:val="00F70058"/>
    <w:rsid w:val="00F702E5"/>
    <w:rsid w:val="00F703D0"/>
    <w:rsid w:val="00F70504"/>
    <w:rsid w:val="00F706DC"/>
    <w:rsid w:val="00F70750"/>
    <w:rsid w:val="00F70808"/>
    <w:rsid w:val="00F708DE"/>
    <w:rsid w:val="00F70C27"/>
    <w:rsid w:val="00F7103E"/>
    <w:rsid w:val="00F71341"/>
    <w:rsid w:val="00F713D5"/>
    <w:rsid w:val="00F71498"/>
    <w:rsid w:val="00F71630"/>
    <w:rsid w:val="00F71BA5"/>
    <w:rsid w:val="00F71DB1"/>
    <w:rsid w:val="00F720FC"/>
    <w:rsid w:val="00F724F6"/>
    <w:rsid w:val="00F72716"/>
    <w:rsid w:val="00F7282E"/>
    <w:rsid w:val="00F72842"/>
    <w:rsid w:val="00F72E49"/>
    <w:rsid w:val="00F7350F"/>
    <w:rsid w:val="00F7385D"/>
    <w:rsid w:val="00F73D5E"/>
    <w:rsid w:val="00F73E40"/>
    <w:rsid w:val="00F73FA5"/>
    <w:rsid w:val="00F74348"/>
    <w:rsid w:val="00F74647"/>
    <w:rsid w:val="00F746AD"/>
    <w:rsid w:val="00F74863"/>
    <w:rsid w:val="00F74906"/>
    <w:rsid w:val="00F74CC2"/>
    <w:rsid w:val="00F74E5B"/>
    <w:rsid w:val="00F74EA7"/>
    <w:rsid w:val="00F75031"/>
    <w:rsid w:val="00F750EF"/>
    <w:rsid w:val="00F75243"/>
    <w:rsid w:val="00F755A9"/>
    <w:rsid w:val="00F758A6"/>
    <w:rsid w:val="00F75C89"/>
    <w:rsid w:val="00F75CE3"/>
    <w:rsid w:val="00F75EFA"/>
    <w:rsid w:val="00F7677A"/>
    <w:rsid w:val="00F76A5B"/>
    <w:rsid w:val="00F76E48"/>
    <w:rsid w:val="00F774AF"/>
    <w:rsid w:val="00F7763C"/>
    <w:rsid w:val="00F7784B"/>
    <w:rsid w:val="00F77E21"/>
    <w:rsid w:val="00F77F4C"/>
    <w:rsid w:val="00F80331"/>
    <w:rsid w:val="00F80897"/>
    <w:rsid w:val="00F80969"/>
    <w:rsid w:val="00F80C82"/>
    <w:rsid w:val="00F80E4A"/>
    <w:rsid w:val="00F8130B"/>
    <w:rsid w:val="00F81379"/>
    <w:rsid w:val="00F81418"/>
    <w:rsid w:val="00F814D0"/>
    <w:rsid w:val="00F8159A"/>
    <w:rsid w:val="00F81732"/>
    <w:rsid w:val="00F81AE7"/>
    <w:rsid w:val="00F822A2"/>
    <w:rsid w:val="00F823AA"/>
    <w:rsid w:val="00F823B5"/>
    <w:rsid w:val="00F826CA"/>
    <w:rsid w:val="00F826CD"/>
    <w:rsid w:val="00F828A5"/>
    <w:rsid w:val="00F828F1"/>
    <w:rsid w:val="00F83015"/>
    <w:rsid w:val="00F83079"/>
    <w:rsid w:val="00F8332E"/>
    <w:rsid w:val="00F837AD"/>
    <w:rsid w:val="00F83B9C"/>
    <w:rsid w:val="00F83D3C"/>
    <w:rsid w:val="00F83DF4"/>
    <w:rsid w:val="00F846B2"/>
    <w:rsid w:val="00F846B4"/>
    <w:rsid w:val="00F847AC"/>
    <w:rsid w:val="00F84884"/>
    <w:rsid w:val="00F848DA"/>
    <w:rsid w:val="00F84B31"/>
    <w:rsid w:val="00F84CA9"/>
    <w:rsid w:val="00F84F6D"/>
    <w:rsid w:val="00F8502B"/>
    <w:rsid w:val="00F85063"/>
    <w:rsid w:val="00F8546C"/>
    <w:rsid w:val="00F8553F"/>
    <w:rsid w:val="00F85621"/>
    <w:rsid w:val="00F85C85"/>
    <w:rsid w:val="00F85E7F"/>
    <w:rsid w:val="00F86195"/>
    <w:rsid w:val="00F862E5"/>
    <w:rsid w:val="00F8647E"/>
    <w:rsid w:val="00F86E24"/>
    <w:rsid w:val="00F8727C"/>
    <w:rsid w:val="00F87C75"/>
    <w:rsid w:val="00F909F4"/>
    <w:rsid w:val="00F916A9"/>
    <w:rsid w:val="00F916ED"/>
    <w:rsid w:val="00F9178F"/>
    <w:rsid w:val="00F917E3"/>
    <w:rsid w:val="00F91BA9"/>
    <w:rsid w:val="00F92544"/>
    <w:rsid w:val="00F9263E"/>
    <w:rsid w:val="00F9264D"/>
    <w:rsid w:val="00F926BA"/>
    <w:rsid w:val="00F92890"/>
    <w:rsid w:val="00F92D1F"/>
    <w:rsid w:val="00F936F8"/>
    <w:rsid w:val="00F93AA4"/>
    <w:rsid w:val="00F93C0B"/>
    <w:rsid w:val="00F9427B"/>
    <w:rsid w:val="00F94484"/>
    <w:rsid w:val="00F944E0"/>
    <w:rsid w:val="00F94669"/>
    <w:rsid w:val="00F946AF"/>
    <w:rsid w:val="00F95370"/>
    <w:rsid w:val="00F953B7"/>
    <w:rsid w:val="00F9557C"/>
    <w:rsid w:val="00F9566A"/>
    <w:rsid w:val="00F9582E"/>
    <w:rsid w:val="00F95A13"/>
    <w:rsid w:val="00F95B03"/>
    <w:rsid w:val="00F95CE4"/>
    <w:rsid w:val="00F95ED2"/>
    <w:rsid w:val="00F9626E"/>
    <w:rsid w:val="00F96515"/>
    <w:rsid w:val="00F96D11"/>
    <w:rsid w:val="00F96EF1"/>
    <w:rsid w:val="00F977DB"/>
    <w:rsid w:val="00F97997"/>
    <w:rsid w:val="00F97A7E"/>
    <w:rsid w:val="00F97AFB"/>
    <w:rsid w:val="00F97E0C"/>
    <w:rsid w:val="00F97FCC"/>
    <w:rsid w:val="00FA0443"/>
    <w:rsid w:val="00FA05B6"/>
    <w:rsid w:val="00FA0BBE"/>
    <w:rsid w:val="00FA0F7D"/>
    <w:rsid w:val="00FA15AF"/>
    <w:rsid w:val="00FA1871"/>
    <w:rsid w:val="00FA1DCA"/>
    <w:rsid w:val="00FA2232"/>
    <w:rsid w:val="00FA2293"/>
    <w:rsid w:val="00FA29D9"/>
    <w:rsid w:val="00FA2A38"/>
    <w:rsid w:val="00FA2F55"/>
    <w:rsid w:val="00FA2F81"/>
    <w:rsid w:val="00FA3168"/>
    <w:rsid w:val="00FA36D2"/>
    <w:rsid w:val="00FA3A1B"/>
    <w:rsid w:val="00FA3C44"/>
    <w:rsid w:val="00FA3E66"/>
    <w:rsid w:val="00FA3E8A"/>
    <w:rsid w:val="00FA3E92"/>
    <w:rsid w:val="00FA46C4"/>
    <w:rsid w:val="00FA485B"/>
    <w:rsid w:val="00FA4BF2"/>
    <w:rsid w:val="00FA513F"/>
    <w:rsid w:val="00FA5609"/>
    <w:rsid w:val="00FA5A13"/>
    <w:rsid w:val="00FA5EB8"/>
    <w:rsid w:val="00FA6627"/>
    <w:rsid w:val="00FA664F"/>
    <w:rsid w:val="00FA66D0"/>
    <w:rsid w:val="00FA6D59"/>
    <w:rsid w:val="00FA6D5E"/>
    <w:rsid w:val="00FA6DF7"/>
    <w:rsid w:val="00FA71DC"/>
    <w:rsid w:val="00FA746C"/>
    <w:rsid w:val="00FA7991"/>
    <w:rsid w:val="00FA7C31"/>
    <w:rsid w:val="00FA7D04"/>
    <w:rsid w:val="00FA7DA3"/>
    <w:rsid w:val="00FA7E89"/>
    <w:rsid w:val="00FA7F09"/>
    <w:rsid w:val="00FA7F52"/>
    <w:rsid w:val="00FB0257"/>
    <w:rsid w:val="00FB0393"/>
    <w:rsid w:val="00FB07DB"/>
    <w:rsid w:val="00FB153A"/>
    <w:rsid w:val="00FB1C23"/>
    <w:rsid w:val="00FB1DA7"/>
    <w:rsid w:val="00FB1E2A"/>
    <w:rsid w:val="00FB1F66"/>
    <w:rsid w:val="00FB2193"/>
    <w:rsid w:val="00FB2308"/>
    <w:rsid w:val="00FB2313"/>
    <w:rsid w:val="00FB24C4"/>
    <w:rsid w:val="00FB27EA"/>
    <w:rsid w:val="00FB2A90"/>
    <w:rsid w:val="00FB2DAA"/>
    <w:rsid w:val="00FB2DEE"/>
    <w:rsid w:val="00FB31EC"/>
    <w:rsid w:val="00FB3387"/>
    <w:rsid w:val="00FB33E9"/>
    <w:rsid w:val="00FB347A"/>
    <w:rsid w:val="00FB36BE"/>
    <w:rsid w:val="00FB3780"/>
    <w:rsid w:val="00FB3D6A"/>
    <w:rsid w:val="00FB4844"/>
    <w:rsid w:val="00FB4943"/>
    <w:rsid w:val="00FB49C7"/>
    <w:rsid w:val="00FB4F9A"/>
    <w:rsid w:val="00FB5883"/>
    <w:rsid w:val="00FB5A10"/>
    <w:rsid w:val="00FB5AA4"/>
    <w:rsid w:val="00FB5F0B"/>
    <w:rsid w:val="00FB5FAF"/>
    <w:rsid w:val="00FB6150"/>
    <w:rsid w:val="00FB6321"/>
    <w:rsid w:val="00FB6398"/>
    <w:rsid w:val="00FB66E8"/>
    <w:rsid w:val="00FB7238"/>
    <w:rsid w:val="00FB7273"/>
    <w:rsid w:val="00FB73C0"/>
    <w:rsid w:val="00FB771E"/>
    <w:rsid w:val="00FB78F9"/>
    <w:rsid w:val="00FC0158"/>
    <w:rsid w:val="00FC01F1"/>
    <w:rsid w:val="00FC056E"/>
    <w:rsid w:val="00FC07D3"/>
    <w:rsid w:val="00FC0832"/>
    <w:rsid w:val="00FC0B43"/>
    <w:rsid w:val="00FC130A"/>
    <w:rsid w:val="00FC170B"/>
    <w:rsid w:val="00FC1711"/>
    <w:rsid w:val="00FC175F"/>
    <w:rsid w:val="00FC1795"/>
    <w:rsid w:val="00FC17EC"/>
    <w:rsid w:val="00FC198A"/>
    <w:rsid w:val="00FC1FE8"/>
    <w:rsid w:val="00FC2631"/>
    <w:rsid w:val="00FC291F"/>
    <w:rsid w:val="00FC2D0C"/>
    <w:rsid w:val="00FC2F1F"/>
    <w:rsid w:val="00FC2F97"/>
    <w:rsid w:val="00FC2F9C"/>
    <w:rsid w:val="00FC3064"/>
    <w:rsid w:val="00FC31AB"/>
    <w:rsid w:val="00FC361D"/>
    <w:rsid w:val="00FC3713"/>
    <w:rsid w:val="00FC386F"/>
    <w:rsid w:val="00FC38CC"/>
    <w:rsid w:val="00FC3B0A"/>
    <w:rsid w:val="00FC3C8D"/>
    <w:rsid w:val="00FC3E55"/>
    <w:rsid w:val="00FC42BA"/>
    <w:rsid w:val="00FC4442"/>
    <w:rsid w:val="00FC4D72"/>
    <w:rsid w:val="00FC522A"/>
    <w:rsid w:val="00FC5D67"/>
    <w:rsid w:val="00FC5E11"/>
    <w:rsid w:val="00FC6183"/>
    <w:rsid w:val="00FC62B2"/>
    <w:rsid w:val="00FC667E"/>
    <w:rsid w:val="00FC675A"/>
    <w:rsid w:val="00FC67FD"/>
    <w:rsid w:val="00FC6C36"/>
    <w:rsid w:val="00FC6EE4"/>
    <w:rsid w:val="00FC6FCB"/>
    <w:rsid w:val="00FC74C4"/>
    <w:rsid w:val="00FC79D8"/>
    <w:rsid w:val="00FC7BB6"/>
    <w:rsid w:val="00FD0132"/>
    <w:rsid w:val="00FD0255"/>
    <w:rsid w:val="00FD0968"/>
    <w:rsid w:val="00FD0B74"/>
    <w:rsid w:val="00FD0ED4"/>
    <w:rsid w:val="00FD12F4"/>
    <w:rsid w:val="00FD161A"/>
    <w:rsid w:val="00FD1AF2"/>
    <w:rsid w:val="00FD1D08"/>
    <w:rsid w:val="00FD1DED"/>
    <w:rsid w:val="00FD1FCF"/>
    <w:rsid w:val="00FD20B5"/>
    <w:rsid w:val="00FD22C5"/>
    <w:rsid w:val="00FD22F6"/>
    <w:rsid w:val="00FD2510"/>
    <w:rsid w:val="00FD257E"/>
    <w:rsid w:val="00FD26D7"/>
    <w:rsid w:val="00FD27B3"/>
    <w:rsid w:val="00FD2D3A"/>
    <w:rsid w:val="00FD2F62"/>
    <w:rsid w:val="00FD3035"/>
    <w:rsid w:val="00FD321B"/>
    <w:rsid w:val="00FD3492"/>
    <w:rsid w:val="00FD3639"/>
    <w:rsid w:val="00FD3765"/>
    <w:rsid w:val="00FD37CB"/>
    <w:rsid w:val="00FD37E6"/>
    <w:rsid w:val="00FD3944"/>
    <w:rsid w:val="00FD3B90"/>
    <w:rsid w:val="00FD3D39"/>
    <w:rsid w:val="00FD3DF9"/>
    <w:rsid w:val="00FD409F"/>
    <w:rsid w:val="00FD414C"/>
    <w:rsid w:val="00FD4C65"/>
    <w:rsid w:val="00FD4DA5"/>
    <w:rsid w:val="00FD4E33"/>
    <w:rsid w:val="00FD5066"/>
    <w:rsid w:val="00FD51D5"/>
    <w:rsid w:val="00FD5411"/>
    <w:rsid w:val="00FD54FF"/>
    <w:rsid w:val="00FD6188"/>
    <w:rsid w:val="00FD6469"/>
    <w:rsid w:val="00FD6609"/>
    <w:rsid w:val="00FD6837"/>
    <w:rsid w:val="00FD6983"/>
    <w:rsid w:val="00FD6D14"/>
    <w:rsid w:val="00FD6E61"/>
    <w:rsid w:val="00FD70D3"/>
    <w:rsid w:val="00FD73F5"/>
    <w:rsid w:val="00FD74CC"/>
    <w:rsid w:val="00FD7507"/>
    <w:rsid w:val="00FD7A79"/>
    <w:rsid w:val="00FD7DD7"/>
    <w:rsid w:val="00FD7EA1"/>
    <w:rsid w:val="00FE030E"/>
    <w:rsid w:val="00FE03BB"/>
    <w:rsid w:val="00FE0A3D"/>
    <w:rsid w:val="00FE0D19"/>
    <w:rsid w:val="00FE0EE1"/>
    <w:rsid w:val="00FE1169"/>
    <w:rsid w:val="00FE1191"/>
    <w:rsid w:val="00FE13E9"/>
    <w:rsid w:val="00FE1582"/>
    <w:rsid w:val="00FE1611"/>
    <w:rsid w:val="00FE1B7C"/>
    <w:rsid w:val="00FE1B91"/>
    <w:rsid w:val="00FE20D6"/>
    <w:rsid w:val="00FE20E5"/>
    <w:rsid w:val="00FE22F0"/>
    <w:rsid w:val="00FE2409"/>
    <w:rsid w:val="00FE261B"/>
    <w:rsid w:val="00FE2CD1"/>
    <w:rsid w:val="00FE4352"/>
    <w:rsid w:val="00FE43CA"/>
    <w:rsid w:val="00FE481E"/>
    <w:rsid w:val="00FE499C"/>
    <w:rsid w:val="00FE5007"/>
    <w:rsid w:val="00FE509E"/>
    <w:rsid w:val="00FE53EF"/>
    <w:rsid w:val="00FE5435"/>
    <w:rsid w:val="00FE5678"/>
    <w:rsid w:val="00FE5841"/>
    <w:rsid w:val="00FE58E0"/>
    <w:rsid w:val="00FE5958"/>
    <w:rsid w:val="00FE6195"/>
    <w:rsid w:val="00FE61ED"/>
    <w:rsid w:val="00FE6DE1"/>
    <w:rsid w:val="00FE72D6"/>
    <w:rsid w:val="00FE79A1"/>
    <w:rsid w:val="00FE7B74"/>
    <w:rsid w:val="00FE7EDE"/>
    <w:rsid w:val="00FF0167"/>
    <w:rsid w:val="00FF01BB"/>
    <w:rsid w:val="00FF027C"/>
    <w:rsid w:val="00FF033C"/>
    <w:rsid w:val="00FF03C0"/>
    <w:rsid w:val="00FF05F0"/>
    <w:rsid w:val="00FF09BB"/>
    <w:rsid w:val="00FF0A59"/>
    <w:rsid w:val="00FF0A9E"/>
    <w:rsid w:val="00FF0D1D"/>
    <w:rsid w:val="00FF0E52"/>
    <w:rsid w:val="00FF0F2D"/>
    <w:rsid w:val="00FF10FA"/>
    <w:rsid w:val="00FF15F2"/>
    <w:rsid w:val="00FF18D2"/>
    <w:rsid w:val="00FF1CBA"/>
    <w:rsid w:val="00FF1D60"/>
    <w:rsid w:val="00FF20CC"/>
    <w:rsid w:val="00FF22D8"/>
    <w:rsid w:val="00FF28AD"/>
    <w:rsid w:val="00FF28EE"/>
    <w:rsid w:val="00FF2988"/>
    <w:rsid w:val="00FF2FA5"/>
    <w:rsid w:val="00FF32A5"/>
    <w:rsid w:val="00FF3819"/>
    <w:rsid w:val="00FF3CB8"/>
    <w:rsid w:val="00FF3E29"/>
    <w:rsid w:val="00FF3FFB"/>
    <w:rsid w:val="00FF4280"/>
    <w:rsid w:val="00FF458D"/>
    <w:rsid w:val="00FF4612"/>
    <w:rsid w:val="00FF4B42"/>
    <w:rsid w:val="00FF4F34"/>
    <w:rsid w:val="00FF5173"/>
    <w:rsid w:val="00FF54FF"/>
    <w:rsid w:val="00FF5D30"/>
    <w:rsid w:val="00FF5E3B"/>
    <w:rsid w:val="00FF6033"/>
    <w:rsid w:val="00FF648F"/>
    <w:rsid w:val="00FF64D6"/>
    <w:rsid w:val="00FF6AA0"/>
    <w:rsid w:val="00FF6DBD"/>
    <w:rsid w:val="00FF7183"/>
    <w:rsid w:val="00FF71AA"/>
    <w:rsid w:val="00FF7200"/>
    <w:rsid w:val="00FF729C"/>
    <w:rsid w:val="00FF740F"/>
    <w:rsid w:val="00FF7ABF"/>
    <w:rsid w:val="00FF7CB1"/>
    <w:rsid w:val="00FF7E67"/>
    <w:rsid w:val="01741B37"/>
    <w:rsid w:val="01BCEAD8"/>
    <w:rsid w:val="031EB9BF"/>
    <w:rsid w:val="03217513"/>
    <w:rsid w:val="0370195C"/>
    <w:rsid w:val="0426117E"/>
    <w:rsid w:val="053B5550"/>
    <w:rsid w:val="05850B8E"/>
    <w:rsid w:val="087C7C38"/>
    <w:rsid w:val="0AA854BC"/>
    <w:rsid w:val="0B0EF84C"/>
    <w:rsid w:val="0B5DE8FB"/>
    <w:rsid w:val="0D16B6DC"/>
    <w:rsid w:val="0D1E764D"/>
    <w:rsid w:val="0DA070C1"/>
    <w:rsid w:val="0DF83DC1"/>
    <w:rsid w:val="0F551039"/>
    <w:rsid w:val="0F86D90B"/>
    <w:rsid w:val="1265D3D4"/>
    <w:rsid w:val="135B62C4"/>
    <w:rsid w:val="1444EDFF"/>
    <w:rsid w:val="163D7BB2"/>
    <w:rsid w:val="16971DED"/>
    <w:rsid w:val="17245F92"/>
    <w:rsid w:val="17EB2408"/>
    <w:rsid w:val="17ECEA70"/>
    <w:rsid w:val="18A3B978"/>
    <w:rsid w:val="18FE21AE"/>
    <w:rsid w:val="190ED9BC"/>
    <w:rsid w:val="1CC05B93"/>
    <w:rsid w:val="1D9B870D"/>
    <w:rsid w:val="1ED496D4"/>
    <w:rsid w:val="202E2B7D"/>
    <w:rsid w:val="209913B5"/>
    <w:rsid w:val="20AAAC94"/>
    <w:rsid w:val="227DED86"/>
    <w:rsid w:val="229AAA8E"/>
    <w:rsid w:val="24157411"/>
    <w:rsid w:val="249DD735"/>
    <w:rsid w:val="25EB0535"/>
    <w:rsid w:val="26043EEC"/>
    <w:rsid w:val="276F9BDA"/>
    <w:rsid w:val="27CA05DA"/>
    <w:rsid w:val="27DE13D7"/>
    <w:rsid w:val="2A3BA57F"/>
    <w:rsid w:val="2AC00B36"/>
    <w:rsid w:val="2B303B85"/>
    <w:rsid w:val="2B4CFF01"/>
    <w:rsid w:val="2BC7F9E3"/>
    <w:rsid w:val="2C2F5168"/>
    <w:rsid w:val="2CDB424C"/>
    <w:rsid w:val="2E234135"/>
    <w:rsid w:val="30B5AA68"/>
    <w:rsid w:val="30C664CF"/>
    <w:rsid w:val="31CFBC52"/>
    <w:rsid w:val="31DE44B0"/>
    <w:rsid w:val="33E73462"/>
    <w:rsid w:val="38107912"/>
    <w:rsid w:val="38479ED3"/>
    <w:rsid w:val="384DFB0B"/>
    <w:rsid w:val="38BE887E"/>
    <w:rsid w:val="3A679F94"/>
    <w:rsid w:val="3B18FACD"/>
    <w:rsid w:val="3B33E617"/>
    <w:rsid w:val="3C2E989B"/>
    <w:rsid w:val="3CD5BF5E"/>
    <w:rsid w:val="3CD910E5"/>
    <w:rsid w:val="3D899CDC"/>
    <w:rsid w:val="3E282A28"/>
    <w:rsid w:val="3E7195C4"/>
    <w:rsid w:val="3FF32F22"/>
    <w:rsid w:val="416E4ABB"/>
    <w:rsid w:val="4227C0CE"/>
    <w:rsid w:val="433C34DA"/>
    <w:rsid w:val="4398D52B"/>
    <w:rsid w:val="43B4EE02"/>
    <w:rsid w:val="43CF1991"/>
    <w:rsid w:val="446E68C0"/>
    <w:rsid w:val="45734A62"/>
    <w:rsid w:val="45E45F5A"/>
    <w:rsid w:val="463EEACF"/>
    <w:rsid w:val="46C70993"/>
    <w:rsid w:val="46C8E81D"/>
    <w:rsid w:val="495E57AE"/>
    <w:rsid w:val="4A249A7E"/>
    <w:rsid w:val="4A7196D6"/>
    <w:rsid w:val="4B291B7F"/>
    <w:rsid w:val="4B43A705"/>
    <w:rsid w:val="4C09951B"/>
    <w:rsid w:val="4C8B639D"/>
    <w:rsid w:val="4D4C9291"/>
    <w:rsid w:val="4E9F6C33"/>
    <w:rsid w:val="4ECE59CF"/>
    <w:rsid w:val="5173F236"/>
    <w:rsid w:val="519B2AED"/>
    <w:rsid w:val="51EFFD29"/>
    <w:rsid w:val="5207109F"/>
    <w:rsid w:val="52D0C0AE"/>
    <w:rsid w:val="53008A76"/>
    <w:rsid w:val="535D8538"/>
    <w:rsid w:val="53A2E100"/>
    <w:rsid w:val="54526BE4"/>
    <w:rsid w:val="55EE3C45"/>
    <w:rsid w:val="567E7A39"/>
    <w:rsid w:val="578A0CA6"/>
    <w:rsid w:val="57B06328"/>
    <w:rsid w:val="58FC38D6"/>
    <w:rsid w:val="5970C719"/>
    <w:rsid w:val="5B77AB77"/>
    <w:rsid w:val="5CABC102"/>
    <w:rsid w:val="5CDC2602"/>
    <w:rsid w:val="5E5E5DAF"/>
    <w:rsid w:val="5E948B6E"/>
    <w:rsid w:val="5F8E2A9D"/>
    <w:rsid w:val="610E0096"/>
    <w:rsid w:val="61F2B496"/>
    <w:rsid w:val="62C6DA2A"/>
    <w:rsid w:val="65F84F12"/>
    <w:rsid w:val="6707A064"/>
    <w:rsid w:val="6740B06F"/>
    <w:rsid w:val="675EB2F7"/>
    <w:rsid w:val="683D2A3E"/>
    <w:rsid w:val="6846EBE6"/>
    <w:rsid w:val="6BBAE939"/>
    <w:rsid w:val="6BD4D46E"/>
    <w:rsid w:val="6D373879"/>
    <w:rsid w:val="6D42EC2D"/>
    <w:rsid w:val="6D5C4FA8"/>
    <w:rsid w:val="6D6ABC97"/>
    <w:rsid w:val="6E3A81A6"/>
    <w:rsid w:val="7037D603"/>
    <w:rsid w:val="707757A5"/>
    <w:rsid w:val="708CFE21"/>
    <w:rsid w:val="70A85789"/>
    <w:rsid w:val="71F2F4AD"/>
    <w:rsid w:val="72217F9D"/>
    <w:rsid w:val="7360A9FD"/>
    <w:rsid w:val="7471B391"/>
    <w:rsid w:val="75FAC3BC"/>
    <w:rsid w:val="760F4C1D"/>
    <w:rsid w:val="76A83493"/>
    <w:rsid w:val="78574F35"/>
    <w:rsid w:val="7945D489"/>
    <w:rsid w:val="796DAE13"/>
    <w:rsid w:val="7AB1C14D"/>
    <w:rsid w:val="7AEC34BE"/>
    <w:rsid w:val="7AFE1F6D"/>
    <w:rsid w:val="7DD0C048"/>
    <w:rsid w:val="7E4E69F2"/>
    <w:rsid w:val="7ECA58F6"/>
    <w:rsid w:val="7F081D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15:docId w15:val="{49637E23-79C1-4259-A1BD-3E15F572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854"/>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D846C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A5D4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672A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765E5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4"/>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character" w:customStyle="1" w:styleId="Heading4Char">
    <w:name w:val="Heading 4 Char"/>
    <w:basedOn w:val="DefaultParagraphFont"/>
    <w:link w:val="Heading4"/>
    <w:uiPriority w:val="9"/>
    <w:rsid w:val="00D846C3"/>
    <w:rPr>
      <w:rFonts w:asciiTheme="majorHAnsi" w:eastAsiaTheme="majorEastAsia" w:hAnsiTheme="majorHAnsi" w:cstheme="majorBidi"/>
      <w:i/>
      <w:iCs/>
      <w:color w:val="2E74B5" w:themeColor="accent1" w:themeShade="BF"/>
    </w:rPr>
  </w:style>
  <w:style w:type="paragraph" w:customStyle="1" w:styleId="Default">
    <w:name w:val="Default"/>
    <w:rsid w:val="00BE2A40"/>
    <w:pPr>
      <w:autoSpaceDE w:val="0"/>
      <w:autoSpaceDN w:val="0"/>
      <w:adjustRightInd w:val="0"/>
      <w:spacing w:after="0" w:line="240" w:lineRule="auto"/>
    </w:pPr>
    <w:rPr>
      <w:rFonts w:ascii="Franklin Gothic Medium" w:hAnsi="Franklin Gothic Medium" w:cs="Franklin Gothic Medium"/>
      <w:color w:val="000000"/>
      <w:sz w:val="24"/>
      <w:szCs w:val="24"/>
    </w:rPr>
  </w:style>
  <w:style w:type="character" w:customStyle="1" w:styleId="cf01">
    <w:name w:val="cf01"/>
    <w:basedOn w:val="DefaultParagraphFont"/>
    <w:rsid w:val="002666B5"/>
    <w:rPr>
      <w:rFonts w:ascii="Segoe UI" w:hAnsi="Segoe UI" w:cs="Segoe UI" w:hint="default"/>
      <w:sz w:val="18"/>
      <w:szCs w:val="18"/>
    </w:rPr>
  </w:style>
  <w:style w:type="character" w:customStyle="1" w:styleId="Heading5Char">
    <w:name w:val="Heading 5 Char"/>
    <w:basedOn w:val="DefaultParagraphFont"/>
    <w:link w:val="Heading5"/>
    <w:uiPriority w:val="9"/>
    <w:rsid w:val="002A5D4B"/>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semiHidden/>
    <w:unhideWhenUsed/>
    <w:rsid w:val="006311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1D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311D4"/>
    <w:rPr>
      <w:vertAlign w:val="superscript"/>
    </w:rPr>
  </w:style>
  <w:style w:type="character" w:customStyle="1" w:styleId="Heading6Char">
    <w:name w:val="Heading 6 Char"/>
    <w:basedOn w:val="DefaultParagraphFont"/>
    <w:link w:val="Heading6"/>
    <w:uiPriority w:val="9"/>
    <w:rsid w:val="002672A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765E58"/>
    <w:rPr>
      <w:rFonts w:asciiTheme="majorHAnsi" w:eastAsiaTheme="majorEastAsia" w:hAnsiTheme="majorHAnsi" w:cstheme="majorBidi"/>
      <w:i/>
      <w:iCs/>
      <w:color w:val="1F4D78" w:themeColor="accent1" w:themeShade="7F"/>
    </w:rPr>
  </w:style>
  <w:style w:type="character" w:customStyle="1" w:styleId="ui-provider">
    <w:name w:val="ui-provider"/>
    <w:basedOn w:val="DefaultParagraphFont"/>
    <w:rsid w:val="00BC4CE4"/>
  </w:style>
  <w:style w:type="character" w:styleId="Mention">
    <w:name w:val="Mention"/>
    <w:basedOn w:val="DefaultParagraphFont"/>
    <w:uiPriority w:val="99"/>
    <w:unhideWhenUsed/>
    <w:rsid w:val="00BC099A"/>
    <w:rPr>
      <w:color w:val="2B579A"/>
      <w:shd w:val="clear" w:color="auto" w:fill="E1DFDD"/>
    </w:rPr>
  </w:style>
  <w:style w:type="table" w:customStyle="1" w:styleId="HealthConsult1">
    <w:name w:val="HealthConsult1"/>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2">
    <w:name w:val="HealthConsult2"/>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3">
    <w:name w:val="HealthConsult3"/>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4">
    <w:name w:val="HealthConsult4"/>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5">
    <w:name w:val="HealthConsult5"/>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6">
    <w:name w:val="HealthConsult6"/>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7">
    <w:name w:val="HealthConsult7"/>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8">
    <w:name w:val="HealthConsult8"/>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althConsult9">
    <w:name w:val="HealthConsult9"/>
    <w:basedOn w:val="TableNormal"/>
    <w:next w:val="TableGrid"/>
    <w:uiPriority w:val="59"/>
    <w:rsid w:val="00FD161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0202"/>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587">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4387419">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40264287">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26057042">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esraeurope.org/prospect/procedures/thoracotomy-2015/summary-recommendations-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anzca.edu.au/getattachment/fc82bdc3-ea8b-43c9-b6c5-aa857fc81e23/PS04BP-Statement-on-the-post-anaesthesia-care-unit-Background-Paper" TargetMode="External"/><Relationship Id="rId2" Type="http://schemas.openxmlformats.org/officeDocument/2006/relationships/customXml" Target="../customXml/item2.xml"/><Relationship Id="rId16" Type="http://schemas.openxmlformats.org/officeDocument/2006/relationships/hyperlink" Target="https://www.anzca.edu.au/safety-advocacy/standards-of-practice/policies,-statements,-and-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ihw.gov.au/getmedia/10434b6f-2147-46ab-b654-a90f05592d35/aihw-phe-267.pdf.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health.gov.au/resources/collections/mbs-review-final-taskforce-reports-findings-and-recommendations" TargetMode="External"/><Relationship Id="rId1" Type="http://schemas.openxmlformats.org/officeDocument/2006/relationships/hyperlink" Target="https://www.tga.gov.au/resources/resource/guidance/prescription-opioids-information-health-profession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5e1aa5-5b92-4929-97ef-60824d14f5f3" xsi:nil="true"/>
    <lcf76f155ced4ddcb4097134ff3c332f xmlns="cd47dcf1-f89d-49c2-90d9-46f04ef12ba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BFF6C976369842895325377C284B44" ma:contentTypeVersion="13" ma:contentTypeDescription="Create a new document." ma:contentTypeScope="" ma:versionID="cbbbac95a951d74692258083a6003bbf">
  <xsd:schema xmlns:xsd="http://www.w3.org/2001/XMLSchema" xmlns:xs="http://www.w3.org/2001/XMLSchema" xmlns:p="http://schemas.microsoft.com/office/2006/metadata/properties" xmlns:ns2="cd47dcf1-f89d-49c2-90d9-46f04ef12ba3" xmlns:ns3="2b5e1aa5-5b92-4929-97ef-60824d14f5f3" targetNamespace="http://schemas.microsoft.com/office/2006/metadata/properties" ma:root="true" ma:fieldsID="a62bbfbe6c1f5b5136d52ac14945f374" ns2:_="" ns3:_="">
    <xsd:import namespace="cd47dcf1-f89d-49c2-90d9-46f04ef12ba3"/>
    <xsd:import namespace="2b5e1aa5-5b92-4929-97ef-60824d14f5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dcf1-f89d-49c2-90d9-46f04ef12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e00220-b88e-47a4-a740-61b70fa7035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5e1aa5-5b92-4929-97ef-60824d14f5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be6ab2-10f1-4a67-b2ea-bbf265878148}" ma:internalName="TaxCatchAll" ma:readOnly="false" ma:showField="CatchAllData" ma:web="2b5e1aa5-5b92-4929-97ef-60824d14f5f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327AA-85F1-450B-92BB-DC430672D87B}">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2b5e1aa5-5b92-4929-97ef-60824d14f5f3"/>
    <ds:schemaRef ds:uri="cd47dcf1-f89d-49c2-90d9-46f04ef12ba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15B369-59B7-4FA6-A354-512A564D6AB6}">
  <ds:schemaRefs>
    <ds:schemaRef ds:uri="http://schemas.openxmlformats.org/officeDocument/2006/bibliography"/>
  </ds:schemaRefs>
</ds:datastoreItem>
</file>

<file path=customXml/itemProps3.xml><?xml version="1.0" encoding="utf-8"?>
<ds:datastoreItem xmlns:ds="http://schemas.openxmlformats.org/officeDocument/2006/customXml" ds:itemID="{6E354A0D-8051-4D82-B1C9-1CB1CDB5C1E7}">
  <ds:schemaRefs>
    <ds:schemaRef ds:uri="http://schemas.microsoft.com/sharepoint/v3/contenttype/forms"/>
  </ds:schemaRefs>
</ds:datastoreItem>
</file>

<file path=customXml/itemProps4.xml><?xml version="1.0" encoding="utf-8"?>
<ds:datastoreItem xmlns:ds="http://schemas.openxmlformats.org/officeDocument/2006/customXml" ds:itemID="{E2980619-D08B-43A7-897A-4993E7679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dcf1-f89d-49c2-90d9-46f04ef12ba3"/>
    <ds:schemaRef ds:uri="2b5e1aa5-5b92-4929-97ef-60824d14f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13846</Words>
  <Characters>78927</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OAKLEY, Padraig</dc:creator>
  <cp:keywords/>
  <dc:description/>
  <cp:lastModifiedBy>Maynard Gold</cp:lastModifiedBy>
  <cp:revision>6</cp:revision>
  <cp:lastPrinted>2023-06-09T04:18:00Z</cp:lastPrinted>
  <dcterms:created xsi:type="dcterms:W3CDTF">2023-06-09T04:13:00Z</dcterms:created>
  <dcterms:modified xsi:type="dcterms:W3CDTF">2023-06-09T04:20:00Z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0x0101000969C0A25EF93A4A8E0D8C95F288E068</vt:lpwstr>
  </property>
</Properties>
</file>