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42110"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3C3270B2" wp14:editId="761A31EE">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315299E" w14:textId="77777777" w:rsidR="008B2610" w:rsidRPr="006F20CF" w:rsidRDefault="008B2610" w:rsidP="00F971CC">
      <w:pPr>
        <w:pStyle w:val="Title"/>
        <w:spacing w:before="2600"/>
      </w:pPr>
      <w:r w:rsidRPr="001906CD">
        <w:t>Application Form</w:t>
      </w:r>
    </w:p>
    <w:p w14:paraId="6DEA8530"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590466C4"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18E74F70" w14:textId="77777777" w:rsidR="00EB0182" w:rsidRDefault="00EB0182" w:rsidP="003F7CB9">
      <w:pPr>
        <w:rPr>
          <w:rFonts w:ascii="Arial" w:hAnsi="Arial" w:cs="Arial"/>
          <w:b/>
          <w:sz w:val="52"/>
          <w:szCs w:val="52"/>
        </w:rPr>
      </w:pPr>
    </w:p>
    <w:p w14:paraId="7CDF342E" w14:textId="77777777" w:rsidR="00EB0182" w:rsidRDefault="00EB0182" w:rsidP="003F7CB9">
      <w:pPr>
        <w:rPr>
          <w:rFonts w:ascii="Arial" w:hAnsi="Arial" w:cs="Arial"/>
          <w:b/>
          <w:sz w:val="52"/>
          <w:szCs w:val="52"/>
        </w:rPr>
      </w:pPr>
    </w:p>
    <w:p w14:paraId="19E1C744"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 xml:space="preserve">service is </w:t>
      </w:r>
      <w:r w:rsidR="00AF1F84">
        <w:t>P</w:t>
      </w:r>
    </w:p>
    <w:p w14:paraId="05A64D9B"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7FBD4E0"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73227D99"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0D3949D3" w14:textId="77777777" w:rsidR="008B2610" w:rsidRPr="00AF1F84" w:rsidRDefault="009F5758" w:rsidP="003F7CB9">
      <w:pPr>
        <w:spacing w:before="0" w:after="0"/>
        <w:rPr>
          <w:lang w:val="fr-FR"/>
        </w:rPr>
      </w:pPr>
      <w:r w:rsidRPr="00AF1F84">
        <w:rPr>
          <w:lang w:val="fr-FR"/>
        </w:rPr>
        <w:t>Phone: +61 2 6289 7550</w:t>
      </w:r>
    </w:p>
    <w:p w14:paraId="69D1E536" w14:textId="77777777" w:rsidR="009F5758" w:rsidRPr="00AF1F84" w:rsidRDefault="009F5758" w:rsidP="003F7CB9">
      <w:pPr>
        <w:spacing w:before="0" w:after="0"/>
        <w:rPr>
          <w:lang w:val="fr-FR"/>
        </w:rPr>
      </w:pPr>
      <w:r w:rsidRPr="00AF1F84">
        <w:rPr>
          <w:lang w:val="fr-FR"/>
        </w:rPr>
        <w:t>Fax: +61 2 6289 5540</w:t>
      </w:r>
    </w:p>
    <w:p w14:paraId="34534659" w14:textId="77777777" w:rsidR="009F5758" w:rsidRPr="00AF1F84" w:rsidRDefault="009F5758" w:rsidP="003F7CB9">
      <w:pPr>
        <w:spacing w:before="0" w:after="0"/>
        <w:rPr>
          <w:lang w:val="fr-FR"/>
        </w:rPr>
      </w:pPr>
      <w:r w:rsidRPr="00AF1F84">
        <w:rPr>
          <w:lang w:val="fr-FR"/>
        </w:rPr>
        <w:t xml:space="preserve">Email: </w:t>
      </w:r>
      <w:hyperlink r:id="rId10" w:tooltip="click here to email the Department of Health HTA Team" w:history="1">
        <w:r w:rsidRPr="00AF1F84">
          <w:rPr>
            <w:rStyle w:val="Hyperlink"/>
            <w:szCs w:val="20"/>
            <w:lang w:val="fr-FR"/>
          </w:rPr>
          <w:t>hta@health.gov.au</w:t>
        </w:r>
      </w:hyperlink>
    </w:p>
    <w:p w14:paraId="79BE963A"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p>
    <w:p w14:paraId="1F961D5E" w14:textId="77777777" w:rsidR="001D77ED" w:rsidRPr="003F7CB9" w:rsidRDefault="00D73646" w:rsidP="006751A9">
      <w:bookmarkStart w:id="1" w:name="_Toc443555803"/>
      <w:r>
        <w:rPr>
          <w:rStyle w:val="IntenseReference"/>
        </w:rPr>
        <w:br w:type="page"/>
      </w:r>
      <w:bookmarkEnd w:id="1"/>
    </w:p>
    <w:p w14:paraId="5CF16102" w14:textId="77777777" w:rsidR="00E04FB3" w:rsidRPr="00C776B1" w:rsidRDefault="00494011" w:rsidP="00A8732C">
      <w:pPr>
        <w:pStyle w:val="Heading1"/>
      </w:pPr>
      <w:r>
        <w:lastRenderedPageBreak/>
        <w:t>PART 1</w:t>
      </w:r>
      <w:r w:rsidR="00F93784">
        <w:t xml:space="preserve"> – </w:t>
      </w:r>
      <w:r w:rsidR="00E04FB3" w:rsidRPr="00C776B1">
        <w:t>APPLICANT DETAILS</w:t>
      </w:r>
    </w:p>
    <w:p w14:paraId="33237CF8"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37DF781" w14:textId="77777777" w:rsidR="003A658A" w:rsidRDefault="003A658A" w:rsidP="003A658A">
      <w:pPr>
        <w:pBdr>
          <w:top w:val="single" w:sz="4" w:space="1" w:color="auto"/>
          <w:left w:val="single" w:sz="4" w:space="4" w:color="auto"/>
          <w:bottom w:val="single" w:sz="4" w:space="1" w:color="auto"/>
          <w:right w:val="single" w:sz="4" w:space="4" w:color="auto"/>
        </w:pBdr>
      </w:pPr>
      <w:r>
        <w:t>Corporation / partnership details (where relevant):</w:t>
      </w:r>
    </w:p>
    <w:p w14:paraId="428CFFA8" w14:textId="54C2E2C6" w:rsidR="00BE2FA1" w:rsidRDefault="00A21C0F" w:rsidP="003A658A">
      <w:pPr>
        <w:pBdr>
          <w:top w:val="single" w:sz="4" w:space="1" w:color="auto"/>
          <w:left w:val="single" w:sz="4" w:space="4" w:color="auto"/>
          <w:bottom w:val="single" w:sz="4" w:space="1" w:color="auto"/>
          <w:right w:val="single" w:sz="4" w:space="4" w:color="auto"/>
        </w:pBdr>
      </w:pPr>
      <w:r>
        <w:t>Redacted</w:t>
      </w:r>
    </w:p>
    <w:p w14:paraId="3638AA2C" w14:textId="2A19EEF0" w:rsidR="00D45681" w:rsidRDefault="00D45681" w:rsidP="003A658A">
      <w:pPr>
        <w:pBdr>
          <w:top w:val="single" w:sz="4" w:space="1" w:color="auto"/>
          <w:left w:val="single" w:sz="4" w:space="4" w:color="auto"/>
          <w:bottom w:val="single" w:sz="4" w:space="1" w:color="auto"/>
          <w:right w:val="single" w:sz="4" w:space="4" w:color="auto"/>
        </w:pBdr>
      </w:pPr>
      <w:r>
        <w:t xml:space="preserve">Corporation name: </w:t>
      </w:r>
      <w:r w:rsidR="00A21C0F">
        <w:t xml:space="preserve"> Redacted</w:t>
      </w:r>
    </w:p>
    <w:p w14:paraId="36E5212B" w14:textId="1FC2C1F9" w:rsidR="003A658A" w:rsidRDefault="003A658A" w:rsidP="003A658A">
      <w:pPr>
        <w:pBdr>
          <w:top w:val="single" w:sz="4" w:space="1" w:color="auto"/>
          <w:left w:val="single" w:sz="4" w:space="4" w:color="auto"/>
          <w:bottom w:val="single" w:sz="4" w:space="1" w:color="auto"/>
          <w:right w:val="single" w:sz="4" w:space="4" w:color="auto"/>
        </w:pBdr>
      </w:pPr>
      <w:r w:rsidRPr="00E23A22">
        <w:t>ABN:</w:t>
      </w:r>
      <w:r>
        <w:t xml:space="preserve"> </w:t>
      </w:r>
      <w:r w:rsidR="00A21C0F">
        <w:t xml:space="preserve"> Redacted</w:t>
      </w:r>
    </w:p>
    <w:p w14:paraId="0F363788" w14:textId="70B82E32" w:rsidR="003A658A" w:rsidRDefault="003A658A" w:rsidP="003A658A">
      <w:pPr>
        <w:pBdr>
          <w:top w:val="single" w:sz="4" w:space="1" w:color="auto"/>
          <w:left w:val="single" w:sz="4" w:space="4" w:color="auto"/>
          <w:bottom w:val="single" w:sz="4" w:space="1" w:color="auto"/>
          <w:right w:val="single" w:sz="4" w:space="4" w:color="auto"/>
        </w:pBdr>
      </w:pPr>
      <w:r w:rsidRPr="00D70C92">
        <w:t xml:space="preserve">Business trading name: </w:t>
      </w:r>
      <w:r w:rsidR="00A21C0F">
        <w:t xml:space="preserve"> Redacted</w:t>
      </w:r>
    </w:p>
    <w:p w14:paraId="2DFD05C5" w14:textId="77777777" w:rsidR="00C171FB" w:rsidRPr="00C171FB" w:rsidRDefault="00C171FB" w:rsidP="00C171FB"/>
    <w:p w14:paraId="5ED3143B" w14:textId="31C587E6" w:rsidR="00C171FB" w:rsidRPr="00C171FB" w:rsidRDefault="00C171FB" w:rsidP="00C171FB">
      <w:pPr>
        <w:rPr>
          <w:b/>
        </w:rPr>
      </w:pPr>
      <w:r>
        <w:rPr>
          <w:b/>
        </w:rPr>
        <w:t xml:space="preserve">Primary contact name: </w:t>
      </w:r>
      <w:r w:rsidR="00A21C0F">
        <w:t>Redacted</w:t>
      </w:r>
    </w:p>
    <w:p w14:paraId="62BC0814" w14:textId="77777777" w:rsidR="003A658A" w:rsidRDefault="003A658A" w:rsidP="003A658A">
      <w:pPr>
        <w:pBdr>
          <w:top w:val="single" w:sz="4" w:space="1" w:color="auto"/>
          <w:left w:val="single" w:sz="4" w:space="4" w:color="auto"/>
          <w:bottom w:val="single" w:sz="4" w:space="1" w:color="auto"/>
          <w:right w:val="single" w:sz="4" w:space="4" w:color="auto"/>
        </w:pBdr>
      </w:pPr>
      <w:r>
        <w:t>Primary contact numbers</w:t>
      </w:r>
    </w:p>
    <w:p w14:paraId="628ECFA4" w14:textId="3124430E" w:rsidR="003A658A" w:rsidRDefault="003A658A" w:rsidP="003A658A">
      <w:pPr>
        <w:pBdr>
          <w:top w:val="single" w:sz="4" w:space="1" w:color="auto"/>
          <w:left w:val="single" w:sz="4" w:space="4" w:color="auto"/>
          <w:bottom w:val="single" w:sz="4" w:space="1" w:color="auto"/>
          <w:right w:val="single" w:sz="4" w:space="4" w:color="auto"/>
        </w:pBdr>
        <w:spacing w:after="0"/>
      </w:pPr>
      <w:r>
        <w:t xml:space="preserve">Business: </w:t>
      </w:r>
      <w:r w:rsidR="00A21C0F">
        <w:t xml:space="preserve"> Redacted</w:t>
      </w:r>
    </w:p>
    <w:p w14:paraId="1BC0A165" w14:textId="773AFB00" w:rsidR="003A658A" w:rsidRDefault="003A658A" w:rsidP="003A658A">
      <w:pPr>
        <w:pBdr>
          <w:top w:val="single" w:sz="4" w:space="1" w:color="auto"/>
          <w:left w:val="single" w:sz="4" w:space="4" w:color="auto"/>
          <w:bottom w:val="single" w:sz="4" w:space="1" w:color="auto"/>
          <w:right w:val="single" w:sz="4" w:space="4" w:color="auto"/>
        </w:pBdr>
        <w:spacing w:after="0"/>
      </w:pPr>
      <w:r>
        <w:t xml:space="preserve">Mobile: </w:t>
      </w:r>
      <w:r w:rsidR="00A21C0F">
        <w:t xml:space="preserve"> Redacted</w:t>
      </w:r>
    </w:p>
    <w:p w14:paraId="47FC58DD" w14:textId="65AAC2A3" w:rsidR="003A658A" w:rsidRDefault="003A658A" w:rsidP="003A658A">
      <w:pPr>
        <w:pBdr>
          <w:top w:val="single" w:sz="4" w:space="1" w:color="auto"/>
          <w:left w:val="single" w:sz="4" w:space="4" w:color="auto"/>
          <w:bottom w:val="single" w:sz="4" w:space="1" w:color="auto"/>
          <w:right w:val="single" w:sz="4" w:space="4" w:color="auto"/>
        </w:pBdr>
      </w:pPr>
      <w:r>
        <w:t xml:space="preserve">Email: </w:t>
      </w:r>
      <w:r w:rsidR="00A21C0F" w:rsidRPr="00A21C0F">
        <w:t>Redacted</w:t>
      </w:r>
    </w:p>
    <w:p w14:paraId="36E9E077" w14:textId="77777777" w:rsidR="00C171FB" w:rsidRDefault="00C171FB" w:rsidP="00C171FB">
      <w:pPr>
        <w:rPr>
          <w:b/>
        </w:rPr>
      </w:pPr>
    </w:p>
    <w:p w14:paraId="45550853" w14:textId="33100ABF" w:rsidR="00C171FB" w:rsidRPr="00C171FB" w:rsidRDefault="00C171FB" w:rsidP="00C171FB">
      <w:pPr>
        <w:rPr>
          <w:b/>
        </w:rPr>
      </w:pPr>
      <w:r>
        <w:rPr>
          <w:b/>
        </w:rPr>
        <w:t xml:space="preserve">Alternative contact name: </w:t>
      </w:r>
      <w:r w:rsidR="00A21C0F">
        <w:t>Redacted</w:t>
      </w:r>
    </w:p>
    <w:p w14:paraId="6A2D42D9" w14:textId="77777777" w:rsidR="003A658A" w:rsidRDefault="003A658A" w:rsidP="003A658A">
      <w:pPr>
        <w:pBdr>
          <w:top w:val="single" w:sz="4" w:space="1" w:color="auto"/>
          <w:left w:val="single" w:sz="4" w:space="4" w:color="auto"/>
          <w:bottom w:val="single" w:sz="4" w:space="1" w:color="auto"/>
          <w:right w:val="single" w:sz="4" w:space="4" w:color="auto"/>
        </w:pBdr>
      </w:pPr>
      <w:r>
        <w:t>Alternative contact numbers</w:t>
      </w:r>
    </w:p>
    <w:p w14:paraId="656A71D8" w14:textId="6241500E" w:rsidR="003A658A" w:rsidRDefault="003A658A" w:rsidP="003A658A">
      <w:pPr>
        <w:pBdr>
          <w:top w:val="single" w:sz="4" w:space="1" w:color="auto"/>
          <w:left w:val="single" w:sz="4" w:space="4" w:color="auto"/>
          <w:bottom w:val="single" w:sz="4" w:space="1" w:color="auto"/>
          <w:right w:val="single" w:sz="4" w:space="4" w:color="auto"/>
        </w:pBdr>
      </w:pPr>
      <w:r>
        <w:t xml:space="preserve">Business: </w:t>
      </w:r>
      <w:r w:rsidR="00A21C0F">
        <w:t>Redacted</w:t>
      </w:r>
    </w:p>
    <w:p w14:paraId="60C9B3DF" w14:textId="77777777" w:rsidR="00A21C0F" w:rsidRDefault="003A658A" w:rsidP="003A658A">
      <w:pPr>
        <w:pBdr>
          <w:top w:val="single" w:sz="4" w:space="1" w:color="auto"/>
          <w:left w:val="single" w:sz="4" w:space="4" w:color="auto"/>
          <w:bottom w:val="single" w:sz="4" w:space="1" w:color="auto"/>
          <w:right w:val="single" w:sz="4" w:space="4" w:color="auto"/>
        </w:pBdr>
      </w:pPr>
      <w:r>
        <w:t>Phone</w:t>
      </w:r>
      <w:r w:rsidRPr="00C6424B">
        <w:t xml:space="preserve">: </w:t>
      </w:r>
      <w:r w:rsidR="00A21C0F">
        <w:t>Redacted</w:t>
      </w:r>
      <w:r w:rsidR="00A21C0F" w:rsidDel="00A21C0F">
        <w:t xml:space="preserve"> </w:t>
      </w:r>
    </w:p>
    <w:p w14:paraId="3A8A232F" w14:textId="136A8699" w:rsidR="003A658A" w:rsidRDefault="003A658A" w:rsidP="003A658A">
      <w:pPr>
        <w:pBdr>
          <w:top w:val="single" w:sz="4" w:space="1" w:color="auto"/>
          <w:left w:val="single" w:sz="4" w:space="4" w:color="auto"/>
          <w:bottom w:val="single" w:sz="4" w:space="1" w:color="auto"/>
          <w:right w:val="single" w:sz="4" w:space="4" w:color="auto"/>
        </w:pBdr>
      </w:pPr>
      <w:r w:rsidRPr="00C6424B">
        <w:t>Email:</w:t>
      </w:r>
      <w:r w:rsidR="00D60E5B">
        <w:t xml:space="preserve"> </w:t>
      </w:r>
      <w:r w:rsidR="00A21C0F">
        <w:t>Redacted</w:t>
      </w:r>
    </w:p>
    <w:p w14:paraId="60749B16" w14:textId="77777777" w:rsidR="00C171FB" w:rsidRDefault="00C171FB" w:rsidP="00C171FB"/>
    <w:p w14:paraId="746E9319" w14:textId="77777777" w:rsidR="00F34AEC" w:rsidRPr="00154B00" w:rsidRDefault="00F34AEC" w:rsidP="00F34AEC">
      <w:pPr>
        <w:pStyle w:val="Heading2"/>
      </w:pPr>
      <w:r>
        <w:t>(a) Are you a consultant acting on behalf of an Applicant?</w:t>
      </w:r>
    </w:p>
    <w:p w14:paraId="510E2CCD" w14:textId="723756C0" w:rsidR="00D45681" w:rsidRDefault="00D45681" w:rsidP="00D4568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Yes</w:t>
      </w:r>
      <w:r w:rsidR="00A21C0F" w:rsidRPr="00A21C0F">
        <w:t xml:space="preserve"> </w:t>
      </w:r>
    </w:p>
    <w:p w14:paraId="27D9A517" w14:textId="77777777" w:rsidR="00D45681" w:rsidRDefault="00D45681" w:rsidP="00D45681">
      <w:pPr>
        <w:spacing w:before="0" w:after="0"/>
        <w:ind w:left="426"/>
        <w:rPr>
          <w:szCs w:val="20"/>
        </w:rPr>
      </w:pPr>
      <w:r>
        <w:rPr>
          <w:szCs w:val="20"/>
        </w:rPr>
        <w:fldChar w:fldCharType="begin">
          <w:ffData>
            <w:name w:val="Check2"/>
            <w:enabled/>
            <w:calcOnExit w:val="0"/>
            <w:checkBox>
              <w:sizeAuto/>
              <w:default w:val="0"/>
            </w:checkBox>
          </w:ffData>
        </w:fldChar>
      </w:r>
      <w:bookmarkStart w:id="2" w:name="Check2"/>
      <w:r>
        <w:rPr>
          <w:szCs w:val="20"/>
        </w:rPr>
        <w:instrText xml:space="preserve"> FORMCHECKBOX </w:instrText>
      </w:r>
      <w:r w:rsidR="00A57971">
        <w:rPr>
          <w:szCs w:val="20"/>
        </w:rPr>
      </w:r>
      <w:r w:rsidR="00A57971">
        <w:rPr>
          <w:szCs w:val="20"/>
        </w:rPr>
        <w:fldChar w:fldCharType="separate"/>
      </w:r>
      <w:r>
        <w:rPr>
          <w:szCs w:val="20"/>
        </w:rPr>
        <w:fldChar w:fldCharType="end"/>
      </w:r>
      <w:bookmarkEnd w:id="2"/>
      <w:r>
        <w:rPr>
          <w:szCs w:val="20"/>
        </w:rPr>
        <w:t xml:space="preserve"> No</w:t>
      </w:r>
    </w:p>
    <w:p w14:paraId="639F3D6B" w14:textId="77777777" w:rsidR="0007219F" w:rsidRPr="00753C44" w:rsidRDefault="0007219F" w:rsidP="00D45681">
      <w:pPr>
        <w:spacing w:before="0" w:after="0"/>
        <w:ind w:left="426"/>
        <w:rPr>
          <w:szCs w:val="20"/>
        </w:rPr>
      </w:pPr>
    </w:p>
    <w:p w14:paraId="6F041872" w14:textId="77777777" w:rsidR="00F34AEC" w:rsidRPr="002F55EF" w:rsidRDefault="00F34AEC" w:rsidP="002F55EF">
      <w:pPr>
        <w:ind w:firstLine="360"/>
        <w:rPr>
          <w:b/>
        </w:rPr>
      </w:pPr>
      <w:r w:rsidRPr="002F55EF">
        <w:rPr>
          <w:b/>
        </w:rPr>
        <w:t>(b) If yes, what is the Applicant(s) name that you are acting on behalf of?</w:t>
      </w:r>
    </w:p>
    <w:p w14:paraId="02336E30" w14:textId="6C0E8802" w:rsidR="00F34AEC" w:rsidRPr="00C171FB" w:rsidRDefault="00A21C0F" w:rsidP="00A21C0F">
      <w:pPr>
        <w:ind w:firstLine="360"/>
      </w:pPr>
      <w:r>
        <w:t>Redacted</w:t>
      </w:r>
      <w:r w:rsidDel="00A21C0F">
        <w:rPr>
          <w:noProof/>
        </w:rPr>
        <w:t xml:space="preserve"> </w:t>
      </w:r>
    </w:p>
    <w:p w14:paraId="0A16E8A1" w14:textId="77777777" w:rsidR="00534C5F" w:rsidRPr="00154B00" w:rsidRDefault="00494011" w:rsidP="004A0BF4">
      <w:pPr>
        <w:pStyle w:val="Heading2"/>
      </w:pPr>
      <w:r>
        <w:t xml:space="preserve">(a) </w:t>
      </w:r>
      <w:r w:rsidR="00534C5F">
        <w:t>Are you a lobbyist acting on behalf of an Applicant?</w:t>
      </w:r>
    </w:p>
    <w:p w14:paraId="2BE71D04" w14:textId="4952786A" w:rsidR="00D45681" w:rsidRDefault="00D45681" w:rsidP="00D4568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Yes </w:t>
      </w:r>
    </w:p>
    <w:p w14:paraId="5C50F995" w14:textId="77777777" w:rsidR="00D45681" w:rsidRDefault="00D45681" w:rsidP="00D4568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No</w:t>
      </w:r>
    </w:p>
    <w:p w14:paraId="2983C39A" w14:textId="77777777" w:rsidR="0007219F" w:rsidRPr="00753C44" w:rsidRDefault="0007219F" w:rsidP="00D45681">
      <w:pPr>
        <w:spacing w:before="0" w:after="0"/>
        <w:ind w:left="426"/>
        <w:rPr>
          <w:szCs w:val="20"/>
        </w:rPr>
      </w:pPr>
    </w:p>
    <w:p w14:paraId="3EF3AD7B"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25532CEA" w14:textId="77777777" w:rsidR="00D45681" w:rsidRPr="00D45681" w:rsidRDefault="00D45681" w:rsidP="00D45681">
      <w:pPr>
        <w:spacing w:before="0" w:after="0"/>
        <w:ind w:left="360"/>
        <w:rPr>
          <w:szCs w:val="20"/>
        </w:rPr>
      </w:pPr>
      <w:r w:rsidRPr="00D45681">
        <w:rPr>
          <w:szCs w:val="20"/>
        </w:rPr>
        <w:fldChar w:fldCharType="begin">
          <w:ffData>
            <w:name w:val=""/>
            <w:enabled/>
            <w:calcOnExit w:val="0"/>
            <w:checkBox>
              <w:sizeAuto/>
              <w:default w:val="1"/>
            </w:checkBox>
          </w:ffData>
        </w:fldChar>
      </w:r>
      <w:r w:rsidRPr="00D45681">
        <w:rPr>
          <w:szCs w:val="20"/>
        </w:rPr>
        <w:instrText xml:space="preserve"> FORMCHECKBOX </w:instrText>
      </w:r>
      <w:r w:rsidR="00A57971">
        <w:rPr>
          <w:szCs w:val="20"/>
        </w:rPr>
      </w:r>
      <w:r w:rsidR="00A57971">
        <w:rPr>
          <w:szCs w:val="20"/>
        </w:rPr>
        <w:fldChar w:fldCharType="separate"/>
      </w:r>
      <w:r w:rsidRPr="00D45681">
        <w:rPr>
          <w:szCs w:val="20"/>
        </w:rPr>
        <w:fldChar w:fldCharType="end"/>
      </w:r>
      <w:r w:rsidRPr="00D45681">
        <w:rPr>
          <w:szCs w:val="20"/>
        </w:rPr>
        <w:t xml:space="preserve"> Yes</w:t>
      </w:r>
    </w:p>
    <w:p w14:paraId="02EECFB3" w14:textId="77777777" w:rsidR="00D45681" w:rsidRPr="00D45681" w:rsidRDefault="00D45681" w:rsidP="00D45681">
      <w:pPr>
        <w:spacing w:before="0" w:after="0"/>
        <w:ind w:firstLine="360"/>
        <w:rPr>
          <w:szCs w:val="20"/>
        </w:rPr>
      </w:pPr>
      <w:r w:rsidRPr="00D45681">
        <w:rPr>
          <w:szCs w:val="20"/>
        </w:rPr>
        <w:fldChar w:fldCharType="begin">
          <w:ffData>
            <w:name w:val="Check2"/>
            <w:enabled/>
            <w:calcOnExit w:val="0"/>
            <w:checkBox>
              <w:sizeAuto/>
              <w:default w:val="0"/>
            </w:checkBox>
          </w:ffData>
        </w:fldChar>
      </w:r>
      <w:r w:rsidRPr="00D45681">
        <w:rPr>
          <w:szCs w:val="20"/>
        </w:rPr>
        <w:instrText xml:space="preserve"> FORMCHECKBOX </w:instrText>
      </w:r>
      <w:r w:rsidR="00A57971">
        <w:rPr>
          <w:szCs w:val="20"/>
        </w:rPr>
      </w:r>
      <w:r w:rsidR="00A57971">
        <w:rPr>
          <w:szCs w:val="20"/>
        </w:rPr>
        <w:fldChar w:fldCharType="separate"/>
      </w:r>
      <w:r w:rsidRPr="00D45681">
        <w:rPr>
          <w:szCs w:val="20"/>
        </w:rPr>
        <w:fldChar w:fldCharType="end"/>
      </w:r>
      <w:r w:rsidRPr="00D45681">
        <w:rPr>
          <w:szCs w:val="20"/>
        </w:rPr>
        <w:t xml:space="preserve"> No</w:t>
      </w:r>
    </w:p>
    <w:p w14:paraId="1EA2AC78" w14:textId="77777777" w:rsidR="00E04FB3" w:rsidRDefault="00E04FB3" w:rsidP="005C333E">
      <w:pPr>
        <w:spacing w:before="0" w:after="0"/>
        <w:ind w:left="426"/>
        <w:rPr>
          <w:b/>
          <w:szCs w:val="20"/>
        </w:rPr>
      </w:pPr>
      <w:r w:rsidRPr="00154B00">
        <w:rPr>
          <w:b/>
          <w:szCs w:val="20"/>
        </w:rPr>
        <w:br w:type="page"/>
      </w:r>
    </w:p>
    <w:p w14:paraId="61BF320A"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7EEF8E2F" w14:textId="77777777" w:rsidR="000B3CD0" w:rsidRPr="00792E16" w:rsidRDefault="000B3CD0" w:rsidP="00730C04">
      <w:pPr>
        <w:pStyle w:val="Heading2"/>
      </w:pPr>
      <w:r w:rsidRPr="00792E16">
        <w:t>Application title</w:t>
      </w:r>
    </w:p>
    <w:p w14:paraId="618F4251" w14:textId="553A9A01" w:rsidR="005E4F39" w:rsidRDefault="00D57B12" w:rsidP="00A6491A">
      <w:pPr>
        <w:ind w:left="284"/>
      </w:pPr>
      <w:r w:rsidRPr="00D57B12">
        <w:t xml:space="preserve">Micro-bypass stenting for open-angle glaucoma (external to </w:t>
      </w:r>
      <w:proofErr w:type="spellStart"/>
      <w:r w:rsidRPr="00D57B12">
        <w:t>Schlemm’s</w:t>
      </w:r>
      <w:proofErr w:type="spellEnd"/>
      <w:r w:rsidRPr="00D57B12">
        <w:t xml:space="preserve"> canal)</w:t>
      </w:r>
    </w:p>
    <w:p w14:paraId="4FF001D4"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5830B24" w14:textId="20AA12E8" w:rsidR="002C3345" w:rsidRDefault="002068A3" w:rsidP="00A6491A">
      <w:pPr>
        <w:ind w:left="284"/>
      </w:pPr>
      <w:r>
        <w:t>Glaucoma is a chronic degenerative optic neuropathy in which the neuro-retinal rim of the optic nerve becomes progressively thinner, caused by an acquired loss of retinal ganglion cell axons and atrophy of the optic nerve. The lens and cornea of the eye both lack direct blood supply. Therefore, these anterior structures are nourished by a separate circulatory system. The aqueous humo</w:t>
      </w:r>
      <w:r w:rsidR="008C1093">
        <w:t>u</w:t>
      </w:r>
      <w:r>
        <w:t xml:space="preserve">r, produced by the ciliary body, circulates throughout the anterior chamber </w:t>
      </w:r>
      <w:r w:rsidRPr="008C1093">
        <w:t xml:space="preserve">and drains through </w:t>
      </w:r>
      <w:r w:rsidR="008C1093" w:rsidRPr="008C1093">
        <w:t xml:space="preserve">the uveoscleral outflow </w:t>
      </w:r>
      <w:r w:rsidRPr="009A2B6A">
        <w:t xml:space="preserve">in the </w:t>
      </w:r>
      <w:r w:rsidRPr="008C1093">
        <w:t>iridocorneal an</w:t>
      </w:r>
      <w:r>
        <w:t xml:space="preserve">gle. Its primary role is to maintain intraocular pressure (IOP), and provide nutrients to the structures of the anterior and </w:t>
      </w:r>
      <w:r w:rsidR="00A42592">
        <w:t xml:space="preserve">posterior chambers of the eye. </w:t>
      </w:r>
      <w:r>
        <w:t xml:space="preserve">In open-angle glaucoma aqueous outflow is diminished, leading to an elevation of </w:t>
      </w:r>
      <w:r w:rsidR="00603A71">
        <w:t>IOP.</w:t>
      </w:r>
      <w:r>
        <w:t xml:space="preserve"> Patients with glaucoma typically lose peripheral vision, and may suffer complete vison loss if not treated.</w:t>
      </w:r>
    </w:p>
    <w:p w14:paraId="4F4F37D9" w14:textId="77777777" w:rsidR="005E4F39" w:rsidRPr="009056C5" w:rsidRDefault="005E4F39" w:rsidP="00A6491A">
      <w:pPr>
        <w:ind w:left="284"/>
      </w:pPr>
    </w:p>
    <w:p w14:paraId="2D1E5C85"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0D0283F" w14:textId="6001A61F" w:rsidR="00CB12EC" w:rsidRDefault="00603A71" w:rsidP="00603A71">
      <w:pPr>
        <w:ind w:left="284"/>
      </w:pPr>
      <w:r>
        <w:t>Micro-Stent</w:t>
      </w:r>
      <w:r w:rsidR="00A75D83">
        <w:t xml:space="preserve"> implantation involves </w:t>
      </w:r>
      <w:r w:rsidRPr="00116CE5">
        <w:t>a minimally invasive</w:t>
      </w:r>
      <w:r w:rsidR="00A75D83">
        <w:t xml:space="preserve"> glaucoma surgery (MIGS) device, and</w:t>
      </w:r>
      <w:r w:rsidRPr="00116CE5">
        <w:t xml:space="preserve"> </w:t>
      </w:r>
      <w:r>
        <w:t xml:space="preserve">is a </w:t>
      </w:r>
      <w:proofErr w:type="spellStart"/>
      <w:r w:rsidRPr="00116CE5">
        <w:t>ab</w:t>
      </w:r>
      <w:proofErr w:type="spellEnd"/>
      <w:r w:rsidRPr="00116CE5">
        <w:t xml:space="preserve"> </w:t>
      </w:r>
      <w:proofErr w:type="spellStart"/>
      <w:r w:rsidRPr="00116CE5">
        <w:t>interno</w:t>
      </w:r>
      <w:proofErr w:type="spellEnd"/>
      <w:r w:rsidRPr="00116CE5">
        <w:t>, bleb-less, conjunctiva-sparing procedure</w:t>
      </w:r>
      <w:r>
        <w:t xml:space="preserve">. </w:t>
      </w:r>
      <w:r w:rsidR="002068A3">
        <w:t xml:space="preserve">The device improves aqueous outflow through the natural physiologic </w:t>
      </w:r>
      <w:r w:rsidR="00A42592" w:rsidRPr="008C1093">
        <w:t>uveoscleral outflow pathway</w:t>
      </w:r>
      <w:r w:rsidR="002068A3">
        <w:t xml:space="preserve">, </w:t>
      </w:r>
      <w:r w:rsidR="00A42592">
        <w:t>thereby lowering IOP</w:t>
      </w:r>
      <w:r w:rsidR="002068A3" w:rsidRPr="00A42592">
        <w:t xml:space="preserve"> and dependence on pressure-lo</w:t>
      </w:r>
      <w:r w:rsidR="002068A3">
        <w:t>wering topical medication. The procedure is generally performed as a day</w:t>
      </w:r>
      <w:r w:rsidR="006D5761">
        <w:t xml:space="preserve"> </w:t>
      </w:r>
      <w:r w:rsidR="00A42592">
        <w:t>surgery</w:t>
      </w:r>
      <w:r w:rsidR="002068A3">
        <w:t xml:space="preserve"> procedure in an ophthalmology surgical setting, </w:t>
      </w:r>
      <w:r w:rsidR="00B57253">
        <w:t>in conjunction with cataract surgery or as a stand-alone treatment.</w:t>
      </w:r>
    </w:p>
    <w:p w14:paraId="4CA4A8C4" w14:textId="77777777" w:rsidR="005E4F39" w:rsidRPr="00CB12EC" w:rsidRDefault="005E4F39" w:rsidP="00603A71">
      <w:pPr>
        <w:ind w:left="284"/>
      </w:pPr>
    </w:p>
    <w:p w14:paraId="63EB43A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38FBB9B" w14:textId="77777777" w:rsidR="00B57253" w:rsidRDefault="00B57253" w:rsidP="00B57253">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A57971">
        <w:rPr>
          <w:szCs w:val="20"/>
        </w:rPr>
      </w:r>
      <w:r w:rsidR="00A57971">
        <w:rPr>
          <w:szCs w:val="20"/>
        </w:rPr>
        <w:fldChar w:fldCharType="separate"/>
      </w:r>
      <w:r>
        <w:rPr>
          <w:szCs w:val="20"/>
        </w:rPr>
        <w:fldChar w:fldCharType="end"/>
      </w:r>
      <w:bookmarkEnd w:id="3"/>
      <w:r>
        <w:rPr>
          <w:szCs w:val="20"/>
        </w:rPr>
        <w:t xml:space="preserve"> Yes</w:t>
      </w:r>
    </w:p>
    <w:p w14:paraId="4C1D03E6" w14:textId="77777777" w:rsidR="00B57253" w:rsidRDefault="00B57253" w:rsidP="00B57253">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971">
        <w:rPr>
          <w:szCs w:val="20"/>
        </w:rPr>
      </w:r>
      <w:r w:rsidR="00A57971">
        <w:rPr>
          <w:szCs w:val="20"/>
        </w:rPr>
        <w:fldChar w:fldCharType="separate"/>
      </w:r>
      <w:r w:rsidRPr="00753C44">
        <w:rPr>
          <w:szCs w:val="20"/>
        </w:rPr>
        <w:fldChar w:fldCharType="end"/>
      </w:r>
      <w:r>
        <w:rPr>
          <w:szCs w:val="20"/>
        </w:rPr>
        <w:t xml:space="preserve"> No</w:t>
      </w:r>
    </w:p>
    <w:p w14:paraId="102B5930" w14:textId="77777777" w:rsidR="005E4F39" w:rsidRPr="00753C44" w:rsidRDefault="005E4F39" w:rsidP="00B57253">
      <w:pPr>
        <w:spacing w:before="0" w:after="0"/>
        <w:ind w:left="284"/>
        <w:rPr>
          <w:szCs w:val="20"/>
        </w:rPr>
      </w:pPr>
    </w:p>
    <w:p w14:paraId="6A09369D"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E811D5E" w14:textId="77777777" w:rsidR="00B57253" w:rsidRPr="00B57253" w:rsidRDefault="00B57253" w:rsidP="00B57253">
      <w:pPr>
        <w:spacing w:before="0" w:after="0"/>
        <w:ind w:left="360"/>
        <w:rPr>
          <w:szCs w:val="20"/>
        </w:rPr>
      </w:pPr>
      <w:r w:rsidRPr="00B57253">
        <w:rPr>
          <w:szCs w:val="20"/>
        </w:rPr>
        <w:fldChar w:fldCharType="begin">
          <w:ffData>
            <w:name w:val="Check2"/>
            <w:enabled/>
            <w:calcOnExit w:val="0"/>
            <w:checkBox>
              <w:sizeAuto/>
              <w:default w:val="0"/>
            </w:checkBox>
          </w:ffData>
        </w:fldChar>
      </w:r>
      <w:r w:rsidRPr="00B57253">
        <w:rPr>
          <w:szCs w:val="20"/>
        </w:rPr>
        <w:instrText xml:space="preserve"> FORMCHECKBOX </w:instrText>
      </w:r>
      <w:r w:rsidR="00A57971">
        <w:rPr>
          <w:szCs w:val="20"/>
        </w:rPr>
      </w:r>
      <w:r w:rsidR="00A57971">
        <w:rPr>
          <w:szCs w:val="20"/>
        </w:rPr>
        <w:fldChar w:fldCharType="separate"/>
      </w:r>
      <w:r w:rsidRPr="00B57253">
        <w:rPr>
          <w:szCs w:val="20"/>
        </w:rPr>
        <w:fldChar w:fldCharType="end"/>
      </w:r>
      <w:r w:rsidRPr="00B57253">
        <w:rPr>
          <w:szCs w:val="20"/>
        </w:rPr>
        <w:t xml:space="preserve"> Amendment to existing MBS item(s)</w:t>
      </w:r>
    </w:p>
    <w:p w14:paraId="3A509469" w14:textId="77777777" w:rsidR="00B57253" w:rsidRDefault="00B57253" w:rsidP="00B57253">
      <w:pPr>
        <w:spacing w:before="0" w:after="0"/>
        <w:ind w:firstLine="360"/>
        <w:rPr>
          <w:szCs w:val="20"/>
        </w:rPr>
      </w:pPr>
      <w:r w:rsidRPr="00B57253">
        <w:rPr>
          <w:szCs w:val="20"/>
        </w:rPr>
        <w:fldChar w:fldCharType="begin">
          <w:ffData>
            <w:name w:val=""/>
            <w:enabled/>
            <w:calcOnExit w:val="0"/>
            <w:checkBox>
              <w:sizeAuto/>
              <w:default w:val="1"/>
            </w:checkBox>
          </w:ffData>
        </w:fldChar>
      </w:r>
      <w:r w:rsidRPr="00B57253">
        <w:rPr>
          <w:szCs w:val="20"/>
        </w:rPr>
        <w:instrText xml:space="preserve"> FORMCHECKBOX </w:instrText>
      </w:r>
      <w:r w:rsidR="00A57971">
        <w:rPr>
          <w:szCs w:val="20"/>
        </w:rPr>
      </w:r>
      <w:r w:rsidR="00A57971">
        <w:rPr>
          <w:szCs w:val="20"/>
        </w:rPr>
        <w:fldChar w:fldCharType="separate"/>
      </w:r>
      <w:r w:rsidRPr="00B57253">
        <w:rPr>
          <w:szCs w:val="20"/>
        </w:rPr>
        <w:fldChar w:fldCharType="end"/>
      </w:r>
      <w:r w:rsidRPr="00B57253">
        <w:rPr>
          <w:szCs w:val="20"/>
        </w:rPr>
        <w:t xml:space="preserve"> New MBS item(s)</w:t>
      </w:r>
    </w:p>
    <w:p w14:paraId="405A6453" w14:textId="77777777" w:rsidR="005E4F39" w:rsidRPr="00B57253" w:rsidRDefault="005E4F39" w:rsidP="00B57253">
      <w:pPr>
        <w:spacing w:before="0" w:after="0"/>
        <w:ind w:firstLine="360"/>
        <w:rPr>
          <w:szCs w:val="20"/>
        </w:rPr>
      </w:pPr>
    </w:p>
    <w:p w14:paraId="66C7985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p>
    <w:p w14:paraId="122D54A6" w14:textId="77777777" w:rsidR="003D795C" w:rsidRDefault="00B57253" w:rsidP="00A6491A">
      <w:pPr>
        <w:ind w:left="284"/>
      </w:pPr>
      <w:r>
        <w:t>Not applicable</w:t>
      </w:r>
    </w:p>
    <w:p w14:paraId="70151980" w14:textId="77777777" w:rsidR="005E4F39" w:rsidRPr="00CB12EC" w:rsidRDefault="005E4F39" w:rsidP="00A6491A">
      <w:pPr>
        <w:ind w:left="284"/>
      </w:pPr>
    </w:p>
    <w:p w14:paraId="7480425A" w14:textId="77777777" w:rsidR="006C0843"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77E6476" w14:textId="77777777" w:rsidR="00B57253" w:rsidRPr="00B57253" w:rsidRDefault="00B57253" w:rsidP="00B57253">
      <w:pPr>
        <w:ind w:left="360"/>
      </w:pPr>
      <w:r>
        <w:t>Not applicable</w:t>
      </w:r>
    </w:p>
    <w:p w14:paraId="46E1071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41DAD44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30F75F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032DAFC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ABDCC8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2E5C0FF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1CDE0A9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D47F9A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D4220A4" w14:textId="77777777" w:rsidR="002A270B" w:rsidRPr="005E4F39"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971">
        <w:rPr>
          <w:b/>
          <w:szCs w:val="20"/>
        </w:rPr>
      </w:r>
      <w:r w:rsidR="00A57971">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0CEAEF4D" w14:textId="77777777" w:rsidR="005E4F39" w:rsidRDefault="005E4F39" w:rsidP="005E4F39">
      <w:pPr>
        <w:ind w:left="426"/>
        <w:rPr>
          <w:rStyle w:val="Strong"/>
        </w:rPr>
      </w:pPr>
    </w:p>
    <w:p w14:paraId="2BEB0789"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28CCCD6" w14:textId="77777777" w:rsidR="005E4F39" w:rsidRPr="00AA2CFE" w:rsidRDefault="005E4F39" w:rsidP="005E4F39">
      <w:pPr>
        <w:pStyle w:val="ListParagraph"/>
        <w:numPr>
          <w:ilvl w:val="0"/>
          <w:numId w:val="42"/>
        </w:numPr>
        <w:spacing w:before="0" w:after="0"/>
        <w:ind w:left="851" w:hanging="284"/>
        <w:jc w:val="both"/>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57971">
        <w:rPr>
          <w:b/>
          <w:szCs w:val="20"/>
        </w:rPr>
      </w:r>
      <w:r w:rsidR="00A57971">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1E9B252E" w14:textId="77777777" w:rsidR="005E4F39" w:rsidRDefault="005E4F39" w:rsidP="005E4F39">
      <w:pPr>
        <w:pStyle w:val="ListParagraph"/>
        <w:numPr>
          <w:ilvl w:val="0"/>
          <w:numId w:val="42"/>
        </w:numPr>
        <w:spacing w:before="0" w:after="0"/>
        <w:ind w:left="851" w:hanging="284"/>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A57971">
        <w:rPr>
          <w:b/>
          <w:szCs w:val="20"/>
        </w:rPr>
      </w:r>
      <w:r w:rsidR="00A57971">
        <w:rPr>
          <w:b/>
          <w:szCs w:val="20"/>
        </w:rPr>
        <w:fldChar w:fldCharType="separate"/>
      </w:r>
      <w:r>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40EE1DDE" w14:textId="77777777" w:rsidR="005E4F39" w:rsidRPr="00AA2CFE" w:rsidRDefault="005E4F39" w:rsidP="005E4F39">
      <w:pPr>
        <w:pStyle w:val="ListParagraph"/>
        <w:numPr>
          <w:ilvl w:val="0"/>
          <w:numId w:val="42"/>
        </w:numPr>
        <w:spacing w:before="0" w:after="0"/>
        <w:ind w:left="851" w:hanging="284"/>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57971">
        <w:rPr>
          <w:b/>
          <w:szCs w:val="20"/>
        </w:rPr>
      </w:r>
      <w:r w:rsidR="00A5797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09FCA46B" w14:textId="77777777" w:rsidR="005E4F39" w:rsidRPr="00AA2CFE" w:rsidRDefault="005E4F39" w:rsidP="005E4F39">
      <w:pPr>
        <w:pStyle w:val="ListParagraph"/>
        <w:numPr>
          <w:ilvl w:val="0"/>
          <w:numId w:val="42"/>
        </w:numPr>
        <w:spacing w:before="0" w:after="0"/>
        <w:ind w:left="851" w:hanging="284"/>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57971">
        <w:rPr>
          <w:b/>
          <w:szCs w:val="20"/>
        </w:rPr>
      </w:r>
      <w:r w:rsidR="00A5797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C3C5D63" w14:textId="77777777" w:rsidR="005E4F39" w:rsidRDefault="005E4F39" w:rsidP="005E4F39">
      <w:pPr>
        <w:pStyle w:val="ListParagraph"/>
        <w:spacing w:before="0" w:after="0"/>
        <w:rPr>
          <w:rStyle w:val="Strong"/>
          <w:b w:val="0"/>
        </w:rPr>
      </w:pPr>
    </w:p>
    <w:p w14:paraId="72D76180" w14:textId="09708C1F" w:rsidR="00933B5B" w:rsidRDefault="00933B5B" w:rsidP="00933B5B">
      <w:pPr>
        <w:ind w:left="426"/>
      </w:pPr>
      <w:r>
        <w:rPr>
          <w:rStyle w:val="Strong"/>
          <w:b w:val="0"/>
        </w:rPr>
        <w:t xml:space="preserve">An MSAC review of MBS item number 42758 (goniotomy) determined that the </w:t>
      </w:r>
      <w:r w:rsidRPr="008D4AF3">
        <w:rPr>
          <w:rStyle w:val="Strong"/>
          <w:b w:val="0"/>
        </w:rPr>
        <w:t>current criteria does not</w:t>
      </w:r>
      <w:r>
        <w:rPr>
          <w:rStyle w:val="Strong"/>
          <w:b w:val="0"/>
        </w:rPr>
        <w:t xml:space="preserve"> </w:t>
      </w:r>
      <w:r w:rsidRPr="008D4AF3">
        <w:rPr>
          <w:rStyle w:val="Strong"/>
          <w:b w:val="0"/>
        </w:rPr>
        <w:t xml:space="preserve">extend to the implantation </w:t>
      </w:r>
      <w:r>
        <w:rPr>
          <w:rStyle w:val="Strong"/>
          <w:b w:val="0"/>
        </w:rPr>
        <w:t xml:space="preserve">of MIGS </w:t>
      </w:r>
      <w:r w:rsidRPr="008D4AF3">
        <w:rPr>
          <w:rStyle w:val="Strong"/>
          <w:b w:val="0"/>
        </w:rPr>
        <w:t>devices.</w:t>
      </w:r>
      <w:r>
        <w:rPr>
          <w:rStyle w:val="Strong"/>
          <w:b w:val="0"/>
        </w:rPr>
        <w:t xml:space="preserve"> An amendment to the current MBS item for goniotomy, effective 1 May 2017, will explicitly exclude implantation of MIGS device being claimed under this service. </w:t>
      </w:r>
      <w:r>
        <w:t xml:space="preserve">Thus, </w:t>
      </w:r>
      <w:r w:rsidR="009A2B6A">
        <w:t>MIGS devices are</w:t>
      </w:r>
      <w:r>
        <w:t xml:space="preserve"> not novel to Australian clinical practice; but its safety, effectiveness and cost-effectiveness in the proposed patient population have not previously been evaluated by MSAC, nor is there an MBS item (current or former) that specifically describes the proposed service. In this way, the service and therapeutic intervention it describes is new to the MSAC.</w:t>
      </w:r>
      <w:r w:rsidR="008113A0">
        <w:t xml:space="preserve"> </w:t>
      </w:r>
    </w:p>
    <w:p w14:paraId="4BC450BA" w14:textId="77777777" w:rsidR="00933B5B" w:rsidRDefault="00933B5B" w:rsidP="00933B5B">
      <w:pPr>
        <w:ind w:left="426"/>
      </w:pPr>
    </w:p>
    <w:p w14:paraId="4559D8B2"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2DAF870" w14:textId="77777777" w:rsidR="005E4F39" w:rsidRPr="005E4F39" w:rsidRDefault="005E4F39" w:rsidP="005E4F39">
      <w:pPr>
        <w:pStyle w:val="ListParagraph"/>
        <w:spacing w:before="0" w:after="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Pr="005E4F39">
        <w:rPr>
          <w:szCs w:val="20"/>
        </w:rPr>
        <w:t xml:space="preserve"> Yes</w:t>
      </w:r>
    </w:p>
    <w:p w14:paraId="45799703" w14:textId="77777777" w:rsidR="005E4F39" w:rsidRPr="005E4F39" w:rsidRDefault="005E4F39" w:rsidP="005E4F39">
      <w:pPr>
        <w:pStyle w:val="ListParagraph"/>
        <w:spacing w:before="0" w:after="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Pr="005E4F39">
        <w:rPr>
          <w:szCs w:val="20"/>
        </w:rPr>
        <w:t xml:space="preserve"> No</w:t>
      </w:r>
    </w:p>
    <w:p w14:paraId="20706D3E" w14:textId="77777777" w:rsidR="007D22B5" w:rsidRDefault="00A42592" w:rsidP="00F76ADA">
      <w:pPr>
        <w:spacing w:before="0" w:after="0"/>
        <w:ind w:left="284"/>
        <w:rPr>
          <w:rStyle w:val="Strong"/>
          <w:rFonts w:asciiTheme="minorHAnsi" w:eastAsiaTheme="minorHAnsi" w:hAnsiTheme="minorHAnsi" w:cstheme="minorBidi"/>
          <w:b w:val="0"/>
        </w:rPr>
      </w:pPr>
      <w:r>
        <w:rPr>
          <w:rStyle w:val="Strong"/>
          <w:rFonts w:asciiTheme="minorHAnsi" w:eastAsiaTheme="minorHAnsi" w:hAnsiTheme="minorHAnsi" w:cstheme="minorBidi"/>
          <w:b w:val="0"/>
        </w:rPr>
        <w:br/>
      </w:r>
      <w:r w:rsidR="005E4F39" w:rsidRPr="00933B5B">
        <w:rPr>
          <w:rStyle w:val="Strong"/>
          <w:rFonts w:asciiTheme="minorHAnsi" w:eastAsiaTheme="minorHAnsi" w:hAnsiTheme="minorHAnsi" w:cstheme="minorBidi"/>
          <w:b w:val="0"/>
        </w:rPr>
        <w:t>At the time of sub</w:t>
      </w:r>
      <w:r w:rsidR="00933B5B">
        <w:rPr>
          <w:rStyle w:val="Strong"/>
          <w:rFonts w:asciiTheme="minorHAnsi" w:eastAsiaTheme="minorHAnsi" w:hAnsiTheme="minorHAnsi" w:cstheme="minorBidi"/>
          <w:b w:val="0"/>
        </w:rPr>
        <w:t>mitting this a</w:t>
      </w:r>
      <w:r w:rsidR="005E4F39" w:rsidRPr="00933B5B">
        <w:rPr>
          <w:rStyle w:val="Strong"/>
          <w:rFonts w:asciiTheme="minorHAnsi" w:eastAsiaTheme="minorHAnsi" w:hAnsiTheme="minorHAnsi" w:cstheme="minorBidi"/>
          <w:b w:val="0"/>
        </w:rPr>
        <w:t xml:space="preserve">pplication form (20 March 2017), the </w:t>
      </w:r>
      <w:proofErr w:type="spellStart"/>
      <w:r w:rsidR="005E4F39" w:rsidRPr="00933B5B">
        <w:rPr>
          <w:rStyle w:val="Strong"/>
          <w:rFonts w:asciiTheme="minorHAnsi" w:eastAsiaTheme="minorHAnsi" w:hAnsiTheme="minorHAnsi" w:cstheme="minorBidi"/>
          <w:b w:val="0"/>
        </w:rPr>
        <w:t>CyPass</w:t>
      </w:r>
      <w:proofErr w:type="spellEnd"/>
      <w:r w:rsidR="005E4F39" w:rsidRPr="00933B5B">
        <w:rPr>
          <w:rStyle w:val="Strong"/>
          <w:rFonts w:asciiTheme="minorHAnsi" w:eastAsiaTheme="minorHAnsi" w:hAnsiTheme="minorHAnsi" w:cstheme="minorBidi"/>
          <w:b w:val="0"/>
        </w:rPr>
        <w:t xml:space="preserve"> Micro-Stent is listed on the Prostheses List.</w:t>
      </w:r>
      <w:r w:rsidR="00F76ADA" w:rsidRPr="00F76ADA">
        <w:t xml:space="preserve"> </w:t>
      </w:r>
      <w:r w:rsidR="00F76ADA" w:rsidRPr="00F76ADA">
        <w:rPr>
          <w:rStyle w:val="Strong"/>
          <w:rFonts w:asciiTheme="minorHAnsi" w:eastAsiaTheme="minorHAnsi" w:hAnsiTheme="minorHAnsi" w:cstheme="minorBidi"/>
          <w:b w:val="0"/>
        </w:rPr>
        <w:t>The identified MBS item number was 42758</w:t>
      </w:r>
      <w:r w:rsidR="00F76ADA">
        <w:rPr>
          <w:rStyle w:val="Strong"/>
          <w:rFonts w:asciiTheme="minorHAnsi" w:eastAsiaTheme="minorHAnsi" w:hAnsiTheme="minorHAnsi" w:cstheme="minorBidi"/>
          <w:b w:val="0"/>
        </w:rPr>
        <w:t>.</w:t>
      </w:r>
      <w:r w:rsidR="005E4F39" w:rsidRPr="00933B5B">
        <w:rPr>
          <w:rStyle w:val="Strong"/>
          <w:rFonts w:asciiTheme="minorHAnsi" w:eastAsiaTheme="minorHAnsi" w:hAnsiTheme="minorHAnsi" w:cstheme="minorBidi"/>
          <w:b w:val="0"/>
        </w:rPr>
        <w:t xml:space="preserve"> </w:t>
      </w:r>
    </w:p>
    <w:p w14:paraId="280F1E73" w14:textId="77777777" w:rsidR="007D22B5" w:rsidRDefault="007D22B5" w:rsidP="00F76ADA">
      <w:pPr>
        <w:spacing w:before="0" w:after="0"/>
        <w:ind w:left="284"/>
        <w:rPr>
          <w:rStyle w:val="Strong"/>
          <w:rFonts w:asciiTheme="minorHAnsi" w:eastAsiaTheme="minorHAnsi" w:hAnsiTheme="minorHAnsi" w:cstheme="minorBidi"/>
          <w:b w:val="0"/>
        </w:rPr>
      </w:pPr>
    </w:p>
    <w:p w14:paraId="413FD820" w14:textId="1F4B552B" w:rsidR="000B3CD0" w:rsidRDefault="000B3CD0" w:rsidP="00F76ADA">
      <w:pPr>
        <w:spacing w:before="0" w:after="0"/>
        <w:ind w:left="284"/>
      </w:pPr>
      <w:r w:rsidRPr="00154B00">
        <w:t>What is the type of service:</w:t>
      </w:r>
    </w:p>
    <w:p w14:paraId="49532302" w14:textId="77777777" w:rsidR="005E4F39" w:rsidRDefault="005E4F39" w:rsidP="005E4F39">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A57971">
        <w:rPr>
          <w:b/>
          <w:szCs w:val="20"/>
        </w:rPr>
      </w:r>
      <w:r w:rsidR="00A57971">
        <w:rPr>
          <w:b/>
          <w:szCs w:val="20"/>
        </w:rPr>
        <w:fldChar w:fldCharType="separate"/>
      </w:r>
      <w:r>
        <w:rPr>
          <w:b/>
          <w:szCs w:val="20"/>
        </w:rPr>
        <w:fldChar w:fldCharType="end"/>
      </w:r>
      <w:r w:rsidRPr="0027105F">
        <w:rPr>
          <w:b/>
          <w:szCs w:val="20"/>
        </w:rPr>
        <w:t xml:space="preserve"> </w:t>
      </w:r>
      <w:r>
        <w:t>Therapeutic medical service</w:t>
      </w:r>
    </w:p>
    <w:p w14:paraId="1572E65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Investigative medical service</w:t>
      </w:r>
    </w:p>
    <w:p w14:paraId="73FB263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Single consultation medical service</w:t>
      </w:r>
    </w:p>
    <w:p w14:paraId="04F5F5E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Global consultation medical service</w:t>
      </w:r>
    </w:p>
    <w:p w14:paraId="6AE87F4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Allied health service</w:t>
      </w:r>
    </w:p>
    <w:p w14:paraId="7468B6F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Co-dependent technology</w:t>
      </w:r>
    </w:p>
    <w:p w14:paraId="7040F83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Hybrid health technology</w:t>
      </w:r>
    </w:p>
    <w:p w14:paraId="077FADB4" w14:textId="77777777" w:rsidR="00124B00" w:rsidRPr="00A6594E" w:rsidRDefault="00124B00" w:rsidP="00A6491A">
      <w:pPr>
        <w:spacing w:before="0" w:after="0"/>
        <w:ind w:left="284"/>
      </w:pPr>
    </w:p>
    <w:p w14:paraId="483783C5" w14:textId="77777777" w:rsidR="0054594B" w:rsidRDefault="0054594B" w:rsidP="00F76ADA">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4C6EAF2" w14:textId="77777777" w:rsidR="005E4F39" w:rsidRPr="005E4F39" w:rsidRDefault="005E4F39" w:rsidP="005E4F39">
      <w:r>
        <w:t>Not applicable</w:t>
      </w:r>
    </w:p>
    <w:p w14:paraId="2E2FF93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971">
        <w:rPr>
          <w:b/>
          <w:szCs w:val="20"/>
        </w:rPr>
      </w:r>
      <w:r w:rsidR="00A57971">
        <w:rPr>
          <w:b/>
          <w:szCs w:val="20"/>
        </w:rPr>
        <w:fldChar w:fldCharType="separate"/>
      </w:r>
      <w:r w:rsidRPr="00AF4466">
        <w:rPr>
          <w:b/>
          <w:szCs w:val="20"/>
        </w:rPr>
        <w:fldChar w:fldCharType="end"/>
      </w:r>
      <w:r w:rsidRPr="00AF4466">
        <w:rPr>
          <w:b/>
          <w:szCs w:val="20"/>
        </w:rPr>
        <w:t xml:space="preserve"> </w:t>
      </w:r>
      <w:r>
        <w:t>To be used as a screening tool in asymptomatic populations</w:t>
      </w:r>
    </w:p>
    <w:p w14:paraId="0179834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971">
        <w:rPr>
          <w:b/>
          <w:szCs w:val="20"/>
        </w:rPr>
      </w:r>
      <w:r w:rsidR="00A57971">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2DAD5C9C"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971">
        <w:rPr>
          <w:b/>
          <w:szCs w:val="20"/>
        </w:rPr>
      </w:r>
      <w:r w:rsidR="00A57971">
        <w:rPr>
          <w:b/>
          <w:szCs w:val="20"/>
        </w:rPr>
        <w:fldChar w:fldCharType="separate"/>
      </w:r>
      <w:r w:rsidRPr="00AF4466">
        <w:rPr>
          <w:b/>
          <w:szCs w:val="20"/>
        </w:rPr>
        <w:fldChar w:fldCharType="end"/>
      </w:r>
      <w:r w:rsidRPr="00AF4466">
        <w:rPr>
          <w:b/>
          <w:szCs w:val="20"/>
        </w:rPr>
        <w:t xml:space="preserve"> </w:t>
      </w:r>
      <w:r>
        <w:t>Provides information about prognosis</w:t>
      </w:r>
    </w:p>
    <w:p w14:paraId="6EC69A25"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971">
        <w:rPr>
          <w:b/>
          <w:szCs w:val="20"/>
        </w:rPr>
      </w:r>
      <w:r w:rsidR="00A57971">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5414821A"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971">
        <w:rPr>
          <w:b/>
          <w:szCs w:val="20"/>
        </w:rPr>
      </w:r>
      <w:r w:rsidR="00A57971">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1CFFD08"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971">
        <w:rPr>
          <w:b/>
          <w:szCs w:val="20"/>
        </w:rPr>
      </w:r>
      <w:r w:rsidR="00A57971">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14:paraId="132AF0BA" w14:textId="77777777" w:rsidR="002A40AE" w:rsidRDefault="002A40AE" w:rsidP="002F55EF">
      <w:pPr>
        <w:spacing w:before="0" w:after="0"/>
      </w:pPr>
    </w:p>
    <w:p w14:paraId="7161DAB8"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210CC2A" w14:textId="77777777" w:rsidR="005E4F39" w:rsidRDefault="005E4F39" w:rsidP="005E4F3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Pharmaceutical / Biological</w:t>
      </w:r>
    </w:p>
    <w:p w14:paraId="697542E5" w14:textId="77777777" w:rsidR="005E4F39" w:rsidRDefault="005E4F39" w:rsidP="005E4F39">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A57971">
        <w:rPr>
          <w:b/>
          <w:szCs w:val="20"/>
        </w:rPr>
      </w:r>
      <w:r w:rsidR="00A57971">
        <w:rPr>
          <w:b/>
          <w:szCs w:val="20"/>
        </w:rPr>
        <w:fldChar w:fldCharType="separate"/>
      </w:r>
      <w:r>
        <w:rPr>
          <w:b/>
          <w:szCs w:val="20"/>
        </w:rPr>
        <w:fldChar w:fldCharType="end"/>
      </w:r>
      <w:r w:rsidRPr="0027105F">
        <w:rPr>
          <w:b/>
          <w:szCs w:val="20"/>
        </w:rPr>
        <w:t xml:space="preserve"> </w:t>
      </w:r>
      <w:r>
        <w:t>Prosthesis or device</w:t>
      </w:r>
    </w:p>
    <w:p w14:paraId="52942AA6" w14:textId="77777777" w:rsidR="005E4F39" w:rsidRDefault="005E4F39" w:rsidP="005E4F39">
      <w:pPr>
        <w:spacing w:before="0" w:after="0"/>
        <w:ind w:left="284"/>
      </w:pPr>
      <w:r w:rsidRPr="0027105F">
        <w:rPr>
          <w:b/>
          <w:szCs w:val="20"/>
        </w:rPr>
        <w:lastRenderedPageBreak/>
        <w:fldChar w:fldCharType="begin">
          <w:ffData>
            <w:name w:val="Check2"/>
            <w:enabled/>
            <w:calcOnExit w:val="0"/>
            <w:checkBox>
              <w:sizeAuto/>
              <w:default w:val="0"/>
            </w:checkBox>
          </w:ffData>
        </w:fldChar>
      </w:r>
      <w:r w:rsidRPr="0027105F">
        <w:rPr>
          <w:b/>
          <w:szCs w:val="20"/>
        </w:rPr>
        <w:instrText xml:space="preserve"> FORMCHECKBOX </w:instrText>
      </w:r>
      <w:r w:rsidR="00A57971">
        <w:rPr>
          <w:b/>
          <w:szCs w:val="20"/>
        </w:rPr>
      </w:r>
      <w:r w:rsidR="00A57971">
        <w:rPr>
          <w:b/>
          <w:szCs w:val="20"/>
        </w:rPr>
        <w:fldChar w:fldCharType="separate"/>
      </w:r>
      <w:r w:rsidRPr="0027105F">
        <w:rPr>
          <w:b/>
          <w:szCs w:val="20"/>
        </w:rPr>
        <w:fldChar w:fldCharType="end"/>
      </w:r>
      <w:r w:rsidRPr="0027105F">
        <w:rPr>
          <w:b/>
          <w:szCs w:val="20"/>
        </w:rPr>
        <w:t xml:space="preserve"> </w:t>
      </w:r>
      <w:r>
        <w:t>No</w:t>
      </w:r>
    </w:p>
    <w:p w14:paraId="19350BE2" w14:textId="77777777" w:rsidR="005E4F39" w:rsidRPr="00FE16C1" w:rsidRDefault="005E4F39" w:rsidP="005E4F39">
      <w:pPr>
        <w:spacing w:before="0" w:after="0"/>
        <w:ind w:left="284"/>
      </w:pPr>
    </w:p>
    <w:p w14:paraId="23158DF5" w14:textId="77777777" w:rsidR="000E5439" w:rsidRDefault="005E4F39" w:rsidP="005E4F39">
      <w:pPr>
        <w:pStyle w:val="Heading2"/>
      </w:pPr>
      <w:r>
        <w:t xml:space="preserve"> </w:t>
      </w:r>
      <w:r w:rsidR="00530204">
        <w:t xml:space="preserve">(a) </w:t>
      </w:r>
      <w:r w:rsidR="000E5439" w:rsidRPr="001E6958">
        <w:t>If the proposed service has a pharmaceutical component to it, is it already covered under an existing Pharmaceutical Benefits Scheme (PBS) listing?</w:t>
      </w:r>
    </w:p>
    <w:p w14:paraId="0CF3B3F8" w14:textId="77777777" w:rsidR="005E4F39" w:rsidRPr="0016299D" w:rsidRDefault="005E4F39" w:rsidP="005E4F39">
      <w:r>
        <w:t>Not applicable</w:t>
      </w:r>
    </w:p>
    <w:p w14:paraId="7C4BDAE6"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sidRPr="000A5B32">
        <w:rPr>
          <w:szCs w:val="20"/>
        </w:rPr>
        <w:t xml:space="preserve"> Yes</w:t>
      </w:r>
    </w:p>
    <w:p w14:paraId="0519B766" w14:textId="77777777" w:rsidR="005E4F39" w:rsidRDefault="00FE16C1" w:rsidP="005E4F39">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No</w:t>
      </w:r>
    </w:p>
    <w:p w14:paraId="469D71B0" w14:textId="77777777" w:rsidR="00EC127A"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11F382B" w14:textId="77777777" w:rsidR="00933B5B" w:rsidRPr="0016299D" w:rsidRDefault="00933B5B" w:rsidP="00933B5B">
      <w:r>
        <w:t>Not applicable</w:t>
      </w:r>
    </w:p>
    <w:p w14:paraId="45BA8B2F" w14:textId="77777777" w:rsidR="005E4F39" w:rsidRDefault="00411735" w:rsidP="005E4F39">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07A6171" w14:textId="77777777" w:rsidR="00933B5B" w:rsidRPr="0016299D" w:rsidRDefault="00933B5B" w:rsidP="00933B5B">
      <w:r>
        <w:t>Not applicable</w:t>
      </w:r>
    </w:p>
    <w:p w14:paraId="11F8FDF3"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8331B36"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sidR="001E6919">
        <w:rPr>
          <w:szCs w:val="20"/>
        </w:rPr>
        <w:t xml:space="preserve"> No</w:t>
      </w:r>
    </w:p>
    <w:p w14:paraId="7BA7A87A"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69F7438F" w14:textId="77777777" w:rsidR="00933B5B" w:rsidRPr="0016299D" w:rsidRDefault="00933B5B" w:rsidP="00933B5B">
      <w:r>
        <w:t>Not applicable</w:t>
      </w:r>
    </w:p>
    <w:p w14:paraId="4DE7ACE0" w14:textId="77777777" w:rsidR="005E4F39" w:rsidRPr="005E4F39" w:rsidRDefault="005E4F39" w:rsidP="005E4F39"/>
    <w:p w14:paraId="4BDFE4BE" w14:textId="77777777" w:rsidR="00B75965" w:rsidRDefault="005E4F39" w:rsidP="00530204">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7571EEB" w14:textId="77777777" w:rsidR="005E4F39" w:rsidRDefault="005E4F39" w:rsidP="005E4F39">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Pr="000A5B32">
        <w:rPr>
          <w:szCs w:val="20"/>
        </w:rPr>
        <w:t xml:space="preserve"> Yes</w:t>
      </w:r>
    </w:p>
    <w:p w14:paraId="144A0BAB" w14:textId="77777777" w:rsidR="005E4F39" w:rsidRDefault="005E4F39" w:rsidP="005E4F39">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No</w:t>
      </w:r>
    </w:p>
    <w:p w14:paraId="77AE60FB" w14:textId="5D8C8939" w:rsidR="001E6919" w:rsidRDefault="00A42592" w:rsidP="00A42592">
      <w:pPr>
        <w:spacing w:before="0" w:after="0"/>
        <w:ind w:left="284"/>
        <w:rPr>
          <w:rStyle w:val="Strong"/>
          <w:rFonts w:asciiTheme="minorHAnsi" w:eastAsiaTheme="minorHAnsi" w:hAnsiTheme="minorHAnsi" w:cstheme="minorBidi"/>
          <w:b w:val="0"/>
        </w:rPr>
      </w:pPr>
      <w:r>
        <w:rPr>
          <w:szCs w:val="20"/>
        </w:rPr>
        <w:br/>
      </w:r>
      <w:r w:rsidR="005E4F39" w:rsidRPr="00933B5B">
        <w:rPr>
          <w:rStyle w:val="Strong"/>
          <w:rFonts w:asciiTheme="minorHAnsi" w:eastAsiaTheme="minorHAnsi" w:hAnsiTheme="minorHAnsi" w:cstheme="minorBidi"/>
          <w:b w:val="0"/>
        </w:rPr>
        <w:t>At the time of sub</w:t>
      </w:r>
      <w:r w:rsidR="00933B5B">
        <w:rPr>
          <w:rStyle w:val="Strong"/>
          <w:rFonts w:asciiTheme="minorHAnsi" w:eastAsiaTheme="minorHAnsi" w:hAnsiTheme="minorHAnsi" w:cstheme="minorBidi"/>
          <w:b w:val="0"/>
        </w:rPr>
        <w:t>mitting this a</w:t>
      </w:r>
      <w:r w:rsidR="005E4F39" w:rsidRPr="00933B5B">
        <w:rPr>
          <w:rStyle w:val="Strong"/>
          <w:rFonts w:asciiTheme="minorHAnsi" w:eastAsiaTheme="minorHAnsi" w:hAnsiTheme="minorHAnsi" w:cstheme="minorBidi"/>
          <w:b w:val="0"/>
        </w:rPr>
        <w:t xml:space="preserve">pplication form (20 March 2017), the </w:t>
      </w:r>
      <w:proofErr w:type="spellStart"/>
      <w:r w:rsidR="005E4F39" w:rsidRPr="00933B5B">
        <w:rPr>
          <w:rStyle w:val="Strong"/>
          <w:rFonts w:asciiTheme="minorHAnsi" w:eastAsiaTheme="minorHAnsi" w:hAnsiTheme="minorHAnsi" w:cstheme="minorBidi"/>
          <w:b w:val="0"/>
        </w:rPr>
        <w:t>CyPass</w:t>
      </w:r>
      <w:proofErr w:type="spellEnd"/>
      <w:r w:rsidR="005E4F39" w:rsidRPr="00933B5B">
        <w:rPr>
          <w:rStyle w:val="Strong"/>
          <w:rFonts w:asciiTheme="minorHAnsi" w:eastAsiaTheme="minorHAnsi" w:hAnsiTheme="minorHAnsi" w:cstheme="minorBidi"/>
          <w:b w:val="0"/>
        </w:rPr>
        <w:t xml:space="preserve"> Micro-Stent is listed on the Prostheses List.</w:t>
      </w:r>
      <w:r w:rsidR="00BF6582">
        <w:rPr>
          <w:rStyle w:val="Strong"/>
          <w:rFonts w:asciiTheme="minorHAnsi" w:eastAsiaTheme="minorHAnsi" w:hAnsiTheme="minorHAnsi" w:cstheme="minorBidi"/>
          <w:b w:val="0"/>
        </w:rPr>
        <w:t xml:space="preserve"> The identified MBS item number was 42758.</w:t>
      </w:r>
      <w:r w:rsidR="005E4F39" w:rsidRPr="00933B5B">
        <w:rPr>
          <w:rStyle w:val="Strong"/>
          <w:rFonts w:asciiTheme="minorHAnsi" w:eastAsiaTheme="minorHAnsi" w:hAnsiTheme="minorHAnsi" w:cstheme="minorBidi"/>
          <w:b w:val="0"/>
        </w:rPr>
        <w:t xml:space="preserve"> </w:t>
      </w:r>
    </w:p>
    <w:p w14:paraId="77CB706C" w14:textId="77777777" w:rsidR="007C6E11" w:rsidRPr="001E6958" w:rsidRDefault="007C6E11" w:rsidP="00A42592">
      <w:pPr>
        <w:spacing w:before="0" w:after="0"/>
        <w:ind w:left="284"/>
        <w:rPr>
          <w:szCs w:val="20"/>
        </w:rPr>
      </w:pPr>
    </w:p>
    <w:p w14:paraId="52A4C729" w14:textId="77777777" w:rsidR="00B75965" w:rsidRDefault="00B75965" w:rsidP="00530204">
      <w:pPr>
        <w:pStyle w:val="Heading2"/>
        <w:numPr>
          <w:ilvl w:val="0"/>
          <w:numId w:val="26"/>
        </w:numPr>
      </w:pPr>
      <w:r w:rsidRPr="001E6958">
        <w:t xml:space="preserve">If yes, </w:t>
      </w:r>
      <w:r w:rsidR="00C73B62" w:rsidRPr="001E6958">
        <w:t>please provide the following information (where relevant):</w:t>
      </w:r>
    </w:p>
    <w:p w14:paraId="16794757" w14:textId="77777777" w:rsidR="001E6958" w:rsidRDefault="001E6958" w:rsidP="00A6491A">
      <w:pPr>
        <w:spacing w:before="0" w:after="0"/>
        <w:ind w:left="284"/>
      </w:pPr>
      <w:r>
        <w:t>Billing code(s):</w:t>
      </w:r>
      <w:r w:rsidR="002C0C51">
        <w:t xml:space="preserve"> </w:t>
      </w:r>
      <w:r w:rsidR="002C0C51">
        <w:rPr>
          <w:szCs w:val="20"/>
        </w:rPr>
        <w:t>AL042</w:t>
      </w:r>
    </w:p>
    <w:p w14:paraId="45B2871B" w14:textId="77777777" w:rsidR="001E6958" w:rsidRDefault="001E6958" w:rsidP="00A6491A">
      <w:pPr>
        <w:spacing w:before="0" w:after="0"/>
        <w:ind w:left="284"/>
      </w:pPr>
      <w:r>
        <w:t xml:space="preserve">Trade name of prostheses: </w:t>
      </w:r>
      <w:proofErr w:type="spellStart"/>
      <w:r w:rsidR="002C0C51">
        <w:t>CyPass</w:t>
      </w:r>
      <w:proofErr w:type="spellEnd"/>
      <w:r w:rsidR="002C0C51">
        <w:t xml:space="preserve"> System</w:t>
      </w:r>
    </w:p>
    <w:p w14:paraId="6CF600FB" w14:textId="77777777" w:rsidR="001E6958" w:rsidRDefault="001E6958" w:rsidP="00A6491A">
      <w:pPr>
        <w:spacing w:before="0" w:after="0"/>
        <w:ind w:left="284"/>
      </w:pPr>
      <w:r>
        <w:t>Clinical nam</w:t>
      </w:r>
      <w:r w:rsidR="00102950">
        <w:t xml:space="preserve">e of prostheses: </w:t>
      </w:r>
      <w:r w:rsidR="00C040A4">
        <w:t>glaucoma drainage micro-stent device</w:t>
      </w:r>
    </w:p>
    <w:p w14:paraId="349085C9" w14:textId="77777777" w:rsidR="001E6958" w:rsidRPr="001E6958" w:rsidRDefault="001E6958" w:rsidP="00A6491A">
      <w:pPr>
        <w:spacing w:before="0" w:after="0"/>
        <w:ind w:left="284"/>
      </w:pPr>
      <w:r>
        <w:t xml:space="preserve">Other device components delivered as part of the service: </w:t>
      </w:r>
      <w:proofErr w:type="spellStart"/>
      <w:r w:rsidR="00C040A4">
        <w:t>CyPass</w:t>
      </w:r>
      <w:proofErr w:type="spellEnd"/>
      <w:r w:rsidR="00C040A4">
        <w:t xml:space="preserve"> System also consists of a ‘loader’ and ‘applier’ for </w:t>
      </w:r>
      <w:r w:rsidR="00A42592">
        <w:t>i</w:t>
      </w:r>
      <w:r w:rsidR="00584648">
        <w:t xml:space="preserve">mplantation of </w:t>
      </w:r>
      <w:r w:rsidR="00C040A4">
        <w:t>the micro-stent.</w:t>
      </w:r>
    </w:p>
    <w:p w14:paraId="27693960" w14:textId="77777777" w:rsidR="009939DC" w:rsidRDefault="009939DC" w:rsidP="009939DC"/>
    <w:p w14:paraId="0ACAEB0D"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5A7F6AA" w14:textId="77777777" w:rsidR="00420E08" w:rsidRPr="00420E08" w:rsidRDefault="00420E08" w:rsidP="00420E08">
      <w:r>
        <w:t>Not applicable</w:t>
      </w:r>
    </w:p>
    <w:p w14:paraId="37AEA04A"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sidRPr="000A5B32">
        <w:rPr>
          <w:szCs w:val="20"/>
        </w:rPr>
        <w:t xml:space="preserve"> Yes</w:t>
      </w:r>
    </w:p>
    <w:p w14:paraId="41480A21" w14:textId="77777777" w:rsid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No</w:t>
      </w:r>
    </w:p>
    <w:p w14:paraId="03B96643"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7A94DCBF" w14:textId="521C79F6" w:rsidR="009939DC" w:rsidRDefault="000F23F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009939DC" w:rsidRPr="000A5B32">
        <w:rPr>
          <w:szCs w:val="20"/>
        </w:rPr>
        <w:t xml:space="preserve"> Yes</w:t>
      </w:r>
    </w:p>
    <w:p w14:paraId="3BE5855F" w14:textId="42A64CE7" w:rsidR="009939DC" w:rsidRDefault="000F23F0"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009939DC">
        <w:rPr>
          <w:szCs w:val="20"/>
        </w:rPr>
        <w:t xml:space="preserve"> No</w:t>
      </w:r>
    </w:p>
    <w:p w14:paraId="084C76B0" w14:textId="251223BF" w:rsidR="000F23F0" w:rsidRDefault="000F23F0" w:rsidP="00A6491A">
      <w:pPr>
        <w:spacing w:before="0" w:after="0"/>
        <w:ind w:left="284"/>
        <w:rPr>
          <w:szCs w:val="20"/>
        </w:rPr>
      </w:pPr>
    </w:p>
    <w:p w14:paraId="4A083044" w14:textId="77777777" w:rsidR="000F23F0" w:rsidRDefault="000F23F0" w:rsidP="000F23F0">
      <w:pPr>
        <w:ind w:left="426"/>
      </w:pPr>
      <w:r>
        <w:t xml:space="preserve">The following manufacturers produce similar MIGS devices to treat patients with mild-moderate POAG – these devices are also implanted by the </w:t>
      </w:r>
      <w:proofErr w:type="spellStart"/>
      <w:r>
        <w:t>ab</w:t>
      </w:r>
      <w:proofErr w:type="spellEnd"/>
      <w:r>
        <w:t xml:space="preserve"> </w:t>
      </w:r>
      <w:proofErr w:type="spellStart"/>
      <w:r>
        <w:t>interno</w:t>
      </w:r>
      <w:proofErr w:type="spellEnd"/>
      <w:r>
        <w:t xml:space="preserve"> approach, but the anatomical placement of the device is in </w:t>
      </w:r>
      <w:r w:rsidRPr="00572986">
        <w:t>the trabecular meshwork.</w:t>
      </w:r>
    </w:p>
    <w:p w14:paraId="37308D93" w14:textId="77777777" w:rsidR="000F23F0" w:rsidRPr="00202D9C" w:rsidRDefault="000F23F0" w:rsidP="000F23F0">
      <w:pPr>
        <w:pStyle w:val="ListParagraph"/>
        <w:numPr>
          <w:ilvl w:val="0"/>
          <w:numId w:val="41"/>
        </w:numPr>
        <w:rPr>
          <w:lang w:val="fr-FR"/>
        </w:rPr>
      </w:pPr>
      <w:r w:rsidRPr="00202D9C">
        <w:rPr>
          <w:lang w:val="fr-FR"/>
        </w:rPr>
        <w:lastRenderedPageBreak/>
        <w:t xml:space="preserve">Sponsor: </w:t>
      </w:r>
      <w:proofErr w:type="spellStart"/>
      <w:r w:rsidRPr="00202D9C">
        <w:rPr>
          <w:lang w:val="fr-FR"/>
        </w:rPr>
        <w:t>Glaukos</w:t>
      </w:r>
      <w:proofErr w:type="spellEnd"/>
      <w:r w:rsidRPr="00202D9C">
        <w:rPr>
          <w:lang w:val="fr-FR"/>
        </w:rPr>
        <w:t xml:space="preserve"> </w:t>
      </w:r>
      <w:proofErr w:type="spellStart"/>
      <w:r w:rsidRPr="00202D9C">
        <w:rPr>
          <w:lang w:val="fr-FR"/>
        </w:rPr>
        <w:t>Device</w:t>
      </w:r>
      <w:proofErr w:type="spellEnd"/>
      <w:r w:rsidRPr="00202D9C">
        <w:rPr>
          <w:lang w:val="fr-FR"/>
        </w:rPr>
        <w:t xml:space="preserve">: </w:t>
      </w:r>
      <w:proofErr w:type="spellStart"/>
      <w:r w:rsidRPr="00202D9C">
        <w:rPr>
          <w:lang w:val="fr-FR"/>
        </w:rPr>
        <w:t>iStent</w:t>
      </w:r>
      <w:proofErr w:type="spellEnd"/>
    </w:p>
    <w:p w14:paraId="5CB41751" w14:textId="77777777" w:rsidR="000F23F0" w:rsidRPr="00202D9C" w:rsidRDefault="000F23F0" w:rsidP="000F23F0">
      <w:pPr>
        <w:pStyle w:val="ListParagraph"/>
        <w:numPr>
          <w:ilvl w:val="0"/>
          <w:numId w:val="41"/>
        </w:numPr>
        <w:rPr>
          <w:szCs w:val="20"/>
          <w:lang w:val="fr-FR"/>
        </w:rPr>
      </w:pPr>
      <w:r w:rsidRPr="00202D9C">
        <w:rPr>
          <w:szCs w:val="20"/>
          <w:lang w:val="fr-FR"/>
        </w:rPr>
        <w:t xml:space="preserve">Sponsor </w:t>
      </w:r>
      <w:proofErr w:type="spellStart"/>
      <w:r w:rsidRPr="00202D9C">
        <w:rPr>
          <w:szCs w:val="20"/>
          <w:lang w:val="fr-FR"/>
        </w:rPr>
        <w:t>I</w:t>
      </w:r>
      <w:r>
        <w:rPr>
          <w:szCs w:val="20"/>
          <w:lang w:val="fr-FR"/>
        </w:rPr>
        <w:t>vantis</w:t>
      </w:r>
      <w:proofErr w:type="spellEnd"/>
      <w:r>
        <w:rPr>
          <w:szCs w:val="20"/>
          <w:lang w:val="fr-FR"/>
        </w:rPr>
        <w:t xml:space="preserve"> </w:t>
      </w:r>
      <w:proofErr w:type="spellStart"/>
      <w:r>
        <w:rPr>
          <w:szCs w:val="20"/>
          <w:lang w:val="fr-FR"/>
        </w:rPr>
        <w:t>Device</w:t>
      </w:r>
      <w:proofErr w:type="spellEnd"/>
      <w:r>
        <w:rPr>
          <w:szCs w:val="20"/>
          <w:lang w:val="fr-FR"/>
        </w:rPr>
        <w:t>:</w:t>
      </w:r>
      <w:r w:rsidRPr="00202D9C">
        <w:rPr>
          <w:szCs w:val="20"/>
          <w:lang w:val="fr-FR"/>
        </w:rPr>
        <w:t xml:space="preserve"> </w:t>
      </w:r>
      <w:proofErr w:type="spellStart"/>
      <w:r w:rsidRPr="00202D9C">
        <w:rPr>
          <w:szCs w:val="20"/>
          <w:lang w:val="fr-FR"/>
        </w:rPr>
        <w:t>Hydrus</w:t>
      </w:r>
      <w:proofErr w:type="spellEnd"/>
    </w:p>
    <w:p w14:paraId="43F20C7C" w14:textId="77777777" w:rsidR="000F23F0" w:rsidRPr="001E6958" w:rsidRDefault="000F23F0" w:rsidP="00A6491A">
      <w:pPr>
        <w:spacing w:before="0" w:after="0"/>
        <w:ind w:left="284"/>
        <w:rPr>
          <w:szCs w:val="20"/>
        </w:rPr>
      </w:pPr>
    </w:p>
    <w:p w14:paraId="6F3A5C42"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CF24C82" w14:textId="77777777" w:rsidR="00016B6E" w:rsidRDefault="00933B5B" w:rsidP="00A6491A">
      <w:pPr>
        <w:ind w:left="284"/>
      </w:pPr>
      <w:r>
        <w:t>Not applicable</w:t>
      </w:r>
    </w:p>
    <w:p w14:paraId="666DECDE" w14:textId="77777777" w:rsidR="00933B5B" w:rsidRPr="009939DC" w:rsidRDefault="00933B5B" w:rsidP="00A6491A">
      <w:pPr>
        <w:ind w:left="284"/>
      </w:pPr>
    </w:p>
    <w:p w14:paraId="2224F218"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7E683657" w14:textId="77777777" w:rsidR="00420E08" w:rsidRDefault="00420E08" w:rsidP="00420E08">
      <w:pPr>
        <w:spacing w:before="0" w:after="0"/>
        <w:ind w:left="284"/>
      </w:pPr>
      <w:r>
        <w:t>Single use consumables:</w:t>
      </w:r>
    </w:p>
    <w:p w14:paraId="7EF9AD93" w14:textId="77777777" w:rsidR="00420E08" w:rsidRDefault="00420E08" w:rsidP="00420E08">
      <w:pPr>
        <w:spacing w:before="0" w:after="0"/>
        <w:ind w:left="284"/>
      </w:pPr>
      <w:r>
        <w:t>An injector system, pre-loaded with the MIGS device is provided and included in the total cost of the MIGS device system. The cost of the injector and the micro-bypass stent prosthesis are not included as part of the MBS service</w:t>
      </w:r>
    </w:p>
    <w:p w14:paraId="4B84D7EA" w14:textId="77777777" w:rsidR="00420E08" w:rsidRDefault="00420E08" w:rsidP="00420E08">
      <w:pPr>
        <w:spacing w:before="0" w:after="0"/>
        <w:ind w:left="284"/>
      </w:pPr>
      <w:r>
        <w:t>Multi-use consumables:</w:t>
      </w:r>
      <w:r w:rsidRPr="009939DC">
        <w:t xml:space="preserve"> </w:t>
      </w:r>
      <w:r>
        <w:t>None</w:t>
      </w:r>
    </w:p>
    <w:p w14:paraId="425BFB0F" w14:textId="77777777" w:rsidR="00F301F1" w:rsidRPr="00855944" w:rsidRDefault="00F301F1" w:rsidP="00A6491A">
      <w:pPr>
        <w:spacing w:before="0" w:after="0"/>
        <w:ind w:left="284"/>
      </w:pPr>
      <w:r w:rsidRPr="00855944">
        <w:br w:type="page"/>
      </w:r>
    </w:p>
    <w:p w14:paraId="5DBB3A20"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72B1C8FF"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978C3A4"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EF277B">
        <w:rPr>
          <w:szCs w:val="20"/>
        </w:rPr>
        <w:t>Drain, internal, eye</w:t>
      </w:r>
      <w:r w:rsidR="007B4145">
        <w:rPr>
          <w:szCs w:val="20"/>
        </w:rPr>
        <w:t>.</w:t>
      </w:r>
    </w:p>
    <w:p w14:paraId="18F63EBA" w14:textId="18D5F0B7" w:rsidR="00A26343" w:rsidRPr="00A26343" w:rsidRDefault="00A26343" w:rsidP="00A6491A">
      <w:pPr>
        <w:spacing w:before="0" w:after="0"/>
        <w:ind w:left="284"/>
        <w:rPr>
          <w:szCs w:val="20"/>
        </w:rPr>
      </w:pPr>
      <w:r w:rsidRPr="00A26343">
        <w:rPr>
          <w:szCs w:val="20"/>
        </w:rPr>
        <w:t>Manufacturer’s name</w:t>
      </w:r>
      <w:r>
        <w:rPr>
          <w:szCs w:val="20"/>
        </w:rPr>
        <w:t xml:space="preserve">: </w:t>
      </w:r>
      <w:r w:rsidR="00A21C0F" w:rsidRPr="00A21C0F">
        <w:rPr>
          <w:szCs w:val="20"/>
        </w:rPr>
        <w:t>Redacted</w:t>
      </w:r>
    </w:p>
    <w:p w14:paraId="39D1185F" w14:textId="36868D85" w:rsidR="00A26343" w:rsidRDefault="00A26343" w:rsidP="00A6491A">
      <w:pPr>
        <w:spacing w:before="0" w:after="0"/>
        <w:ind w:left="284"/>
        <w:rPr>
          <w:rFonts w:cstheme="minorHAnsi"/>
          <w:szCs w:val="20"/>
        </w:rPr>
      </w:pPr>
      <w:r w:rsidRPr="00A26343">
        <w:rPr>
          <w:szCs w:val="20"/>
        </w:rPr>
        <w:t>Sponsor’s name</w:t>
      </w:r>
      <w:r>
        <w:rPr>
          <w:szCs w:val="20"/>
        </w:rPr>
        <w:t xml:space="preserve">: </w:t>
      </w:r>
      <w:r w:rsidR="00A21C0F" w:rsidRPr="00A21C0F">
        <w:rPr>
          <w:szCs w:val="20"/>
        </w:rPr>
        <w:t>Redacted</w:t>
      </w:r>
    </w:p>
    <w:p w14:paraId="25A0D432" w14:textId="77777777" w:rsidR="007B4145" w:rsidRPr="00EF277B" w:rsidRDefault="007B4145" w:rsidP="00A6491A">
      <w:pPr>
        <w:spacing w:before="0" w:after="0"/>
        <w:ind w:left="284"/>
        <w:rPr>
          <w:rFonts w:cstheme="minorHAnsi"/>
          <w:szCs w:val="20"/>
        </w:rPr>
      </w:pPr>
    </w:p>
    <w:p w14:paraId="25F95A48"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6A094702"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sidRPr="000A5B32">
        <w:rPr>
          <w:szCs w:val="20"/>
        </w:rPr>
        <w:t xml:space="preserve"> </w:t>
      </w:r>
      <w:r w:rsidRPr="00615F42">
        <w:rPr>
          <w:szCs w:val="20"/>
        </w:rPr>
        <w:t>Class III</w:t>
      </w:r>
    </w:p>
    <w:p w14:paraId="00F6032E"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sidRPr="000A5B32">
        <w:rPr>
          <w:szCs w:val="20"/>
        </w:rPr>
        <w:t xml:space="preserve"> </w:t>
      </w:r>
      <w:r w:rsidRPr="00615F42">
        <w:rPr>
          <w:szCs w:val="20"/>
        </w:rPr>
        <w:t>AIMD</w:t>
      </w:r>
    </w:p>
    <w:p w14:paraId="78E49AF4" w14:textId="77777777" w:rsidR="002847B0" w:rsidRPr="00154B00" w:rsidRDefault="002847B0" w:rsidP="002847B0">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Pr="000A5B32">
        <w:rPr>
          <w:szCs w:val="20"/>
        </w:rPr>
        <w:t xml:space="preserve"> </w:t>
      </w:r>
      <w:r w:rsidRPr="00615F42">
        <w:rPr>
          <w:szCs w:val="20"/>
        </w:rPr>
        <w:t>N/A</w:t>
      </w:r>
    </w:p>
    <w:p w14:paraId="75197907" w14:textId="77777777" w:rsidR="007B4145" w:rsidRPr="007B4145" w:rsidRDefault="007B4145" w:rsidP="00A6491A">
      <w:pPr>
        <w:spacing w:before="0" w:after="0"/>
        <w:ind w:left="284"/>
        <w:rPr>
          <w:b/>
          <w:szCs w:val="20"/>
        </w:rPr>
      </w:pPr>
    </w:p>
    <w:p w14:paraId="6D44E69E"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7503CF4"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2C3F125E" w14:textId="77777777" w:rsidR="002847B0" w:rsidRDefault="002847B0" w:rsidP="002847B0">
      <w:pPr>
        <w:spacing w:before="0" w:after="0"/>
        <w:ind w:firstLine="284"/>
        <w:rPr>
          <w:szCs w:val="20"/>
        </w:rPr>
      </w:pPr>
      <w:r w:rsidRPr="002847B0">
        <w:rPr>
          <w:szCs w:val="20"/>
        </w:rPr>
        <w:fldChar w:fldCharType="begin">
          <w:ffData>
            <w:name w:val=""/>
            <w:enabled/>
            <w:calcOnExit w:val="0"/>
            <w:checkBox>
              <w:sizeAuto/>
              <w:default w:val="1"/>
            </w:checkBox>
          </w:ffData>
        </w:fldChar>
      </w:r>
      <w:r w:rsidRPr="002847B0">
        <w:rPr>
          <w:szCs w:val="20"/>
        </w:rPr>
        <w:instrText xml:space="preserve"> FORMCHECKBOX </w:instrText>
      </w:r>
      <w:r w:rsidR="00A57971">
        <w:rPr>
          <w:szCs w:val="20"/>
        </w:rPr>
      </w:r>
      <w:r w:rsidR="00A57971">
        <w:rPr>
          <w:szCs w:val="20"/>
        </w:rPr>
        <w:fldChar w:fldCharType="separate"/>
      </w:r>
      <w:r w:rsidRPr="002847B0">
        <w:rPr>
          <w:szCs w:val="20"/>
        </w:rPr>
        <w:fldChar w:fldCharType="end"/>
      </w:r>
      <w:r w:rsidRPr="002847B0">
        <w:rPr>
          <w:szCs w:val="20"/>
        </w:rPr>
        <w:t xml:space="preserve"> No</w:t>
      </w:r>
    </w:p>
    <w:p w14:paraId="0AB05CB2" w14:textId="77777777" w:rsidR="002847B0" w:rsidRPr="002847B0" w:rsidRDefault="002847B0" w:rsidP="002847B0">
      <w:pPr>
        <w:spacing w:before="0" w:after="0"/>
        <w:ind w:firstLine="284"/>
        <w:rPr>
          <w:b/>
          <w:szCs w:val="20"/>
        </w:rPr>
      </w:pPr>
    </w:p>
    <w:p w14:paraId="2AE0C326"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BAB6246" w14:textId="77777777" w:rsidR="0043654D" w:rsidRDefault="002847B0"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Yes </w:t>
      </w:r>
      <w:r w:rsidR="0043654D">
        <w:rPr>
          <w:szCs w:val="20"/>
        </w:rPr>
        <w:t>(if yes, please provide details below)</w:t>
      </w:r>
    </w:p>
    <w:p w14:paraId="48E5C642"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No</w:t>
      </w:r>
    </w:p>
    <w:p w14:paraId="31F3BFF9" w14:textId="77777777" w:rsidR="0043654D" w:rsidRPr="00615F42" w:rsidRDefault="0043654D" w:rsidP="0043654D">
      <w:pPr>
        <w:spacing w:before="0" w:after="0"/>
        <w:ind w:left="284"/>
        <w:rPr>
          <w:b/>
          <w:szCs w:val="20"/>
        </w:rPr>
      </w:pPr>
    </w:p>
    <w:p w14:paraId="6F187FCE"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A111AB">
        <w:t>163624.</w:t>
      </w:r>
    </w:p>
    <w:p w14:paraId="0E9E2561" w14:textId="77777777" w:rsidR="00F301F1" w:rsidRDefault="0043654D" w:rsidP="0043654D">
      <w:pPr>
        <w:spacing w:before="0" w:after="0"/>
        <w:ind w:left="284"/>
        <w:rPr>
          <w:rFonts w:cstheme="minorHAnsi"/>
          <w:szCs w:val="20"/>
        </w:rPr>
      </w:pPr>
      <w:r w:rsidRPr="0043654D">
        <w:rPr>
          <w:szCs w:val="20"/>
        </w:rPr>
        <w:t xml:space="preserve">TGA approved purpose(s), if </w:t>
      </w:r>
      <w:r w:rsidRPr="00EF277B">
        <w:rPr>
          <w:rFonts w:cstheme="minorHAnsi"/>
          <w:szCs w:val="20"/>
        </w:rPr>
        <w:t xml:space="preserve">applicable: </w:t>
      </w:r>
      <w:r w:rsidR="00EF277B">
        <w:rPr>
          <w:rFonts w:cstheme="minorHAnsi"/>
          <w:szCs w:val="20"/>
        </w:rPr>
        <w:t>T</w:t>
      </w:r>
      <w:r w:rsidR="00EF277B" w:rsidRPr="00EF277B">
        <w:rPr>
          <w:rFonts w:cstheme="minorHAnsi"/>
          <w:szCs w:val="20"/>
        </w:rPr>
        <w:t>o be implanted in the eye to relieve elevated intraocular pressure due to glaucoma</w:t>
      </w:r>
      <w:r w:rsidR="00EF277B">
        <w:rPr>
          <w:rFonts w:cstheme="minorHAnsi"/>
          <w:szCs w:val="20"/>
        </w:rPr>
        <w:t>.</w:t>
      </w:r>
    </w:p>
    <w:p w14:paraId="640CB953" w14:textId="77777777" w:rsidR="007B4145" w:rsidRPr="00EF277B" w:rsidRDefault="007B4145" w:rsidP="0043654D">
      <w:pPr>
        <w:spacing w:before="0" w:after="0"/>
        <w:ind w:left="284"/>
        <w:rPr>
          <w:rFonts w:cstheme="minorHAnsi"/>
          <w:szCs w:val="20"/>
        </w:rPr>
      </w:pPr>
    </w:p>
    <w:p w14:paraId="572EA31B" w14:textId="77777777"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14:paraId="3334299C" w14:textId="77777777" w:rsidR="00CB4451" w:rsidRPr="00CB4451" w:rsidRDefault="00CB4451" w:rsidP="00CB4451">
      <w:r>
        <w:t>Not applicable</w:t>
      </w:r>
    </w:p>
    <w:p w14:paraId="732D279A"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Yes (please provide details below)</w:t>
      </w:r>
    </w:p>
    <w:p w14:paraId="2655284C"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No</w:t>
      </w:r>
    </w:p>
    <w:p w14:paraId="2BF7AE13" w14:textId="77777777" w:rsidR="0047581D" w:rsidRDefault="0047581D" w:rsidP="0047581D">
      <w:pPr>
        <w:spacing w:before="0" w:after="0"/>
        <w:rPr>
          <w:b/>
          <w:szCs w:val="20"/>
        </w:rPr>
      </w:pPr>
    </w:p>
    <w:p w14:paraId="57DDC6CC" w14:textId="77777777"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2206D47" w14:textId="77777777" w:rsidR="00CB4451" w:rsidRPr="00CB4451" w:rsidRDefault="00CB4451" w:rsidP="00CB4451">
      <w:r>
        <w:t>Not applicable</w:t>
      </w:r>
    </w:p>
    <w:p w14:paraId="610D2F95"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Yes (please provide details below)</w:t>
      </w:r>
    </w:p>
    <w:p w14:paraId="51E74B75"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No</w:t>
      </w:r>
    </w:p>
    <w:p w14:paraId="3146A9A9" w14:textId="77777777" w:rsidR="000A110D" w:rsidRDefault="000A110D" w:rsidP="00971EDB">
      <w:pPr>
        <w:spacing w:before="0" w:after="0"/>
        <w:rPr>
          <w:szCs w:val="20"/>
        </w:rPr>
      </w:pPr>
    </w:p>
    <w:p w14:paraId="7EE79048"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14971CD6"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0439E8D4" w14:textId="26035B9C"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p w14:paraId="69DE3FEB" w14:textId="0291E5EE" w:rsidR="00BF6582" w:rsidRPr="00BF6582" w:rsidRDefault="00BF6582" w:rsidP="00BF6582">
      <w:r w:rsidRPr="00BF6582">
        <w:rPr>
          <w:szCs w:val="20"/>
        </w:rPr>
        <w:t>A formal systematic literature review will be undertaken as part of the SBA.</w:t>
      </w:r>
    </w:p>
    <w:tbl>
      <w:tblPr>
        <w:tblStyle w:val="TableGrid"/>
        <w:tblW w:w="4832" w:type="pct"/>
        <w:tblLayout w:type="fixed"/>
        <w:tblLook w:val="04A0" w:firstRow="1" w:lastRow="0" w:firstColumn="1" w:lastColumn="0" w:noHBand="0" w:noVBand="1"/>
        <w:tblCaption w:val="Summary of Evidence - Published"/>
      </w:tblPr>
      <w:tblGrid>
        <w:gridCol w:w="417"/>
        <w:gridCol w:w="2460"/>
        <w:gridCol w:w="3312"/>
        <w:gridCol w:w="4611"/>
        <w:gridCol w:w="1641"/>
        <w:gridCol w:w="1257"/>
      </w:tblGrid>
      <w:tr w:rsidR="003D0DD8" w14:paraId="5145A5FF" w14:textId="77777777" w:rsidTr="00572986">
        <w:trPr>
          <w:cantSplit/>
          <w:trHeight w:val="680"/>
          <w:tblHeader/>
        </w:trPr>
        <w:tc>
          <w:tcPr>
            <w:tcW w:w="152" w:type="pct"/>
          </w:tcPr>
          <w:p w14:paraId="3CA5D180" w14:textId="77777777" w:rsidR="00DD308E" w:rsidRDefault="00DD308E" w:rsidP="00572986">
            <w:pPr>
              <w:pStyle w:val="TableHEADER"/>
              <w:spacing w:before="0" w:after="0"/>
              <w:contextualSpacing/>
            </w:pPr>
          </w:p>
        </w:tc>
        <w:tc>
          <w:tcPr>
            <w:tcW w:w="898" w:type="pct"/>
          </w:tcPr>
          <w:p w14:paraId="4062F617" w14:textId="77777777" w:rsidR="00DD308E" w:rsidRDefault="00572986" w:rsidP="00572986">
            <w:pPr>
              <w:pStyle w:val="TableHEADER"/>
              <w:spacing w:before="0" w:after="0"/>
              <w:contextualSpacing/>
            </w:pPr>
            <w:r>
              <w:t>Type of study design</w:t>
            </w:r>
          </w:p>
        </w:tc>
        <w:tc>
          <w:tcPr>
            <w:tcW w:w="1209" w:type="pct"/>
          </w:tcPr>
          <w:p w14:paraId="2F879AFC" w14:textId="77777777" w:rsidR="00DD308E" w:rsidRDefault="00DD308E" w:rsidP="00572986">
            <w:pPr>
              <w:pStyle w:val="TableHEADER"/>
              <w:spacing w:before="0" w:after="0"/>
              <w:contextualSpacing/>
            </w:pPr>
            <w:r>
              <w:t>Title of journal article or research project (including any trial identifier or study lead if relevant)</w:t>
            </w:r>
          </w:p>
        </w:tc>
        <w:tc>
          <w:tcPr>
            <w:tcW w:w="1683" w:type="pct"/>
          </w:tcPr>
          <w:p w14:paraId="00518C18" w14:textId="77777777" w:rsidR="00DD308E" w:rsidRDefault="00DD308E" w:rsidP="00572986">
            <w:pPr>
              <w:pStyle w:val="TableHEADER"/>
              <w:spacing w:before="0" w:after="0"/>
              <w:contextualSpacing/>
            </w:pPr>
            <w:r>
              <w:t>Short descripti</w:t>
            </w:r>
            <w:r w:rsidR="00572986">
              <w:t>on of research (max 50 words)</w:t>
            </w:r>
          </w:p>
        </w:tc>
        <w:tc>
          <w:tcPr>
            <w:tcW w:w="599" w:type="pct"/>
          </w:tcPr>
          <w:p w14:paraId="53782053" w14:textId="77777777" w:rsidR="00DD308E" w:rsidRDefault="00DD308E" w:rsidP="00572986">
            <w:pPr>
              <w:pStyle w:val="TableHEADER"/>
              <w:spacing w:before="0" w:after="0"/>
              <w:contextualSpacing/>
            </w:pPr>
            <w:r w:rsidRPr="00E82F54">
              <w:t xml:space="preserve">Website link to </w:t>
            </w:r>
            <w:r>
              <w:t xml:space="preserve">journal article or research </w:t>
            </w:r>
          </w:p>
        </w:tc>
        <w:tc>
          <w:tcPr>
            <w:tcW w:w="459" w:type="pct"/>
          </w:tcPr>
          <w:p w14:paraId="427D056B" w14:textId="77777777" w:rsidR="00DD308E" w:rsidRDefault="00DD308E" w:rsidP="00572986">
            <w:pPr>
              <w:pStyle w:val="TableHEADER"/>
              <w:spacing w:before="0" w:after="0"/>
              <w:contextualSpacing/>
            </w:pPr>
            <w:r w:rsidRPr="00E82F54">
              <w:t>Date</w:t>
            </w:r>
            <w:r w:rsidR="00572986">
              <w:t xml:space="preserve"> of publication</w:t>
            </w:r>
          </w:p>
        </w:tc>
      </w:tr>
      <w:tr w:rsidR="003D0DD8" w14:paraId="3A503BF3" w14:textId="77777777" w:rsidTr="00572986">
        <w:trPr>
          <w:cantSplit/>
          <w:trHeight w:val="680"/>
        </w:trPr>
        <w:tc>
          <w:tcPr>
            <w:tcW w:w="152" w:type="pct"/>
          </w:tcPr>
          <w:p w14:paraId="77FE1674" w14:textId="77777777" w:rsidR="00DD308E" w:rsidRPr="00965B6B" w:rsidRDefault="00DD308E" w:rsidP="00572986">
            <w:pPr>
              <w:spacing w:before="0" w:after="0"/>
              <w:contextualSpacing/>
              <w:rPr>
                <w:szCs w:val="20"/>
              </w:rPr>
            </w:pPr>
            <w:r w:rsidRPr="00965B6B">
              <w:rPr>
                <w:szCs w:val="20"/>
              </w:rPr>
              <w:t>1</w:t>
            </w:r>
            <w:r>
              <w:rPr>
                <w:szCs w:val="20"/>
              </w:rPr>
              <w:t>.</w:t>
            </w:r>
          </w:p>
        </w:tc>
        <w:tc>
          <w:tcPr>
            <w:tcW w:w="898" w:type="pct"/>
          </w:tcPr>
          <w:p w14:paraId="69B052C7" w14:textId="77777777" w:rsidR="00DD308E" w:rsidRDefault="00DF4F76" w:rsidP="00572986">
            <w:pPr>
              <w:spacing w:before="0" w:after="0"/>
              <w:contextualSpacing/>
              <w:rPr>
                <w:b/>
                <w:szCs w:val="20"/>
              </w:rPr>
            </w:pPr>
            <w:r>
              <w:rPr>
                <w:szCs w:val="20"/>
              </w:rPr>
              <w:t>COMPASS trial: r</w:t>
            </w:r>
            <w:r w:rsidR="005B4DBE">
              <w:t>andomis</w:t>
            </w:r>
            <w:r w:rsidR="00496D72" w:rsidRPr="000D44C6">
              <w:t xml:space="preserve">ed, controlled, </w:t>
            </w:r>
            <w:r w:rsidR="00966AA1" w:rsidRPr="000D44C6">
              <w:t>multicentre</w:t>
            </w:r>
            <w:r w:rsidR="00496D72" w:rsidRPr="000D44C6">
              <w:t xml:space="preserve"> study comparing the safety and efficacy of </w:t>
            </w:r>
            <w:r w:rsidR="005B7EAF">
              <w:t>supraciliary micro</w:t>
            </w:r>
            <w:r w:rsidR="00966AA1">
              <w:t>-</w:t>
            </w:r>
            <w:r w:rsidR="005B7EAF">
              <w:t>stenting (</w:t>
            </w:r>
            <w:r w:rsidR="00496D72">
              <w:t>CyPass</w:t>
            </w:r>
            <w:r w:rsidR="005B7EAF">
              <w:t>)</w:t>
            </w:r>
            <w:r w:rsidR="00496D72" w:rsidRPr="000D44C6">
              <w:t xml:space="preserve"> with cataract surgery vs. cataract surgery alone</w:t>
            </w:r>
            <w:r w:rsidR="00496D72">
              <w:t>.</w:t>
            </w:r>
          </w:p>
        </w:tc>
        <w:tc>
          <w:tcPr>
            <w:tcW w:w="1209" w:type="pct"/>
          </w:tcPr>
          <w:p w14:paraId="2C649933" w14:textId="77777777" w:rsidR="005B4DBE" w:rsidRDefault="00496D72" w:rsidP="00572986">
            <w:pPr>
              <w:pStyle w:val="Heading1"/>
              <w:contextualSpacing/>
              <w:outlineLvl w:val="0"/>
              <w:rPr>
                <w:color w:val="auto"/>
                <w:sz w:val="20"/>
                <w:szCs w:val="20"/>
              </w:rPr>
            </w:pPr>
            <w:r w:rsidRPr="00BF5C3C">
              <w:rPr>
                <w:color w:val="auto"/>
                <w:sz w:val="20"/>
                <w:szCs w:val="20"/>
              </w:rPr>
              <w:t xml:space="preserve">Two-Year COMPASS </w:t>
            </w:r>
            <w:r w:rsidR="00372C47">
              <w:rPr>
                <w:color w:val="auto"/>
                <w:sz w:val="20"/>
                <w:szCs w:val="20"/>
              </w:rPr>
              <w:t>t</w:t>
            </w:r>
            <w:r w:rsidRPr="00BF5C3C">
              <w:rPr>
                <w:color w:val="auto"/>
                <w:sz w:val="20"/>
                <w:szCs w:val="20"/>
              </w:rPr>
              <w:t xml:space="preserve">rial </w:t>
            </w:r>
            <w:r w:rsidR="00372C47">
              <w:rPr>
                <w:color w:val="auto"/>
                <w:sz w:val="20"/>
                <w:szCs w:val="20"/>
              </w:rPr>
              <w:t>r</w:t>
            </w:r>
            <w:r w:rsidRPr="00BF5C3C">
              <w:rPr>
                <w:color w:val="auto"/>
                <w:sz w:val="20"/>
                <w:szCs w:val="20"/>
              </w:rPr>
              <w:t xml:space="preserve">esults: </w:t>
            </w:r>
            <w:r w:rsidR="00372C47">
              <w:rPr>
                <w:color w:val="auto"/>
                <w:sz w:val="20"/>
                <w:szCs w:val="20"/>
              </w:rPr>
              <w:t>s</w:t>
            </w:r>
            <w:r w:rsidRPr="00BF5C3C">
              <w:rPr>
                <w:color w:val="auto"/>
                <w:sz w:val="20"/>
                <w:szCs w:val="20"/>
              </w:rPr>
              <w:t xml:space="preserve">upraciliary </w:t>
            </w:r>
            <w:proofErr w:type="spellStart"/>
            <w:r w:rsidR="00372C47">
              <w:rPr>
                <w:color w:val="auto"/>
                <w:sz w:val="20"/>
                <w:szCs w:val="20"/>
              </w:rPr>
              <w:t>m</w:t>
            </w:r>
            <w:r w:rsidRPr="00BF5C3C">
              <w:rPr>
                <w:color w:val="auto"/>
                <w:sz w:val="20"/>
                <w:szCs w:val="20"/>
              </w:rPr>
              <w:t>icrostenting</w:t>
            </w:r>
            <w:proofErr w:type="spellEnd"/>
            <w:r w:rsidRPr="00BF5C3C">
              <w:rPr>
                <w:color w:val="auto"/>
                <w:sz w:val="20"/>
                <w:szCs w:val="20"/>
              </w:rPr>
              <w:t xml:space="preserve"> with </w:t>
            </w:r>
            <w:r w:rsidR="00372C47">
              <w:rPr>
                <w:color w:val="auto"/>
                <w:sz w:val="20"/>
                <w:szCs w:val="20"/>
              </w:rPr>
              <w:t>p</w:t>
            </w:r>
            <w:r w:rsidRPr="00BF5C3C">
              <w:rPr>
                <w:color w:val="auto"/>
                <w:sz w:val="20"/>
                <w:szCs w:val="20"/>
              </w:rPr>
              <w:t xml:space="preserve">hacoemulsification in </w:t>
            </w:r>
            <w:r w:rsidR="00372C47">
              <w:rPr>
                <w:color w:val="auto"/>
                <w:sz w:val="20"/>
                <w:szCs w:val="20"/>
              </w:rPr>
              <w:t>p</w:t>
            </w:r>
            <w:r w:rsidRPr="00BF5C3C">
              <w:rPr>
                <w:color w:val="auto"/>
                <w:sz w:val="20"/>
                <w:szCs w:val="20"/>
              </w:rPr>
              <w:t xml:space="preserve">atients with </w:t>
            </w:r>
            <w:r w:rsidR="00372C47">
              <w:rPr>
                <w:color w:val="auto"/>
                <w:sz w:val="20"/>
                <w:szCs w:val="20"/>
              </w:rPr>
              <w:t>o</w:t>
            </w:r>
            <w:r w:rsidRPr="00BF5C3C">
              <w:rPr>
                <w:color w:val="auto"/>
                <w:sz w:val="20"/>
                <w:szCs w:val="20"/>
              </w:rPr>
              <w:t>pen-</w:t>
            </w:r>
            <w:r w:rsidR="00372C47">
              <w:rPr>
                <w:color w:val="auto"/>
                <w:sz w:val="20"/>
                <w:szCs w:val="20"/>
              </w:rPr>
              <w:t>a</w:t>
            </w:r>
            <w:r w:rsidRPr="00BF5C3C">
              <w:rPr>
                <w:color w:val="auto"/>
                <w:sz w:val="20"/>
                <w:szCs w:val="20"/>
              </w:rPr>
              <w:t xml:space="preserve">ngle </w:t>
            </w:r>
            <w:r w:rsidR="00372C47">
              <w:rPr>
                <w:color w:val="auto"/>
                <w:sz w:val="20"/>
                <w:szCs w:val="20"/>
              </w:rPr>
              <w:t>g</w:t>
            </w:r>
            <w:r w:rsidRPr="00BF5C3C">
              <w:rPr>
                <w:color w:val="auto"/>
                <w:sz w:val="20"/>
                <w:szCs w:val="20"/>
              </w:rPr>
              <w:t xml:space="preserve">laucoma and </w:t>
            </w:r>
            <w:r w:rsidR="00372C47">
              <w:rPr>
                <w:color w:val="auto"/>
                <w:sz w:val="20"/>
                <w:szCs w:val="20"/>
              </w:rPr>
              <w:t>c</w:t>
            </w:r>
            <w:r w:rsidRPr="00BF5C3C">
              <w:rPr>
                <w:color w:val="auto"/>
                <w:sz w:val="20"/>
                <w:szCs w:val="20"/>
              </w:rPr>
              <w:t xml:space="preserve">ataracts. </w:t>
            </w:r>
            <w:proofErr w:type="spellStart"/>
            <w:r w:rsidR="005B4DBE" w:rsidRPr="005B4DBE">
              <w:rPr>
                <w:color w:val="auto"/>
                <w:sz w:val="20"/>
                <w:szCs w:val="20"/>
              </w:rPr>
              <w:t>Vold</w:t>
            </w:r>
            <w:proofErr w:type="spellEnd"/>
            <w:r w:rsidR="005B4DBE" w:rsidRPr="005B4DBE">
              <w:rPr>
                <w:color w:val="auto"/>
                <w:sz w:val="20"/>
                <w:szCs w:val="20"/>
              </w:rPr>
              <w:t xml:space="preserve"> S, Ahmed II, Craven ER et al 2016. </w:t>
            </w:r>
            <w:r w:rsidRPr="00BF5C3C">
              <w:rPr>
                <w:color w:val="auto"/>
                <w:sz w:val="20"/>
                <w:szCs w:val="20"/>
              </w:rPr>
              <w:t>Ophthalmology 2016;123(10):2103-12.</w:t>
            </w:r>
          </w:p>
          <w:p w14:paraId="2A560B80" w14:textId="77777777" w:rsidR="005B4DBE" w:rsidRPr="005B4DBE" w:rsidRDefault="005B4DBE" w:rsidP="00572986">
            <w:pPr>
              <w:pStyle w:val="Heading1"/>
              <w:contextualSpacing/>
              <w:outlineLvl w:val="0"/>
              <w:rPr>
                <w:color w:val="auto"/>
                <w:sz w:val="20"/>
                <w:szCs w:val="20"/>
              </w:rPr>
            </w:pPr>
            <w:r w:rsidRPr="005B4DBE">
              <w:rPr>
                <w:color w:val="auto"/>
                <w:sz w:val="20"/>
                <w:szCs w:val="20"/>
              </w:rPr>
              <w:t>(NCT01085357)</w:t>
            </w:r>
          </w:p>
        </w:tc>
        <w:tc>
          <w:tcPr>
            <w:tcW w:w="1683" w:type="pct"/>
          </w:tcPr>
          <w:p w14:paraId="4203FC66" w14:textId="77777777" w:rsidR="003D0DD8" w:rsidRPr="00BF5C3C" w:rsidRDefault="00E30444" w:rsidP="00572986">
            <w:pPr>
              <w:spacing w:before="0" w:after="0"/>
              <w:contextualSpacing/>
              <w:rPr>
                <w:szCs w:val="20"/>
              </w:rPr>
            </w:pPr>
            <w:r>
              <w:rPr>
                <w:rFonts w:ascii="Calibri" w:eastAsia="Times New Roman" w:hAnsi="Calibri" w:cs="Times New Roman"/>
                <w:color w:val="000000"/>
                <w:szCs w:val="20"/>
              </w:rPr>
              <w:t>P</w:t>
            </w:r>
            <w:r w:rsidR="003D0DD8" w:rsidRPr="00BF5C3C">
              <w:rPr>
                <w:rFonts w:ascii="Calibri" w:eastAsia="Times New Roman" w:hAnsi="Calibri" w:cs="Times New Roman"/>
                <w:color w:val="000000"/>
                <w:szCs w:val="20"/>
              </w:rPr>
              <w:t xml:space="preserve">atients with </w:t>
            </w:r>
            <w:r w:rsidR="006D5761">
              <w:rPr>
                <w:rFonts w:ascii="Calibri" w:eastAsia="Times New Roman" w:hAnsi="Calibri" w:cs="Times New Roman"/>
                <w:color w:val="000000"/>
                <w:szCs w:val="20"/>
              </w:rPr>
              <w:t>POAG</w:t>
            </w:r>
            <w:r w:rsidR="00BF5C3C" w:rsidRPr="00BF5C3C">
              <w:rPr>
                <w:rFonts w:ascii="Calibri" w:eastAsia="Times New Roman" w:hAnsi="Calibri" w:cs="Times New Roman"/>
                <w:color w:val="000000"/>
                <w:szCs w:val="20"/>
              </w:rPr>
              <w:t xml:space="preserve"> </w:t>
            </w:r>
            <w:r w:rsidR="003D0DD8" w:rsidRPr="00BF5C3C">
              <w:rPr>
                <w:rFonts w:ascii="Calibri" w:eastAsia="Times New Roman" w:hAnsi="Calibri" w:cs="Times New Roman"/>
                <w:color w:val="000000"/>
                <w:szCs w:val="20"/>
              </w:rPr>
              <w:t xml:space="preserve">randomised to </w:t>
            </w:r>
            <w:proofErr w:type="spellStart"/>
            <w:r w:rsidR="00BF5C3C" w:rsidRPr="00BF5C3C">
              <w:rPr>
                <w:szCs w:val="20"/>
              </w:rPr>
              <w:t>CyPass</w:t>
            </w:r>
            <w:proofErr w:type="spellEnd"/>
            <w:r w:rsidR="003D0DD8" w:rsidRPr="00BF5C3C">
              <w:rPr>
                <w:szCs w:val="20"/>
              </w:rPr>
              <w:t xml:space="preserve"> with phacoemulsification (n = </w:t>
            </w:r>
            <w:r w:rsidR="003D0DD8" w:rsidRPr="00BF5C3C">
              <w:rPr>
                <w:rFonts w:ascii="Calibri" w:eastAsia="Times New Roman" w:hAnsi="Calibri" w:cs="Times New Roman"/>
                <w:color w:val="000000"/>
                <w:szCs w:val="20"/>
              </w:rPr>
              <w:t>374)</w:t>
            </w:r>
            <w:r w:rsidR="00BF5C3C">
              <w:rPr>
                <w:rFonts w:ascii="Calibri" w:eastAsia="Times New Roman" w:hAnsi="Calibri" w:cs="Times New Roman"/>
                <w:color w:val="000000"/>
                <w:szCs w:val="20"/>
              </w:rPr>
              <w:t xml:space="preserve">, </w:t>
            </w:r>
            <w:r w:rsidR="003D0DD8" w:rsidRPr="00BF5C3C">
              <w:rPr>
                <w:rFonts w:ascii="Calibri" w:eastAsia="Times New Roman" w:hAnsi="Calibri" w:cs="Times New Roman"/>
                <w:color w:val="000000"/>
                <w:szCs w:val="20"/>
              </w:rPr>
              <w:t>or control (</w:t>
            </w:r>
            <w:r w:rsidR="003D0DD8" w:rsidRPr="00BF5C3C">
              <w:rPr>
                <w:szCs w:val="20"/>
              </w:rPr>
              <w:t xml:space="preserve">phacoemulsification only; n = </w:t>
            </w:r>
            <w:r w:rsidR="003D0DD8" w:rsidRPr="00BF5C3C">
              <w:rPr>
                <w:rFonts w:ascii="Calibri" w:eastAsia="Times New Roman" w:hAnsi="Calibri" w:cs="Times New Roman"/>
                <w:color w:val="000000"/>
                <w:szCs w:val="20"/>
              </w:rPr>
              <w:t>131</w:t>
            </w:r>
            <w:r w:rsidR="003D0DD8" w:rsidRPr="00BF5C3C">
              <w:rPr>
                <w:szCs w:val="20"/>
              </w:rPr>
              <w:t>).</w:t>
            </w:r>
          </w:p>
          <w:p w14:paraId="2DF6B929" w14:textId="77777777" w:rsidR="00BF5C3C" w:rsidRPr="005E5690" w:rsidRDefault="00BF5C3C" w:rsidP="00572986">
            <w:pPr>
              <w:autoSpaceDE w:val="0"/>
              <w:autoSpaceDN w:val="0"/>
              <w:adjustRightInd w:val="0"/>
              <w:spacing w:before="0" w:after="0"/>
              <w:contextualSpacing/>
              <w:rPr>
                <w:rFonts w:cstheme="minorHAnsi"/>
                <w:szCs w:val="20"/>
              </w:rPr>
            </w:pPr>
            <w:r w:rsidRPr="00BF5C3C">
              <w:rPr>
                <w:szCs w:val="20"/>
              </w:rPr>
              <w:t>Primary outcome</w:t>
            </w:r>
            <w:r>
              <w:rPr>
                <w:szCs w:val="20"/>
              </w:rPr>
              <w:t xml:space="preserve">: </w:t>
            </w:r>
            <w:r w:rsidR="00CB438B">
              <w:rPr>
                <w:szCs w:val="20"/>
              </w:rPr>
              <w:br/>
            </w:r>
            <w:r w:rsidR="005B4DBE">
              <w:rPr>
                <w:szCs w:val="20"/>
              </w:rPr>
              <w:t>P</w:t>
            </w:r>
            <w:r>
              <w:rPr>
                <w:szCs w:val="20"/>
              </w:rPr>
              <w:t xml:space="preserve">roportion </w:t>
            </w:r>
            <w:r w:rsidR="005B4DBE">
              <w:rPr>
                <w:rFonts w:cstheme="minorHAnsi"/>
                <w:szCs w:val="20"/>
              </w:rPr>
              <w:t xml:space="preserve">with </w:t>
            </w:r>
            <w:proofErr w:type="spellStart"/>
            <w:r w:rsidR="005B4DBE">
              <w:rPr>
                <w:rFonts w:cstheme="minorHAnsi"/>
                <w:szCs w:val="20"/>
              </w:rPr>
              <w:t>unmedicated</w:t>
            </w:r>
            <w:proofErr w:type="spellEnd"/>
            <w:r w:rsidR="005B4DBE">
              <w:rPr>
                <w:rFonts w:cstheme="minorHAnsi"/>
                <w:szCs w:val="20"/>
              </w:rPr>
              <w:t xml:space="preserve"> diurnal </w:t>
            </w:r>
            <w:r w:rsidRPr="005E5690">
              <w:rPr>
                <w:rFonts w:cstheme="minorHAnsi"/>
                <w:szCs w:val="20"/>
              </w:rPr>
              <w:t xml:space="preserve">IOP reduction </w:t>
            </w:r>
            <w:r>
              <w:rPr>
                <w:rFonts w:cstheme="minorHAnsi"/>
                <w:szCs w:val="20"/>
              </w:rPr>
              <w:sym w:font="Symbol" w:char="F0B3"/>
            </w:r>
            <w:r>
              <w:rPr>
                <w:rFonts w:cstheme="minorHAnsi"/>
                <w:szCs w:val="20"/>
              </w:rPr>
              <w:t xml:space="preserve">20% at 24 months </w:t>
            </w:r>
            <w:r w:rsidRPr="005E5690">
              <w:rPr>
                <w:rFonts w:cstheme="minorHAnsi"/>
                <w:szCs w:val="20"/>
              </w:rPr>
              <w:t>vs</w:t>
            </w:r>
            <w:r>
              <w:rPr>
                <w:rFonts w:cstheme="minorHAnsi"/>
                <w:szCs w:val="20"/>
              </w:rPr>
              <w:t>.</w:t>
            </w:r>
            <w:r w:rsidRPr="005E5690">
              <w:rPr>
                <w:rFonts w:cstheme="minorHAnsi"/>
                <w:szCs w:val="20"/>
              </w:rPr>
              <w:t xml:space="preserve"> </w:t>
            </w:r>
            <w:proofErr w:type="spellStart"/>
            <w:r w:rsidRPr="005E5690">
              <w:rPr>
                <w:rFonts w:cstheme="minorHAnsi"/>
                <w:szCs w:val="20"/>
              </w:rPr>
              <w:t>unmedicated</w:t>
            </w:r>
            <w:proofErr w:type="spellEnd"/>
            <w:r w:rsidRPr="005E5690">
              <w:rPr>
                <w:rFonts w:cstheme="minorHAnsi"/>
                <w:szCs w:val="20"/>
              </w:rPr>
              <w:t xml:space="preserve"> baseline IOP</w:t>
            </w:r>
            <w:r>
              <w:rPr>
                <w:rFonts w:cstheme="minorHAnsi"/>
                <w:szCs w:val="20"/>
              </w:rPr>
              <w:t>.</w:t>
            </w:r>
          </w:p>
          <w:p w14:paraId="6D2A2725" w14:textId="77777777" w:rsidR="005B7EAF" w:rsidRPr="00BF5C3C" w:rsidRDefault="005B7EAF" w:rsidP="00572986">
            <w:pPr>
              <w:spacing w:before="0" w:after="0"/>
              <w:contextualSpacing/>
              <w:rPr>
                <w:b/>
                <w:szCs w:val="20"/>
              </w:rPr>
            </w:pPr>
            <w:r w:rsidRPr="00BF5C3C">
              <w:rPr>
                <w:szCs w:val="20"/>
              </w:rPr>
              <w:t>Results:</w:t>
            </w:r>
            <w:r w:rsidR="00BF5C3C" w:rsidRPr="00BF5C3C">
              <w:rPr>
                <w:szCs w:val="20"/>
              </w:rPr>
              <w:br/>
            </w:r>
            <w:r w:rsidR="00E30444">
              <w:rPr>
                <w:szCs w:val="20"/>
              </w:rPr>
              <w:t xml:space="preserve">73% </w:t>
            </w:r>
            <w:proofErr w:type="spellStart"/>
            <w:r w:rsidR="00E30444">
              <w:rPr>
                <w:szCs w:val="20"/>
              </w:rPr>
              <w:t>CyPass</w:t>
            </w:r>
            <w:proofErr w:type="spellEnd"/>
            <w:r w:rsidR="00E30444">
              <w:rPr>
                <w:szCs w:val="20"/>
              </w:rPr>
              <w:t xml:space="preserve"> vs. 58% control (ITT analysis), p=0.002. </w:t>
            </w:r>
          </w:p>
        </w:tc>
        <w:tc>
          <w:tcPr>
            <w:tcW w:w="599" w:type="pct"/>
          </w:tcPr>
          <w:p w14:paraId="052C9AB3" w14:textId="77777777" w:rsidR="00DD308E" w:rsidRPr="00E82F54" w:rsidRDefault="005B7EAF" w:rsidP="00572986">
            <w:pPr>
              <w:spacing w:before="0" w:after="0"/>
              <w:contextualSpacing/>
              <w:rPr>
                <w:b/>
                <w:szCs w:val="20"/>
              </w:rPr>
            </w:pPr>
            <w:r w:rsidRPr="005B7EAF">
              <w:t>http://www.aaojournal.org/article/S0161-6420(16)30500-0/pdf</w:t>
            </w:r>
          </w:p>
        </w:tc>
        <w:tc>
          <w:tcPr>
            <w:tcW w:w="459" w:type="pct"/>
          </w:tcPr>
          <w:p w14:paraId="1B377A01" w14:textId="38F52AF9" w:rsidR="00DD308E" w:rsidRPr="00E82F54" w:rsidRDefault="00A21C0F" w:rsidP="00572986">
            <w:pPr>
              <w:spacing w:before="0" w:after="0"/>
              <w:contextualSpacing/>
              <w:rPr>
                <w:b/>
                <w:szCs w:val="20"/>
              </w:rPr>
            </w:pPr>
            <w:r>
              <w:t>Redacted</w:t>
            </w:r>
          </w:p>
        </w:tc>
      </w:tr>
      <w:tr w:rsidR="003D0DD8" w14:paraId="0479C996" w14:textId="77777777" w:rsidTr="00572986">
        <w:trPr>
          <w:cantSplit/>
          <w:trHeight w:val="680"/>
        </w:trPr>
        <w:tc>
          <w:tcPr>
            <w:tcW w:w="152" w:type="pct"/>
          </w:tcPr>
          <w:p w14:paraId="3318ACF9" w14:textId="77777777" w:rsidR="00DD308E" w:rsidRPr="00965B6B" w:rsidRDefault="00DD308E" w:rsidP="00572986">
            <w:pPr>
              <w:spacing w:before="0" w:after="0"/>
              <w:contextualSpacing/>
              <w:rPr>
                <w:szCs w:val="20"/>
              </w:rPr>
            </w:pPr>
            <w:r>
              <w:rPr>
                <w:szCs w:val="20"/>
              </w:rPr>
              <w:t>2.</w:t>
            </w:r>
          </w:p>
        </w:tc>
        <w:tc>
          <w:tcPr>
            <w:tcW w:w="898" w:type="pct"/>
          </w:tcPr>
          <w:p w14:paraId="54B0A22D" w14:textId="77777777" w:rsidR="00404893" w:rsidRDefault="00980ABF" w:rsidP="00572986">
            <w:pPr>
              <w:spacing w:before="0" w:after="0"/>
              <w:contextualSpacing/>
            </w:pPr>
            <w:proofErr w:type="spellStart"/>
            <w:r>
              <w:t>CyCLE</w:t>
            </w:r>
            <w:proofErr w:type="spellEnd"/>
            <w:r w:rsidR="00694ABC">
              <w:t xml:space="preserve"> </w:t>
            </w:r>
            <w:r w:rsidR="00B16318" w:rsidRPr="000D44C6">
              <w:t>study</w:t>
            </w:r>
            <w:r>
              <w:t xml:space="preserve">: </w:t>
            </w:r>
            <w:r w:rsidR="00404893">
              <w:t>TMI-09-02</w:t>
            </w:r>
          </w:p>
          <w:p w14:paraId="174A6A66" w14:textId="77777777" w:rsidR="00DD308E" w:rsidRDefault="00980ABF" w:rsidP="00572986">
            <w:pPr>
              <w:spacing w:before="0" w:after="0"/>
              <w:contextualSpacing/>
              <w:rPr>
                <w:b/>
                <w:szCs w:val="20"/>
              </w:rPr>
            </w:pPr>
            <w:r>
              <w:t>multicentre,</w:t>
            </w:r>
            <w:r w:rsidRPr="000D44C6">
              <w:t xml:space="preserve"> </w:t>
            </w:r>
            <w:r w:rsidR="00B16318">
              <w:t xml:space="preserve">open-label, </w:t>
            </w:r>
            <w:r w:rsidRPr="000D44C6">
              <w:t xml:space="preserve">efficacy </w:t>
            </w:r>
            <w:r w:rsidR="001B045C">
              <w:t xml:space="preserve">and </w:t>
            </w:r>
            <w:r w:rsidRPr="000D44C6">
              <w:t xml:space="preserve">safety </w:t>
            </w:r>
            <w:r w:rsidR="00B16318">
              <w:t xml:space="preserve">registry of glaucoma patients implanted with </w:t>
            </w:r>
            <w:proofErr w:type="spellStart"/>
            <w:r w:rsidR="00B16318">
              <w:t>CyPass</w:t>
            </w:r>
            <w:proofErr w:type="spellEnd"/>
            <w:r w:rsidR="009A25F4">
              <w:t xml:space="preserve"> (in conjunction with cataract surgery or stand</w:t>
            </w:r>
            <w:r w:rsidR="006D5761">
              <w:t>-alone</w:t>
            </w:r>
            <w:r w:rsidR="009A25F4">
              <w:t>)</w:t>
            </w:r>
            <w:r w:rsidR="00427185">
              <w:t xml:space="preserve"> and in real-world clinical practice.</w:t>
            </w:r>
          </w:p>
        </w:tc>
        <w:tc>
          <w:tcPr>
            <w:tcW w:w="1209" w:type="pct"/>
          </w:tcPr>
          <w:p w14:paraId="1CE07A90" w14:textId="77777777" w:rsidR="005B4DBE" w:rsidRDefault="005B4DBE" w:rsidP="00572986">
            <w:pPr>
              <w:spacing w:before="0" w:after="0"/>
              <w:contextualSpacing/>
            </w:pPr>
            <w:r w:rsidRPr="005B4DBE">
              <w:t xml:space="preserve">A </w:t>
            </w:r>
            <w:proofErr w:type="spellStart"/>
            <w:r w:rsidRPr="005B4DBE">
              <w:t>Multicenter</w:t>
            </w:r>
            <w:proofErr w:type="spellEnd"/>
            <w:r w:rsidRPr="005B4DBE">
              <w:t xml:space="preserve"> Registry Study to Capture Data With Respect to </w:t>
            </w:r>
            <w:proofErr w:type="spellStart"/>
            <w:r w:rsidRPr="005B4DBE">
              <w:t>CyPass</w:t>
            </w:r>
            <w:proofErr w:type="spellEnd"/>
            <w:r w:rsidRPr="005B4DBE">
              <w:t xml:space="preserve"> Clinical Experience</w:t>
            </w:r>
          </w:p>
          <w:p w14:paraId="6ACA9FEE" w14:textId="77777777" w:rsidR="00DD308E" w:rsidRDefault="005B4DBE" w:rsidP="00572986">
            <w:pPr>
              <w:spacing w:before="0" w:after="0"/>
              <w:contextualSpacing/>
              <w:rPr>
                <w:b/>
                <w:szCs w:val="20"/>
              </w:rPr>
            </w:pPr>
            <w:r>
              <w:t>(</w:t>
            </w:r>
            <w:r w:rsidR="00581FBD">
              <w:t>NCT01097174</w:t>
            </w:r>
            <w:r>
              <w:t>)</w:t>
            </w:r>
          </w:p>
        </w:tc>
        <w:tc>
          <w:tcPr>
            <w:tcW w:w="1683" w:type="pct"/>
          </w:tcPr>
          <w:p w14:paraId="7A666172" w14:textId="77777777" w:rsidR="0042232C" w:rsidRPr="005B4DBE" w:rsidRDefault="00C5307C" w:rsidP="00572986">
            <w:pPr>
              <w:spacing w:before="0" w:after="0"/>
              <w:contextualSpacing/>
              <w:rPr>
                <w:szCs w:val="20"/>
              </w:rPr>
            </w:pPr>
            <w:r w:rsidRPr="005B4DBE">
              <w:rPr>
                <w:szCs w:val="20"/>
              </w:rPr>
              <w:t>Prospective</w:t>
            </w:r>
            <w:r w:rsidR="0042232C" w:rsidRPr="005B4DBE">
              <w:rPr>
                <w:szCs w:val="20"/>
              </w:rPr>
              <w:t xml:space="preserve"> and retro</w:t>
            </w:r>
            <w:r w:rsidRPr="005B4DBE">
              <w:rPr>
                <w:szCs w:val="20"/>
              </w:rPr>
              <w:t xml:space="preserve">spective </w:t>
            </w:r>
            <w:r w:rsidR="00966AA1" w:rsidRPr="005B4DBE">
              <w:rPr>
                <w:szCs w:val="20"/>
              </w:rPr>
              <w:t>enrolment</w:t>
            </w:r>
            <w:r w:rsidR="0091522C">
              <w:rPr>
                <w:szCs w:val="20"/>
              </w:rPr>
              <w:t xml:space="preserve"> of subjects who underwent implantation with the </w:t>
            </w:r>
            <w:proofErr w:type="spellStart"/>
            <w:r w:rsidR="0091522C">
              <w:rPr>
                <w:szCs w:val="20"/>
              </w:rPr>
              <w:t>CyPass</w:t>
            </w:r>
            <w:proofErr w:type="spellEnd"/>
            <w:r w:rsidR="0091522C">
              <w:rPr>
                <w:szCs w:val="20"/>
              </w:rPr>
              <w:t xml:space="preserve"> Micro-</w:t>
            </w:r>
            <w:r w:rsidR="006D5761">
              <w:rPr>
                <w:szCs w:val="20"/>
              </w:rPr>
              <w:t>S</w:t>
            </w:r>
            <w:r w:rsidR="0091522C">
              <w:rPr>
                <w:szCs w:val="20"/>
              </w:rPr>
              <w:t>tent (n = 212 in conjunction with cataract surgery and n=178 stand-alone</w:t>
            </w:r>
            <w:r w:rsidR="006824D9">
              <w:rPr>
                <w:szCs w:val="20"/>
              </w:rPr>
              <w:t>)</w:t>
            </w:r>
            <w:r w:rsidR="0091522C">
              <w:rPr>
                <w:szCs w:val="20"/>
              </w:rPr>
              <w:t>.</w:t>
            </w:r>
          </w:p>
          <w:p w14:paraId="44B55983" w14:textId="77777777" w:rsidR="009A25F4" w:rsidRDefault="00371A4C" w:rsidP="00572986">
            <w:pPr>
              <w:spacing w:before="0" w:after="0"/>
              <w:contextualSpacing/>
              <w:rPr>
                <w:szCs w:val="20"/>
              </w:rPr>
            </w:pPr>
            <w:r w:rsidRPr="005B4DBE">
              <w:rPr>
                <w:szCs w:val="20"/>
              </w:rPr>
              <w:t>Primary</w:t>
            </w:r>
            <w:r w:rsidR="0042232C" w:rsidRPr="00C5307C">
              <w:rPr>
                <w:szCs w:val="20"/>
              </w:rPr>
              <w:t xml:space="preserve"> outcome: </w:t>
            </w:r>
            <w:r w:rsidRPr="005B4DBE">
              <w:rPr>
                <w:szCs w:val="20"/>
              </w:rPr>
              <w:br/>
              <w:t xml:space="preserve">Mean change in IOP </w:t>
            </w:r>
            <w:r w:rsidR="009A25F4">
              <w:rPr>
                <w:szCs w:val="20"/>
              </w:rPr>
              <w:t>and m</w:t>
            </w:r>
            <w:r w:rsidRPr="005B4DBE">
              <w:rPr>
                <w:szCs w:val="20"/>
              </w:rPr>
              <w:t>ean change in required glaucoma medications</w:t>
            </w:r>
            <w:r w:rsidR="006D5761">
              <w:rPr>
                <w:szCs w:val="20"/>
              </w:rPr>
              <w:t>.</w:t>
            </w:r>
          </w:p>
          <w:p w14:paraId="7C37BD3E" w14:textId="77777777" w:rsidR="00DD308E" w:rsidRPr="00C5307C" w:rsidRDefault="00C5307C" w:rsidP="00572986">
            <w:pPr>
              <w:spacing w:before="0" w:after="0"/>
              <w:contextualSpacing/>
              <w:rPr>
                <w:szCs w:val="20"/>
              </w:rPr>
            </w:pPr>
            <w:r w:rsidRPr="00C5307C">
              <w:rPr>
                <w:szCs w:val="20"/>
              </w:rPr>
              <w:t>Results:</w:t>
            </w:r>
            <w:r w:rsidRPr="00C5307C">
              <w:rPr>
                <w:szCs w:val="20"/>
              </w:rPr>
              <w:br/>
            </w:r>
            <w:r w:rsidR="00CB438B" w:rsidRPr="005B4DBE">
              <w:rPr>
                <w:szCs w:val="20"/>
              </w:rPr>
              <w:t>C</w:t>
            </w:r>
            <w:r w:rsidRPr="005B4DBE">
              <w:rPr>
                <w:szCs w:val="20"/>
              </w:rPr>
              <w:t xml:space="preserve">onsistent with prior experience with </w:t>
            </w:r>
            <w:proofErr w:type="spellStart"/>
            <w:r w:rsidRPr="005B4DBE">
              <w:rPr>
                <w:szCs w:val="20"/>
              </w:rPr>
              <w:t>CyPass</w:t>
            </w:r>
            <w:proofErr w:type="spellEnd"/>
            <w:r w:rsidRPr="005B4DBE">
              <w:rPr>
                <w:szCs w:val="20"/>
              </w:rPr>
              <w:t xml:space="preserve"> and similar </w:t>
            </w:r>
            <w:r w:rsidR="009A25F4">
              <w:rPr>
                <w:szCs w:val="20"/>
              </w:rPr>
              <w:t>MIGS</w:t>
            </w:r>
            <w:r w:rsidR="006D5761">
              <w:rPr>
                <w:szCs w:val="20"/>
              </w:rPr>
              <w:t>.</w:t>
            </w:r>
          </w:p>
        </w:tc>
        <w:tc>
          <w:tcPr>
            <w:tcW w:w="599" w:type="pct"/>
          </w:tcPr>
          <w:p w14:paraId="0163FEBF" w14:textId="77777777" w:rsidR="00DD308E" w:rsidRPr="00E82F54" w:rsidRDefault="00694ABC" w:rsidP="00572986">
            <w:pPr>
              <w:spacing w:before="0" w:after="0"/>
              <w:contextualSpacing/>
              <w:rPr>
                <w:b/>
                <w:szCs w:val="20"/>
              </w:rPr>
            </w:pPr>
            <w:r w:rsidRPr="00694ABC">
              <w:t>https://clinicaltrials.gov/ct2/show/NCT01097174</w:t>
            </w:r>
          </w:p>
        </w:tc>
        <w:tc>
          <w:tcPr>
            <w:tcW w:w="459" w:type="pct"/>
          </w:tcPr>
          <w:p w14:paraId="74308561" w14:textId="140F1793" w:rsidR="00DD308E" w:rsidRPr="00E82F54" w:rsidRDefault="00A21C0F" w:rsidP="00572986">
            <w:pPr>
              <w:spacing w:before="0" w:after="0"/>
              <w:contextualSpacing/>
              <w:rPr>
                <w:b/>
                <w:szCs w:val="20"/>
              </w:rPr>
            </w:pPr>
            <w:r>
              <w:t>Redacted</w:t>
            </w:r>
          </w:p>
        </w:tc>
      </w:tr>
      <w:tr w:rsidR="00D73F35" w14:paraId="0D3A0BED" w14:textId="77777777" w:rsidTr="00572986">
        <w:trPr>
          <w:cantSplit/>
          <w:trHeight w:val="680"/>
        </w:trPr>
        <w:tc>
          <w:tcPr>
            <w:tcW w:w="152" w:type="pct"/>
          </w:tcPr>
          <w:p w14:paraId="4F373B5C" w14:textId="77777777" w:rsidR="00404893" w:rsidRPr="00404893" w:rsidRDefault="00404893" w:rsidP="00572986">
            <w:pPr>
              <w:spacing w:before="0" w:after="0"/>
              <w:contextualSpacing/>
            </w:pPr>
            <w:r w:rsidRPr="00404893">
              <w:lastRenderedPageBreak/>
              <w:t>3.</w:t>
            </w:r>
          </w:p>
        </w:tc>
        <w:tc>
          <w:tcPr>
            <w:tcW w:w="898" w:type="pct"/>
          </w:tcPr>
          <w:p w14:paraId="14ED1749" w14:textId="77777777" w:rsidR="00404893" w:rsidRDefault="00404893" w:rsidP="00572986">
            <w:pPr>
              <w:spacing w:before="0" w:after="0"/>
              <w:contextualSpacing/>
            </w:pPr>
            <w:r>
              <w:t>DUETTE study: TMI-10-03</w:t>
            </w:r>
          </w:p>
          <w:p w14:paraId="66A2FD58" w14:textId="77777777" w:rsidR="00404893" w:rsidRDefault="00404893" w:rsidP="00572986">
            <w:pPr>
              <w:spacing w:before="0" w:after="0"/>
              <w:contextualSpacing/>
            </w:pPr>
            <w:r>
              <w:t>P</w:t>
            </w:r>
            <w:r w:rsidRPr="00A4144F">
              <w:t>rospective, randomi</w:t>
            </w:r>
            <w:r>
              <w:t>s</w:t>
            </w:r>
            <w:r w:rsidRPr="00A4144F">
              <w:t>ed,</w:t>
            </w:r>
            <w:r>
              <w:t xml:space="preserve"> comparative, </w:t>
            </w:r>
            <w:proofErr w:type="spellStart"/>
            <w:r>
              <w:t>multicenter</w:t>
            </w:r>
            <w:proofErr w:type="spellEnd"/>
            <w:r>
              <w:t xml:space="preserve"> trial of </w:t>
            </w:r>
            <w:proofErr w:type="spellStart"/>
            <w:r w:rsidRPr="00404893">
              <w:t>CyPass</w:t>
            </w:r>
            <w:proofErr w:type="spellEnd"/>
            <w:r w:rsidRPr="00404893">
              <w:t xml:space="preserve"> implantation as a stand-alone therapy for lowering </w:t>
            </w:r>
            <w:r>
              <w:t xml:space="preserve">IOP </w:t>
            </w:r>
            <w:r w:rsidRPr="00404893">
              <w:t xml:space="preserve">in patients with </w:t>
            </w:r>
            <w:r>
              <w:t>POAG</w:t>
            </w:r>
            <w:r w:rsidRPr="00404893">
              <w:t xml:space="preserve"> who have failed at least one class of topical medical therapy</w:t>
            </w:r>
            <w:r w:rsidR="006D5761">
              <w:t>.</w:t>
            </w:r>
          </w:p>
        </w:tc>
        <w:tc>
          <w:tcPr>
            <w:tcW w:w="1209" w:type="pct"/>
          </w:tcPr>
          <w:p w14:paraId="15DE1128" w14:textId="77777777" w:rsidR="00404893" w:rsidRDefault="00404893" w:rsidP="00572986">
            <w:pPr>
              <w:spacing w:before="0" w:after="0"/>
              <w:contextualSpacing/>
            </w:pPr>
            <w:r w:rsidRPr="00A4144F">
              <w:t xml:space="preserve">Study of </w:t>
            </w:r>
            <w:proofErr w:type="spellStart"/>
            <w:r w:rsidRPr="00A4144F">
              <w:t>CyPass</w:t>
            </w:r>
            <w:proofErr w:type="spellEnd"/>
            <w:r w:rsidRPr="00A4144F">
              <w:t xml:space="preserve"> Implantation In Patients With Open</w:t>
            </w:r>
            <w:r w:rsidR="006D5761">
              <w:t>-</w:t>
            </w:r>
            <w:r w:rsidRPr="00A4144F">
              <w:t>Angle Glaucoma Refractory to Single or Multi-agent Topical Therapy</w:t>
            </w:r>
          </w:p>
          <w:p w14:paraId="0344EC80" w14:textId="77777777" w:rsidR="00404893" w:rsidRDefault="00404893" w:rsidP="00572986">
            <w:pPr>
              <w:spacing w:before="0" w:after="0"/>
              <w:contextualSpacing/>
            </w:pPr>
            <w:r>
              <w:t>(NCT01166659)</w:t>
            </w:r>
          </w:p>
        </w:tc>
        <w:tc>
          <w:tcPr>
            <w:tcW w:w="1683" w:type="pct"/>
          </w:tcPr>
          <w:p w14:paraId="06318A20" w14:textId="77777777" w:rsidR="00404893" w:rsidRDefault="00404893" w:rsidP="00572986">
            <w:pPr>
              <w:spacing w:before="0" w:after="0"/>
              <w:contextualSpacing/>
            </w:pPr>
            <w:r w:rsidRPr="00404893">
              <w:t xml:space="preserve">Subjects received the </w:t>
            </w:r>
            <w:proofErr w:type="spellStart"/>
            <w:r w:rsidRPr="00404893">
              <w:t>CyPass</w:t>
            </w:r>
            <w:proofErr w:type="spellEnd"/>
            <w:r w:rsidRPr="00404893">
              <w:t xml:space="preserve"> Micro-Sten</w:t>
            </w:r>
            <w:r>
              <w:t xml:space="preserve">t as </w:t>
            </w:r>
            <w:r w:rsidRPr="00404893">
              <w:t>a stand-alone therapy</w:t>
            </w:r>
            <w:r>
              <w:t xml:space="preserve"> (n=48)</w:t>
            </w:r>
          </w:p>
          <w:p w14:paraId="358C93C4" w14:textId="77777777" w:rsidR="00404893" w:rsidRDefault="00404893" w:rsidP="00572986">
            <w:pPr>
              <w:spacing w:before="0" w:after="0"/>
              <w:contextualSpacing/>
            </w:pPr>
            <w:r>
              <w:t>Primary outcome:</w:t>
            </w:r>
          </w:p>
          <w:p w14:paraId="6D0DA221" w14:textId="77777777" w:rsidR="00404893" w:rsidRDefault="00404893" w:rsidP="00572986">
            <w:pPr>
              <w:spacing w:before="0" w:after="0"/>
              <w:contextualSpacing/>
            </w:pPr>
            <w:r w:rsidRPr="00404893">
              <w:t>Proportion of Eyes With I</w:t>
            </w:r>
            <w:r w:rsidR="006D5761">
              <w:t>OP</w:t>
            </w:r>
            <w:r w:rsidRPr="00404893">
              <w:t xml:space="preserve"> Reduction of ≥ 20% at 12 Months</w:t>
            </w:r>
            <w:r w:rsidR="006D5761">
              <w:t>.</w:t>
            </w:r>
          </w:p>
          <w:p w14:paraId="3F11B809" w14:textId="77777777" w:rsidR="00404893" w:rsidRDefault="00404893" w:rsidP="00572986">
            <w:pPr>
              <w:spacing w:before="0" w:after="0"/>
              <w:contextualSpacing/>
            </w:pPr>
            <w:r>
              <w:t>Results:</w:t>
            </w:r>
          </w:p>
          <w:p w14:paraId="25CE086A" w14:textId="77777777" w:rsidR="00404893" w:rsidRDefault="00404893" w:rsidP="00572986">
            <w:pPr>
              <w:spacing w:before="0" w:after="0"/>
              <w:contextualSpacing/>
            </w:pPr>
            <w:r>
              <w:t>60.4% patients had IOP reduction of ≥ 20% at 12 m</w:t>
            </w:r>
            <w:r w:rsidRPr="00404893">
              <w:t xml:space="preserve">onths </w:t>
            </w:r>
            <w:r>
              <w:t>p</w:t>
            </w:r>
            <w:r w:rsidRPr="00404893">
              <w:t>ostoperatively</w:t>
            </w:r>
            <w:r w:rsidR="006D5761">
              <w:t>.</w:t>
            </w:r>
          </w:p>
        </w:tc>
        <w:tc>
          <w:tcPr>
            <w:tcW w:w="599" w:type="pct"/>
          </w:tcPr>
          <w:p w14:paraId="6C25877F" w14:textId="77777777" w:rsidR="00404893" w:rsidRPr="00404893" w:rsidRDefault="00A57971" w:rsidP="00572986">
            <w:pPr>
              <w:spacing w:before="0" w:after="0"/>
              <w:contextualSpacing/>
            </w:pPr>
            <w:hyperlink r:id="rId13" w:history="1">
              <w:r w:rsidR="00404893" w:rsidRPr="00404893">
                <w:t>https://clinicaltrials.gov/ct2/show/results/NCT01166659</w:t>
              </w:r>
            </w:hyperlink>
            <w:r w:rsidR="00404893" w:rsidRPr="00404893">
              <w:t xml:space="preserve"> </w:t>
            </w:r>
          </w:p>
        </w:tc>
        <w:tc>
          <w:tcPr>
            <w:tcW w:w="459" w:type="pct"/>
          </w:tcPr>
          <w:p w14:paraId="76CC0DCB" w14:textId="77777777" w:rsidR="00404893" w:rsidRPr="00404893" w:rsidRDefault="00404893" w:rsidP="00572986">
            <w:pPr>
              <w:spacing w:before="0" w:after="0"/>
              <w:contextualSpacing/>
            </w:pPr>
            <w:r w:rsidRPr="00404893">
              <w:t>TBC</w:t>
            </w:r>
          </w:p>
        </w:tc>
      </w:tr>
    </w:tbl>
    <w:p w14:paraId="06E83B39"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1634AF0F" w14:textId="77777777" w:rsidR="004C49EF" w:rsidRDefault="004C49EF" w:rsidP="00530204">
      <w:pPr>
        <w:pStyle w:val="Heading2"/>
        <w:rPr>
          <w:i/>
        </w:rPr>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7E2C9282" w14:textId="77777777" w:rsidR="006D6234" w:rsidRPr="006D6234" w:rsidRDefault="006D6234" w:rsidP="006D6234">
      <w:r w:rsidRPr="006D6234">
        <w:rPr>
          <w:szCs w:val="20"/>
        </w:rPr>
        <w:t>Not applicable</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14:paraId="2F814DBE" w14:textId="77777777" w:rsidTr="004C49EF">
        <w:trPr>
          <w:cantSplit/>
          <w:tblHeader/>
        </w:trPr>
        <w:tc>
          <w:tcPr>
            <w:tcW w:w="326" w:type="pct"/>
          </w:tcPr>
          <w:p w14:paraId="0EFD910C" w14:textId="77777777" w:rsidR="004C49EF" w:rsidRDefault="004C49EF" w:rsidP="00855944">
            <w:pPr>
              <w:pStyle w:val="TableHEADER"/>
            </w:pPr>
          </w:p>
        </w:tc>
        <w:tc>
          <w:tcPr>
            <w:tcW w:w="895" w:type="pct"/>
          </w:tcPr>
          <w:p w14:paraId="30B22ABD" w14:textId="77777777" w:rsidR="004C49EF" w:rsidRDefault="004C49EF" w:rsidP="00855944">
            <w:pPr>
              <w:pStyle w:val="TableHEADER"/>
            </w:pPr>
            <w:r>
              <w:t>Type of study design*</w:t>
            </w:r>
          </w:p>
        </w:tc>
        <w:tc>
          <w:tcPr>
            <w:tcW w:w="1125" w:type="pct"/>
          </w:tcPr>
          <w:p w14:paraId="3E1E6309" w14:textId="77777777" w:rsidR="004C49EF" w:rsidRDefault="004C49EF" w:rsidP="00855944">
            <w:pPr>
              <w:pStyle w:val="TableHEADER"/>
            </w:pPr>
            <w:r>
              <w:t>Title of research (including any trial identifier if relevant)</w:t>
            </w:r>
          </w:p>
        </w:tc>
        <w:tc>
          <w:tcPr>
            <w:tcW w:w="884" w:type="pct"/>
          </w:tcPr>
          <w:p w14:paraId="2ECA29F6" w14:textId="77777777" w:rsidR="004C49EF" w:rsidRDefault="00367C1B" w:rsidP="00855944">
            <w:pPr>
              <w:pStyle w:val="TableHEADER"/>
            </w:pPr>
            <w:r>
              <w:t xml:space="preserve">Short description of research </w:t>
            </w:r>
            <w:r w:rsidR="004C49EF">
              <w:t>(max 50 words)**</w:t>
            </w:r>
          </w:p>
        </w:tc>
        <w:tc>
          <w:tcPr>
            <w:tcW w:w="1246" w:type="pct"/>
          </w:tcPr>
          <w:p w14:paraId="1CB8861B" w14:textId="77777777" w:rsidR="004C49EF" w:rsidRDefault="004C49EF" w:rsidP="00855944">
            <w:pPr>
              <w:pStyle w:val="TableHEADER"/>
            </w:pPr>
            <w:r w:rsidRPr="00E82F54">
              <w:t xml:space="preserve">Website link to </w:t>
            </w:r>
            <w:r>
              <w:t>research (if available)</w:t>
            </w:r>
          </w:p>
        </w:tc>
        <w:tc>
          <w:tcPr>
            <w:tcW w:w="524" w:type="pct"/>
          </w:tcPr>
          <w:p w14:paraId="6DFD7513" w14:textId="77777777" w:rsidR="004C49EF" w:rsidRDefault="004C49EF" w:rsidP="00855944">
            <w:pPr>
              <w:pStyle w:val="TableHEADER"/>
            </w:pPr>
            <w:r w:rsidRPr="00E82F54">
              <w:t>Date*</w:t>
            </w:r>
            <w:r>
              <w:t>**</w:t>
            </w:r>
          </w:p>
        </w:tc>
      </w:tr>
      <w:tr w:rsidR="004C49EF" w14:paraId="1FE9F29F" w14:textId="77777777" w:rsidTr="004C49EF">
        <w:trPr>
          <w:cantSplit/>
        </w:trPr>
        <w:tc>
          <w:tcPr>
            <w:tcW w:w="326" w:type="pct"/>
          </w:tcPr>
          <w:p w14:paraId="0E9044F9" w14:textId="77777777" w:rsidR="004C49EF" w:rsidRPr="00572986" w:rsidRDefault="006D6234" w:rsidP="00526478">
            <w:pPr>
              <w:rPr>
                <w:szCs w:val="20"/>
              </w:rPr>
            </w:pPr>
            <w:r w:rsidRPr="00572986">
              <w:rPr>
                <w:szCs w:val="20"/>
              </w:rPr>
              <w:t>NA</w:t>
            </w:r>
          </w:p>
        </w:tc>
        <w:tc>
          <w:tcPr>
            <w:tcW w:w="895" w:type="pct"/>
          </w:tcPr>
          <w:p w14:paraId="4FB2BADB" w14:textId="77777777" w:rsidR="004C49EF" w:rsidRPr="00572986" w:rsidRDefault="006D6234" w:rsidP="00526478">
            <w:pPr>
              <w:rPr>
                <w:szCs w:val="20"/>
              </w:rPr>
            </w:pPr>
            <w:r w:rsidRPr="00572986">
              <w:rPr>
                <w:szCs w:val="20"/>
              </w:rPr>
              <w:t>NA</w:t>
            </w:r>
          </w:p>
        </w:tc>
        <w:tc>
          <w:tcPr>
            <w:tcW w:w="1125" w:type="pct"/>
          </w:tcPr>
          <w:p w14:paraId="16B73875" w14:textId="77777777" w:rsidR="004C49EF" w:rsidRPr="00572986" w:rsidRDefault="006D6234" w:rsidP="00526478">
            <w:pPr>
              <w:rPr>
                <w:szCs w:val="20"/>
              </w:rPr>
            </w:pPr>
            <w:r w:rsidRPr="00572986">
              <w:rPr>
                <w:szCs w:val="20"/>
              </w:rPr>
              <w:t>NA</w:t>
            </w:r>
          </w:p>
        </w:tc>
        <w:tc>
          <w:tcPr>
            <w:tcW w:w="884" w:type="pct"/>
          </w:tcPr>
          <w:p w14:paraId="0DFD8C44" w14:textId="77777777" w:rsidR="004C49EF" w:rsidRPr="00572986" w:rsidRDefault="006D6234" w:rsidP="00526478">
            <w:pPr>
              <w:rPr>
                <w:szCs w:val="20"/>
              </w:rPr>
            </w:pPr>
            <w:r w:rsidRPr="00572986">
              <w:rPr>
                <w:szCs w:val="20"/>
              </w:rPr>
              <w:t>NA</w:t>
            </w:r>
          </w:p>
        </w:tc>
        <w:tc>
          <w:tcPr>
            <w:tcW w:w="1246" w:type="pct"/>
          </w:tcPr>
          <w:p w14:paraId="52FAC32D" w14:textId="77777777" w:rsidR="004C49EF" w:rsidRPr="00572986" w:rsidRDefault="006D6234" w:rsidP="00526478">
            <w:pPr>
              <w:rPr>
                <w:szCs w:val="20"/>
              </w:rPr>
            </w:pPr>
            <w:r w:rsidRPr="00572986">
              <w:rPr>
                <w:szCs w:val="20"/>
              </w:rPr>
              <w:t>NA</w:t>
            </w:r>
          </w:p>
        </w:tc>
        <w:tc>
          <w:tcPr>
            <w:tcW w:w="524" w:type="pct"/>
          </w:tcPr>
          <w:p w14:paraId="791E7135" w14:textId="77777777" w:rsidR="004C49EF" w:rsidRPr="00572986" w:rsidRDefault="006D6234" w:rsidP="00526478">
            <w:pPr>
              <w:rPr>
                <w:szCs w:val="20"/>
              </w:rPr>
            </w:pPr>
            <w:r w:rsidRPr="00572986">
              <w:rPr>
                <w:szCs w:val="20"/>
              </w:rPr>
              <w:t>NA</w:t>
            </w:r>
          </w:p>
        </w:tc>
      </w:tr>
    </w:tbl>
    <w:p w14:paraId="6D0D74AF"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38423CE2"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02685BD"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0E5831E" w14:textId="77777777" w:rsidR="005B6078" w:rsidRPr="005B6078" w:rsidRDefault="005B6078" w:rsidP="005B6078">
      <w:pPr>
        <w:pStyle w:val="Heading3"/>
        <w:ind w:firstLine="360"/>
        <w:rPr>
          <w:rFonts w:asciiTheme="minorHAnsi" w:hAnsiTheme="minorHAnsi" w:cstheme="minorHAnsi"/>
          <w:b w:val="0"/>
          <w:color w:val="auto"/>
        </w:rPr>
      </w:pPr>
      <w:r w:rsidRPr="005B6078">
        <w:rPr>
          <w:rFonts w:asciiTheme="minorHAnsi" w:hAnsiTheme="minorHAnsi" w:cstheme="minorHAnsi"/>
          <w:b w:val="0"/>
          <w:color w:val="auto"/>
        </w:rPr>
        <w:t>Royal Australian and New Zealand College of Ophthalmologists</w:t>
      </w:r>
      <w:r w:rsidR="00FB2BD1">
        <w:rPr>
          <w:rFonts w:asciiTheme="minorHAnsi" w:hAnsiTheme="minorHAnsi" w:cstheme="minorHAnsi"/>
          <w:b w:val="0"/>
          <w:color w:val="auto"/>
        </w:rPr>
        <w:t xml:space="preserve"> (RANZCO)</w:t>
      </w:r>
    </w:p>
    <w:p w14:paraId="3FE3FF79" w14:textId="77777777" w:rsidR="00A727B6" w:rsidRPr="00A727B6" w:rsidRDefault="00A727B6" w:rsidP="00A727B6">
      <w:pPr>
        <w:ind w:left="426"/>
      </w:pPr>
    </w:p>
    <w:p w14:paraId="28CC9C2D"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C902E4F" w14:textId="77777777" w:rsidR="005B6078" w:rsidRPr="005B6078" w:rsidRDefault="005B6078" w:rsidP="005B6078">
      <w:pPr>
        <w:pStyle w:val="Heading3"/>
        <w:ind w:firstLine="360"/>
        <w:rPr>
          <w:rFonts w:asciiTheme="minorHAnsi" w:hAnsiTheme="minorHAnsi" w:cstheme="minorHAnsi"/>
          <w:b w:val="0"/>
          <w:color w:val="auto"/>
        </w:rPr>
      </w:pPr>
      <w:r w:rsidRPr="005B6078">
        <w:rPr>
          <w:rFonts w:asciiTheme="minorHAnsi" w:hAnsiTheme="minorHAnsi" w:cstheme="minorHAnsi"/>
          <w:b w:val="0"/>
          <w:color w:val="auto"/>
        </w:rPr>
        <w:t>Royal Australian and New Zealand College of Ophthalmologists</w:t>
      </w:r>
      <w:r w:rsidR="00FB2BD1">
        <w:rPr>
          <w:rFonts w:asciiTheme="minorHAnsi" w:hAnsiTheme="minorHAnsi" w:cstheme="minorHAnsi"/>
          <w:b w:val="0"/>
          <w:color w:val="auto"/>
        </w:rPr>
        <w:t xml:space="preserve"> (RANZCO)</w:t>
      </w:r>
    </w:p>
    <w:p w14:paraId="524D5CDF" w14:textId="77777777" w:rsidR="00EA173C" w:rsidRDefault="00EA173C" w:rsidP="00A727B6">
      <w:pPr>
        <w:ind w:left="426"/>
      </w:pPr>
    </w:p>
    <w:p w14:paraId="7CF0BE7C"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3AC89555" w14:textId="77777777" w:rsidR="005B6078" w:rsidRPr="005B6078" w:rsidRDefault="005B6078" w:rsidP="005B6078">
      <w:pPr>
        <w:ind w:left="426"/>
      </w:pPr>
      <w:r>
        <w:t>Glaucoma Australia</w:t>
      </w:r>
      <w:r>
        <w:br/>
        <w:t>Ophthalmology Network</w:t>
      </w:r>
      <w:r>
        <w:br/>
        <w:t>Consumer Health Forum</w:t>
      </w:r>
    </w:p>
    <w:p w14:paraId="3C15A224"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4FA04C3" w14:textId="308693B7" w:rsidR="00C42558" w:rsidRDefault="00C42558" w:rsidP="00EE6450">
      <w:pPr>
        <w:ind w:left="426"/>
      </w:pPr>
      <w:r>
        <w:t>The following manufacturers produce</w:t>
      </w:r>
      <w:r w:rsidR="00297895">
        <w:t xml:space="preserve"> similar MIGS</w:t>
      </w:r>
      <w:r>
        <w:t xml:space="preserve"> </w:t>
      </w:r>
      <w:r w:rsidR="00297895">
        <w:t xml:space="preserve">devices </w:t>
      </w:r>
      <w:r>
        <w:t xml:space="preserve">to treat patients with mild-moderate </w:t>
      </w:r>
      <w:r w:rsidR="006D5761">
        <w:t>POAG</w:t>
      </w:r>
      <w:r w:rsidR="00297895">
        <w:t xml:space="preserve"> – these devices are also implanted by the </w:t>
      </w:r>
      <w:proofErr w:type="spellStart"/>
      <w:r w:rsidR="00297895">
        <w:t>ab</w:t>
      </w:r>
      <w:proofErr w:type="spellEnd"/>
      <w:r w:rsidR="00297895">
        <w:t xml:space="preserve"> </w:t>
      </w:r>
      <w:proofErr w:type="spellStart"/>
      <w:r w:rsidR="00297895">
        <w:t>interno</w:t>
      </w:r>
      <w:proofErr w:type="spellEnd"/>
      <w:r w:rsidR="00297895">
        <w:t xml:space="preserve"> approach, but the anatomical placement of the device is</w:t>
      </w:r>
      <w:r w:rsidR="00BF6582">
        <w:t xml:space="preserve"> or associated with</w:t>
      </w:r>
      <w:r w:rsidR="00297895">
        <w:t xml:space="preserve"> </w:t>
      </w:r>
      <w:r w:rsidR="00297895" w:rsidRPr="00572986">
        <w:t>the trabecular meshwork.</w:t>
      </w:r>
    </w:p>
    <w:p w14:paraId="269583D5" w14:textId="77777777" w:rsidR="00EE6450" w:rsidRPr="00202D9C" w:rsidRDefault="00202D9C" w:rsidP="00202D9C">
      <w:pPr>
        <w:pStyle w:val="ListParagraph"/>
        <w:numPr>
          <w:ilvl w:val="0"/>
          <w:numId w:val="41"/>
        </w:numPr>
        <w:rPr>
          <w:lang w:val="fr-FR"/>
        </w:rPr>
      </w:pPr>
      <w:r w:rsidRPr="00202D9C">
        <w:rPr>
          <w:lang w:val="fr-FR"/>
        </w:rPr>
        <w:t xml:space="preserve">Sponsor: </w:t>
      </w:r>
      <w:proofErr w:type="spellStart"/>
      <w:r w:rsidR="007C7578" w:rsidRPr="00202D9C">
        <w:rPr>
          <w:lang w:val="fr-FR"/>
        </w:rPr>
        <w:t>Glaukos</w:t>
      </w:r>
      <w:proofErr w:type="spellEnd"/>
      <w:r w:rsidRPr="00202D9C">
        <w:rPr>
          <w:lang w:val="fr-FR"/>
        </w:rPr>
        <w:t xml:space="preserve"> </w:t>
      </w:r>
      <w:proofErr w:type="spellStart"/>
      <w:r w:rsidRPr="00202D9C">
        <w:rPr>
          <w:lang w:val="fr-FR"/>
        </w:rPr>
        <w:t>Device</w:t>
      </w:r>
      <w:proofErr w:type="spellEnd"/>
      <w:r w:rsidRPr="00202D9C">
        <w:rPr>
          <w:lang w:val="fr-FR"/>
        </w:rPr>
        <w:t xml:space="preserve">: </w:t>
      </w:r>
      <w:proofErr w:type="spellStart"/>
      <w:r w:rsidR="00FB2BD1" w:rsidRPr="00202D9C">
        <w:rPr>
          <w:lang w:val="fr-FR"/>
        </w:rPr>
        <w:t>iStent</w:t>
      </w:r>
      <w:proofErr w:type="spellEnd"/>
    </w:p>
    <w:p w14:paraId="50EF57CC" w14:textId="77777777" w:rsidR="00FB2BD1" w:rsidRPr="00202D9C" w:rsidRDefault="00202D9C" w:rsidP="00202D9C">
      <w:pPr>
        <w:pStyle w:val="ListParagraph"/>
        <w:numPr>
          <w:ilvl w:val="0"/>
          <w:numId w:val="41"/>
        </w:numPr>
        <w:rPr>
          <w:szCs w:val="20"/>
          <w:lang w:val="fr-FR"/>
        </w:rPr>
      </w:pPr>
      <w:r w:rsidRPr="00202D9C">
        <w:rPr>
          <w:szCs w:val="20"/>
          <w:lang w:val="fr-FR"/>
        </w:rPr>
        <w:t xml:space="preserve">Sponsor </w:t>
      </w:r>
      <w:proofErr w:type="spellStart"/>
      <w:r w:rsidR="00C42558" w:rsidRPr="00202D9C">
        <w:rPr>
          <w:szCs w:val="20"/>
          <w:lang w:val="fr-FR"/>
        </w:rPr>
        <w:t>I</w:t>
      </w:r>
      <w:r w:rsidR="002472C1">
        <w:rPr>
          <w:szCs w:val="20"/>
          <w:lang w:val="fr-FR"/>
        </w:rPr>
        <w:t>vantis</w:t>
      </w:r>
      <w:proofErr w:type="spellEnd"/>
      <w:r w:rsidR="002472C1">
        <w:rPr>
          <w:szCs w:val="20"/>
          <w:lang w:val="fr-FR"/>
        </w:rPr>
        <w:t xml:space="preserve"> </w:t>
      </w:r>
      <w:proofErr w:type="spellStart"/>
      <w:r w:rsidR="002472C1">
        <w:rPr>
          <w:szCs w:val="20"/>
          <w:lang w:val="fr-FR"/>
        </w:rPr>
        <w:t>Device</w:t>
      </w:r>
      <w:proofErr w:type="spellEnd"/>
      <w:r w:rsidR="002472C1">
        <w:rPr>
          <w:szCs w:val="20"/>
          <w:lang w:val="fr-FR"/>
        </w:rPr>
        <w:t>:</w:t>
      </w:r>
      <w:r w:rsidRPr="00202D9C">
        <w:rPr>
          <w:szCs w:val="20"/>
          <w:lang w:val="fr-FR"/>
        </w:rPr>
        <w:t xml:space="preserve"> </w:t>
      </w:r>
      <w:proofErr w:type="spellStart"/>
      <w:r w:rsidR="00C42558" w:rsidRPr="00202D9C">
        <w:rPr>
          <w:szCs w:val="20"/>
          <w:lang w:val="fr-FR"/>
        </w:rPr>
        <w:t>Hydrus</w:t>
      </w:r>
      <w:proofErr w:type="spellEnd"/>
    </w:p>
    <w:p w14:paraId="090809A6" w14:textId="77777777" w:rsidR="00E82F54" w:rsidRDefault="00E82F54" w:rsidP="00530204">
      <w:pPr>
        <w:pStyle w:val="Heading2"/>
      </w:pPr>
      <w:r w:rsidRPr="00154B00">
        <w:t>Nominate two experts who could be approached about the proposed medical service and the current clinical management of the service(s):</w:t>
      </w:r>
    </w:p>
    <w:p w14:paraId="1466E54C" w14:textId="77777777" w:rsidR="00987ABE" w:rsidRDefault="00420E08" w:rsidP="00E82F54">
      <w:pPr>
        <w:ind w:left="426"/>
        <w:rPr>
          <w:szCs w:val="20"/>
        </w:rPr>
      </w:pPr>
      <w:r w:rsidRPr="00420E08">
        <w:rPr>
          <w:szCs w:val="20"/>
        </w:rPr>
        <w:t>TBC</w:t>
      </w:r>
    </w:p>
    <w:p w14:paraId="4A774CBB" w14:textId="77777777" w:rsidR="00572986" w:rsidRPr="00420E08" w:rsidRDefault="00572986" w:rsidP="00E82F54">
      <w:pPr>
        <w:ind w:left="426"/>
        <w:rPr>
          <w:szCs w:val="20"/>
        </w:rPr>
      </w:pPr>
    </w:p>
    <w:p w14:paraId="5DC77DA5"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492C095E" w14:textId="77777777" w:rsidR="003433D1" w:rsidRDefault="003433D1">
      <w:pPr>
        <w:rPr>
          <w:b/>
          <w:sz w:val="32"/>
          <w:szCs w:val="32"/>
        </w:rPr>
      </w:pPr>
      <w:r>
        <w:rPr>
          <w:b/>
          <w:sz w:val="32"/>
          <w:szCs w:val="32"/>
        </w:rPr>
        <w:br w:type="page"/>
      </w:r>
    </w:p>
    <w:p w14:paraId="3970409A"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226B2B8A" w14:textId="77777777" w:rsidR="0021185D" w:rsidRPr="005C3AE7" w:rsidRDefault="005C3AE7" w:rsidP="005C3AE7">
      <w:pPr>
        <w:pStyle w:val="Subtitle"/>
      </w:pPr>
      <w:r w:rsidRPr="005C3AE7">
        <w:t xml:space="preserve">PART 6a – </w:t>
      </w:r>
      <w:r w:rsidR="0021185D" w:rsidRPr="005C3AE7">
        <w:t>INFORMATION ABOUT THE PROPOSED POPULATION</w:t>
      </w:r>
    </w:p>
    <w:p w14:paraId="04720D93"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67F7BF9" w14:textId="77777777" w:rsidR="001B4CC5" w:rsidRPr="006A6157" w:rsidRDefault="001B4CC5" w:rsidP="001B4CC5">
      <w:pPr>
        <w:ind w:left="426"/>
        <w:rPr>
          <w:u w:val="single"/>
        </w:rPr>
      </w:pPr>
      <w:r>
        <w:rPr>
          <w:u w:val="single"/>
        </w:rPr>
        <w:t>Natural history of glaucoma</w:t>
      </w:r>
    </w:p>
    <w:p w14:paraId="03C3C272" w14:textId="77777777" w:rsidR="001B4CC5" w:rsidRPr="001B4CC5" w:rsidRDefault="001B4CC5" w:rsidP="001B4CC5">
      <w:pPr>
        <w:ind w:left="426"/>
      </w:pPr>
      <w:r w:rsidRPr="001B4CC5">
        <w:t>Glaucoma is a chronic, degenerative optic neuropathy characterised by progressive vision loss due to the loss of retinal ganglion cells and optic nerve damage (Kwon 2009; Quigley 2011). Glaucoma is referred to as open-angle (OAG) or closed-angle (CAG) depending on whether the drainage channels for aqueous humo</w:t>
      </w:r>
      <w:r w:rsidR="006D5761">
        <w:t>ur</w:t>
      </w:r>
      <w:r w:rsidRPr="001B4CC5">
        <w:t xml:space="preserve"> in the front of the eye appear open or closed (Boland 2012). OAG is the most common form, and is usually characterised by optic neuropathy combined with ocular hypertension (OHT, generally defined as IOP &gt; 21 mmHg) (Quigley 2011). Usually bilateral but often asymmetric, OAG painlessly and slowly causes blindness. Unfortunately, in many cases optic nerve damage occurs before functional vision losses are detected via visual field measurements.</w:t>
      </w:r>
    </w:p>
    <w:p w14:paraId="080751BB" w14:textId="77777777" w:rsidR="001B4CC5" w:rsidRPr="001B4CC5" w:rsidRDefault="001B4CC5" w:rsidP="001B4CC5">
      <w:pPr>
        <w:ind w:left="426"/>
      </w:pPr>
      <w:r w:rsidRPr="001B4CC5">
        <w:t>There is no universally accepted method for staging the progression of OAG, and a number of staging systems have been published. The 2015 American Academy of Ophthalmology (AAO) Preferred Practice Patterns Guidelines report on primary OAG (POAG) states that the severity of glaucoma damage can be estimated using the following stages or categories (AAO, 2015).</w:t>
      </w:r>
    </w:p>
    <w:p w14:paraId="1BD71CE5" w14:textId="77777777" w:rsidR="001B4CC5" w:rsidRPr="001B4CC5" w:rsidRDefault="001B4CC5" w:rsidP="001B4CC5">
      <w:pPr>
        <w:pStyle w:val="ListParagraph"/>
        <w:numPr>
          <w:ilvl w:val="0"/>
          <w:numId w:val="43"/>
        </w:numPr>
      </w:pPr>
      <w:r w:rsidRPr="001B4CC5">
        <w:t>Mild: Optic disk or retinal nerve fibre layer abnormalities consistent with glaucoma and a normal visual field as tested with standard automated perimetry.</w:t>
      </w:r>
    </w:p>
    <w:p w14:paraId="267C4C3E" w14:textId="77777777" w:rsidR="001B4CC5" w:rsidRPr="001B4CC5" w:rsidRDefault="001B4CC5" w:rsidP="001B4CC5">
      <w:pPr>
        <w:pStyle w:val="ListParagraph"/>
        <w:numPr>
          <w:ilvl w:val="0"/>
          <w:numId w:val="43"/>
        </w:numPr>
      </w:pPr>
      <w:r w:rsidRPr="001B4CC5">
        <w:t>Moderate: Optic disk or retinal nerve fibre layer abnormalities consistent with glaucoma and visual field abnormalities in one hemifield that are not within 5 degrees of fixation as tested with standard automated perimetry.</w:t>
      </w:r>
    </w:p>
    <w:p w14:paraId="0985B234" w14:textId="77777777" w:rsidR="001B4CC5" w:rsidRPr="001B4CC5" w:rsidRDefault="001B4CC5" w:rsidP="001B4CC5">
      <w:pPr>
        <w:pStyle w:val="ListParagraph"/>
        <w:numPr>
          <w:ilvl w:val="0"/>
          <w:numId w:val="43"/>
        </w:numPr>
      </w:pPr>
      <w:r w:rsidRPr="001B4CC5">
        <w:t>Severe: Optic disk or retinal nerve fibre layer abnormalities consistent with glaucoma as and visual field abnormalities in both hemifields and/or loss within 5 degrees of fixation in at least one hemifield as tested with standard automated perimetry.</w:t>
      </w:r>
    </w:p>
    <w:p w14:paraId="691239E6" w14:textId="77777777" w:rsidR="001B4CC5" w:rsidRPr="001B4CC5" w:rsidRDefault="001B4CC5" w:rsidP="001B4CC5">
      <w:pPr>
        <w:pStyle w:val="ListParagraph"/>
        <w:numPr>
          <w:ilvl w:val="0"/>
          <w:numId w:val="43"/>
        </w:numPr>
      </w:pPr>
      <w:r w:rsidRPr="001B4CC5">
        <w:t>Indeterminate: Optic disk or retinal nerve fibre layer abnormalities consistent with glaucoma as detailed above, inability of patient to perform visual field testing, unreliable/uninterpretable visual field test results.</w:t>
      </w:r>
    </w:p>
    <w:p w14:paraId="7B44118E" w14:textId="77777777" w:rsidR="001B4CC5" w:rsidRPr="001B4CC5" w:rsidRDefault="001B4CC5" w:rsidP="001B4CC5">
      <w:pPr>
        <w:ind w:left="426"/>
      </w:pPr>
      <w:r w:rsidRPr="001B4CC5">
        <w:t xml:space="preserve">Many clinical trials have demonstrated elevated IOP as a strong, modifiable risk factor for the development and progression of open-angle glaucoma. It is estimated that between 60% and 85% of patients with open-angle glaucoma exhibit ocular hypertension (Maier et al 2005). As noted above, in OAG, the iridocorneal angle is unobstructed but aqueous outflow is diminished, leading to an elevation of </w:t>
      </w:r>
      <w:r w:rsidR="006D5761">
        <w:t>IOP</w:t>
      </w:r>
      <w:r w:rsidRPr="001B4CC5">
        <w:t xml:space="preserve"> (Maier et al 2005).</w:t>
      </w:r>
    </w:p>
    <w:p w14:paraId="7D626F17" w14:textId="77777777" w:rsidR="001B4CC5" w:rsidRPr="001B4CC5" w:rsidRDefault="001B4CC5" w:rsidP="001B4CC5">
      <w:pPr>
        <w:ind w:left="426"/>
      </w:pPr>
      <w:r w:rsidRPr="001B4CC5">
        <w:t xml:space="preserve">The objective of glaucoma management is to provide a significant and sustained decrease in </w:t>
      </w:r>
      <w:proofErr w:type="spellStart"/>
      <w:r w:rsidRPr="001B4CC5">
        <w:t>lOP</w:t>
      </w:r>
      <w:proofErr w:type="spellEnd"/>
      <w:r w:rsidRPr="001B4CC5">
        <w:t xml:space="preserve"> that minimises the risk of progression (i.e. visual field loss) and impact on the patient's </w:t>
      </w:r>
      <w:r w:rsidR="006D5761">
        <w:t>quality of life (</w:t>
      </w:r>
      <w:proofErr w:type="spellStart"/>
      <w:r w:rsidR="006D5761">
        <w:t>QoL</w:t>
      </w:r>
      <w:proofErr w:type="spellEnd"/>
      <w:r w:rsidR="006D5761">
        <w:t>)</w:t>
      </w:r>
      <w:r w:rsidRPr="001B4CC5">
        <w:t xml:space="preserve">. Normal </w:t>
      </w:r>
      <w:proofErr w:type="spellStart"/>
      <w:r w:rsidRPr="001B4CC5">
        <w:t>lOP</w:t>
      </w:r>
      <w:proofErr w:type="spellEnd"/>
      <w:r w:rsidRPr="001B4CC5">
        <w:t xml:space="preserve"> is generally considered to be between 10 mmHg and 21 mmHg. As noted, ocular hypertension is generally defined as an IOP &gt; 21 mmHg. Management follows a treat-to-target strategy, which is individualised for each patient, based on their baseline IOP and other risk factors.</w:t>
      </w:r>
    </w:p>
    <w:p w14:paraId="444CC4F5" w14:textId="77777777" w:rsidR="001B4CC5" w:rsidRPr="001B4CC5" w:rsidRDefault="001B4CC5" w:rsidP="001B4CC5">
      <w:pPr>
        <w:ind w:left="426"/>
      </w:pPr>
      <w:r w:rsidRPr="001B4CC5">
        <w:t>For the majority of OAG patients, topical hypotensive medication represents the first-line therapy. These treatments are used as initial therapy as they represent the least invasive treatment option. Patients will initiate a single topical mediation, and increase the dosing frequency and number of therapies, as required, in order to maintain a target IOP. There are four main classes of pharmacotherapy used to treat glaucoma in Australia, which are available through the Pharmaceutical Benefits Scheme (PBS). These are described below:</w:t>
      </w:r>
    </w:p>
    <w:p w14:paraId="502CD1BB" w14:textId="77777777" w:rsidR="001B4CC5" w:rsidRPr="001B4CC5" w:rsidRDefault="001B4CC5" w:rsidP="001B4CC5">
      <w:pPr>
        <w:pStyle w:val="ListParagraph"/>
        <w:numPr>
          <w:ilvl w:val="0"/>
          <w:numId w:val="44"/>
        </w:numPr>
      </w:pPr>
      <w:r w:rsidRPr="001B4CC5">
        <w:t>Prostaglandin analogues: This class are the most commonly prescribed hypotensive medications for glaucoma, and are the first choice for most newly diagnosed patients</w:t>
      </w:r>
    </w:p>
    <w:p w14:paraId="6276CDE5" w14:textId="77777777" w:rsidR="001B4CC5" w:rsidRPr="001B4CC5" w:rsidRDefault="001B4CC5" w:rsidP="001B4CC5">
      <w:pPr>
        <w:pStyle w:val="ListParagraph"/>
        <w:numPr>
          <w:ilvl w:val="0"/>
          <w:numId w:val="44"/>
        </w:numPr>
      </w:pPr>
      <w:r w:rsidRPr="001B4CC5">
        <w:t>Beta-blockers: The second most commonly prescribed class of topical glaucoma medications and are still used as first-line therapy for some patients</w:t>
      </w:r>
    </w:p>
    <w:p w14:paraId="02C5B7AA" w14:textId="77777777" w:rsidR="001B4CC5" w:rsidRPr="001B4CC5" w:rsidRDefault="001B4CC5" w:rsidP="001B4CC5">
      <w:pPr>
        <w:pStyle w:val="ListParagraph"/>
        <w:numPr>
          <w:ilvl w:val="0"/>
          <w:numId w:val="44"/>
        </w:numPr>
      </w:pPr>
      <w:r w:rsidRPr="001B4CC5">
        <w:lastRenderedPageBreak/>
        <w:t>Alpha agonists and carbonic anhydrase inhibitors: Commonly used as adjunctive therapy when IOP is inadequately controlled with one medication</w:t>
      </w:r>
    </w:p>
    <w:p w14:paraId="7623B6B1" w14:textId="77777777" w:rsidR="001B4CC5" w:rsidRPr="001B4CC5" w:rsidRDefault="001B4CC5" w:rsidP="001B4CC5">
      <w:pPr>
        <w:pStyle w:val="ListParagraph"/>
        <w:numPr>
          <w:ilvl w:val="0"/>
          <w:numId w:val="44"/>
        </w:numPr>
      </w:pPr>
      <w:r w:rsidRPr="001B4CC5">
        <w:t>Fixed combination agents of the above classes also may be used</w:t>
      </w:r>
    </w:p>
    <w:p w14:paraId="53249E83" w14:textId="77777777" w:rsidR="001B4CC5" w:rsidRPr="001B4CC5" w:rsidRDefault="001B4CC5" w:rsidP="001B4CC5">
      <w:pPr>
        <w:ind w:left="426"/>
      </w:pPr>
      <w:r w:rsidRPr="001B4CC5">
        <w:t>As the condition progresses, hypotensive medication may become less efficacious, or patients may have trouble adhering to pharmacotherapy (due to cost, complexity, or physical difficulty in administering eye drops). For such patients, surgical treatment options are considered.</w:t>
      </w:r>
    </w:p>
    <w:p w14:paraId="3EE1DBE2" w14:textId="77777777" w:rsidR="001B4CC5" w:rsidRPr="001B4CC5" w:rsidRDefault="001B4CC5" w:rsidP="001B4CC5">
      <w:pPr>
        <w:ind w:left="426"/>
      </w:pPr>
      <w:r w:rsidRPr="001B4CC5">
        <w:t xml:space="preserve">Laser </w:t>
      </w:r>
      <w:proofErr w:type="spellStart"/>
      <w:r w:rsidRPr="001B4CC5">
        <w:t>trabeculoplasty</w:t>
      </w:r>
      <w:proofErr w:type="spellEnd"/>
      <w:r w:rsidRPr="001B4CC5">
        <w:t xml:space="preserve"> uses a laser to initiate cellular and biochemical changes to </w:t>
      </w:r>
      <w:r w:rsidRPr="00572986">
        <w:t>the trabecular meshwork in order to increase aqueous humo</w:t>
      </w:r>
      <w:r w:rsidR="006D5761">
        <w:t>ur</w:t>
      </w:r>
      <w:r w:rsidRPr="00572986">
        <w:t xml:space="preserve"> flow and lower IOP. The procedure has been shown to provide clinically significant improvements in IOP, and is usually considered in patients where IOP cannot be adequately managed with medication alone. Following laser </w:t>
      </w:r>
      <w:proofErr w:type="spellStart"/>
      <w:r w:rsidRPr="00572986">
        <w:t>trabeculoplasty</w:t>
      </w:r>
      <w:proofErr w:type="spellEnd"/>
      <w:r w:rsidRPr="00572986">
        <w:t xml:space="preserve">, more invasive surgical treatment options, known broadly as ‘filtering’ surgeries, may be considered. This category of procedure includes trabeculectomy, aqueous shunt/filtration device implantation, </w:t>
      </w:r>
      <w:proofErr w:type="spellStart"/>
      <w:r w:rsidRPr="00572986">
        <w:t>sclerectomy</w:t>
      </w:r>
      <w:proofErr w:type="spellEnd"/>
      <w:r w:rsidRPr="00572986">
        <w:t xml:space="preserve">, </w:t>
      </w:r>
      <w:proofErr w:type="spellStart"/>
      <w:r w:rsidRPr="00572986">
        <w:t>viscocanalostomy</w:t>
      </w:r>
      <w:proofErr w:type="spellEnd"/>
      <w:r w:rsidRPr="00572986">
        <w:t xml:space="preserve">, </w:t>
      </w:r>
      <w:proofErr w:type="spellStart"/>
      <w:r w:rsidRPr="00572986">
        <w:t>canaloplasty</w:t>
      </w:r>
      <w:proofErr w:type="spellEnd"/>
      <w:r w:rsidRPr="00572986">
        <w:t xml:space="preserve">, </w:t>
      </w:r>
      <w:proofErr w:type="spellStart"/>
      <w:r w:rsidRPr="00572986">
        <w:t>ab</w:t>
      </w:r>
      <w:proofErr w:type="spellEnd"/>
      <w:r w:rsidRPr="00572986">
        <w:t xml:space="preserve"> </w:t>
      </w:r>
      <w:proofErr w:type="spellStart"/>
      <w:r w:rsidRPr="00572986">
        <w:t>interno</w:t>
      </w:r>
      <w:proofErr w:type="spellEnd"/>
      <w:r w:rsidRPr="00572986">
        <w:t xml:space="preserve"> </w:t>
      </w:r>
      <w:proofErr w:type="spellStart"/>
      <w:r w:rsidRPr="00572986">
        <w:t>excimer</w:t>
      </w:r>
      <w:proofErr w:type="spellEnd"/>
      <w:r w:rsidRPr="00572986">
        <w:t xml:space="preserve"> laser </w:t>
      </w:r>
      <w:proofErr w:type="spellStart"/>
      <w:r w:rsidRPr="00572986">
        <w:t>trabeculostomy</w:t>
      </w:r>
      <w:proofErr w:type="spellEnd"/>
      <w:r w:rsidRPr="00572986">
        <w:t xml:space="preserve">, and </w:t>
      </w:r>
      <w:proofErr w:type="spellStart"/>
      <w:r w:rsidRPr="00572986">
        <w:t>ab</w:t>
      </w:r>
      <w:proofErr w:type="spellEnd"/>
      <w:r w:rsidRPr="00572986">
        <w:t xml:space="preserve"> </w:t>
      </w:r>
      <w:proofErr w:type="spellStart"/>
      <w:r w:rsidRPr="00572986">
        <w:t>interno</w:t>
      </w:r>
      <w:proofErr w:type="spellEnd"/>
      <w:r w:rsidRPr="00572986">
        <w:t xml:space="preserve"> </w:t>
      </w:r>
      <w:proofErr w:type="spellStart"/>
      <w:r w:rsidRPr="00572986">
        <w:t>microelectrocautery</w:t>
      </w:r>
      <w:proofErr w:type="spellEnd"/>
      <w:r w:rsidRPr="00572986">
        <w:t xml:space="preserve"> of the trabecular meshwork. Such procedures can be effective in lowering and maintaining IOP, but carry a significant risk of complication, including: procedural failure, </w:t>
      </w:r>
      <w:proofErr w:type="spellStart"/>
      <w:r w:rsidRPr="00572986">
        <w:t>endophthalmitis</w:t>
      </w:r>
      <w:proofErr w:type="spellEnd"/>
      <w:r w:rsidRPr="00572986">
        <w:t xml:space="preserve">, </w:t>
      </w:r>
      <w:proofErr w:type="spellStart"/>
      <w:r w:rsidRPr="00572986">
        <w:t>blebitis</w:t>
      </w:r>
      <w:proofErr w:type="spellEnd"/>
      <w:r w:rsidRPr="00572986">
        <w:t>, bleb leak, or hypotony. Due to these risk factors, filtering surgeries are generally reserved for patients with advance</w:t>
      </w:r>
      <w:r w:rsidRPr="001B4CC5">
        <w:t xml:space="preserve">d disease who can no longer maintain IOP with a combination of medication and laser </w:t>
      </w:r>
      <w:proofErr w:type="spellStart"/>
      <w:r w:rsidRPr="001B4CC5">
        <w:t>trabeculoplasty</w:t>
      </w:r>
      <w:proofErr w:type="spellEnd"/>
      <w:r w:rsidRPr="001B4CC5">
        <w:t>.</w:t>
      </w:r>
    </w:p>
    <w:p w14:paraId="79BD5433" w14:textId="77777777" w:rsidR="001B4CC5" w:rsidRDefault="001B4CC5" w:rsidP="001B4CC5">
      <w:pPr>
        <w:ind w:left="426"/>
      </w:pPr>
      <w:r w:rsidRPr="001B4CC5">
        <w:t xml:space="preserve">The current clinical management pathway for patients with mild-to-moderate OAG is summarised under Question 26 and 27 below. The proposed pathways are adapted from the Guidelines for the screening, prognosis, diagnosis, management and prevention of glaucoma (NHMRC, 2010). The pathway for a patient with suspected open-angle glaucoma described in these </w:t>
      </w:r>
      <w:r w:rsidR="006D5761">
        <w:t>g</w:t>
      </w:r>
      <w:r w:rsidRPr="001B4CC5">
        <w:t xml:space="preserve">uidelines is provided in </w:t>
      </w:r>
      <w:r w:rsidRPr="001B4CC5">
        <w:fldChar w:fldCharType="begin"/>
      </w:r>
      <w:r w:rsidRPr="001B4CC5">
        <w:instrText xml:space="preserve"> REF _Ref476151118 \h  \* MERGEFORMAT </w:instrText>
      </w:r>
      <w:r w:rsidRPr="001B4CC5">
        <w:fldChar w:fldCharType="separate"/>
      </w:r>
      <w:r w:rsidRPr="001B4CC5">
        <w:t xml:space="preserve">Figure </w:t>
      </w:r>
      <w:r w:rsidRPr="001B4CC5">
        <w:rPr>
          <w:noProof/>
        </w:rPr>
        <w:t>1</w:t>
      </w:r>
      <w:r w:rsidRPr="001B4CC5">
        <w:fldChar w:fldCharType="end"/>
      </w:r>
      <w:r w:rsidRPr="001B4CC5">
        <w:t>.</w:t>
      </w:r>
    </w:p>
    <w:p w14:paraId="6F542654" w14:textId="77777777" w:rsidR="001B4CC5" w:rsidRDefault="001B4CC5" w:rsidP="001B4CC5">
      <w:pPr>
        <w:ind w:left="426"/>
      </w:pPr>
    </w:p>
    <w:p w14:paraId="0A4F63D3" w14:textId="77777777" w:rsidR="001B4CC5" w:rsidRDefault="001B4CC5" w:rsidP="001B4CC5">
      <w:pPr>
        <w:pStyle w:val="Caption"/>
      </w:pPr>
      <w:bookmarkStart w:id="4" w:name="_Ref476151118"/>
      <w:r>
        <w:lastRenderedPageBreak/>
        <w:t xml:space="preserve">Figure </w:t>
      </w:r>
      <w:r w:rsidR="00A57971">
        <w:fldChar w:fldCharType="begin"/>
      </w:r>
      <w:r w:rsidR="00A57971">
        <w:instrText xml:space="preserve"> SEQ Figure \* ARABIC </w:instrText>
      </w:r>
      <w:r w:rsidR="00A57971">
        <w:fldChar w:fldCharType="separate"/>
      </w:r>
      <w:r w:rsidR="007F4935">
        <w:rPr>
          <w:noProof/>
        </w:rPr>
        <w:t>1</w:t>
      </w:r>
      <w:r w:rsidR="00A57971">
        <w:rPr>
          <w:noProof/>
        </w:rPr>
        <w:fldChar w:fldCharType="end"/>
      </w:r>
      <w:bookmarkEnd w:id="4"/>
      <w:r>
        <w:tab/>
        <w:t>Open-angle glaucoma pathway (NHMRC 2010)</w:t>
      </w:r>
    </w:p>
    <w:p w14:paraId="22B53A25" w14:textId="77777777" w:rsidR="001B4CC5" w:rsidRDefault="001B4CC5" w:rsidP="001B4CC5">
      <w:pPr>
        <w:ind w:left="426"/>
        <w:jc w:val="center"/>
      </w:pPr>
      <w:r w:rsidRPr="005506C4">
        <w:rPr>
          <w:noProof/>
          <w:lang w:eastAsia="en-AU"/>
        </w:rPr>
        <w:drawing>
          <wp:inline distT="0" distB="0" distL="0" distR="0" wp14:anchorId="65FA6C6C" wp14:editId="531E59E7">
            <wp:extent cx="4165763" cy="618172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71052" cy="6189574"/>
                    </a:xfrm>
                    <a:prstGeom prst="rect">
                      <a:avLst/>
                    </a:prstGeom>
                  </pic:spPr>
                </pic:pic>
              </a:graphicData>
            </a:graphic>
          </wp:inline>
        </w:drawing>
      </w:r>
    </w:p>
    <w:p w14:paraId="1D846287" w14:textId="77777777" w:rsidR="001B4CC5" w:rsidRPr="006A6157" w:rsidRDefault="001B4CC5" w:rsidP="001B4CC5">
      <w:pPr>
        <w:ind w:left="426"/>
        <w:rPr>
          <w:szCs w:val="20"/>
          <w:u w:val="single"/>
        </w:rPr>
      </w:pPr>
      <w:r>
        <w:rPr>
          <w:szCs w:val="20"/>
          <w:u w:val="single"/>
        </w:rPr>
        <w:t>Burden of illness</w:t>
      </w:r>
    </w:p>
    <w:p w14:paraId="7AC49AA6" w14:textId="77777777" w:rsidR="001B4CC5" w:rsidRPr="004C3FEE" w:rsidRDefault="001B4CC5" w:rsidP="001B4CC5">
      <w:pPr>
        <w:ind w:left="426"/>
        <w:rPr>
          <w:szCs w:val="20"/>
        </w:rPr>
      </w:pPr>
      <w:r w:rsidRPr="004C3FEE">
        <w:rPr>
          <w:szCs w:val="20"/>
        </w:rPr>
        <w:t>Patients with mild glaucoma may be asymptomatic, but as the disease progresses, difficulties may occur with peripheral vision, contrast sensitivity, glare, and light-to-dark and dark-to-light adaptation. In its most severe form, glaucoma results in irreversible blindness</w:t>
      </w:r>
      <w:r>
        <w:rPr>
          <w:szCs w:val="20"/>
        </w:rPr>
        <w:t xml:space="preserve"> (Boland 2012)</w:t>
      </w:r>
      <w:r w:rsidRPr="004C3FEE">
        <w:rPr>
          <w:szCs w:val="20"/>
        </w:rPr>
        <w:t>. Visual impairment may affect activities of daily living (</w:t>
      </w:r>
      <w:proofErr w:type="spellStart"/>
      <w:r w:rsidRPr="004C3FEE">
        <w:rPr>
          <w:szCs w:val="20"/>
        </w:rPr>
        <w:t>eg</w:t>
      </w:r>
      <w:proofErr w:type="spellEnd"/>
      <w:r w:rsidRPr="004C3FEE">
        <w:rPr>
          <w:szCs w:val="20"/>
        </w:rPr>
        <w:t xml:space="preserve">, driving, walking, and reading), and may decrease </w:t>
      </w:r>
      <w:proofErr w:type="spellStart"/>
      <w:r w:rsidR="006D5761">
        <w:rPr>
          <w:szCs w:val="20"/>
        </w:rPr>
        <w:t>QoL</w:t>
      </w:r>
      <w:proofErr w:type="spellEnd"/>
      <w:r w:rsidRPr="004C3FEE">
        <w:rPr>
          <w:szCs w:val="20"/>
        </w:rPr>
        <w:t xml:space="preserve"> and health-related quality of life (</w:t>
      </w:r>
      <w:proofErr w:type="spellStart"/>
      <w:r w:rsidRPr="004C3FEE">
        <w:rPr>
          <w:szCs w:val="20"/>
        </w:rPr>
        <w:t>HRQoL</w:t>
      </w:r>
      <w:proofErr w:type="spellEnd"/>
      <w:r w:rsidRPr="004C3FEE">
        <w:rPr>
          <w:szCs w:val="20"/>
        </w:rPr>
        <w:t xml:space="preserve">). Vision loss may also impose a psychological burden on patients due to fear of blindness, social withdrawal, and depression. The impact of glaucoma on </w:t>
      </w:r>
      <w:proofErr w:type="spellStart"/>
      <w:r w:rsidRPr="004C3FEE">
        <w:rPr>
          <w:szCs w:val="20"/>
        </w:rPr>
        <w:t>HRQoL</w:t>
      </w:r>
      <w:proofErr w:type="spellEnd"/>
      <w:r w:rsidRPr="004C3FEE">
        <w:rPr>
          <w:szCs w:val="20"/>
        </w:rPr>
        <w:t xml:space="preserve"> can be significant in both undiagnosed as well as diagnosed patients, even in the early stages of disease</w:t>
      </w:r>
      <w:r>
        <w:rPr>
          <w:szCs w:val="20"/>
        </w:rPr>
        <w:t xml:space="preserve"> (Varma 2011)</w:t>
      </w:r>
      <w:r w:rsidRPr="004C3FEE">
        <w:rPr>
          <w:szCs w:val="20"/>
        </w:rPr>
        <w:t>.</w:t>
      </w:r>
    </w:p>
    <w:p w14:paraId="636DC8B1" w14:textId="77777777" w:rsidR="001B4CC5" w:rsidRDefault="001B4CC5" w:rsidP="001B4CC5">
      <w:pPr>
        <w:ind w:left="426"/>
        <w:rPr>
          <w:szCs w:val="20"/>
        </w:rPr>
      </w:pPr>
      <w:r w:rsidRPr="004C3FEE">
        <w:rPr>
          <w:szCs w:val="20"/>
        </w:rPr>
        <w:t>Treatment of OAG incurs substantial annual costs that usually increase over time as the disease progresses. Direct medical costs include ocular hypotensive medication(s), physician and hospital visits, and glaucoma-related procedures; direct nonmedical costs include transportation, government purchase programs, guide dogs, and nursing home care</w:t>
      </w:r>
      <w:r>
        <w:rPr>
          <w:szCs w:val="20"/>
        </w:rPr>
        <w:t xml:space="preserve"> (Varma 2011)</w:t>
      </w:r>
      <w:r w:rsidRPr="004C3FEE">
        <w:rPr>
          <w:szCs w:val="20"/>
        </w:rPr>
        <w:t>. Indirect costs reflect lost productivity, such as days missed from work, and the productivity costs borne by caregivers such as family members and friends</w:t>
      </w:r>
      <w:r>
        <w:rPr>
          <w:szCs w:val="20"/>
        </w:rPr>
        <w:t xml:space="preserve">. </w:t>
      </w:r>
      <w:r w:rsidRPr="006A6157">
        <w:rPr>
          <w:szCs w:val="20"/>
        </w:rPr>
        <w:t>In Australia, one in eight</w:t>
      </w:r>
      <w:r>
        <w:rPr>
          <w:szCs w:val="20"/>
        </w:rPr>
        <w:t xml:space="preserve"> </w:t>
      </w:r>
      <w:r w:rsidRPr="006A6157">
        <w:rPr>
          <w:szCs w:val="20"/>
        </w:rPr>
        <w:t xml:space="preserve">persons over 80 years of age will develop glaucoma, placing a </w:t>
      </w:r>
      <w:r w:rsidRPr="006A6157">
        <w:rPr>
          <w:szCs w:val="20"/>
        </w:rPr>
        <w:lastRenderedPageBreak/>
        <w:t>substantial clinical and financial</w:t>
      </w:r>
      <w:r>
        <w:rPr>
          <w:szCs w:val="20"/>
        </w:rPr>
        <w:t xml:space="preserve"> </w:t>
      </w:r>
      <w:r w:rsidRPr="006A6157">
        <w:rPr>
          <w:szCs w:val="20"/>
        </w:rPr>
        <w:t>burden on the Australian healthcare system. By 2025, the total annual cost of glaucoma is</w:t>
      </w:r>
      <w:r>
        <w:rPr>
          <w:szCs w:val="20"/>
        </w:rPr>
        <w:t xml:space="preserve"> </w:t>
      </w:r>
      <w:r w:rsidRPr="006A6157">
        <w:rPr>
          <w:szCs w:val="20"/>
        </w:rPr>
        <w:t>expected to reach AU$4.3b (Centre for Eye Research 2008; NHMRC 2010).</w:t>
      </w:r>
    </w:p>
    <w:p w14:paraId="05B907D8" w14:textId="77777777" w:rsidR="00CB3D26" w:rsidRPr="00CB3D26" w:rsidRDefault="00CB3D26" w:rsidP="00CB3D26">
      <w:pPr>
        <w:ind w:left="426"/>
        <w:rPr>
          <w:rFonts w:cstheme="minorHAnsi"/>
          <w:lang w:eastAsia="ja-JP"/>
        </w:rPr>
      </w:pPr>
    </w:p>
    <w:p w14:paraId="266E9F45" w14:textId="77777777" w:rsidR="00AA5FDA" w:rsidRDefault="00AA5FDA" w:rsidP="00530204">
      <w:pPr>
        <w:pStyle w:val="Heading2"/>
        <w:rPr>
          <w:rFonts w:cstheme="minorHAnsi"/>
        </w:rPr>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w:t>
      </w:r>
      <w:r w:rsidR="0018630F" w:rsidRPr="00580A83">
        <w:rPr>
          <w:rFonts w:cstheme="minorHAnsi"/>
        </w:rPr>
        <w:t xml:space="preserve">considered </w:t>
      </w:r>
      <w:r w:rsidR="00DF6D37" w:rsidRPr="00580A83">
        <w:rPr>
          <w:rFonts w:cstheme="minorHAnsi"/>
        </w:rPr>
        <w:t xml:space="preserve">eligible </w:t>
      </w:r>
      <w:r w:rsidR="0018630F" w:rsidRPr="00580A83">
        <w:rPr>
          <w:rFonts w:cstheme="minorHAnsi"/>
        </w:rPr>
        <w:t>for the service</w:t>
      </w:r>
      <w:r w:rsidR="00197D29" w:rsidRPr="00580A83">
        <w:rPr>
          <w:rFonts w:cstheme="minorHAnsi"/>
        </w:rPr>
        <w:t>:</w:t>
      </w:r>
    </w:p>
    <w:p w14:paraId="7CE0DD93" w14:textId="77777777" w:rsidR="001B4CC5" w:rsidRDefault="001B4CC5" w:rsidP="001B4CC5">
      <w:pPr>
        <w:ind w:left="426"/>
      </w:pPr>
      <w:r>
        <w:t xml:space="preserve">The patient population who will be eligible for the proposed service are those with a confirmed diagnosis of open-angle glaucoma. </w:t>
      </w:r>
      <w:proofErr w:type="gramStart"/>
      <w:r>
        <w:t>Guidelines for the screening, prognosis, diagnosis, management and prevention of glaucoma in Australia (NHMRC, 2010) state that diagnosis of glaucoma should be made on the basis of multiple sources of information.</w:t>
      </w:r>
      <w:proofErr w:type="gramEnd"/>
      <w:r>
        <w:t xml:space="preserve"> An initial consultation would ascertain relevant risk factors, such as age, family history, ethnicity, smoking and diabetes status. In addition, a comprehensive clinical examination would be undertaken including slit lamp examination, tonometry (assessment of </w:t>
      </w:r>
      <w:r w:rsidR="006D5761">
        <w:t>IOP</w:t>
      </w:r>
      <w:r>
        <w:t xml:space="preserve">), fundus and optic nerve head examination, </w:t>
      </w:r>
      <w:proofErr w:type="spellStart"/>
      <w:r>
        <w:t>gonioscopy</w:t>
      </w:r>
      <w:proofErr w:type="spellEnd"/>
      <w:r>
        <w:t>, corneal thickness, and visual field examination. A confirmatory diagnosis may require more than one consultation with a health care provider, including the involvement of an ophthalmologist.</w:t>
      </w:r>
    </w:p>
    <w:p w14:paraId="59A1437E" w14:textId="77777777" w:rsidR="001B4CC5" w:rsidRDefault="001B4CC5" w:rsidP="001B4CC5">
      <w:pPr>
        <w:ind w:left="426"/>
      </w:pPr>
      <w:r>
        <w:t xml:space="preserve">The sub-set of glaucoma patients expected to access </w:t>
      </w:r>
      <w:proofErr w:type="spellStart"/>
      <w:r w:rsidR="00572986">
        <w:t>CyPass</w:t>
      </w:r>
      <w:proofErr w:type="spellEnd"/>
      <w:r w:rsidR="00572986">
        <w:t xml:space="preserve"> Micro-Stent </w:t>
      </w:r>
      <w:r>
        <w:t>MIGS device implantation through the MBS can be broadly divided into two groups;</w:t>
      </w:r>
    </w:p>
    <w:p w14:paraId="1AA7129D" w14:textId="77777777" w:rsidR="001B4CC5" w:rsidRDefault="001B4CC5" w:rsidP="001B4CC5">
      <w:pPr>
        <w:pStyle w:val="ListParagraph"/>
        <w:numPr>
          <w:ilvl w:val="0"/>
          <w:numId w:val="45"/>
        </w:numPr>
      </w:pPr>
      <w:r>
        <w:t>those who will undergo implantation in conjunction with cataract surgery, and;</w:t>
      </w:r>
    </w:p>
    <w:p w14:paraId="1681E2B6" w14:textId="77777777" w:rsidR="001B4CC5" w:rsidRPr="00896CFA" w:rsidRDefault="001B4CC5" w:rsidP="001B4CC5">
      <w:pPr>
        <w:pStyle w:val="ListParagraph"/>
        <w:numPr>
          <w:ilvl w:val="0"/>
          <w:numId w:val="45"/>
        </w:numPr>
      </w:pPr>
      <w:r w:rsidRPr="00896CFA">
        <w:t>those who receive the intervention as a stand-alone procedure.</w:t>
      </w:r>
    </w:p>
    <w:p w14:paraId="0FE31326" w14:textId="77777777" w:rsidR="0018630F" w:rsidRDefault="0018630F" w:rsidP="00530204">
      <w:pPr>
        <w:pStyle w:val="Heading2"/>
      </w:pPr>
      <w:r w:rsidRPr="00580A83">
        <w:rPr>
          <w:rFonts w:cstheme="minorHAnsi"/>
        </w:rPr>
        <w:t>Define</w:t>
      </w:r>
      <w:r w:rsidRPr="00154B00">
        <w:t xml:space="preserv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56240AB" w14:textId="77777777" w:rsidR="0091522C" w:rsidRDefault="0091522C" w:rsidP="0091522C">
      <w:pPr>
        <w:ind w:left="426"/>
      </w:pPr>
      <w:r>
        <w:t xml:space="preserve">The current clinical management algorithm for patients diagnosed with open-angle glaucoma prior to </w:t>
      </w:r>
      <w:proofErr w:type="spellStart"/>
      <w:r w:rsidR="00572986">
        <w:t>CyPass</w:t>
      </w:r>
      <w:proofErr w:type="spellEnd"/>
      <w:r w:rsidR="00572986">
        <w:t xml:space="preserve"> Micro-Stent </w:t>
      </w:r>
      <w:r>
        <w:t xml:space="preserve">MIGS implantation is depicted in </w:t>
      </w:r>
      <w:r>
        <w:fldChar w:fldCharType="begin"/>
      </w:r>
      <w:r>
        <w:instrText xml:space="preserve"> REF _Ref476062133 \h </w:instrText>
      </w:r>
      <w:r>
        <w:fldChar w:fldCharType="separate"/>
      </w:r>
      <w:r>
        <w:t xml:space="preserve">Figure </w:t>
      </w:r>
      <w:r>
        <w:rPr>
          <w:noProof/>
        </w:rPr>
        <w:t>2</w:t>
      </w:r>
      <w:r>
        <w:fldChar w:fldCharType="end"/>
      </w:r>
      <w:r>
        <w:t xml:space="preserve">. As noted above, eligible OAG glaucoma patients can be categorised into </w:t>
      </w:r>
      <w:r w:rsidR="00572986">
        <w:t xml:space="preserve">two </w:t>
      </w:r>
      <w:r>
        <w:t>populations, according to their cataract status.</w:t>
      </w:r>
    </w:p>
    <w:p w14:paraId="7557ABDF" w14:textId="77777777" w:rsidR="0091522C" w:rsidRDefault="0091522C" w:rsidP="0091522C">
      <w:pPr>
        <w:pStyle w:val="Caption"/>
      </w:pPr>
      <w:r>
        <w:t xml:space="preserve">Figure </w:t>
      </w:r>
      <w:r w:rsidR="00A57971">
        <w:fldChar w:fldCharType="begin"/>
      </w:r>
      <w:r w:rsidR="00A57971">
        <w:instrText xml:space="preserve"> SEQ Figure \* ARABIC </w:instrText>
      </w:r>
      <w:r w:rsidR="00A57971">
        <w:fldChar w:fldCharType="separate"/>
      </w:r>
      <w:r w:rsidR="007F4935">
        <w:rPr>
          <w:noProof/>
        </w:rPr>
        <w:t>2</w:t>
      </w:r>
      <w:r w:rsidR="00A57971">
        <w:rPr>
          <w:noProof/>
        </w:rPr>
        <w:fldChar w:fldCharType="end"/>
      </w:r>
      <w:r>
        <w:tab/>
      </w:r>
      <w:r>
        <w:tab/>
        <w:t>Current treatment management algorithm for patients with OAG</w:t>
      </w:r>
    </w:p>
    <w:p w14:paraId="3F697C5A" w14:textId="77777777" w:rsidR="0091522C" w:rsidRDefault="004C6037" w:rsidP="0091522C">
      <w:pPr>
        <w:keepNext/>
        <w:ind w:left="426"/>
        <w:jc w:val="center"/>
      </w:pPr>
      <w:r w:rsidRPr="004C6037">
        <w:rPr>
          <w:noProof/>
          <w:lang w:eastAsia="en-AU"/>
        </w:rPr>
        <w:drawing>
          <wp:inline distT="0" distB="0" distL="0" distR="0" wp14:anchorId="4E6BD79F" wp14:editId="1A3BCD66">
            <wp:extent cx="4448175" cy="3291038"/>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56875" cy="3297475"/>
                    </a:xfrm>
                    <a:prstGeom prst="rect">
                      <a:avLst/>
                    </a:prstGeom>
                  </pic:spPr>
                </pic:pic>
              </a:graphicData>
            </a:graphic>
          </wp:inline>
        </w:drawing>
      </w:r>
    </w:p>
    <w:p w14:paraId="4CD469BA" w14:textId="77777777" w:rsidR="00415851" w:rsidRDefault="00415851" w:rsidP="00D73646">
      <w:pPr>
        <w:ind w:left="426"/>
      </w:pPr>
      <w:r>
        <w:br w:type="page"/>
      </w:r>
    </w:p>
    <w:p w14:paraId="0BE8E708" w14:textId="77777777" w:rsidR="002A50FD" w:rsidRPr="00881F93" w:rsidRDefault="005C3AE7" w:rsidP="005C3AE7">
      <w:pPr>
        <w:pStyle w:val="Subtitle"/>
      </w:pPr>
      <w:r>
        <w:lastRenderedPageBreak/>
        <w:t xml:space="preserve">PART 6b – </w:t>
      </w:r>
      <w:r w:rsidR="002A50FD" w:rsidRPr="00881F93">
        <w:t>INFORMATION ABOUT THE INTERVENTION</w:t>
      </w:r>
    </w:p>
    <w:p w14:paraId="00F3C4F3"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2D743BE" w14:textId="77777777" w:rsidR="001B4CC5" w:rsidRDefault="001B4CC5" w:rsidP="001B4CC5">
      <w:pPr>
        <w:ind w:left="360"/>
      </w:pPr>
      <w:r w:rsidRPr="00654A62">
        <w:t xml:space="preserve">The </w:t>
      </w:r>
      <w:proofErr w:type="spellStart"/>
      <w:r w:rsidRPr="00654A62">
        <w:t>CyPass</w:t>
      </w:r>
      <w:proofErr w:type="spellEnd"/>
      <w:r w:rsidRPr="00654A62">
        <w:t xml:space="preserve"> System consist</w:t>
      </w:r>
      <w:r w:rsidR="004C6037">
        <w:t xml:space="preserve">s of the </w:t>
      </w:r>
      <w:proofErr w:type="spellStart"/>
      <w:r w:rsidR="004C6037">
        <w:t>CyPass</w:t>
      </w:r>
      <w:proofErr w:type="spellEnd"/>
      <w:r w:rsidR="004C6037">
        <w:t xml:space="preserve"> </w:t>
      </w:r>
      <w:r>
        <w:t>Micro-Stent</w:t>
      </w:r>
      <w:r w:rsidRPr="00654A62">
        <w:t xml:space="preserve">, which is contained in a loading device (Loader), and the </w:t>
      </w:r>
      <w:proofErr w:type="spellStart"/>
      <w:r w:rsidRPr="00654A62">
        <w:t>CyPass</w:t>
      </w:r>
      <w:proofErr w:type="spellEnd"/>
      <w:r w:rsidRPr="00654A62">
        <w:t xml:space="preserve"> Applier. The </w:t>
      </w:r>
      <w:proofErr w:type="spellStart"/>
      <w:r w:rsidR="004C6037">
        <w:t>CyPass</w:t>
      </w:r>
      <w:proofErr w:type="spellEnd"/>
      <w:r w:rsidR="004C6037">
        <w:t xml:space="preserve"> </w:t>
      </w:r>
      <w:r w:rsidRPr="00654A62">
        <w:t>Micro-</w:t>
      </w:r>
      <w:proofErr w:type="gramStart"/>
      <w:r w:rsidRPr="00654A62">
        <w:t>Stent</w:t>
      </w:r>
      <w:r w:rsidR="00415851">
        <w:t>(</w:t>
      </w:r>
      <w:proofErr w:type="gramEnd"/>
      <w:r w:rsidR="00415851">
        <w:t xml:space="preserve"> </w:t>
      </w:r>
      <w:r w:rsidR="00415851">
        <w:fldChar w:fldCharType="begin"/>
      </w:r>
      <w:r w:rsidR="00415851">
        <w:instrText xml:space="preserve"> REF _Ref477520302 \h </w:instrText>
      </w:r>
      <w:r w:rsidR="00415851">
        <w:fldChar w:fldCharType="separate"/>
      </w:r>
      <w:r w:rsidR="00415851">
        <w:t xml:space="preserve">Figure </w:t>
      </w:r>
      <w:r w:rsidR="00415851">
        <w:rPr>
          <w:noProof/>
        </w:rPr>
        <w:t>2</w:t>
      </w:r>
      <w:r w:rsidR="00415851">
        <w:fldChar w:fldCharType="end"/>
      </w:r>
      <w:r w:rsidR="00415851">
        <w:t>)</w:t>
      </w:r>
      <w:r w:rsidRPr="00654A62">
        <w:t xml:space="preserve"> is a polyimide tube with a fenestrated lumen. The stent has a single piece design and is 0.25” (6.35 mm) long. The inner diameter of the stent is 0.012” (0.30 mm) and the outer diameter is 0.017” (0.43 mm). The </w:t>
      </w:r>
      <w:proofErr w:type="spellStart"/>
      <w:r w:rsidR="004C6037">
        <w:t>CyPass</w:t>
      </w:r>
      <w:proofErr w:type="spellEnd"/>
      <w:r w:rsidR="004C6037">
        <w:t xml:space="preserve"> </w:t>
      </w:r>
      <w:r w:rsidRPr="00654A62">
        <w:t xml:space="preserve">Micro-Stent is designed for placement in the angle of the eye, with the proximal end extending from the angle into the anterior chamber (AC) and the distal end residing in the supraciliary space. </w:t>
      </w:r>
      <w:r w:rsidRPr="00F86909">
        <w:t xml:space="preserve">When properly implanted, the </w:t>
      </w:r>
      <w:proofErr w:type="spellStart"/>
      <w:r w:rsidRPr="00F86909">
        <w:t>CyPass</w:t>
      </w:r>
      <w:proofErr w:type="spellEnd"/>
      <w:r w:rsidRPr="00F86909">
        <w:t xml:space="preserve">® Micro-Stent is intended to allow outflow of aqueous fluid from the AC, where the device proximal end resides, through and around the fenestrated lumen and distal end of the tube into the supraciliary and </w:t>
      </w:r>
      <w:proofErr w:type="spellStart"/>
      <w:r w:rsidRPr="00F86909">
        <w:t>suprachoroidal</w:t>
      </w:r>
      <w:proofErr w:type="spellEnd"/>
      <w:r w:rsidRPr="00F86909">
        <w:t xml:space="preserve"> space via the uveoscleral pathway.</w:t>
      </w:r>
    </w:p>
    <w:p w14:paraId="374EA2F9" w14:textId="77777777" w:rsidR="001B4CC5" w:rsidRDefault="00415851" w:rsidP="00415851">
      <w:pPr>
        <w:pStyle w:val="Caption"/>
        <w:ind w:firstLine="284"/>
      </w:pPr>
      <w:bookmarkStart w:id="5" w:name="_Ref477520302"/>
      <w:bookmarkStart w:id="6" w:name="_Toc475614991"/>
      <w:r>
        <w:t xml:space="preserve">Figure </w:t>
      </w:r>
      <w:r w:rsidR="00A57971">
        <w:fldChar w:fldCharType="begin"/>
      </w:r>
      <w:r w:rsidR="00A57971">
        <w:instrText xml:space="preserve"> SEQ Figure \* ARABIC </w:instrText>
      </w:r>
      <w:r w:rsidR="00A57971">
        <w:fldChar w:fldCharType="separate"/>
      </w:r>
      <w:r w:rsidR="007F4935">
        <w:rPr>
          <w:noProof/>
        </w:rPr>
        <w:t>3</w:t>
      </w:r>
      <w:r w:rsidR="00A57971">
        <w:rPr>
          <w:noProof/>
        </w:rPr>
        <w:fldChar w:fldCharType="end"/>
      </w:r>
      <w:bookmarkEnd w:id="5"/>
      <w:r>
        <w:tab/>
      </w:r>
      <w:proofErr w:type="spellStart"/>
      <w:r w:rsidR="001B4CC5">
        <w:t>CyPass</w:t>
      </w:r>
      <w:proofErr w:type="spellEnd"/>
      <w:r w:rsidR="001B4CC5">
        <w:t>®</w:t>
      </w:r>
      <w:r w:rsidR="001B4CC5" w:rsidRPr="00CE1600">
        <w:t xml:space="preserve"> Micro-Stent</w:t>
      </w:r>
      <w:bookmarkStart w:id="7" w:name="_hd7_Figure_1_2_CyPass_Micr25129"/>
      <w:bookmarkEnd w:id="6"/>
      <w:bookmarkEnd w:id="7"/>
    </w:p>
    <w:p w14:paraId="5ECEEC5B" w14:textId="77777777" w:rsidR="001B4CC5" w:rsidRPr="003B3745" w:rsidRDefault="001B4CC5" w:rsidP="00415851">
      <w:pPr>
        <w:pStyle w:val="Text"/>
        <w:ind w:left="284"/>
      </w:pPr>
      <w:r w:rsidRPr="003B3745">
        <w:rPr>
          <w:noProof/>
          <w:lang w:val="en-AU" w:eastAsia="en-AU"/>
        </w:rPr>
        <w:drawing>
          <wp:inline distT="0" distB="0" distL="0" distR="0" wp14:anchorId="03438558" wp14:editId="505F38CA">
            <wp:extent cx="3850640" cy="107714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8772" cy="1085009"/>
                    </a:xfrm>
                    <a:prstGeom prst="rect">
                      <a:avLst/>
                    </a:prstGeom>
                    <a:noFill/>
                    <a:ln>
                      <a:noFill/>
                    </a:ln>
                  </pic:spPr>
                </pic:pic>
              </a:graphicData>
            </a:graphic>
          </wp:inline>
        </w:drawing>
      </w:r>
    </w:p>
    <w:p w14:paraId="434E4290" w14:textId="77777777" w:rsidR="001B4CC5" w:rsidRDefault="001B4CC5" w:rsidP="001B4CC5">
      <w:pPr>
        <w:ind w:left="284"/>
      </w:pPr>
      <w:r>
        <w:t xml:space="preserve">The </w:t>
      </w:r>
      <w:proofErr w:type="spellStart"/>
      <w:r>
        <w:t>CyPass</w:t>
      </w:r>
      <w:proofErr w:type="spellEnd"/>
      <w:r>
        <w:t xml:space="preserve"> Applier </w:t>
      </w:r>
      <w:r w:rsidR="004C6037">
        <w:t>(</w:t>
      </w:r>
      <w:r w:rsidR="00415851">
        <w:fldChar w:fldCharType="begin"/>
      </w:r>
      <w:r w:rsidR="00415851">
        <w:instrText xml:space="preserve"> REF _Ref477520317 \h </w:instrText>
      </w:r>
      <w:r w:rsidR="00415851">
        <w:fldChar w:fldCharType="separate"/>
      </w:r>
      <w:r w:rsidR="00415851">
        <w:t xml:space="preserve">Figure </w:t>
      </w:r>
      <w:r w:rsidR="00415851">
        <w:rPr>
          <w:noProof/>
        </w:rPr>
        <w:t>3</w:t>
      </w:r>
      <w:r w:rsidR="00415851">
        <w:fldChar w:fldCharType="end"/>
      </w:r>
      <w:r w:rsidR="004C6037">
        <w:t xml:space="preserve">) </w:t>
      </w:r>
      <w:r>
        <w:t>is the hand-held surgical instrum</w:t>
      </w:r>
      <w:r w:rsidR="004C6037">
        <w:t xml:space="preserve">ent used to implant the </w:t>
      </w:r>
      <w:proofErr w:type="spellStart"/>
      <w:r w:rsidR="004C6037">
        <w:t>CyPass</w:t>
      </w:r>
      <w:proofErr w:type="spellEnd"/>
      <w:r w:rsidR="004C6037">
        <w:t xml:space="preserve"> </w:t>
      </w:r>
      <w:r>
        <w:t xml:space="preserve">Micro-Stent. The Applier consists of a medical-grade polymer handpiece with a guidewire assembly. The guidewire assembly includes a nitinol implant delivery guidewire extending from inside the handpiece through and beyond the distal end of a stainless steel tube (guidewire tube) that supports the guidewire. The guidewire is 0.011” (0.28 mm) in diameter and formed with a 0.48” (12 mm) radius of distal curvature and a blunt distal tip to facilitate location and blunt dissection of the plane between the ciliary body and sclera. The </w:t>
      </w:r>
      <w:proofErr w:type="spellStart"/>
      <w:r>
        <w:t>CyP</w:t>
      </w:r>
      <w:r w:rsidR="004C6037">
        <w:t>ass</w:t>
      </w:r>
      <w:proofErr w:type="spellEnd"/>
      <w:r w:rsidR="004C6037">
        <w:t xml:space="preserve"> Applier delivers the </w:t>
      </w:r>
      <w:proofErr w:type="spellStart"/>
      <w:r w:rsidR="004C6037">
        <w:t>CyPass</w:t>
      </w:r>
      <w:proofErr w:type="spellEnd"/>
      <w:r>
        <w:t xml:space="preserve"> Micro-Stent to the desired location within the eye.</w:t>
      </w:r>
    </w:p>
    <w:p w14:paraId="2C5C708C" w14:textId="77777777" w:rsidR="001B4CC5" w:rsidRDefault="00415851" w:rsidP="00415851">
      <w:pPr>
        <w:pStyle w:val="Caption"/>
        <w:ind w:firstLine="284"/>
      </w:pPr>
      <w:bookmarkStart w:id="8" w:name="_Ref477520317"/>
      <w:bookmarkStart w:id="9" w:name="_Toc475614992"/>
      <w:r>
        <w:t xml:space="preserve">Figure </w:t>
      </w:r>
      <w:r w:rsidR="00A57971">
        <w:fldChar w:fldCharType="begin"/>
      </w:r>
      <w:r w:rsidR="00A57971">
        <w:instrText xml:space="preserve"> SEQ Figure \* ARABIC </w:instrText>
      </w:r>
      <w:r w:rsidR="00A57971">
        <w:fldChar w:fldCharType="separate"/>
      </w:r>
      <w:r w:rsidR="007F4935">
        <w:rPr>
          <w:noProof/>
        </w:rPr>
        <w:t>4</w:t>
      </w:r>
      <w:r w:rsidR="00A57971">
        <w:rPr>
          <w:noProof/>
        </w:rPr>
        <w:fldChar w:fldCharType="end"/>
      </w:r>
      <w:bookmarkEnd w:id="8"/>
      <w:r>
        <w:tab/>
      </w:r>
      <w:proofErr w:type="spellStart"/>
      <w:r w:rsidR="001B4CC5">
        <w:t>CyPass</w:t>
      </w:r>
      <w:proofErr w:type="spellEnd"/>
      <w:r w:rsidR="001B4CC5">
        <w:t xml:space="preserve"> Applier with </w:t>
      </w:r>
      <w:proofErr w:type="spellStart"/>
      <w:r w:rsidR="001B4CC5">
        <w:t>guidewire</w:t>
      </w:r>
      <w:proofErr w:type="spellEnd"/>
      <w:r w:rsidR="001B4CC5">
        <w:t xml:space="preserve"> e</w:t>
      </w:r>
      <w:r w:rsidR="001B4CC5" w:rsidRPr="00E02ED6">
        <w:t>xtended</w:t>
      </w:r>
      <w:bookmarkStart w:id="10" w:name="_hd7_Figure_1_3_CyPass_Appl26018"/>
      <w:bookmarkEnd w:id="9"/>
      <w:bookmarkEnd w:id="10"/>
    </w:p>
    <w:p w14:paraId="7156635A" w14:textId="77777777" w:rsidR="001B4CC5" w:rsidRPr="001D51F8" w:rsidRDefault="001B4CC5" w:rsidP="00415851">
      <w:pPr>
        <w:pStyle w:val="Text"/>
        <w:ind w:left="284"/>
      </w:pPr>
      <w:r w:rsidRPr="003B3745">
        <w:rPr>
          <w:noProof/>
          <w:lang w:val="en-AU" w:eastAsia="en-AU"/>
        </w:rPr>
        <w:drawing>
          <wp:inline distT="0" distB="0" distL="0" distR="0" wp14:anchorId="70128396" wp14:editId="114EF90C">
            <wp:extent cx="4418330" cy="1097376"/>
            <wp:effectExtent l="0" t="0" r="127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4368" cy="1106327"/>
                    </a:xfrm>
                    <a:prstGeom prst="rect">
                      <a:avLst/>
                    </a:prstGeom>
                    <a:noFill/>
                    <a:ln>
                      <a:noFill/>
                    </a:ln>
                  </pic:spPr>
                </pic:pic>
              </a:graphicData>
            </a:graphic>
          </wp:inline>
        </w:drawing>
      </w:r>
    </w:p>
    <w:p w14:paraId="1A2E7240" w14:textId="77777777" w:rsidR="001B4CC5" w:rsidRDefault="001B4CC5" w:rsidP="001B4CC5">
      <w:pPr>
        <w:ind w:left="284"/>
      </w:pPr>
      <w:r>
        <w:t xml:space="preserve">The </w:t>
      </w:r>
      <w:proofErr w:type="spellStart"/>
      <w:r>
        <w:t>CyPass</w:t>
      </w:r>
      <w:proofErr w:type="spellEnd"/>
      <w:r>
        <w:t xml:space="preserve">® Micro-Stent is loaded onto the </w:t>
      </w:r>
      <w:proofErr w:type="spellStart"/>
      <w:r>
        <w:t>guidewire</w:t>
      </w:r>
      <w:proofErr w:type="spellEnd"/>
      <w:r w:rsidR="00415851">
        <w:t xml:space="preserve"> </w:t>
      </w:r>
      <w:r w:rsidR="00415851">
        <w:fldChar w:fldCharType="begin"/>
      </w:r>
      <w:r w:rsidR="00415851">
        <w:instrText xml:space="preserve"> REF _Ref477520324 \h </w:instrText>
      </w:r>
      <w:r w:rsidR="00415851">
        <w:fldChar w:fldCharType="separate"/>
      </w:r>
      <w:r w:rsidR="00415851">
        <w:t xml:space="preserve">Figure </w:t>
      </w:r>
      <w:r w:rsidR="00415851">
        <w:rPr>
          <w:noProof/>
        </w:rPr>
        <w:t>4</w:t>
      </w:r>
      <w:r w:rsidR="00415851">
        <w:fldChar w:fldCharType="end"/>
      </w:r>
      <w:r>
        <w:t xml:space="preserve">before insertion into the eye. Once the guidewire has positioned the </w:t>
      </w:r>
      <w:proofErr w:type="spellStart"/>
      <w:r>
        <w:t>CyPass</w:t>
      </w:r>
      <w:proofErr w:type="spellEnd"/>
      <w:r>
        <w:t xml:space="preserve">® Micro-Stent at the desired location within the eye, the implant is released from the guidewire using the front button on the </w:t>
      </w:r>
      <w:proofErr w:type="spellStart"/>
      <w:r>
        <w:t>CyPass</w:t>
      </w:r>
      <w:proofErr w:type="spellEnd"/>
      <w:r>
        <w:t xml:space="preserve"> Applier. This action withdraws the guidewire back into the guidewire tube, leaving the </w:t>
      </w:r>
      <w:proofErr w:type="spellStart"/>
      <w:r>
        <w:t>CyPass</w:t>
      </w:r>
      <w:proofErr w:type="spellEnd"/>
      <w:r>
        <w:t>® Micro-Stent in position in the eye.</w:t>
      </w:r>
    </w:p>
    <w:p w14:paraId="02E1D327" w14:textId="77777777" w:rsidR="001B4CC5" w:rsidRDefault="00415851" w:rsidP="00415851">
      <w:pPr>
        <w:pStyle w:val="Caption"/>
      </w:pPr>
      <w:bookmarkStart w:id="11" w:name="_Ref477520324"/>
      <w:bookmarkStart w:id="12" w:name="_Toc475614993"/>
      <w:r>
        <w:t xml:space="preserve">Figure </w:t>
      </w:r>
      <w:r w:rsidR="00A57971">
        <w:fldChar w:fldCharType="begin"/>
      </w:r>
      <w:r w:rsidR="00A57971">
        <w:instrText xml:space="preserve"> SEQ Figure \* ARABIC </w:instrText>
      </w:r>
      <w:r w:rsidR="00A57971">
        <w:fldChar w:fldCharType="separate"/>
      </w:r>
      <w:r w:rsidR="007F4935">
        <w:rPr>
          <w:noProof/>
        </w:rPr>
        <w:t>5</w:t>
      </w:r>
      <w:r w:rsidR="00A57971">
        <w:rPr>
          <w:noProof/>
        </w:rPr>
        <w:fldChar w:fldCharType="end"/>
      </w:r>
      <w:bookmarkEnd w:id="11"/>
      <w:r>
        <w:tab/>
      </w:r>
      <w:r>
        <w:tab/>
      </w:r>
      <w:proofErr w:type="spellStart"/>
      <w:r w:rsidR="001B4CC5">
        <w:t>CyPass</w:t>
      </w:r>
      <w:proofErr w:type="spellEnd"/>
      <w:r w:rsidR="001B4CC5">
        <w:t xml:space="preserve"> </w:t>
      </w:r>
      <w:r w:rsidR="006D5761">
        <w:t>M</w:t>
      </w:r>
      <w:r w:rsidR="001B4CC5">
        <w:t>icro-</w:t>
      </w:r>
      <w:r w:rsidR="006D5761">
        <w:t>S</w:t>
      </w:r>
      <w:r w:rsidR="001B4CC5">
        <w:t xml:space="preserve">tent loaded onto the </w:t>
      </w:r>
      <w:proofErr w:type="spellStart"/>
      <w:r w:rsidR="001B4CC5">
        <w:t>CyP</w:t>
      </w:r>
      <w:r w:rsidR="001B4CC5" w:rsidRPr="006F2F7E">
        <w:t>ass</w:t>
      </w:r>
      <w:proofErr w:type="spellEnd"/>
      <w:r w:rsidR="001B4CC5" w:rsidRPr="006F2F7E">
        <w:t xml:space="preserve"> </w:t>
      </w:r>
      <w:r w:rsidR="006D5761">
        <w:t>A</w:t>
      </w:r>
      <w:r w:rsidR="001B4CC5" w:rsidRPr="006F2F7E">
        <w:t xml:space="preserve">pplier </w:t>
      </w:r>
      <w:proofErr w:type="spellStart"/>
      <w:r w:rsidR="001B4CC5" w:rsidRPr="006F2F7E">
        <w:t>guidewire</w:t>
      </w:r>
      <w:bookmarkStart w:id="13" w:name="_hd7_Figure_1_4_CyPass_micr26780"/>
      <w:bookmarkStart w:id="14" w:name="_hd7_Figure_8_4_CyPass_micr333721"/>
      <w:bookmarkEnd w:id="12"/>
      <w:bookmarkEnd w:id="13"/>
      <w:bookmarkEnd w:id="14"/>
      <w:proofErr w:type="spellEnd"/>
    </w:p>
    <w:p w14:paraId="2C6E20BD" w14:textId="77777777" w:rsidR="001B4CC5" w:rsidRPr="007B6124" w:rsidRDefault="001B4CC5" w:rsidP="001B4CC5">
      <w:pPr>
        <w:pStyle w:val="Text"/>
        <w:jc w:val="center"/>
      </w:pPr>
      <w:r w:rsidRPr="00A13F2C">
        <w:rPr>
          <w:noProof/>
          <w:lang w:val="en-AU" w:eastAsia="en-AU"/>
        </w:rPr>
        <w:drawing>
          <wp:inline distT="0" distB="0" distL="0" distR="0" wp14:anchorId="1DB4F609" wp14:editId="424F8558">
            <wp:extent cx="2514600" cy="17285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408" cy="1732588"/>
                    </a:xfrm>
                    <a:prstGeom prst="rect">
                      <a:avLst/>
                    </a:prstGeom>
                    <a:noFill/>
                    <a:ln>
                      <a:noFill/>
                    </a:ln>
                  </pic:spPr>
                </pic:pic>
              </a:graphicData>
            </a:graphic>
          </wp:inline>
        </w:drawing>
      </w:r>
    </w:p>
    <w:p w14:paraId="17EAB487" w14:textId="77777777" w:rsidR="004C6037" w:rsidRDefault="004C6037" w:rsidP="004C6037">
      <w:pPr>
        <w:ind w:left="426"/>
        <w:rPr>
          <w:rFonts w:cstheme="minorHAnsi"/>
          <w:szCs w:val="20"/>
        </w:rPr>
      </w:pPr>
      <w:r w:rsidRPr="00E44416">
        <w:rPr>
          <w:szCs w:val="20"/>
        </w:rPr>
        <w:lastRenderedPageBreak/>
        <w:t xml:space="preserve">The key steps in delivering the proposed service are: preparing the patient for eye surgery; anaesthetising the affected eye; </w:t>
      </w:r>
      <w:r>
        <w:rPr>
          <w:szCs w:val="20"/>
        </w:rPr>
        <w:t xml:space="preserve">if necessary, </w:t>
      </w:r>
      <w:r w:rsidRPr="00E44416">
        <w:rPr>
          <w:szCs w:val="20"/>
        </w:rPr>
        <w:t>perform</w:t>
      </w:r>
      <w:r>
        <w:rPr>
          <w:szCs w:val="20"/>
        </w:rPr>
        <w:t>ing</w:t>
      </w:r>
      <w:r w:rsidRPr="00E44416">
        <w:rPr>
          <w:szCs w:val="20"/>
        </w:rPr>
        <w:t xml:space="preserve"> cataract surgery using standard microsurgical techniques </w:t>
      </w:r>
      <w:r w:rsidRPr="00E44416">
        <w:rPr>
          <w:rFonts w:cs="Times New Roman PS"/>
          <w:color w:val="211D1E"/>
          <w:szCs w:val="20"/>
        </w:rPr>
        <w:t>and instrumentation</w:t>
      </w:r>
      <w:r>
        <w:rPr>
          <w:rFonts w:cs="Times New Roman PS"/>
          <w:color w:val="211D1E"/>
          <w:szCs w:val="20"/>
        </w:rPr>
        <w:t xml:space="preserve">; instilling a </w:t>
      </w:r>
      <w:proofErr w:type="spellStart"/>
      <w:r>
        <w:rPr>
          <w:rFonts w:cs="Times New Roman PS"/>
          <w:color w:val="211D1E"/>
          <w:szCs w:val="20"/>
        </w:rPr>
        <w:t>miotic</w:t>
      </w:r>
      <w:proofErr w:type="spellEnd"/>
      <w:r>
        <w:rPr>
          <w:rFonts w:cs="Times New Roman PS"/>
          <w:color w:val="211D1E"/>
          <w:szCs w:val="20"/>
        </w:rPr>
        <w:t xml:space="preserve"> drug to constrict the pupil; </w:t>
      </w:r>
      <w:r w:rsidRPr="00015729">
        <w:rPr>
          <w:rFonts w:cstheme="minorHAnsi"/>
          <w:color w:val="211D1E"/>
          <w:szCs w:val="20"/>
        </w:rPr>
        <w:t>assembl</w:t>
      </w:r>
      <w:r>
        <w:rPr>
          <w:rFonts w:cstheme="minorHAnsi"/>
          <w:color w:val="211D1E"/>
          <w:szCs w:val="20"/>
        </w:rPr>
        <w:t>ing</w:t>
      </w:r>
      <w:r w:rsidRPr="00015729">
        <w:rPr>
          <w:rFonts w:cstheme="minorHAnsi"/>
          <w:color w:val="211D1E"/>
          <w:szCs w:val="20"/>
        </w:rPr>
        <w:t xml:space="preserve"> the </w:t>
      </w:r>
      <w:proofErr w:type="spellStart"/>
      <w:r w:rsidRPr="00015729">
        <w:rPr>
          <w:rFonts w:cstheme="minorHAnsi"/>
          <w:color w:val="211D1E"/>
          <w:szCs w:val="20"/>
        </w:rPr>
        <w:t>CyPass</w:t>
      </w:r>
      <w:proofErr w:type="spellEnd"/>
      <w:r w:rsidRPr="00015729">
        <w:rPr>
          <w:rFonts w:cstheme="minorHAnsi"/>
          <w:color w:val="211D1E"/>
          <w:szCs w:val="20"/>
        </w:rPr>
        <w:t xml:space="preserve"> System according to instructions; under </w:t>
      </w:r>
      <w:proofErr w:type="spellStart"/>
      <w:r w:rsidRPr="00015729">
        <w:rPr>
          <w:rFonts w:cstheme="minorHAnsi"/>
          <w:szCs w:val="20"/>
        </w:rPr>
        <w:t>gonioscopy</w:t>
      </w:r>
      <w:proofErr w:type="spellEnd"/>
      <w:r>
        <w:rPr>
          <w:rFonts w:cstheme="minorHAnsi"/>
          <w:szCs w:val="20"/>
        </w:rPr>
        <w:t xml:space="preserve">, </w:t>
      </w:r>
      <w:r w:rsidRPr="00015729">
        <w:rPr>
          <w:rFonts w:cstheme="minorHAnsi"/>
          <w:szCs w:val="20"/>
        </w:rPr>
        <w:t>implant</w:t>
      </w:r>
      <w:r>
        <w:rPr>
          <w:rFonts w:cstheme="minorHAnsi"/>
          <w:szCs w:val="20"/>
        </w:rPr>
        <w:t>ing</w:t>
      </w:r>
      <w:r w:rsidRPr="00015729">
        <w:rPr>
          <w:rFonts w:cstheme="minorHAnsi"/>
          <w:szCs w:val="20"/>
        </w:rPr>
        <w:t xml:space="preserve"> the </w:t>
      </w:r>
      <w:proofErr w:type="spellStart"/>
      <w:r w:rsidRPr="00015729">
        <w:rPr>
          <w:rFonts w:cstheme="minorHAnsi"/>
          <w:szCs w:val="20"/>
        </w:rPr>
        <w:t>CyPass</w:t>
      </w:r>
      <w:proofErr w:type="spellEnd"/>
      <w:r w:rsidRPr="00015729">
        <w:rPr>
          <w:rFonts w:cstheme="minorHAnsi"/>
          <w:szCs w:val="20"/>
        </w:rPr>
        <w:t xml:space="preserve"> stent; confirm</w:t>
      </w:r>
      <w:r>
        <w:rPr>
          <w:rFonts w:cstheme="minorHAnsi"/>
          <w:szCs w:val="20"/>
        </w:rPr>
        <w:t>ing</w:t>
      </w:r>
      <w:r w:rsidRPr="00015729">
        <w:rPr>
          <w:rFonts w:cstheme="minorHAnsi"/>
          <w:szCs w:val="20"/>
        </w:rPr>
        <w:t xml:space="preserve"> wound</w:t>
      </w:r>
      <w:r>
        <w:rPr>
          <w:rFonts w:cstheme="minorHAnsi"/>
          <w:szCs w:val="20"/>
        </w:rPr>
        <w:t xml:space="preserve"> seal</w:t>
      </w:r>
      <w:r w:rsidRPr="00015729">
        <w:rPr>
          <w:rFonts w:cstheme="minorHAnsi"/>
          <w:szCs w:val="20"/>
        </w:rPr>
        <w:t xml:space="preserve">; </w:t>
      </w:r>
      <w:r>
        <w:rPr>
          <w:rFonts w:cstheme="minorHAnsi"/>
          <w:szCs w:val="20"/>
        </w:rPr>
        <w:t>managing the risk of postoperative IOP increase</w:t>
      </w:r>
      <w:r w:rsidRPr="00015729">
        <w:rPr>
          <w:rFonts w:cstheme="minorHAnsi"/>
          <w:szCs w:val="20"/>
        </w:rPr>
        <w:t xml:space="preserve"> </w:t>
      </w:r>
      <w:r>
        <w:rPr>
          <w:rFonts w:cstheme="minorHAnsi"/>
          <w:szCs w:val="20"/>
        </w:rPr>
        <w:t>by applying</w:t>
      </w:r>
      <w:r w:rsidRPr="00015729">
        <w:rPr>
          <w:rFonts w:cstheme="minorHAnsi"/>
          <w:szCs w:val="20"/>
        </w:rPr>
        <w:t xml:space="preserve"> topical hypotensive agent</w:t>
      </w:r>
      <w:r>
        <w:rPr>
          <w:rFonts w:cstheme="minorHAnsi"/>
          <w:szCs w:val="20"/>
        </w:rPr>
        <w:t>s</w:t>
      </w:r>
      <w:r w:rsidRPr="00015729">
        <w:rPr>
          <w:rFonts w:cstheme="minorHAnsi"/>
          <w:szCs w:val="20"/>
        </w:rPr>
        <w:t>.</w:t>
      </w:r>
    </w:p>
    <w:p w14:paraId="221C5C90" w14:textId="77777777" w:rsidR="007B4145" w:rsidRPr="00015729" w:rsidRDefault="007B4145" w:rsidP="00E357B9">
      <w:pPr>
        <w:ind w:left="426"/>
        <w:rPr>
          <w:rFonts w:cstheme="minorHAnsi"/>
          <w:szCs w:val="20"/>
        </w:rPr>
      </w:pPr>
    </w:p>
    <w:p w14:paraId="3517B8A9"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6A13F5A5" w14:textId="77777777" w:rsidR="007B4145" w:rsidRPr="00372C47" w:rsidRDefault="002B0F50" w:rsidP="00E357B9">
      <w:pPr>
        <w:ind w:left="426"/>
        <w:rPr>
          <w:rFonts w:cstheme="minorHAnsi"/>
          <w:szCs w:val="20"/>
        </w:rPr>
      </w:pPr>
      <w:r w:rsidRPr="002B0F50">
        <w:t xml:space="preserve">The </w:t>
      </w:r>
      <w:proofErr w:type="spellStart"/>
      <w:r w:rsidRPr="002B0F50">
        <w:t>CyPass</w:t>
      </w:r>
      <w:proofErr w:type="spellEnd"/>
      <w:r w:rsidRPr="002B0F50">
        <w:t xml:space="preserve"> </w:t>
      </w:r>
      <w:r w:rsidR="004C6037">
        <w:t>Micro-S</w:t>
      </w:r>
      <w:r w:rsidRPr="002B0F50">
        <w:t xml:space="preserve">tent device system is the registered trademark component with a distinguishing characteristic: similar to other </w:t>
      </w:r>
      <w:r w:rsidR="006D5761">
        <w:t>MIGS</w:t>
      </w:r>
      <w:r w:rsidRPr="002B0F50">
        <w:t xml:space="preserve"> stents it is implanted by the </w:t>
      </w:r>
      <w:proofErr w:type="spellStart"/>
      <w:r w:rsidRPr="002B0F50">
        <w:t>ab</w:t>
      </w:r>
      <w:proofErr w:type="spellEnd"/>
      <w:r w:rsidRPr="002B0F50">
        <w:t xml:space="preserve"> </w:t>
      </w:r>
      <w:proofErr w:type="spellStart"/>
      <w:r w:rsidRPr="002B0F50">
        <w:t>interno</w:t>
      </w:r>
      <w:proofErr w:type="spellEnd"/>
      <w:r w:rsidRPr="002B0F50">
        <w:t xml:space="preserve"> approach, but its anatomical placement is in the supraciliary space (‘outside </w:t>
      </w:r>
      <w:proofErr w:type="spellStart"/>
      <w:r w:rsidRPr="002B0F50">
        <w:t>Schlemm</w:t>
      </w:r>
      <w:proofErr w:type="spellEnd"/>
      <w:r w:rsidRPr="002B0F50">
        <w:t xml:space="preserve">’), for aqueous drainage through the uveoscleral pathway into the supraciliary and </w:t>
      </w:r>
      <w:proofErr w:type="spellStart"/>
      <w:r w:rsidRPr="002B0F50">
        <w:t>suprachoroidal</w:t>
      </w:r>
      <w:proofErr w:type="spellEnd"/>
      <w:r w:rsidRPr="002B0F50">
        <w:t xml:space="preserve"> spaces.</w:t>
      </w:r>
    </w:p>
    <w:p w14:paraId="1AC3BB5F"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1F7EBB9" w14:textId="77777777" w:rsidR="00102950" w:rsidRDefault="004C6037" w:rsidP="00E357B9">
      <w:pPr>
        <w:ind w:left="426"/>
        <w:rPr>
          <w:b/>
          <w:szCs w:val="20"/>
        </w:rPr>
      </w:pPr>
      <w:r>
        <w:t xml:space="preserve">The </w:t>
      </w:r>
      <w:proofErr w:type="spellStart"/>
      <w:r>
        <w:t>CyPass</w:t>
      </w:r>
      <w:proofErr w:type="spellEnd"/>
      <w:r>
        <w:t xml:space="preserve"> System Micro-S</w:t>
      </w:r>
      <w:r w:rsidR="009B6AFA" w:rsidRPr="009B6AFA">
        <w:t>tent prosthesis is applicable to all patients for whom tube drainage is indicated (i.e., patients with glaucoma refractory to topical drug therapy, or who cannot tolerate or comply with topical treatment).</w:t>
      </w:r>
    </w:p>
    <w:p w14:paraId="7F1B0B98"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B98BBEE" w14:textId="77777777" w:rsidR="00CC09D7" w:rsidRDefault="00AA579B" w:rsidP="00E357B9">
      <w:pPr>
        <w:ind w:left="426"/>
      </w:pPr>
      <w:r>
        <w:t>Not applicable.</w:t>
      </w:r>
    </w:p>
    <w:p w14:paraId="3D6E811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35B0AD9" w14:textId="77777777" w:rsidR="00791C8D" w:rsidRDefault="007D6511" w:rsidP="00884E69">
      <w:pPr>
        <w:ind w:left="426"/>
      </w:pPr>
      <w:r>
        <w:t xml:space="preserve">Cataract extraction immediately prior to </w:t>
      </w:r>
      <w:proofErr w:type="spellStart"/>
      <w:r>
        <w:t>CyPass</w:t>
      </w:r>
      <w:proofErr w:type="spellEnd"/>
      <w:r>
        <w:t xml:space="preserve"> implantation</w:t>
      </w:r>
      <w:r w:rsidR="00102950">
        <w:t xml:space="preserve"> may be indicated in some patients</w:t>
      </w:r>
      <w:r>
        <w:t>.</w:t>
      </w:r>
    </w:p>
    <w:p w14:paraId="66BC0936"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6BA4969" w14:textId="77777777" w:rsidR="001B4CC5" w:rsidRPr="00154B00" w:rsidRDefault="001B4CC5" w:rsidP="001B4CC5">
      <w:pPr>
        <w:ind w:left="426"/>
        <w:rPr>
          <w:szCs w:val="20"/>
        </w:rPr>
      </w:pPr>
      <w:r>
        <w:t>Ophthalmologist, Cataract Surgical Specialist.</w:t>
      </w:r>
    </w:p>
    <w:p w14:paraId="439F3775"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E1F5613" w14:textId="40EB81F3" w:rsidR="001B4CC5" w:rsidRDefault="00BF6582" w:rsidP="001B4CC5">
      <w:pPr>
        <w:ind w:left="426"/>
      </w:pPr>
      <w:r>
        <w:t>Not applicable.</w:t>
      </w:r>
    </w:p>
    <w:p w14:paraId="2335F73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858AF92" w14:textId="77777777" w:rsidR="00EA0E25" w:rsidRDefault="001B4CC5" w:rsidP="00BC424B">
      <w:pPr>
        <w:ind w:left="426"/>
      </w:pPr>
      <w:r>
        <w:t xml:space="preserve">Delivery of the service should be restricted to ophthalmologists specialising in glaucoma or cataract surgical intervention. </w:t>
      </w:r>
      <w:r w:rsidR="00E20196">
        <w:t>Referral may come from optometrists or general practitioners.</w:t>
      </w:r>
    </w:p>
    <w:p w14:paraId="2D546AA7"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A8C50C0" w14:textId="77777777" w:rsidR="00EA0E25" w:rsidRPr="004C6037" w:rsidRDefault="001B4CC5" w:rsidP="004C6037">
      <w:pPr>
        <w:ind w:left="426"/>
        <w:rPr>
          <w:szCs w:val="20"/>
        </w:rPr>
      </w:pPr>
      <w:r>
        <w:rPr>
          <w:szCs w:val="20"/>
        </w:rPr>
        <w:t>Surgeon would be a Fellow of the Royal Australian and New Zealand College of Ophthalmology (RANZCO) or in the RANZCO training program under sup</w:t>
      </w:r>
      <w:r w:rsidR="004C6037">
        <w:rPr>
          <w:szCs w:val="20"/>
        </w:rPr>
        <w:t xml:space="preserve">ervision of the RANZCO Fellow. </w:t>
      </w:r>
      <w:r w:rsidR="00E20196">
        <w:t>Ophthalmologists delivering the proposed service would require specific training in implantation technique</w:t>
      </w:r>
      <w:r w:rsidR="00102950">
        <w:t xml:space="preserve"> - </w:t>
      </w:r>
      <w:r w:rsidR="00E20196">
        <w:t xml:space="preserve">as </w:t>
      </w:r>
      <w:r w:rsidR="00102950">
        <w:t>would</w:t>
      </w:r>
      <w:r w:rsidR="00E20196">
        <w:t xml:space="preserve"> also</w:t>
      </w:r>
      <w:r w:rsidR="00102950">
        <w:t xml:space="preserve"> be</w:t>
      </w:r>
      <w:r w:rsidR="00E20196">
        <w:t xml:space="preserve"> the case for other ocular micro-surgery and implantation procedures</w:t>
      </w:r>
      <w:r w:rsidR="00102950">
        <w:t xml:space="preserve"> and devices</w:t>
      </w:r>
      <w:r w:rsidR="00E20196">
        <w:t>.</w:t>
      </w:r>
    </w:p>
    <w:p w14:paraId="1402A58D" w14:textId="77777777" w:rsidR="00102950" w:rsidRPr="00154B00" w:rsidRDefault="00102950" w:rsidP="0073597B">
      <w:pPr>
        <w:ind w:left="426"/>
        <w:rPr>
          <w:szCs w:val="20"/>
        </w:rPr>
      </w:pPr>
    </w:p>
    <w:p w14:paraId="4495D6DB"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43607815" w14:textId="77777777" w:rsidR="001B4CC5" w:rsidRDefault="001B4CC5" w:rsidP="001B4CC5">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w:t>
      </w:r>
      <w:r>
        <w:t>Inpatient private hospital</w:t>
      </w:r>
    </w:p>
    <w:p w14:paraId="66EBA660" w14:textId="77777777" w:rsidR="001B4CC5" w:rsidRDefault="001B4CC5" w:rsidP="001B4CC5">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w:t>
      </w:r>
      <w:r>
        <w:t>Inpatient public hospital</w:t>
      </w:r>
    </w:p>
    <w:p w14:paraId="795AAE87" w14:textId="77777777" w:rsidR="001B4CC5" w:rsidRDefault="001B4CC5" w:rsidP="001B4CC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w:t>
      </w:r>
      <w:r>
        <w:t>Outpatient clinic</w:t>
      </w:r>
    </w:p>
    <w:p w14:paraId="26E66256" w14:textId="77777777" w:rsidR="001B4CC5" w:rsidRDefault="001B4CC5" w:rsidP="001B4CC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w:t>
      </w:r>
      <w:r>
        <w:t>Emergency Department</w:t>
      </w:r>
    </w:p>
    <w:p w14:paraId="6F57494B" w14:textId="77777777" w:rsidR="001B4CC5" w:rsidRDefault="001B4CC5" w:rsidP="001B4CC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w:t>
      </w:r>
      <w:r>
        <w:t>Consulting rooms</w:t>
      </w:r>
    </w:p>
    <w:p w14:paraId="02A3AA1A" w14:textId="77777777" w:rsidR="001B4CC5" w:rsidRDefault="001B4CC5" w:rsidP="001B4CC5">
      <w:pPr>
        <w:spacing w:before="0" w:after="0"/>
        <w:ind w:left="426"/>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w:t>
      </w:r>
      <w:r>
        <w:t>Day surgery centre</w:t>
      </w:r>
    </w:p>
    <w:p w14:paraId="5BC151A1" w14:textId="77777777" w:rsidR="001B4CC5" w:rsidRDefault="001B4CC5" w:rsidP="001B4CC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w:t>
      </w:r>
      <w:r>
        <w:t>Residential aged care facility</w:t>
      </w:r>
    </w:p>
    <w:p w14:paraId="22657172" w14:textId="77777777" w:rsidR="001B4CC5" w:rsidRDefault="001B4CC5" w:rsidP="001B4CC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w:t>
      </w:r>
      <w:r>
        <w:t>Patient’s home</w:t>
      </w:r>
    </w:p>
    <w:p w14:paraId="28BDF8BC" w14:textId="77777777" w:rsidR="001B4CC5" w:rsidRDefault="001B4CC5" w:rsidP="001B4CC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w:t>
      </w:r>
      <w:r>
        <w:t>Laboratory</w:t>
      </w:r>
    </w:p>
    <w:p w14:paraId="1AFC015E" w14:textId="77777777" w:rsidR="001B4CC5" w:rsidRPr="000A478F" w:rsidRDefault="001B4CC5" w:rsidP="001B4CC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971">
        <w:rPr>
          <w:szCs w:val="20"/>
        </w:rPr>
      </w:r>
      <w:r w:rsidR="00A57971">
        <w:rPr>
          <w:szCs w:val="20"/>
        </w:rPr>
        <w:fldChar w:fldCharType="separate"/>
      </w:r>
      <w:r w:rsidRPr="000A5B32">
        <w:rPr>
          <w:szCs w:val="20"/>
        </w:rPr>
        <w:fldChar w:fldCharType="end"/>
      </w:r>
      <w:r>
        <w:rPr>
          <w:szCs w:val="20"/>
        </w:rPr>
        <w:t xml:space="preserve"> </w:t>
      </w:r>
      <w:r>
        <w:t>Other – please specify below</w:t>
      </w:r>
    </w:p>
    <w:p w14:paraId="50CD280C" w14:textId="77777777" w:rsidR="00102950" w:rsidRDefault="00102950" w:rsidP="0073597B">
      <w:pPr>
        <w:ind w:left="426"/>
        <w:rPr>
          <w:b/>
          <w:szCs w:val="20"/>
        </w:rPr>
      </w:pPr>
    </w:p>
    <w:p w14:paraId="69863756"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D05DC6C" w14:textId="77777777" w:rsidR="0073597B" w:rsidRDefault="00200BB0" w:rsidP="0073597B">
      <w:pPr>
        <w:ind w:left="426"/>
      </w:pPr>
      <w:r>
        <w:t xml:space="preserve">The proposed </w:t>
      </w:r>
      <w:r w:rsidR="007D6511">
        <w:t>service</w:t>
      </w:r>
      <w:r>
        <w:t xml:space="preserve"> is</w:t>
      </w:r>
      <w:r w:rsidR="007D6511">
        <w:t xml:space="preserve"> delivered under local anaesthesia and is not a prolonged procedure, therefore patients would usually be able to be discharged the same day. However, since some patients </w:t>
      </w:r>
      <w:r w:rsidR="00102950">
        <w:t>might</w:t>
      </w:r>
      <w:r w:rsidR="007D6511">
        <w:t xml:space="preserve"> be </w:t>
      </w:r>
      <w:r w:rsidR="00EE102F">
        <w:t xml:space="preserve">elderly, an overnight admission </w:t>
      </w:r>
      <w:r w:rsidR="00102950">
        <w:t xml:space="preserve">for observation purposes </w:t>
      </w:r>
      <w:r w:rsidR="00EE102F">
        <w:t xml:space="preserve">may be </w:t>
      </w:r>
      <w:r w:rsidR="00102950">
        <w:t>the better management option</w:t>
      </w:r>
      <w:r w:rsidR="00EE102F">
        <w:t>.</w:t>
      </w:r>
    </w:p>
    <w:p w14:paraId="44E5F094" w14:textId="77777777" w:rsidR="00102950" w:rsidRDefault="00102950" w:rsidP="0073597B">
      <w:pPr>
        <w:ind w:left="426"/>
        <w:rPr>
          <w:b/>
          <w:szCs w:val="20"/>
        </w:rPr>
      </w:pPr>
    </w:p>
    <w:p w14:paraId="444B3355" w14:textId="77777777" w:rsidR="003E30FB" w:rsidRDefault="003E30FB" w:rsidP="00530204">
      <w:pPr>
        <w:pStyle w:val="Heading2"/>
      </w:pPr>
      <w:r>
        <w:t xml:space="preserve">Is the </w:t>
      </w:r>
      <w:r w:rsidRPr="001B29A1">
        <w:t>proposed</w:t>
      </w:r>
      <w:r>
        <w:t xml:space="preserve"> medical service intended to be entirely rendered in Australia?</w:t>
      </w:r>
    </w:p>
    <w:p w14:paraId="13FD2E5B" w14:textId="77777777" w:rsidR="001B4CC5" w:rsidRDefault="001B4CC5" w:rsidP="001B4CC5">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Yes</w:t>
      </w:r>
    </w:p>
    <w:p w14:paraId="72E810CD" w14:textId="77777777" w:rsidR="000A478F" w:rsidRDefault="001B4CC5" w:rsidP="001B4CC5">
      <w:pPr>
        <w:ind w:firstLine="357"/>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971">
        <w:rPr>
          <w:szCs w:val="20"/>
        </w:rPr>
      </w:r>
      <w:r w:rsidR="00A57971">
        <w:rPr>
          <w:szCs w:val="20"/>
        </w:rPr>
        <w:fldChar w:fldCharType="separate"/>
      </w:r>
      <w:r w:rsidRPr="00753C44">
        <w:rPr>
          <w:szCs w:val="20"/>
        </w:rPr>
        <w:fldChar w:fldCharType="end"/>
      </w:r>
      <w:r>
        <w:rPr>
          <w:szCs w:val="20"/>
        </w:rPr>
        <w:t xml:space="preserve"> No – please specify below </w:t>
      </w:r>
      <w:r w:rsidR="000A478F">
        <w:rPr>
          <w:b/>
          <w:i/>
          <w:szCs w:val="20"/>
          <w:u w:val="single"/>
        </w:rPr>
        <w:br w:type="page"/>
      </w:r>
    </w:p>
    <w:p w14:paraId="4BD98E12"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742C1D48" w14:textId="77777777"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B6C3DB4" w14:textId="77777777" w:rsidR="001B4CC5" w:rsidRDefault="00E25C67" w:rsidP="001B4CC5">
      <w:pPr>
        <w:ind w:left="426"/>
      </w:pPr>
      <w:r>
        <w:t>T</w:t>
      </w:r>
      <w:r w:rsidR="001B4CC5">
        <w:t xml:space="preserve">he appropriate comparator for </w:t>
      </w:r>
      <w:proofErr w:type="spellStart"/>
      <w:r>
        <w:t>CyPass</w:t>
      </w:r>
      <w:proofErr w:type="spellEnd"/>
      <w:r>
        <w:t xml:space="preserve"> Micro-Stent </w:t>
      </w:r>
      <w:r w:rsidR="001B4CC5">
        <w:t>MIGS implantation is dependent on the medical history of the patient. Primarily, this is determined by the presence or absence of a cataract co-morbidity.</w:t>
      </w:r>
    </w:p>
    <w:p w14:paraId="6288079E" w14:textId="77777777" w:rsidR="001B4CC5" w:rsidRDefault="001B4CC5" w:rsidP="001B4CC5">
      <w:pPr>
        <w:ind w:left="426"/>
      </w:pPr>
      <w:r>
        <w:rPr>
          <w:u w:val="single"/>
        </w:rPr>
        <w:t xml:space="preserve">Population 1: </w:t>
      </w:r>
      <w:r w:rsidRPr="007441E7">
        <w:rPr>
          <w:u w:val="single"/>
        </w:rPr>
        <w:t>Implantation of MIGS device in conjunction with cataract surgery</w:t>
      </w:r>
    </w:p>
    <w:p w14:paraId="17992173" w14:textId="305170CE" w:rsidR="001B4CC5" w:rsidRDefault="001B4CC5" w:rsidP="001B4CC5">
      <w:pPr>
        <w:ind w:left="426"/>
      </w:pPr>
      <w:r>
        <w:t>Glaucoma patients undergoing surgery for a cataract co</w:t>
      </w:r>
      <w:r w:rsidR="006D5761">
        <w:t>-morbidity</w:t>
      </w:r>
      <w:r>
        <w:t xml:space="preserve"> represent a unique opportunity to treat both conditions in a single operation, thus minimising the risk of surgery-related complications.</w:t>
      </w:r>
      <w:r w:rsidR="00E25C67">
        <w:t xml:space="preserve"> For this population, </w:t>
      </w:r>
      <w:r>
        <w:t>MIGS implantation would be considered early in the management algorithm of such patients, as an adjunctive to topical hypotensive medication. Laser therapy would not be considered as a treatment option in conjunction with cataract surgery as the treatments cannot be performed concomitantly. Thus, the appropriate comparator for OAG patients with a cataract co-morbidity is continued, escalating ocular hypotensive medication.</w:t>
      </w:r>
      <w:r w:rsidR="00061FA6">
        <w:t xml:space="preserve"> </w:t>
      </w:r>
    </w:p>
    <w:p w14:paraId="68A50594" w14:textId="77777777" w:rsidR="001B4CC5" w:rsidRPr="0042599F" w:rsidRDefault="001B4CC5" w:rsidP="001B4CC5">
      <w:pPr>
        <w:keepNext/>
        <w:ind w:left="425"/>
        <w:rPr>
          <w:u w:val="single"/>
        </w:rPr>
      </w:pPr>
      <w:r>
        <w:rPr>
          <w:u w:val="single"/>
        </w:rPr>
        <w:t xml:space="preserve">Population 2: </w:t>
      </w:r>
      <w:r w:rsidRPr="0042599F">
        <w:rPr>
          <w:u w:val="single"/>
        </w:rPr>
        <w:t xml:space="preserve">Implantation of MIGS device </w:t>
      </w:r>
      <w:r>
        <w:rPr>
          <w:u w:val="single"/>
        </w:rPr>
        <w:t>as a stand-alone procedure</w:t>
      </w:r>
    </w:p>
    <w:p w14:paraId="1DD3DF93" w14:textId="77777777" w:rsidR="00697987" w:rsidRDefault="00697987" w:rsidP="00697987">
      <w:pPr>
        <w:ind w:left="426"/>
      </w:pPr>
      <w:r>
        <w:t xml:space="preserve">The appropriate comparator for </w:t>
      </w:r>
      <w:proofErr w:type="spellStart"/>
      <w:r>
        <w:t>CyPass</w:t>
      </w:r>
      <w:proofErr w:type="spellEnd"/>
      <w:r>
        <w:t xml:space="preserve"> Micro-Stent MIGS implantation as a stand-alone procedure is dependent on whether the patient has had previous cataract surgery or not.</w:t>
      </w:r>
    </w:p>
    <w:p w14:paraId="6434D7F4" w14:textId="77777777" w:rsidR="00697987" w:rsidRDefault="00697987" w:rsidP="00697987">
      <w:pPr>
        <w:ind w:left="426"/>
      </w:pPr>
      <w:r>
        <w:t xml:space="preserve">The anticipated clinical place for </w:t>
      </w:r>
      <w:proofErr w:type="spellStart"/>
      <w:r>
        <w:t>CyPass</w:t>
      </w:r>
      <w:proofErr w:type="spellEnd"/>
      <w:r>
        <w:t xml:space="preserve"> Micro-Stent MIGS implantation in OAG patients with </w:t>
      </w:r>
      <w:r w:rsidRPr="00113DED">
        <w:rPr>
          <w:i/>
          <w:u w:val="single"/>
        </w:rPr>
        <w:t>prior cataract surgery</w:t>
      </w:r>
      <w:r>
        <w:t xml:space="preserve"> is in those patients experiencing inadequate IOP control </w:t>
      </w:r>
      <w:r w:rsidRPr="00825DAF">
        <w:t>with maximal-tolerated topical hypotensive medication (i.e. through natural disease progression or unmanageable medication burden leading to poor medication compliance, or other treatment-related adverse events). In the current clinical management pathway, such patients would be considered candidates for laser</w:t>
      </w:r>
      <w:r>
        <w:t xml:space="preserve"> </w:t>
      </w:r>
      <w:proofErr w:type="spellStart"/>
      <w:r>
        <w:t>trabeculoplasty</w:t>
      </w:r>
      <w:proofErr w:type="spellEnd"/>
      <w:r>
        <w:t>.</w:t>
      </w:r>
    </w:p>
    <w:p w14:paraId="5A4D8567" w14:textId="3442F9A2" w:rsidR="00697987" w:rsidRDefault="00697987" w:rsidP="00697987">
      <w:pPr>
        <w:ind w:left="426"/>
      </w:pPr>
      <w:r>
        <w:t xml:space="preserve">In patients </w:t>
      </w:r>
      <w:r w:rsidRPr="00113DED">
        <w:t>who retain their natural lens (also known as ‘</w:t>
      </w:r>
      <w:proofErr w:type="spellStart"/>
      <w:r w:rsidRPr="00113DED">
        <w:t>phakic</w:t>
      </w:r>
      <w:proofErr w:type="spellEnd"/>
      <w:r w:rsidRPr="00113DED">
        <w:t>’ patients),</w:t>
      </w:r>
      <w:r>
        <w:t xml:space="preserve"> the benefits of invasive incisional surgery must be weighed against the risk of such complications. Patients with </w:t>
      </w:r>
      <w:r w:rsidRPr="00113DED">
        <w:rPr>
          <w:i/>
          <w:u w:val="single"/>
        </w:rPr>
        <w:t>no history of cataract</w:t>
      </w:r>
      <w:r>
        <w:t xml:space="preserve"> would likely be considered candidates for </w:t>
      </w:r>
      <w:proofErr w:type="spellStart"/>
      <w:r>
        <w:t>CyPass</w:t>
      </w:r>
      <w:proofErr w:type="spellEnd"/>
      <w:r>
        <w:t xml:space="preserve"> Micro-Stent MIGS implantation when target </w:t>
      </w:r>
      <w:r w:rsidR="006D5761">
        <w:t>IOP</w:t>
      </w:r>
      <w:r>
        <w:t xml:space="preserve"> is not being achieved with maximal-tolerated medication, or adherence is problematic, and when laser has failed or is not likely to succeed. This places MIGS implantation in line with alternative incisional surgical approaches, the most common of which is trabeculectomy.</w:t>
      </w:r>
    </w:p>
    <w:p w14:paraId="086F8D14" w14:textId="27BE191D" w:rsidR="00AC192A" w:rsidRPr="00AC192A" w:rsidRDefault="00AC192A" w:rsidP="00697987">
      <w:pPr>
        <w:ind w:left="426"/>
        <w:rPr>
          <w:u w:val="single"/>
        </w:rPr>
      </w:pPr>
      <w:r w:rsidRPr="00AC192A">
        <w:rPr>
          <w:u w:val="single"/>
        </w:rPr>
        <w:t>Population 1 and 2</w:t>
      </w:r>
    </w:p>
    <w:p w14:paraId="3540ACC0" w14:textId="434CF40E" w:rsidR="00AC192A" w:rsidRDefault="00AC192A" w:rsidP="00AC192A">
      <w:pPr>
        <w:ind w:left="426"/>
      </w:pPr>
      <w:r>
        <w:t>There are currently two types of MIGS devices to treat patients with mild-moderate POAG</w:t>
      </w:r>
      <w:r w:rsidRPr="00AC192A">
        <w:t xml:space="preserve"> </w:t>
      </w:r>
      <w:r>
        <w:t xml:space="preserve">which both work to achieve reduction in IOP, and differ only in the location of the implantation device. Both devices are implanted by the </w:t>
      </w:r>
      <w:proofErr w:type="spellStart"/>
      <w:r>
        <w:t>ab</w:t>
      </w:r>
      <w:proofErr w:type="spellEnd"/>
      <w:r>
        <w:t xml:space="preserve"> </w:t>
      </w:r>
      <w:proofErr w:type="spellStart"/>
      <w:r>
        <w:t>interno</w:t>
      </w:r>
      <w:proofErr w:type="spellEnd"/>
      <w:r>
        <w:t xml:space="preserve"> approach, but the anatomical placement of the device differs. i.e. for </w:t>
      </w:r>
      <w:proofErr w:type="spellStart"/>
      <w:r>
        <w:t>CyPass</w:t>
      </w:r>
      <w:proofErr w:type="spellEnd"/>
      <w:r>
        <w:t xml:space="preserve">, the MIGS device is placed into the supraciliary space, whereas in </w:t>
      </w:r>
      <w:proofErr w:type="spellStart"/>
      <w:r>
        <w:t>iStent</w:t>
      </w:r>
      <w:proofErr w:type="spellEnd"/>
      <w:r>
        <w:t xml:space="preserve"> and </w:t>
      </w:r>
      <w:proofErr w:type="spellStart"/>
      <w:r>
        <w:t>Hydrus</w:t>
      </w:r>
      <w:proofErr w:type="spellEnd"/>
      <w:r>
        <w:t xml:space="preserve">, the device is inserted into the trabecular meshwork. Therefore, </w:t>
      </w:r>
      <w:r w:rsidR="00B6672C">
        <w:t xml:space="preserve">the SBA may warrant </w:t>
      </w:r>
      <w:r>
        <w:t xml:space="preserve">a comparison between the two different types of MIGS devices, </w:t>
      </w:r>
      <w:r w:rsidR="00B6672C">
        <w:t xml:space="preserve">in order to </w:t>
      </w:r>
      <w:r>
        <w:t xml:space="preserve">inform clinician and patient choice and/or preference. </w:t>
      </w:r>
    </w:p>
    <w:p w14:paraId="6B03B17C" w14:textId="7385ACAB" w:rsidR="00697987" w:rsidRDefault="00697987" w:rsidP="00CE6139">
      <w:pPr>
        <w:ind w:left="426"/>
      </w:pPr>
    </w:p>
    <w:p w14:paraId="07BCBF90"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6F0D9ECC" w14:textId="77777777" w:rsidR="001B4CC5" w:rsidRDefault="001B4CC5" w:rsidP="001B4CC5">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Yes (please provide all relevant MBS item numbers below)</w:t>
      </w:r>
    </w:p>
    <w:p w14:paraId="7891EDBE" w14:textId="77777777" w:rsidR="001B4CC5" w:rsidRDefault="001B4CC5" w:rsidP="001B4CC5">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971">
        <w:rPr>
          <w:szCs w:val="20"/>
        </w:rPr>
      </w:r>
      <w:r w:rsidR="00A57971">
        <w:rPr>
          <w:szCs w:val="20"/>
        </w:rPr>
        <w:fldChar w:fldCharType="separate"/>
      </w:r>
      <w:r w:rsidRPr="00753C44">
        <w:rPr>
          <w:szCs w:val="20"/>
        </w:rPr>
        <w:fldChar w:fldCharType="end"/>
      </w:r>
      <w:r>
        <w:rPr>
          <w:szCs w:val="20"/>
        </w:rPr>
        <w:t xml:space="preserve"> No</w:t>
      </w:r>
    </w:p>
    <w:p w14:paraId="115A991F" w14:textId="77777777" w:rsidR="001B4CC5" w:rsidRDefault="001B4CC5" w:rsidP="001B4CC5">
      <w:pPr>
        <w:ind w:left="426"/>
      </w:pPr>
      <w:r>
        <w:t xml:space="preserve">Laser </w:t>
      </w:r>
      <w:proofErr w:type="spellStart"/>
      <w:r>
        <w:t>trabeculoplasty</w:t>
      </w:r>
      <w:proofErr w:type="spellEnd"/>
      <w:r>
        <w:t xml:space="preserve"> – MBS item 42782, 42783</w:t>
      </w:r>
    </w:p>
    <w:p w14:paraId="5BB100EB" w14:textId="77777777" w:rsidR="001B4CC5" w:rsidRDefault="001B4CC5" w:rsidP="001B4CC5">
      <w:pPr>
        <w:ind w:left="426"/>
      </w:pPr>
      <w:r>
        <w:t>Incisional filtration surgery, including trabeculectomy – MBS item 42746 (first surgery), 42749 (subsequent surgeries)</w:t>
      </w:r>
    </w:p>
    <w:p w14:paraId="307D1C3A" w14:textId="77777777" w:rsidR="001B4CC5" w:rsidRDefault="001B4CC5" w:rsidP="001B4CC5">
      <w:pPr>
        <w:ind w:left="426"/>
      </w:pPr>
      <w:r>
        <w:t>Other glaucoma surgical intervention (insertion of a drainage device) – MBS item 42752 (insertion), 42755 (removal)</w:t>
      </w:r>
    </w:p>
    <w:p w14:paraId="4AB0A347" w14:textId="77777777" w:rsidR="00102950" w:rsidRPr="00154B00" w:rsidRDefault="00102950" w:rsidP="001B29A1">
      <w:pPr>
        <w:ind w:left="426"/>
        <w:rPr>
          <w:szCs w:val="20"/>
        </w:rPr>
      </w:pPr>
    </w:p>
    <w:p w14:paraId="7574BC32" w14:textId="77777777" w:rsidR="00AF5D1E" w:rsidRPr="00154B00" w:rsidRDefault="00AF5D1E" w:rsidP="00530204">
      <w:pPr>
        <w:pStyle w:val="Heading2"/>
      </w:pPr>
      <w:r w:rsidRPr="00154B00">
        <w:lastRenderedPageBreak/>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1A64CF77" w14:textId="4BF81BA7" w:rsidR="001B4CC5" w:rsidRDefault="001B4CC5" w:rsidP="001B4CC5">
      <w:pPr>
        <w:ind w:left="426"/>
      </w:pPr>
      <w:r>
        <w:t xml:space="preserve">The current clinical management pathway </w:t>
      </w:r>
      <w:r w:rsidR="00BF6582">
        <w:t xml:space="preserve">a </w:t>
      </w:r>
      <w:r>
        <w:t xml:space="preserve">glaucoma patient would follow after implantation with a </w:t>
      </w:r>
      <w:proofErr w:type="spellStart"/>
      <w:r w:rsidR="00286F02">
        <w:t>CyPass</w:t>
      </w:r>
      <w:proofErr w:type="spellEnd"/>
      <w:r w:rsidR="00286F02">
        <w:t xml:space="preserve"> Micro-Stent </w:t>
      </w:r>
      <w:r>
        <w:t xml:space="preserve">MIGS device is summarised in </w:t>
      </w:r>
      <w:r w:rsidR="007F4935">
        <w:fldChar w:fldCharType="begin"/>
      </w:r>
      <w:r w:rsidR="007F4935">
        <w:instrText xml:space="preserve"> REF _Ref477531157 \h </w:instrText>
      </w:r>
      <w:r w:rsidR="007F4935">
        <w:fldChar w:fldCharType="separate"/>
      </w:r>
      <w:r w:rsidR="007F4935">
        <w:t xml:space="preserve">Figure </w:t>
      </w:r>
      <w:r w:rsidR="007F4935">
        <w:rPr>
          <w:noProof/>
        </w:rPr>
        <w:t>6</w:t>
      </w:r>
      <w:r w:rsidR="007F4935">
        <w:fldChar w:fldCharType="end"/>
      </w:r>
      <w:r w:rsidR="007F4935">
        <w:t xml:space="preserve">. </w:t>
      </w:r>
      <w:r>
        <w:t>The addition of MIGS implantation to the clinical management pathway for patients with OAG will not alter the downstream treatment options available to patients – however, it is expected to alter the extent to which these options will be required (</w:t>
      </w:r>
      <w:r w:rsidR="007F4935">
        <w:t>e.g.</w:t>
      </w:r>
      <w:r>
        <w:t xml:space="preserve"> less reliance on </w:t>
      </w:r>
      <w:r w:rsidR="007F4935">
        <w:t>medication to achieve the same IOP target; and/or better I</w:t>
      </w:r>
      <w:r>
        <w:t xml:space="preserve">OP control leading to lower rates of progression to more invasive procedures). Thus, the treatment options available to </w:t>
      </w:r>
      <w:r w:rsidR="007F4935">
        <w:t>P</w:t>
      </w:r>
      <w:r>
        <w:t>OAG patients following MIGS implantation will be determined by the clinical place of MIGS in the treatment pathway. The clinical place of the proposed service is discussed in detail in Question 26 and 27 above.</w:t>
      </w:r>
    </w:p>
    <w:p w14:paraId="2877C11A" w14:textId="77777777" w:rsidR="007F4935" w:rsidRDefault="007F4935" w:rsidP="007F4935">
      <w:pPr>
        <w:pStyle w:val="Caption"/>
        <w:ind w:left="1440" w:hanging="1440"/>
      </w:pPr>
      <w:bookmarkStart w:id="15" w:name="_Ref477531157"/>
      <w:r>
        <w:t xml:space="preserve">Figure </w:t>
      </w:r>
      <w:r w:rsidR="00A57971">
        <w:fldChar w:fldCharType="begin"/>
      </w:r>
      <w:r w:rsidR="00A57971">
        <w:instrText xml:space="preserve"> SEQ Figure \* ARABIC </w:instrText>
      </w:r>
      <w:r w:rsidR="00A57971">
        <w:fldChar w:fldCharType="separate"/>
      </w:r>
      <w:r>
        <w:rPr>
          <w:noProof/>
        </w:rPr>
        <w:t>6</w:t>
      </w:r>
      <w:r w:rsidR="00A57971">
        <w:rPr>
          <w:noProof/>
        </w:rPr>
        <w:fldChar w:fldCharType="end"/>
      </w:r>
      <w:bookmarkEnd w:id="15"/>
      <w:r>
        <w:tab/>
        <w:t>Current treatment management algorithm for patients with OAG after MIGS device implantation</w:t>
      </w:r>
    </w:p>
    <w:p w14:paraId="1537D71E" w14:textId="77777777" w:rsidR="00102950" w:rsidRDefault="007F4935" w:rsidP="001B29A1">
      <w:pPr>
        <w:ind w:left="426"/>
        <w:rPr>
          <w:b/>
          <w:szCs w:val="20"/>
        </w:rPr>
      </w:pPr>
      <w:r w:rsidRPr="007F4935">
        <w:rPr>
          <w:noProof/>
          <w:lang w:eastAsia="en-AU"/>
        </w:rPr>
        <w:drawing>
          <wp:inline distT="0" distB="0" distL="0" distR="0" wp14:anchorId="7FBB6525" wp14:editId="53243706">
            <wp:extent cx="5731510" cy="339471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394710"/>
                    </a:xfrm>
                    <a:prstGeom prst="rect">
                      <a:avLst/>
                    </a:prstGeom>
                  </pic:spPr>
                </pic:pic>
              </a:graphicData>
            </a:graphic>
          </wp:inline>
        </w:drawing>
      </w:r>
    </w:p>
    <w:p w14:paraId="1A44571E"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4ACEDCBC" w14:textId="77777777" w:rsidR="001B4CC5" w:rsidRDefault="001B4CC5" w:rsidP="001B4CC5">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Pr>
          <w:szCs w:val="20"/>
        </w:rPr>
        <w:t xml:space="preserve"> Yes</w:t>
      </w:r>
    </w:p>
    <w:p w14:paraId="7CF6F308" w14:textId="77777777" w:rsidR="001B4CC5" w:rsidRDefault="001B4CC5" w:rsidP="001B4CC5">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971">
        <w:rPr>
          <w:szCs w:val="20"/>
        </w:rPr>
      </w:r>
      <w:r w:rsidR="00A57971">
        <w:rPr>
          <w:szCs w:val="20"/>
        </w:rPr>
        <w:fldChar w:fldCharType="separate"/>
      </w:r>
      <w:r w:rsidRPr="00753C44">
        <w:rPr>
          <w:szCs w:val="20"/>
        </w:rPr>
        <w:fldChar w:fldCharType="end"/>
      </w:r>
      <w:r>
        <w:rPr>
          <w:szCs w:val="20"/>
        </w:rPr>
        <w:t xml:space="preserve"> No</w:t>
      </w:r>
    </w:p>
    <w:p w14:paraId="28D678D6"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46E67831" w14:textId="77777777" w:rsidR="000215A4" w:rsidRDefault="000215A4" w:rsidP="000215A4">
      <w:pPr>
        <w:ind w:left="426"/>
      </w:pPr>
      <w:r>
        <w:rPr>
          <w:szCs w:val="20"/>
        </w:rPr>
        <w:t>E</w:t>
      </w:r>
      <w:r w:rsidRPr="000215A4">
        <w:rPr>
          <w:szCs w:val="20"/>
        </w:rPr>
        <w:t xml:space="preserve">ach step in the glaucoma management pathway may avoid the need for further intervention. </w:t>
      </w:r>
      <w:r>
        <w:rPr>
          <w:szCs w:val="20"/>
        </w:rPr>
        <w:t>N</w:t>
      </w:r>
      <w:r w:rsidRPr="000215A4">
        <w:rPr>
          <w:szCs w:val="20"/>
        </w:rPr>
        <w:t xml:space="preserve">onetheless, the condition is progressive in nature, and therefore for most patients, the proposed service will represent an additional treatment in their glaucoma management pathway, rather than a replacement. </w:t>
      </w:r>
      <w:r>
        <w:rPr>
          <w:szCs w:val="20"/>
        </w:rPr>
        <w:t>U</w:t>
      </w:r>
      <w:r w:rsidRPr="000215A4">
        <w:rPr>
          <w:szCs w:val="20"/>
        </w:rPr>
        <w:t xml:space="preserve">tilisation of current MBS services for the treatment of glaucoma (laser </w:t>
      </w:r>
      <w:proofErr w:type="spellStart"/>
      <w:r w:rsidRPr="000215A4">
        <w:rPr>
          <w:szCs w:val="20"/>
        </w:rPr>
        <w:t>trabeculoplasty</w:t>
      </w:r>
      <w:proofErr w:type="spellEnd"/>
      <w:r w:rsidRPr="000215A4">
        <w:rPr>
          <w:szCs w:val="20"/>
        </w:rPr>
        <w:t xml:space="preserve">, </w:t>
      </w:r>
      <w:proofErr w:type="spellStart"/>
      <w:r w:rsidRPr="000215A4">
        <w:rPr>
          <w:szCs w:val="20"/>
        </w:rPr>
        <w:t>trabeculotomy</w:t>
      </w:r>
      <w:proofErr w:type="spellEnd"/>
      <w:r w:rsidRPr="000215A4">
        <w:rPr>
          <w:szCs w:val="20"/>
        </w:rPr>
        <w:t>) may be reduced</w:t>
      </w:r>
      <w:r>
        <w:rPr>
          <w:szCs w:val="20"/>
        </w:rPr>
        <w:t xml:space="preserve"> in the short-term</w:t>
      </w:r>
      <w:r w:rsidRPr="000215A4">
        <w:rPr>
          <w:szCs w:val="20"/>
        </w:rPr>
        <w:t>. The long-term avoidance rates for these interventions will be explored in the modelled economic evaluation presented in the SBA.</w:t>
      </w:r>
      <w:r w:rsidRPr="000215A4">
        <w:t xml:space="preserve"> </w:t>
      </w:r>
      <w:r>
        <w:t>Based on the 2-year COMPASS trial, it is expected that about 70% of patients will not require topical antihypertensive medication for at least the first two years post-implantation.</w:t>
      </w:r>
    </w:p>
    <w:p w14:paraId="129DD076" w14:textId="77777777" w:rsidR="0054594B" w:rsidRPr="00154B00" w:rsidRDefault="009C03FB" w:rsidP="00530204">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B52FE7B" w14:textId="77777777" w:rsidR="001B29A1" w:rsidRDefault="000215A4" w:rsidP="000215A4">
      <w:pPr>
        <w:pStyle w:val="ListParagraph"/>
        <w:ind w:left="360"/>
        <w:rPr>
          <w:b/>
          <w:i/>
          <w:szCs w:val="20"/>
          <w:u w:val="single"/>
        </w:rPr>
      </w:pPr>
      <w:r>
        <w:rPr>
          <w:szCs w:val="20"/>
        </w:rPr>
        <w:t>T</w:t>
      </w:r>
      <w:r w:rsidR="00513040" w:rsidRPr="00513040">
        <w:rPr>
          <w:szCs w:val="20"/>
        </w:rPr>
        <w:t>he clinical management algorithm of glaucoma from the point of service delivery onwards is not expected to change as a result of MIGS implantation. The implantation of a MIGS device does not impact the subsequent treatment options available to glaucoma patients. This suggests patients may progress slower through the management pathway. As a result, patients may utilise fewer healthcare resources over the course of their lifetime. This effect may manifest on the population level as a mean reduction in incisional surgeries per patient, or a reduction in ocular hypotensive medication dispensed through the PBS. The long-term effects on healthcare resource utilisation will be explored in the SBA.</w:t>
      </w:r>
      <w:r w:rsidR="001B29A1">
        <w:rPr>
          <w:b/>
          <w:i/>
          <w:szCs w:val="20"/>
          <w:u w:val="single"/>
        </w:rPr>
        <w:br w:type="page"/>
      </w:r>
    </w:p>
    <w:p w14:paraId="49F996B1"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716CE42" w14:textId="77777777" w:rsidR="004E3CC7" w:rsidRDefault="004E3CC7" w:rsidP="00530204">
      <w:pPr>
        <w:pStyle w:val="Heading2"/>
      </w:pPr>
      <w:r w:rsidRPr="001B29A1">
        <w:t xml:space="preserve">Summarise the clinical claims for the proposed medical service against the appropriate comparator(s), </w:t>
      </w:r>
      <w:r w:rsidRPr="00102950">
        <w:t>in terms of consequences for health outcomes</w:t>
      </w:r>
      <w:r w:rsidR="00CF5AD8" w:rsidRPr="00102950">
        <w:t xml:space="preserve"> (</w:t>
      </w:r>
      <w:r w:rsidR="009F0C02" w:rsidRPr="00102950">
        <w:t>comparative benefits and harms)</w:t>
      </w:r>
      <w:r w:rsidR="00AE1188" w:rsidRPr="00102950">
        <w:t>:</w:t>
      </w:r>
    </w:p>
    <w:p w14:paraId="10F3782C" w14:textId="77777777" w:rsidR="000D0721" w:rsidRDefault="000D0721" w:rsidP="000D0721">
      <w:pPr>
        <w:ind w:left="426"/>
        <w:rPr>
          <w:u w:val="single"/>
        </w:rPr>
      </w:pPr>
      <w:r>
        <w:rPr>
          <w:u w:val="single"/>
        </w:rPr>
        <w:t xml:space="preserve">Population 1: </w:t>
      </w:r>
      <w:r w:rsidRPr="007441E7">
        <w:rPr>
          <w:u w:val="single"/>
        </w:rPr>
        <w:t>Implantation of MIGS device in conjunction with cataract surgery</w:t>
      </w:r>
    </w:p>
    <w:p w14:paraId="6755DA51" w14:textId="75507C0C" w:rsidR="000D0721" w:rsidRDefault="000D0721" w:rsidP="000D0721">
      <w:pPr>
        <w:ind w:left="426"/>
      </w:pPr>
      <w:r>
        <w:t xml:space="preserve">Implantation of a </w:t>
      </w:r>
      <w:proofErr w:type="spellStart"/>
      <w:r>
        <w:t>CyPass</w:t>
      </w:r>
      <w:proofErr w:type="spellEnd"/>
      <w:r>
        <w:t xml:space="preserve"> Micro-Stent MIGS device in conjunction with cataract surgery (and background standard of care) is </w:t>
      </w:r>
      <w:r w:rsidR="0093506E">
        <w:t>superior</w:t>
      </w:r>
      <w:r>
        <w:t xml:space="preserve"> in terms of comparative clinical effectiveness and safety compared to patients treated for cataract surgery alone (plus background standard of care).</w:t>
      </w:r>
    </w:p>
    <w:p w14:paraId="63A54751" w14:textId="77777777" w:rsidR="000D0721" w:rsidRPr="0042599F" w:rsidRDefault="000D0721" w:rsidP="000D0721">
      <w:pPr>
        <w:keepNext/>
        <w:ind w:left="425"/>
        <w:rPr>
          <w:u w:val="single"/>
        </w:rPr>
      </w:pPr>
      <w:r>
        <w:rPr>
          <w:u w:val="single"/>
        </w:rPr>
        <w:t xml:space="preserve">Population 2: </w:t>
      </w:r>
      <w:r w:rsidRPr="0042599F">
        <w:rPr>
          <w:u w:val="single"/>
        </w:rPr>
        <w:t xml:space="preserve">Implantation of MIGS device </w:t>
      </w:r>
      <w:r>
        <w:rPr>
          <w:u w:val="single"/>
        </w:rPr>
        <w:t>as a stand-alone procedure</w:t>
      </w:r>
    </w:p>
    <w:p w14:paraId="56ADCBDC" w14:textId="77777777" w:rsidR="000D0721" w:rsidRDefault="000D0721" w:rsidP="000D0721">
      <w:pPr>
        <w:ind w:left="426"/>
      </w:pPr>
      <w:r>
        <w:t xml:space="preserve">Implantation of a </w:t>
      </w:r>
      <w:proofErr w:type="spellStart"/>
      <w:r>
        <w:t>CyPass</w:t>
      </w:r>
      <w:proofErr w:type="spellEnd"/>
      <w:r>
        <w:t xml:space="preserve"> Micro-Stent MIGS device is at least non-inferior in terms of comparative clinical effectiveness and safety compared to patients treated with laser </w:t>
      </w:r>
      <w:proofErr w:type="spellStart"/>
      <w:r>
        <w:t>trabeculoplasty</w:t>
      </w:r>
      <w:proofErr w:type="spellEnd"/>
      <w:r>
        <w:t xml:space="preserve"> and/or </w:t>
      </w:r>
      <w:proofErr w:type="spellStart"/>
      <w:r>
        <w:t>trabeculotomy</w:t>
      </w:r>
      <w:proofErr w:type="spellEnd"/>
      <w:r>
        <w:t>.</w:t>
      </w:r>
    </w:p>
    <w:p w14:paraId="6472A42A" w14:textId="77777777" w:rsidR="000D0721" w:rsidRDefault="000D0721" w:rsidP="000D0721">
      <w:pPr>
        <w:ind w:left="426"/>
      </w:pPr>
    </w:p>
    <w:p w14:paraId="1D10D905"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2A624EAA" w14:textId="12CE2FAB" w:rsidR="000D0721" w:rsidRPr="001B29A1" w:rsidRDefault="0093506E" w:rsidP="000D072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000D0721" w:rsidRPr="001B29A1">
        <w:rPr>
          <w:szCs w:val="20"/>
        </w:rPr>
        <w:t xml:space="preserve"> Superiority</w:t>
      </w:r>
      <w:r w:rsidR="000D0721" w:rsidRPr="001B29A1">
        <w:rPr>
          <w:szCs w:val="20"/>
        </w:rPr>
        <w:tab/>
      </w:r>
    </w:p>
    <w:p w14:paraId="18708BEE" w14:textId="2D50913C" w:rsidR="000D0721" w:rsidRPr="001B29A1" w:rsidRDefault="0093506E" w:rsidP="000D072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57971">
        <w:rPr>
          <w:szCs w:val="20"/>
        </w:rPr>
      </w:r>
      <w:r w:rsidR="00A57971">
        <w:rPr>
          <w:szCs w:val="20"/>
        </w:rPr>
        <w:fldChar w:fldCharType="separate"/>
      </w:r>
      <w:r>
        <w:rPr>
          <w:szCs w:val="20"/>
        </w:rPr>
        <w:fldChar w:fldCharType="end"/>
      </w:r>
      <w:r w:rsidR="000D0721" w:rsidRPr="001B29A1">
        <w:rPr>
          <w:szCs w:val="20"/>
        </w:rPr>
        <w:t xml:space="preserve"> Non-inferiority</w:t>
      </w:r>
      <w:r w:rsidR="000D0721" w:rsidRPr="001B29A1">
        <w:rPr>
          <w:szCs w:val="20"/>
        </w:rPr>
        <w:tab/>
      </w:r>
    </w:p>
    <w:p w14:paraId="30B4D778" w14:textId="77777777" w:rsidR="004E3CC7" w:rsidRPr="001B29A1" w:rsidRDefault="001B29A1" w:rsidP="001B29A1">
      <w:pPr>
        <w:spacing w:before="0" w:after="0"/>
        <w:ind w:left="426"/>
        <w:rPr>
          <w:szCs w:val="20"/>
        </w:rPr>
      </w:pPr>
      <w:r w:rsidRPr="001B29A1">
        <w:rPr>
          <w:szCs w:val="20"/>
        </w:rPr>
        <w:tab/>
      </w:r>
    </w:p>
    <w:p w14:paraId="24BADE4D"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FEF034B" w14:textId="77777777" w:rsidR="000D0721" w:rsidRDefault="001B29A1" w:rsidP="000D0721">
      <w:pPr>
        <w:pBdr>
          <w:top w:val="single" w:sz="4" w:space="1" w:color="auto"/>
          <w:left w:val="single" w:sz="4" w:space="4" w:color="auto"/>
          <w:bottom w:val="single" w:sz="4" w:space="1" w:color="auto"/>
          <w:right w:val="single" w:sz="4" w:space="4" w:color="auto"/>
        </w:pBdr>
        <w:contextualSpacing/>
        <w:rPr>
          <w:b/>
          <w:szCs w:val="20"/>
        </w:rPr>
      </w:pPr>
      <w:r w:rsidRPr="001B29A1">
        <w:rPr>
          <w:b/>
          <w:szCs w:val="20"/>
        </w:rPr>
        <w:t>Safety Outcomes</w:t>
      </w:r>
      <w:r>
        <w:rPr>
          <w:b/>
          <w:szCs w:val="20"/>
        </w:rPr>
        <w:t>:</w:t>
      </w:r>
    </w:p>
    <w:p w14:paraId="7F5E2D7B" w14:textId="77777777" w:rsidR="000D0721" w:rsidRDefault="00AE5796" w:rsidP="000D0721">
      <w:pPr>
        <w:pBdr>
          <w:top w:val="single" w:sz="4" w:space="1" w:color="auto"/>
          <w:left w:val="single" w:sz="4" w:space="4" w:color="auto"/>
          <w:bottom w:val="single" w:sz="4" w:space="1" w:color="auto"/>
          <w:right w:val="single" w:sz="4" w:space="4" w:color="auto"/>
        </w:pBdr>
        <w:contextualSpacing/>
        <w:rPr>
          <w:rFonts w:ascii="Calibri" w:hAnsi="Calibri"/>
          <w:szCs w:val="20"/>
          <w:lang w:eastAsia="ja-JP"/>
        </w:rPr>
      </w:pPr>
      <w:r w:rsidRPr="00AE5796">
        <w:rPr>
          <w:rFonts w:ascii="Calibri" w:hAnsi="Calibri"/>
          <w:szCs w:val="20"/>
          <w:lang w:eastAsia="ja-JP"/>
        </w:rPr>
        <w:t>Worsening ocular symptoms</w:t>
      </w:r>
    </w:p>
    <w:p w14:paraId="5B03D4B3" w14:textId="77777777" w:rsidR="000D0721" w:rsidRPr="000D072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0D0721">
        <w:rPr>
          <w:szCs w:val="20"/>
        </w:rPr>
        <w:t>Intraoperative complications</w:t>
      </w:r>
    </w:p>
    <w:p w14:paraId="3D03AB2C" w14:textId="77777777" w:rsidR="001B29A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0D0721">
        <w:rPr>
          <w:szCs w:val="20"/>
        </w:rPr>
        <w:t>Post</w:t>
      </w:r>
      <w:r w:rsidR="006D5761">
        <w:rPr>
          <w:szCs w:val="20"/>
        </w:rPr>
        <w:t>operative</w:t>
      </w:r>
      <w:r w:rsidRPr="000D0721">
        <w:rPr>
          <w:szCs w:val="20"/>
        </w:rPr>
        <w:t xml:space="preserve"> ocular complications</w:t>
      </w:r>
    </w:p>
    <w:p w14:paraId="50CA9026" w14:textId="77777777" w:rsidR="000D0721" w:rsidRPr="000D0721" w:rsidRDefault="000D0721" w:rsidP="000D0721">
      <w:pPr>
        <w:pBdr>
          <w:top w:val="single" w:sz="4" w:space="1" w:color="auto"/>
          <w:left w:val="single" w:sz="4" w:space="4" w:color="auto"/>
          <w:bottom w:val="single" w:sz="4" w:space="1" w:color="auto"/>
          <w:right w:val="single" w:sz="4" w:space="4" w:color="auto"/>
        </w:pBdr>
        <w:contextualSpacing/>
        <w:rPr>
          <w:szCs w:val="20"/>
        </w:rPr>
      </w:pPr>
    </w:p>
    <w:p w14:paraId="0608E17E" w14:textId="77777777" w:rsidR="00B25D20" w:rsidRDefault="001B29A1" w:rsidP="000D0721">
      <w:pPr>
        <w:pBdr>
          <w:top w:val="single" w:sz="4" w:space="1" w:color="auto"/>
          <w:left w:val="single" w:sz="4" w:space="4" w:color="auto"/>
          <w:bottom w:val="single" w:sz="4" w:space="1" w:color="auto"/>
          <w:right w:val="single" w:sz="4" w:space="4" w:color="auto"/>
        </w:pBdr>
        <w:contextualSpacing/>
        <w:rPr>
          <w:szCs w:val="20"/>
        </w:rPr>
      </w:pPr>
      <w:r w:rsidRPr="001B29A1">
        <w:rPr>
          <w:b/>
          <w:szCs w:val="20"/>
        </w:rPr>
        <w:t>Clinical Effectiveness Outcomes</w:t>
      </w:r>
      <w:r>
        <w:rPr>
          <w:b/>
          <w:szCs w:val="20"/>
        </w:rPr>
        <w:t>:</w:t>
      </w:r>
    </w:p>
    <w:p w14:paraId="1DBF5087" w14:textId="77777777" w:rsidR="000D0721" w:rsidRPr="006B74D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6B74D1">
        <w:rPr>
          <w:szCs w:val="20"/>
        </w:rPr>
        <w:t>Mean IOP reduction from baseline</w:t>
      </w:r>
    </w:p>
    <w:p w14:paraId="4F8115E5" w14:textId="77777777" w:rsidR="000D0721" w:rsidRPr="006B74D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6B74D1">
        <w:rPr>
          <w:szCs w:val="20"/>
        </w:rPr>
        <w:t>Proportion of subjections with IOP reduction ≥</w:t>
      </w:r>
      <w:r>
        <w:rPr>
          <w:szCs w:val="20"/>
        </w:rPr>
        <w:t xml:space="preserve"> </w:t>
      </w:r>
      <w:r w:rsidRPr="006B74D1">
        <w:rPr>
          <w:szCs w:val="20"/>
        </w:rPr>
        <w:t>20%</w:t>
      </w:r>
    </w:p>
    <w:p w14:paraId="2631DDA4" w14:textId="77777777" w:rsidR="000D0721" w:rsidRPr="006B74D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6B74D1">
        <w:rPr>
          <w:szCs w:val="20"/>
        </w:rPr>
        <w:t>Proportion of subjections with IOP ≤</w:t>
      </w:r>
      <w:r>
        <w:rPr>
          <w:szCs w:val="20"/>
        </w:rPr>
        <w:t xml:space="preserve"> </w:t>
      </w:r>
      <w:r w:rsidRPr="006B74D1">
        <w:rPr>
          <w:szCs w:val="20"/>
        </w:rPr>
        <w:t>18</w:t>
      </w:r>
      <w:r>
        <w:rPr>
          <w:szCs w:val="20"/>
        </w:rPr>
        <w:t xml:space="preserve"> </w:t>
      </w:r>
      <w:r w:rsidRPr="006B74D1">
        <w:rPr>
          <w:szCs w:val="20"/>
        </w:rPr>
        <w:t>mmHg</w:t>
      </w:r>
    </w:p>
    <w:p w14:paraId="6210A22F" w14:textId="77777777" w:rsidR="000D0721" w:rsidRPr="006B74D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6B74D1">
        <w:rPr>
          <w:szCs w:val="20"/>
        </w:rPr>
        <w:t>Absolute IOP reduction</w:t>
      </w:r>
    </w:p>
    <w:p w14:paraId="332ADB76" w14:textId="77777777" w:rsidR="000D0721" w:rsidRPr="006B74D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6B74D1">
        <w:rPr>
          <w:szCs w:val="20"/>
        </w:rPr>
        <w:t xml:space="preserve">Change in the number of </w:t>
      </w:r>
      <w:r>
        <w:rPr>
          <w:szCs w:val="20"/>
        </w:rPr>
        <w:t xml:space="preserve">ocular hypotensive </w:t>
      </w:r>
      <w:r w:rsidRPr="006B74D1">
        <w:rPr>
          <w:szCs w:val="20"/>
        </w:rPr>
        <w:t>medications</w:t>
      </w:r>
    </w:p>
    <w:p w14:paraId="0E321769" w14:textId="77777777" w:rsidR="001B29A1" w:rsidRPr="000D0721" w:rsidRDefault="000D0721" w:rsidP="000D0721">
      <w:pPr>
        <w:pBdr>
          <w:top w:val="single" w:sz="4" w:space="1" w:color="auto"/>
          <w:left w:val="single" w:sz="4" w:space="4" w:color="auto"/>
          <w:bottom w:val="single" w:sz="4" w:space="1" w:color="auto"/>
          <w:right w:val="single" w:sz="4" w:space="4" w:color="auto"/>
        </w:pBdr>
        <w:contextualSpacing/>
        <w:rPr>
          <w:szCs w:val="20"/>
        </w:rPr>
      </w:pPr>
      <w:r w:rsidRPr="006B74D1">
        <w:rPr>
          <w:szCs w:val="20"/>
        </w:rPr>
        <w:t>Proportion of subjects on medication</w:t>
      </w:r>
    </w:p>
    <w:p w14:paraId="32B8CCF2"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69B236C"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8AAD953" w14:textId="77777777" w:rsidR="00513040" w:rsidRDefault="00513040" w:rsidP="00513040">
      <w:pPr>
        <w:ind w:left="426"/>
      </w:pPr>
      <w:r w:rsidRPr="00D27D5A">
        <w:t xml:space="preserve">It is estimated that, approximately </w:t>
      </w:r>
      <w:r>
        <w:t>2.7</w:t>
      </w:r>
      <w:r w:rsidRPr="00D27D5A">
        <w:t xml:space="preserve">% of Australians aged 55 or more suffer from </w:t>
      </w:r>
      <w:r>
        <w:t>OAG (Blue Mountains Eye Study, 1996</w:t>
      </w:r>
      <w:r w:rsidRPr="00D27D5A">
        <w:t xml:space="preserve">). Among the same sub-group of the Australian population, aged 55 years or older, the prevalence rate for </w:t>
      </w:r>
      <w:r>
        <w:t xml:space="preserve">cataract </w:t>
      </w:r>
      <w:r w:rsidRPr="00D27D5A">
        <w:t xml:space="preserve">is estimated to be </w:t>
      </w:r>
      <w:r>
        <w:t>approximately 31</w:t>
      </w:r>
      <w:r w:rsidRPr="00D27D5A">
        <w:t>% (AIHW 2005). Age-specific rates for cataract increase with age for men and women and are well over 70% for men and women aged 80 or more. Prevalence rates are higher among women than men (AIHW 2005).</w:t>
      </w:r>
    </w:p>
    <w:p w14:paraId="0D601EFF" w14:textId="77777777" w:rsidR="00513040" w:rsidRPr="00154B00" w:rsidRDefault="00513040" w:rsidP="00513040">
      <w:pPr>
        <w:ind w:left="426"/>
        <w:rPr>
          <w:szCs w:val="20"/>
        </w:rPr>
      </w:pPr>
      <w:r>
        <w:t>Based on current population estimates (ABS, June 2016), these prevalence rates translate to 174,839 persons aged 55 years and older diagnosed with OAG in Australia. Of these glaucoma patients (assuming the prevalence of cataract is independent of glaucoma status), 54,200 would be expected to have a cataract co-morbidity.</w:t>
      </w:r>
    </w:p>
    <w:p w14:paraId="3B91C7F2"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62B0684D" w14:textId="77777777" w:rsidR="00435988" w:rsidRDefault="00513040" w:rsidP="00435988">
      <w:pPr>
        <w:ind w:left="426"/>
      </w:pPr>
      <w:r w:rsidRPr="00513040">
        <w:t>The proposed</w:t>
      </w:r>
      <w:r>
        <w:t xml:space="preserve"> service is a one-off procedure and it is likely that for most patients a single implantation will be sufficient for several years.</w:t>
      </w:r>
      <w:r w:rsidRPr="00513040">
        <w:t xml:space="preserve"> In rare circumstances, a patient may require re</w:t>
      </w:r>
      <w:r w:rsidR="006D5761">
        <w:t>positioning</w:t>
      </w:r>
      <w:r w:rsidRPr="00513040">
        <w:t xml:space="preserve"> or replacement of their </w:t>
      </w:r>
      <w:proofErr w:type="spellStart"/>
      <w:r>
        <w:t>CyPass</w:t>
      </w:r>
      <w:proofErr w:type="spellEnd"/>
      <w:r>
        <w:t xml:space="preserve"> Micro-Stent</w:t>
      </w:r>
      <w:r w:rsidRPr="00513040">
        <w:t xml:space="preserve"> MIGS device</w:t>
      </w:r>
      <w:r>
        <w:t xml:space="preserve">. </w:t>
      </w:r>
      <w:r w:rsidRPr="00513040">
        <w:t xml:space="preserve">The </w:t>
      </w:r>
      <w:r w:rsidR="006D5761">
        <w:t>a</w:t>
      </w:r>
      <w:r w:rsidRPr="00513040">
        <w:t>pplicants are willing to take the Department’s advice as to whether separate MBS item numbers are required for these procedures.</w:t>
      </w:r>
    </w:p>
    <w:p w14:paraId="249E4690"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705CE10" w14:textId="77777777" w:rsidR="00382407" w:rsidRDefault="00435988" w:rsidP="00AE1188">
      <w:pPr>
        <w:ind w:left="426"/>
      </w:pPr>
      <w:r>
        <w:t xml:space="preserve">It is likely that for most patients a single implantation </w:t>
      </w:r>
      <w:r w:rsidR="005F3494">
        <w:t>will be sufficient for several years, and the prospect of a repeat procedure slim.</w:t>
      </w:r>
    </w:p>
    <w:p w14:paraId="64BF2E27"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55A6F0E" w14:textId="77777777" w:rsidR="005F3494" w:rsidRPr="00154B00" w:rsidRDefault="00513040" w:rsidP="00513040">
      <w:pPr>
        <w:ind w:left="426"/>
        <w:rPr>
          <w:szCs w:val="20"/>
        </w:rPr>
      </w:pPr>
      <w:r w:rsidRPr="00513040">
        <w:rPr>
          <w:szCs w:val="20"/>
        </w:rPr>
        <w:t xml:space="preserve">In 2016, 2,650 MBS services were claimed for the implantation of a MIGS device (using the </w:t>
      </w:r>
      <w:r>
        <w:rPr>
          <w:szCs w:val="20"/>
        </w:rPr>
        <w:t xml:space="preserve">MBS item for goniotomy – 42758). </w:t>
      </w:r>
      <w:r w:rsidRPr="00513040">
        <w:rPr>
          <w:szCs w:val="20"/>
        </w:rPr>
        <w:t>It is expected that utilisation of the proposed MBS service would continue to grow but at a reduced rate of the first four years of MBS listing. The total number of services would be naturally limited by the availability of resources able to deliver the service (i.e. ophthalmologist time, day</w:t>
      </w:r>
      <w:r w:rsidR="006D5761">
        <w:rPr>
          <w:szCs w:val="20"/>
        </w:rPr>
        <w:t xml:space="preserve"> </w:t>
      </w:r>
      <w:r w:rsidRPr="00513040">
        <w:rPr>
          <w:szCs w:val="20"/>
        </w:rPr>
        <w:t>surgery room availability etc.). It is estimated between 3,000 and 3,500 patients would access the proposed MBS service in the first full year of MBS listing.</w:t>
      </w:r>
    </w:p>
    <w:p w14:paraId="49631A3E"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9F2922A" w14:textId="77777777" w:rsidR="00513040" w:rsidRDefault="00513040" w:rsidP="00513040">
      <w:pPr>
        <w:ind w:left="426"/>
      </w:pPr>
      <w:r>
        <w:t xml:space="preserve">As noted, </w:t>
      </w:r>
      <w:proofErr w:type="gramStart"/>
      <w:r>
        <w:t>ophthalmologist are</w:t>
      </w:r>
      <w:proofErr w:type="gramEnd"/>
      <w:r>
        <w:t xml:space="preserve"> familiar with the proposed service. In 2016, 2,650 services were delivered under the MBS item code 42758. Utilisation would be expected to return to similar levels once MBS funding for the proposed service is restored. It is also anticipated that growth will continue, but at a reduced rate relative to that observed between 2014 and 2016, for the first four years of MBS listing.</w:t>
      </w:r>
    </w:p>
    <w:p w14:paraId="69DE46B2" w14:textId="77777777" w:rsidR="00513040" w:rsidRPr="00154B00" w:rsidRDefault="00513040" w:rsidP="00513040">
      <w:pPr>
        <w:ind w:left="426"/>
        <w:rPr>
          <w:szCs w:val="20"/>
        </w:rPr>
      </w:pPr>
      <w:r>
        <w:t>A treatment pathway is tailored to each patient based on their individual risk profile (age, health status, ethnicity etc.), and well established clinical guidelines. Leakage into earlier or later lines of therapy would be considered against clinical practice and is considered unlikely to occur. Further, the interventions are specifically designed to address the pathophysiology of OAG. As such, leakage into other forms of glaucoma (i.e. normal tension glaucoma, angle closure glaucoma) is also not expected.</w:t>
      </w:r>
    </w:p>
    <w:p w14:paraId="0F4B1B2B" w14:textId="77777777" w:rsidR="003433D1" w:rsidRDefault="003433D1" w:rsidP="00513040">
      <w:r>
        <w:br w:type="page"/>
      </w:r>
    </w:p>
    <w:p w14:paraId="4F5E07CD"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655E32BD"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9CD72BF" w14:textId="33C5527C" w:rsidR="00420E08" w:rsidRDefault="00420E08" w:rsidP="00420E08">
      <w:pPr>
        <w:ind w:left="426"/>
        <w:rPr>
          <w:szCs w:val="20"/>
        </w:rPr>
      </w:pPr>
      <w:r>
        <w:rPr>
          <w:szCs w:val="20"/>
        </w:rPr>
        <w:t xml:space="preserve">Advice from the Royal Australian and New Zealand College of </w:t>
      </w:r>
      <w:r w:rsidR="00BF6582">
        <w:rPr>
          <w:szCs w:val="20"/>
        </w:rPr>
        <w:t>Ophthalmologists</w:t>
      </w:r>
      <w:r>
        <w:rPr>
          <w:szCs w:val="20"/>
        </w:rPr>
        <w:t xml:space="preserve"> (RANZCO) suggest the fee for this service ($699.45) is a reasonable representation of the true cost of delivering the proposed service. A comprehensive cost analysis of the proposed service will be undertaken during development of the SBA. The MBS fee for MIGS device implantation would be expected to be similar to the current fee for MBS item 42758.</w:t>
      </w:r>
    </w:p>
    <w:p w14:paraId="09B7ED6B"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701BE827" w14:textId="77777777" w:rsidR="00420E08" w:rsidRDefault="00420E08" w:rsidP="00420E08">
      <w:pPr>
        <w:ind w:left="426"/>
      </w:pPr>
      <w:r>
        <w:t>The procedure requires approximately 30-60 minutes of operating and preparation time.</w:t>
      </w:r>
    </w:p>
    <w:p w14:paraId="79A6088A"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1A29762" w14:textId="77777777" w:rsidR="00420E08" w:rsidRPr="00AE1188" w:rsidRDefault="00420E08" w:rsidP="007B5B19">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Cs w:val="20"/>
        </w:rPr>
      </w:pPr>
      <w:r>
        <w:rPr>
          <w:szCs w:val="20"/>
        </w:rPr>
        <w:t xml:space="preserve">Category </w:t>
      </w:r>
      <w:r>
        <w:t>3</w:t>
      </w:r>
      <w:r w:rsidRPr="00AE1188">
        <w:rPr>
          <w:szCs w:val="20"/>
        </w:rPr>
        <w:t xml:space="preserve"> – </w:t>
      </w:r>
      <w:r>
        <w:t>THERAPEUTIC PROCEDURES</w:t>
      </w:r>
    </w:p>
    <w:p w14:paraId="0596712F" w14:textId="77777777" w:rsidR="00420E08" w:rsidRPr="00AE1188" w:rsidRDefault="00420E08" w:rsidP="007B5B19">
      <w:pPr>
        <w:pBdr>
          <w:top w:val="single" w:sz="4" w:space="1" w:color="auto"/>
          <w:left w:val="single" w:sz="4" w:space="4" w:color="auto"/>
          <w:bottom w:val="single" w:sz="4" w:space="1" w:color="auto"/>
          <w:right w:val="single" w:sz="4" w:space="4" w:color="auto"/>
        </w:pBdr>
        <w:contextualSpacing/>
        <w:rPr>
          <w:szCs w:val="20"/>
        </w:rPr>
      </w:pPr>
    </w:p>
    <w:p w14:paraId="7780BECF" w14:textId="77777777" w:rsidR="00420E08" w:rsidRDefault="00420E08" w:rsidP="007B5B19">
      <w:pPr>
        <w:pBdr>
          <w:top w:val="single" w:sz="4" w:space="1" w:color="auto"/>
          <w:left w:val="single" w:sz="4" w:space="4" w:color="auto"/>
          <w:bottom w:val="single" w:sz="4" w:space="1" w:color="auto"/>
          <w:right w:val="single" w:sz="4" w:space="4" w:color="auto"/>
        </w:pBdr>
        <w:contextualSpacing/>
      </w:pPr>
      <w:r w:rsidRPr="00AE1188">
        <w:rPr>
          <w:szCs w:val="20"/>
        </w:rPr>
        <w:t>Proposed item descriptor</w:t>
      </w:r>
      <w:r>
        <w:rPr>
          <w:szCs w:val="20"/>
        </w:rPr>
        <w:t>:</w:t>
      </w:r>
    </w:p>
    <w:p w14:paraId="212507E2" w14:textId="1A7B72ED" w:rsidR="00420E08" w:rsidRDefault="00420E08" w:rsidP="007B5B19">
      <w:pPr>
        <w:pBdr>
          <w:top w:val="single" w:sz="4" w:space="1" w:color="auto"/>
          <w:left w:val="single" w:sz="4" w:space="4" w:color="auto"/>
          <w:bottom w:val="single" w:sz="4" w:space="1" w:color="auto"/>
          <w:right w:val="single" w:sz="4" w:space="4" w:color="auto"/>
        </w:pBdr>
        <w:contextualSpacing/>
      </w:pPr>
      <w:r>
        <w:t xml:space="preserve">GLAUCOMA, implantation, repositioning, or removal of, a micro-invasive glaucoma surgery stent </w:t>
      </w:r>
      <w:proofErr w:type="gramStart"/>
      <w:r>
        <w:t xml:space="preserve">system  </w:t>
      </w:r>
      <w:r w:rsidRPr="003E544D">
        <w:t>placed</w:t>
      </w:r>
      <w:proofErr w:type="gramEnd"/>
      <w:r w:rsidRPr="003E544D">
        <w:t xml:space="preserve"> into </w:t>
      </w:r>
      <w:r w:rsidRPr="00513040">
        <w:t>the supraciliary space, in patients</w:t>
      </w:r>
      <w:r>
        <w:t xml:space="preserve"> diagnosed with primary open-angle glaucoma currently treated with ocular hypotensive medication.</w:t>
      </w:r>
    </w:p>
    <w:p w14:paraId="24AC262C" w14:textId="77777777" w:rsidR="00420E08" w:rsidRDefault="00420E08" w:rsidP="007B5B19">
      <w:pPr>
        <w:pBdr>
          <w:top w:val="single" w:sz="4" w:space="1" w:color="auto"/>
          <w:left w:val="single" w:sz="4" w:space="4" w:color="auto"/>
          <w:bottom w:val="single" w:sz="4" w:space="1" w:color="auto"/>
          <w:right w:val="single" w:sz="4" w:space="4" w:color="auto"/>
        </w:pBdr>
        <w:contextualSpacing/>
      </w:pPr>
      <w:r>
        <w:t>Can be delivered as a stand-alone procedure or in conjunction with cataract surgery.</w:t>
      </w:r>
    </w:p>
    <w:p w14:paraId="7B411AE1" w14:textId="77777777" w:rsidR="00420E08" w:rsidRDefault="00420E08" w:rsidP="007B5B19">
      <w:pPr>
        <w:pBdr>
          <w:top w:val="single" w:sz="4" w:space="1" w:color="auto"/>
          <w:left w:val="single" w:sz="4" w:space="4" w:color="auto"/>
          <w:bottom w:val="single" w:sz="4" w:space="1" w:color="auto"/>
          <w:right w:val="single" w:sz="4" w:space="4" w:color="auto"/>
        </w:pBdr>
        <w:contextualSpacing/>
      </w:pPr>
      <w:r>
        <w:t>When delivered as a stand-alone procedure, the patient must have inadequate IOP control with maximally-tolerated ocular hypotensive medication</w:t>
      </w:r>
    </w:p>
    <w:p w14:paraId="0BB13316" w14:textId="77777777" w:rsidR="00420E08" w:rsidRDefault="00420E08" w:rsidP="007B5B19">
      <w:pPr>
        <w:pBdr>
          <w:top w:val="single" w:sz="4" w:space="1" w:color="auto"/>
          <w:left w:val="single" w:sz="4" w:space="4" w:color="auto"/>
          <w:bottom w:val="single" w:sz="4" w:space="1" w:color="auto"/>
          <w:right w:val="single" w:sz="4" w:space="4" w:color="auto"/>
        </w:pBdr>
        <w:contextualSpacing/>
        <w:rPr>
          <w:szCs w:val="20"/>
        </w:rPr>
      </w:pPr>
    </w:p>
    <w:p w14:paraId="28018486" w14:textId="77777777" w:rsidR="00420E08" w:rsidRDefault="00420E08" w:rsidP="007B5B19">
      <w:pPr>
        <w:pBdr>
          <w:top w:val="single" w:sz="4" w:space="1" w:color="auto"/>
          <w:left w:val="single" w:sz="4" w:space="4" w:color="auto"/>
          <w:bottom w:val="single" w:sz="4" w:space="1" w:color="auto"/>
          <w:right w:val="single" w:sz="4" w:space="4" w:color="auto"/>
        </w:pBdr>
        <w:contextualSpacing/>
        <w:rPr>
          <w:szCs w:val="20"/>
        </w:rPr>
      </w:pPr>
      <w:r>
        <w:rPr>
          <w:szCs w:val="20"/>
        </w:rPr>
        <w:t>Multiple Services Rule</w:t>
      </w:r>
    </w:p>
    <w:p w14:paraId="5D45BEA0" w14:textId="77777777" w:rsidR="00420E08" w:rsidRPr="00AE1188" w:rsidRDefault="00420E08" w:rsidP="007B5B19">
      <w:pPr>
        <w:pBdr>
          <w:top w:val="single" w:sz="4" w:space="1" w:color="auto"/>
          <w:left w:val="single" w:sz="4" w:space="4" w:color="auto"/>
          <w:bottom w:val="single" w:sz="4" w:space="1" w:color="auto"/>
          <w:right w:val="single" w:sz="4" w:space="4" w:color="auto"/>
        </w:pBdr>
        <w:contextualSpacing/>
        <w:rPr>
          <w:szCs w:val="20"/>
        </w:rPr>
      </w:pPr>
    </w:p>
    <w:p w14:paraId="57AEF7EF" w14:textId="77777777" w:rsidR="00420E08" w:rsidRPr="00AE1188" w:rsidRDefault="00420E08" w:rsidP="007B5B19">
      <w:pPr>
        <w:pBdr>
          <w:top w:val="single" w:sz="4" w:space="1" w:color="auto"/>
          <w:left w:val="single" w:sz="4" w:space="4" w:color="auto"/>
          <w:bottom w:val="single" w:sz="4" w:space="1" w:color="auto"/>
          <w:right w:val="single" w:sz="4" w:space="4" w:color="auto"/>
        </w:pBdr>
        <w:contextualSpacing/>
        <w:rPr>
          <w:szCs w:val="20"/>
        </w:rPr>
      </w:pPr>
      <w:r w:rsidRPr="00AE1188">
        <w:rPr>
          <w:szCs w:val="20"/>
        </w:rPr>
        <w:t>Fee: $</w:t>
      </w:r>
      <w:r>
        <w:rPr>
          <w:szCs w:val="20"/>
        </w:rPr>
        <w:t>699.45</w:t>
      </w:r>
      <w:r>
        <w:t xml:space="preserve"> [approximate fee based on MBS item 42758 – to be determined]</w:t>
      </w:r>
    </w:p>
    <w:p w14:paraId="6E6A76AB" w14:textId="77777777" w:rsidR="00420E08" w:rsidRDefault="00420E08" w:rsidP="007B5B19">
      <w:pPr>
        <w:contextualSpacing/>
      </w:pPr>
    </w:p>
    <w:p w14:paraId="05577F14" w14:textId="77777777" w:rsidR="00420E08" w:rsidRPr="00AE1188" w:rsidRDefault="00420E08" w:rsidP="007B5B19">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Cs w:val="20"/>
        </w:rPr>
      </w:pPr>
      <w:r>
        <w:rPr>
          <w:szCs w:val="20"/>
        </w:rPr>
        <w:t xml:space="preserve">Category </w:t>
      </w:r>
      <w:r>
        <w:t>3</w:t>
      </w:r>
      <w:r w:rsidRPr="00AE1188">
        <w:rPr>
          <w:szCs w:val="20"/>
        </w:rPr>
        <w:t xml:space="preserve"> – </w:t>
      </w:r>
      <w:r>
        <w:t>THERAPEUTIC PROCEDURES</w:t>
      </w:r>
    </w:p>
    <w:p w14:paraId="08B2C69C" w14:textId="77777777" w:rsidR="00420E08" w:rsidRPr="00AE1188" w:rsidRDefault="00420E08" w:rsidP="007B5B19">
      <w:pPr>
        <w:pBdr>
          <w:top w:val="single" w:sz="4" w:space="1" w:color="auto"/>
          <w:left w:val="single" w:sz="4" w:space="4" w:color="auto"/>
          <w:bottom w:val="single" w:sz="4" w:space="1" w:color="auto"/>
          <w:right w:val="single" w:sz="4" w:space="4" w:color="auto"/>
        </w:pBdr>
        <w:contextualSpacing/>
        <w:rPr>
          <w:szCs w:val="20"/>
        </w:rPr>
      </w:pPr>
    </w:p>
    <w:p w14:paraId="4D7A05D2" w14:textId="77777777" w:rsidR="00420E08" w:rsidRDefault="00420E08" w:rsidP="007B5B19">
      <w:pPr>
        <w:pBdr>
          <w:top w:val="single" w:sz="4" w:space="1" w:color="auto"/>
          <w:left w:val="single" w:sz="4" w:space="4" w:color="auto"/>
          <w:bottom w:val="single" w:sz="4" w:space="1" w:color="auto"/>
          <w:right w:val="single" w:sz="4" w:space="4" w:color="auto"/>
        </w:pBdr>
        <w:contextualSpacing/>
      </w:pPr>
      <w:r w:rsidRPr="00AE1188">
        <w:rPr>
          <w:szCs w:val="20"/>
        </w:rPr>
        <w:t>Proposed item descriptor</w:t>
      </w:r>
      <w:r>
        <w:rPr>
          <w:szCs w:val="20"/>
        </w:rPr>
        <w:t>:</w:t>
      </w:r>
    </w:p>
    <w:p w14:paraId="5D3E1723" w14:textId="77777777" w:rsidR="00420E08" w:rsidRDefault="00420E08" w:rsidP="007B5B19">
      <w:pPr>
        <w:pBdr>
          <w:top w:val="single" w:sz="4" w:space="1" w:color="auto"/>
          <w:left w:val="single" w:sz="4" w:space="4" w:color="auto"/>
          <w:bottom w:val="single" w:sz="4" w:space="1" w:color="auto"/>
          <w:right w:val="single" w:sz="4" w:space="4" w:color="auto"/>
        </w:pBdr>
        <w:contextualSpacing/>
      </w:pPr>
      <w:r w:rsidRPr="00513040">
        <w:t>GLAUCOMA, repositioning or removal of, a micro-invasive glaucoma surgery stent system from the placed into the supraciliary space</w:t>
      </w:r>
    </w:p>
    <w:p w14:paraId="320A8F5A" w14:textId="77777777" w:rsidR="00420E08" w:rsidRDefault="00420E08" w:rsidP="007B5B19">
      <w:pPr>
        <w:pBdr>
          <w:top w:val="single" w:sz="4" w:space="1" w:color="auto"/>
          <w:left w:val="single" w:sz="4" w:space="4" w:color="auto"/>
          <w:bottom w:val="single" w:sz="4" w:space="1" w:color="auto"/>
          <w:right w:val="single" w:sz="4" w:space="4" w:color="auto"/>
        </w:pBdr>
        <w:contextualSpacing/>
        <w:rPr>
          <w:szCs w:val="20"/>
        </w:rPr>
      </w:pPr>
    </w:p>
    <w:p w14:paraId="5A2A5047" w14:textId="77777777" w:rsidR="00420E08" w:rsidRPr="00AE1188" w:rsidRDefault="00420E08" w:rsidP="007B5B19">
      <w:pPr>
        <w:pBdr>
          <w:top w:val="single" w:sz="4" w:space="1" w:color="auto"/>
          <w:left w:val="single" w:sz="4" w:space="4" w:color="auto"/>
          <w:bottom w:val="single" w:sz="4" w:space="1" w:color="auto"/>
          <w:right w:val="single" w:sz="4" w:space="4" w:color="auto"/>
        </w:pBdr>
        <w:contextualSpacing/>
        <w:rPr>
          <w:szCs w:val="20"/>
        </w:rPr>
      </w:pPr>
      <w:r>
        <w:rPr>
          <w:szCs w:val="20"/>
        </w:rPr>
        <w:t>Multiple Services Rule</w:t>
      </w:r>
    </w:p>
    <w:p w14:paraId="245692CE" w14:textId="77777777" w:rsidR="00420E08" w:rsidRPr="00AE1188" w:rsidRDefault="00420E08" w:rsidP="007B5B19">
      <w:pPr>
        <w:pBdr>
          <w:top w:val="single" w:sz="4" w:space="1" w:color="auto"/>
          <w:left w:val="single" w:sz="4" w:space="4" w:color="auto"/>
          <w:bottom w:val="single" w:sz="4" w:space="1" w:color="auto"/>
          <w:right w:val="single" w:sz="4" w:space="4" w:color="auto"/>
        </w:pBdr>
        <w:contextualSpacing/>
        <w:rPr>
          <w:szCs w:val="20"/>
        </w:rPr>
      </w:pPr>
    </w:p>
    <w:p w14:paraId="284AA89A" w14:textId="77777777" w:rsidR="00420E08" w:rsidRPr="00AE1188" w:rsidRDefault="00420E08" w:rsidP="007B5B19">
      <w:pPr>
        <w:pBdr>
          <w:top w:val="single" w:sz="4" w:space="1" w:color="auto"/>
          <w:left w:val="single" w:sz="4" w:space="4" w:color="auto"/>
          <w:bottom w:val="single" w:sz="4" w:space="1" w:color="auto"/>
          <w:right w:val="single" w:sz="4" w:space="4" w:color="auto"/>
        </w:pBdr>
        <w:contextualSpacing/>
        <w:rPr>
          <w:szCs w:val="20"/>
        </w:rPr>
      </w:pPr>
      <w:r w:rsidRPr="00AE1188">
        <w:rPr>
          <w:szCs w:val="20"/>
        </w:rPr>
        <w:t>Fee: $</w:t>
      </w:r>
      <w:r>
        <w:rPr>
          <w:szCs w:val="20"/>
        </w:rPr>
        <w:t>699.45</w:t>
      </w:r>
      <w:r>
        <w:t xml:space="preserve"> [approximate fee based on MBS item 42758 – to be determined]</w:t>
      </w:r>
    </w:p>
    <w:p w14:paraId="5332E586" w14:textId="77777777" w:rsidR="00AE1188" w:rsidRDefault="00AE1188" w:rsidP="004A0BF4">
      <w:pPr>
        <w:pStyle w:val="Heading2"/>
        <w:numPr>
          <w:ilvl w:val="0"/>
          <w:numId w:val="0"/>
        </w:numPr>
        <w:ind w:left="360"/>
      </w:pPr>
      <w:r>
        <w:br w:type="page"/>
      </w:r>
    </w:p>
    <w:p w14:paraId="629C2DC1" w14:textId="77777777" w:rsidR="00E058F2" w:rsidRPr="00C776B1" w:rsidRDefault="001B5169" w:rsidP="00AE1188">
      <w:pPr>
        <w:pStyle w:val="Heading1"/>
      </w:pPr>
      <w:r>
        <w:lastRenderedPageBreak/>
        <w:t>PART 9</w:t>
      </w:r>
      <w:r w:rsidR="00F93784">
        <w:t xml:space="preserve"> – </w:t>
      </w:r>
      <w:r w:rsidR="00E058F2" w:rsidRPr="00C776B1">
        <w:t>FEEDBACK</w:t>
      </w:r>
    </w:p>
    <w:p w14:paraId="1C942A6B"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7B2C1486" w14:textId="77777777" w:rsidR="00E058F2" w:rsidRPr="00AE1188" w:rsidRDefault="00E058F2" w:rsidP="001B5169">
      <w:pPr>
        <w:pStyle w:val="Heading2"/>
      </w:pPr>
      <w:r w:rsidRPr="00AE1188">
        <w:t>How long did it take to complete the Application Form?</w:t>
      </w:r>
    </w:p>
    <w:p w14:paraId="651C47B9"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08F8658B"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3C5C3719"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971">
        <w:rPr>
          <w:szCs w:val="20"/>
        </w:rPr>
      </w:r>
      <w:r w:rsidR="00A5797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38BA9D5D"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971">
        <w:rPr>
          <w:szCs w:val="20"/>
        </w:rPr>
      </w:r>
      <w:r w:rsidR="00A57971">
        <w:rPr>
          <w:szCs w:val="20"/>
        </w:rPr>
        <w:fldChar w:fldCharType="separate"/>
      </w:r>
      <w:r w:rsidRPr="001B29A1">
        <w:rPr>
          <w:szCs w:val="20"/>
        </w:rPr>
        <w:fldChar w:fldCharType="end"/>
      </w:r>
      <w:r w:rsidRPr="001B29A1">
        <w:rPr>
          <w:szCs w:val="20"/>
        </w:rPr>
        <w:t xml:space="preserve"> </w:t>
      </w:r>
      <w:r>
        <w:rPr>
          <w:szCs w:val="20"/>
        </w:rPr>
        <w:t>No</w:t>
      </w:r>
    </w:p>
    <w:p w14:paraId="6A33C61C" w14:textId="77777777" w:rsidR="003D6DE1" w:rsidRPr="00154B00" w:rsidRDefault="00603D04" w:rsidP="001B5169">
      <w:pPr>
        <w:pStyle w:val="Heading2"/>
        <w:numPr>
          <w:ilvl w:val="0"/>
          <w:numId w:val="31"/>
        </w:numPr>
      </w:pPr>
      <w:r>
        <w:t>If no, provide areas of concern:</w:t>
      </w:r>
    </w:p>
    <w:p w14:paraId="5F440B65"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5075F8C2"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58D506DD"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971">
        <w:rPr>
          <w:szCs w:val="20"/>
        </w:rPr>
      </w:r>
      <w:r w:rsidR="00A5797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7F7524B2"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971">
        <w:rPr>
          <w:szCs w:val="20"/>
        </w:rPr>
      </w:r>
      <w:r w:rsidR="00A57971">
        <w:rPr>
          <w:szCs w:val="20"/>
        </w:rPr>
        <w:fldChar w:fldCharType="separate"/>
      </w:r>
      <w:r w:rsidRPr="001B29A1">
        <w:rPr>
          <w:szCs w:val="20"/>
        </w:rPr>
        <w:fldChar w:fldCharType="end"/>
      </w:r>
      <w:r w:rsidRPr="001B29A1">
        <w:rPr>
          <w:szCs w:val="20"/>
        </w:rPr>
        <w:t xml:space="preserve"> </w:t>
      </w:r>
      <w:r>
        <w:rPr>
          <w:szCs w:val="20"/>
        </w:rPr>
        <w:t>No</w:t>
      </w:r>
    </w:p>
    <w:p w14:paraId="4C0DCDC1" w14:textId="77777777" w:rsidR="003D6DE1" w:rsidRPr="00154B00" w:rsidRDefault="003D6DE1" w:rsidP="001B5169">
      <w:pPr>
        <w:pStyle w:val="Heading2"/>
        <w:numPr>
          <w:ilvl w:val="0"/>
          <w:numId w:val="32"/>
        </w:numPr>
      </w:pPr>
      <w:r>
        <w:t>If no, what areas did you find not to be useful?</w:t>
      </w:r>
    </w:p>
    <w:p w14:paraId="489B4027"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06F8E63F"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15A5BCB5"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971">
        <w:rPr>
          <w:szCs w:val="20"/>
        </w:rPr>
      </w:r>
      <w:r w:rsidR="00A5797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245199D"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971">
        <w:rPr>
          <w:szCs w:val="20"/>
        </w:rPr>
      </w:r>
      <w:r w:rsidR="00A57971">
        <w:rPr>
          <w:szCs w:val="20"/>
        </w:rPr>
        <w:fldChar w:fldCharType="separate"/>
      </w:r>
      <w:r w:rsidRPr="001B29A1">
        <w:rPr>
          <w:szCs w:val="20"/>
        </w:rPr>
        <w:fldChar w:fldCharType="end"/>
      </w:r>
      <w:r w:rsidRPr="001B29A1">
        <w:rPr>
          <w:szCs w:val="20"/>
        </w:rPr>
        <w:t xml:space="preserve"> </w:t>
      </w:r>
      <w:r>
        <w:rPr>
          <w:szCs w:val="20"/>
        </w:rPr>
        <w:t>No</w:t>
      </w:r>
    </w:p>
    <w:p w14:paraId="7FF455CD" w14:textId="77777777" w:rsidR="001845D9" w:rsidRPr="00154B00" w:rsidRDefault="001845D9" w:rsidP="001B5169">
      <w:pPr>
        <w:pStyle w:val="Heading2"/>
        <w:numPr>
          <w:ilvl w:val="0"/>
          <w:numId w:val="33"/>
        </w:numPr>
      </w:pPr>
      <w:r w:rsidRPr="00154B00">
        <w:t>If yes, please advise:</w:t>
      </w:r>
    </w:p>
    <w:p w14:paraId="5B8C9B66"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1D500" w14:textId="77777777" w:rsidR="0034008B" w:rsidRDefault="0034008B" w:rsidP="00CF2DFA">
      <w:pPr>
        <w:spacing w:after="0"/>
      </w:pPr>
      <w:r>
        <w:separator/>
      </w:r>
    </w:p>
  </w:endnote>
  <w:endnote w:type="continuationSeparator" w:id="0">
    <w:p w14:paraId="084CA7BC" w14:textId="77777777" w:rsidR="0034008B" w:rsidRDefault="0034008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4088E93A" w14:textId="61AA6547" w:rsidR="0034008B" w:rsidRDefault="0034008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57971" w:rsidRPr="00A57971">
          <w:rPr>
            <w:b/>
            <w:bCs/>
            <w:noProof/>
            <w:sz w:val="18"/>
            <w:szCs w:val="18"/>
          </w:rPr>
          <w:t>24</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F683F7E" w14:textId="77777777" w:rsidR="0034008B" w:rsidRPr="003F7CB9" w:rsidRDefault="0034008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845A7" w14:textId="77777777" w:rsidR="0034008B" w:rsidRDefault="0034008B" w:rsidP="00CF2DFA">
      <w:pPr>
        <w:spacing w:after="0"/>
      </w:pPr>
      <w:r>
        <w:separator/>
      </w:r>
    </w:p>
  </w:footnote>
  <w:footnote w:type="continuationSeparator" w:id="0">
    <w:p w14:paraId="4981E44D" w14:textId="77777777" w:rsidR="0034008B" w:rsidRDefault="0034008B"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1E4F8D"/>
    <w:multiLevelType w:val="hybridMultilevel"/>
    <w:tmpl w:val="58A2AC8C"/>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9033F90"/>
    <w:multiLevelType w:val="hybridMultilevel"/>
    <w:tmpl w:val="4BA6A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4FAD74D4"/>
    <w:multiLevelType w:val="hybridMultilevel"/>
    <w:tmpl w:val="863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1C715EB"/>
    <w:multiLevelType w:val="hybridMultilevel"/>
    <w:tmpl w:val="22B4C20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0020FE"/>
    <w:multiLevelType w:val="hybridMultilevel"/>
    <w:tmpl w:val="BF662B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B517976"/>
    <w:multiLevelType w:val="hybridMultilevel"/>
    <w:tmpl w:val="A252B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A719CE"/>
    <w:multiLevelType w:val="hybridMultilevel"/>
    <w:tmpl w:val="47AE5AB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DA214C8"/>
    <w:multiLevelType w:val="hybridMultilevel"/>
    <w:tmpl w:val="CE786A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7E9D32C0"/>
    <w:multiLevelType w:val="hybridMultilevel"/>
    <w:tmpl w:val="4DCCFE9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2"/>
  </w:num>
  <w:num w:numId="26">
    <w:abstractNumId w:val="4"/>
  </w:num>
  <w:num w:numId="27">
    <w:abstractNumId w:val="17"/>
  </w:num>
  <w:num w:numId="28">
    <w:abstractNumId w:val="11"/>
  </w:num>
  <w:num w:numId="29">
    <w:abstractNumId w:val="24"/>
  </w:num>
  <w:num w:numId="30">
    <w:abstractNumId w:val="2"/>
  </w:num>
  <w:num w:numId="31">
    <w:abstractNumId w:val="20"/>
  </w:num>
  <w:num w:numId="32">
    <w:abstractNumId w:val="8"/>
  </w:num>
  <w:num w:numId="33">
    <w:abstractNumId w:val="19"/>
  </w:num>
  <w:num w:numId="34">
    <w:abstractNumId w:val="6"/>
  </w:num>
  <w:num w:numId="35">
    <w:abstractNumId w:val="12"/>
  </w:num>
  <w:num w:numId="36">
    <w:abstractNumId w:val="0"/>
  </w:num>
  <w:num w:numId="37">
    <w:abstractNumId w:val="21"/>
  </w:num>
  <w:num w:numId="38">
    <w:abstractNumId w:val="7"/>
  </w:num>
  <w:num w:numId="39">
    <w:abstractNumId w:val="26"/>
  </w:num>
  <w:num w:numId="40">
    <w:abstractNumId w:val="13"/>
  </w:num>
  <w:num w:numId="41">
    <w:abstractNumId w:val="23"/>
  </w:num>
  <w:num w:numId="42">
    <w:abstractNumId w:val="3"/>
  </w:num>
  <w:num w:numId="43">
    <w:abstractNumId w:val="15"/>
  </w:num>
  <w:num w:numId="44">
    <w:abstractNumId w:val="2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729"/>
    <w:rsid w:val="000158AA"/>
    <w:rsid w:val="000159B9"/>
    <w:rsid w:val="00016B6E"/>
    <w:rsid w:val="000215A4"/>
    <w:rsid w:val="00023E21"/>
    <w:rsid w:val="00025ABC"/>
    <w:rsid w:val="00026026"/>
    <w:rsid w:val="00026412"/>
    <w:rsid w:val="00031F6F"/>
    <w:rsid w:val="00034D6E"/>
    <w:rsid w:val="0003533C"/>
    <w:rsid w:val="0005089D"/>
    <w:rsid w:val="000525BC"/>
    <w:rsid w:val="00061FA6"/>
    <w:rsid w:val="000633EB"/>
    <w:rsid w:val="000648DA"/>
    <w:rsid w:val="0007219F"/>
    <w:rsid w:val="00073222"/>
    <w:rsid w:val="000770BA"/>
    <w:rsid w:val="00087CF0"/>
    <w:rsid w:val="00092580"/>
    <w:rsid w:val="000955E7"/>
    <w:rsid w:val="000A110D"/>
    <w:rsid w:val="000A478F"/>
    <w:rsid w:val="000A5B32"/>
    <w:rsid w:val="000B3CD0"/>
    <w:rsid w:val="000D066E"/>
    <w:rsid w:val="000D0721"/>
    <w:rsid w:val="000D0831"/>
    <w:rsid w:val="000E3070"/>
    <w:rsid w:val="000E47E7"/>
    <w:rsid w:val="000E5439"/>
    <w:rsid w:val="000F0E9F"/>
    <w:rsid w:val="000F23F0"/>
    <w:rsid w:val="00102686"/>
    <w:rsid w:val="00102950"/>
    <w:rsid w:val="0011036E"/>
    <w:rsid w:val="001130B0"/>
    <w:rsid w:val="0011369B"/>
    <w:rsid w:val="00113DED"/>
    <w:rsid w:val="0011742E"/>
    <w:rsid w:val="00123D10"/>
    <w:rsid w:val="00124B00"/>
    <w:rsid w:val="00126B33"/>
    <w:rsid w:val="001507D0"/>
    <w:rsid w:val="00154B00"/>
    <w:rsid w:val="001644E9"/>
    <w:rsid w:val="001661F4"/>
    <w:rsid w:val="001845D9"/>
    <w:rsid w:val="0018630F"/>
    <w:rsid w:val="001906CD"/>
    <w:rsid w:val="00191B99"/>
    <w:rsid w:val="00197D29"/>
    <w:rsid w:val="001A02E3"/>
    <w:rsid w:val="001A1ADF"/>
    <w:rsid w:val="001A365C"/>
    <w:rsid w:val="001B045C"/>
    <w:rsid w:val="001B171D"/>
    <w:rsid w:val="001B29A1"/>
    <w:rsid w:val="001B4CC5"/>
    <w:rsid w:val="001B5169"/>
    <w:rsid w:val="001B6164"/>
    <w:rsid w:val="001D77ED"/>
    <w:rsid w:val="001E1180"/>
    <w:rsid w:val="001E23EA"/>
    <w:rsid w:val="001E6919"/>
    <w:rsid w:val="001E6958"/>
    <w:rsid w:val="001F792A"/>
    <w:rsid w:val="00200BB0"/>
    <w:rsid w:val="00200C51"/>
    <w:rsid w:val="00201924"/>
    <w:rsid w:val="00202473"/>
    <w:rsid w:val="00202D9C"/>
    <w:rsid w:val="002053F2"/>
    <w:rsid w:val="002068A3"/>
    <w:rsid w:val="00206978"/>
    <w:rsid w:val="00206D63"/>
    <w:rsid w:val="0021185D"/>
    <w:rsid w:val="00226777"/>
    <w:rsid w:val="00235BD1"/>
    <w:rsid w:val="00242B0E"/>
    <w:rsid w:val="002472C1"/>
    <w:rsid w:val="00247DF0"/>
    <w:rsid w:val="00254813"/>
    <w:rsid w:val="00257FF2"/>
    <w:rsid w:val="00265822"/>
    <w:rsid w:val="0027105F"/>
    <w:rsid w:val="002711FB"/>
    <w:rsid w:val="00275D11"/>
    <w:rsid w:val="00283318"/>
    <w:rsid w:val="002847B0"/>
    <w:rsid w:val="00285525"/>
    <w:rsid w:val="00286F02"/>
    <w:rsid w:val="00294CD8"/>
    <w:rsid w:val="00297895"/>
    <w:rsid w:val="002A270B"/>
    <w:rsid w:val="002A40AE"/>
    <w:rsid w:val="002A50FD"/>
    <w:rsid w:val="002A6753"/>
    <w:rsid w:val="002B0F50"/>
    <w:rsid w:val="002B28D7"/>
    <w:rsid w:val="002B7EB6"/>
    <w:rsid w:val="002C0B61"/>
    <w:rsid w:val="002C0C51"/>
    <w:rsid w:val="002C15E6"/>
    <w:rsid w:val="002C247D"/>
    <w:rsid w:val="002C3345"/>
    <w:rsid w:val="002C646B"/>
    <w:rsid w:val="002D409A"/>
    <w:rsid w:val="002D63A0"/>
    <w:rsid w:val="002F30E7"/>
    <w:rsid w:val="002F55EF"/>
    <w:rsid w:val="00300EEB"/>
    <w:rsid w:val="003013A9"/>
    <w:rsid w:val="003020B5"/>
    <w:rsid w:val="003027BB"/>
    <w:rsid w:val="00307619"/>
    <w:rsid w:val="00310A10"/>
    <w:rsid w:val="00314154"/>
    <w:rsid w:val="00315048"/>
    <w:rsid w:val="00317F7C"/>
    <w:rsid w:val="00326A5B"/>
    <w:rsid w:val="00327D25"/>
    <w:rsid w:val="003319A7"/>
    <w:rsid w:val="00334FE3"/>
    <w:rsid w:val="0034008B"/>
    <w:rsid w:val="003421AE"/>
    <w:rsid w:val="003433D1"/>
    <w:rsid w:val="00344B24"/>
    <w:rsid w:val="003456B9"/>
    <w:rsid w:val="0035067D"/>
    <w:rsid w:val="00352047"/>
    <w:rsid w:val="00353A16"/>
    <w:rsid w:val="0035776D"/>
    <w:rsid w:val="00364FD9"/>
    <w:rsid w:val="00367C1B"/>
    <w:rsid w:val="00371A4C"/>
    <w:rsid w:val="00372C47"/>
    <w:rsid w:val="00376B61"/>
    <w:rsid w:val="00382407"/>
    <w:rsid w:val="00386A64"/>
    <w:rsid w:val="00386FA1"/>
    <w:rsid w:val="00390142"/>
    <w:rsid w:val="00392F00"/>
    <w:rsid w:val="00397377"/>
    <w:rsid w:val="003A22DE"/>
    <w:rsid w:val="003A2860"/>
    <w:rsid w:val="003A3903"/>
    <w:rsid w:val="003A3C35"/>
    <w:rsid w:val="003A4171"/>
    <w:rsid w:val="003A658A"/>
    <w:rsid w:val="003A7D30"/>
    <w:rsid w:val="003B3C5C"/>
    <w:rsid w:val="003C47CA"/>
    <w:rsid w:val="003D0DD8"/>
    <w:rsid w:val="003D6DE1"/>
    <w:rsid w:val="003D795C"/>
    <w:rsid w:val="003E1DF8"/>
    <w:rsid w:val="003E30FB"/>
    <w:rsid w:val="003F2711"/>
    <w:rsid w:val="003F6C70"/>
    <w:rsid w:val="003F7CB9"/>
    <w:rsid w:val="00403333"/>
    <w:rsid w:val="00404893"/>
    <w:rsid w:val="00411735"/>
    <w:rsid w:val="00415851"/>
    <w:rsid w:val="00420E08"/>
    <w:rsid w:val="0042232C"/>
    <w:rsid w:val="00427185"/>
    <w:rsid w:val="00435988"/>
    <w:rsid w:val="0043654D"/>
    <w:rsid w:val="00451840"/>
    <w:rsid w:val="00457DE6"/>
    <w:rsid w:val="00460C9A"/>
    <w:rsid w:val="00464924"/>
    <w:rsid w:val="0047581D"/>
    <w:rsid w:val="00476954"/>
    <w:rsid w:val="00480289"/>
    <w:rsid w:val="00481279"/>
    <w:rsid w:val="00483368"/>
    <w:rsid w:val="0048341B"/>
    <w:rsid w:val="00491195"/>
    <w:rsid w:val="00494011"/>
    <w:rsid w:val="00496D72"/>
    <w:rsid w:val="00497CDC"/>
    <w:rsid w:val="004A0BF4"/>
    <w:rsid w:val="004A263B"/>
    <w:rsid w:val="004A68EF"/>
    <w:rsid w:val="004B68AE"/>
    <w:rsid w:val="004C35B0"/>
    <w:rsid w:val="004C49EF"/>
    <w:rsid w:val="004C4A19"/>
    <w:rsid w:val="004C5570"/>
    <w:rsid w:val="004C6037"/>
    <w:rsid w:val="004D00C9"/>
    <w:rsid w:val="004E16F5"/>
    <w:rsid w:val="004E3CC7"/>
    <w:rsid w:val="004E5B69"/>
    <w:rsid w:val="004F2A87"/>
    <w:rsid w:val="0050517E"/>
    <w:rsid w:val="00507C56"/>
    <w:rsid w:val="00513040"/>
    <w:rsid w:val="0052344E"/>
    <w:rsid w:val="00526478"/>
    <w:rsid w:val="00530204"/>
    <w:rsid w:val="00534C5F"/>
    <w:rsid w:val="00540257"/>
    <w:rsid w:val="0054192F"/>
    <w:rsid w:val="00544EB3"/>
    <w:rsid w:val="0054594B"/>
    <w:rsid w:val="0054749B"/>
    <w:rsid w:val="00551CC6"/>
    <w:rsid w:val="00560541"/>
    <w:rsid w:val="005672D0"/>
    <w:rsid w:val="00572986"/>
    <w:rsid w:val="00572CEB"/>
    <w:rsid w:val="00580A83"/>
    <w:rsid w:val="00581FBD"/>
    <w:rsid w:val="005834C9"/>
    <w:rsid w:val="00584648"/>
    <w:rsid w:val="005A1500"/>
    <w:rsid w:val="005A58BA"/>
    <w:rsid w:val="005A5D30"/>
    <w:rsid w:val="005A6AB9"/>
    <w:rsid w:val="005B2898"/>
    <w:rsid w:val="005B4DBE"/>
    <w:rsid w:val="005B6078"/>
    <w:rsid w:val="005B7EAF"/>
    <w:rsid w:val="005C333E"/>
    <w:rsid w:val="005C3AE7"/>
    <w:rsid w:val="005D0677"/>
    <w:rsid w:val="005D5BDC"/>
    <w:rsid w:val="005D660F"/>
    <w:rsid w:val="005E294C"/>
    <w:rsid w:val="005E2CE3"/>
    <w:rsid w:val="005E4F39"/>
    <w:rsid w:val="005F3494"/>
    <w:rsid w:val="005F3F07"/>
    <w:rsid w:val="00603A71"/>
    <w:rsid w:val="00603D04"/>
    <w:rsid w:val="00606857"/>
    <w:rsid w:val="00610562"/>
    <w:rsid w:val="00615F42"/>
    <w:rsid w:val="006258C2"/>
    <w:rsid w:val="00626365"/>
    <w:rsid w:val="00630E22"/>
    <w:rsid w:val="00634232"/>
    <w:rsid w:val="0064168C"/>
    <w:rsid w:val="00657B46"/>
    <w:rsid w:val="006751A9"/>
    <w:rsid w:val="006759B7"/>
    <w:rsid w:val="006764EC"/>
    <w:rsid w:val="006824D9"/>
    <w:rsid w:val="006835FE"/>
    <w:rsid w:val="00693BFD"/>
    <w:rsid w:val="00694ABC"/>
    <w:rsid w:val="00695065"/>
    <w:rsid w:val="00697987"/>
    <w:rsid w:val="006A1038"/>
    <w:rsid w:val="006A309B"/>
    <w:rsid w:val="006A649A"/>
    <w:rsid w:val="006B1B49"/>
    <w:rsid w:val="006B3CD9"/>
    <w:rsid w:val="006B6390"/>
    <w:rsid w:val="006C0356"/>
    <w:rsid w:val="006C0843"/>
    <w:rsid w:val="006C63E6"/>
    <w:rsid w:val="006C74B1"/>
    <w:rsid w:val="006D35F3"/>
    <w:rsid w:val="006D5761"/>
    <w:rsid w:val="006D6234"/>
    <w:rsid w:val="006E57AA"/>
    <w:rsid w:val="006F20CF"/>
    <w:rsid w:val="006F38ED"/>
    <w:rsid w:val="00707D4D"/>
    <w:rsid w:val="00714FC4"/>
    <w:rsid w:val="00720A9F"/>
    <w:rsid w:val="00723503"/>
    <w:rsid w:val="007307C5"/>
    <w:rsid w:val="00730C04"/>
    <w:rsid w:val="0073597B"/>
    <w:rsid w:val="007378F6"/>
    <w:rsid w:val="00740FE3"/>
    <w:rsid w:val="0074545D"/>
    <w:rsid w:val="00746C8B"/>
    <w:rsid w:val="007502E0"/>
    <w:rsid w:val="007522E3"/>
    <w:rsid w:val="0075335B"/>
    <w:rsid w:val="00753C44"/>
    <w:rsid w:val="00754383"/>
    <w:rsid w:val="007564D1"/>
    <w:rsid w:val="00757232"/>
    <w:rsid w:val="00760679"/>
    <w:rsid w:val="00763628"/>
    <w:rsid w:val="00767E99"/>
    <w:rsid w:val="00772E62"/>
    <w:rsid w:val="0077789B"/>
    <w:rsid w:val="00780B35"/>
    <w:rsid w:val="00780D29"/>
    <w:rsid w:val="00786FE7"/>
    <w:rsid w:val="00791C8D"/>
    <w:rsid w:val="00792E16"/>
    <w:rsid w:val="00794181"/>
    <w:rsid w:val="007A7F6F"/>
    <w:rsid w:val="007B4145"/>
    <w:rsid w:val="007B4C76"/>
    <w:rsid w:val="007B5B19"/>
    <w:rsid w:val="007C2260"/>
    <w:rsid w:val="007C6E11"/>
    <w:rsid w:val="007C7578"/>
    <w:rsid w:val="007C7940"/>
    <w:rsid w:val="007D1E52"/>
    <w:rsid w:val="007D22B5"/>
    <w:rsid w:val="007D2358"/>
    <w:rsid w:val="007D6511"/>
    <w:rsid w:val="007E39E4"/>
    <w:rsid w:val="007E6FB3"/>
    <w:rsid w:val="007F21B4"/>
    <w:rsid w:val="007F4935"/>
    <w:rsid w:val="00802553"/>
    <w:rsid w:val="00803EAB"/>
    <w:rsid w:val="00804098"/>
    <w:rsid w:val="008046B5"/>
    <w:rsid w:val="008113A0"/>
    <w:rsid w:val="008127C0"/>
    <w:rsid w:val="00812EDD"/>
    <w:rsid w:val="008139C5"/>
    <w:rsid w:val="0081650F"/>
    <w:rsid w:val="00832B31"/>
    <w:rsid w:val="008403E0"/>
    <w:rsid w:val="0084657B"/>
    <w:rsid w:val="00855944"/>
    <w:rsid w:val="00864A18"/>
    <w:rsid w:val="00867855"/>
    <w:rsid w:val="00870833"/>
    <w:rsid w:val="00874571"/>
    <w:rsid w:val="00881F93"/>
    <w:rsid w:val="00882CB5"/>
    <w:rsid w:val="00883641"/>
    <w:rsid w:val="00884E69"/>
    <w:rsid w:val="00890082"/>
    <w:rsid w:val="00891ECC"/>
    <w:rsid w:val="008A48D2"/>
    <w:rsid w:val="008B2610"/>
    <w:rsid w:val="008B471D"/>
    <w:rsid w:val="008B49E4"/>
    <w:rsid w:val="008B729C"/>
    <w:rsid w:val="008C1093"/>
    <w:rsid w:val="008C3524"/>
    <w:rsid w:val="008C4A93"/>
    <w:rsid w:val="008E0E49"/>
    <w:rsid w:val="008E35FD"/>
    <w:rsid w:val="008E6227"/>
    <w:rsid w:val="008F276D"/>
    <w:rsid w:val="0090543D"/>
    <w:rsid w:val="009056C5"/>
    <w:rsid w:val="0091295F"/>
    <w:rsid w:val="0091522C"/>
    <w:rsid w:val="00915F11"/>
    <w:rsid w:val="009262F2"/>
    <w:rsid w:val="00933B5B"/>
    <w:rsid w:val="0093506E"/>
    <w:rsid w:val="00935444"/>
    <w:rsid w:val="00937791"/>
    <w:rsid w:val="00942304"/>
    <w:rsid w:val="00951933"/>
    <w:rsid w:val="00954343"/>
    <w:rsid w:val="00955271"/>
    <w:rsid w:val="00963C9C"/>
    <w:rsid w:val="009659CB"/>
    <w:rsid w:val="00965B6B"/>
    <w:rsid w:val="00966AA1"/>
    <w:rsid w:val="00971EDB"/>
    <w:rsid w:val="00974D50"/>
    <w:rsid w:val="00980ABF"/>
    <w:rsid w:val="00987ABE"/>
    <w:rsid w:val="00991EE4"/>
    <w:rsid w:val="009939DC"/>
    <w:rsid w:val="00993B9C"/>
    <w:rsid w:val="00995F1A"/>
    <w:rsid w:val="009A0D51"/>
    <w:rsid w:val="009A25F4"/>
    <w:rsid w:val="009A2B6A"/>
    <w:rsid w:val="009B4E1E"/>
    <w:rsid w:val="009B6AFA"/>
    <w:rsid w:val="009C03FB"/>
    <w:rsid w:val="009C4B4F"/>
    <w:rsid w:val="009D101A"/>
    <w:rsid w:val="009E2E68"/>
    <w:rsid w:val="009F0C02"/>
    <w:rsid w:val="009F5758"/>
    <w:rsid w:val="00A0283F"/>
    <w:rsid w:val="00A04F4A"/>
    <w:rsid w:val="00A111AB"/>
    <w:rsid w:val="00A21C0F"/>
    <w:rsid w:val="00A23219"/>
    <w:rsid w:val="00A26343"/>
    <w:rsid w:val="00A408B5"/>
    <w:rsid w:val="00A42592"/>
    <w:rsid w:val="00A529E2"/>
    <w:rsid w:val="00A539F8"/>
    <w:rsid w:val="00A57971"/>
    <w:rsid w:val="00A6491A"/>
    <w:rsid w:val="00A6594E"/>
    <w:rsid w:val="00A70947"/>
    <w:rsid w:val="00A727B6"/>
    <w:rsid w:val="00A75D83"/>
    <w:rsid w:val="00A81CC6"/>
    <w:rsid w:val="00A83EC6"/>
    <w:rsid w:val="00A8732C"/>
    <w:rsid w:val="00A9062D"/>
    <w:rsid w:val="00A93F58"/>
    <w:rsid w:val="00A96329"/>
    <w:rsid w:val="00AA134B"/>
    <w:rsid w:val="00AA2CFE"/>
    <w:rsid w:val="00AA579B"/>
    <w:rsid w:val="00AA5FDA"/>
    <w:rsid w:val="00AA6291"/>
    <w:rsid w:val="00AC0C91"/>
    <w:rsid w:val="00AC192A"/>
    <w:rsid w:val="00AD37D4"/>
    <w:rsid w:val="00AD7986"/>
    <w:rsid w:val="00AE1188"/>
    <w:rsid w:val="00AE5796"/>
    <w:rsid w:val="00AE738C"/>
    <w:rsid w:val="00AF1046"/>
    <w:rsid w:val="00AF1F84"/>
    <w:rsid w:val="00AF4466"/>
    <w:rsid w:val="00AF5D1E"/>
    <w:rsid w:val="00B040A9"/>
    <w:rsid w:val="00B16318"/>
    <w:rsid w:val="00B1711E"/>
    <w:rsid w:val="00B17CBE"/>
    <w:rsid w:val="00B17E26"/>
    <w:rsid w:val="00B231A4"/>
    <w:rsid w:val="00B25D20"/>
    <w:rsid w:val="00B31C99"/>
    <w:rsid w:val="00B52917"/>
    <w:rsid w:val="00B53BA6"/>
    <w:rsid w:val="00B57253"/>
    <w:rsid w:val="00B5731D"/>
    <w:rsid w:val="00B6378B"/>
    <w:rsid w:val="00B63E3A"/>
    <w:rsid w:val="00B6672C"/>
    <w:rsid w:val="00B71C91"/>
    <w:rsid w:val="00B75965"/>
    <w:rsid w:val="00B771AD"/>
    <w:rsid w:val="00B814CB"/>
    <w:rsid w:val="00BA0762"/>
    <w:rsid w:val="00BA0CF8"/>
    <w:rsid w:val="00BA1ADF"/>
    <w:rsid w:val="00BA45F8"/>
    <w:rsid w:val="00BA51FC"/>
    <w:rsid w:val="00BB003A"/>
    <w:rsid w:val="00BB3358"/>
    <w:rsid w:val="00BB3382"/>
    <w:rsid w:val="00BB3643"/>
    <w:rsid w:val="00BC3DA0"/>
    <w:rsid w:val="00BC424B"/>
    <w:rsid w:val="00BE0FDE"/>
    <w:rsid w:val="00BE2FA1"/>
    <w:rsid w:val="00BF5C3C"/>
    <w:rsid w:val="00BF6582"/>
    <w:rsid w:val="00BF6AC5"/>
    <w:rsid w:val="00C01121"/>
    <w:rsid w:val="00C030A5"/>
    <w:rsid w:val="00C040A4"/>
    <w:rsid w:val="00C05A45"/>
    <w:rsid w:val="00C0796F"/>
    <w:rsid w:val="00C11B34"/>
    <w:rsid w:val="00C12C5C"/>
    <w:rsid w:val="00C171FB"/>
    <w:rsid w:val="00C209C2"/>
    <w:rsid w:val="00C2267F"/>
    <w:rsid w:val="00C22AD8"/>
    <w:rsid w:val="00C3557E"/>
    <w:rsid w:val="00C3594B"/>
    <w:rsid w:val="00C42558"/>
    <w:rsid w:val="00C43102"/>
    <w:rsid w:val="00C4696B"/>
    <w:rsid w:val="00C50513"/>
    <w:rsid w:val="00C5307C"/>
    <w:rsid w:val="00C54503"/>
    <w:rsid w:val="00C63055"/>
    <w:rsid w:val="00C71CC9"/>
    <w:rsid w:val="00C73B62"/>
    <w:rsid w:val="00C776B1"/>
    <w:rsid w:val="00C815FE"/>
    <w:rsid w:val="00C847AE"/>
    <w:rsid w:val="00CA04C6"/>
    <w:rsid w:val="00CA26DD"/>
    <w:rsid w:val="00CB12EC"/>
    <w:rsid w:val="00CB3D26"/>
    <w:rsid w:val="00CB438B"/>
    <w:rsid w:val="00CB4451"/>
    <w:rsid w:val="00CC09D7"/>
    <w:rsid w:val="00CC12B8"/>
    <w:rsid w:val="00CD22E3"/>
    <w:rsid w:val="00CD4E44"/>
    <w:rsid w:val="00CD5AE4"/>
    <w:rsid w:val="00CD7A7D"/>
    <w:rsid w:val="00CE6139"/>
    <w:rsid w:val="00CF2D8E"/>
    <w:rsid w:val="00CF2DFA"/>
    <w:rsid w:val="00CF5AD8"/>
    <w:rsid w:val="00D00122"/>
    <w:rsid w:val="00D01D2A"/>
    <w:rsid w:val="00D10B47"/>
    <w:rsid w:val="00D11EB1"/>
    <w:rsid w:val="00D17F17"/>
    <w:rsid w:val="00D23597"/>
    <w:rsid w:val="00D30BDC"/>
    <w:rsid w:val="00D3598F"/>
    <w:rsid w:val="00D43AE3"/>
    <w:rsid w:val="00D45681"/>
    <w:rsid w:val="00D571C0"/>
    <w:rsid w:val="00D573B1"/>
    <w:rsid w:val="00D57B12"/>
    <w:rsid w:val="00D57F88"/>
    <w:rsid w:val="00D60E5B"/>
    <w:rsid w:val="00D7105C"/>
    <w:rsid w:val="00D73646"/>
    <w:rsid w:val="00D73F35"/>
    <w:rsid w:val="00D75DD0"/>
    <w:rsid w:val="00D777B4"/>
    <w:rsid w:val="00D77A90"/>
    <w:rsid w:val="00D8360B"/>
    <w:rsid w:val="00D8445A"/>
    <w:rsid w:val="00D84FBD"/>
    <w:rsid w:val="00D85676"/>
    <w:rsid w:val="00D96ADA"/>
    <w:rsid w:val="00DA2886"/>
    <w:rsid w:val="00DA5E50"/>
    <w:rsid w:val="00DA653B"/>
    <w:rsid w:val="00DA7D0C"/>
    <w:rsid w:val="00DB311C"/>
    <w:rsid w:val="00DB432D"/>
    <w:rsid w:val="00DB519B"/>
    <w:rsid w:val="00DB77E5"/>
    <w:rsid w:val="00DC7694"/>
    <w:rsid w:val="00DC7FBE"/>
    <w:rsid w:val="00DD130E"/>
    <w:rsid w:val="00DD308E"/>
    <w:rsid w:val="00DF0423"/>
    <w:rsid w:val="00DF0C51"/>
    <w:rsid w:val="00DF0D47"/>
    <w:rsid w:val="00DF1652"/>
    <w:rsid w:val="00DF4F76"/>
    <w:rsid w:val="00DF6D37"/>
    <w:rsid w:val="00E048ED"/>
    <w:rsid w:val="00E04FB3"/>
    <w:rsid w:val="00E058F2"/>
    <w:rsid w:val="00E05D9C"/>
    <w:rsid w:val="00E06102"/>
    <w:rsid w:val="00E10CCB"/>
    <w:rsid w:val="00E20196"/>
    <w:rsid w:val="00E23E71"/>
    <w:rsid w:val="00E25C67"/>
    <w:rsid w:val="00E30444"/>
    <w:rsid w:val="00E30F19"/>
    <w:rsid w:val="00E33C4A"/>
    <w:rsid w:val="00E357B9"/>
    <w:rsid w:val="00E4321E"/>
    <w:rsid w:val="00E44416"/>
    <w:rsid w:val="00E44B80"/>
    <w:rsid w:val="00E47623"/>
    <w:rsid w:val="00E60529"/>
    <w:rsid w:val="00E70D86"/>
    <w:rsid w:val="00E7628E"/>
    <w:rsid w:val="00E82D0B"/>
    <w:rsid w:val="00E82F54"/>
    <w:rsid w:val="00E8649B"/>
    <w:rsid w:val="00E871CD"/>
    <w:rsid w:val="00E87D8B"/>
    <w:rsid w:val="00E90990"/>
    <w:rsid w:val="00E95D3D"/>
    <w:rsid w:val="00E95F64"/>
    <w:rsid w:val="00EA0E25"/>
    <w:rsid w:val="00EA173C"/>
    <w:rsid w:val="00EB0182"/>
    <w:rsid w:val="00EC127A"/>
    <w:rsid w:val="00EC1FF9"/>
    <w:rsid w:val="00EC2737"/>
    <w:rsid w:val="00EE102F"/>
    <w:rsid w:val="00EE2716"/>
    <w:rsid w:val="00EE6450"/>
    <w:rsid w:val="00EF277B"/>
    <w:rsid w:val="00F01C2C"/>
    <w:rsid w:val="00F1026C"/>
    <w:rsid w:val="00F10ED8"/>
    <w:rsid w:val="00F17C4E"/>
    <w:rsid w:val="00F222BE"/>
    <w:rsid w:val="00F24179"/>
    <w:rsid w:val="00F301F1"/>
    <w:rsid w:val="00F30C22"/>
    <w:rsid w:val="00F33F1A"/>
    <w:rsid w:val="00F34AEC"/>
    <w:rsid w:val="00F547F7"/>
    <w:rsid w:val="00F54CCF"/>
    <w:rsid w:val="00F61D7A"/>
    <w:rsid w:val="00F637B3"/>
    <w:rsid w:val="00F63A62"/>
    <w:rsid w:val="00F66CF7"/>
    <w:rsid w:val="00F67BCB"/>
    <w:rsid w:val="00F76ADA"/>
    <w:rsid w:val="00F77C57"/>
    <w:rsid w:val="00F813C7"/>
    <w:rsid w:val="00F83566"/>
    <w:rsid w:val="00F83A9D"/>
    <w:rsid w:val="00F906B5"/>
    <w:rsid w:val="00F93784"/>
    <w:rsid w:val="00F971CC"/>
    <w:rsid w:val="00FA2CAA"/>
    <w:rsid w:val="00FA3DA1"/>
    <w:rsid w:val="00FA6554"/>
    <w:rsid w:val="00FB2BD1"/>
    <w:rsid w:val="00FE05A2"/>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F9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D3598F"/>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1B4CC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customStyle="1" w:styleId="Heading3Char">
    <w:name w:val="Heading 3 Char"/>
    <w:basedOn w:val="DefaultParagraphFont"/>
    <w:link w:val="Heading3"/>
    <w:uiPriority w:val="9"/>
    <w:semiHidden/>
    <w:rsid w:val="00D3598F"/>
    <w:rPr>
      <w:rFonts w:asciiTheme="majorHAnsi" w:eastAsiaTheme="majorEastAsia" w:hAnsiTheme="majorHAnsi" w:cstheme="majorBidi"/>
      <w:b/>
      <w:bCs/>
      <w:color w:val="4F81BD" w:themeColor="accent1"/>
      <w:sz w:val="20"/>
    </w:rPr>
  </w:style>
  <w:style w:type="paragraph" w:customStyle="1" w:styleId="Text">
    <w:name w:val="Text"/>
    <w:basedOn w:val="Normal"/>
    <w:link w:val="TextChar"/>
    <w:rsid w:val="00942304"/>
    <w:pPr>
      <w:spacing w:after="200" w:line="276" w:lineRule="auto"/>
      <w:jc w:val="both"/>
    </w:pPr>
    <w:rPr>
      <w:sz w:val="22"/>
      <w:lang w:val="en-US"/>
    </w:rPr>
  </w:style>
  <w:style w:type="character" w:customStyle="1" w:styleId="TextChar">
    <w:name w:val="Text Char"/>
    <w:link w:val="Text"/>
    <w:rsid w:val="00942304"/>
    <w:rPr>
      <w:lang w:val="en-US"/>
    </w:rPr>
  </w:style>
  <w:style w:type="paragraph" w:styleId="Caption">
    <w:name w:val="caption"/>
    <w:basedOn w:val="Normal"/>
    <w:next w:val="Normal"/>
    <w:autoRedefine/>
    <w:uiPriority w:val="35"/>
    <w:unhideWhenUsed/>
    <w:qFormat/>
    <w:rsid w:val="00415851"/>
    <w:pPr>
      <w:keepNext/>
      <w:spacing w:before="0" w:after="200"/>
    </w:pPr>
    <w:rPr>
      <w:b/>
      <w:iCs/>
      <w:szCs w:val="18"/>
    </w:rPr>
  </w:style>
  <w:style w:type="character" w:customStyle="1" w:styleId="Heading7Char">
    <w:name w:val="Heading 7 Char"/>
    <w:basedOn w:val="DefaultParagraphFont"/>
    <w:link w:val="Heading7"/>
    <w:uiPriority w:val="9"/>
    <w:semiHidden/>
    <w:rsid w:val="001B4CC5"/>
    <w:rPr>
      <w:rFonts w:asciiTheme="majorHAnsi" w:eastAsiaTheme="majorEastAsia" w:hAnsiTheme="majorHAnsi" w:cstheme="majorBidi"/>
      <w:i/>
      <w:iCs/>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D3598F"/>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1B4CC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customStyle="1" w:styleId="Heading3Char">
    <w:name w:val="Heading 3 Char"/>
    <w:basedOn w:val="DefaultParagraphFont"/>
    <w:link w:val="Heading3"/>
    <w:uiPriority w:val="9"/>
    <w:semiHidden/>
    <w:rsid w:val="00D3598F"/>
    <w:rPr>
      <w:rFonts w:asciiTheme="majorHAnsi" w:eastAsiaTheme="majorEastAsia" w:hAnsiTheme="majorHAnsi" w:cstheme="majorBidi"/>
      <w:b/>
      <w:bCs/>
      <w:color w:val="4F81BD" w:themeColor="accent1"/>
      <w:sz w:val="20"/>
    </w:rPr>
  </w:style>
  <w:style w:type="paragraph" w:customStyle="1" w:styleId="Text">
    <w:name w:val="Text"/>
    <w:basedOn w:val="Normal"/>
    <w:link w:val="TextChar"/>
    <w:rsid w:val="00942304"/>
    <w:pPr>
      <w:spacing w:after="200" w:line="276" w:lineRule="auto"/>
      <w:jc w:val="both"/>
    </w:pPr>
    <w:rPr>
      <w:sz w:val="22"/>
      <w:lang w:val="en-US"/>
    </w:rPr>
  </w:style>
  <w:style w:type="character" w:customStyle="1" w:styleId="TextChar">
    <w:name w:val="Text Char"/>
    <w:link w:val="Text"/>
    <w:rsid w:val="00942304"/>
    <w:rPr>
      <w:lang w:val="en-US"/>
    </w:rPr>
  </w:style>
  <w:style w:type="paragraph" w:styleId="Caption">
    <w:name w:val="caption"/>
    <w:basedOn w:val="Normal"/>
    <w:next w:val="Normal"/>
    <w:autoRedefine/>
    <w:uiPriority w:val="35"/>
    <w:unhideWhenUsed/>
    <w:qFormat/>
    <w:rsid w:val="00415851"/>
    <w:pPr>
      <w:keepNext/>
      <w:spacing w:before="0" w:after="200"/>
    </w:pPr>
    <w:rPr>
      <w:b/>
      <w:iCs/>
      <w:szCs w:val="18"/>
    </w:rPr>
  </w:style>
  <w:style w:type="character" w:customStyle="1" w:styleId="Heading7Char">
    <w:name w:val="Heading 7 Char"/>
    <w:basedOn w:val="DefaultParagraphFont"/>
    <w:link w:val="Heading7"/>
    <w:uiPriority w:val="9"/>
    <w:semiHidden/>
    <w:rsid w:val="001B4CC5"/>
    <w:rPr>
      <w:rFonts w:asciiTheme="majorHAnsi" w:eastAsiaTheme="majorEastAsia" w:hAnsiTheme="majorHAnsi" w:cstheme="majorBidi"/>
      <w:i/>
      <w:iCs/>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782922030">
      <w:bodyDiv w:val="1"/>
      <w:marLeft w:val="0"/>
      <w:marRight w:val="0"/>
      <w:marTop w:val="0"/>
      <w:marBottom w:val="0"/>
      <w:divBdr>
        <w:top w:val="none" w:sz="0" w:space="0" w:color="auto"/>
        <w:left w:val="none" w:sz="0" w:space="0" w:color="auto"/>
        <w:bottom w:val="none" w:sz="0" w:space="0" w:color="auto"/>
        <w:right w:val="none" w:sz="0" w:space="0" w:color="auto"/>
      </w:divBdr>
    </w:div>
    <w:div w:id="1174995199">
      <w:bodyDiv w:val="1"/>
      <w:marLeft w:val="0"/>
      <w:marRight w:val="0"/>
      <w:marTop w:val="0"/>
      <w:marBottom w:val="0"/>
      <w:divBdr>
        <w:top w:val="none" w:sz="0" w:space="0" w:color="auto"/>
        <w:left w:val="none" w:sz="0" w:space="0" w:color="auto"/>
        <w:bottom w:val="none" w:sz="0" w:space="0" w:color="auto"/>
        <w:right w:val="none" w:sz="0" w:space="0" w:color="auto"/>
      </w:divBdr>
    </w:div>
    <w:div w:id="122336640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inicaltrials.gov/ct2/show/results/NCT01166659" TargetMode="Externa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hta@health.gov.au"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09A6-1C32-497D-855C-241BDE2F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7354</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49180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2017-04-10T22:41:00Z</dcterms:created>
  <dcterms:modified xsi:type="dcterms:W3CDTF">2017-04-10T22:41:00Z</dcterms:modified>
</cp:coreProperties>
</file>