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D14D" w14:textId="77777777" w:rsidR="00105B19" w:rsidRDefault="002811D5" w:rsidP="002811D5">
      <w:pPr>
        <w:pStyle w:val="Subtitle"/>
        <w:spacing w:before="480"/>
        <w:rPr>
          <w:rFonts w:eastAsiaTheme="majorEastAsia"/>
          <w:i w:val="0"/>
          <w:sz w:val="36"/>
          <w:szCs w:val="36"/>
          <w:lang w:eastAsia="en-US"/>
        </w:rPr>
      </w:pPr>
      <w:r>
        <w:rPr>
          <w:noProof/>
        </w:rPr>
        <w:drawing>
          <wp:inline distT="0" distB="0" distL="0" distR="0" wp14:anchorId="6419EAA2" wp14:editId="514B31AD">
            <wp:extent cx="2627630" cy="1078865"/>
            <wp:effectExtent l="0" t="0" r="1270" b="6985"/>
            <wp:docPr id="1" name="Picture 1" descr="Medical Services Advisory Committee Logo"/>
            <wp:cNvGraphicFramePr/>
            <a:graphic xmlns:a="http://schemas.openxmlformats.org/drawingml/2006/main">
              <a:graphicData uri="http://schemas.openxmlformats.org/drawingml/2006/picture">
                <pic:pic xmlns:pic="http://schemas.openxmlformats.org/drawingml/2006/picture">
                  <pic:nvPicPr>
                    <pic:cNvPr id="1" name="Picture 1" descr="Medical Services Advisory Committee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AD317CC" w14:textId="65EC6656" w:rsidR="002811D5" w:rsidRDefault="002811D5" w:rsidP="002811D5">
      <w:pPr>
        <w:pStyle w:val="Subtitle"/>
        <w:spacing w:before="480"/>
        <w:rPr>
          <w:rFonts w:eastAsiaTheme="majorEastAsia"/>
          <w:i w:val="0"/>
          <w:sz w:val="36"/>
          <w:szCs w:val="36"/>
          <w:lang w:eastAsia="en-US"/>
        </w:rPr>
      </w:pPr>
      <w:r w:rsidRPr="002811D5">
        <w:rPr>
          <w:rFonts w:eastAsiaTheme="majorEastAsia"/>
          <w:i w:val="0"/>
          <w:sz w:val="36"/>
          <w:szCs w:val="36"/>
          <w:lang w:eastAsia="en-US"/>
        </w:rPr>
        <w:t xml:space="preserve">Public Summary Document </w:t>
      </w:r>
    </w:p>
    <w:p w14:paraId="7A128FDE" w14:textId="03F93782" w:rsidR="00772829" w:rsidRPr="00CE28E3" w:rsidRDefault="00772829" w:rsidP="00772829">
      <w:pPr>
        <w:pStyle w:val="Subtitle"/>
      </w:pPr>
      <w:r w:rsidRPr="00CE28E3">
        <w:t>Application No.</w:t>
      </w:r>
      <w:r w:rsidR="00250B54">
        <w:t xml:space="preserve"> 1697 </w:t>
      </w:r>
      <w:r w:rsidR="00250B54" w:rsidRPr="00250B54">
        <w:t>–</w:t>
      </w:r>
      <w:r w:rsidR="00250B54">
        <w:t xml:space="preserve"> Review of Different Minimally Invasive Therapeutic Approaches for the Management of Patients with Benign Prostatic Hyperplasia (BPH) </w:t>
      </w:r>
    </w:p>
    <w:p w14:paraId="35263561" w14:textId="40754BF4" w:rsidR="00772829" w:rsidRPr="00CE28E3" w:rsidRDefault="00772829" w:rsidP="004C23CE">
      <w:pPr>
        <w:tabs>
          <w:tab w:val="left" w:pos="3544"/>
        </w:tabs>
        <w:spacing w:after="240"/>
        <w:ind w:left="3600" w:hanging="360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4C23CE">
        <w:rPr>
          <w:rFonts w:ascii="Arial" w:hAnsi="Arial" w:cs="Arial"/>
          <w:b/>
          <w:szCs w:val="24"/>
        </w:rPr>
        <w:tab/>
      </w:r>
      <w:r w:rsidR="00250B54">
        <w:rPr>
          <w:rFonts w:ascii="Arial" w:hAnsi="Arial" w:cs="Arial"/>
          <w:b/>
          <w:szCs w:val="24"/>
        </w:rPr>
        <w:t>Australian Government Department of Health</w:t>
      </w:r>
      <w:r w:rsidR="00AB7034">
        <w:rPr>
          <w:rFonts w:ascii="Arial" w:hAnsi="Arial" w:cs="Arial"/>
          <w:b/>
          <w:szCs w:val="24"/>
        </w:rPr>
        <w:t xml:space="preserve"> and Aged Care</w:t>
      </w:r>
    </w:p>
    <w:p w14:paraId="15DA9C4A" w14:textId="656E1975" w:rsidR="009A3778" w:rsidRDefault="00772829" w:rsidP="00772829">
      <w:pPr>
        <w:tabs>
          <w:tab w:val="left" w:pos="3686"/>
        </w:tabs>
        <w:spacing w:after="360"/>
        <w:rPr>
          <w:rFonts w:ascii="Arial" w:hAnsi="Arial" w:cs="Arial"/>
          <w:b/>
          <w:szCs w:val="24"/>
        </w:rPr>
      </w:pPr>
      <w:r w:rsidRPr="00CE28E3">
        <w:rPr>
          <w:rFonts w:ascii="Arial" w:hAnsi="Arial" w:cs="Arial"/>
          <w:b/>
          <w:szCs w:val="24"/>
        </w:rPr>
        <w:t>D</w:t>
      </w:r>
      <w:r w:rsidR="00CA2105">
        <w:rPr>
          <w:rFonts w:ascii="Arial" w:hAnsi="Arial" w:cs="Arial"/>
          <w:b/>
          <w:szCs w:val="24"/>
        </w:rPr>
        <w:t xml:space="preserve">ate of </w:t>
      </w:r>
      <w:r w:rsidR="002811D5">
        <w:rPr>
          <w:rFonts w:ascii="Arial" w:hAnsi="Arial" w:cs="Arial"/>
          <w:b/>
          <w:szCs w:val="24"/>
        </w:rPr>
        <w:t>MSAC</w:t>
      </w:r>
      <w:r w:rsidR="00CA2105">
        <w:rPr>
          <w:rFonts w:ascii="Arial" w:hAnsi="Arial" w:cs="Arial"/>
          <w:b/>
          <w:szCs w:val="24"/>
        </w:rPr>
        <w:t xml:space="preserve"> consideration:</w:t>
      </w:r>
      <w:r w:rsidR="00CA2105">
        <w:rPr>
          <w:rFonts w:ascii="Arial" w:hAnsi="Arial" w:cs="Arial"/>
          <w:b/>
          <w:szCs w:val="24"/>
        </w:rPr>
        <w:tab/>
      </w:r>
      <w:r w:rsidR="002811D5">
        <w:rPr>
          <w:rFonts w:ascii="Arial" w:hAnsi="Arial" w:cs="Arial"/>
          <w:b/>
          <w:szCs w:val="24"/>
        </w:rPr>
        <w:t>28-29 July</w:t>
      </w:r>
      <w:r w:rsidR="002316DC">
        <w:rPr>
          <w:rFonts w:ascii="Arial" w:hAnsi="Arial" w:cs="Arial"/>
          <w:b/>
          <w:szCs w:val="24"/>
        </w:rPr>
        <w:t xml:space="preserve"> </w:t>
      </w:r>
      <w:r w:rsidR="00CA2105">
        <w:rPr>
          <w:rFonts w:ascii="Arial" w:hAnsi="Arial" w:cs="Arial"/>
          <w:b/>
          <w:szCs w:val="24"/>
        </w:rPr>
        <w:t>2022</w:t>
      </w:r>
    </w:p>
    <w:p w14:paraId="0CCC832B" w14:textId="77777777" w:rsidR="00AB7034" w:rsidRPr="00B03EAB" w:rsidRDefault="00AB7034" w:rsidP="00AB7034">
      <w:pPr>
        <w:spacing w:before="240"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100150269"/>
      <w:r>
        <w:t>1.</w:t>
      </w:r>
      <w:r>
        <w:tab/>
      </w:r>
      <w:r w:rsidR="00772829" w:rsidRPr="00CE28E3">
        <w:t xml:space="preserve">Purpose </w:t>
      </w:r>
      <w:r w:rsidR="00772829" w:rsidRPr="00CE28E3">
        <w:rPr>
          <w:szCs w:val="32"/>
        </w:rPr>
        <w:t>of</w:t>
      </w:r>
      <w:r w:rsidR="00772829" w:rsidRPr="00CE28E3">
        <w:t xml:space="preserve"> application</w:t>
      </w:r>
      <w:bookmarkEnd w:id="0"/>
    </w:p>
    <w:p w14:paraId="1E77F143" w14:textId="5C2A78CA" w:rsidR="00997AAB" w:rsidRDefault="00997AAB" w:rsidP="00997AAB">
      <w:pPr>
        <w:spacing w:after="240"/>
        <w:rPr>
          <w:iCs/>
        </w:rPr>
      </w:pPr>
      <w:r>
        <w:rPr>
          <w:iCs/>
        </w:rPr>
        <w:t>MSAC requested that the Department of Health</w:t>
      </w:r>
      <w:r w:rsidR="00AB7034">
        <w:rPr>
          <w:iCs/>
        </w:rPr>
        <w:t xml:space="preserve"> and Aged Care</w:t>
      </w:r>
      <w:r>
        <w:rPr>
          <w:iCs/>
        </w:rPr>
        <w:t xml:space="preserve">, in consultation with applicants and professional and consumer stakeholders, undertake a review on the effectiveness, safety, cost and cost-effectiveness of visual laser ablation of the prostate (VLAP), prostatic urethral lift (PUL), transurethral water vapour ablation (TUWA), transurethral resection of the prostate (TURP), transurethral needle ablation (TUNA), transurethral microwave thermotherapy (TUMT), </w:t>
      </w:r>
      <w:r w:rsidRPr="00947EB9">
        <w:t>holmium-YAG laser enucleation of the prostate</w:t>
      </w:r>
      <w:r>
        <w:t xml:space="preserve"> (</w:t>
      </w:r>
      <w:proofErr w:type="spellStart"/>
      <w:r>
        <w:t>HoLEP</w:t>
      </w:r>
      <w:proofErr w:type="spellEnd"/>
      <w:r>
        <w:t>)</w:t>
      </w:r>
      <w:r>
        <w:rPr>
          <w:iCs/>
        </w:rPr>
        <w:t xml:space="preserve"> and (potentially) any other minimally invasive procedures used to manage benign prostatic hyperplasia (BPH) in Australia.</w:t>
      </w:r>
    </w:p>
    <w:p w14:paraId="7A6F55D4" w14:textId="02953325" w:rsidR="00997AAB" w:rsidRPr="0017322B" w:rsidRDefault="00997AAB" w:rsidP="00997AAB">
      <w:pPr>
        <w:pStyle w:val="NormalBeforeBullet"/>
        <w:rPr>
          <w:rFonts w:ascii="Franklin Gothic Book" w:hAnsi="Franklin Gothic Book"/>
          <w:iCs/>
        </w:rPr>
      </w:pPr>
      <w:r w:rsidRPr="0017322B">
        <w:rPr>
          <w:rFonts w:ascii="Franklin Gothic Book" w:hAnsi="Franklin Gothic Book"/>
          <w:iCs/>
        </w:rPr>
        <w:t xml:space="preserve">MSAC considered that this review would allow </w:t>
      </w:r>
      <w:r w:rsidR="00B313CE">
        <w:rPr>
          <w:rFonts w:ascii="Franklin Gothic Book" w:hAnsi="Franklin Gothic Book"/>
          <w:iCs/>
        </w:rPr>
        <w:t>the Committee</w:t>
      </w:r>
      <w:r w:rsidRPr="0017322B">
        <w:rPr>
          <w:rFonts w:ascii="Franklin Gothic Book" w:hAnsi="Franklin Gothic Book"/>
          <w:iCs/>
        </w:rPr>
        <w:t xml:space="preserve"> to provide </w:t>
      </w:r>
      <w:r w:rsidR="00A83247">
        <w:rPr>
          <w:rFonts w:ascii="Franklin Gothic Book" w:hAnsi="Franklin Gothic Book"/>
          <w:iCs/>
        </w:rPr>
        <w:t>more comprehensive</w:t>
      </w:r>
      <w:r w:rsidRPr="0017322B">
        <w:rPr>
          <w:rFonts w:ascii="Franklin Gothic Book" w:hAnsi="Franklin Gothic Book"/>
          <w:iCs/>
        </w:rPr>
        <w:t xml:space="preserve"> advice to the Minister on which BPH procedures should be listed on the Medicare Benefits Schedule (MBS), and the appropriate fee for each</w:t>
      </w:r>
      <w:r w:rsidR="00A83247">
        <w:rPr>
          <w:rFonts w:ascii="Franklin Gothic Book" w:hAnsi="Franklin Gothic Book"/>
          <w:iCs/>
        </w:rPr>
        <w:t xml:space="preserve"> listed</w:t>
      </w:r>
      <w:r w:rsidRPr="0017322B">
        <w:rPr>
          <w:rFonts w:ascii="Franklin Gothic Book" w:hAnsi="Franklin Gothic Book"/>
          <w:iCs/>
        </w:rPr>
        <w:t xml:space="preserve"> procedure.</w:t>
      </w:r>
    </w:p>
    <w:p w14:paraId="6D2EF2F4" w14:textId="3349D829" w:rsidR="002811D5" w:rsidRDefault="00C36633" w:rsidP="002811D5">
      <w:pPr>
        <w:pStyle w:val="Heading2"/>
        <w:numPr>
          <w:ilvl w:val="0"/>
          <w:numId w:val="0"/>
        </w:numPr>
      </w:pPr>
      <w:bookmarkStart w:id="1" w:name="_Toc100150270"/>
      <w:r>
        <w:t>2.</w:t>
      </w:r>
      <w:r>
        <w:tab/>
      </w:r>
      <w:r w:rsidR="002811D5">
        <w:t>MSAC’s advice to the Minister</w:t>
      </w:r>
    </w:p>
    <w:p w14:paraId="5FA61F3B" w14:textId="7D51F69E" w:rsidR="00AB159A" w:rsidRDefault="00AB159A" w:rsidP="00AB159A">
      <w:pPr>
        <w:rPr>
          <w:szCs w:val="24"/>
        </w:rPr>
      </w:pPr>
      <w:r>
        <w:rPr>
          <w:szCs w:val="24"/>
        </w:rPr>
        <w:t xml:space="preserve">MSAC reviewed the evidence </w:t>
      </w:r>
      <w:r>
        <w:t>in relation to comparative safety, clinical effectiveness</w:t>
      </w:r>
      <w:r w:rsidR="00DD0870">
        <w:t>,</w:t>
      </w:r>
      <w:r>
        <w:t xml:space="preserve"> </w:t>
      </w:r>
      <w:proofErr w:type="gramStart"/>
      <w:r>
        <w:t>cost-effectiveness</w:t>
      </w:r>
      <w:proofErr w:type="gramEnd"/>
      <w:r>
        <w:rPr>
          <w:szCs w:val="24"/>
        </w:rPr>
        <w:t xml:space="preserve"> </w:t>
      </w:r>
      <w:r w:rsidR="00DD0870">
        <w:rPr>
          <w:szCs w:val="24"/>
        </w:rPr>
        <w:t xml:space="preserve">and total cost </w:t>
      </w:r>
      <w:r>
        <w:rPr>
          <w:szCs w:val="24"/>
        </w:rPr>
        <w:t xml:space="preserve">for minimally invasive therapeutic approaches used to manage patients with benign prostatic hyperplasia (BPH) to provide advice on procedures funded or proposed to be funded via the Medicare Benefits Schedule (MBS; MSAC applications 1586 and 1612). MSAC noted that in comparison to transurethral resection of the prostate (TURP), none of the minimally invasive procedures provide superior effectiveness but some may provide superior safety. MSAC noted there </w:t>
      </w:r>
      <w:r w:rsidR="00A83247">
        <w:rPr>
          <w:szCs w:val="24"/>
        </w:rPr>
        <w:t>is</w:t>
      </w:r>
      <w:r>
        <w:rPr>
          <w:szCs w:val="24"/>
        </w:rPr>
        <w:t xml:space="preserve"> a wide range of factors considered by clinicians and patients when choosing a procedure and that patients have different preferences when considering the balance between side effects and effectiveness. MSAC considered the existing MBS items for endoscopic enucleation</w:t>
      </w:r>
      <w:r w:rsidR="0060193F">
        <w:rPr>
          <w:szCs w:val="24"/>
        </w:rPr>
        <w:t xml:space="preserve"> (EEP)</w:t>
      </w:r>
      <w:r>
        <w:rPr>
          <w:szCs w:val="24"/>
        </w:rPr>
        <w:t xml:space="preserve"> and visual laser ablation of the prostate (VLAP) were appropriate but did not </w:t>
      </w:r>
      <w:r>
        <w:rPr>
          <w:szCs w:val="24"/>
        </w:rPr>
        <w:lastRenderedPageBreak/>
        <w:t xml:space="preserve">support repurposing the VLAP MBS item to create a general ablation item for treating BPH. MSAC considered the MBS item for transurethral microwave thermotherapy (TUMT) should be delisted </w:t>
      </w:r>
      <w:proofErr w:type="gramStart"/>
      <w:r>
        <w:rPr>
          <w:szCs w:val="24"/>
        </w:rPr>
        <w:t>on the basis of</w:t>
      </w:r>
      <w:proofErr w:type="gramEnd"/>
      <w:r>
        <w:rPr>
          <w:szCs w:val="24"/>
        </w:rPr>
        <w:t xml:space="preserve"> inferior effectiveness, non-inferior safety and low</w:t>
      </w:r>
      <w:r w:rsidR="00A83247">
        <w:rPr>
          <w:szCs w:val="24"/>
        </w:rPr>
        <w:t xml:space="preserve"> and </w:t>
      </w:r>
      <w:r w:rsidR="00A83247" w:rsidRPr="009E3A8B">
        <w:rPr>
          <w:szCs w:val="24"/>
        </w:rPr>
        <w:t>declining</w:t>
      </w:r>
      <w:r>
        <w:rPr>
          <w:szCs w:val="24"/>
        </w:rPr>
        <w:t xml:space="preserve"> service volume. MSAC supported creation of new MBS items for transurethral water vapour ablation (see MSAC application 1586) and prostatic urethral lift (see MSAC application 1612).</w:t>
      </w:r>
    </w:p>
    <w:tbl>
      <w:tblPr>
        <w:tblStyle w:val="TableGrid"/>
        <w:tblW w:w="0" w:type="auto"/>
        <w:tblLook w:val="04A0" w:firstRow="1" w:lastRow="0" w:firstColumn="1" w:lastColumn="0" w:noHBand="0" w:noVBand="1"/>
        <w:tblDescription w:val="Consumer summary of MSAC consideration"/>
      </w:tblPr>
      <w:tblGrid>
        <w:gridCol w:w="9016"/>
      </w:tblGrid>
      <w:tr w:rsidR="002811D5" w14:paraId="0AA5CAD7" w14:textId="77777777" w:rsidTr="002811D5">
        <w:trPr>
          <w:tblHeader/>
        </w:trPr>
        <w:tc>
          <w:tcPr>
            <w:tcW w:w="9016" w:type="dxa"/>
            <w:tcBorders>
              <w:top w:val="single" w:sz="4" w:space="0" w:color="auto"/>
              <w:left w:val="single" w:sz="4" w:space="0" w:color="auto"/>
              <w:bottom w:val="single" w:sz="4" w:space="0" w:color="auto"/>
              <w:right w:val="single" w:sz="4" w:space="0" w:color="auto"/>
            </w:tcBorders>
            <w:hideMark/>
          </w:tcPr>
          <w:p w14:paraId="473D02EB" w14:textId="77777777" w:rsidR="002811D5" w:rsidRPr="002811D5" w:rsidRDefault="002811D5">
            <w:pPr>
              <w:pStyle w:val="Default"/>
              <w:spacing w:before="120" w:after="120"/>
              <w:rPr>
                <w:rFonts w:ascii="Franklin Gothic Book" w:hAnsi="Franklin Gothic Book"/>
                <w:b/>
                <w:bCs/>
                <w:color w:val="auto"/>
                <w:sz w:val="22"/>
                <w:szCs w:val="22"/>
              </w:rPr>
            </w:pPr>
            <w:r w:rsidRPr="002811D5">
              <w:rPr>
                <w:rFonts w:ascii="Franklin Gothic Book" w:hAnsi="Franklin Gothic Book"/>
                <w:b/>
                <w:bCs/>
                <w:color w:val="auto"/>
                <w:sz w:val="22"/>
                <w:szCs w:val="22"/>
              </w:rPr>
              <w:t>Consumer summary</w:t>
            </w:r>
          </w:p>
        </w:tc>
      </w:tr>
      <w:tr w:rsidR="002811D5" w14:paraId="770DBAF0" w14:textId="77777777" w:rsidTr="002811D5">
        <w:tc>
          <w:tcPr>
            <w:tcW w:w="9016" w:type="dxa"/>
            <w:tcBorders>
              <w:top w:val="single" w:sz="4" w:space="0" w:color="auto"/>
              <w:left w:val="single" w:sz="4" w:space="0" w:color="auto"/>
              <w:bottom w:val="single" w:sz="4" w:space="0" w:color="auto"/>
              <w:right w:val="single" w:sz="4" w:space="0" w:color="auto"/>
            </w:tcBorders>
            <w:hideMark/>
          </w:tcPr>
          <w:p w14:paraId="47929845" w14:textId="48C7D95B" w:rsidR="00AB159A" w:rsidRPr="00AB159A" w:rsidRDefault="00AB159A" w:rsidP="00AB159A">
            <w:pPr>
              <w:pStyle w:val="Default"/>
              <w:spacing w:after="240"/>
              <w:rPr>
                <w:rFonts w:ascii="Franklin Gothic Book" w:hAnsi="Franklin Gothic Book"/>
                <w:iCs/>
                <w:color w:val="auto"/>
                <w:sz w:val="22"/>
                <w:szCs w:val="22"/>
              </w:rPr>
            </w:pPr>
            <w:r w:rsidRPr="00AB159A">
              <w:rPr>
                <w:rFonts w:ascii="Franklin Gothic Book" w:hAnsi="Franklin Gothic Book"/>
                <w:iCs/>
                <w:color w:val="auto"/>
                <w:sz w:val="22"/>
                <w:szCs w:val="22"/>
              </w:rPr>
              <w:t xml:space="preserve">This application was a request from MSAC to review the effectiveness, </w:t>
            </w:r>
            <w:proofErr w:type="gramStart"/>
            <w:r w:rsidRPr="00AB159A">
              <w:rPr>
                <w:rFonts w:ascii="Franklin Gothic Book" w:hAnsi="Franklin Gothic Book"/>
                <w:iCs/>
                <w:color w:val="auto"/>
                <w:sz w:val="22"/>
                <w:szCs w:val="22"/>
              </w:rPr>
              <w:t>safety</w:t>
            </w:r>
            <w:proofErr w:type="gramEnd"/>
            <w:r w:rsidRPr="00AB159A">
              <w:rPr>
                <w:rFonts w:ascii="Franklin Gothic Book" w:hAnsi="Franklin Gothic Book"/>
                <w:iCs/>
                <w:color w:val="auto"/>
                <w:sz w:val="22"/>
                <w:szCs w:val="22"/>
              </w:rPr>
              <w:t xml:space="preserve"> and cost-effectiveness of different minimally invasive therapeutic procedures for the management of patients with benign prostatic hyperplasia (BPH)</w:t>
            </w:r>
            <w:r w:rsidR="00655F64">
              <w:rPr>
                <w:rFonts w:ascii="Franklin Gothic Book" w:hAnsi="Franklin Gothic Book"/>
                <w:iCs/>
                <w:color w:val="auto"/>
                <w:sz w:val="22"/>
                <w:szCs w:val="22"/>
              </w:rPr>
              <w:t xml:space="preserve"> in Australia</w:t>
            </w:r>
            <w:r w:rsidRPr="00AB159A">
              <w:rPr>
                <w:rFonts w:ascii="Franklin Gothic Book" w:hAnsi="Franklin Gothic Book"/>
                <w:iCs/>
                <w:color w:val="auto"/>
                <w:sz w:val="22"/>
                <w:szCs w:val="22"/>
              </w:rPr>
              <w:t>.</w:t>
            </w:r>
          </w:p>
          <w:p w14:paraId="5DE87D49" w14:textId="78515593" w:rsidR="00AB159A" w:rsidRDefault="00AB159A" w:rsidP="00AB159A">
            <w:pPr>
              <w:pStyle w:val="Default"/>
              <w:spacing w:after="240"/>
              <w:rPr>
                <w:rFonts w:ascii="Franklin Gothic Book" w:hAnsi="Franklin Gothic Book"/>
                <w:iCs/>
                <w:color w:val="auto"/>
                <w:sz w:val="22"/>
                <w:szCs w:val="22"/>
              </w:rPr>
            </w:pPr>
            <w:r w:rsidRPr="00AB159A">
              <w:rPr>
                <w:rFonts w:ascii="Franklin Gothic Book" w:hAnsi="Franklin Gothic Book"/>
                <w:iCs/>
                <w:color w:val="auto"/>
                <w:sz w:val="22"/>
                <w:szCs w:val="22"/>
              </w:rPr>
              <w:t>BPH, also called prostate enlargement, is a non-cancerous enlargement of the prostate gland</w:t>
            </w:r>
            <w:r w:rsidR="006852CA">
              <w:rPr>
                <w:rFonts w:ascii="Franklin Gothic Book" w:hAnsi="Franklin Gothic Book"/>
                <w:iCs/>
                <w:color w:val="auto"/>
                <w:sz w:val="22"/>
                <w:szCs w:val="22"/>
              </w:rPr>
              <w:t xml:space="preserve"> </w:t>
            </w:r>
            <w:r w:rsidR="002210B1">
              <w:rPr>
                <w:rFonts w:ascii="Franklin Gothic Book" w:hAnsi="Franklin Gothic Book"/>
                <w:iCs/>
                <w:color w:val="auto"/>
                <w:sz w:val="22"/>
                <w:szCs w:val="22"/>
              </w:rPr>
              <w:t>that occurs</w:t>
            </w:r>
            <w:r w:rsidRPr="00AB159A">
              <w:rPr>
                <w:rFonts w:ascii="Franklin Gothic Book" w:hAnsi="Franklin Gothic Book"/>
                <w:iCs/>
                <w:color w:val="auto"/>
                <w:sz w:val="22"/>
                <w:szCs w:val="22"/>
              </w:rPr>
              <w:t xml:space="preserve"> as a natural part of ageing. </w:t>
            </w:r>
            <w:r w:rsidR="00655F64">
              <w:rPr>
                <w:rFonts w:ascii="Franklin Gothic Book" w:hAnsi="Franklin Gothic Book"/>
                <w:iCs/>
                <w:color w:val="auto"/>
                <w:sz w:val="22"/>
                <w:szCs w:val="22"/>
              </w:rPr>
              <w:t xml:space="preserve">The urethra is a thin tube that allows urine to flow from the bladder and out of the </w:t>
            </w:r>
            <w:r w:rsidR="006A1F29">
              <w:rPr>
                <w:rFonts w:ascii="Franklin Gothic Book" w:hAnsi="Franklin Gothic Book"/>
                <w:iCs/>
                <w:color w:val="auto"/>
                <w:sz w:val="22"/>
                <w:szCs w:val="22"/>
              </w:rPr>
              <w:t>body</w:t>
            </w:r>
            <w:r w:rsidR="00655F64">
              <w:rPr>
                <w:rFonts w:ascii="Franklin Gothic Book" w:hAnsi="Franklin Gothic Book"/>
                <w:iCs/>
                <w:color w:val="auto"/>
                <w:sz w:val="22"/>
                <w:szCs w:val="22"/>
              </w:rPr>
              <w:t xml:space="preserve">. As the urethra runs through the prostate, </w:t>
            </w:r>
            <w:r w:rsidRPr="00AB159A">
              <w:rPr>
                <w:rFonts w:ascii="Franklin Gothic Book" w:hAnsi="Franklin Gothic Book"/>
                <w:iCs/>
                <w:color w:val="auto"/>
                <w:sz w:val="22"/>
                <w:szCs w:val="22"/>
              </w:rPr>
              <w:t xml:space="preserve">BPH can cause symptoms such as </w:t>
            </w:r>
            <w:r w:rsidR="006852CA">
              <w:rPr>
                <w:rFonts w:ascii="Franklin Gothic Book" w:hAnsi="Franklin Gothic Book"/>
                <w:iCs/>
                <w:color w:val="auto"/>
                <w:sz w:val="22"/>
                <w:szCs w:val="22"/>
              </w:rPr>
              <w:t>needing</w:t>
            </w:r>
            <w:r w:rsidRPr="00AB159A">
              <w:rPr>
                <w:rFonts w:ascii="Franklin Gothic Book" w:hAnsi="Franklin Gothic Book"/>
                <w:iCs/>
                <w:color w:val="auto"/>
                <w:sz w:val="22"/>
                <w:szCs w:val="22"/>
              </w:rPr>
              <w:t xml:space="preserve"> to urinate</w:t>
            </w:r>
            <w:r w:rsidR="006852CA">
              <w:rPr>
                <w:rFonts w:ascii="Franklin Gothic Book" w:hAnsi="Franklin Gothic Book"/>
                <w:iCs/>
                <w:color w:val="auto"/>
                <w:sz w:val="22"/>
                <w:szCs w:val="22"/>
              </w:rPr>
              <w:t xml:space="preserve"> frequently</w:t>
            </w:r>
            <w:r w:rsidRPr="00AB159A">
              <w:rPr>
                <w:rFonts w:ascii="Franklin Gothic Book" w:hAnsi="Franklin Gothic Book"/>
                <w:iCs/>
                <w:color w:val="auto"/>
                <w:sz w:val="22"/>
                <w:szCs w:val="22"/>
              </w:rPr>
              <w:t xml:space="preserve">, difficulty starting or stopping urination, a weak </w:t>
            </w:r>
            <w:r w:rsidR="0060193F">
              <w:rPr>
                <w:rFonts w:ascii="Franklin Gothic Book" w:hAnsi="Franklin Gothic Book"/>
                <w:iCs/>
                <w:color w:val="auto"/>
                <w:sz w:val="22"/>
                <w:szCs w:val="22"/>
              </w:rPr>
              <w:t xml:space="preserve">urinary </w:t>
            </w:r>
            <w:r w:rsidRPr="00AB159A">
              <w:rPr>
                <w:rFonts w:ascii="Franklin Gothic Book" w:hAnsi="Franklin Gothic Book"/>
                <w:iCs/>
                <w:color w:val="auto"/>
                <w:sz w:val="22"/>
                <w:szCs w:val="22"/>
              </w:rPr>
              <w:t>stream, the inability to urinate, and/or loss of bladder control</w:t>
            </w:r>
            <w:r w:rsidR="00584C88">
              <w:rPr>
                <w:rFonts w:ascii="Franklin Gothic Book" w:hAnsi="Franklin Gothic Book"/>
                <w:iCs/>
                <w:color w:val="auto"/>
                <w:sz w:val="22"/>
                <w:szCs w:val="22"/>
              </w:rPr>
              <w:t xml:space="preserve">, which can impact </w:t>
            </w:r>
            <w:r w:rsidR="00600315">
              <w:rPr>
                <w:rFonts w:ascii="Franklin Gothic Book" w:hAnsi="Franklin Gothic Book"/>
                <w:iCs/>
                <w:color w:val="auto"/>
                <w:sz w:val="22"/>
                <w:szCs w:val="22"/>
              </w:rPr>
              <w:t xml:space="preserve">on </w:t>
            </w:r>
            <w:r w:rsidR="00584C88">
              <w:rPr>
                <w:rFonts w:ascii="Franklin Gothic Book" w:hAnsi="Franklin Gothic Book"/>
                <w:iCs/>
                <w:color w:val="auto"/>
                <w:sz w:val="22"/>
                <w:szCs w:val="22"/>
              </w:rPr>
              <w:t>a patient’s quality of life.</w:t>
            </w:r>
          </w:p>
          <w:p w14:paraId="171A245A" w14:textId="03611A70" w:rsidR="00600315" w:rsidRDefault="00655F64" w:rsidP="00AB159A">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T</w:t>
            </w:r>
            <w:r w:rsidRPr="00655F64">
              <w:rPr>
                <w:rFonts w:ascii="Franklin Gothic Book" w:hAnsi="Franklin Gothic Book"/>
                <w:iCs/>
                <w:color w:val="auto"/>
                <w:sz w:val="22"/>
                <w:szCs w:val="22"/>
              </w:rPr>
              <w:t>ransurethral resection of the prostate (TURP</w:t>
            </w:r>
            <w:r>
              <w:rPr>
                <w:rFonts w:ascii="Franklin Gothic Book" w:hAnsi="Franklin Gothic Book"/>
                <w:iCs/>
                <w:color w:val="auto"/>
                <w:sz w:val="22"/>
                <w:szCs w:val="22"/>
              </w:rPr>
              <w:t>)</w:t>
            </w:r>
            <w:r w:rsidRPr="00655F64">
              <w:rPr>
                <w:rFonts w:ascii="Franklin Gothic Book" w:hAnsi="Franklin Gothic Book"/>
                <w:iCs/>
                <w:color w:val="auto"/>
                <w:sz w:val="22"/>
                <w:szCs w:val="22"/>
              </w:rPr>
              <w:t xml:space="preserve"> is </w:t>
            </w:r>
            <w:r>
              <w:rPr>
                <w:rFonts w:ascii="Franklin Gothic Book" w:hAnsi="Franklin Gothic Book"/>
                <w:iCs/>
                <w:color w:val="auto"/>
                <w:sz w:val="22"/>
                <w:szCs w:val="22"/>
              </w:rPr>
              <w:t xml:space="preserve">type of </w:t>
            </w:r>
            <w:r w:rsidRPr="00655F64">
              <w:rPr>
                <w:rFonts w:ascii="Franklin Gothic Book" w:hAnsi="Franklin Gothic Book"/>
                <w:iCs/>
                <w:color w:val="auto"/>
                <w:sz w:val="22"/>
                <w:szCs w:val="22"/>
              </w:rPr>
              <w:t xml:space="preserve">surgery </w:t>
            </w:r>
            <w:r>
              <w:rPr>
                <w:rFonts w:ascii="Franklin Gothic Book" w:hAnsi="Franklin Gothic Book"/>
                <w:iCs/>
                <w:color w:val="auto"/>
                <w:sz w:val="22"/>
                <w:szCs w:val="22"/>
              </w:rPr>
              <w:t>where the prostate tissue is cut out piece by piece and flushed out</w:t>
            </w:r>
            <w:r w:rsidR="00A83247">
              <w:rPr>
                <w:rFonts w:ascii="Franklin Gothic Book" w:hAnsi="Franklin Gothic Book"/>
                <w:iCs/>
                <w:color w:val="auto"/>
                <w:sz w:val="22"/>
                <w:szCs w:val="22"/>
              </w:rPr>
              <w:t xml:space="preserve"> of the body</w:t>
            </w:r>
            <w:r>
              <w:rPr>
                <w:rFonts w:ascii="Franklin Gothic Book" w:hAnsi="Franklin Gothic Book"/>
                <w:iCs/>
                <w:color w:val="auto"/>
                <w:sz w:val="22"/>
                <w:szCs w:val="22"/>
              </w:rPr>
              <w:t xml:space="preserve"> via the urethra. </w:t>
            </w:r>
            <w:r w:rsidRPr="00AB159A">
              <w:rPr>
                <w:rFonts w:ascii="Franklin Gothic Book" w:hAnsi="Franklin Gothic Book"/>
                <w:iCs/>
                <w:color w:val="auto"/>
                <w:sz w:val="22"/>
                <w:szCs w:val="22"/>
              </w:rPr>
              <w:t xml:space="preserve">TURP is considered the gold standard treatment for BPH, and it is the treatment used most often because it is very effective and safe. However, </w:t>
            </w:r>
            <w:r>
              <w:rPr>
                <w:rFonts w:ascii="Franklin Gothic Book" w:hAnsi="Franklin Gothic Book"/>
                <w:iCs/>
                <w:color w:val="auto"/>
                <w:sz w:val="22"/>
                <w:szCs w:val="22"/>
              </w:rPr>
              <w:t xml:space="preserve">patients may prefer alternative procedures that </w:t>
            </w:r>
            <w:r w:rsidRPr="00AB159A">
              <w:rPr>
                <w:rFonts w:ascii="Franklin Gothic Book" w:hAnsi="Franklin Gothic Book"/>
                <w:iCs/>
                <w:color w:val="auto"/>
                <w:sz w:val="22"/>
                <w:szCs w:val="22"/>
              </w:rPr>
              <w:t xml:space="preserve">are not as invasive as TURP. </w:t>
            </w:r>
          </w:p>
          <w:p w14:paraId="27CE5BAF" w14:textId="634CDF29" w:rsidR="00655F64" w:rsidRPr="00AB159A" w:rsidRDefault="00655F64" w:rsidP="00AB159A">
            <w:pPr>
              <w:pStyle w:val="Default"/>
              <w:spacing w:after="240"/>
              <w:rPr>
                <w:rFonts w:ascii="Franklin Gothic Book" w:hAnsi="Franklin Gothic Book"/>
                <w:iCs/>
                <w:color w:val="auto"/>
                <w:sz w:val="22"/>
                <w:szCs w:val="22"/>
              </w:rPr>
            </w:pPr>
            <w:r w:rsidRPr="00AB159A">
              <w:rPr>
                <w:rFonts w:ascii="Franklin Gothic Book" w:hAnsi="Franklin Gothic Book"/>
                <w:iCs/>
                <w:color w:val="auto"/>
                <w:sz w:val="22"/>
                <w:szCs w:val="22"/>
              </w:rPr>
              <w:t xml:space="preserve">This review compared these minimally invasive procedures to TURP to see if they were as effective, </w:t>
            </w:r>
            <w:proofErr w:type="gramStart"/>
            <w:r w:rsidRPr="00AB159A">
              <w:rPr>
                <w:rFonts w:ascii="Franklin Gothic Book" w:hAnsi="Franklin Gothic Book"/>
                <w:iCs/>
                <w:color w:val="auto"/>
                <w:sz w:val="22"/>
                <w:szCs w:val="22"/>
              </w:rPr>
              <w:t>safe</w:t>
            </w:r>
            <w:proofErr w:type="gramEnd"/>
            <w:r w:rsidRPr="00AB159A">
              <w:rPr>
                <w:rFonts w:ascii="Franklin Gothic Book" w:hAnsi="Franklin Gothic Book"/>
                <w:iCs/>
                <w:color w:val="auto"/>
                <w:sz w:val="22"/>
                <w:szCs w:val="22"/>
              </w:rPr>
              <w:t xml:space="preserve"> and cost-effective.</w:t>
            </w:r>
          </w:p>
          <w:p w14:paraId="3B1B3AC7" w14:textId="3348E876" w:rsidR="00AB159A" w:rsidRPr="00AB159A" w:rsidRDefault="00AB159A" w:rsidP="00FF160F">
            <w:pPr>
              <w:pStyle w:val="Default"/>
              <w:spacing w:after="120"/>
              <w:rPr>
                <w:rFonts w:ascii="Franklin Gothic Book" w:hAnsi="Franklin Gothic Book"/>
                <w:iCs/>
                <w:color w:val="auto"/>
                <w:sz w:val="22"/>
                <w:szCs w:val="22"/>
              </w:rPr>
            </w:pPr>
            <w:r w:rsidRPr="00AB159A">
              <w:rPr>
                <w:rFonts w:ascii="Franklin Gothic Book" w:hAnsi="Franklin Gothic Book"/>
                <w:iCs/>
                <w:color w:val="auto"/>
                <w:sz w:val="22"/>
                <w:szCs w:val="22"/>
              </w:rPr>
              <w:t xml:space="preserve">The </w:t>
            </w:r>
            <w:r w:rsidR="00655F64">
              <w:rPr>
                <w:rFonts w:ascii="Franklin Gothic Book" w:hAnsi="Franklin Gothic Book"/>
                <w:iCs/>
                <w:color w:val="auto"/>
                <w:sz w:val="22"/>
                <w:szCs w:val="22"/>
              </w:rPr>
              <w:t xml:space="preserve">minimally invasive </w:t>
            </w:r>
            <w:r w:rsidRPr="00AB159A">
              <w:rPr>
                <w:rFonts w:ascii="Franklin Gothic Book" w:hAnsi="Franklin Gothic Book"/>
                <w:iCs/>
                <w:color w:val="auto"/>
                <w:sz w:val="22"/>
                <w:szCs w:val="22"/>
              </w:rPr>
              <w:t>procedures reviewed were:</w:t>
            </w:r>
          </w:p>
          <w:p w14:paraId="42D2F542" w14:textId="039C26CB" w:rsidR="006A1F29" w:rsidRPr="00AB159A" w:rsidRDefault="00655F64" w:rsidP="00FF160F">
            <w:pPr>
              <w:pStyle w:val="Default"/>
              <w:numPr>
                <w:ilvl w:val="0"/>
                <w:numId w:val="47"/>
              </w:numPr>
              <w:spacing w:after="120"/>
              <w:rPr>
                <w:rFonts w:ascii="Franklin Gothic Book" w:hAnsi="Franklin Gothic Book"/>
                <w:iCs/>
                <w:color w:val="auto"/>
                <w:sz w:val="22"/>
                <w:szCs w:val="22"/>
              </w:rPr>
            </w:pPr>
            <w:r w:rsidRPr="006A1F29">
              <w:rPr>
                <w:rFonts w:ascii="Franklin Gothic Book" w:hAnsi="Franklin Gothic Book"/>
                <w:iCs/>
                <w:color w:val="auto"/>
                <w:sz w:val="22"/>
                <w:szCs w:val="22"/>
              </w:rPr>
              <w:t xml:space="preserve">endoscopic </w:t>
            </w:r>
            <w:r w:rsidR="002210B1" w:rsidRPr="006A1F29">
              <w:rPr>
                <w:rFonts w:ascii="Franklin Gothic Book" w:hAnsi="Franklin Gothic Book"/>
                <w:iCs/>
                <w:color w:val="auto"/>
                <w:sz w:val="22"/>
                <w:szCs w:val="22"/>
              </w:rPr>
              <w:t>enucleation</w:t>
            </w:r>
            <w:r w:rsidRPr="006A1F29">
              <w:rPr>
                <w:rFonts w:ascii="Franklin Gothic Book" w:hAnsi="Franklin Gothic Book"/>
                <w:iCs/>
                <w:color w:val="auto"/>
                <w:sz w:val="22"/>
                <w:szCs w:val="22"/>
              </w:rPr>
              <w:t xml:space="preserve"> (EEP), </w:t>
            </w:r>
            <w:r w:rsidR="006A1F29" w:rsidRPr="006A1F29">
              <w:rPr>
                <w:rFonts w:ascii="Franklin Gothic Book" w:hAnsi="Franklin Gothic Book"/>
                <w:iCs/>
                <w:color w:val="auto"/>
                <w:sz w:val="22"/>
                <w:szCs w:val="22"/>
              </w:rPr>
              <w:t>which uses a laser to remove part of the enlarge</w:t>
            </w:r>
            <w:r w:rsidR="006A1F29">
              <w:rPr>
                <w:rFonts w:ascii="Franklin Gothic Book" w:hAnsi="Franklin Gothic Book"/>
                <w:iCs/>
                <w:color w:val="auto"/>
                <w:sz w:val="22"/>
                <w:szCs w:val="22"/>
              </w:rPr>
              <w:t>d</w:t>
            </w:r>
            <w:r w:rsidR="006A1F29" w:rsidRPr="006A1F29">
              <w:rPr>
                <w:rFonts w:ascii="Franklin Gothic Book" w:hAnsi="Franklin Gothic Book"/>
                <w:iCs/>
                <w:color w:val="auto"/>
                <w:sz w:val="22"/>
                <w:szCs w:val="22"/>
              </w:rPr>
              <w:t xml:space="preserve"> prostate</w:t>
            </w:r>
            <w:r w:rsidR="006A1F29" w:rsidRPr="006A1F29" w:rsidDel="00655F64">
              <w:rPr>
                <w:rFonts w:ascii="Franklin Gothic Book" w:hAnsi="Franklin Gothic Book"/>
                <w:iCs/>
                <w:color w:val="auto"/>
                <w:sz w:val="22"/>
                <w:szCs w:val="22"/>
              </w:rPr>
              <w:t xml:space="preserve"> </w:t>
            </w:r>
          </w:p>
          <w:p w14:paraId="34726274" w14:textId="49450A31" w:rsidR="006A1F29" w:rsidRDefault="00AB159A" w:rsidP="00FF160F">
            <w:pPr>
              <w:pStyle w:val="Default"/>
              <w:numPr>
                <w:ilvl w:val="0"/>
                <w:numId w:val="47"/>
              </w:numPr>
              <w:spacing w:after="120"/>
              <w:rPr>
                <w:rFonts w:ascii="Franklin Gothic Book" w:hAnsi="Franklin Gothic Book"/>
                <w:iCs/>
                <w:color w:val="auto"/>
                <w:sz w:val="22"/>
                <w:szCs w:val="22"/>
              </w:rPr>
            </w:pPr>
            <w:r w:rsidRPr="006A1F29">
              <w:rPr>
                <w:rFonts w:ascii="Franklin Gothic Book" w:hAnsi="Franklin Gothic Book"/>
                <w:iCs/>
                <w:color w:val="auto"/>
                <w:sz w:val="22"/>
                <w:szCs w:val="22"/>
              </w:rPr>
              <w:t>prostatic urethral lift (PUL), which uses implants to pull and lift the enlarge</w:t>
            </w:r>
            <w:r w:rsidR="006A1F29">
              <w:rPr>
                <w:rFonts w:ascii="Franklin Gothic Book" w:hAnsi="Franklin Gothic Book"/>
                <w:iCs/>
                <w:color w:val="auto"/>
                <w:sz w:val="22"/>
                <w:szCs w:val="22"/>
              </w:rPr>
              <w:t>d</w:t>
            </w:r>
            <w:r w:rsidRPr="006A1F29">
              <w:rPr>
                <w:rFonts w:ascii="Franklin Gothic Book" w:hAnsi="Franklin Gothic Book"/>
                <w:iCs/>
                <w:color w:val="auto"/>
                <w:sz w:val="22"/>
                <w:szCs w:val="22"/>
              </w:rPr>
              <w:t xml:space="preserve"> prostate into a better position</w:t>
            </w:r>
          </w:p>
          <w:p w14:paraId="13024192" w14:textId="0BA783A7" w:rsidR="00655F64" w:rsidRPr="006A1F29" w:rsidRDefault="00655F64" w:rsidP="00FF160F">
            <w:pPr>
              <w:pStyle w:val="Default"/>
              <w:numPr>
                <w:ilvl w:val="0"/>
                <w:numId w:val="47"/>
              </w:numPr>
              <w:spacing w:after="120"/>
              <w:rPr>
                <w:rFonts w:ascii="Franklin Gothic Book" w:hAnsi="Franklin Gothic Book"/>
                <w:iCs/>
                <w:color w:val="auto"/>
                <w:sz w:val="22"/>
                <w:szCs w:val="22"/>
              </w:rPr>
            </w:pPr>
            <w:r w:rsidRPr="006A1F29">
              <w:rPr>
                <w:rFonts w:ascii="Franklin Gothic Book" w:hAnsi="Franklin Gothic Book"/>
                <w:iCs/>
                <w:color w:val="auto"/>
                <w:sz w:val="22"/>
                <w:szCs w:val="22"/>
              </w:rPr>
              <w:t>transurethral microwave thermotherapy (TUMT), which uses heat to remove part of the enlarged prostate</w:t>
            </w:r>
          </w:p>
          <w:p w14:paraId="1FB9F6DE" w14:textId="78A4E180" w:rsidR="006A1F29" w:rsidRPr="00AB159A" w:rsidRDefault="00655F64" w:rsidP="00FF160F">
            <w:pPr>
              <w:pStyle w:val="Default"/>
              <w:numPr>
                <w:ilvl w:val="0"/>
                <w:numId w:val="47"/>
              </w:numPr>
              <w:spacing w:after="120"/>
              <w:rPr>
                <w:rFonts w:ascii="Franklin Gothic Book" w:hAnsi="Franklin Gothic Book"/>
                <w:iCs/>
                <w:color w:val="auto"/>
                <w:sz w:val="22"/>
                <w:szCs w:val="22"/>
              </w:rPr>
            </w:pPr>
            <w:r w:rsidRPr="006A1F29">
              <w:rPr>
                <w:rFonts w:ascii="Franklin Gothic Book" w:hAnsi="Franklin Gothic Book"/>
                <w:iCs/>
                <w:color w:val="auto"/>
                <w:sz w:val="22"/>
                <w:szCs w:val="22"/>
              </w:rPr>
              <w:t>transurethral water vapour ablation (TUWA), which uses water vapour to remove part of the enlarged prostate</w:t>
            </w:r>
          </w:p>
          <w:p w14:paraId="5355F0EA" w14:textId="6C0AFDCD" w:rsidR="00AB159A" w:rsidRPr="006A1F29" w:rsidRDefault="00AB159A" w:rsidP="00FF160F">
            <w:pPr>
              <w:pStyle w:val="Default"/>
              <w:numPr>
                <w:ilvl w:val="0"/>
                <w:numId w:val="47"/>
              </w:numPr>
              <w:spacing w:after="120"/>
              <w:rPr>
                <w:rFonts w:ascii="Franklin Gothic Book" w:hAnsi="Franklin Gothic Book"/>
                <w:iCs/>
                <w:color w:val="auto"/>
                <w:sz w:val="22"/>
                <w:szCs w:val="22"/>
              </w:rPr>
            </w:pPr>
            <w:r w:rsidRPr="006A1F29">
              <w:rPr>
                <w:rFonts w:ascii="Franklin Gothic Book" w:hAnsi="Franklin Gothic Book"/>
                <w:iCs/>
                <w:color w:val="auto"/>
                <w:sz w:val="22"/>
                <w:szCs w:val="22"/>
              </w:rPr>
              <w:t>visual laser ablation of the prostate (VLAP), which uses a laser to remove part of the enlarge</w:t>
            </w:r>
            <w:r w:rsidR="006A1F29">
              <w:rPr>
                <w:rFonts w:ascii="Franklin Gothic Book" w:hAnsi="Franklin Gothic Book"/>
                <w:iCs/>
                <w:color w:val="auto"/>
                <w:sz w:val="22"/>
                <w:szCs w:val="22"/>
              </w:rPr>
              <w:t>d</w:t>
            </w:r>
            <w:r w:rsidRPr="006A1F29">
              <w:rPr>
                <w:rFonts w:ascii="Franklin Gothic Book" w:hAnsi="Franklin Gothic Book"/>
                <w:iCs/>
                <w:color w:val="auto"/>
                <w:sz w:val="22"/>
                <w:szCs w:val="22"/>
              </w:rPr>
              <w:t xml:space="preserve"> prostate</w:t>
            </w:r>
            <w:r w:rsidR="006A1F29">
              <w:rPr>
                <w:rFonts w:ascii="Franklin Gothic Book" w:hAnsi="Franklin Gothic Book"/>
                <w:iCs/>
                <w:color w:val="auto"/>
                <w:sz w:val="22"/>
                <w:szCs w:val="22"/>
              </w:rPr>
              <w:t>.</w:t>
            </w:r>
            <w:r w:rsidRPr="006A1F29">
              <w:rPr>
                <w:rFonts w:ascii="Franklin Gothic Book" w:hAnsi="Franklin Gothic Book"/>
                <w:iCs/>
                <w:color w:val="auto"/>
                <w:sz w:val="22"/>
                <w:szCs w:val="22"/>
              </w:rPr>
              <w:t xml:space="preserve"> </w:t>
            </w:r>
            <w:r w:rsidRPr="006A1F29">
              <w:rPr>
                <w:rFonts w:ascii="Franklin Gothic Book" w:hAnsi="Franklin Gothic Book"/>
                <w:iCs/>
                <w:color w:val="auto"/>
                <w:sz w:val="22"/>
                <w:szCs w:val="22"/>
              </w:rPr>
              <w:tab/>
            </w:r>
          </w:p>
          <w:p w14:paraId="0914A758" w14:textId="14FE1729" w:rsidR="00AB159A" w:rsidRPr="00AB159A" w:rsidRDefault="00AB159A" w:rsidP="00AB159A">
            <w:pPr>
              <w:pStyle w:val="Default"/>
              <w:spacing w:after="240"/>
              <w:rPr>
                <w:rFonts w:ascii="Franklin Gothic Book" w:hAnsi="Franklin Gothic Book"/>
                <w:iCs/>
                <w:color w:val="auto"/>
                <w:sz w:val="22"/>
                <w:szCs w:val="22"/>
              </w:rPr>
            </w:pPr>
            <w:r w:rsidRPr="00AB159A">
              <w:rPr>
                <w:rFonts w:ascii="Franklin Gothic Book" w:hAnsi="Franklin Gothic Book"/>
                <w:iCs/>
                <w:color w:val="auto"/>
                <w:sz w:val="22"/>
                <w:szCs w:val="22"/>
              </w:rPr>
              <w:t xml:space="preserve">MSAC noted that none of the minimally invasive procedures were more effective than TURP, but some may be safer. </w:t>
            </w:r>
            <w:r w:rsidR="00C4232B">
              <w:rPr>
                <w:rFonts w:ascii="Franklin Gothic Book" w:hAnsi="Franklin Gothic Book"/>
                <w:iCs/>
                <w:color w:val="auto"/>
                <w:sz w:val="22"/>
                <w:szCs w:val="22"/>
              </w:rPr>
              <w:t>Each BPH</w:t>
            </w:r>
            <w:r w:rsidR="00C4232B" w:rsidRPr="00AB159A">
              <w:rPr>
                <w:rFonts w:ascii="Franklin Gothic Book" w:hAnsi="Franklin Gothic Book"/>
                <w:iCs/>
                <w:color w:val="auto"/>
                <w:sz w:val="22"/>
                <w:szCs w:val="22"/>
              </w:rPr>
              <w:t xml:space="preserve"> </w:t>
            </w:r>
            <w:r w:rsidRPr="00AB159A">
              <w:rPr>
                <w:rFonts w:ascii="Franklin Gothic Book" w:hAnsi="Franklin Gothic Book"/>
                <w:iCs/>
                <w:color w:val="auto"/>
                <w:sz w:val="22"/>
                <w:szCs w:val="22"/>
              </w:rPr>
              <w:t>treatment ha</w:t>
            </w:r>
            <w:r w:rsidR="00C4232B">
              <w:rPr>
                <w:rFonts w:ascii="Franklin Gothic Book" w:hAnsi="Franklin Gothic Book"/>
                <w:iCs/>
                <w:color w:val="auto"/>
                <w:sz w:val="22"/>
                <w:szCs w:val="22"/>
              </w:rPr>
              <w:t>s</w:t>
            </w:r>
            <w:r w:rsidRPr="00AB159A">
              <w:rPr>
                <w:rFonts w:ascii="Franklin Gothic Book" w:hAnsi="Franklin Gothic Book"/>
                <w:iCs/>
                <w:color w:val="auto"/>
                <w:sz w:val="22"/>
                <w:szCs w:val="22"/>
              </w:rPr>
              <w:t xml:space="preserve"> different side effects and long-term effectiveness</w:t>
            </w:r>
            <w:r w:rsidR="00C4232B">
              <w:rPr>
                <w:rFonts w:ascii="Franklin Gothic Book" w:hAnsi="Franklin Gothic Book"/>
                <w:iCs/>
                <w:color w:val="auto"/>
                <w:sz w:val="22"/>
                <w:szCs w:val="22"/>
              </w:rPr>
              <w:t xml:space="preserve"> compared to TURP</w:t>
            </w:r>
            <w:r w:rsidR="006A1F29">
              <w:rPr>
                <w:rFonts w:ascii="Franklin Gothic Book" w:hAnsi="Franklin Gothic Book"/>
                <w:iCs/>
                <w:color w:val="auto"/>
                <w:sz w:val="22"/>
                <w:szCs w:val="22"/>
              </w:rPr>
              <w:t xml:space="preserve">. MSAC noted there was a trade-off between how well </w:t>
            </w:r>
            <w:r w:rsidR="00A83247">
              <w:rPr>
                <w:rFonts w:ascii="Franklin Gothic Book" w:hAnsi="Franklin Gothic Book"/>
                <w:iCs/>
                <w:color w:val="auto"/>
                <w:sz w:val="22"/>
                <w:szCs w:val="22"/>
              </w:rPr>
              <w:t xml:space="preserve">each </w:t>
            </w:r>
            <w:r w:rsidR="006A1F29">
              <w:rPr>
                <w:rFonts w:ascii="Franklin Gothic Book" w:hAnsi="Franklin Gothic Book"/>
                <w:iCs/>
                <w:color w:val="auto"/>
                <w:sz w:val="22"/>
                <w:szCs w:val="22"/>
              </w:rPr>
              <w:t>procedure work</w:t>
            </w:r>
            <w:r w:rsidR="00A83247">
              <w:rPr>
                <w:rFonts w:ascii="Franklin Gothic Book" w:hAnsi="Franklin Gothic Book"/>
                <w:iCs/>
                <w:color w:val="auto"/>
                <w:sz w:val="22"/>
                <w:szCs w:val="22"/>
              </w:rPr>
              <w:t>s</w:t>
            </w:r>
            <w:r w:rsidR="006A1F29">
              <w:rPr>
                <w:rFonts w:ascii="Franklin Gothic Book" w:hAnsi="Franklin Gothic Book"/>
                <w:iCs/>
                <w:color w:val="auto"/>
                <w:sz w:val="22"/>
                <w:szCs w:val="22"/>
              </w:rPr>
              <w:t xml:space="preserve"> (effectiveness) and the risks </w:t>
            </w:r>
            <w:r w:rsidR="0060193F">
              <w:rPr>
                <w:rFonts w:ascii="Franklin Gothic Book" w:hAnsi="Franklin Gothic Book"/>
                <w:iCs/>
                <w:color w:val="auto"/>
                <w:sz w:val="22"/>
                <w:szCs w:val="22"/>
              </w:rPr>
              <w:t>of</w:t>
            </w:r>
            <w:r w:rsidR="00600315">
              <w:rPr>
                <w:rFonts w:ascii="Franklin Gothic Book" w:hAnsi="Franklin Gothic Book"/>
                <w:iCs/>
                <w:color w:val="auto"/>
                <w:sz w:val="22"/>
                <w:szCs w:val="22"/>
              </w:rPr>
              <w:t xml:space="preserve"> </w:t>
            </w:r>
            <w:r w:rsidR="006A1F29">
              <w:rPr>
                <w:rFonts w:ascii="Franklin Gothic Book" w:hAnsi="Franklin Gothic Book"/>
                <w:iCs/>
                <w:color w:val="auto"/>
                <w:sz w:val="22"/>
                <w:szCs w:val="22"/>
              </w:rPr>
              <w:t>the procedure (safety) compared to TURP. MSAC noted that there were a wide range of factors considered by clinicians and patients when choosing a procedure. The k</w:t>
            </w:r>
            <w:r w:rsidR="006A1F29" w:rsidRPr="006A1F29">
              <w:rPr>
                <w:rFonts w:ascii="Franklin Gothic Book" w:hAnsi="Franklin Gothic Book"/>
                <w:iCs/>
                <w:color w:val="auto"/>
                <w:sz w:val="22"/>
                <w:szCs w:val="22"/>
              </w:rPr>
              <w:t xml:space="preserve">ey </w:t>
            </w:r>
            <w:r w:rsidR="006A1F29">
              <w:rPr>
                <w:rFonts w:ascii="Franklin Gothic Book" w:hAnsi="Franklin Gothic Book"/>
                <w:iCs/>
                <w:color w:val="auto"/>
                <w:sz w:val="22"/>
                <w:szCs w:val="22"/>
              </w:rPr>
              <w:t>factors</w:t>
            </w:r>
            <w:r w:rsidR="006A1F29" w:rsidRPr="006A1F29">
              <w:rPr>
                <w:rFonts w:ascii="Franklin Gothic Book" w:hAnsi="Franklin Gothic Book"/>
                <w:iCs/>
                <w:color w:val="auto"/>
                <w:sz w:val="22"/>
                <w:szCs w:val="22"/>
              </w:rPr>
              <w:t xml:space="preserve"> for patients included level of bother, level of invasiveness, recovery time, duration of treatment, sexual function preservation, risk of adverse </w:t>
            </w:r>
            <w:r w:rsidR="002210B1" w:rsidRPr="006A1F29">
              <w:rPr>
                <w:rFonts w:ascii="Franklin Gothic Book" w:hAnsi="Franklin Gothic Book"/>
                <w:iCs/>
                <w:color w:val="auto"/>
                <w:sz w:val="22"/>
                <w:szCs w:val="22"/>
              </w:rPr>
              <w:t>events and</w:t>
            </w:r>
            <w:r w:rsidR="006A1F29" w:rsidRPr="006A1F29">
              <w:rPr>
                <w:rFonts w:ascii="Franklin Gothic Book" w:hAnsi="Franklin Gothic Book"/>
                <w:iCs/>
                <w:color w:val="auto"/>
                <w:sz w:val="22"/>
                <w:szCs w:val="22"/>
              </w:rPr>
              <w:t xml:space="preserve"> financial impact (out-of-pocket costs). </w:t>
            </w:r>
            <w:r w:rsidR="006A1F29">
              <w:rPr>
                <w:rFonts w:ascii="Franklin Gothic Book" w:hAnsi="Franklin Gothic Book"/>
                <w:iCs/>
                <w:color w:val="auto"/>
                <w:sz w:val="22"/>
                <w:szCs w:val="22"/>
              </w:rPr>
              <w:t>MSAC noted that patients have different preferences when considering the balance between effectiveness and safety.</w:t>
            </w:r>
            <w:r w:rsidRPr="00AB159A">
              <w:rPr>
                <w:rFonts w:ascii="Franklin Gothic Book" w:hAnsi="Franklin Gothic Book"/>
                <w:iCs/>
                <w:color w:val="auto"/>
                <w:sz w:val="22"/>
                <w:szCs w:val="22"/>
              </w:rPr>
              <w:t xml:space="preserve"> </w:t>
            </w:r>
          </w:p>
          <w:p w14:paraId="196FD64A" w14:textId="77777777" w:rsidR="00105B19" w:rsidRDefault="00105B19" w:rsidP="00AB159A">
            <w:pPr>
              <w:pStyle w:val="Default"/>
              <w:spacing w:after="240"/>
              <w:rPr>
                <w:rFonts w:ascii="Franklin Gothic Book" w:hAnsi="Franklin Gothic Book"/>
                <w:b/>
                <w:bCs/>
                <w:iCs/>
                <w:color w:val="auto"/>
                <w:sz w:val="22"/>
                <w:szCs w:val="22"/>
              </w:rPr>
            </w:pPr>
          </w:p>
          <w:p w14:paraId="78648F44" w14:textId="3D9FF48C" w:rsidR="00AB159A" w:rsidRPr="00AB159A" w:rsidRDefault="00AB159A" w:rsidP="00AB159A">
            <w:pPr>
              <w:pStyle w:val="Default"/>
              <w:spacing w:after="240"/>
              <w:rPr>
                <w:rFonts w:ascii="Franklin Gothic Book" w:hAnsi="Franklin Gothic Book"/>
                <w:b/>
                <w:bCs/>
                <w:iCs/>
                <w:color w:val="auto"/>
                <w:sz w:val="22"/>
                <w:szCs w:val="22"/>
              </w:rPr>
            </w:pPr>
            <w:r w:rsidRPr="00AB159A">
              <w:rPr>
                <w:rFonts w:ascii="Franklin Gothic Book" w:hAnsi="Franklin Gothic Book"/>
                <w:b/>
                <w:bCs/>
                <w:iCs/>
                <w:color w:val="auto"/>
                <w:sz w:val="22"/>
                <w:szCs w:val="22"/>
              </w:rPr>
              <w:lastRenderedPageBreak/>
              <w:t xml:space="preserve">MSAC’s advice to the </w:t>
            </w:r>
            <w:proofErr w:type="gramStart"/>
            <w:r w:rsidRPr="00AB159A">
              <w:rPr>
                <w:rFonts w:ascii="Franklin Gothic Book" w:hAnsi="Franklin Gothic Book"/>
                <w:b/>
                <w:bCs/>
                <w:iCs/>
                <w:color w:val="auto"/>
                <w:sz w:val="22"/>
                <w:szCs w:val="22"/>
              </w:rPr>
              <w:t>Commonwealth Minister</w:t>
            </w:r>
            <w:proofErr w:type="gramEnd"/>
            <w:r w:rsidRPr="00AB159A">
              <w:rPr>
                <w:rFonts w:ascii="Franklin Gothic Book" w:hAnsi="Franklin Gothic Book"/>
                <w:b/>
                <w:bCs/>
                <w:iCs/>
                <w:color w:val="auto"/>
                <w:sz w:val="22"/>
                <w:szCs w:val="22"/>
              </w:rPr>
              <w:t xml:space="preserve"> for Health</w:t>
            </w:r>
            <w:r w:rsidR="00105B19">
              <w:rPr>
                <w:rFonts w:ascii="Franklin Gothic Book" w:hAnsi="Franklin Gothic Book"/>
                <w:b/>
                <w:bCs/>
                <w:iCs/>
                <w:color w:val="auto"/>
                <w:sz w:val="22"/>
                <w:szCs w:val="22"/>
              </w:rPr>
              <w:t xml:space="preserve"> and Aged Care</w:t>
            </w:r>
          </w:p>
          <w:p w14:paraId="0730D2A5" w14:textId="7B008276" w:rsidR="002811D5" w:rsidRDefault="00AB159A" w:rsidP="00AB159A">
            <w:pPr>
              <w:pStyle w:val="Default"/>
              <w:spacing w:after="240"/>
              <w:rPr>
                <w:i/>
                <w:color w:val="auto"/>
              </w:rPr>
            </w:pPr>
            <w:r w:rsidRPr="00AB159A">
              <w:rPr>
                <w:rFonts w:ascii="Franklin Gothic Book" w:hAnsi="Franklin Gothic Book"/>
                <w:iCs/>
                <w:color w:val="auto"/>
                <w:sz w:val="22"/>
                <w:szCs w:val="22"/>
              </w:rPr>
              <w:t xml:space="preserve">MSAC supported creating two new Medicare Benefits Schedule (MBS) items, for TUWA and PUL. MSAC considered these to be just as safe or safer than TURP. </w:t>
            </w:r>
            <w:r w:rsidR="00FF160F">
              <w:rPr>
                <w:rFonts w:ascii="Franklin Gothic Book" w:hAnsi="Franklin Gothic Book"/>
                <w:iCs/>
                <w:color w:val="auto"/>
                <w:sz w:val="22"/>
                <w:szCs w:val="22"/>
              </w:rPr>
              <w:t>MSAC considered the MBS items for EEP and VLAP were appropriate and should remain</w:t>
            </w:r>
            <w:r w:rsidRPr="00AB159A">
              <w:rPr>
                <w:rFonts w:ascii="Franklin Gothic Book" w:hAnsi="Franklin Gothic Book"/>
                <w:iCs/>
                <w:color w:val="auto"/>
                <w:sz w:val="22"/>
                <w:szCs w:val="22"/>
              </w:rPr>
              <w:t>. MSAC advised that the MBS item for TUMT be removed, as it is not as effective or safe as TURP</w:t>
            </w:r>
            <w:r w:rsidR="00584C88">
              <w:rPr>
                <w:rFonts w:ascii="Franklin Gothic Book" w:hAnsi="Franklin Gothic Book"/>
                <w:iCs/>
                <w:color w:val="auto"/>
                <w:sz w:val="22"/>
                <w:szCs w:val="22"/>
              </w:rPr>
              <w:t xml:space="preserve"> and is not </w:t>
            </w:r>
            <w:r w:rsidR="00FF160F">
              <w:rPr>
                <w:rFonts w:ascii="Franklin Gothic Book" w:hAnsi="Franklin Gothic Book"/>
                <w:iCs/>
                <w:color w:val="auto"/>
                <w:sz w:val="22"/>
                <w:szCs w:val="22"/>
              </w:rPr>
              <w:t>commonly used</w:t>
            </w:r>
            <w:r w:rsidRPr="00AB159A">
              <w:rPr>
                <w:rFonts w:ascii="Franklin Gothic Book" w:hAnsi="Franklin Gothic Book"/>
                <w:iCs/>
                <w:color w:val="auto"/>
                <w:sz w:val="22"/>
                <w:szCs w:val="22"/>
              </w:rPr>
              <w:t>.</w:t>
            </w:r>
          </w:p>
        </w:tc>
      </w:tr>
    </w:tbl>
    <w:p w14:paraId="64C96F76" w14:textId="77777777" w:rsidR="002811D5" w:rsidRDefault="002811D5" w:rsidP="002811D5">
      <w:pPr>
        <w:pStyle w:val="Heading2"/>
        <w:numPr>
          <w:ilvl w:val="0"/>
          <w:numId w:val="0"/>
        </w:numPr>
      </w:pPr>
      <w:r>
        <w:lastRenderedPageBreak/>
        <w:t>3.</w:t>
      </w:r>
      <w:r>
        <w:tab/>
        <w:t>Summary of consideration and rationale for MSAC’s advice</w:t>
      </w:r>
    </w:p>
    <w:p w14:paraId="1442ECD2" w14:textId="4C6EF44C" w:rsidR="00AB159A" w:rsidRPr="00AB159A" w:rsidRDefault="00AB159A" w:rsidP="00AB159A">
      <w:r>
        <w:t xml:space="preserve">MSAC </w:t>
      </w:r>
      <w:r w:rsidR="00350774">
        <w:t xml:space="preserve">recalled </w:t>
      </w:r>
      <w:r>
        <w:t xml:space="preserve">that at its July 2020 meeting, </w:t>
      </w:r>
      <w:r w:rsidR="00350774">
        <w:t xml:space="preserve">MSAC </w:t>
      </w:r>
      <w:r w:rsidR="0017616A">
        <w:t xml:space="preserve">had </w:t>
      </w:r>
      <w:r w:rsidR="00350774">
        <w:t xml:space="preserve">deferred consideration of two MSAC applications for minimally invasive procedures </w:t>
      </w:r>
      <w:r w:rsidR="00AB5F4B">
        <w:t>to treat</w:t>
      </w:r>
      <w:r w:rsidR="00755F6D">
        <w:t xml:space="preserve"> BPH</w:t>
      </w:r>
      <w:r w:rsidR="00462455">
        <w:t xml:space="preserve"> </w:t>
      </w:r>
      <w:r w:rsidR="00350774">
        <w:t xml:space="preserve">and requested </w:t>
      </w:r>
      <w:r>
        <w:t>the Department commission a review of the effectiveness, safety and cost-effectiveness of all minimally invasive procedures used to manage BPH in Australia</w:t>
      </w:r>
      <w:r w:rsidR="006D003A">
        <w:t xml:space="preserve"> (BPH review)</w:t>
      </w:r>
      <w:r>
        <w:t xml:space="preserve">. MSAC </w:t>
      </w:r>
      <w:r w:rsidR="001E5056">
        <w:t xml:space="preserve">recalled that it had </w:t>
      </w:r>
      <w:r w:rsidR="00616283">
        <w:t xml:space="preserve">considered </w:t>
      </w:r>
      <w:r>
        <w:t>th</w:t>
      </w:r>
      <w:r w:rsidR="006D003A">
        <w:t>e BPH</w:t>
      </w:r>
      <w:r>
        <w:t xml:space="preserve"> </w:t>
      </w:r>
      <w:r w:rsidR="001E5056">
        <w:t xml:space="preserve">review </w:t>
      </w:r>
      <w:r w:rsidR="00616283">
        <w:t>would allow</w:t>
      </w:r>
      <w:r w:rsidR="001E5056">
        <w:t xml:space="preserve"> MSAC</w:t>
      </w:r>
      <w:r>
        <w:t xml:space="preserve"> to provide </w:t>
      </w:r>
      <w:r w:rsidR="00A83247">
        <w:t xml:space="preserve">more comprehensive </w:t>
      </w:r>
      <w:r>
        <w:t xml:space="preserve">advice on which BPH procedures should be listed on the MBS, as well as </w:t>
      </w:r>
      <w:r w:rsidR="00A83247">
        <w:t xml:space="preserve">the </w:t>
      </w:r>
      <w:r>
        <w:t xml:space="preserve">appropriate fee for each procedure. </w:t>
      </w:r>
      <w:proofErr w:type="gramStart"/>
      <w:r>
        <w:t xml:space="preserve">In particular, </w:t>
      </w:r>
      <w:r w:rsidR="001E5056">
        <w:t>to</w:t>
      </w:r>
      <w:proofErr w:type="gramEnd"/>
      <w:r w:rsidR="001E5056">
        <w:t xml:space="preserve"> facilitate</w:t>
      </w:r>
      <w:r>
        <w:t xml:space="preserve"> MSAC’s reconsideration of </w:t>
      </w:r>
      <w:r w:rsidR="001E5056">
        <w:t xml:space="preserve">the </w:t>
      </w:r>
      <w:r w:rsidR="0060193F">
        <w:t xml:space="preserve">following </w:t>
      </w:r>
      <w:r>
        <w:t xml:space="preserve">two </w:t>
      </w:r>
      <w:r w:rsidRPr="00AB159A">
        <w:t>deferred MSAC applications:</w:t>
      </w:r>
    </w:p>
    <w:p w14:paraId="66840163" w14:textId="1D400ACA" w:rsidR="00AB159A" w:rsidRPr="00AB159A" w:rsidRDefault="00AB159A" w:rsidP="00AB159A">
      <w:pPr>
        <w:pStyle w:val="Bullet"/>
        <w:numPr>
          <w:ilvl w:val="0"/>
          <w:numId w:val="46"/>
        </w:numPr>
        <w:spacing w:before="0"/>
        <w:ind w:left="720"/>
        <w:rPr>
          <w:rFonts w:ascii="Franklin Gothic Book" w:hAnsi="Franklin Gothic Book"/>
        </w:rPr>
      </w:pPr>
      <w:r w:rsidRPr="00AB159A">
        <w:rPr>
          <w:rFonts w:ascii="Franklin Gothic Book" w:hAnsi="Franklin Gothic Book"/>
        </w:rPr>
        <w:t xml:space="preserve">MSAC application 1586, which seeks creation of a new MBS item for </w:t>
      </w:r>
      <w:r w:rsidR="002210B1" w:rsidRPr="00AB159A">
        <w:rPr>
          <w:rFonts w:ascii="Franklin Gothic Book" w:hAnsi="Franklin Gothic Book"/>
        </w:rPr>
        <w:t>TUWA.</w:t>
      </w:r>
      <w:r w:rsidRPr="00AB159A">
        <w:rPr>
          <w:rFonts w:ascii="Franklin Gothic Book" w:hAnsi="Franklin Gothic Book"/>
        </w:rPr>
        <w:t xml:space="preserve"> </w:t>
      </w:r>
    </w:p>
    <w:p w14:paraId="71362FA5" w14:textId="3CEAA8A5" w:rsidR="00AB159A" w:rsidRPr="00AB159A" w:rsidRDefault="00AB159A" w:rsidP="00AB159A">
      <w:pPr>
        <w:pStyle w:val="Bullet"/>
        <w:numPr>
          <w:ilvl w:val="0"/>
          <w:numId w:val="46"/>
        </w:numPr>
        <w:spacing w:before="0"/>
        <w:ind w:left="720"/>
        <w:rPr>
          <w:rFonts w:ascii="Franklin Gothic Book" w:hAnsi="Franklin Gothic Book"/>
        </w:rPr>
      </w:pPr>
      <w:r w:rsidRPr="00AB159A">
        <w:rPr>
          <w:rFonts w:ascii="Franklin Gothic Book" w:hAnsi="Franklin Gothic Book"/>
        </w:rPr>
        <w:t>MSAC application 1612, which seeks to increase the MBS fee for PUL to be equivalent to the MBS fee for VLAP and TURP by amending MBS item 36811 for cystoscopy (a generic item</w:t>
      </w:r>
      <w:r w:rsidR="002210B1" w:rsidRPr="00AB159A">
        <w:rPr>
          <w:rFonts w:ascii="Franklin Gothic Book" w:hAnsi="Franklin Gothic Book"/>
        </w:rPr>
        <w:t>).</w:t>
      </w:r>
      <w:r w:rsidRPr="00AB159A">
        <w:rPr>
          <w:rFonts w:ascii="Franklin Gothic Book" w:hAnsi="Franklin Gothic Book"/>
        </w:rPr>
        <w:t xml:space="preserve"> </w:t>
      </w:r>
    </w:p>
    <w:p w14:paraId="3E684860" w14:textId="3E1CB7B1" w:rsidR="00B52C52" w:rsidRDefault="00616283" w:rsidP="00AB159A">
      <w:r>
        <w:t>MSAC noted this application presents the requested BPH review which inc</w:t>
      </w:r>
      <w:r w:rsidR="006D003A">
        <w:t>lude</w:t>
      </w:r>
      <w:r w:rsidR="00B4368F">
        <w:t>d</w:t>
      </w:r>
      <w:r w:rsidR="006D003A">
        <w:t xml:space="preserve"> </w:t>
      </w:r>
      <w:r w:rsidRPr="00616283">
        <w:t>endoscopic enucleation (EEP</w:t>
      </w:r>
      <w:r w:rsidR="00EC64B3">
        <w:t>,</w:t>
      </w:r>
      <w:r w:rsidRPr="00616283">
        <w:t xml:space="preserve"> such as </w:t>
      </w:r>
      <w:proofErr w:type="spellStart"/>
      <w:r w:rsidRPr="00616283">
        <w:t>HoLEP</w:t>
      </w:r>
      <w:proofErr w:type="spellEnd"/>
      <w:r w:rsidR="00EC64B3">
        <w:t>)</w:t>
      </w:r>
      <w:r>
        <w:t xml:space="preserve">, </w:t>
      </w:r>
      <w:r w:rsidR="006D003A">
        <w:t xml:space="preserve">PUL, TUMT, </w:t>
      </w:r>
      <w:r>
        <w:t xml:space="preserve">TUWA </w:t>
      </w:r>
      <w:r w:rsidR="006D003A">
        <w:t>and VLAP</w:t>
      </w:r>
      <w:r>
        <w:t xml:space="preserve">. The review compared the minimally invasive procedures against TURP, the </w:t>
      </w:r>
      <w:r w:rsidRPr="001E5056">
        <w:t>gold standard for surgical treatment of BPH</w:t>
      </w:r>
      <w:r>
        <w:t xml:space="preserve">. </w:t>
      </w:r>
    </w:p>
    <w:p w14:paraId="40F7A4EC" w14:textId="5BA1568C" w:rsidR="005C6E09" w:rsidDel="0035574F" w:rsidRDefault="00616283" w:rsidP="005C6E09">
      <w:r>
        <w:t xml:space="preserve">MSAC noted </w:t>
      </w:r>
      <w:proofErr w:type="gramStart"/>
      <w:r w:rsidR="006D003A">
        <w:t>all of</w:t>
      </w:r>
      <w:proofErr w:type="gramEnd"/>
      <w:r w:rsidR="006D003A">
        <w:t xml:space="preserve"> </w:t>
      </w:r>
      <w:r>
        <w:t xml:space="preserve">the </w:t>
      </w:r>
      <w:r w:rsidR="005C6E09">
        <w:t xml:space="preserve">minimally invasive </w:t>
      </w:r>
      <w:r>
        <w:t xml:space="preserve">BPH procedures included in the review </w:t>
      </w:r>
      <w:r w:rsidR="00A83247">
        <w:t>can be performed</w:t>
      </w:r>
      <w:r w:rsidR="006D003A">
        <w:t xml:space="preserve"> under different </w:t>
      </w:r>
      <w:r>
        <w:t xml:space="preserve">MBS </w:t>
      </w:r>
      <w:r w:rsidR="006D003A">
        <w:t>item numbers</w:t>
      </w:r>
      <w:r w:rsidR="00B4368F">
        <w:t>.</w:t>
      </w:r>
      <w:r w:rsidR="005C6E09">
        <w:t xml:space="preserve"> MSAC noted that EEP, TUMT and VLAP are fund</w:t>
      </w:r>
      <w:r w:rsidR="00EC64B3">
        <w:t>ed</w:t>
      </w:r>
      <w:r w:rsidR="005C6E09">
        <w:t xml:space="preserve"> under specific MBS items</w:t>
      </w:r>
      <w:r w:rsidR="00A83247">
        <w:t>, and</w:t>
      </w:r>
      <w:r w:rsidR="00B4368F">
        <w:t xml:space="preserve"> </w:t>
      </w:r>
      <w:r w:rsidR="005C6E09">
        <w:t>PUL is funded under a generic MBS item (</w:t>
      </w:r>
      <w:r w:rsidR="00466308">
        <w:t>36811</w:t>
      </w:r>
      <w:r w:rsidR="005C6E09">
        <w:t>)</w:t>
      </w:r>
      <w:r w:rsidR="00A83247">
        <w:t>. A</w:t>
      </w:r>
      <w:r w:rsidR="00466308">
        <w:t xml:space="preserve"> fee increase is being sought </w:t>
      </w:r>
      <w:r w:rsidR="0017616A">
        <w:t xml:space="preserve">for PUL </w:t>
      </w:r>
      <w:r w:rsidR="00466308">
        <w:t>although MSAC noted that</w:t>
      </w:r>
      <w:r w:rsidR="0017616A">
        <w:t xml:space="preserve"> prior to </w:t>
      </w:r>
      <w:r w:rsidR="00A83247">
        <w:t xml:space="preserve">the commissioning </w:t>
      </w:r>
      <w:r w:rsidR="00804BDA">
        <w:t xml:space="preserve">of </w:t>
      </w:r>
      <w:r w:rsidR="00A83247">
        <w:t>the current review</w:t>
      </w:r>
      <w:r w:rsidR="0017616A">
        <w:t>,</w:t>
      </w:r>
      <w:r w:rsidR="00466308">
        <w:t xml:space="preserve"> MSAC ha</w:t>
      </w:r>
      <w:r w:rsidR="0017616A">
        <w:t>d</w:t>
      </w:r>
      <w:r w:rsidR="00466308">
        <w:t xml:space="preserve"> not previously considered the safety and effectiveness of PUL. MSAC </w:t>
      </w:r>
      <w:r w:rsidR="00462455">
        <w:t xml:space="preserve">also </w:t>
      </w:r>
      <w:r w:rsidR="00466308">
        <w:t xml:space="preserve">noted that </w:t>
      </w:r>
      <w:r w:rsidR="005C6E09">
        <w:t xml:space="preserve">TUWA is funded </w:t>
      </w:r>
      <w:r w:rsidR="006D003A">
        <w:t xml:space="preserve">on an interim basis </w:t>
      </w:r>
      <w:r w:rsidR="005C6E09">
        <w:t>under the MBS item for TUNA (</w:t>
      </w:r>
      <w:r w:rsidR="00466308">
        <w:t>37201</w:t>
      </w:r>
      <w:r w:rsidR="006D003A">
        <w:t>)</w:t>
      </w:r>
      <w:r w:rsidR="00466308">
        <w:t xml:space="preserve"> which is restricted to patients who are medically unfit for TURP and creating a new item for TUWA will remove this restriction from TUWA </w:t>
      </w:r>
      <w:r w:rsidR="00462455">
        <w:t>allowing</w:t>
      </w:r>
      <w:r w:rsidR="00466308">
        <w:t xml:space="preserve"> its use as an alternative to TURP</w:t>
      </w:r>
      <w:r w:rsidR="006D003A">
        <w:t>.</w:t>
      </w:r>
      <w:r w:rsidR="005C6E09" w:rsidRPr="005C6E09">
        <w:t xml:space="preserve"> </w:t>
      </w:r>
      <w:r w:rsidR="005C6E09">
        <w:t>MSAC noted that</w:t>
      </w:r>
      <w:r w:rsidR="00040602">
        <w:t xml:space="preserve"> </w:t>
      </w:r>
      <w:r w:rsidR="005C6E09">
        <w:t>TURP</w:t>
      </w:r>
      <w:r w:rsidR="00462455">
        <w:t xml:space="preserve"> (MBS item 37203</w:t>
      </w:r>
      <w:r w:rsidR="005C6E09">
        <w:t>) had the most services claimed (66.2% of the total claims), followed by VLAP</w:t>
      </w:r>
      <w:r w:rsidR="00462455">
        <w:t xml:space="preserve"> (MBS items 37207</w:t>
      </w:r>
      <w:r w:rsidR="005C6E09">
        <w:t>; 15.3%), EEP</w:t>
      </w:r>
      <w:r w:rsidR="00462455">
        <w:t xml:space="preserve"> (MBS item 37245</w:t>
      </w:r>
      <w:r w:rsidR="005C6E09">
        <w:t>; 7.4%), PUL</w:t>
      </w:r>
      <w:r w:rsidR="00462455">
        <w:t xml:space="preserve"> (MBS item 36811</w:t>
      </w:r>
      <w:r w:rsidR="005C6E09">
        <w:t>; 7.0%), TUWA/TUNA</w:t>
      </w:r>
      <w:r w:rsidR="00462455">
        <w:t xml:space="preserve"> (MBS item</w:t>
      </w:r>
      <w:r w:rsidR="00B95B13">
        <w:t xml:space="preserve"> </w:t>
      </w:r>
      <w:r w:rsidR="00462455">
        <w:t>37201</w:t>
      </w:r>
      <w:r w:rsidR="005C6E09">
        <w:t>; 3.9%) and TUMT</w:t>
      </w:r>
      <w:r w:rsidR="00462455">
        <w:t xml:space="preserve"> (MBS item 37230</w:t>
      </w:r>
      <w:r w:rsidR="005C6E09">
        <w:t>; 0.1%)</w:t>
      </w:r>
      <w:r w:rsidR="00040602">
        <w:t xml:space="preserve"> for the 2020/2021 financial year</w:t>
      </w:r>
      <w:r w:rsidR="005C6E09">
        <w:t>. MSAC noted that MBS items 37202 and 37206 are retreatment operation item numbers (within 10 days) for items 37201 and 37203, respectively</w:t>
      </w:r>
      <w:r w:rsidR="00FF160F">
        <w:t xml:space="preserve"> which are infrequently used</w:t>
      </w:r>
      <w:r w:rsidR="00A83247">
        <w:t>: from July 2020 to June 2021</w:t>
      </w:r>
      <w:r w:rsidR="00FF160F">
        <w:t xml:space="preserve"> there were four claims (0.0% of the total claims) for MBS item 37202 and 20 claims (0.1%) for MBS item 37206</w:t>
      </w:r>
      <w:r w:rsidR="005C6E09">
        <w:t>.</w:t>
      </w:r>
      <w:r w:rsidR="005C6E09" w:rsidRPr="005C6E09" w:rsidDel="0035574F">
        <w:t xml:space="preserve"> </w:t>
      </w:r>
      <w:r w:rsidR="005C6E09" w:rsidDel="0035574F">
        <w:t xml:space="preserve">MSAC noted the utilisation rates of PUL, TUWA and TURP </w:t>
      </w:r>
      <w:r w:rsidR="00A83247">
        <w:t>have not increased</w:t>
      </w:r>
      <w:r w:rsidR="005C6E09" w:rsidDel="0035574F">
        <w:t xml:space="preserve"> since 2016.</w:t>
      </w:r>
    </w:p>
    <w:p w14:paraId="76973B45" w14:textId="04EE9CDC" w:rsidR="00AB5F4B" w:rsidRDefault="00AB5F4B" w:rsidP="00AB5F4B">
      <w:r>
        <w:t>MSAC noted from the clinical management algorithm (excluding prostates</w:t>
      </w:r>
      <w:r w:rsidR="006852CA">
        <w:t xml:space="preserve"> larger than 80ml</w:t>
      </w:r>
      <w:r>
        <w:t xml:space="preserve">) that TUNA is not recommended for patients with </w:t>
      </w:r>
      <w:r w:rsidR="0006066D">
        <w:t xml:space="preserve">severe </w:t>
      </w:r>
      <w:r>
        <w:t xml:space="preserve">BPH </w:t>
      </w:r>
      <w:r w:rsidR="0006066D">
        <w:t xml:space="preserve">and </w:t>
      </w:r>
      <w:r>
        <w:t xml:space="preserve">high-impact urinary symptoms who are suitable for TURP. </w:t>
      </w:r>
      <w:r w:rsidR="00520361">
        <w:t xml:space="preserve">Consistent with this, the MBS item for TUNA is also restricted to patients who are not medically fit for TURP. </w:t>
      </w:r>
      <w:r>
        <w:t xml:space="preserve">Therefore, TUNA was not within scope of the review. MSAC noted a National Institute for Health and Care Excellence (NICE)-developed management pathway for lower urinary tract symptoms in men </w:t>
      </w:r>
      <w:r w:rsidR="00065F97">
        <w:t xml:space="preserve">included consideration of </w:t>
      </w:r>
      <w:r>
        <w:t xml:space="preserve">whether patients are high or low risk for surgery, if they can have surgery under anaesthesia, </w:t>
      </w:r>
      <w:r w:rsidR="00CA13A9">
        <w:t xml:space="preserve">their prostate volume, </w:t>
      </w:r>
      <w:r w:rsidR="00065F97">
        <w:lastRenderedPageBreak/>
        <w:t xml:space="preserve">and </w:t>
      </w:r>
      <w:r w:rsidR="00CA13A9">
        <w:t xml:space="preserve">whether </w:t>
      </w:r>
      <w:r>
        <w:t xml:space="preserve">they can stop anticoagulant/antiplatelet therapy. </w:t>
      </w:r>
      <w:r w:rsidR="00065F97">
        <w:t xml:space="preserve">MSAC noted that clinicians may also consider the presence of a middle lobe, cardiovascular </w:t>
      </w:r>
      <w:proofErr w:type="gramStart"/>
      <w:r w:rsidR="00065F97">
        <w:t>risk</w:t>
      </w:r>
      <w:proofErr w:type="gramEnd"/>
      <w:r w:rsidR="00065F97">
        <w:t xml:space="preserve"> and other health issues to guide procedure choice. Key choice determinants for </w:t>
      </w:r>
      <w:r>
        <w:t>patient</w:t>
      </w:r>
      <w:r w:rsidR="00065F97">
        <w:t>s</w:t>
      </w:r>
      <w:r>
        <w:t xml:space="preserve"> include</w:t>
      </w:r>
      <w:r w:rsidR="00065F97">
        <w:t>d level of bother,</w:t>
      </w:r>
      <w:r>
        <w:t xml:space="preserve"> level of invasiveness, recovery time, duration of treatment, sexual function preservation</w:t>
      </w:r>
      <w:r w:rsidR="00065F97">
        <w:t>, risk of</w:t>
      </w:r>
      <w:r>
        <w:t xml:space="preserve"> adverse </w:t>
      </w:r>
      <w:r w:rsidR="002210B1">
        <w:t>events and</w:t>
      </w:r>
      <w:r>
        <w:t xml:space="preserve"> financial impact (out-of-pocket costs). Further, patients may prioritise different risks based on their age.</w:t>
      </w:r>
    </w:p>
    <w:p w14:paraId="022D0327" w14:textId="3506B9B8" w:rsidR="00BB64E0" w:rsidRDefault="00BB64E0" w:rsidP="00BB64E0">
      <w:r>
        <w:t xml:space="preserve">MSAC noted that the quantity of evidence varied across the interventions but at least one randomised controlled trial (RCT) was available comparing </w:t>
      </w:r>
      <w:r w:rsidR="00CA13A9">
        <w:t xml:space="preserve">each </w:t>
      </w:r>
      <w:r>
        <w:t xml:space="preserve">intervention with TURP, </w:t>
      </w:r>
      <w:proofErr w:type="gramStart"/>
      <w:r w:rsidR="00CA13A9">
        <w:t xml:space="preserve">with the </w:t>
      </w:r>
      <w:r>
        <w:t>except</w:t>
      </w:r>
      <w:r w:rsidR="00CA13A9">
        <w:t>ion of</w:t>
      </w:r>
      <w:proofErr w:type="gramEnd"/>
      <w:r>
        <w:t xml:space="preserve"> TUWA. Therefore, the BPH review drew on other evidence to inform the comparison of TUWA versus TURP</w:t>
      </w:r>
      <w:r w:rsidR="00CA13A9">
        <w:t>. This</w:t>
      </w:r>
      <w:r>
        <w:t xml:space="preserve"> included the indirect comparison previously presented to MSAC (as part of MSAC application 1586), a comparison of treatment crossover arms from a single RCT vs sham, and a published network meta-analysis (not previously considered by MSAC).</w:t>
      </w:r>
      <w:r w:rsidR="00A7506A">
        <w:t xml:space="preserve"> MSAC noted that key clinical endpoints for effectiveness included the International Prostate Symptom Score (IPSS) and maximal flow rate (</w:t>
      </w:r>
      <w:proofErr w:type="spellStart"/>
      <w:r w:rsidR="00A7506A">
        <w:t>Qmax</w:t>
      </w:r>
      <w:proofErr w:type="spellEnd"/>
      <w:r w:rsidR="00A7506A">
        <w:t xml:space="preserve">). MSAC noted that the minimal clinically important difference (MCID) for IPSS is 3 points (lower is better), while the MCID for </w:t>
      </w:r>
      <w:proofErr w:type="spellStart"/>
      <w:r w:rsidR="00A7506A">
        <w:t>Qmax</w:t>
      </w:r>
      <w:proofErr w:type="spellEnd"/>
      <w:r w:rsidR="00A7506A">
        <w:t xml:space="preserve"> is 5 ml/s (higher is better).</w:t>
      </w:r>
    </w:p>
    <w:p w14:paraId="096438DD" w14:textId="15DD893A" w:rsidR="00A7506A" w:rsidRDefault="00A7506A" w:rsidP="00BB64E0">
      <w:r>
        <w:t>Regarding the comparative safety and effectiveness of EEP</w:t>
      </w:r>
      <w:r w:rsidR="00F20B02">
        <w:t xml:space="preserve"> versus TURP</w:t>
      </w:r>
      <w:r>
        <w:t xml:space="preserve">, MSAC noted that </w:t>
      </w:r>
      <w:r w:rsidR="00860B04">
        <w:t xml:space="preserve">the </w:t>
      </w:r>
      <w:r w:rsidR="006852CA">
        <w:t xml:space="preserve">BPH </w:t>
      </w:r>
      <w:r w:rsidR="006A2489">
        <w:t xml:space="preserve">review concluded </w:t>
      </w:r>
      <w:r w:rsidRPr="00A7506A">
        <w:t xml:space="preserve">EEP </w:t>
      </w:r>
      <w:r w:rsidR="006A2489">
        <w:t>was</w:t>
      </w:r>
      <w:r w:rsidRPr="00A7506A">
        <w:t xml:space="preserve"> superior </w:t>
      </w:r>
      <w:r w:rsidR="006A2489">
        <w:t xml:space="preserve">for some </w:t>
      </w:r>
      <w:r w:rsidR="00CA13A9">
        <w:t xml:space="preserve">effectiveness </w:t>
      </w:r>
      <w:r w:rsidR="006A2489">
        <w:t xml:space="preserve">outcomes, </w:t>
      </w:r>
      <w:r w:rsidRPr="00A7506A">
        <w:t>transfusion requirements and urinary tract infections</w:t>
      </w:r>
      <w:r w:rsidR="006A2489">
        <w:t>. MSAC noted there was evidence that EEP was non-inferior for retrograde ejaculation</w:t>
      </w:r>
      <w:r w:rsidR="00A53109">
        <w:t xml:space="preserve">, urethral stricture and </w:t>
      </w:r>
      <w:proofErr w:type="spellStart"/>
      <w:r w:rsidR="00A53109">
        <w:t>recatheterisation</w:t>
      </w:r>
      <w:proofErr w:type="spellEnd"/>
      <w:r w:rsidR="00A53109">
        <w:t xml:space="preserve"> </w:t>
      </w:r>
      <w:r w:rsidRPr="00A7506A">
        <w:t xml:space="preserve">but </w:t>
      </w:r>
      <w:r w:rsidR="006A2489">
        <w:t>inferior for</w:t>
      </w:r>
      <w:r w:rsidRPr="00A7506A">
        <w:t xml:space="preserve"> urinary incontinence.</w:t>
      </w:r>
      <w:r w:rsidR="00330CAB" w:rsidRPr="00330CAB">
        <w:t xml:space="preserve"> </w:t>
      </w:r>
      <w:r w:rsidR="00A53109">
        <w:t xml:space="preserve">MSAC noted the </w:t>
      </w:r>
      <w:r w:rsidR="006852CA">
        <w:t xml:space="preserve">BPH </w:t>
      </w:r>
      <w:r w:rsidR="00A53109">
        <w:t xml:space="preserve">review concluded that </w:t>
      </w:r>
      <w:r w:rsidR="00330CAB">
        <w:t xml:space="preserve">EEP </w:t>
      </w:r>
      <w:r w:rsidR="00A53109">
        <w:t>had</w:t>
      </w:r>
      <w:r w:rsidR="00330CAB">
        <w:t xml:space="preserve"> non-inferior effectiveness compared to TURP </w:t>
      </w:r>
      <w:r w:rsidR="00A53109">
        <w:t xml:space="preserve">with </w:t>
      </w:r>
      <w:r w:rsidR="00330CAB">
        <w:t xml:space="preserve">some EEP techniques </w:t>
      </w:r>
      <w:r w:rsidR="00860B04">
        <w:t xml:space="preserve">found to be </w:t>
      </w:r>
      <w:r w:rsidR="00330CAB">
        <w:t>statistically superior for some outcomes, but</w:t>
      </w:r>
      <w:r w:rsidR="00CA13A9">
        <w:t xml:space="preserve"> these differences are of unknown</w:t>
      </w:r>
      <w:r w:rsidR="00330CAB">
        <w:t xml:space="preserve"> clinical significance.</w:t>
      </w:r>
      <w:r w:rsidR="00A53109">
        <w:t xml:space="preserve"> MSAC considered EEP had non-inferior safety and effectiveness compared to TURP.</w:t>
      </w:r>
    </w:p>
    <w:p w14:paraId="2651E9A6" w14:textId="351F82AC" w:rsidR="00A7506A" w:rsidRDefault="00A7506A" w:rsidP="00BB64E0">
      <w:r>
        <w:t>Regarding the comparative safety and effectiveness of PUL</w:t>
      </w:r>
      <w:r w:rsidR="00F20B02">
        <w:t xml:space="preserve"> versus TURP</w:t>
      </w:r>
      <w:r>
        <w:t xml:space="preserve">, </w:t>
      </w:r>
      <w:r w:rsidR="00330CAB">
        <w:t xml:space="preserve">MSAC </w:t>
      </w:r>
      <w:r w:rsidR="00A53109">
        <w:t xml:space="preserve">agreed with </w:t>
      </w:r>
      <w:r w:rsidR="00860B04">
        <w:t xml:space="preserve">the </w:t>
      </w:r>
      <w:r w:rsidR="006852CA">
        <w:t xml:space="preserve">BPH </w:t>
      </w:r>
      <w:r w:rsidR="00A53109">
        <w:t xml:space="preserve">review </w:t>
      </w:r>
      <w:r w:rsidR="00330CAB">
        <w:t>that PUL ha</w:t>
      </w:r>
      <w:r w:rsidR="00D60B1E">
        <w:t>d</w:t>
      </w:r>
      <w:r w:rsidR="00330CAB">
        <w:t xml:space="preserve"> superior safety compared to TURP for two safety outcomes, retrograde </w:t>
      </w:r>
      <w:proofErr w:type="gramStart"/>
      <w:r w:rsidR="00330CAB">
        <w:t>ejaculation</w:t>
      </w:r>
      <w:proofErr w:type="gramEnd"/>
      <w:r w:rsidR="00330CAB">
        <w:t xml:space="preserve"> and urinary incontinence. PUL showed no difference to TURP for major adverse events, urinary tract infections or urethral strictures. </w:t>
      </w:r>
      <w:r>
        <w:t xml:space="preserve">MSAC also noted that PUL may have been superior </w:t>
      </w:r>
      <w:r w:rsidR="00A53109">
        <w:t xml:space="preserve">for erectile dysfunction </w:t>
      </w:r>
      <w:r>
        <w:t>but the trial evidence for PUL was not powered to show this.</w:t>
      </w:r>
      <w:r w:rsidR="00330CAB" w:rsidRPr="00330CAB">
        <w:t xml:space="preserve"> </w:t>
      </w:r>
      <w:r w:rsidR="00330CAB">
        <w:t>MSAC noted that PUL</w:t>
      </w:r>
      <w:r w:rsidR="00A53109">
        <w:t xml:space="preserve"> </w:t>
      </w:r>
      <w:r w:rsidR="00EC64B3">
        <w:t xml:space="preserve">had </w:t>
      </w:r>
      <w:r w:rsidR="00330CAB">
        <w:t xml:space="preserve">statistically and clinically </w:t>
      </w:r>
      <w:r w:rsidR="00CA13A9">
        <w:t>poorer</w:t>
      </w:r>
      <w:r w:rsidR="00330CAB">
        <w:t xml:space="preserve"> outcomes for IPSS</w:t>
      </w:r>
      <w:r w:rsidR="00A53109">
        <w:t xml:space="preserve"> </w:t>
      </w:r>
      <w:r w:rsidR="00676F4E">
        <w:t xml:space="preserve">at </w:t>
      </w:r>
      <w:r w:rsidR="00A53109">
        <w:t>12 months</w:t>
      </w:r>
      <w:r w:rsidR="00330CAB">
        <w:t xml:space="preserve"> and </w:t>
      </w:r>
      <w:proofErr w:type="spellStart"/>
      <w:r w:rsidR="00330CAB">
        <w:t>Qmax</w:t>
      </w:r>
      <w:proofErr w:type="spellEnd"/>
      <w:r w:rsidR="00330CAB">
        <w:t xml:space="preserve"> at </w:t>
      </w:r>
      <w:r w:rsidR="00A53109">
        <w:t xml:space="preserve">6 and </w:t>
      </w:r>
      <w:r w:rsidR="00330CAB">
        <w:t>12 months</w:t>
      </w:r>
      <w:r w:rsidR="00A53109">
        <w:t xml:space="preserve"> compared to TURP</w:t>
      </w:r>
      <w:r w:rsidR="00330CAB">
        <w:t>.</w:t>
      </w:r>
      <w:r w:rsidR="00330CAB" w:rsidRPr="00330CAB">
        <w:t xml:space="preserve"> </w:t>
      </w:r>
      <w:r w:rsidR="00330CAB">
        <w:t xml:space="preserve">MSAC disagreed with the pre-MSAC response from Teleflex Medical (applicant for PUL – MSAC application 1612) which claimed </w:t>
      </w:r>
      <w:r w:rsidR="00D60B1E">
        <w:t xml:space="preserve">PUL had </w:t>
      </w:r>
      <w:r w:rsidR="00330CAB">
        <w:t xml:space="preserve">non-inferior clinical effectiveness compared with TURP. MSAC acknowledged that six months post-intervention, PUL </w:t>
      </w:r>
      <w:r w:rsidR="00D60B1E">
        <w:t>was</w:t>
      </w:r>
      <w:r w:rsidR="00330CAB">
        <w:t xml:space="preserve"> non-inferior</w:t>
      </w:r>
      <w:r w:rsidR="00A53109">
        <w:t xml:space="preserve"> </w:t>
      </w:r>
      <w:r w:rsidR="00CA13A9">
        <w:t xml:space="preserve">to TURP </w:t>
      </w:r>
      <w:r w:rsidR="00A53109">
        <w:t>for IPSS</w:t>
      </w:r>
      <w:r w:rsidR="00330CAB">
        <w:t xml:space="preserve">, but </w:t>
      </w:r>
      <w:r w:rsidR="00A53109">
        <w:t xml:space="preserve">MSAC considered </w:t>
      </w:r>
      <w:r w:rsidR="00330CAB">
        <w:t xml:space="preserve">after one </w:t>
      </w:r>
      <w:r w:rsidR="00CA13A9">
        <w:t>and</w:t>
      </w:r>
      <w:r w:rsidR="00330CAB">
        <w:t xml:space="preserve"> two years PUL </w:t>
      </w:r>
      <w:r w:rsidR="00D60B1E">
        <w:t>was</w:t>
      </w:r>
      <w:r w:rsidR="00330CAB">
        <w:t xml:space="preserve"> inferior</w:t>
      </w:r>
      <w:r w:rsidR="00D60B1E">
        <w:t xml:space="preserve"> </w:t>
      </w:r>
      <w:r w:rsidR="00CA13A9">
        <w:t xml:space="preserve">to TURP </w:t>
      </w:r>
      <w:r w:rsidR="00D60B1E">
        <w:t>for IPSS</w:t>
      </w:r>
      <w:r w:rsidR="00330CAB">
        <w:t xml:space="preserve">. MSAC noted that the reintervention rates </w:t>
      </w:r>
      <w:r w:rsidR="00CA13A9">
        <w:t xml:space="preserve">for PUL and TURP </w:t>
      </w:r>
      <w:r w:rsidR="00330CAB">
        <w:t>were similar after one year (about 6%</w:t>
      </w:r>
      <w:proofErr w:type="gramStart"/>
      <w:r w:rsidR="00330CAB">
        <w:t>), but</w:t>
      </w:r>
      <w:proofErr w:type="gramEnd"/>
      <w:r w:rsidR="00330CAB">
        <w:t xml:space="preserve"> were much higher for PUL (13.6%) after five years (LIFT trial). MSAC </w:t>
      </w:r>
      <w:r w:rsidR="00A53109">
        <w:t>acknowledge</w:t>
      </w:r>
      <w:r w:rsidR="00CA13A9">
        <w:t>d</w:t>
      </w:r>
      <w:r w:rsidR="00330CAB">
        <w:t xml:space="preserve"> that although TURP is superior for IPSS change, PUL still does achieve a significant change</w:t>
      </w:r>
      <w:r w:rsidR="00CA13A9">
        <w:t xml:space="preserve">: PUL </w:t>
      </w:r>
      <w:r w:rsidR="00330CAB">
        <w:t xml:space="preserve">11.4 vs </w:t>
      </w:r>
      <w:r w:rsidR="00CA13A9">
        <w:t xml:space="preserve">TURP </w:t>
      </w:r>
      <w:r w:rsidR="00330CAB">
        <w:t xml:space="preserve">15.4 </w:t>
      </w:r>
      <w:r w:rsidR="00CA13A9">
        <w:t>at</w:t>
      </w:r>
      <w:r w:rsidR="00330CAB">
        <w:t xml:space="preserve"> 12 months. </w:t>
      </w:r>
      <w:r w:rsidR="00A53109">
        <w:t>However, based on the comparative evidence, MSAC considered PUL has</w:t>
      </w:r>
      <w:r w:rsidR="00D60B1E">
        <w:t xml:space="preserve"> superior safety and inferio</w:t>
      </w:r>
      <w:r w:rsidR="00D52DDC">
        <w:t>r</w:t>
      </w:r>
      <w:r w:rsidR="00D60B1E">
        <w:t xml:space="preserve"> effectiveness compared to TURP.</w:t>
      </w:r>
    </w:p>
    <w:p w14:paraId="515CE9F2" w14:textId="04977B53" w:rsidR="00330CAB" w:rsidRDefault="00A7506A" w:rsidP="00BB64E0">
      <w:r>
        <w:t>Regarding the comparative safety and effectiveness of TUMT</w:t>
      </w:r>
      <w:r w:rsidR="00F20B02">
        <w:t xml:space="preserve"> versus TURP</w:t>
      </w:r>
      <w:r>
        <w:t xml:space="preserve">, MSAC noted that the </w:t>
      </w:r>
      <w:r w:rsidR="006852CA">
        <w:t xml:space="preserve">BPH </w:t>
      </w:r>
      <w:r>
        <w:t xml:space="preserve">review suggested TUMT </w:t>
      </w:r>
      <w:r w:rsidR="00D60B1E">
        <w:t>had</w:t>
      </w:r>
      <w:r>
        <w:t xml:space="preserve"> superior safety versus TURP for some outcomes. However, MSAC was not convinced that TUMT has superior safety. MSAC noted safety data for TUMT were only available for three of the seven safety outcomes summarised in the</w:t>
      </w:r>
      <w:r w:rsidR="006852CA">
        <w:t xml:space="preserve"> BPH</w:t>
      </w:r>
      <w:r>
        <w:t xml:space="preserve"> review, and TUMT was only superior in safety for major adverse events.</w:t>
      </w:r>
      <w:r w:rsidR="00D60B1E">
        <w:t xml:space="preserve"> </w:t>
      </w:r>
      <w:r>
        <w:t>TUMT was non-inferior for urinary tract infection and urethral stricture safety outcomes.</w:t>
      </w:r>
      <w:r w:rsidR="00330CAB" w:rsidRPr="00330CAB">
        <w:t xml:space="preserve"> </w:t>
      </w:r>
      <w:r w:rsidR="00D60B1E">
        <w:t xml:space="preserve">For IPSS and </w:t>
      </w:r>
      <w:proofErr w:type="spellStart"/>
      <w:r w:rsidR="00D60B1E">
        <w:t>Qmax</w:t>
      </w:r>
      <w:proofErr w:type="spellEnd"/>
      <w:r w:rsidR="00D60B1E">
        <w:t xml:space="preserve"> effectiveness outcomes, </w:t>
      </w:r>
      <w:r w:rsidR="00330CAB">
        <w:t xml:space="preserve">TUMT </w:t>
      </w:r>
      <w:r w:rsidR="00D60B1E">
        <w:t>was inferior for both outcomes at 6 and 12 months.</w:t>
      </w:r>
      <w:r w:rsidR="00330CAB">
        <w:t xml:space="preserve"> </w:t>
      </w:r>
      <w:r w:rsidR="00D60B1E">
        <w:t>Overall, MSAC considered TUMT had unclear or non-inferior safety and inferior effectiveness compared to TURP.</w:t>
      </w:r>
    </w:p>
    <w:p w14:paraId="780A846D" w14:textId="762FF07E" w:rsidR="00A7506A" w:rsidRDefault="00A7506A" w:rsidP="00A7506A">
      <w:r>
        <w:lastRenderedPageBreak/>
        <w:t>Regarding the comparative safety and effectiveness of TUWA</w:t>
      </w:r>
      <w:r w:rsidR="00F20B02">
        <w:t xml:space="preserve"> versus TURP</w:t>
      </w:r>
      <w:r>
        <w:t xml:space="preserve">, MSAC noted </w:t>
      </w:r>
      <w:r w:rsidR="00D60B1E">
        <w:t xml:space="preserve">the </w:t>
      </w:r>
      <w:r w:rsidR="006852CA">
        <w:t xml:space="preserve">BPH </w:t>
      </w:r>
      <w:r w:rsidR="00D60B1E">
        <w:t>review concluded that TUWA had non-inferi</w:t>
      </w:r>
      <w:r w:rsidR="00640829">
        <w:t>or</w:t>
      </w:r>
      <w:r w:rsidR="00D60B1E">
        <w:t xml:space="preserve"> safety </w:t>
      </w:r>
      <w:r w:rsidR="002210B1">
        <w:t>compared</w:t>
      </w:r>
      <w:r w:rsidR="00D60B1E">
        <w:t xml:space="preserve"> to </w:t>
      </w:r>
      <w:r w:rsidR="00C04155">
        <w:t>TURP</w:t>
      </w:r>
      <w:r w:rsidR="00CA13A9">
        <w:t>. However, MSAC noted that this conclusion was based on</w:t>
      </w:r>
      <w:r w:rsidR="00F550E7">
        <w:t xml:space="preserve"> </w:t>
      </w:r>
      <w:r w:rsidR="00640829">
        <w:t xml:space="preserve">a meta-analysis </w:t>
      </w:r>
      <w:r w:rsidR="00CA13A9">
        <w:t>with a</w:t>
      </w:r>
      <w:r w:rsidR="00F550E7" w:rsidRPr="00E643C4">
        <w:t xml:space="preserve"> confidence interval </w:t>
      </w:r>
      <w:r w:rsidR="00CA13A9">
        <w:t xml:space="preserve">that </w:t>
      </w:r>
      <w:r w:rsidR="00F550E7" w:rsidRPr="00E643C4">
        <w:t>includes both substantial reductions and increases in harms</w:t>
      </w:r>
      <w:r w:rsidR="00CA13A9">
        <w:t xml:space="preserve"> indicating low certainty in the reported safety of TUWA compared to TURP</w:t>
      </w:r>
      <w:r w:rsidR="00F550E7" w:rsidRPr="00E643C4">
        <w:t xml:space="preserve">. </w:t>
      </w:r>
      <w:r w:rsidR="00C04155">
        <w:t xml:space="preserve">MSAC noted that </w:t>
      </w:r>
      <w:r w:rsidR="00E71DD6">
        <w:t xml:space="preserve">the </w:t>
      </w:r>
      <w:r w:rsidR="00C04155">
        <w:t>pre-MSAC response from Boston Scientific (applicant for MSAC application 1586)</w:t>
      </w:r>
      <w:r w:rsidR="00F73F6A">
        <w:t xml:space="preserve"> highlighted that the </w:t>
      </w:r>
      <w:r w:rsidR="0013032A">
        <w:t xml:space="preserve">BPH </w:t>
      </w:r>
      <w:r w:rsidR="00F73F6A">
        <w:t xml:space="preserve">review had not included the </w:t>
      </w:r>
      <w:r w:rsidR="00F73F6A" w:rsidRPr="00F73F6A">
        <w:t>MSHQ-</w:t>
      </w:r>
      <w:proofErr w:type="spellStart"/>
      <w:r w:rsidR="00F73F6A" w:rsidRPr="00F73F6A">
        <w:t>EjD</w:t>
      </w:r>
      <w:proofErr w:type="spellEnd"/>
      <w:r w:rsidR="008B4F85">
        <w:rPr>
          <w:rStyle w:val="FootnoteReference"/>
        </w:rPr>
        <w:footnoteReference w:id="2"/>
      </w:r>
      <w:r w:rsidR="00F73F6A" w:rsidRPr="00F73F6A">
        <w:t xml:space="preserve"> ejaculatory function </w:t>
      </w:r>
      <w:r w:rsidR="008B4F85">
        <w:t xml:space="preserve">outcome data previously presented in MSAC application 1586 and </w:t>
      </w:r>
      <w:r w:rsidR="00E71DD6">
        <w:t xml:space="preserve">requested the inclusion of </w:t>
      </w:r>
      <w:r w:rsidR="008B4F85">
        <w:t xml:space="preserve">outcomes for retrograde ejaculation, urinary tract infection, urethral stricture and urinary continence using indirect data. MSAC noted that the </w:t>
      </w:r>
      <w:r w:rsidR="00697027">
        <w:t>indirect</w:t>
      </w:r>
      <w:r w:rsidR="008B4F85">
        <w:t xml:space="preserve"> data indicated</w:t>
      </w:r>
      <w:r w:rsidR="00F73F6A" w:rsidRPr="00F73F6A">
        <w:t xml:space="preserve"> </w:t>
      </w:r>
      <w:r>
        <w:t xml:space="preserve">TUWA </w:t>
      </w:r>
      <w:r w:rsidR="008B4F85">
        <w:t xml:space="preserve">may be superior for erectile dysfunction, urinary </w:t>
      </w:r>
      <w:proofErr w:type="gramStart"/>
      <w:r w:rsidR="008B4F85">
        <w:t>tract</w:t>
      </w:r>
      <w:proofErr w:type="gramEnd"/>
      <w:r w:rsidR="008B4F85">
        <w:t xml:space="preserve"> and urinary incontinence </w:t>
      </w:r>
      <w:r w:rsidR="009D3AF9">
        <w:t xml:space="preserve">safety </w:t>
      </w:r>
      <w:r w:rsidR="008B4F85">
        <w:t>outcomes.</w:t>
      </w:r>
      <w:r w:rsidRPr="00A7506A">
        <w:t xml:space="preserve"> </w:t>
      </w:r>
      <w:r w:rsidR="00330CAB">
        <w:t>MSAC noted that TUWA</w:t>
      </w:r>
      <w:r w:rsidR="00676F4E">
        <w:t xml:space="preserve"> has</w:t>
      </w:r>
      <w:r w:rsidR="00330CAB">
        <w:t xml:space="preserve"> inferior effectiveness compared to TURP</w:t>
      </w:r>
      <w:r w:rsidR="00697027">
        <w:t xml:space="preserve">, </w:t>
      </w:r>
      <w:proofErr w:type="gramStart"/>
      <w:r w:rsidR="00697027">
        <w:t>in particular</w:t>
      </w:r>
      <w:r w:rsidR="00330CAB">
        <w:t xml:space="preserve"> TUWA</w:t>
      </w:r>
      <w:proofErr w:type="gramEnd"/>
      <w:r w:rsidR="00330CAB">
        <w:t xml:space="preserve"> ha</w:t>
      </w:r>
      <w:r w:rsidR="00697027">
        <w:t>d</w:t>
      </w:r>
      <w:r w:rsidR="00330CAB">
        <w:t xml:space="preserve"> statistically and clinically worse outcomes for IPSS and </w:t>
      </w:r>
      <w:proofErr w:type="spellStart"/>
      <w:r w:rsidR="00330CAB">
        <w:t>Qmax</w:t>
      </w:r>
      <w:proofErr w:type="spellEnd"/>
      <w:r w:rsidR="00330CAB">
        <w:t xml:space="preserve"> at 12 months.</w:t>
      </w:r>
      <w:r w:rsidR="00E71DD6">
        <w:t xml:space="preserve"> However,</w:t>
      </w:r>
      <w:r w:rsidR="00697027">
        <w:t xml:space="preserve"> MSAC agreed with ESC, that as the</w:t>
      </w:r>
      <w:r w:rsidR="00E71DD6">
        <w:t>se</w:t>
      </w:r>
      <w:r w:rsidR="00697027">
        <w:t xml:space="preserve"> comparison</w:t>
      </w:r>
      <w:r w:rsidR="00E71DD6">
        <w:t>s</w:t>
      </w:r>
      <w:r w:rsidR="00697027">
        <w:t xml:space="preserve"> relied on naïve or indirect treatment comparison</w:t>
      </w:r>
      <w:r w:rsidR="00E71DD6">
        <w:t>s</w:t>
      </w:r>
      <w:r w:rsidR="00697027">
        <w:t>, the evidence should be interpreted with caution</w:t>
      </w:r>
      <w:r w:rsidR="00697027" w:rsidRPr="00FA468E">
        <w:t>.</w:t>
      </w:r>
      <w:r w:rsidR="00697027">
        <w:t xml:space="preserve"> MSAC consider</w:t>
      </w:r>
      <w:r w:rsidR="00E71DD6">
        <w:t>ed that it was reasonable to conclude</w:t>
      </w:r>
      <w:r w:rsidR="00697027">
        <w:t xml:space="preserve"> that TUWA had non-inferior (potentially superior)</w:t>
      </w:r>
      <w:r w:rsidR="00E71DD6">
        <w:t xml:space="preserve"> safety</w:t>
      </w:r>
      <w:r w:rsidR="00697027">
        <w:t xml:space="preserve"> and inferior effectiveness compared to TURP.</w:t>
      </w:r>
    </w:p>
    <w:p w14:paraId="7CFECC53" w14:textId="785296C9" w:rsidR="00330CAB" w:rsidRDefault="00330CAB" w:rsidP="00330CAB">
      <w:r>
        <w:t xml:space="preserve">MSAC </w:t>
      </w:r>
      <w:r w:rsidR="00F20B02">
        <w:t xml:space="preserve">recalled </w:t>
      </w:r>
      <w:r>
        <w:t xml:space="preserve">that when it previously considered MSAC application 1586, MSAC had requested a comparison of TUWA versus VLAP. As there </w:t>
      </w:r>
      <w:r w:rsidR="00F20B02">
        <w:t>was</w:t>
      </w:r>
      <w:r>
        <w:t xml:space="preserve"> no direct comparative evidence comparing TUWA versus VLAP, Boston Scientific provided an addendum to MSAC application 1586 comparing the clinical effectiveness of TUWA with VLAP by presenting an indirect treatment comparison (ITC): TUWA vs sham vs PUL vs TURP vs VLAP, limited to </w:t>
      </w:r>
      <w:r w:rsidR="00E71DD6">
        <w:t xml:space="preserve">outcomes at </w:t>
      </w:r>
      <w:r>
        <w:t xml:space="preserve">3 months. Comparisons beyond 3 months are naïve comparisons. MSAC noted from the </w:t>
      </w:r>
      <w:r w:rsidR="00E71DD6">
        <w:t>C</w:t>
      </w:r>
      <w:r>
        <w:t xml:space="preserve">ommentary that the three-step ITC analysis has a significant risk of bias, especially for the naïve comparison of longer-term outcomes beyond 3 months. MSAC noted from the ITC that VLAP is likely superior to TUWA for IPSS and </w:t>
      </w:r>
      <w:proofErr w:type="spellStart"/>
      <w:r>
        <w:t>Qmax</w:t>
      </w:r>
      <w:proofErr w:type="spellEnd"/>
      <w:r>
        <w:t>, while TUWA may be superior to VLAP with respect to sexual dysfunction and incontinence. TUWA and VLAP are likely equivalent for urinary tract infection and transient retention. For retreatment, MSAC noted that real world data</w:t>
      </w:r>
      <w:r>
        <w:rPr>
          <w:rStyle w:val="FootnoteReference"/>
        </w:rPr>
        <w:footnoteReference w:id="3"/>
      </w:r>
      <w:r>
        <w:t xml:space="preserve"> suggests that TUWA has a retreatment rate of 9.5% compared to 7% for VLAP.</w:t>
      </w:r>
    </w:p>
    <w:p w14:paraId="7AD7F8C6" w14:textId="3B7B5D75" w:rsidR="00330CAB" w:rsidRDefault="00A7506A" w:rsidP="00330CAB">
      <w:r>
        <w:t>Regarding the comparative safety and effectiveness of VLAP</w:t>
      </w:r>
      <w:r w:rsidR="00F20B02">
        <w:t xml:space="preserve"> versus TURP</w:t>
      </w:r>
      <w:r>
        <w:t xml:space="preserve">, MSAC noted </w:t>
      </w:r>
      <w:r w:rsidRPr="00A7506A">
        <w:t xml:space="preserve">VLAP </w:t>
      </w:r>
      <w:r w:rsidR="004D38C3">
        <w:t>had</w:t>
      </w:r>
      <w:r w:rsidRPr="00A7506A">
        <w:t xml:space="preserve"> superior</w:t>
      </w:r>
      <w:r w:rsidR="004D38C3">
        <w:t xml:space="preserve"> safety for transfusion </w:t>
      </w:r>
      <w:r w:rsidR="002210B1">
        <w:t>requirement</w:t>
      </w:r>
      <w:r w:rsidRPr="00A7506A">
        <w:t xml:space="preserve">, non-inferior </w:t>
      </w:r>
      <w:r w:rsidR="004D38C3">
        <w:t xml:space="preserve">safety for erectile dysfunction </w:t>
      </w:r>
      <w:r w:rsidRPr="00A7506A">
        <w:t xml:space="preserve">and </w:t>
      </w:r>
      <w:r w:rsidR="002210B1" w:rsidRPr="00A7506A">
        <w:t>inferior</w:t>
      </w:r>
      <w:r w:rsidR="002210B1">
        <w:t xml:space="preserve"> safety</w:t>
      </w:r>
      <w:r w:rsidR="004D38C3">
        <w:t xml:space="preserve"> for urinary tract infection and urinary stricture. The </w:t>
      </w:r>
      <w:r w:rsidR="002210B1">
        <w:t>evidence</w:t>
      </w:r>
      <w:r w:rsidR="004D38C3">
        <w:t xml:space="preserve"> </w:t>
      </w:r>
      <w:r w:rsidR="002210B1">
        <w:t xml:space="preserve">indicated </w:t>
      </w:r>
      <w:r w:rsidR="002210B1" w:rsidRPr="00330CAB">
        <w:t>VLAP</w:t>
      </w:r>
      <w:r w:rsidR="00330CAB">
        <w:t xml:space="preserve"> </w:t>
      </w:r>
      <w:r w:rsidR="004D38C3">
        <w:t xml:space="preserve">had non-inferior effectiveness compared to TURP for IPSS, </w:t>
      </w:r>
      <w:proofErr w:type="spellStart"/>
      <w:r w:rsidR="004D38C3">
        <w:t>Qmax</w:t>
      </w:r>
      <w:proofErr w:type="spellEnd"/>
      <w:r w:rsidR="004D38C3">
        <w:t xml:space="preserve"> and reintervention outcomes. Overall, MSAC agreed with the </w:t>
      </w:r>
      <w:r w:rsidR="006852CA">
        <w:t xml:space="preserve">BPH </w:t>
      </w:r>
      <w:r w:rsidR="004D38C3">
        <w:t>review that VLAP had non-inferior safety and effectiveness compared to TURP</w:t>
      </w:r>
      <w:r w:rsidR="00330CAB">
        <w:t>.</w:t>
      </w:r>
    </w:p>
    <w:p w14:paraId="1972A06E" w14:textId="286CD386" w:rsidR="00AB159A" w:rsidRDefault="00EC1B79" w:rsidP="00AB159A">
      <w:r>
        <w:t>Regarding cost-effectiveness, MSAC recalled that, during the July 2020 consideration of TUWA and PU</w:t>
      </w:r>
      <w:r w:rsidR="00330CAB">
        <w:t>L</w:t>
      </w:r>
      <w:r>
        <w:t xml:space="preserve">, MSAC had </w:t>
      </w:r>
      <w:r w:rsidRPr="00EC1B79">
        <w:t xml:space="preserve">expressed concern that it was difficult to compare costs and determine appropriate fees, as each application used different </w:t>
      </w:r>
      <w:r w:rsidR="002210B1" w:rsidRPr="00EC1B79">
        <w:t>costing approaches</w:t>
      </w:r>
      <w:r w:rsidRPr="00EC1B79">
        <w:t xml:space="preserve">. Thus, verification of appropriate costs for each procedure and </w:t>
      </w:r>
      <w:r w:rsidR="00E71DD6">
        <w:t xml:space="preserve">a </w:t>
      </w:r>
      <w:r w:rsidRPr="00EC1B79">
        <w:t xml:space="preserve">consistent application </w:t>
      </w:r>
      <w:r w:rsidR="00E71DD6">
        <w:t xml:space="preserve">of these costs </w:t>
      </w:r>
      <w:r w:rsidRPr="00EC1B79">
        <w:t xml:space="preserve">was an important </w:t>
      </w:r>
      <w:r>
        <w:t>objective</w:t>
      </w:r>
      <w:r w:rsidRPr="00EC1B79">
        <w:t xml:space="preserve"> of the </w:t>
      </w:r>
      <w:r>
        <w:t xml:space="preserve">BPH </w:t>
      </w:r>
      <w:r w:rsidRPr="00EC1B79">
        <w:t>review.</w:t>
      </w:r>
      <w:r>
        <w:t xml:space="preserve"> MSAC agreed with ESC that the BPH review was</w:t>
      </w:r>
      <w:r w:rsidR="00330CAB">
        <w:t xml:space="preserve"> </w:t>
      </w:r>
      <w:r w:rsidRPr="00EC1B79">
        <w:t>comprehensive and thorough in its approach to costing the procedures</w:t>
      </w:r>
      <w:r>
        <w:t>. MSAC also agreed with ESC that the presentation of</w:t>
      </w:r>
      <w:r w:rsidRPr="00EC1B79">
        <w:t xml:space="preserve"> </w:t>
      </w:r>
      <w:r w:rsidR="00E71DD6">
        <w:t>a cost-</w:t>
      </w:r>
      <w:r w:rsidRPr="00EC1B79">
        <w:t xml:space="preserve">consequence analysis </w:t>
      </w:r>
      <w:r w:rsidR="00E71DD6">
        <w:t xml:space="preserve">for all outcomes </w:t>
      </w:r>
      <w:r w:rsidRPr="00EC1B79">
        <w:t xml:space="preserve">and </w:t>
      </w:r>
      <w:r>
        <w:t xml:space="preserve">a cost-effectiveness analysis </w:t>
      </w:r>
      <w:r w:rsidRPr="00EC1B79">
        <w:t xml:space="preserve">for some outcomes (IPSS and </w:t>
      </w:r>
      <w:proofErr w:type="spellStart"/>
      <w:r w:rsidRPr="00EC1B79">
        <w:t>Qmax</w:t>
      </w:r>
      <w:proofErr w:type="spellEnd"/>
      <w:r w:rsidRPr="00EC1B79">
        <w:t xml:space="preserve">) </w:t>
      </w:r>
      <w:r>
        <w:t>was</w:t>
      </w:r>
      <w:r w:rsidRPr="00EC1B79">
        <w:t xml:space="preserve"> appropriate</w:t>
      </w:r>
      <w:r w:rsidR="00E71DD6">
        <w:t xml:space="preserve">, </w:t>
      </w:r>
      <w:r w:rsidRPr="00EC1B79">
        <w:t xml:space="preserve">given </w:t>
      </w:r>
      <w:r w:rsidR="00E71DD6">
        <w:t>the</w:t>
      </w:r>
      <w:r w:rsidRPr="00EC1B79">
        <w:t xml:space="preserve"> number of important health outcomes, the level of evidence available to support the clinical claims, and the trade-offs in effectiveness and safety outcomes.</w:t>
      </w:r>
      <w:r>
        <w:t xml:space="preserve"> MSAC noted </w:t>
      </w:r>
      <w:r w:rsidR="002210B1">
        <w:t>that while</w:t>
      </w:r>
      <w:r w:rsidR="00AB159A">
        <w:t xml:space="preserve"> </w:t>
      </w:r>
      <w:r>
        <w:t>the</w:t>
      </w:r>
      <w:r w:rsidR="00AB159A">
        <w:t xml:space="preserve"> cost-consequence </w:t>
      </w:r>
      <w:r w:rsidR="00AB159A">
        <w:lastRenderedPageBreak/>
        <w:t>analysis d</w:t>
      </w:r>
      <w:r>
        <w:t>id</w:t>
      </w:r>
      <w:r w:rsidR="00AB159A">
        <w:t xml:space="preserve"> not allow procedures to be compared to each other using a single outcome, it d</w:t>
      </w:r>
      <w:r>
        <w:t>id</w:t>
      </w:r>
      <w:r w:rsidR="00AB159A">
        <w:t xml:space="preserve"> allow the procedures to be benchmarked against TURP.</w:t>
      </w:r>
    </w:p>
    <w:p w14:paraId="5D8161F1" w14:textId="18027CE5" w:rsidR="00AB159A" w:rsidRDefault="00AB159A" w:rsidP="00AB159A">
      <w:r>
        <w:t xml:space="preserve">MSAC noted </w:t>
      </w:r>
      <w:r w:rsidR="00EC1B79">
        <w:t xml:space="preserve">the BPH review assumed </w:t>
      </w:r>
      <w:r>
        <w:t xml:space="preserve">all procedures were </w:t>
      </w:r>
      <w:r w:rsidR="00EC1B79">
        <w:t>performed</w:t>
      </w:r>
      <w:r>
        <w:t xml:space="preserve"> in hospital under general anaesthesia</w:t>
      </w:r>
      <w:r w:rsidR="00EC1B79">
        <w:t>, which is consistent with clinical practice</w:t>
      </w:r>
      <w:r>
        <w:t xml:space="preserve"> in Australia. MSAC noted that the costs associated with anaesthesia </w:t>
      </w:r>
      <w:r w:rsidR="00EC1B79">
        <w:t xml:space="preserve">were </w:t>
      </w:r>
      <w:r>
        <w:t xml:space="preserve">based on the estimated mean procedure durations for each procedure. MSAC noted that the mean operative times for each BPH procedure were as follows: EEP 73 minutes, VLAP 72 minutes, TURP 64 minutes, PUL 55 minutes, TUMT 30 minutes, </w:t>
      </w:r>
      <w:r w:rsidR="001A5875">
        <w:t xml:space="preserve">and </w:t>
      </w:r>
      <w:r>
        <w:t xml:space="preserve">TUWA 20 minutes. MSAC also noted that it was assumed that TURP will be the method for all reinterventions. MSAC </w:t>
      </w:r>
      <w:r w:rsidR="001A5875">
        <w:t xml:space="preserve">noted </w:t>
      </w:r>
      <w:r>
        <w:t xml:space="preserve">that TURP is not always the reintervention method, </w:t>
      </w:r>
      <w:r w:rsidR="009A33A9">
        <w:t xml:space="preserve">for example </w:t>
      </w:r>
      <w:r>
        <w:t>PUL can be used</w:t>
      </w:r>
      <w:r w:rsidR="009A33A9">
        <w:t xml:space="preserve"> instead, however MSAC considered it </w:t>
      </w:r>
      <w:r w:rsidR="002210B1">
        <w:t>reasonable</w:t>
      </w:r>
      <w:r w:rsidR="009A33A9">
        <w:t xml:space="preserve"> to assume</w:t>
      </w:r>
      <w:r w:rsidR="00E71DD6">
        <w:t xml:space="preserve"> that</w:t>
      </w:r>
      <w:r w:rsidR="009A33A9">
        <w:t xml:space="preserve"> TURP </w:t>
      </w:r>
      <w:r w:rsidR="00E71DD6">
        <w:t>is</w:t>
      </w:r>
      <w:r w:rsidR="009A33A9">
        <w:t xml:space="preserve"> the </w:t>
      </w:r>
      <w:r w:rsidR="00E71DD6">
        <w:t xml:space="preserve">typical </w:t>
      </w:r>
      <w:r w:rsidR="009A33A9">
        <w:t>reintervention procedure</w:t>
      </w:r>
      <w:r>
        <w:t>.</w:t>
      </w:r>
    </w:p>
    <w:p w14:paraId="069816CC" w14:textId="02D3EA95" w:rsidR="00013224" w:rsidRDefault="00AB159A" w:rsidP="00013224">
      <w:r>
        <w:t xml:space="preserve">MSAC noted that the total cost of TURP was estimated to be $6,876 per procedure. </w:t>
      </w:r>
      <w:proofErr w:type="gramStart"/>
      <w:r>
        <w:t>All of</w:t>
      </w:r>
      <w:proofErr w:type="gramEnd"/>
      <w:r>
        <w:t xml:space="preserve"> the minimally invasive interventions were estimated to cost less than TURP, with the exception of PUL</w:t>
      </w:r>
      <w:r w:rsidR="00E71DD6">
        <w:t xml:space="preserve"> when</w:t>
      </w:r>
      <w:r>
        <w:t xml:space="preserve"> the MBS service costs are increased to $1,058.80 </w:t>
      </w:r>
      <w:r w:rsidR="00E71DD6">
        <w:t>(</w:t>
      </w:r>
      <w:r>
        <w:t xml:space="preserve">as originally requested </w:t>
      </w:r>
      <w:r w:rsidR="003D1235">
        <w:t>in MSAC application 1612</w:t>
      </w:r>
      <w:r w:rsidR="00E71DD6">
        <w:t>)</w:t>
      </w:r>
      <w:r>
        <w:t xml:space="preserve">. </w:t>
      </w:r>
      <w:r w:rsidR="00013224">
        <w:t xml:space="preserve">MSAC noted that the cost of PUL is sensitive to the number of prostheses used. MSAC recalled MSAC application 1612 had </w:t>
      </w:r>
      <w:r w:rsidR="00E71DD6">
        <w:t xml:space="preserve">assumed </w:t>
      </w:r>
      <w:r w:rsidR="00013224">
        <w:t>four implants</w:t>
      </w:r>
      <w:r w:rsidR="00E71DD6">
        <w:t xml:space="preserve"> per procedure</w:t>
      </w:r>
      <w:r w:rsidR="00013224">
        <w:t xml:space="preserve">, but at that time MSAC had noted that the cost of PUL may be underestimated due to the number of implants required. MSAC noted that the </w:t>
      </w:r>
      <w:r w:rsidR="006852CA">
        <w:t xml:space="preserve">BPH </w:t>
      </w:r>
      <w:r w:rsidR="00013224">
        <w:t>review used results of a recent systematic review and applied</w:t>
      </w:r>
      <w:r w:rsidR="00E71DD6">
        <w:t xml:space="preserve"> </w:t>
      </w:r>
      <w:r w:rsidR="00013224">
        <w:t>4.54 implants</w:t>
      </w:r>
      <w:r w:rsidR="00E71DD6">
        <w:t xml:space="preserve"> per procedure</w:t>
      </w:r>
      <w:r w:rsidR="00013224">
        <w:t xml:space="preserve"> which MSAC considered appropriate.</w:t>
      </w:r>
    </w:p>
    <w:p w14:paraId="3DFD48D5" w14:textId="448A68EE" w:rsidR="00013224" w:rsidRDefault="00AB159A" w:rsidP="00AB159A">
      <w:r>
        <w:t>MSAC noted</w:t>
      </w:r>
      <w:r w:rsidR="003D1235">
        <w:t xml:space="preserve"> the pre-MSAC response from Teleflex Medical (applicant for MSAC 1612)</w:t>
      </w:r>
      <w:r w:rsidR="001A5875">
        <w:t xml:space="preserve"> advised that</w:t>
      </w:r>
      <w:r w:rsidR="003D1235">
        <w:t xml:space="preserve"> </w:t>
      </w:r>
      <w:proofErr w:type="gramStart"/>
      <w:r w:rsidR="003D1235" w:rsidRPr="003D1235">
        <w:t>the majority of</w:t>
      </w:r>
      <w:proofErr w:type="gramEnd"/>
      <w:r w:rsidR="003D1235" w:rsidRPr="003D1235">
        <w:t xml:space="preserve"> equipment required for PUL is the same as for TURP, </w:t>
      </w:r>
      <w:r w:rsidR="00013224">
        <w:t xml:space="preserve">meaning the </w:t>
      </w:r>
      <w:r w:rsidR="003D1235" w:rsidRPr="003D1235">
        <w:t xml:space="preserve">incremental capital costs for PUL are very low ($63 per PUL vs $56 per TURP) as hospitals would </w:t>
      </w:r>
      <w:r w:rsidR="00013224">
        <w:t xml:space="preserve">already </w:t>
      </w:r>
      <w:r w:rsidR="003D1235" w:rsidRPr="003D1235">
        <w:t>be set up to perform both procedures</w:t>
      </w:r>
      <w:r w:rsidR="003D1235">
        <w:t xml:space="preserve">. When this was taken into consideration, along with </w:t>
      </w:r>
      <w:r>
        <w:t xml:space="preserve">the new proposed </w:t>
      </w:r>
      <w:r w:rsidR="003D1235">
        <w:t xml:space="preserve">fee </w:t>
      </w:r>
      <w:r>
        <w:t>of $842.10</w:t>
      </w:r>
      <w:r w:rsidR="003D1235">
        <w:t xml:space="preserve"> for PUL</w:t>
      </w:r>
      <w:r>
        <w:t xml:space="preserve">, </w:t>
      </w:r>
      <w:r w:rsidR="003D1235">
        <w:t xml:space="preserve">Teleflex Medical claimed </w:t>
      </w:r>
      <w:r>
        <w:t xml:space="preserve">the </w:t>
      </w:r>
      <w:r w:rsidR="003D1235">
        <w:t xml:space="preserve">total </w:t>
      </w:r>
      <w:r>
        <w:t>costs</w:t>
      </w:r>
      <w:r w:rsidR="00E71DD6">
        <w:t xml:space="preserve"> per procedure</w:t>
      </w:r>
      <w:r>
        <w:t xml:space="preserve"> for PUL</w:t>
      </w:r>
      <w:r w:rsidR="00DA5963">
        <w:t xml:space="preserve"> </w:t>
      </w:r>
      <w:r w:rsidR="001A5875">
        <w:t>were</w:t>
      </w:r>
      <w:r w:rsidR="00DA5963">
        <w:t xml:space="preserve"> less than </w:t>
      </w:r>
      <w:r w:rsidR="00E71DD6">
        <w:t xml:space="preserve">for </w:t>
      </w:r>
      <w:r w:rsidR="00DA5963">
        <w:t>TURP</w:t>
      </w:r>
      <w:r>
        <w:t xml:space="preserve">. </w:t>
      </w:r>
      <w:r w:rsidR="00DA5963">
        <w:t xml:space="preserve"> </w:t>
      </w:r>
    </w:p>
    <w:p w14:paraId="47974D6A" w14:textId="5BF36BA6" w:rsidR="00AB159A" w:rsidRDefault="00AB159A" w:rsidP="00AB159A">
      <w:bookmarkStart w:id="2" w:name="_Hlk111452882"/>
      <w:r>
        <w:t>MSAC noted that TUWA consumables, at a cost of $</w:t>
      </w:r>
      <w:r w:rsidR="00BC6842" w:rsidRPr="00BC6842">
        <w:rPr>
          <w:color w:val="000000"/>
          <w:w w:val="67"/>
          <w:shd w:val="solid" w:color="000000" w:fill="000000"/>
          <w:fitText w:val="447" w:id="-1455745280"/>
          <w14:textFill>
            <w14:solidFill>
              <w14:srgbClr w14:val="000000">
                <w14:alpha w14:val="100000"/>
              </w14:srgbClr>
            </w14:solidFill>
          </w14:textFill>
        </w:rPr>
        <w:t>||||||</w:t>
      </w:r>
      <w:r>
        <w:t xml:space="preserve">, are not included on the Protheses List, </w:t>
      </w:r>
      <w:r w:rsidR="00E71DD6">
        <w:t>and raised the possibility that these costs may be passed on to patients if the costs are not covered by private health insurance</w:t>
      </w:r>
      <w:r w:rsidR="00641ACC">
        <w:t>. MSAC noted that any such</w:t>
      </w:r>
      <w:r w:rsidR="00112924">
        <w:t xml:space="preserve"> </w:t>
      </w:r>
      <w:r>
        <w:t xml:space="preserve">out-of-pocket cost for patients </w:t>
      </w:r>
      <w:r w:rsidR="00641ACC">
        <w:t xml:space="preserve">would </w:t>
      </w:r>
      <w:r>
        <w:t xml:space="preserve">require informed </w:t>
      </w:r>
      <w:r w:rsidR="00641ACC">
        <w:t xml:space="preserve">financial </w:t>
      </w:r>
      <w:r>
        <w:t>consent</w:t>
      </w:r>
      <w:r w:rsidR="00641ACC">
        <w:t xml:space="preserve"> from patients</w:t>
      </w:r>
      <w:r>
        <w:t xml:space="preserve">. MSAC </w:t>
      </w:r>
      <w:r w:rsidR="00DA5963">
        <w:t>noted the pre-MSAC responses from Teleflex Medical and Boston Scientific que</w:t>
      </w:r>
      <w:r w:rsidR="00136D6D">
        <w:t>ried</w:t>
      </w:r>
      <w:r w:rsidR="00DA5963">
        <w:t xml:space="preserve"> the </w:t>
      </w:r>
      <w:r w:rsidR="002210B1">
        <w:t>reintervention</w:t>
      </w:r>
      <w:r w:rsidR="00DA5963">
        <w:t xml:space="preserve"> rates (and</w:t>
      </w:r>
      <w:r>
        <w:t xml:space="preserve"> </w:t>
      </w:r>
      <w:r w:rsidR="00DA5963">
        <w:t xml:space="preserve">therefore </w:t>
      </w:r>
      <w:r>
        <w:t>costs</w:t>
      </w:r>
      <w:r w:rsidR="00DA5963">
        <w:t xml:space="preserve">) applied in the </w:t>
      </w:r>
      <w:r w:rsidR="0013032A">
        <w:t xml:space="preserve">BPH </w:t>
      </w:r>
      <w:r w:rsidR="00DA5963">
        <w:t xml:space="preserve">review, however MSAC </w:t>
      </w:r>
      <w:r w:rsidR="002210B1">
        <w:t>consider</w:t>
      </w:r>
      <w:r w:rsidR="00641ACC">
        <w:t>ed</w:t>
      </w:r>
      <w:r w:rsidR="00DA5963">
        <w:t xml:space="preserve"> the alternatives were not well supported by data and considered the reintervention rates (and sensitivit</w:t>
      </w:r>
      <w:r w:rsidR="00641ACC">
        <w:t>y</w:t>
      </w:r>
      <w:r w:rsidR="00DA5963">
        <w:t xml:space="preserve"> analyses testing these rates) were appropriate.</w:t>
      </w:r>
    </w:p>
    <w:bookmarkEnd w:id="2"/>
    <w:p w14:paraId="17B4AAE0" w14:textId="3DF6B8E2" w:rsidR="00AB159A" w:rsidRDefault="00AB159A" w:rsidP="00AB159A">
      <w:r>
        <w:t xml:space="preserve">MSAC noted </w:t>
      </w:r>
      <w:r w:rsidR="00013224">
        <w:t>the cost-effe</w:t>
      </w:r>
      <w:r w:rsidR="008E466C">
        <w:t xml:space="preserve">ctiveness analyses which presented </w:t>
      </w:r>
      <w:r>
        <w:t>the incremental cost-effectiveness ratio</w:t>
      </w:r>
      <w:r w:rsidR="008E466C">
        <w:t>s</w:t>
      </w:r>
      <w:r>
        <w:t xml:space="preserve"> (ICER) </w:t>
      </w:r>
      <w:r w:rsidR="008E466C">
        <w:t xml:space="preserve">for IPSS and </w:t>
      </w:r>
      <w:proofErr w:type="spellStart"/>
      <w:r w:rsidR="008E466C">
        <w:t>Qmax</w:t>
      </w:r>
      <w:proofErr w:type="spellEnd"/>
      <w:r w:rsidR="008E466C">
        <w:t xml:space="preserve"> effectiveness outcomes. MSAC noted that</w:t>
      </w:r>
      <w:r>
        <w:t xml:space="preserve"> EEP dominate</w:t>
      </w:r>
      <w:r w:rsidR="008E466C">
        <w:t>d</w:t>
      </w:r>
      <w:r>
        <w:t xml:space="preserve"> TURP, but </w:t>
      </w:r>
      <w:r w:rsidR="00641ACC">
        <w:t xml:space="preserve">that </w:t>
      </w:r>
      <w:r>
        <w:t xml:space="preserve">the superiority claim may be overstated. </w:t>
      </w:r>
      <w:r w:rsidR="00641ACC">
        <w:t xml:space="preserve">However, when the MBS fee was set to </w:t>
      </w:r>
      <w:r w:rsidR="00D92006" w:rsidRPr="00D92006">
        <w:t>$1,084</w:t>
      </w:r>
      <w:r w:rsidR="00D92006">
        <w:t xml:space="preserve"> </w:t>
      </w:r>
      <w:r w:rsidR="00641ACC">
        <w:t>for PUL (</w:t>
      </w:r>
      <w:r w:rsidR="00D92006">
        <w:t xml:space="preserve">equivalent </w:t>
      </w:r>
      <w:r>
        <w:t xml:space="preserve">to </w:t>
      </w:r>
      <w:r w:rsidR="00641ACC">
        <w:t xml:space="preserve">the MBS fee for </w:t>
      </w:r>
      <w:r>
        <w:t xml:space="preserve">TURP) </w:t>
      </w:r>
      <w:r w:rsidR="00641ACC">
        <w:t xml:space="preserve">PUL </w:t>
      </w:r>
      <w:r w:rsidR="008E466C">
        <w:t>was</w:t>
      </w:r>
      <w:r>
        <w:t xml:space="preserve"> dominated by TURP. MSAC noted </w:t>
      </w:r>
      <w:bookmarkStart w:id="3" w:name="_Hlk111452874"/>
      <w:r>
        <w:t xml:space="preserve">that the ICER for TUWA is in the southwest quadrant of the cost-effectiveness plane, </w:t>
      </w:r>
      <w:r w:rsidR="00641ACC">
        <w:t>with</w:t>
      </w:r>
      <w:r>
        <w:t xml:space="preserve"> $</w:t>
      </w:r>
      <w:r w:rsidR="00BC6842" w:rsidRPr="00BC6842">
        <w:rPr>
          <w:color w:val="000000"/>
          <w:spacing w:val="35"/>
          <w:shd w:val="solid" w:color="000000" w:fill="000000"/>
          <w:fitText w:val="255" w:id="-1455745024"/>
          <w14:textFill>
            <w14:solidFill>
              <w14:srgbClr w14:val="000000">
                <w14:alpha w14:val="100000"/>
              </w14:srgbClr>
            </w14:solidFill>
          </w14:textFill>
        </w:rPr>
        <w:t>|</w:t>
      </w:r>
      <w:r w:rsidR="00BC6842" w:rsidRPr="00BC6842">
        <w:rPr>
          <w:color w:val="000000"/>
          <w:shd w:val="solid" w:color="000000" w:fill="000000"/>
          <w:fitText w:val="255" w:id="-1455745024"/>
          <w14:textFill>
            <w14:solidFill>
              <w14:srgbClr w14:val="000000">
                <w14:alpha w14:val="100000"/>
              </w14:srgbClr>
            </w14:solidFill>
          </w14:textFill>
        </w:rPr>
        <w:t>|</w:t>
      </w:r>
      <w:r>
        <w:t xml:space="preserve"> </w:t>
      </w:r>
      <w:r w:rsidR="00641ACC">
        <w:t xml:space="preserve">of </w:t>
      </w:r>
      <w:r>
        <w:t>cost savings per gain in IPSS.</w:t>
      </w:r>
      <w:r w:rsidR="008E466C">
        <w:t xml:space="preserve"> </w:t>
      </w:r>
      <w:bookmarkEnd w:id="3"/>
    </w:p>
    <w:p w14:paraId="090C0548" w14:textId="070E2498" w:rsidR="00AB159A" w:rsidRDefault="00AB159A" w:rsidP="00AB159A">
      <w:r>
        <w:t>MSAC noted that the average fee charged for each procedure appears to relate linearly to the scheduled fee. MSAC considered that the availability of a range of reimbursed options was important to allow for patient preference.</w:t>
      </w:r>
    </w:p>
    <w:p w14:paraId="738A7A6D" w14:textId="2847F379" w:rsidR="001B30D5" w:rsidRDefault="001B30D5" w:rsidP="00AB159A">
      <w:bookmarkStart w:id="4" w:name="_Hlk111453299"/>
      <w:r>
        <w:t xml:space="preserve">Based on the </w:t>
      </w:r>
      <w:r w:rsidR="008E466C">
        <w:t xml:space="preserve">available evidence for comparative safety, </w:t>
      </w:r>
      <w:proofErr w:type="gramStart"/>
      <w:r w:rsidR="008E466C">
        <w:t>effectiveness</w:t>
      </w:r>
      <w:proofErr w:type="gramEnd"/>
      <w:r w:rsidR="008E466C">
        <w:t xml:space="preserve"> and cost-effectiveness</w:t>
      </w:r>
      <w:r>
        <w:t xml:space="preserve">, </w:t>
      </w:r>
      <w:bookmarkEnd w:id="4"/>
      <w:r>
        <w:t xml:space="preserve">MSAC formulated the following advice regarding which </w:t>
      </w:r>
      <w:r w:rsidR="008E466C">
        <w:t xml:space="preserve">minimally invasive </w:t>
      </w:r>
      <w:r>
        <w:t>BPH procedures should be listed on the Medicare Benefits Schedule (MBS)</w:t>
      </w:r>
      <w:r w:rsidR="008E466C">
        <w:t>. In addition, MSAC also considered procedure duration and complexity when considering the</w:t>
      </w:r>
      <w:r>
        <w:t xml:space="preserve"> appropriate fees for each procedure</w:t>
      </w:r>
      <w:r w:rsidR="008E466C">
        <w:t>.</w:t>
      </w:r>
    </w:p>
    <w:p w14:paraId="15BEE7F7" w14:textId="16DB0C9B" w:rsidR="001B30D5" w:rsidRDefault="008E466C" w:rsidP="001B30D5">
      <w:r>
        <w:lastRenderedPageBreak/>
        <w:t xml:space="preserve">MSAC deliberated on the merits of a generic ablative MBS item </w:t>
      </w:r>
      <w:r w:rsidR="00641ACC">
        <w:t>as</w:t>
      </w:r>
      <w:r>
        <w:t xml:space="preserve"> proposed by the MBS Taskforce Review</w:t>
      </w:r>
      <w:r>
        <w:rPr>
          <w:rStyle w:val="FootnoteReference"/>
        </w:rPr>
        <w:footnoteReference w:id="4"/>
      </w:r>
      <w:r w:rsidR="00641ACC">
        <w:t>.</w:t>
      </w:r>
      <w:r w:rsidR="001B30D5">
        <w:t xml:space="preserve"> </w:t>
      </w:r>
      <w:r w:rsidR="00D52DDC">
        <w:t xml:space="preserve">MSAC noted that this </w:t>
      </w:r>
      <w:r w:rsidR="00641ACC">
        <w:t xml:space="preserve">recommendation </w:t>
      </w:r>
      <w:r w:rsidR="00D52DDC">
        <w:t>had not</w:t>
      </w:r>
      <w:r w:rsidR="00641ACC">
        <w:t xml:space="preserve"> yet</w:t>
      </w:r>
      <w:r w:rsidR="00D52DDC">
        <w:t xml:space="preserve"> been implemented due to </w:t>
      </w:r>
      <w:r w:rsidR="008F70B0">
        <w:t>differences in MBS fees across the BPH items</w:t>
      </w:r>
      <w:r w:rsidR="00D52DDC">
        <w:t xml:space="preserve">. </w:t>
      </w:r>
      <w:r w:rsidR="001B30D5">
        <w:t xml:space="preserve">MSAC did not support repurposing </w:t>
      </w:r>
      <w:r w:rsidR="00D52DDC">
        <w:t xml:space="preserve">the </w:t>
      </w:r>
      <w:r w:rsidR="001B30D5">
        <w:t xml:space="preserve">MBS item </w:t>
      </w:r>
      <w:r w:rsidR="00D52DDC">
        <w:t>for VLAP (</w:t>
      </w:r>
      <w:r w:rsidR="001B30D5">
        <w:t>37202</w:t>
      </w:r>
      <w:r w:rsidR="00D52DDC">
        <w:t>)</w:t>
      </w:r>
      <w:r w:rsidR="001B30D5">
        <w:t xml:space="preserve"> as a new generic item </w:t>
      </w:r>
      <w:r w:rsidR="00D81901">
        <w:t xml:space="preserve">for </w:t>
      </w:r>
      <w:r w:rsidR="001B30D5">
        <w:t>all ablative procedures</w:t>
      </w:r>
      <w:r w:rsidR="00D52DDC">
        <w:t xml:space="preserve"> on the basis that there </w:t>
      </w:r>
      <w:r w:rsidR="002210B1">
        <w:t>are</w:t>
      </w:r>
      <w:r w:rsidR="00D52DDC">
        <w:t xml:space="preserve"> differences in the procedure time</w:t>
      </w:r>
      <w:r w:rsidR="00641ACC">
        <w:t xml:space="preserve"> and</w:t>
      </w:r>
      <w:r w:rsidR="00D52DDC">
        <w:t xml:space="preserve"> complexity</w:t>
      </w:r>
      <w:r w:rsidR="00112924">
        <w:t xml:space="preserve"> </w:t>
      </w:r>
      <w:r w:rsidR="00641ACC">
        <w:t>across the procedures.</w:t>
      </w:r>
    </w:p>
    <w:p w14:paraId="7CB5AA37" w14:textId="1B76B06F" w:rsidR="00D52DDC" w:rsidRDefault="00D52DDC" w:rsidP="001B30D5">
      <w:r>
        <w:t xml:space="preserve">MSAC advised that </w:t>
      </w:r>
      <w:r w:rsidR="00641ACC">
        <w:t xml:space="preserve">the current </w:t>
      </w:r>
      <w:r>
        <w:t>MBS listing</w:t>
      </w:r>
      <w:r w:rsidR="00641ACC">
        <w:t>s</w:t>
      </w:r>
      <w:r>
        <w:t xml:space="preserve"> and fee</w:t>
      </w:r>
      <w:r w:rsidR="00641ACC">
        <w:t>s</w:t>
      </w:r>
      <w:r>
        <w:t xml:space="preserve"> for EEP and VLAP are appropriate and should remain unchanged.</w:t>
      </w:r>
    </w:p>
    <w:p w14:paraId="14260E95" w14:textId="67C8FEC8" w:rsidR="000E4FA8" w:rsidRPr="009C0008" w:rsidDel="007E0AA0" w:rsidRDefault="00D52DDC" w:rsidP="000E4FA8">
      <w:r>
        <w:t>MSAC supported the creation of a new MBS item specific for PUL</w:t>
      </w:r>
      <w:r w:rsidR="000E4FA8">
        <w:t xml:space="preserve"> (rather than amending the generic cytology MBS item 36811)</w:t>
      </w:r>
      <w:r>
        <w:t xml:space="preserve"> </w:t>
      </w:r>
      <w:bookmarkStart w:id="5" w:name="_Hlk111206781"/>
      <w:r>
        <w:t xml:space="preserve">on the basis that </w:t>
      </w:r>
      <w:r w:rsidR="000E4FA8">
        <w:t>PUL</w:t>
      </w:r>
      <w:r>
        <w:t xml:space="preserve"> has</w:t>
      </w:r>
      <w:r w:rsidR="00641ACC">
        <w:t xml:space="preserve"> </w:t>
      </w:r>
      <w:r w:rsidRPr="00D52DDC">
        <w:t>superior safety and inferior effectiveness compared to TURP</w:t>
      </w:r>
      <w:r w:rsidR="00DB7D37">
        <w:t xml:space="preserve">. </w:t>
      </w:r>
      <w:r w:rsidR="00DB7D37" w:rsidRPr="008040F8">
        <w:t xml:space="preserve">MSAC noted there </w:t>
      </w:r>
      <w:r w:rsidR="00641ACC">
        <w:t>is</w:t>
      </w:r>
      <w:r w:rsidR="00DB7D37" w:rsidRPr="008040F8">
        <w:t xml:space="preserve"> a wide range of factors considered by clinicians and patients when choosing a procedure and that patients have different preferences when considering the balance between side effects and long-term </w:t>
      </w:r>
      <w:bookmarkEnd w:id="5"/>
      <w:r w:rsidR="002210B1" w:rsidRPr="008040F8">
        <w:t>effectiveness.</w:t>
      </w:r>
      <w:r>
        <w:t xml:space="preserve"> </w:t>
      </w:r>
      <w:r w:rsidR="000E4FA8">
        <w:t>MSAC considered the</w:t>
      </w:r>
      <w:r>
        <w:t xml:space="preserve"> proposed increased fee of $842.10 </w:t>
      </w:r>
      <w:r w:rsidR="00641ACC">
        <w:t xml:space="preserve">for PUL </w:t>
      </w:r>
      <w:r>
        <w:t>appear</w:t>
      </w:r>
      <w:r w:rsidR="00DB7D37">
        <w:t>ed</w:t>
      </w:r>
      <w:r>
        <w:t xml:space="preserve"> to be commensurate with the pro</w:t>
      </w:r>
      <w:r w:rsidR="000E4FA8">
        <w:t>cedur</w:t>
      </w:r>
      <w:r>
        <w:t xml:space="preserve">e time and complexity. </w:t>
      </w:r>
      <w:r w:rsidR="00DB7D37" w:rsidRPr="008040F8">
        <w:t>MSAC considered that PUL was likely to have total costs that would be comparable to TURP.</w:t>
      </w:r>
      <w:r w:rsidR="00DB7D37">
        <w:t xml:space="preserve"> </w:t>
      </w:r>
      <w:r w:rsidR="000E4FA8" w:rsidDel="007E0AA0">
        <w:t xml:space="preserve">The </w:t>
      </w:r>
      <w:r w:rsidR="00641ACC">
        <w:t xml:space="preserve">item descriptor </w:t>
      </w:r>
      <w:r w:rsidR="00B92DE1">
        <w:t>accepted</w:t>
      </w:r>
      <w:r w:rsidR="00641ACC">
        <w:t xml:space="preserve"> by MSAC</w:t>
      </w:r>
      <w:r w:rsidR="000E4FA8">
        <w:t xml:space="preserve"> for PUL</w:t>
      </w:r>
      <w:r w:rsidR="000E4FA8" w:rsidDel="007E0AA0">
        <w:t xml:space="preserve"> </w:t>
      </w:r>
      <w:r w:rsidR="000E4FA8">
        <w:t>is shown below</w:t>
      </w:r>
      <w:r w:rsidR="000E4FA8" w:rsidDel="007E0AA0">
        <w:t>.</w:t>
      </w:r>
      <w:r w:rsidR="000E4FA8">
        <w:t xml:space="preserve"> </w:t>
      </w:r>
      <w:r>
        <w:t>MSAC did not consider it necessary to include</w:t>
      </w:r>
      <w:r w:rsidR="000E4FA8">
        <w:t xml:space="preserve"> clinical criteria</w:t>
      </w:r>
      <w:r w:rsidR="00641ACC">
        <w:t xml:space="preserve"> in the item descriptor</w:t>
      </w:r>
      <w:r w:rsidR="000E4FA8">
        <w:t xml:space="preserve"> noting there are clinical guidelines available</w:t>
      </w:r>
      <w:r w:rsidR="00641ACC">
        <w:t xml:space="preserve"> that address these</w:t>
      </w:r>
      <w:r w:rsidR="000E4FA8">
        <w:t>.</w:t>
      </w:r>
      <w:r w:rsidR="000E4FA8" w:rsidRPr="000E4FA8">
        <w:t xml:space="preserve"> </w:t>
      </w:r>
      <w:r w:rsidR="000E4FA8">
        <w:t>MSAC noted that PUL</w:t>
      </w:r>
      <w:r w:rsidR="00485252">
        <w:t xml:space="preserve"> </w:t>
      </w:r>
      <w:r w:rsidR="00755456">
        <w:t>can be repeated</w:t>
      </w:r>
      <w:r w:rsidR="00D81901">
        <w:t xml:space="preserve"> </w:t>
      </w:r>
      <w:r w:rsidR="00755456">
        <w:t xml:space="preserve">and therefore </w:t>
      </w:r>
      <w:r w:rsidR="000E4FA8">
        <w:t xml:space="preserve">questioned if the item descriptor should specify a once per lifetime limit. MSAC </w:t>
      </w:r>
      <w:r w:rsidR="00FF164B">
        <w:t>suggested</w:t>
      </w:r>
      <w:r w:rsidR="000E4FA8">
        <w:t xml:space="preserve"> the Department </w:t>
      </w:r>
      <w:r w:rsidR="00FF164B">
        <w:t>could</w:t>
      </w:r>
      <w:r w:rsidR="000E4FA8">
        <w:t xml:space="preserve"> seek input from urologists on whether </w:t>
      </w:r>
      <w:r w:rsidR="00641ACC">
        <w:t xml:space="preserve">such a </w:t>
      </w:r>
      <w:r w:rsidR="000E4FA8">
        <w:t xml:space="preserve">restriction </w:t>
      </w:r>
      <w:r w:rsidR="00641ACC">
        <w:t xml:space="preserve">would </w:t>
      </w:r>
      <w:r w:rsidR="000E4FA8">
        <w:t>disadvantage any population groups.</w:t>
      </w:r>
    </w:p>
    <w:tbl>
      <w:tblPr>
        <w:tblStyle w:val="TableGrid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major blocks"/>
      </w:tblPr>
      <w:tblGrid>
        <w:gridCol w:w="9015"/>
      </w:tblGrid>
      <w:tr w:rsidR="000E4FA8" w:rsidDel="007E0AA0" w14:paraId="05389F55" w14:textId="77777777" w:rsidTr="009C0008">
        <w:trPr>
          <w:cnfStyle w:val="100000000000" w:firstRow="1" w:lastRow="0" w:firstColumn="0" w:lastColumn="0" w:oddVBand="0" w:evenVBand="0" w:oddHBand="0" w:evenHBand="0" w:firstRowFirstColumn="0" w:firstRowLastColumn="0" w:lastRowFirstColumn="0" w:lastRowLastColumn="0"/>
        </w:trPr>
        <w:tc>
          <w:tcPr>
            <w:tcW w:w="9021" w:type="dxa"/>
            <w:tcBorders>
              <w:top w:val="single" w:sz="6" w:space="0" w:color="auto"/>
              <w:left w:val="single" w:sz="6" w:space="0" w:color="auto"/>
              <w:bottom w:val="single" w:sz="6" w:space="0" w:color="auto"/>
              <w:right w:val="single" w:sz="6" w:space="0" w:color="auto"/>
            </w:tcBorders>
            <w:hideMark/>
          </w:tcPr>
          <w:p w14:paraId="130A179D" w14:textId="77777777" w:rsidR="000E4FA8" w:rsidRPr="009C0008" w:rsidDel="007E0AA0" w:rsidRDefault="000E4FA8" w:rsidP="009C0008">
            <w:pPr>
              <w:spacing w:after="120"/>
              <w:rPr>
                <w:rFonts w:ascii="Arial Narrow" w:hAnsi="Arial Narrow" w:cs="Arial"/>
                <w:color w:val="000000"/>
                <w:kern w:val="24"/>
                <w:lang w:eastAsia="en-GB"/>
              </w:rPr>
            </w:pPr>
            <w:r w:rsidRPr="009C0008" w:rsidDel="007E0AA0">
              <w:rPr>
                <w:rFonts w:ascii="Arial Narrow" w:hAnsi="Arial Narrow" w:cs="Arial"/>
                <w:color w:val="000000"/>
                <w:kern w:val="24"/>
                <w:lang w:eastAsia="en-GB"/>
              </w:rPr>
              <w:t>Category [3] – [Therapeutic Procedures]</w:t>
            </w:r>
          </w:p>
        </w:tc>
      </w:tr>
      <w:tr w:rsidR="000E4FA8" w:rsidDel="007E0AA0" w14:paraId="45DC48FC" w14:textId="77777777" w:rsidTr="009C0008">
        <w:tc>
          <w:tcPr>
            <w:tcW w:w="9021" w:type="dxa"/>
            <w:tcBorders>
              <w:top w:val="single" w:sz="6" w:space="0" w:color="auto"/>
              <w:left w:val="single" w:sz="4" w:space="0" w:color="000000"/>
              <w:bottom w:val="single" w:sz="4" w:space="0" w:color="000000"/>
              <w:right w:val="single" w:sz="4" w:space="0" w:color="000000"/>
            </w:tcBorders>
            <w:hideMark/>
          </w:tcPr>
          <w:p w14:paraId="68452351" w14:textId="77777777" w:rsidR="000E4FA8" w:rsidRPr="009C0008" w:rsidDel="007E0AA0" w:rsidRDefault="000E4FA8" w:rsidP="009C0008">
            <w:pPr>
              <w:spacing w:after="120"/>
              <w:rPr>
                <w:rFonts w:ascii="Arial Narrow" w:hAnsi="Arial Narrow" w:cs="Arial"/>
                <w:color w:val="000000"/>
                <w:kern w:val="24"/>
                <w:lang w:eastAsia="en-GB"/>
              </w:rPr>
            </w:pPr>
            <w:r w:rsidRPr="009C0008" w:rsidDel="007E0AA0">
              <w:rPr>
                <w:rFonts w:ascii="Arial Narrow" w:hAnsi="Arial Narrow" w:cs="Arial"/>
                <w:color w:val="000000"/>
                <w:kern w:val="24"/>
                <w:lang w:eastAsia="en-GB"/>
              </w:rPr>
              <w:t xml:space="preserve">CYSTOSCOPY with insertion of prostatic prostheses for the treatment of Benign Prostatic Hyperplasia in men: </w:t>
            </w:r>
          </w:p>
          <w:p w14:paraId="3F68D768" w14:textId="77777777" w:rsidR="000E4FA8" w:rsidRPr="009C0008" w:rsidDel="007E0AA0" w:rsidRDefault="000E4FA8" w:rsidP="009C0008">
            <w:pPr>
              <w:spacing w:after="120"/>
              <w:rPr>
                <w:rFonts w:ascii="Arial Narrow" w:hAnsi="Arial Narrow" w:cs="Arial"/>
                <w:color w:val="000000"/>
                <w:kern w:val="24"/>
                <w:lang w:eastAsia="en-GB"/>
              </w:rPr>
            </w:pPr>
            <w:r w:rsidRPr="009C0008" w:rsidDel="007E0AA0">
              <w:rPr>
                <w:rFonts w:ascii="Arial Narrow" w:hAnsi="Arial Narrow" w:cs="Arial"/>
                <w:color w:val="000000"/>
                <w:kern w:val="24"/>
                <w:lang w:eastAsia="en-GB"/>
              </w:rPr>
              <w:t>Multiple Operation Rule (</w:t>
            </w:r>
            <w:proofErr w:type="spellStart"/>
            <w:r w:rsidRPr="009C0008" w:rsidDel="007E0AA0">
              <w:rPr>
                <w:rFonts w:ascii="Arial Narrow" w:hAnsi="Arial Narrow" w:cs="Arial"/>
                <w:color w:val="000000"/>
                <w:kern w:val="24"/>
                <w:lang w:eastAsia="en-GB"/>
              </w:rPr>
              <w:t>Anaes</w:t>
            </w:r>
            <w:proofErr w:type="spellEnd"/>
            <w:r w:rsidRPr="009C0008" w:rsidDel="007E0AA0">
              <w:rPr>
                <w:rFonts w:ascii="Arial Narrow" w:hAnsi="Arial Narrow" w:cs="Arial"/>
                <w:color w:val="000000"/>
                <w:kern w:val="24"/>
                <w:lang w:eastAsia="en-GB"/>
              </w:rPr>
              <w:t xml:space="preserve">.) </w:t>
            </w:r>
          </w:p>
          <w:p w14:paraId="341C89B9" w14:textId="77777777" w:rsidR="000E4FA8" w:rsidDel="007E0AA0" w:rsidRDefault="000E4FA8" w:rsidP="009C0008">
            <w:pPr>
              <w:spacing w:after="120"/>
              <w:rPr>
                <w:rFonts w:ascii="Arial Narrow" w:hAnsi="Arial Narrow"/>
                <w:lang w:eastAsia="ja-JP"/>
              </w:rPr>
            </w:pPr>
            <w:r w:rsidRPr="009C0008" w:rsidDel="007E0AA0">
              <w:rPr>
                <w:rFonts w:ascii="Arial Narrow" w:hAnsi="Arial Narrow" w:cs="Arial"/>
                <w:color w:val="000000"/>
                <w:kern w:val="24"/>
                <w:lang w:eastAsia="en-GB"/>
              </w:rPr>
              <w:t>Fee: $842.10 Benefit: 75% = 631.60 85% = $715.79</w:t>
            </w:r>
          </w:p>
        </w:tc>
      </w:tr>
    </w:tbl>
    <w:p w14:paraId="7CD1DBF1" w14:textId="67AC98A8" w:rsidR="007E0AA0" w:rsidRDefault="007E0AA0" w:rsidP="0099607D">
      <w:pPr>
        <w:spacing w:before="240" w:after="240"/>
      </w:pPr>
      <w:bookmarkStart w:id="6" w:name="_Hlk111453316"/>
      <w:r w:rsidDel="007E0AA0">
        <w:t xml:space="preserve">MSAC </w:t>
      </w:r>
      <w:r w:rsidR="00FF164B">
        <w:t xml:space="preserve">supported the creation of a new MBS item specific for TUWA </w:t>
      </w:r>
      <w:proofErr w:type="gramStart"/>
      <w:r w:rsidR="00FF164B" w:rsidRPr="00FF164B">
        <w:t xml:space="preserve">on the basis </w:t>
      </w:r>
      <w:r w:rsidR="00755456">
        <w:t>of</w:t>
      </w:r>
      <w:proofErr w:type="gramEnd"/>
      <w:r w:rsidR="00755456">
        <w:t xml:space="preserve"> </w:t>
      </w:r>
      <w:r w:rsidR="00DB7D37" w:rsidRPr="00DB7D37">
        <w:t xml:space="preserve">inferior effectiveness and non-inferior </w:t>
      </w:r>
      <w:r w:rsidR="00F56229">
        <w:t xml:space="preserve">overall </w:t>
      </w:r>
      <w:r w:rsidR="00DB7D37" w:rsidRPr="00DB7D37">
        <w:t>safety compared with TURP although for some safety outcomes TUWA may be superior.</w:t>
      </w:r>
      <w:r w:rsidR="00DB7D37">
        <w:t xml:space="preserve"> </w:t>
      </w:r>
      <w:r w:rsidR="00641ACC">
        <w:t xml:space="preserve">As described previously, </w:t>
      </w:r>
      <w:r w:rsidR="00DB7D37" w:rsidRPr="00DB7D37">
        <w:t xml:space="preserve">MSAC noted there </w:t>
      </w:r>
      <w:r w:rsidR="00641ACC">
        <w:t>is</w:t>
      </w:r>
      <w:r w:rsidR="00641ACC" w:rsidRPr="00DB7D37">
        <w:t xml:space="preserve"> </w:t>
      </w:r>
      <w:r w:rsidR="00DB7D37" w:rsidRPr="00DB7D37">
        <w:t xml:space="preserve">a wide range of factors considered by clinicians and patients when choosing a procedure and </w:t>
      </w:r>
      <w:r w:rsidR="00FF164B">
        <w:t xml:space="preserve">MSAC did not consider it necessary to include clinical criteria </w:t>
      </w:r>
      <w:r w:rsidR="00641ACC">
        <w:t>in the item descriptor</w:t>
      </w:r>
      <w:r w:rsidR="00FF164B">
        <w:t xml:space="preserve">. However, </w:t>
      </w:r>
      <w:r w:rsidR="002436F7">
        <w:t xml:space="preserve">MSAC noted that </w:t>
      </w:r>
      <w:r w:rsidR="00DB7D37">
        <w:t xml:space="preserve">the time taken for a </w:t>
      </w:r>
      <w:r w:rsidR="00FF164B">
        <w:t>TUWA</w:t>
      </w:r>
      <w:r w:rsidR="00DB7D37">
        <w:t xml:space="preserve"> procedure</w:t>
      </w:r>
      <w:r w:rsidR="00FF164B">
        <w:t xml:space="preserve"> is a short (20min) and</w:t>
      </w:r>
      <w:r w:rsidR="00DB7D37">
        <w:t xml:space="preserve"> </w:t>
      </w:r>
      <w:r w:rsidR="00641ACC">
        <w:t xml:space="preserve">of </w:t>
      </w:r>
      <w:r w:rsidR="00FF164B">
        <w:t>low</w:t>
      </w:r>
      <w:r w:rsidR="00641ACC">
        <w:t>er</w:t>
      </w:r>
      <w:r w:rsidR="00FF164B">
        <w:t xml:space="preserve"> complexity. </w:t>
      </w:r>
      <w:r w:rsidR="002436F7">
        <w:t xml:space="preserve">As such, MSAC </w:t>
      </w:r>
      <w:r w:rsidR="00FF164B">
        <w:t>did not support the proposed fee ($842.10) for TUWA.</w:t>
      </w:r>
      <w:r w:rsidR="002436F7">
        <w:t xml:space="preserve"> </w:t>
      </w:r>
      <w:r w:rsidR="00EC4904">
        <w:t xml:space="preserve">MSAC considered the </w:t>
      </w:r>
      <w:r w:rsidR="00B92DE1">
        <w:t>procedure time and complexity</w:t>
      </w:r>
      <w:r w:rsidR="00EC4904">
        <w:t xml:space="preserve"> </w:t>
      </w:r>
      <w:bookmarkStart w:id="7" w:name="_Hlk112942348"/>
      <w:r w:rsidR="00EC4904">
        <w:t>for TUWA</w:t>
      </w:r>
      <w:r w:rsidR="00B92DE1">
        <w:t xml:space="preserve"> </w:t>
      </w:r>
      <w:r w:rsidR="00EC4904">
        <w:t>was comparable with existing cystoscopy procedures and on this basis</w:t>
      </w:r>
      <w:bookmarkEnd w:id="7"/>
      <w:r w:rsidR="00B92DE1">
        <w:t xml:space="preserve">, MSAC advised </w:t>
      </w:r>
      <w:r w:rsidR="002436F7">
        <w:t xml:space="preserve">that the fee for TUWA should be $341.90. </w:t>
      </w:r>
      <w:r w:rsidR="00DB7D37" w:rsidRPr="00DB7D37">
        <w:t xml:space="preserve"> MSAC considered that TUWA would be </w:t>
      </w:r>
      <w:proofErr w:type="gramStart"/>
      <w:r w:rsidR="00DB7D37" w:rsidRPr="00DB7D37">
        <w:t>cost-saving</w:t>
      </w:r>
      <w:proofErr w:type="gramEnd"/>
      <w:r w:rsidR="00DB7D37" w:rsidRPr="00DB7D37">
        <w:t xml:space="preserve"> compared with TURP and that the overall cost to the MBS would be small.</w:t>
      </w:r>
      <w:r w:rsidR="00DB7D37">
        <w:t xml:space="preserve"> </w:t>
      </w:r>
      <w:r w:rsidDel="007E0AA0">
        <w:t>The item descriptor</w:t>
      </w:r>
      <w:r w:rsidR="00B92DE1">
        <w:t xml:space="preserve"> for TUWA</w:t>
      </w:r>
      <w:r w:rsidDel="007E0AA0">
        <w:t xml:space="preserve"> </w:t>
      </w:r>
      <w:r w:rsidR="00641ACC">
        <w:t xml:space="preserve">accepted by MSAC </w:t>
      </w:r>
      <w:r w:rsidR="00B92DE1">
        <w:t>is shown below</w:t>
      </w:r>
      <w:r w:rsidDel="007E0AA0">
        <w:t>.</w:t>
      </w:r>
    </w:p>
    <w:tbl>
      <w:tblPr>
        <w:tblStyle w:val="TableGrid"/>
        <w:tblW w:w="0" w:type="auto"/>
        <w:tblLook w:val="04A0" w:firstRow="1" w:lastRow="0" w:firstColumn="1" w:lastColumn="0" w:noHBand="0" w:noVBand="1"/>
      </w:tblPr>
      <w:tblGrid>
        <w:gridCol w:w="9016"/>
      </w:tblGrid>
      <w:tr w:rsidR="00E41E6D" w:rsidRPr="00E41E6D" w14:paraId="0A8F6E26" w14:textId="77777777" w:rsidTr="00E41E6D">
        <w:tc>
          <w:tcPr>
            <w:tcW w:w="9016" w:type="dxa"/>
          </w:tcPr>
          <w:p w14:paraId="7F3760F4" w14:textId="6FB3D63F" w:rsidR="00E41E6D" w:rsidRPr="00E41E6D" w:rsidRDefault="00E41E6D" w:rsidP="00E41E6D">
            <w:pPr>
              <w:spacing w:after="120"/>
              <w:rPr>
                <w:sz w:val="20"/>
                <w:szCs w:val="20"/>
                <w:u w:val="single"/>
              </w:rPr>
            </w:pPr>
            <w:r w:rsidRPr="00E41E6D" w:rsidDel="007E0AA0">
              <w:rPr>
                <w:rFonts w:ascii="Arial Narrow" w:hAnsi="Arial Narrow" w:cs="Arial"/>
                <w:color w:val="000000"/>
                <w:kern w:val="24"/>
                <w:sz w:val="20"/>
                <w:szCs w:val="20"/>
                <w:lang w:val="en-US" w:eastAsia="en-GB"/>
              </w:rPr>
              <w:t>Category 3 – THERAPEUTIC PROCEDURES</w:t>
            </w:r>
          </w:p>
        </w:tc>
      </w:tr>
      <w:tr w:rsidR="00E41E6D" w:rsidRPr="00E41E6D" w14:paraId="6E079A46" w14:textId="77777777" w:rsidTr="00E41E6D">
        <w:tc>
          <w:tcPr>
            <w:tcW w:w="9016" w:type="dxa"/>
          </w:tcPr>
          <w:p w14:paraId="2FE0E5BB" w14:textId="77777777" w:rsidR="00E41E6D" w:rsidRPr="00E41E6D" w:rsidDel="007E0AA0" w:rsidRDefault="00E41E6D" w:rsidP="00E41E6D">
            <w:pPr>
              <w:spacing w:after="120"/>
              <w:rPr>
                <w:rFonts w:ascii="Arial Narrow" w:hAnsi="Arial Narrow" w:cs="Arial"/>
                <w:sz w:val="20"/>
                <w:szCs w:val="20"/>
                <w:lang w:eastAsia="en-GB"/>
              </w:rPr>
            </w:pPr>
            <w:r w:rsidRPr="00E41E6D" w:rsidDel="007E0AA0">
              <w:rPr>
                <w:rFonts w:ascii="Arial Narrow" w:hAnsi="Arial Narrow" w:cs="Arial"/>
                <w:color w:val="000000"/>
                <w:kern w:val="24"/>
                <w:sz w:val="20"/>
                <w:szCs w:val="20"/>
                <w:lang w:eastAsia="en-GB"/>
              </w:rPr>
              <w:t>#### - Transurethral Water Ablation of the Prostate</w:t>
            </w:r>
          </w:p>
          <w:p w14:paraId="61DA15F1" w14:textId="77777777" w:rsidR="00E41E6D" w:rsidRPr="00E41E6D" w:rsidDel="007E0AA0" w:rsidRDefault="00E41E6D" w:rsidP="00E41E6D">
            <w:pPr>
              <w:spacing w:after="120"/>
              <w:rPr>
                <w:rFonts w:ascii="Arial Narrow" w:hAnsi="Arial Narrow" w:cs="Arial"/>
                <w:sz w:val="20"/>
                <w:szCs w:val="20"/>
                <w:lang w:eastAsia="en-GB"/>
              </w:rPr>
            </w:pPr>
            <w:r w:rsidRPr="00E41E6D" w:rsidDel="007E0AA0">
              <w:rPr>
                <w:rFonts w:ascii="Arial Narrow" w:hAnsi="Arial Narrow" w:cs="Arial"/>
                <w:color w:val="000000"/>
                <w:kern w:val="24"/>
                <w:sz w:val="20"/>
                <w:szCs w:val="20"/>
                <w:lang w:eastAsia="en-GB"/>
              </w:rPr>
              <w:t>PROSTATE, ablation by water vapour with or without cystoscopy and with or without urethroscopy</w:t>
            </w:r>
          </w:p>
          <w:p w14:paraId="3B8164DF" w14:textId="0688A4AF" w:rsidR="00E41E6D" w:rsidRPr="00E41E6D" w:rsidRDefault="00E41E6D" w:rsidP="00E41E6D">
            <w:pPr>
              <w:spacing w:after="120"/>
              <w:rPr>
                <w:sz w:val="20"/>
                <w:szCs w:val="20"/>
                <w:u w:val="single"/>
              </w:rPr>
            </w:pPr>
            <w:r w:rsidRPr="00E41E6D" w:rsidDel="007E0AA0">
              <w:rPr>
                <w:rFonts w:ascii="Arial Narrow" w:hAnsi="Arial Narrow" w:cs="Arial"/>
                <w:color w:val="000000"/>
                <w:kern w:val="24"/>
                <w:sz w:val="20"/>
                <w:szCs w:val="20"/>
                <w:lang w:eastAsia="en-GB"/>
              </w:rPr>
              <w:t>Fee: </w:t>
            </w:r>
            <w:r w:rsidRPr="00E41E6D" w:rsidDel="007E0AA0">
              <w:rPr>
                <w:rFonts w:ascii="Arial Narrow" w:hAnsi="Arial Narrow" w:cs="Arial"/>
                <w:kern w:val="24"/>
                <w:sz w:val="20"/>
                <w:szCs w:val="20"/>
                <w:lang w:eastAsia="en-GB"/>
              </w:rPr>
              <w:t xml:space="preserve"> $341.90 Benefit: 75% = $256.43 85% = $290.62</w:t>
            </w:r>
          </w:p>
        </w:tc>
      </w:tr>
    </w:tbl>
    <w:bookmarkEnd w:id="6"/>
    <w:p w14:paraId="2BA634FA" w14:textId="34F5FE2A" w:rsidR="007E0AA0" w:rsidRDefault="007E0AA0" w:rsidP="00994452">
      <w:pPr>
        <w:spacing w:before="240"/>
      </w:pPr>
      <w:r>
        <w:lastRenderedPageBreak/>
        <w:t xml:space="preserve">MSAC </w:t>
      </w:r>
      <w:r w:rsidR="00B92DE1">
        <w:t xml:space="preserve">advised that TUMT should be delisted </w:t>
      </w:r>
      <w:proofErr w:type="gramStart"/>
      <w:r w:rsidR="00B92DE1">
        <w:t xml:space="preserve">on the basis </w:t>
      </w:r>
      <w:r w:rsidR="00DB7D37" w:rsidRPr="00DB7D37">
        <w:t>of</w:t>
      </w:r>
      <w:proofErr w:type="gramEnd"/>
      <w:r w:rsidR="00DB7D37" w:rsidRPr="00DB7D37">
        <w:t xml:space="preserve"> inferior effectiveness</w:t>
      </w:r>
      <w:r w:rsidR="00DB7D37">
        <w:t xml:space="preserve"> and </w:t>
      </w:r>
      <w:r w:rsidR="00DB7D37" w:rsidRPr="00DB7D37">
        <w:t>non</w:t>
      </w:r>
      <w:r w:rsidR="00112924">
        <w:noBreakHyphen/>
      </w:r>
      <w:r w:rsidR="00DB7D37" w:rsidRPr="00DB7D37">
        <w:t xml:space="preserve">inferior safety </w:t>
      </w:r>
      <w:r w:rsidR="00DB7D37">
        <w:t>compared to TURP,</w:t>
      </w:r>
      <w:r>
        <w:t xml:space="preserve"> as well as having a low </w:t>
      </w:r>
      <w:r w:rsidR="00641ACC">
        <w:t xml:space="preserve">and declining </w:t>
      </w:r>
      <w:r>
        <w:t>service volume (according to MBS utilisation data).</w:t>
      </w:r>
    </w:p>
    <w:p w14:paraId="040A37E1" w14:textId="4812F6E7" w:rsidR="0035574F" w:rsidRDefault="00B92DE1" w:rsidP="0035574F">
      <w:r>
        <w:t xml:space="preserve">MSAC also advised that retreatment MBS items 37202 and 37206 should be delisted on the basis that current MBS claiming </w:t>
      </w:r>
      <w:r w:rsidR="00641ACC">
        <w:t>suggests</w:t>
      </w:r>
      <w:r>
        <w:t xml:space="preserve"> there is minimal need for these </w:t>
      </w:r>
      <w:r w:rsidR="009F6C79">
        <w:t>items</w:t>
      </w:r>
      <w:r>
        <w:t>. That is,</w:t>
      </w:r>
      <w:r w:rsidR="0035574F">
        <w:t xml:space="preserve"> from July 2020 to June 2021, there have been four claims (0.0% of the total claims) for retreatment MBS item 37202 and 20 claims (0.1%) for retreatment MBS item 37206</w:t>
      </w:r>
      <w:r>
        <w:t>. MSAC noted that</w:t>
      </w:r>
      <w:r w:rsidR="0035574F">
        <w:t xml:space="preserve"> </w:t>
      </w:r>
      <w:r>
        <w:t>p</w:t>
      </w:r>
      <w:r w:rsidR="0035574F">
        <w:t>atients who require a second procedure could instead access the first procedure item again</w:t>
      </w:r>
      <w:r>
        <w:t xml:space="preserve">. </w:t>
      </w:r>
      <w:r w:rsidR="0035574F">
        <w:t>MSAC considered that because of the low utilisation of retreatment items, this would not have a significant budget impact.</w:t>
      </w:r>
    </w:p>
    <w:p w14:paraId="6710B69D" w14:textId="382C1DC6" w:rsidR="00772829" w:rsidRPr="00CE28E3" w:rsidRDefault="002811D5" w:rsidP="002A18BE">
      <w:pPr>
        <w:pStyle w:val="Heading2"/>
        <w:numPr>
          <w:ilvl w:val="0"/>
          <w:numId w:val="0"/>
        </w:numPr>
      </w:pPr>
      <w:r>
        <w:t>4.</w:t>
      </w:r>
      <w:r>
        <w:tab/>
      </w:r>
      <w:r w:rsidR="00772829" w:rsidRPr="00CE28E3">
        <w:t>Background</w:t>
      </w:r>
      <w:bookmarkEnd w:id="1"/>
    </w:p>
    <w:p w14:paraId="0A2040FD" w14:textId="77777777" w:rsidR="00B541CC" w:rsidRDefault="00997AAB" w:rsidP="00997AAB">
      <w:bookmarkStart w:id="8" w:name="_Hlk69734494"/>
      <w:proofErr w:type="gramStart"/>
      <w:r>
        <w:t>A number of</w:t>
      </w:r>
      <w:proofErr w:type="gramEnd"/>
      <w:r>
        <w:t xml:space="preserve"> minimally invasive BPH procedures have previously been considered by MSAC</w:t>
      </w:r>
      <w:r w:rsidR="00B541CC">
        <w:t>:</w:t>
      </w:r>
    </w:p>
    <w:p w14:paraId="3BDCC2DF" w14:textId="5DC95784" w:rsidR="002C47E3" w:rsidRDefault="007E2C13" w:rsidP="002C47E3">
      <w:pPr>
        <w:pStyle w:val="ListParagraph"/>
        <w:numPr>
          <w:ilvl w:val="0"/>
          <w:numId w:val="31"/>
        </w:numPr>
      </w:pPr>
      <w:proofErr w:type="spellStart"/>
      <w:r>
        <w:t>Ho</w:t>
      </w:r>
      <w:r w:rsidR="0001008A">
        <w:t>LEP</w:t>
      </w:r>
      <w:proofErr w:type="spellEnd"/>
      <w:r w:rsidR="0001008A">
        <w:t xml:space="preserve"> – </w:t>
      </w:r>
      <w:hyperlink r:id="rId10" w:history="1">
        <w:r w:rsidR="0001008A" w:rsidRPr="00401155">
          <w:rPr>
            <w:rStyle w:val="Hyperlink"/>
          </w:rPr>
          <w:t>MSAC application 1149</w:t>
        </w:r>
      </w:hyperlink>
    </w:p>
    <w:p w14:paraId="7E2C0980" w14:textId="102F4B55" w:rsidR="00C804CA" w:rsidRDefault="00C804CA" w:rsidP="002C47E3">
      <w:pPr>
        <w:pStyle w:val="ListParagraph"/>
        <w:numPr>
          <w:ilvl w:val="0"/>
          <w:numId w:val="31"/>
        </w:numPr>
      </w:pPr>
      <w:r>
        <w:t xml:space="preserve">PUL – </w:t>
      </w:r>
      <w:hyperlink r:id="rId11" w:history="1">
        <w:r w:rsidRPr="007F785D">
          <w:rPr>
            <w:rStyle w:val="Hyperlink"/>
          </w:rPr>
          <w:t>MSAC application 1612</w:t>
        </w:r>
      </w:hyperlink>
    </w:p>
    <w:p w14:paraId="25BAE83B" w14:textId="0169B055" w:rsidR="00B85FC1" w:rsidRDefault="00C9236B" w:rsidP="00B85FC1">
      <w:pPr>
        <w:pStyle w:val="ListParagraph"/>
        <w:numPr>
          <w:ilvl w:val="0"/>
          <w:numId w:val="31"/>
        </w:numPr>
      </w:pPr>
      <w:r>
        <w:t>TU</w:t>
      </w:r>
      <w:r w:rsidR="005D6B20">
        <w:t xml:space="preserve">MT – </w:t>
      </w:r>
      <w:hyperlink r:id="rId12" w:history="1">
        <w:r w:rsidR="005D6B20" w:rsidRPr="005D6B20">
          <w:rPr>
            <w:rStyle w:val="Hyperlink"/>
          </w:rPr>
          <w:t>MSAC application 1076</w:t>
        </w:r>
      </w:hyperlink>
    </w:p>
    <w:p w14:paraId="76E66F43" w14:textId="4E9E660C" w:rsidR="00B85FC1" w:rsidRDefault="00B85FC1" w:rsidP="00B85FC1">
      <w:pPr>
        <w:pStyle w:val="ListParagraph"/>
        <w:numPr>
          <w:ilvl w:val="0"/>
          <w:numId w:val="31"/>
        </w:numPr>
      </w:pPr>
      <w:r>
        <w:t xml:space="preserve">TUNA – </w:t>
      </w:r>
      <w:hyperlink r:id="rId13" w:history="1">
        <w:r w:rsidRPr="00B85FC1">
          <w:rPr>
            <w:rStyle w:val="Hyperlink"/>
          </w:rPr>
          <w:t>MSAC application 1014</w:t>
        </w:r>
      </w:hyperlink>
    </w:p>
    <w:p w14:paraId="257031F3" w14:textId="2DBDCAE7" w:rsidR="005D6B20" w:rsidRDefault="005D6B20" w:rsidP="00B85FC1">
      <w:pPr>
        <w:pStyle w:val="ListParagraph"/>
        <w:numPr>
          <w:ilvl w:val="0"/>
          <w:numId w:val="31"/>
        </w:numPr>
      </w:pPr>
      <w:r>
        <w:t xml:space="preserve">TUWA – </w:t>
      </w:r>
      <w:hyperlink r:id="rId14" w:history="1">
        <w:r w:rsidRPr="00C804CA">
          <w:rPr>
            <w:rStyle w:val="Hyperlink"/>
          </w:rPr>
          <w:t>MSAC application 158</w:t>
        </w:r>
        <w:r w:rsidR="00C804CA" w:rsidRPr="00C804CA">
          <w:rPr>
            <w:rStyle w:val="Hyperlink"/>
          </w:rPr>
          <w:t>6</w:t>
        </w:r>
      </w:hyperlink>
    </w:p>
    <w:p w14:paraId="155ED879" w14:textId="651DDE7A" w:rsidR="00C804CA" w:rsidRDefault="007F785D" w:rsidP="00521ACA">
      <w:pPr>
        <w:pStyle w:val="ListParagraph"/>
        <w:numPr>
          <w:ilvl w:val="0"/>
          <w:numId w:val="31"/>
        </w:numPr>
      </w:pPr>
      <w:r>
        <w:t xml:space="preserve">VLAP – </w:t>
      </w:r>
      <w:hyperlink r:id="rId15" w:history="1">
        <w:r w:rsidRPr="00C9236B">
          <w:rPr>
            <w:rStyle w:val="Hyperlink"/>
          </w:rPr>
          <w:t>MSAC application 1518</w:t>
        </w:r>
      </w:hyperlink>
      <w:r>
        <w:t>.</w:t>
      </w:r>
    </w:p>
    <w:p w14:paraId="0E27B832" w14:textId="38733320" w:rsidR="00997AAB" w:rsidRDefault="00F61F39" w:rsidP="00997AAB">
      <w:proofErr w:type="gramStart"/>
      <w:r>
        <w:t>All of</w:t>
      </w:r>
      <w:proofErr w:type="gramEnd"/>
      <w:r>
        <w:t xml:space="preserve"> these procedures </w:t>
      </w:r>
      <w:r w:rsidR="00997AAB">
        <w:t>are currently listed on the MBS</w:t>
      </w:r>
      <w:r w:rsidR="00AA65C8">
        <w:t>, except TUWA which is currently being claimed on an interim basis under the MBS item for TUNA</w:t>
      </w:r>
      <w:r w:rsidR="00997AAB">
        <w:t xml:space="preserve">. However, </w:t>
      </w:r>
      <w:r w:rsidR="00856AFA">
        <w:t xml:space="preserve">advice </w:t>
      </w:r>
      <w:r w:rsidR="00997AAB">
        <w:t>regarding</w:t>
      </w:r>
      <w:r>
        <w:t xml:space="preserve"> an increase to the MBS fee for</w:t>
      </w:r>
      <w:r w:rsidR="00997AAB">
        <w:t xml:space="preserve"> </w:t>
      </w:r>
      <w:r w:rsidR="003E21E7">
        <w:t xml:space="preserve">PUL </w:t>
      </w:r>
      <w:r w:rsidR="0019526D">
        <w:t>(</w:t>
      </w:r>
      <w:hyperlink r:id="rId16" w:history="1">
        <w:r w:rsidR="003E21E7" w:rsidRPr="009B749F">
          <w:rPr>
            <w:rStyle w:val="Hyperlink"/>
          </w:rPr>
          <w:t>MSAC application 1612</w:t>
        </w:r>
      </w:hyperlink>
      <w:r w:rsidR="003E21E7">
        <w:t xml:space="preserve">) and </w:t>
      </w:r>
      <w:r>
        <w:t xml:space="preserve">the creation of a new MBS item for </w:t>
      </w:r>
      <w:r w:rsidR="003E21E7">
        <w:t xml:space="preserve">TUWA </w:t>
      </w:r>
      <w:r w:rsidR="0019526D">
        <w:t>(</w:t>
      </w:r>
      <w:hyperlink r:id="rId17" w:history="1">
        <w:r w:rsidR="003E21E7" w:rsidRPr="00D162AA">
          <w:rPr>
            <w:rStyle w:val="Hyperlink"/>
          </w:rPr>
          <w:t>MSAC application 1586</w:t>
        </w:r>
      </w:hyperlink>
      <w:r w:rsidR="003E21E7">
        <w:t>)</w:t>
      </w:r>
      <w:r w:rsidR="000251EB">
        <w:t xml:space="preserve"> </w:t>
      </w:r>
      <w:r w:rsidR="00997AAB">
        <w:t>were deferred by the MSAC at the 79</w:t>
      </w:r>
      <w:r w:rsidR="00997AAB" w:rsidRPr="00163FEE">
        <w:rPr>
          <w:vertAlign w:val="superscript"/>
        </w:rPr>
        <w:t>th</w:t>
      </w:r>
      <w:r w:rsidR="00997AAB">
        <w:t xml:space="preserve"> MSAC meeting in July 2020 due to differences </w:t>
      </w:r>
      <w:r w:rsidR="0034678B" w:rsidRPr="0034678B">
        <w:t>in the method of costing the procedures, which did not allow an accurate comparison to be made</w:t>
      </w:r>
      <w:r w:rsidR="00997AAB">
        <w:t xml:space="preserve">. This report compares the safety, </w:t>
      </w:r>
      <w:proofErr w:type="gramStart"/>
      <w:r w:rsidR="00997AAB">
        <w:t>effectiveness</w:t>
      </w:r>
      <w:proofErr w:type="gramEnd"/>
      <w:r w:rsidR="00997AAB">
        <w:t xml:space="preserve"> and cost-</w:t>
      </w:r>
      <w:r w:rsidR="00855AAA">
        <w:t>consequences</w:t>
      </w:r>
      <w:r w:rsidR="00997AAB">
        <w:t xml:space="preserve"> of minimally invasive BPH procedures currently used in Australia with a main comparator (TURP).</w:t>
      </w:r>
    </w:p>
    <w:p w14:paraId="6EC12EDF" w14:textId="35E7BDFD" w:rsidR="0068682C" w:rsidRPr="00CE28E3" w:rsidRDefault="0068682C" w:rsidP="009A5C5B">
      <w:pPr>
        <w:pStyle w:val="TableFigureHeading"/>
      </w:pPr>
      <w:bookmarkStart w:id="9" w:name="_Ref69480768"/>
      <w:bookmarkStart w:id="10" w:name="_Hlk69734557"/>
      <w:bookmarkEnd w:id="8"/>
      <w:r w:rsidRPr="00CE28E3">
        <w:t>Table</w:t>
      </w:r>
      <w:r w:rsidR="004A4FDF">
        <w:t> </w:t>
      </w:r>
      <w:r>
        <w:fldChar w:fldCharType="begin"/>
      </w:r>
      <w:r>
        <w:instrText>SEQ Table \* ARABIC</w:instrText>
      </w:r>
      <w:r>
        <w:fldChar w:fldCharType="separate"/>
      </w:r>
      <w:r w:rsidR="00C03EF9">
        <w:rPr>
          <w:noProof/>
        </w:rPr>
        <w:t>1</w:t>
      </w:r>
      <w:r>
        <w:fldChar w:fldCharType="end"/>
      </w:r>
      <w:bookmarkEnd w:id="9"/>
      <w:r w:rsidRPr="00CE28E3">
        <w:tab/>
        <w:t>Summary of key matters of concern</w:t>
      </w:r>
    </w:p>
    <w:tbl>
      <w:tblPr>
        <w:tblStyle w:val="TableGrid1"/>
        <w:tblW w:w="5000" w:type="pct"/>
        <w:tblLook w:val="04A0" w:firstRow="1" w:lastRow="0" w:firstColumn="1" w:lastColumn="0" w:noHBand="0" w:noVBand="1"/>
      </w:tblPr>
      <w:tblGrid>
        <w:gridCol w:w="1979"/>
        <w:gridCol w:w="4395"/>
        <w:gridCol w:w="2642"/>
      </w:tblGrid>
      <w:tr w:rsidR="00F57885" w:rsidRPr="00CE28E3" w14:paraId="2BDCC27B" w14:textId="77777777" w:rsidTr="00D92B78">
        <w:trPr>
          <w:cnfStyle w:val="100000000000" w:firstRow="1" w:lastRow="0" w:firstColumn="0" w:lastColumn="0" w:oddVBand="0" w:evenVBand="0" w:oddHBand="0" w:evenHBand="0" w:firstRowFirstColumn="0" w:firstRowLastColumn="0" w:lastRowFirstColumn="0" w:lastRowLastColumn="0"/>
          <w:cantSplit/>
          <w:tblHeader/>
        </w:trPr>
        <w:tc>
          <w:tcPr>
            <w:tcW w:w="1097" w:type="pct"/>
            <w:shd w:val="clear" w:color="auto" w:fill="auto"/>
          </w:tcPr>
          <w:p w14:paraId="58F6A808" w14:textId="77777777" w:rsidR="00F57885" w:rsidRPr="00CE28E3" w:rsidRDefault="00F57885" w:rsidP="00824458">
            <w:pPr>
              <w:pStyle w:val="In-tableHeading"/>
            </w:pPr>
            <w:bookmarkStart w:id="11" w:name="ColumnTitle_Table1"/>
            <w:bookmarkStart w:id="12" w:name="_Hlk68275590"/>
            <w:bookmarkEnd w:id="11"/>
            <w:r w:rsidRPr="00CE28E3">
              <w:t>Component</w:t>
            </w:r>
          </w:p>
        </w:tc>
        <w:tc>
          <w:tcPr>
            <w:tcW w:w="2437" w:type="pct"/>
            <w:shd w:val="clear" w:color="auto" w:fill="auto"/>
          </w:tcPr>
          <w:p w14:paraId="09992FB9" w14:textId="77777777" w:rsidR="00F57885" w:rsidRPr="00CE28E3" w:rsidRDefault="00F57885" w:rsidP="00824458">
            <w:pPr>
              <w:pStyle w:val="In-tableHeading"/>
            </w:pPr>
            <w:r w:rsidRPr="00CE28E3">
              <w:t>Matter of concern</w:t>
            </w:r>
          </w:p>
        </w:tc>
        <w:tc>
          <w:tcPr>
            <w:tcW w:w="1465" w:type="pct"/>
            <w:shd w:val="clear" w:color="auto" w:fill="auto"/>
          </w:tcPr>
          <w:p w14:paraId="54C88680" w14:textId="77777777" w:rsidR="00F57885" w:rsidRPr="00CE28E3" w:rsidRDefault="00F57885" w:rsidP="00824458">
            <w:pPr>
              <w:pStyle w:val="In-tableHeading"/>
            </w:pPr>
            <w:r w:rsidRPr="00CE28E3">
              <w:t>How the current assessment report addresses it</w:t>
            </w:r>
          </w:p>
        </w:tc>
      </w:tr>
      <w:tr w:rsidR="00F57885" w:rsidRPr="00CE28E3" w14:paraId="4C3B6A2C" w14:textId="77777777" w:rsidTr="00D92B78">
        <w:trPr>
          <w:cantSplit/>
        </w:trPr>
        <w:tc>
          <w:tcPr>
            <w:tcW w:w="1097" w:type="pct"/>
          </w:tcPr>
          <w:p w14:paraId="3ADC1FC4" w14:textId="155C0EF4" w:rsidR="00F57885" w:rsidRPr="00CE28E3" w:rsidRDefault="00024593" w:rsidP="00824458">
            <w:pPr>
              <w:pStyle w:val="TableText"/>
            </w:pPr>
            <w:r>
              <w:t xml:space="preserve">Costing of PUL </w:t>
            </w:r>
          </w:p>
        </w:tc>
        <w:tc>
          <w:tcPr>
            <w:tcW w:w="2437" w:type="pct"/>
          </w:tcPr>
          <w:p w14:paraId="29BB6916" w14:textId="13832D77" w:rsidR="00F57885" w:rsidRPr="00CE28E3" w:rsidRDefault="00024593" w:rsidP="00824458">
            <w:pPr>
              <w:pStyle w:val="TableText"/>
              <w:rPr>
                <w:rFonts w:cs="Arial"/>
                <w:snapToGrid w:val="0"/>
              </w:rPr>
            </w:pPr>
            <w:r>
              <w:rPr>
                <w:rFonts w:cs="Arial"/>
                <w:snapToGrid w:val="0"/>
              </w:rPr>
              <w:t xml:space="preserve">MSAC noted there are significant uncertainties in the costs associated with each </w:t>
            </w:r>
            <w:proofErr w:type="gramStart"/>
            <w:r>
              <w:rPr>
                <w:rFonts w:cs="Arial"/>
                <w:snapToGrid w:val="0"/>
              </w:rPr>
              <w:t>procedure, and</w:t>
            </w:r>
            <w:proofErr w:type="gramEnd"/>
            <w:r>
              <w:rPr>
                <w:rFonts w:cs="Arial"/>
                <w:snapToGrid w:val="0"/>
              </w:rPr>
              <w:t xml:space="preserve"> requested a further holistic assessment of the different therapeutic approaches to BPH management that takes into account the different outcomes and costs associated with each (1612 PSD, p1). </w:t>
            </w:r>
          </w:p>
        </w:tc>
        <w:tc>
          <w:tcPr>
            <w:tcW w:w="1465" w:type="pct"/>
          </w:tcPr>
          <w:p w14:paraId="15BB4464" w14:textId="7F96AFDB" w:rsidR="00F57885" w:rsidRPr="00CE28E3" w:rsidRDefault="002156AD" w:rsidP="00824458">
            <w:pPr>
              <w:pStyle w:val="TableText"/>
              <w:rPr>
                <w:rFonts w:cs="Arial"/>
                <w:bCs/>
                <w:snapToGrid w:val="0"/>
              </w:rPr>
            </w:pPr>
            <w:r>
              <w:rPr>
                <w:rFonts w:cs="Arial"/>
                <w:bCs/>
                <w:snapToGrid w:val="0"/>
              </w:rPr>
              <w:t xml:space="preserve">Addressed: </w:t>
            </w:r>
            <w:r w:rsidR="00024593">
              <w:rPr>
                <w:rFonts w:cs="Arial"/>
                <w:bCs/>
                <w:snapToGrid w:val="0"/>
              </w:rPr>
              <w:t xml:space="preserve">Single report with common costing of components. </w:t>
            </w:r>
          </w:p>
        </w:tc>
      </w:tr>
      <w:tr w:rsidR="00024593" w:rsidRPr="00CE28E3" w14:paraId="67A3CBC1" w14:textId="77777777" w:rsidTr="00D92B78">
        <w:trPr>
          <w:cantSplit/>
        </w:trPr>
        <w:tc>
          <w:tcPr>
            <w:tcW w:w="1097" w:type="pct"/>
          </w:tcPr>
          <w:p w14:paraId="20CE0117" w14:textId="2687A1DA" w:rsidR="00024593" w:rsidRDefault="002156AD" w:rsidP="00824458">
            <w:pPr>
              <w:pStyle w:val="TableText"/>
            </w:pPr>
            <w:r>
              <w:t>Costing of PUL</w:t>
            </w:r>
          </w:p>
        </w:tc>
        <w:tc>
          <w:tcPr>
            <w:tcW w:w="2437" w:type="pct"/>
          </w:tcPr>
          <w:p w14:paraId="1A0C8681" w14:textId="134CE674" w:rsidR="00024593" w:rsidRDefault="00024593" w:rsidP="00824458">
            <w:pPr>
              <w:pStyle w:val="TableText"/>
              <w:rPr>
                <w:rFonts w:cs="Arial"/>
                <w:snapToGrid w:val="0"/>
              </w:rPr>
            </w:pPr>
            <w:r>
              <w:rPr>
                <w:rFonts w:cs="Arial"/>
                <w:snapToGrid w:val="0"/>
              </w:rPr>
              <w:t>MSAC noted that the cost of PUL may be underestimated due to the cost and numbers of implants required and the re-intervention rate not being adequately accounted for, and that the cost of TURP and VLAP may be overestimated, including major complications, length of stay and capital costs (1612 PSD, p3)</w:t>
            </w:r>
          </w:p>
        </w:tc>
        <w:tc>
          <w:tcPr>
            <w:tcW w:w="1465" w:type="pct"/>
          </w:tcPr>
          <w:p w14:paraId="6D90D0B6" w14:textId="04D9E105" w:rsidR="00024593" w:rsidRDefault="002156AD" w:rsidP="00824458">
            <w:pPr>
              <w:pStyle w:val="TableText"/>
              <w:rPr>
                <w:rFonts w:cs="Arial"/>
                <w:bCs/>
                <w:snapToGrid w:val="0"/>
              </w:rPr>
            </w:pPr>
            <w:r>
              <w:rPr>
                <w:rFonts w:cs="Arial"/>
                <w:bCs/>
                <w:snapToGrid w:val="0"/>
              </w:rPr>
              <w:t xml:space="preserve">Addressed: </w:t>
            </w:r>
            <w:r w:rsidR="00024593">
              <w:rPr>
                <w:rFonts w:cs="Arial"/>
                <w:bCs/>
                <w:snapToGrid w:val="0"/>
              </w:rPr>
              <w:t xml:space="preserve">Cost-comparison redone to take these factors into account. </w:t>
            </w:r>
          </w:p>
        </w:tc>
      </w:tr>
      <w:tr w:rsidR="002156AD" w:rsidRPr="00CE28E3" w14:paraId="4A777A0B" w14:textId="77777777" w:rsidTr="00D92B78">
        <w:trPr>
          <w:cantSplit/>
        </w:trPr>
        <w:tc>
          <w:tcPr>
            <w:tcW w:w="1097" w:type="pct"/>
          </w:tcPr>
          <w:p w14:paraId="443A0D02" w14:textId="4CAF24BA" w:rsidR="002156AD" w:rsidRDefault="002156AD" w:rsidP="00824458">
            <w:pPr>
              <w:pStyle w:val="TableText"/>
            </w:pPr>
            <w:r>
              <w:t>Costing of TUWA</w:t>
            </w:r>
          </w:p>
        </w:tc>
        <w:tc>
          <w:tcPr>
            <w:tcW w:w="2437" w:type="pct"/>
          </w:tcPr>
          <w:p w14:paraId="0211D0F5" w14:textId="1AD487BC" w:rsidR="002156AD" w:rsidRDefault="00D92B78" w:rsidP="00824458">
            <w:pPr>
              <w:pStyle w:val="TableText"/>
              <w:rPr>
                <w:rFonts w:cs="Arial"/>
                <w:snapToGrid w:val="0"/>
              </w:rPr>
            </w:pPr>
            <w:r>
              <w:rPr>
                <w:rFonts w:cs="Arial"/>
                <w:snapToGrid w:val="0"/>
              </w:rPr>
              <w:t>MSAC considered it difficult</w:t>
            </w:r>
            <w:r w:rsidR="0006438D">
              <w:rPr>
                <w:rFonts w:cs="Arial"/>
                <w:snapToGrid w:val="0"/>
              </w:rPr>
              <w:t xml:space="preserve"> to</w:t>
            </w:r>
            <w:r>
              <w:rPr>
                <w:rFonts w:cs="Arial"/>
                <w:snapToGrid w:val="0"/>
              </w:rPr>
              <w:t xml:space="preserve"> compare costs and determine appropriate fees, as each application </w:t>
            </w:r>
            <w:r w:rsidR="0021727D">
              <w:rPr>
                <w:rFonts w:cs="Arial"/>
                <w:snapToGrid w:val="0"/>
              </w:rPr>
              <w:t xml:space="preserve">(referring to PUL, VLAP, TURP and TUWA (under TUNA)) </w:t>
            </w:r>
            <w:r>
              <w:rPr>
                <w:rFonts w:cs="Arial"/>
                <w:snapToGrid w:val="0"/>
              </w:rPr>
              <w:t>used different assessment approaches. (1586 PSD p3)</w:t>
            </w:r>
          </w:p>
        </w:tc>
        <w:tc>
          <w:tcPr>
            <w:tcW w:w="1465" w:type="pct"/>
          </w:tcPr>
          <w:p w14:paraId="008A0892" w14:textId="49C978FE" w:rsidR="002156AD" w:rsidRDefault="002156AD" w:rsidP="00D92B78">
            <w:pPr>
              <w:pStyle w:val="TableText"/>
              <w:tabs>
                <w:tab w:val="center" w:pos="1406"/>
              </w:tabs>
              <w:rPr>
                <w:rFonts w:cs="Arial"/>
                <w:bCs/>
                <w:snapToGrid w:val="0"/>
              </w:rPr>
            </w:pPr>
            <w:r>
              <w:rPr>
                <w:rFonts w:cs="Arial"/>
                <w:bCs/>
                <w:snapToGrid w:val="0"/>
              </w:rPr>
              <w:t>Addressed:</w:t>
            </w:r>
            <w:r w:rsidR="00D92B78">
              <w:rPr>
                <w:rFonts w:cs="Arial"/>
                <w:bCs/>
                <w:snapToGrid w:val="0"/>
              </w:rPr>
              <w:t xml:space="preserve"> Single report with common approach to costing.</w:t>
            </w:r>
          </w:p>
        </w:tc>
      </w:tr>
      <w:tr w:rsidR="00F57885" w:rsidRPr="00CE28E3" w14:paraId="3B9AD9C3" w14:textId="77777777" w:rsidTr="00D92B78">
        <w:trPr>
          <w:cantSplit/>
        </w:trPr>
        <w:tc>
          <w:tcPr>
            <w:tcW w:w="1097" w:type="pct"/>
          </w:tcPr>
          <w:p w14:paraId="23382853" w14:textId="0D931D91" w:rsidR="00F57885" w:rsidRPr="00CE28E3" w:rsidRDefault="00024593" w:rsidP="00824458">
            <w:pPr>
              <w:pStyle w:val="TableText"/>
            </w:pPr>
            <w:r>
              <w:lastRenderedPageBreak/>
              <w:t>Patient preferences</w:t>
            </w:r>
          </w:p>
        </w:tc>
        <w:tc>
          <w:tcPr>
            <w:tcW w:w="2437" w:type="pct"/>
          </w:tcPr>
          <w:p w14:paraId="1B5C86C0" w14:textId="77777777" w:rsidR="00F57885" w:rsidRDefault="00024593" w:rsidP="00024593">
            <w:pPr>
              <w:pStyle w:val="TableText"/>
              <w:rPr>
                <w:rFonts w:cs="Arial"/>
                <w:snapToGrid w:val="0"/>
              </w:rPr>
            </w:pPr>
            <w:r>
              <w:rPr>
                <w:rFonts w:cs="Arial"/>
                <w:snapToGrid w:val="0"/>
              </w:rPr>
              <w:t>MSAC recognised that individual patients may have different preferences when considering the balance between side effects and long-term effectiveness (1612 PSD, p1).</w:t>
            </w:r>
          </w:p>
          <w:p w14:paraId="3C6FBFDC" w14:textId="72AAF142" w:rsidR="002156AD" w:rsidRPr="00CE28E3" w:rsidRDefault="002156AD" w:rsidP="00024593">
            <w:pPr>
              <w:pStyle w:val="TableText"/>
            </w:pPr>
            <w:r>
              <w:rPr>
                <w:rFonts w:cs="Arial"/>
                <w:snapToGrid w:val="0"/>
              </w:rPr>
              <w:t>MSAC considered this review could usefully garner information on why urologists recommend certain procedures and what informs patient preferences for certain procedures (1612 PSD, p1; 1586 PSD, p2)</w:t>
            </w:r>
          </w:p>
        </w:tc>
        <w:tc>
          <w:tcPr>
            <w:tcW w:w="1465" w:type="pct"/>
          </w:tcPr>
          <w:p w14:paraId="26202E3E" w14:textId="1B9FB21D" w:rsidR="00F57885" w:rsidRPr="00CE28E3" w:rsidRDefault="002156AD" w:rsidP="00824458">
            <w:pPr>
              <w:pStyle w:val="TableText"/>
              <w:rPr>
                <w:rFonts w:cs="Arial"/>
                <w:bCs/>
                <w:snapToGrid w:val="0"/>
              </w:rPr>
            </w:pPr>
            <w:r>
              <w:rPr>
                <w:rFonts w:cs="Arial"/>
                <w:bCs/>
                <w:snapToGrid w:val="0"/>
              </w:rPr>
              <w:t xml:space="preserve">Addressed: </w:t>
            </w:r>
            <w:r w:rsidR="00024593">
              <w:rPr>
                <w:rFonts w:cs="Arial"/>
                <w:bCs/>
                <w:snapToGrid w:val="0"/>
              </w:rPr>
              <w:t xml:space="preserve">Section 5 discusses what factors influence patient preferences and clinician recommendations. </w:t>
            </w:r>
          </w:p>
        </w:tc>
      </w:tr>
      <w:tr w:rsidR="002156AD" w:rsidRPr="00CE28E3" w14:paraId="57C6A860" w14:textId="77777777" w:rsidTr="00D92B78">
        <w:trPr>
          <w:cantSplit/>
        </w:trPr>
        <w:tc>
          <w:tcPr>
            <w:tcW w:w="1097" w:type="pct"/>
          </w:tcPr>
          <w:p w14:paraId="347653FB" w14:textId="2EFEE932" w:rsidR="002156AD" w:rsidRDefault="002156AD" w:rsidP="00824458">
            <w:pPr>
              <w:pStyle w:val="TableText"/>
            </w:pPr>
            <w:r>
              <w:t>Long-term outcomes</w:t>
            </w:r>
          </w:p>
        </w:tc>
        <w:tc>
          <w:tcPr>
            <w:tcW w:w="2437" w:type="pct"/>
          </w:tcPr>
          <w:p w14:paraId="3A809542" w14:textId="04CD34BC" w:rsidR="002156AD" w:rsidRDefault="002156AD" w:rsidP="00024593">
            <w:pPr>
              <w:pStyle w:val="TableText"/>
              <w:rPr>
                <w:rFonts w:cs="Arial"/>
                <w:snapToGrid w:val="0"/>
              </w:rPr>
            </w:pPr>
            <w:r>
              <w:rPr>
                <w:rFonts w:cs="Arial"/>
                <w:snapToGrid w:val="0"/>
              </w:rPr>
              <w:t>MSAC considered this review could usefully garner information on long-term outcomes (1612 PSD, p1; 1586 PSD, p2)</w:t>
            </w:r>
          </w:p>
        </w:tc>
        <w:tc>
          <w:tcPr>
            <w:tcW w:w="1465" w:type="pct"/>
          </w:tcPr>
          <w:p w14:paraId="71EACCFB" w14:textId="38A42291" w:rsidR="002156AD" w:rsidRDefault="002156AD" w:rsidP="00824458">
            <w:pPr>
              <w:pStyle w:val="TableText"/>
              <w:rPr>
                <w:rFonts w:cs="Arial"/>
                <w:bCs/>
                <w:snapToGrid w:val="0"/>
              </w:rPr>
            </w:pPr>
            <w:r>
              <w:rPr>
                <w:rFonts w:cs="Arial"/>
                <w:bCs/>
                <w:snapToGrid w:val="0"/>
              </w:rPr>
              <w:t>Addressed:</w:t>
            </w:r>
            <w:r w:rsidR="00581535">
              <w:rPr>
                <w:rFonts w:cs="Arial"/>
                <w:bCs/>
                <w:snapToGrid w:val="0"/>
              </w:rPr>
              <w:t xml:space="preserve"> where RCT data were not available for long-term outcomes such as relapse rate, large observational data were sought and included.</w:t>
            </w:r>
          </w:p>
        </w:tc>
      </w:tr>
    </w:tbl>
    <w:p w14:paraId="112DD4DD" w14:textId="43026572" w:rsidR="00B21024" w:rsidRDefault="00B21024" w:rsidP="00787759">
      <w:pPr>
        <w:pStyle w:val="TableFigureFooter"/>
        <w:spacing w:after="600"/>
        <w:contextualSpacing/>
      </w:pPr>
      <w:bookmarkStart w:id="13" w:name="_Hlk68275617"/>
      <w:bookmarkEnd w:id="12"/>
      <w:r>
        <w:t xml:space="preserve">Source: Table 1, </w:t>
      </w:r>
      <w:proofErr w:type="spellStart"/>
      <w:r>
        <w:t>pg</w:t>
      </w:r>
      <w:proofErr w:type="spellEnd"/>
      <w:r>
        <w:t xml:space="preserve"> 9 of MSAC 1697 Department Contracted Assessment Report (DCAR)</w:t>
      </w:r>
    </w:p>
    <w:p w14:paraId="3EA0F47E" w14:textId="5B25AA38" w:rsidR="00F57885" w:rsidRPr="00CE28E3" w:rsidRDefault="00B21024" w:rsidP="00994452">
      <w:pPr>
        <w:pStyle w:val="TableFigureFooter"/>
        <w:spacing w:after="240"/>
      </w:pPr>
      <w:r>
        <w:t xml:space="preserve">Abbreviations: </w:t>
      </w:r>
      <w:r w:rsidR="00F57885" w:rsidRPr="00CE28E3">
        <w:t>MSAC = Medical Services Advisory Committee; PSD = Public Summary Document</w:t>
      </w:r>
    </w:p>
    <w:p w14:paraId="6F52500A" w14:textId="15D42ADB" w:rsidR="00772829" w:rsidRPr="00CE28E3" w:rsidRDefault="002811D5" w:rsidP="002A18BE">
      <w:pPr>
        <w:pStyle w:val="Heading2"/>
        <w:numPr>
          <w:ilvl w:val="1"/>
          <w:numId w:val="0"/>
        </w:numPr>
      </w:pPr>
      <w:bookmarkStart w:id="14" w:name="_Toc100150271"/>
      <w:bookmarkEnd w:id="10"/>
      <w:bookmarkEnd w:id="13"/>
      <w:r>
        <w:t>5</w:t>
      </w:r>
      <w:r w:rsidR="00C36633">
        <w:t>.</w:t>
      </w:r>
      <w:r w:rsidR="00C36633">
        <w:tab/>
      </w:r>
      <w:r w:rsidR="00772829">
        <w:t>Prerequisites to implementation of any funding advice</w:t>
      </w:r>
      <w:bookmarkEnd w:id="14"/>
    </w:p>
    <w:p w14:paraId="41D1A9FA" w14:textId="48082AC5" w:rsidR="00813BC9" w:rsidRDefault="0021727D" w:rsidP="0089393C">
      <w:r>
        <w:t xml:space="preserve">Some of the interventions included in this report require equipment or prostheses, and these components have TGA approval. </w:t>
      </w:r>
      <w:r w:rsidR="00813BC9">
        <w:t xml:space="preserve">The procedures themselves are performed by urological surgeons. </w:t>
      </w:r>
      <w:r w:rsidR="001E7B8F">
        <w:t>This specialty has</w:t>
      </w:r>
      <w:r w:rsidR="00813BC9">
        <w:t xml:space="preserve"> established training, </w:t>
      </w:r>
      <w:proofErr w:type="gramStart"/>
      <w:r w:rsidR="00813BC9">
        <w:t>accreditation</w:t>
      </w:r>
      <w:proofErr w:type="gramEnd"/>
      <w:r w:rsidR="00813BC9">
        <w:t xml:space="preserve"> and standards in place. </w:t>
      </w:r>
    </w:p>
    <w:p w14:paraId="22956A67" w14:textId="5C4DAF03" w:rsidR="001D62A5" w:rsidRDefault="002811D5" w:rsidP="002A18BE">
      <w:pPr>
        <w:pStyle w:val="Heading2"/>
        <w:numPr>
          <w:ilvl w:val="1"/>
          <w:numId w:val="0"/>
        </w:numPr>
      </w:pPr>
      <w:bookmarkStart w:id="15" w:name="_Toc100150272"/>
      <w:r>
        <w:t>6</w:t>
      </w:r>
      <w:r w:rsidR="00C36633">
        <w:t>.</w:t>
      </w:r>
      <w:r w:rsidR="00813BC9">
        <w:tab/>
      </w:r>
      <w:r w:rsidR="001D62A5">
        <w:t>Propos</w:t>
      </w:r>
      <w:r w:rsidR="008F2E24">
        <w:t>al for public funding</w:t>
      </w:r>
      <w:bookmarkEnd w:id="15"/>
    </w:p>
    <w:p w14:paraId="4B55BDD6" w14:textId="6E070751" w:rsidR="00C20801" w:rsidRDefault="138E7ED4" w:rsidP="00814287">
      <w:r>
        <w:t>This review is intended to assist MSAC to provide advice to the Minister on which BPH procedures should be listed on the Medicare Benefits Schedule (MBS), and what the appropriate fees for each procedure are. In particular, the review is intended to assist MSAC’s consideration of two MSAC applications</w:t>
      </w:r>
      <w:r w:rsidR="06E57115">
        <w:t xml:space="preserve">: </w:t>
      </w:r>
    </w:p>
    <w:p w14:paraId="3B0E3A15" w14:textId="165E2F4E" w:rsidR="00FD1770" w:rsidRDefault="00C20801" w:rsidP="00C20801">
      <w:pPr>
        <w:pStyle w:val="ListParagraph"/>
        <w:numPr>
          <w:ilvl w:val="0"/>
          <w:numId w:val="32"/>
        </w:numPr>
      </w:pPr>
      <w:r>
        <w:t xml:space="preserve">MSAC application </w:t>
      </w:r>
      <w:r w:rsidR="00FD1770">
        <w:t xml:space="preserve">1586 </w:t>
      </w:r>
      <w:r w:rsidR="00814287">
        <w:t>which seek</w:t>
      </w:r>
      <w:r w:rsidR="00FD1770">
        <w:t>s</w:t>
      </w:r>
      <w:r w:rsidR="00814287">
        <w:t xml:space="preserve"> to create a new MBS item for TUWA </w:t>
      </w:r>
    </w:p>
    <w:p w14:paraId="198FEAA6" w14:textId="1FE87C37" w:rsidR="00814287" w:rsidRDefault="00FD1770" w:rsidP="00521ACA">
      <w:pPr>
        <w:pStyle w:val="ListParagraph"/>
        <w:numPr>
          <w:ilvl w:val="0"/>
          <w:numId w:val="32"/>
        </w:numPr>
      </w:pPr>
      <w:r>
        <w:t>M</w:t>
      </w:r>
      <w:r w:rsidR="00235F1C">
        <w:t>S</w:t>
      </w:r>
      <w:r>
        <w:t>AC application 1612 which seeks to</w:t>
      </w:r>
      <w:r w:rsidR="00FC4F9A">
        <w:t xml:space="preserve"> increase the MBS fee for PUL</w:t>
      </w:r>
      <w:r w:rsidR="00A86A81">
        <w:t xml:space="preserve"> (equivalent to the MBS fee for VLAP and TURP) </w:t>
      </w:r>
      <w:r w:rsidR="00FC4F9A">
        <w:t xml:space="preserve">by </w:t>
      </w:r>
      <w:r>
        <w:t>amend</w:t>
      </w:r>
      <w:r w:rsidR="00FC4F9A">
        <w:t xml:space="preserve">ing </w:t>
      </w:r>
      <w:r w:rsidR="00FC4F9A" w:rsidRPr="00FC4F9A">
        <w:t xml:space="preserve">MBS 36811 for </w:t>
      </w:r>
      <w:r w:rsidR="00E03B78" w:rsidRPr="00FC4F9A">
        <w:t>cystoscopy</w:t>
      </w:r>
      <w:r w:rsidR="00E03B78">
        <w:t>.</w:t>
      </w:r>
      <w:r w:rsidR="00814287">
        <w:t xml:space="preserve"> </w:t>
      </w:r>
    </w:p>
    <w:p w14:paraId="34E0B08F" w14:textId="504173CF" w:rsidR="00772829" w:rsidRPr="00CE28E3" w:rsidRDefault="002811D5" w:rsidP="002A18BE">
      <w:pPr>
        <w:pStyle w:val="Heading2"/>
        <w:numPr>
          <w:ilvl w:val="1"/>
          <w:numId w:val="0"/>
        </w:numPr>
      </w:pPr>
      <w:bookmarkStart w:id="16" w:name="_Toc100150273"/>
      <w:r>
        <w:t>7</w:t>
      </w:r>
      <w:r w:rsidR="001D62A5">
        <w:t xml:space="preserve">. </w:t>
      </w:r>
      <w:r w:rsidR="001D62A5">
        <w:tab/>
      </w:r>
      <w:r w:rsidR="00772829">
        <w:t>Population</w:t>
      </w:r>
      <w:bookmarkEnd w:id="16"/>
      <w:r w:rsidR="00772829">
        <w:t xml:space="preserve"> </w:t>
      </w:r>
    </w:p>
    <w:p w14:paraId="03EA67FB" w14:textId="32370255" w:rsidR="009D34E9" w:rsidRDefault="00321FB2" w:rsidP="00813BC9">
      <w:r>
        <w:t xml:space="preserve">The population </w:t>
      </w:r>
      <w:r w:rsidR="008B21B8">
        <w:t>of interest fo</w:t>
      </w:r>
      <w:r w:rsidR="00CF3AB7">
        <w:t>r</w:t>
      </w:r>
      <w:r w:rsidR="008B21B8">
        <w:t xml:space="preserve"> this assessment </w:t>
      </w:r>
      <w:r w:rsidR="0016163C">
        <w:t xml:space="preserve">is </w:t>
      </w:r>
      <w:r w:rsidR="009D34E9">
        <w:t>p</w:t>
      </w:r>
      <w:r w:rsidR="009D34E9" w:rsidRPr="009D34E9">
        <w:t xml:space="preserve">atients with BPH and severe or high impact </w:t>
      </w:r>
      <w:r w:rsidR="009D34E9">
        <w:t>lower urinary tract symptoms (</w:t>
      </w:r>
      <w:r w:rsidR="009D34E9" w:rsidRPr="009D34E9">
        <w:t>LUTS</w:t>
      </w:r>
      <w:r w:rsidR="009D34E9">
        <w:t>)</w:t>
      </w:r>
      <w:r w:rsidR="009D34E9" w:rsidRPr="009D34E9">
        <w:t xml:space="preserve"> suitable for TURP</w:t>
      </w:r>
      <w:r w:rsidR="009D34E9">
        <w:t xml:space="preserve">. </w:t>
      </w:r>
    </w:p>
    <w:p w14:paraId="3100921D" w14:textId="2AD29BA8" w:rsidR="00813BC9" w:rsidRDefault="00813BC9" w:rsidP="00813BC9">
      <w:r>
        <w:t xml:space="preserve">BPH is also known as benign prostate enlargement (BPE). It is a non-cancerous enlargement of the prostate gland, involving progressive proliferation of the smooth muscle and epithelial cells. The disease is </w:t>
      </w:r>
      <w:proofErr w:type="gramStart"/>
      <w:r>
        <w:t>progressive</w:t>
      </w:r>
      <w:proofErr w:type="gramEnd"/>
      <w:r>
        <w:t xml:space="preserve"> and the global lifetime prevalence is 26.2% (95%CI 22.8-29.6%). BPH can cause </w:t>
      </w:r>
      <w:r w:rsidR="001475E4">
        <w:t>L</w:t>
      </w:r>
      <w:r>
        <w:t>UTS including urinary frequency, urgency to void, nocturia, dribbling or incomplete bladder emptying, which can impact quality of life (QoL) and physical health.</w:t>
      </w:r>
    </w:p>
    <w:p w14:paraId="0E4E9E37" w14:textId="6CAA483B" w:rsidR="00813BC9" w:rsidRDefault="00813BC9" w:rsidP="00813BC9">
      <w:r>
        <w:t xml:space="preserve">When lifestyle, pharmacologic or non-procedural approaches fail to improve LUTS symptoms or prevent progression, surgical procedures are considered. </w:t>
      </w:r>
    </w:p>
    <w:p w14:paraId="086B2DA1" w14:textId="1F657F2D" w:rsidR="00813BC9" w:rsidRDefault="002811D5" w:rsidP="00813BC9">
      <w:pPr>
        <w:pStyle w:val="Heading2"/>
        <w:numPr>
          <w:ilvl w:val="0"/>
          <w:numId w:val="0"/>
        </w:numPr>
      </w:pPr>
      <w:bookmarkStart w:id="17" w:name="_Toc100150274"/>
      <w:r>
        <w:lastRenderedPageBreak/>
        <w:t>8</w:t>
      </w:r>
      <w:r w:rsidR="00813BC9">
        <w:t>.</w:t>
      </w:r>
      <w:r w:rsidR="00813BC9">
        <w:tab/>
        <w:t>Interventions</w:t>
      </w:r>
      <w:bookmarkEnd w:id="17"/>
      <w:r w:rsidR="00813BC9" w:rsidRPr="00CE28E3">
        <w:t xml:space="preserve"> </w:t>
      </w:r>
    </w:p>
    <w:p w14:paraId="444B1C65" w14:textId="7CEE73ED" w:rsidR="00994452" w:rsidRPr="000F29FD" w:rsidRDefault="00063FB8" w:rsidP="00994452">
      <w:r>
        <w:t xml:space="preserve">The following </w:t>
      </w:r>
      <w:r w:rsidR="009D34E9">
        <w:t>m</w:t>
      </w:r>
      <w:r w:rsidR="00F960F8">
        <w:t>inimally invasive surgical procedures (</w:t>
      </w:r>
      <w:r>
        <w:t>interventions</w:t>
      </w:r>
      <w:r w:rsidR="00F960F8">
        <w:t xml:space="preserve">) available </w:t>
      </w:r>
      <w:r w:rsidR="00F960F8" w:rsidRPr="00C213CF">
        <w:t>to manage BPH in Australia</w:t>
      </w:r>
      <w:r>
        <w:t xml:space="preserve"> are </w:t>
      </w:r>
      <w:r w:rsidR="00201C0E">
        <w:t xml:space="preserve">included in </w:t>
      </w:r>
      <w:r>
        <w:t xml:space="preserve">this </w:t>
      </w:r>
      <w:r w:rsidR="00D84252" w:rsidRPr="000F29FD">
        <w:t>assessment</w:t>
      </w:r>
      <w:r w:rsidR="007E7C53" w:rsidRPr="000F29FD">
        <w:t xml:space="preserve"> </w:t>
      </w:r>
      <w:r w:rsidRPr="000F29FD">
        <w:t>(</w:t>
      </w:r>
      <w:r w:rsidR="005C144C" w:rsidRPr="000F29FD">
        <w:t>Table 2</w:t>
      </w:r>
      <w:r w:rsidRPr="000F29FD">
        <w:t>).</w:t>
      </w:r>
      <w:bookmarkStart w:id="18" w:name="_Ref95922007"/>
    </w:p>
    <w:p w14:paraId="4111E5AE" w14:textId="71EDA11F" w:rsidR="00063FB8" w:rsidRDefault="00063FB8" w:rsidP="009A5C5B">
      <w:pPr>
        <w:pStyle w:val="TableFigureHeading"/>
      </w:pPr>
      <w:r>
        <w:t xml:space="preserve">Table </w:t>
      </w:r>
      <w:r>
        <w:fldChar w:fldCharType="begin"/>
      </w:r>
      <w:r>
        <w:instrText>SEQ Table \* ARABIC</w:instrText>
      </w:r>
      <w:r>
        <w:fldChar w:fldCharType="separate"/>
      </w:r>
      <w:r w:rsidR="00C03EF9">
        <w:rPr>
          <w:noProof/>
        </w:rPr>
        <w:t>2</w:t>
      </w:r>
      <w:r>
        <w:fldChar w:fldCharType="end"/>
      </w:r>
      <w:bookmarkEnd w:id="18"/>
      <w:r>
        <w:t xml:space="preserve"> Interventions included in MSAC application 1697</w:t>
      </w:r>
    </w:p>
    <w:tbl>
      <w:tblPr>
        <w:tblStyle w:val="TableGrid"/>
        <w:tblW w:w="0" w:type="auto"/>
        <w:tblLook w:val="04A0" w:firstRow="1" w:lastRow="0" w:firstColumn="1" w:lastColumn="0" w:noHBand="0" w:noVBand="1"/>
        <w:tblCaption w:val="Interventions included in MSAC application 1697"/>
        <w:tblDescription w:val="Interventions included in MSAC application 1697"/>
      </w:tblPr>
      <w:tblGrid>
        <w:gridCol w:w="1358"/>
        <w:gridCol w:w="4874"/>
        <w:gridCol w:w="2784"/>
      </w:tblGrid>
      <w:tr w:rsidR="00870B54" w14:paraId="14AF0518" w14:textId="4C49B804" w:rsidTr="008B0FED">
        <w:trPr>
          <w:tblHeader/>
        </w:trPr>
        <w:tc>
          <w:tcPr>
            <w:tcW w:w="1358" w:type="dxa"/>
          </w:tcPr>
          <w:p w14:paraId="35466BA0" w14:textId="73ABE50C" w:rsidR="00870B54" w:rsidRDefault="00870B54" w:rsidP="00870B54">
            <w:pPr>
              <w:pStyle w:val="TableHeading"/>
            </w:pPr>
            <w:r>
              <w:t xml:space="preserve">Intervention </w:t>
            </w:r>
          </w:p>
        </w:tc>
        <w:tc>
          <w:tcPr>
            <w:tcW w:w="4874" w:type="dxa"/>
          </w:tcPr>
          <w:p w14:paraId="699BAFAA" w14:textId="5F0D9B2C" w:rsidR="00870B54" w:rsidRDefault="00870B54" w:rsidP="00870B54">
            <w:pPr>
              <w:pStyle w:val="TableHeading"/>
            </w:pPr>
            <w:r>
              <w:t>Description</w:t>
            </w:r>
          </w:p>
        </w:tc>
        <w:tc>
          <w:tcPr>
            <w:tcW w:w="2784" w:type="dxa"/>
          </w:tcPr>
          <w:p w14:paraId="43253CC2" w14:textId="2621ED47" w:rsidR="00870B54" w:rsidRDefault="00870B54" w:rsidP="00870B54">
            <w:pPr>
              <w:pStyle w:val="TableHeading"/>
            </w:pPr>
            <w:r>
              <w:t>Currently on MBS?</w:t>
            </w:r>
          </w:p>
        </w:tc>
      </w:tr>
      <w:tr w:rsidR="00364EC4" w14:paraId="18DB18F6" w14:textId="77777777" w:rsidTr="613BE62B">
        <w:tc>
          <w:tcPr>
            <w:tcW w:w="1358" w:type="dxa"/>
          </w:tcPr>
          <w:p w14:paraId="398FB45E" w14:textId="6B28FD70" w:rsidR="00364EC4" w:rsidRDefault="00E977AF" w:rsidP="00870B54">
            <w:pPr>
              <w:pStyle w:val="Tabletext0"/>
            </w:pPr>
            <w:r>
              <w:t>EEP</w:t>
            </w:r>
          </w:p>
        </w:tc>
        <w:tc>
          <w:tcPr>
            <w:tcW w:w="4874" w:type="dxa"/>
          </w:tcPr>
          <w:p w14:paraId="5907587B" w14:textId="77777777" w:rsidR="00364EC4" w:rsidRDefault="00364EC4" w:rsidP="00766E1E">
            <w:pPr>
              <w:pStyle w:val="Tabletext0"/>
            </w:pPr>
            <w:r>
              <w:t xml:space="preserve">During the procedure, a laser dissects the median and lateral lobes of the prostatic capsule. Once the tissue is enucleated, a tissue morcellator may be applied </w:t>
            </w:r>
            <w:proofErr w:type="gramStart"/>
            <w:r>
              <w:t>in order to</w:t>
            </w:r>
            <w:proofErr w:type="gramEnd"/>
            <w:r>
              <w:t xml:space="preserve"> aspirate the enucleated tissue from the bladder</w:t>
            </w:r>
          </w:p>
        </w:tc>
        <w:tc>
          <w:tcPr>
            <w:tcW w:w="2784" w:type="dxa"/>
          </w:tcPr>
          <w:p w14:paraId="09DA5AD3" w14:textId="77777777" w:rsidR="00364EC4" w:rsidRDefault="00364EC4" w:rsidP="00870B54">
            <w:pPr>
              <w:pStyle w:val="Tabletext0"/>
            </w:pPr>
            <w:r>
              <w:t>Yes, item number 37245.</w:t>
            </w:r>
          </w:p>
        </w:tc>
      </w:tr>
      <w:tr w:rsidR="00364EC4" w14:paraId="41EB112D" w14:textId="77777777" w:rsidTr="613BE62B">
        <w:tc>
          <w:tcPr>
            <w:tcW w:w="1358" w:type="dxa"/>
          </w:tcPr>
          <w:p w14:paraId="05A1ABA0" w14:textId="1147291B" w:rsidR="00364EC4" w:rsidRDefault="00364EC4" w:rsidP="00870B54">
            <w:pPr>
              <w:pStyle w:val="Tabletext0"/>
            </w:pPr>
            <w:r>
              <w:t>PUL</w:t>
            </w:r>
          </w:p>
        </w:tc>
        <w:tc>
          <w:tcPr>
            <w:tcW w:w="4874" w:type="dxa"/>
          </w:tcPr>
          <w:p w14:paraId="2641CA48" w14:textId="77777777" w:rsidR="00364EC4" w:rsidRDefault="00364EC4" w:rsidP="00870B54">
            <w:pPr>
              <w:pStyle w:val="Tabletext0"/>
            </w:pPr>
            <w:r>
              <w:t xml:space="preserve">PUL is done by installing small permanent implants which lift apart the obstructing lateral prostatic lobes to reduce urethral obstruction. This is conducted </w:t>
            </w:r>
            <w:proofErr w:type="spellStart"/>
            <w:r>
              <w:t>transurethrally</w:t>
            </w:r>
            <w:proofErr w:type="spellEnd"/>
            <w:r>
              <w:t xml:space="preserve"> and under endoscopic guidance.</w:t>
            </w:r>
          </w:p>
        </w:tc>
        <w:tc>
          <w:tcPr>
            <w:tcW w:w="2784" w:type="dxa"/>
          </w:tcPr>
          <w:p w14:paraId="44F9E5A0" w14:textId="77777777" w:rsidR="00364EC4" w:rsidRDefault="00364EC4" w:rsidP="00870B54">
            <w:pPr>
              <w:pStyle w:val="Tabletext0"/>
            </w:pPr>
            <w:r>
              <w:t>Yes, using a generic item number (MBS 36811).</w:t>
            </w:r>
          </w:p>
        </w:tc>
      </w:tr>
      <w:tr w:rsidR="00364EC4" w14:paraId="7AFBDE7E" w14:textId="77777777" w:rsidTr="613BE62B">
        <w:tc>
          <w:tcPr>
            <w:tcW w:w="1358" w:type="dxa"/>
          </w:tcPr>
          <w:p w14:paraId="71FED452" w14:textId="77777777" w:rsidR="00364EC4" w:rsidRDefault="00364EC4" w:rsidP="00870B54">
            <w:pPr>
              <w:pStyle w:val="Tabletext0"/>
            </w:pPr>
            <w:r>
              <w:t>TUMT</w:t>
            </w:r>
          </w:p>
        </w:tc>
        <w:tc>
          <w:tcPr>
            <w:tcW w:w="4874" w:type="dxa"/>
          </w:tcPr>
          <w:p w14:paraId="582439FC" w14:textId="77777777" w:rsidR="00364EC4" w:rsidRDefault="00364EC4" w:rsidP="00870B54">
            <w:pPr>
              <w:pStyle w:val="Tabletext0"/>
            </w:pPr>
            <w:r>
              <w:t>The TUMT system uses a specialised urethral catheter that emits electromagnetic waves through an antenna at a frequency of 915 – 1296 MHz to induce heat. The system allows prostate tissue to be locally thermo-ablated.</w:t>
            </w:r>
          </w:p>
        </w:tc>
        <w:tc>
          <w:tcPr>
            <w:tcW w:w="2784" w:type="dxa"/>
          </w:tcPr>
          <w:p w14:paraId="00D15D7B" w14:textId="77777777" w:rsidR="00364EC4" w:rsidRDefault="00364EC4" w:rsidP="00870B54">
            <w:pPr>
              <w:pStyle w:val="Tabletext0"/>
            </w:pPr>
            <w:r>
              <w:t>Yes, item numbers 37230 and 37233.</w:t>
            </w:r>
          </w:p>
        </w:tc>
      </w:tr>
      <w:tr w:rsidR="00364EC4" w14:paraId="7D61E577" w14:textId="77777777" w:rsidTr="613BE62B">
        <w:tc>
          <w:tcPr>
            <w:tcW w:w="1358" w:type="dxa"/>
          </w:tcPr>
          <w:p w14:paraId="2BD72A34" w14:textId="77777777" w:rsidR="00364EC4" w:rsidRDefault="00364EC4" w:rsidP="00870B54">
            <w:pPr>
              <w:pStyle w:val="Tabletext0"/>
            </w:pPr>
            <w:r>
              <w:t>TUWA</w:t>
            </w:r>
          </w:p>
        </w:tc>
        <w:tc>
          <w:tcPr>
            <w:tcW w:w="4874" w:type="dxa"/>
          </w:tcPr>
          <w:p w14:paraId="787ADB56" w14:textId="77777777" w:rsidR="00364EC4" w:rsidRDefault="00364EC4" w:rsidP="00870B54">
            <w:pPr>
              <w:pStyle w:val="Tabletext0"/>
            </w:pPr>
            <w:r>
              <w:t xml:space="preserve">TUWA is conducted using </w:t>
            </w:r>
            <w:proofErr w:type="spellStart"/>
            <w:r>
              <w:t>Rezūm</w:t>
            </w:r>
            <w:proofErr w:type="spellEnd"/>
            <w:r>
              <w:t xml:space="preserve"> water vapour technology. Water vapour is delivered to the prostate through the insertion of a </w:t>
            </w:r>
            <w:proofErr w:type="spellStart"/>
            <w:r>
              <w:t>cystoscopic</w:t>
            </w:r>
            <w:proofErr w:type="spellEnd"/>
            <w:r>
              <w:t xml:space="preserve"> probe into the urethra. The prostate tissue is ablated by the water vapour.</w:t>
            </w:r>
          </w:p>
        </w:tc>
        <w:tc>
          <w:tcPr>
            <w:tcW w:w="2784" w:type="dxa"/>
          </w:tcPr>
          <w:p w14:paraId="1C3D7944" w14:textId="77777777" w:rsidR="00364EC4" w:rsidRDefault="00364EC4" w:rsidP="00870B54">
            <w:pPr>
              <w:pStyle w:val="Tabletext0"/>
            </w:pPr>
            <w:r>
              <w:t xml:space="preserve">No specific TUWA item, however two currently listed MBS items encompass the use of </w:t>
            </w:r>
            <w:proofErr w:type="gramStart"/>
            <w:r>
              <w:t>radio-frequency</w:t>
            </w:r>
            <w:proofErr w:type="gramEnd"/>
            <w:r>
              <w:t xml:space="preserve"> for the ablation of prostatic tissues in patients who are not medically fit for TURP (MBS 37201 and MBS 27202), and these are used for TUWA procedures.</w:t>
            </w:r>
          </w:p>
        </w:tc>
      </w:tr>
      <w:tr w:rsidR="00364EC4" w14:paraId="03EEEB8E" w14:textId="77777777" w:rsidTr="613BE62B">
        <w:tc>
          <w:tcPr>
            <w:tcW w:w="1358" w:type="dxa"/>
          </w:tcPr>
          <w:p w14:paraId="2FACF62D" w14:textId="77777777" w:rsidR="00364EC4" w:rsidRDefault="00364EC4" w:rsidP="00870B54">
            <w:pPr>
              <w:pStyle w:val="Tabletext0"/>
            </w:pPr>
            <w:r>
              <w:t>VLAP</w:t>
            </w:r>
          </w:p>
        </w:tc>
        <w:tc>
          <w:tcPr>
            <w:tcW w:w="4874" w:type="dxa"/>
          </w:tcPr>
          <w:p w14:paraId="196CDE36" w14:textId="34F22060" w:rsidR="00364EC4" w:rsidRDefault="00364EC4" w:rsidP="00870B54">
            <w:pPr>
              <w:pStyle w:val="Tabletext0"/>
            </w:pPr>
            <w:r>
              <w:t xml:space="preserve">This procedure can be performed using a free-beam laser which </w:t>
            </w:r>
            <w:proofErr w:type="gramStart"/>
            <w:r>
              <w:t>is capable of producing</w:t>
            </w:r>
            <w:proofErr w:type="gramEnd"/>
            <w:r>
              <w:t xml:space="preserve"> deep coagulation or vaporisation of the prostate tissue to relieve bladder outlet obstruction due to BPH. </w:t>
            </w:r>
            <w:r w:rsidR="00E03B78">
              <w:t>T</w:t>
            </w:r>
            <w:r w:rsidR="00E03B78" w:rsidDel="7B4B5F12">
              <w:t>h</w:t>
            </w:r>
            <w:r w:rsidR="00E03B78">
              <w:t>e</w:t>
            </w:r>
            <w:r>
              <w:t xml:space="preserve"> treated prostate tissue undergoes coagulation necrosis and then sloughs in the urinary stream.</w:t>
            </w:r>
          </w:p>
        </w:tc>
        <w:tc>
          <w:tcPr>
            <w:tcW w:w="2784" w:type="dxa"/>
          </w:tcPr>
          <w:p w14:paraId="00958A7F" w14:textId="77777777" w:rsidR="00364EC4" w:rsidRDefault="00364EC4" w:rsidP="00870B54">
            <w:pPr>
              <w:pStyle w:val="Tabletext0"/>
            </w:pPr>
            <w:r>
              <w:t>Yes, item number 37207 and 37208.</w:t>
            </w:r>
          </w:p>
        </w:tc>
      </w:tr>
      <w:tr w:rsidR="003708C8" w14:paraId="5CE7410B" w14:textId="77777777" w:rsidTr="613BE62B">
        <w:tc>
          <w:tcPr>
            <w:tcW w:w="1358" w:type="dxa"/>
          </w:tcPr>
          <w:p w14:paraId="17C2F0ED" w14:textId="74A7AD41" w:rsidR="003708C8" w:rsidRDefault="003708C8" w:rsidP="003708C8">
            <w:pPr>
              <w:pStyle w:val="Tabletext0"/>
            </w:pPr>
            <w:r>
              <w:t>Other</w:t>
            </w:r>
          </w:p>
        </w:tc>
        <w:tc>
          <w:tcPr>
            <w:tcW w:w="4874" w:type="dxa"/>
          </w:tcPr>
          <w:p w14:paraId="2CA16B2C" w14:textId="5F796B60" w:rsidR="003708C8" w:rsidRDefault="003708C8" w:rsidP="003708C8">
            <w:pPr>
              <w:pStyle w:val="Tabletext0"/>
            </w:pPr>
            <w:r>
              <w:t>MBS item 36811 is device-</w:t>
            </w:r>
            <w:proofErr w:type="gramStart"/>
            <w:r>
              <w:t>agnostic, and</w:t>
            </w:r>
            <w:proofErr w:type="gramEnd"/>
            <w:r>
              <w:t xml:space="preserve"> may be used for insertion of other urethral or prostatic stents. A summary of devices identified which would be </w:t>
            </w:r>
            <w:proofErr w:type="gramStart"/>
            <w:r>
              <w:t>eligible, and</w:t>
            </w:r>
            <w:proofErr w:type="gramEnd"/>
            <w:r>
              <w:t xml:space="preserve"> are currently on the Prostheses List are shown in </w:t>
            </w:r>
            <w:r>
              <w:fldChar w:fldCharType="begin"/>
            </w:r>
            <w:r>
              <w:instrText xml:space="preserve"> REF _Ref88223782 \h </w:instrText>
            </w:r>
            <w:r>
              <w:fldChar w:fldCharType="separate"/>
            </w:r>
            <w:r w:rsidR="00C03EF9">
              <w:t xml:space="preserve">Table </w:t>
            </w:r>
            <w:r w:rsidR="00C03EF9">
              <w:rPr>
                <w:noProof/>
              </w:rPr>
              <w:t>18</w:t>
            </w:r>
            <w:r>
              <w:fldChar w:fldCharType="end"/>
            </w:r>
            <w:r>
              <w:t xml:space="preserve"> in the DCAR. Not </w:t>
            </w:r>
            <w:proofErr w:type="gramStart"/>
            <w:r>
              <w:t>all of</w:t>
            </w:r>
            <w:proofErr w:type="gramEnd"/>
            <w:r>
              <w:t xml:space="preserve"> these stents would have TURP as a comparator (some are indicated for patients unfit for surgery or on a waiting list for TURP).</w:t>
            </w:r>
          </w:p>
        </w:tc>
        <w:tc>
          <w:tcPr>
            <w:tcW w:w="2784" w:type="dxa"/>
          </w:tcPr>
          <w:p w14:paraId="47993DDE" w14:textId="48D3D68D" w:rsidR="003708C8" w:rsidRDefault="003708C8" w:rsidP="003708C8">
            <w:pPr>
              <w:pStyle w:val="Tabletext0"/>
            </w:pPr>
            <w:r>
              <w:t>Generic item number 36811.</w:t>
            </w:r>
          </w:p>
        </w:tc>
      </w:tr>
    </w:tbl>
    <w:p w14:paraId="603F3894" w14:textId="5AA2977D" w:rsidR="00B21024" w:rsidRDefault="00B21024" w:rsidP="003B50E7">
      <w:pPr>
        <w:pStyle w:val="Tablenotes0"/>
      </w:pPr>
      <w:r>
        <w:t xml:space="preserve">Source: Table 2, </w:t>
      </w:r>
      <w:proofErr w:type="spellStart"/>
      <w:r>
        <w:t>pg</w:t>
      </w:r>
      <w:proofErr w:type="spellEnd"/>
      <w:r>
        <w:t xml:space="preserve"> 11 of MSAC 1697 DCAR</w:t>
      </w:r>
    </w:p>
    <w:p w14:paraId="2E128FEC" w14:textId="62E4ADE8" w:rsidR="003B50E7" w:rsidRDefault="00B21024" w:rsidP="003B50E7">
      <w:pPr>
        <w:pStyle w:val="Tablenotes0"/>
      </w:pPr>
      <w:r>
        <w:t xml:space="preserve">Abbreviations: </w:t>
      </w:r>
      <w:r w:rsidR="003B50E7">
        <w:t xml:space="preserve">BPH = benign prostatic hyperplasia; </w:t>
      </w:r>
      <w:r w:rsidR="00C14478">
        <w:t>DCAR = Department Contracted Assessment Report;</w:t>
      </w:r>
      <w:r w:rsidR="00E977AF" w:rsidRPr="00E977AF">
        <w:t xml:space="preserve"> </w:t>
      </w:r>
      <w:r w:rsidR="00E977AF">
        <w:t xml:space="preserve">EEP = endoscopic enucleation of the prostate; </w:t>
      </w:r>
      <w:r w:rsidR="003B50E7">
        <w:t>MBS = Medicare Benefits Schedule; PUL = prostatic urethral lift; TUMT = transurethral microwave therapy; TURP = transurethral resection of the prostate; TUWA = transurethral water vapour ablation; VLAP = visual laser ablation of the prostate</w:t>
      </w:r>
    </w:p>
    <w:p w14:paraId="6ADCAA2D" w14:textId="4EC38090" w:rsidR="00A93DC1" w:rsidRDefault="00A93DC1" w:rsidP="008B0FED">
      <w:r>
        <w:t xml:space="preserve">Transurethral needle ablation (TUNA) was excluded from the review, as this intervention was never recommended for patients who </w:t>
      </w:r>
      <w:proofErr w:type="gramStart"/>
      <w:r>
        <w:t>are able to</w:t>
      </w:r>
      <w:proofErr w:type="gramEnd"/>
      <w:r>
        <w:t xml:space="preserve"> have TURP, and therefore it is not a suitable therapy for the target population. TUNA is currently not used in Australian clinical </w:t>
      </w:r>
      <w:proofErr w:type="gramStart"/>
      <w:r>
        <w:t>practice,</w:t>
      </w:r>
      <w:proofErr w:type="gramEnd"/>
      <w:r>
        <w:t xml:space="preserve"> however it could be claimed under MBS item numbers 37201 and </w:t>
      </w:r>
      <w:r w:rsidR="00EA4851">
        <w:t>37202</w:t>
      </w:r>
      <w:r>
        <w:t>.</w:t>
      </w:r>
    </w:p>
    <w:p w14:paraId="66BDFCC1" w14:textId="2F8979DF" w:rsidR="00772829" w:rsidRPr="00CE28E3" w:rsidRDefault="002811D5" w:rsidP="002A18BE">
      <w:pPr>
        <w:pStyle w:val="Heading2"/>
        <w:numPr>
          <w:ilvl w:val="0"/>
          <w:numId w:val="0"/>
        </w:numPr>
      </w:pPr>
      <w:bookmarkStart w:id="19" w:name="_Toc100150275"/>
      <w:r>
        <w:t>9</w:t>
      </w:r>
      <w:r w:rsidR="00C36633">
        <w:t>.</w:t>
      </w:r>
      <w:r w:rsidR="00C36633">
        <w:tab/>
      </w:r>
      <w:r w:rsidR="00772829" w:rsidRPr="00CE28E3">
        <w:t>Comparator</w:t>
      </w:r>
      <w:bookmarkEnd w:id="19"/>
    </w:p>
    <w:p w14:paraId="59D1CD50" w14:textId="1E03571D" w:rsidR="00063FB8" w:rsidRDefault="00063FB8" w:rsidP="00063FB8">
      <w:r>
        <w:t xml:space="preserve">TURP is considered the gold standard for surgical treatment of BPH. With TURP, prostate tissue is resected piece by piece via the urethra from the transition zone of the gland, and then extracted </w:t>
      </w:r>
      <w:r>
        <w:lastRenderedPageBreak/>
        <w:t xml:space="preserve">using irrigation (under general or spinal anaesthesia). There are two subcategories of TURP, according to the energy used to resect tissue: electrosurgical and laser resection. </w:t>
      </w:r>
    </w:p>
    <w:p w14:paraId="193A12EA" w14:textId="77777777" w:rsidR="0028343D" w:rsidRDefault="003708C8" w:rsidP="00986F3D">
      <w:r>
        <w:t xml:space="preserve">Electrosurgical </w:t>
      </w:r>
      <w:r w:rsidR="00986F3D">
        <w:t>TURP is currently listed on the MBS (MBS item</w:t>
      </w:r>
      <w:r w:rsidR="00166690">
        <w:t>s</w:t>
      </w:r>
      <w:r w:rsidR="00986F3D">
        <w:t xml:space="preserve"> 37203 and 37206)</w:t>
      </w:r>
      <w:r w:rsidR="0028343D">
        <w:t xml:space="preserve"> and can be monopolar (M-TURP) or bipolar (B-TURP)</w:t>
      </w:r>
      <w:r w:rsidR="00986F3D">
        <w:t>.</w:t>
      </w:r>
    </w:p>
    <w:p w14:paraId="4C25863D" w14:textId="2B6FFCCC" w:rsidR="0028343D" w:rsidRDefault="0028343D" w:rsidP="00521ACA">
      <w:r>
        <w:t xml:space="preserve">M-TURP is a well-established surgical method and is currently considered to be the “gold standard”. It is currently recommended in the European Association of Urology (EAU) guidelines as the standard surgical procedure for men with bothersome to severe LUTS due to benign prostatic obstruction, if the prostate size is between 20 to 80 </w:t>
      </w:r>
      <w:proofErr w:type="spellStart"/>
      <w:r>
        <w:t>mL.</w:t>
      </w:r>
      <w:proofErr w:type="spellEnd"/>
      <w:r>
        <w:t xml:space="preserve"> Higher voltages are needed for M-TURP due to the distance between electrodes (and the need to pass through body tissue), This means that M-TURP is done at higher temperatures, which can lead to increased complications (</w:t>
      </w:r>
      <w:proofErr w:type="gramStart"/>
      <w:r>
        <w:t>e.g.</w:t>
      </w:r>
      <w:proofErr w:type="gramEnd"/>
      <w:r>
        <w:t xml:space="preserve"> damage to surrounding tissue, bleeding, erectile dysfunction, urinary incontinence).</w:t>
      </w:r>
    </w:p>
    <w:p w14:paraId="0241DC4E" w14:textId="4AA5A19F" w:rsidR="0028343D" w:rsidRDefault="0028343D" w:rsidP="00521ACA">
      <w:r>
        <w:t>B-TURP has a local bipolar circuit completed locally with energy contained between an active electrode and a return electrode. Energy is transmitted from the active electrode to the surrounding conductive solution.</w:t>
      </w:r>
      <w:r w:rsidRPr="0028343D">
        <w:t xml:space="preserve"> </w:t>
      </w:r>
      <w:r>
        <w:t>This causes water to evaporate, which creates an interface gas layer surrounding the loop which provides resistance to the energy flow. B-TURP requires lower voltages and has less tissue resistance compared with M-TURP, resulting in reduced thermal damage to surrounding tissue and a reduced risk of adverse events</w:t>
      </w:r>
      <w:r w:rsidR="001D6D85">
        <w:t xml:space="preserve">. The most common bipolar resection systems are the </w:t>
      </w:r>
      <w:proofErr w:type="spellStart"/>
      <w:r w:rsidR="001D6D85">
        <w:t>plasmakinetic</w:t>
      </w:r>
      <w:proofErr w:type="spellEnd"/>
      <w:r w:rsidR="001D6D85">
        <w:t xml:space="preserve"> resection system (PKRP), the </w:t>
      </w:r>
      <w:proofErr w:type="spellStart"/>
      <w:r w:rsidR="001D6D85">
        <w:t>TURiS</w:t>
      </w:r>
      <w:proofErr w:type="spellEnd"/>
      <w:r w:rsidR="001D6D85">
        <w:t xml:space="preserve"> system (transurethral resection in saline) and the controlled tissue resection system.</w:t>
      </w:r>
    </w:p>
    <w:p w14:paraId="4D0920E3" w14:textId="0131BD32" w:rsidR="00F15484" w:rsidRDefault="006B0902" w:rsidP="00986F3D">
      <w:r>
        <w:t>The MBS items do not distinguish between B-TURP and M-TURP</w:t>
      </w:r>
      <w:r w:rsidR="00F15484">
        <w:t xml:space="preserve">, and therefore both M-TURP and B-TURP </w:t>
      </w:r>
      <w:proofErr w:type="gramStart"/>
      <w:r w:rsidR="00F15484">
        <w:t>are considered to be</w:t>
      </w:r>
      <w:proofErr w:type="gramEnd"/>
      <w:r w:rsidR="00F15484">
        <w:t xml:space="preserve"> valid comparators and are considered together as the comparator ‘TURP’.</w:t>
      </w:r>
    </w:p>
    <w:p w14:paraId="2CA60D26" w14:textId="1A16F6C0" w:rsidR="00F15484" w:rsidRDefault="002811D5" w:rsidP="00CF1F71">
      <w:pPr>
        <w:pStyle w:val="Heading2"/>
        <w:numPr>
          <w:ilvl w:val="0"/>
          <w:numId w:val="0"/>
        </w:numPr>
      </w:pPr>
      <w:bookmarkStart w:id="20" w:name="_Toc100150276"/>
      <w:r>
        <w:t>10</w:t>
      </w:r>
      <w:r w:rsidR="00C36633">
        <w:t>.</w:t>
      </w:r>
      <w:r w:rsidR="00C36633">
        <w:tab/>
      </w:r>
      <w:r w:rsidR="008A66E9">
        <w:t xml:space="preserve">Summary of public consultation </w:t>
      </w:r>
      <w:r w:rsidR="00B9033B">
        <w:t>input</w:t>
      </w:r>
      <w:bookmarkEnd w:id="20"/>
    </w:p>
    <w:p w14:paraId="2475E6C0" w14:textId="2A98D006" w:rsidR="00635D78" w:rsidRDefault="00635D78" w:rsidP="00635D78">
      <w:r>
        <w:t xml:space="preserve">Consultation input was received from </w:t>
      </w:r>
      <w:r w:rsidR="00597E5F">
        <w:t>s</w:t>
      </w:r>
      <w:r w:rsidR="00542903">
        <w:t>even</w:t>
      </w:r>
      <w:r>
        <w:t xml:space="preserve"> (</w:t>
      </w:r>
      <w:r w:rsidR="006715AE">
        <w:t>7</w:t>
      </w:r>
      <w:r>
        <w:t>) individual</w:t>
      </w:r>
      <w:r w:rsidR="00597E5F">
        <w:t xml:space="preserve"> specialists</w:t>
      </w:r>
      <w:r>
        <w:t xml:space="preserve"> and four (4) organisations:</w:t>
      </w:r>
    </w:p>
    <w:p w14:paraId="5A22233F" w14:textId="488A4639" w:rsidR="00635D78" w:rsidRDefault="00635D78" w:rsidP="00635D78">
      <w:pPr>
        <w:pStyle w:val="ListParagraph"/>
        <w:numPr>
          <w:ilvl w:val="0"/>
          <w:numId w:val="42"/>
        </w:numPr>
      </w:pPr>
      <w:r>
        <w:t>Boston Scientific Pty Ltd (Applicant for MSAC 1518 and 1586)</w:t>
      </w:r>
    </w:p>
    <w:p w14:paraId="38E04436" w14:textId="29379F1F" w:rsidR="00635D78" w:rsidRDefault="00635D78" w:rsidP="00635D78">
      <w:pPr>
        <w:pStyle w:val="ListParagraph"/>
        <w:numPr>
          <w:ilvl w:val="0"/>
          <w:numId w:val="42"/>
        </w:numPr>
      </w:pPr>
      <w:r>
        <w:t>St Vincent’s Health Australia</w:t>
      </w:r>
    </w:p>
    <w:p w14:paraId="5B06BE85" w14:textId="28772BE9" w:rsidR="00635D78" w:rsidRDefault="00635D78" w:rsidP="00635D78">
      <w:pPr>
        <w:pStyle w:val="ListParagraph"/>
        <w:numPr>
          <w:ilvl w:val="0"/>
          <w:numId w:val="42"/>
        </w:numPr>
      </w:pPr>
      <w:r>
        <w:t>Teleflex Medical Australia Pty Ltd (Applicant for MSAC 1612)</w:t>
      </w:r>
    </w:p>
    <w:p w14:paraId="48BA1590" w14:textId="66ECDDB8" w:rsidR="00635D78" w:rsidRDefault="00635D78" w:rsidP="00635D78">
      <w:pPr>
        <w:pStyle w:val="ListParagraph"/>
        <w:numPr>
          <w:ilvl w:val="0"/>
          <w:numId w:val="42"/>
        </w:numPr>
      </w:pPr>
      <w:r>
        <w:t>The Royal Australian and New Zealand College of Radiologists (RANZCR).</w:t>
      </w:r>
    </w:p>
    <w:p w14:paraId="628F05F7" w14:textId="77777777" w:rsidR="00930B37" w:rsidRPr="00521ACA" w:rsidRDefault="00930B37" w:rsidP="00566C28">
      <w:pPr>
        <w:keepNext/>
        <w:rPr>
          <w:b/>
        </w:rPr>
      </w:pPr>
      <w:r w:rsidRPr="00521ACA">
        <w:rPr>
          <w:b/>
        </w:rPr>
        <w:t>Cost-comparison</w:t>
      </w:r>
    </w:p>
    <w:p w14:paraId="23E4B2C4" w14:textId="64B298B0" w:rsidR="00930B37" w:rsidRDefault="00930B37" w:rsidP="00930B37">
      <w:r w:rsidRPr="00FC3E19">
        <w:t xml:space="preserve">Boston Scientific </w:t>
      </w:r>
      <w:r w:rsidR="00635D78">
        <w:t>Pty Ltd</w:t>
      </w:r>
      <w:r w:rsidRPr="00FC3E19">
        <w:t xml:space="preserve"> provided cost comparisons for TUWA, VLAP, TURP and PUL and Teleflex Medical Australia provided cost comparisons for PUL, TUWA and VLAP. However, the resource use and associated costs varied across the two consultations.</w:t>
      </w:r>
      <w:r>
        <w:t xml:space="preserve"> </w:t>
      </w:r>
    </w:p>
    <w:p w14:paraId="22A6A96F" w14:textId="773CCBAB" w:rsidR="00930B37" w:rsidRPr="00521ACA" w:rsidRDefault="00C70453" w:rsidP="00521ACA">
      <w:pPr>
        <w:rPr>
          <w:b/>
        </w:rPr>
      </w:pPr>
      <w:r w:rsidRPr="00521ACA">
        <w:rPr>
          <w:b/>
        </w:rPr>
        <w:t>Factors which influence the choice of BPH procedure</w:t>
      </w:r>
    </w:p>
    <w:p w14:paraId="5ED426F4" w14:textId="289EE07F" w:rsidR="00C70453" w:rsidRPr="00C70453" w:rsidRDefault="00C70453" w:rsidP="00521ACA">
      <w:r>
        <w:t xml:space="preserve">Input regarding factors influencing a clinician to recommend a certain BPH procedure and patient’s preferences was </w:t>
      </w:r>
      <w:r w:rsidR="00F0292B">
        <w:t xml:space="preserve">provided by individuals specialists, </w:t>
      </w:r>
      <w:r>
        <w:t xml:space="preserve">Boston Scientific, St Vincent’s </w:t>
      </w:r>
      <w:r w:rsidR="00900385">
        <w:t>Health Australia</w:t>
      </w:r>
      <w:r>
        <w:t xml:space="preserve">, </w:t>
      </w:r>
      <w:r w:rsidR="002245D4">
        <w:t xml:space="preserve">and </w:t>
      </w:r>
      <w:r>
        <w:t>Teleflex Medical Australia, and is discussed in Section 1</w:t>
      </w:r>
      <w:r w:rsidR="00520361">
        <w:t>5</w:t>
      </w:r>
      <w:r>
        <w:t xml:space="preserve"> below.</w:t>
      </w:r>
    </w:p>
    <w:p w14:paraId="07E737A8" w14:textId="4C4EE5D9" w:rsidR="00E601D9" w:rsidRDefault="00E601D9" w:rsidP="00521ACA">
      <w:pPr>
        <w:rPr>
          <w:b/>
        </w:rPr>
      </w:pPr>
      <w:r>
        <w:rPr>
          <w:b/>
        </w:rPr>
        <w:t>Support for availability of variety of treatment options</w:t>
      </w:r>
    </w:p>
    <w:p w14:paraId="09D4958E" w14:textId="4EEF2021" w:rsidR="00E601D9" w:rsidRDefault="00E601D9" w:rsidP="00E601D9">
      <w:r>
        <w:t xml:space="preserve">The </w:t>
      </w:r>
      <w:r w:rsidR="00CF3AB7">
        <w:t xml:space="preserve">feedback from </w:t>
      </w:r>
      <w:r>
        <w:t>St Vincent’s Health Australia</w:t>
      </w:r>
      <w:r w:rsidR="00F0292B">
        <w:t xml:space="preserve"> highlighted that the availability of various surgical options allows clinicians to offer multiple options to patients who decide on treatment depending on not only the expected urinary outcome but also minimising the risk of sexual dysfunction. This feedback </w:t>
      </w:r>
      <w:r w:rsidR="00780A9B">
        <w:t xml:space="preserve">was consistent with other consultation responses and anecdotal evidence from individual specialists highlighting </w:t>
      </w:r>
      <w:r w:rsidR="00CF3AB7">
        <w:t xml:space="preserve">that </w:t>
      </w:r>
      <w:r w:rsidR="00780A9B">
        <w:t xml:space="preserve">the </w:t>
      </w:r>
      <w:r w:rsidR="009B384A">
        <w:t>av</w:t>
      </w:r>
      <w:r w:rsidR="00D86934">
        <w:t xml:space="preserve">ailability of </w:t>
      </w:r>
      <w:r w:rsidR="00084B06">
        <w:t>minimally</w:t>
      </w:r>
      <w:r w:rsidR="009B384A">
        <w:t xml:space="preserve"> invasive </w:t>
      </w:r>
      <w:r w:rsidR="00D86934">
        <w:lastRenderedPageBreak/>
        <w:t>treatment options facilitate</w:t>
      </w:r>
      <w:r w:rsidR="009B384A">
        <w:t>s</w:t>
      </w:r>
      <w:r w:rsidR="00D86934">
        <w:t xml:space="preserve"> </w:t>
      </w:r>
      <w:r w:rsidR="00D86934" w:rsidRPr="00000482">
        <w:t>in</w:t>
      </w:r>
      <w:r w:rsidR="00E76D67" w:rsidRPr="00000482">
        <w:t>di</w:t>
      </w:r>
      <w:r w:rsidR="00D86934" w:rsidRPr="00000482">
        <w:t>vidualised</w:t>
      </w:r>
      <w:r w:rsidR="00D86934">
        <w:t xml:space="preserve"> care </w:t>
      </w:r>
      <w:r w:rsidR="009B384A">
        <w:t xml:space="preserve">that </w:t>
      </w:r>
      <w:r w:rsidR="00D86934">
        <w:t>tak</w:t>
      </w:r>
      <w:r w:rsidR="009B384A">
        <w:t>es</w:t>
      </w:r>
      <w:r w:rsidR="00D86934">
        <w:t xml:space="preserve"> into consideration patient </w:t>
      </w:r>
      <w:r w:rsidR="00780A9B">
        <w:t xml:space="preserve">factors and </w:t>
      </w:r>
      <w:r w:rsidR="00D86934">
        <w:t>preferences</w:t>
      </w:r>
      <w:r w:rsidR="009B384A">
        <w:t>.</w:t>
      </w:r>
      <w:r w:rsidR="00D86934">
        <w:t xml:space="preserve"> </w:t>
      </w:r>
    </w:p>
    <w:p w14:paraId="4721C8CD" w14:textId="013FCEA5" w:rsidR="00873DAA" w:rsidRPr="00521ACA" w:rsidRDefault="00873DAA" w:rsidP="00994452">
      <w:pPr>
        <w:keepNext/>
        <w:keepLines/>
        <w:rPr>
          <w:b/>
        </w:rPr>
      </w:pPr>
      <w:r w:rsidRPr="00521ACA">
        <w:rPr>
          <w:b/>
        </w:rPr>
        <w:t>Comparator considerations</w:t>
      </w:r>
    </w:p>
    <w:p w14:paraId="3E06DB6B" w14:textId="7679CC5C" w:rsidR="00873DAA" w:rsidRDefault="00B34BA9" w:rsidP="00994452">
      <w:pPr>
        <w:keepNext/>
        <w:keepLines/>
      </w:pPr>
      <w:r>
        <w:t>One individual presented an important consider</w:t>
      </w:r>
      <w:r w:rsidR="008F3D0D">
        <w:t xml:space="preserve">ation regarding the comparator. </w:t>
      </w:r>
      <w:r w:rsidR="00CF3AB7">
        <w:t xml:space="preserve">The feedback </w:t>
      </w:r>
      <w:r w:rsidR="008F3D0D">
        <w:t>claimed</w:t>
      </w:r>
      <w:r>
        <w:t xml:space="preserve"> that </w:t>
      </w:r>
      <w:r w:rsidR="008F3D0D">
        <w:t>historic TURP data involved M-TURP, whereas current clinical practice (“modern TURP”) uses B-TURP techniques (</w:t>
      </w:r>
      <w:proofErr w:type="gramStart"/>
      <w:r w:rsidR="008F3D0D">
        <w:t>e.g.</w:t>
      </w:r>
      <w:proofErr w:type="gramEnd"/>
      <w:r w:rsidR="008F3D0D">
        <w:t xml:space="preserve"> </w:t>
      </w:r>
      <w:proofErr w:type="spellStart"/>
      <w:r w:rsidR="008F3D0D">
        <w:t>TURiS</w:t>
      </w:r>
      <w:proofErr w:type="spellEnd"/>
      <w:r w:rsidR="008F3D0D">
        <w:t xml:space="preserve">). </w:t>
      </w:r>
      <w:r w:rsidR="00CF3AB7">
        <w:t xml:space="preserve">The response suggested </w:t>
      </w:r>
      <w:r w:rsidR="008F3D0D">
        <w:t>that for an accurate representation of current clinical practice modern forms of TURP would need to be evaluated, rather than relying on historic TURP data. It was</w:t>
      </w:r>
      <w:r w:rsidR="00CF3AB7">
        <w:t xml:space="preserve"> stated </w:t>
      </w:r>
      <w:r w:rsidR="008F3D0D">
        <w:t xml:space="preserve">that the historic M-TURP was associated with increased blood loss, transfusion rates, </w:t>
      </w:r>
      <w:proofErr w:type="gramStart"/>
      <w:r w:rsidR="008F3D0D">
        <w:t>hyponatraemia</w:t>
      </w:r>
      <w:proofErr w:type="gramEnd"/>
      <w:r w:rsidR="008F3D0D">
        <w:t xml:space="preserve"> and TUR syndrome. </w:t>
      </w:r>
      <w:r w:rsidR="00CF3AB7">
        <w:t>The response suggested that due to</w:t>
      </w:r>
      <w:r w:rsidR="008F3D0D">
        <w:t xml:space="preserve"> the different safety profiles between B-TURP and M-TURP, </w:t>
      </w:r>
      <w:r w:rsidR="00CF3AB7">
        <w:t>that</w:t>
      </w:r>
      <w:r w:rsidR="00900385">
        <w:t xml:space="preserve"> </w:t>
      </w:r>
      <w:r w:rsidR="008F3D0D">
        <w:t>the two</w:t>
      </w:r>
      <w:r w:rsidR="00240471">
        <w:t xml:space="preserve"> </w:t>
      </w:r>
      <w:r w:rsidR="00CF3AB7">
        <w:t xml:space="preserve">forms of TURP </w:t>
      </w:r>
      <w:r w:rsidR="00240471">
        <w:t>should be differentiated</w:t>
      </w:r>
      <w:r w:rsidR="008F3D0D">
        <w:t xml:space="preserve">. </w:t>
      </w:r>
    </w:p>
    <w:p w14:paraId="03C7A1F1" w14:textId="46193AFF" w:rsidR="00772829" w:rsidRPr="00CE28E3" w:rsidRDefault="002811D5" w:rsidP="00CF1F71">
      <w:pPr>
        <w:pStyle w:val="Heading2"/>
        <w:numPr>
          <w:ilvl w:val="0"/>
          <w:numId w:val="0"/>
        </w:numPr>
      </w:pPr>
      <w:bookmarkStart w:id="21" w:name="_Toc100150277"/>
      <w:r>
        <w:t>11</w:t>
      </w:r>
      <w:r w:rsidR="008A66E9">
        <w:t>.</w:t>
      </w:r>
      <w:r w:rsidR="008A66E9">
        <w:tab/>
      </w:r>
      <w:r w:rsidR="00772829" w:rsidRPr="00CE28E3">
        <w:t>Characteristics of the evidence base</w:t>
      </w:r>
      <w:bookmarkEnd w:id="21"/>
    </w:p>
    <w:p w14:paraId="7FFDA9EF" w14:textId="00515653" w:rsidR="00CF1F71" w:rsidRDefault="003D4803" w:rsidP="003D4803">
      <w:r w:rsidRPr="000F29FD">
        <w:t xml:space="preserve">The number of </w:t>
      </w:r>
      <w:r w:rsidR="0050204A" w:rsidRPr="000F29FD">
        <w:t>randomised controlled trials (</w:t>
      </w:r>
      <w:r w:rsidRPr="000F29FD">
        <w:t>RCTs</w:t>
      </w:r>
      <w:r w:rsidR="0050204A" w:rsidRPr="000F29FD">
        <w:t>)</w:t>
      </w:r>
      <w:r w:rsidRPr="000F29FD">
        <w:t xml:space="preserve"> included in each comparison is shown in </w:t>
      </w:r>
      <w:r w:rsidR="000F29FD" w:rsidRPr="000F29FD">
        <w:t xml:space="preserve">Table 3. </w:t>
      </w:r>
      <w:proofErr w:type="gramStart"/>
      <w:r w:rsidR="00E3495F" w:rsidRPr="000F29FD">
        <w:t>With</w:t>
      </w:r>
      <w:r w:rsidR="00E3495F">
        <w:t xml:space="preserve"> the exception of</w:t>
      </w:r>
      <w:proofErr w:type="gramEnd"/>
      <w:r w:rsidR="00E3495F">
        <w:t xml:space="preserve"> TUWA, RCTs were identified for every comparison (intervention vs TURP). </w:t>
      </w:r>
      <w:r>
        <w:t xml:space="preserve">No RCTs were identified which directly compared </w:t>
      </w:r>
      <w:r w:rsidR="00E3495F">
        <w:t xml:space="preserve">TUWA to TURP, however one RCT was identified comparing TUWA to sham. </w:t>
      </w:r>
      <w:r w:rsidR="00364EC4">
        <w:t>Both t</w:t>
      </w:r>
      <w:r w:rsidR="00E3495F">
        <w:t xml:space="preserve">he </w:t>
      </w:r>
      <w:r w:rsidR="00364EC4">
        <w:t xml:space="preserve">evidence presented for TUWA in MSAC application </w:t>
      </w:r>
      <w:proofErr w:type="gramStart"/>
      <w:r w:rsidR="00364EC4">
        <w:t>1586</w:t>
      </w:r>
      <w:proofErr w:type="gramEnd"/>
      <w:r w:rsidR="001B5378">
        <w:t xml:space="preserve"> </w:t>
      </w:r>
      <w:r w:rsidR="00E3495F">
        <w:t>and a Cochrane meta-analysis presented comparative effectiveness of TUWA based on an indirect comparison of TUWA and TURP.</w:t>
      </w:r>
    </w:p>
    <w:p w14:paraId="3799750F" w14:textId="558CF0E4" w:rsidR="000A0C7C" w:rsidRDefault="003761AA" w:rsidP="003D4803">
      <w:r>
        <w:t>Eleven</w:t>
      </w:r>
      <w:r w:rsidR="00E124DE">
        <w:t xml:space="preserve"> trials (all comparing endoscopic enucleation</w:t>
      </w:r>
      <w:r w:rsidR="00814CE4">
        <w:t xml:space="preserve"> of the prostate (EEP)</w:t>
      </w:r>
      <w:r w:rsidR="00E124DE">
        <w:t xml:space="preserve"> with TURP) reportedly used B-TURP</w:t>
      </w:r>
      <w:r w:rsidR="0029226E">
        <w:t xml:space="preserve"> as the comparator</w:t>
      </w:r>
      <w:r w:rsidR="00E124DE">
        <w:t xml:space="preserve"> </w:t>
      </w:r>
      <w:r w:rsidR="00240471">
        <w:t xml:space="preserve">in </w:t>
      </w:r>
      <w:r w:rsidR="00E124DE">
        <w:t xml:space="preserve">the </w:t>
      </w:r>
      <w:proofErr w:type="spellStart"/>
      <w:r w:rsidR="00E124DE">
        <w:t>EUnetHTA</w:t>
      </w:r>
      <w:proofErr w:type="spellEnd"/>
      <w:r w:rsidR="00E124DE">
        <w:t xml:space="preserve"> report. No information was available in the </w:t>
      </w:r>
      <w:proofErr w:type="spellStart"/>
      <w:r w:rsidR="00E124DE">
        <w:t>EUnetHTA</w:t>
      </w:r>
      <w:proofErr w:type="spellEnd"/>
      <w:r w:rsidR="00E124DE">
        <w:t xml:space="preserve"> report regarding the type of TURP technique used in trial</w:t>
      </w:r>
      <w:r w:rsidR="00240471">
        <w:t>s against other interventions</w:t>
      </w:r>
      <w:r w:rsidR="00E124DE">
        <w:t>.</w:t>
      </w:r>
    </w:p>
    <w:p w14:paraId="530584AA" w14:textId="5AC5FBE4" w:rsidR="003D4803" w:rsidRDefault="003D4803" w:rsidP="009A5C5B">
      <w:pPr>
        <w:pStyle w:val="TableFigureHeading"/>
      </w:pPr>
      <w:bookmarkStart w:id="22" w:name="_Ref95932942"/>
      <w:r>
        <w:t xml:space="preserve">Table </w:t>
      </w:r>
      <w:r>
        <w:fldChar w:fldCharType="begin"/>
      </w:r>
      <w:r>
        <w:instrText>SEQ Table \* ARABIC</w:instrText>
      </w:r>
      <w:r>
        <w:fldChar w:fldCharType="separate"/>
      </w:r>
      <w:r w:rsidR="00C03EF9">
        <w:rPr>
          <w:noProof/>
        </w:rPr>
        <w:t>3</w:t>
      </w:r>
      <w:r>
        <w:fldChar w:fldCharType="end"/>
      </w:r>
      <w:bookmarkEnd w:id="22"/>
      <w:r>
        <w:t xml:space="preserve"> Key features of the included evidence</w:t>
      </w:r>
    </w:p>
    <w:tbl>
      <w:tblPr>
        <w:tblStyle w:val="TableGrid1"/>
        <w:tblW w:w="4793" w:type="pct"/>
        <w:tblCellMar>
          <w:left w:w="28" w:type="dxa"/>
          <w:right w:w="28" w:type="dxa"/>
        </w:tblCellMar>
        <w:tblLook w:val="04A0" w:firstRow="1" w:lastRow="0" w:firstColumn="1" w:lastColumn="0" w:noHBand="0" w:noVBand="1"/>
      </w:tblPr>
      <w:tblGrid>
        <w:gridCol w:w="995"/>
        <w:gridCol w:w="2809"/>
        <w:gridCol w:w="1639"/>
        <w:gridCol w:w="3200"/>
      </w:tblGrid>
      <w:tr w:rsidR="001E7B8F" w:rsidRPr="00CE28E3" w14:paraId="5CCBF97B" w14:textId="77777777" w:rsidTr="613BE62B">
        <w:trPr>
          <w:cnfStyle w:val="100000000000" w:firstRow="1" w:lastRow="0" w:firstColumn="0" w:lastColumn="0" w:oddVBand="0" w:evenVBand="0" w:oddHBand="0" w:evenHBand="0" w:firstRowFirstColumn="0" w:firstRowLastColumn="0" w:lastRowFirstColumn="0" w:lastRowLastColumn="0"/>
          <w:cantSplit/>
          <w:tblHeader/>
        </w:trPr>
        <w:tc>
          <w:tcPr>
            <w:tcW w:w="540" w:type="pct"/>
            <w:shd w:val="clear" w:color="auto" w:fill="auto"/>
            <w:vAlign w:val="center"/>
          </w:tcPr>
          <w:p w14:paraId="6DF77BB2" w14:textId="1B02483A" w:rsidR="001E7B8F" w:rsidRPr="00CE28E3" w:rsidRDefault="7C65601F" w:rsidP="003D4803">
            <w:pPr>
              <w:pStyle w:val="In-tableHeading"/>
            </w:pPr>
            <w:r>
              <w:t>Intervention</w:t>
            </w:r>
          </w:p>
        </w:tc>
        <w:tc>
          <w:tcPr>
            <w:tcW w:w="1637" w:type="pct"/>
            <w:shd w:val="clear" w:color="auto" w:fill="auto"/>
            <w:vAlign w:val="center"/>
          </w:tcPr>
          <w:p w14:paraId="4A5145E9" w14:textId="7CE5E8C3" w:rsidR="001E7B8F" w:rsidRPr="00CE28E3" w:rsidRDefault="001E7B8F" w:rsidP="003D4803">
            <w:pPr>
              <w:pStyle w:val="In-tableHeading"/>
              <w:jc w:val="center"/>
            </w:pPr>
            <w:r>
              <w:t>Number of studies</w:t>
            </w:r>
            <w:r w:rsidR="001D0007">
              <w:t xml:space="preserve"> vs TURP</w:t>
            </w:r>
          </w:p>
        </w:tc>
        <w:tc>
          <w:tcPr>
            <w:tcW w:w="960" w:type="pct"/>
            <w:shd w:val="clear" w:color="auto" w:fill="auto"/>
            <w:vAlign w:val="center"/>
          </w:tcPr>
          <w:p w14:paraId="2AF3EB5D" w14:textId="6AA80870" w:rsidR="001E7B8F" w:rsidRPr="00CE28E3" w:rsidRDefault="001E7B8F" w:rsidP="003D4803">
            <w:pPr>
              <w:pStyle w:val="In-tableHeading"/>
              <w:jc w:val="center"/>
            </w:pPr>
            <w:r>
              <w:t>N</w:t>
            </w:r>
          </w:p>
        </w:tc>
        <w:tc>
          <w:tcPr>
            <w:tcW w:w="1864" w:type="pct"/>
            <w:shd w:val="clear" w:color="auto" w:fill="auto"/>
            <w:vAlign w:val="center"/>
          </w:tcPr>
          <w:p w14:paraId="33F8C23B" w14:textId="44B33272" w:rsidR="001E7B8F" w:rsidRPr="00CE28E3" w:rsidRDefault="001E7B8F" w:rsidP="003D4803">
            <w:pPr>
              <w:pStyle w:val="In-tableHeading"/>
              <w:jc w:val="center"/>
            </w:pPr>
            <w:r>
              <w:t xml:space="preserve">Key </w:t>
            </w:r>
            <w:r w:rsidRPr="00CE28E3">
              <w:t>Outcome(s)</w:t>
            </w:r>
          </w:p>
        </w:tc>
      </w:tr>
      <w:tr w:rsidR="00364EC4" w:rsidRPr="00CE28E3" w14:paraId="25A9DD7E" w14:textId="77777777" w:rsidTr="613BE62B">
        <w:trPr>
          <w:cantSplit/>
        </w:trPr>
        <w:tc>
          <w:tcPr>
            <w:tcW w:w="540" w:type="pct"/>
            <w:shd w:val="clear" w:color="auto" w:fill="auto"/>
            <w:vAlign w:val="center"/>
          </w:tcPr>
          <w:p w14:paraId="370AC5CC" w14:textId="45744B97" w:rsidR="00364EC4" w:rsidRDefault="00814CE4" w:rsidP="003D4803">
            <w:pPr>
              <w:pStyle w:val="TableText"/>
              <w:rPr>
                <w:lang w:val="en-US"/>
              </w:rPr>
            </w:pPr>
            <w:r>
              <w:rPr>
                <w:lang w:val="en-US"/>
              </w:rPr>
              <w:t>EEP</w:t>
            </w:r>
          </w:p>
        </w:tc>
        <w:tc>
          <w:tcPr>
            <w:tcW w:w="1637" w:type="pct"/>
            <w:shd w:val="clear" w:color="auto" w:fill="auto"/>
            <w:vAlign w:val="center"/>
          </w:tcPr>
          <w:p w14:paraId="3353063E" w14:textId="77777777" w:rsidR="00364EC4" w:rsidRDefault="00364EC4" w:rsidP="003D4803">
            <w:pPr>
              <w:pStyle w:val="TableText"/>
              <w:jc w:val="center"/>
              <w:rPr>
                <w:lang w:val="en-US"/>
              </w:rPr>
            </w:pPr>
            <w:r>
              <w:rPr>
                <w:lang w:val="en-US"/>
              </w:rPr>
              <w:t>25 RCTs</w:t>
            </w:r>
          </w:p>
        </w:tc>
        <w:tc>
          <w:tcPr>
            <w:tcW w:w="960" w:type="pct"/>
            <w:shd w:val="clear" w:color="auto" w:fill="auto"/>
            <w:vAlign w:val="center"/>
          </w:tcPr>
          <w:p w14:paraId="132337EA" w14:textId="77777777" w:rsidR="00364EC4" w:rsidRDefault="00364EC4" w:rsidP="003D4803">
            <w:pPr>
              <w:pStyle w:val="TableText"/>
              <w:jc w:val="center"/>
              <w:rPr>
                <w:lang w:val="en-US"/>
              </w:rPr>
            </w:pPr>
            <w:r>
              <w:rPr>
                <w:lang w:val="en-US"/>
              </w:rPr>
              <w:t>2,765</w:t>
            </w:r>
          </w:p>
        </w:tc>
        <w:tc>
          <w:tcPr>
            <w:tcW w:w="1864" w:type="pct"/>
            <w:shd w:val="clear" w:color="auto" w:fill="auto"/>
            <w:vAlign w:val="center"/>
          </w:tcPr>
          <w:p w14:paraId="4924D91C" w14:textId="77777777" w:rsidR="00364EC4" w:rsidRDefault="00364EC4" w:rsidP="003D4803">
            <w:pPr>
              <w:pStyle w:val="TableText"/>
              <w:jc w:val="center"/>
              <w:rPr>
                <w:lang w:val="en-US"/>
              </w:rPr>
            </w:pPr>
            <w:r>
              <w:rPr>
                <w:lang w:val="en-US"/>
              </w:rPr>
              <w:t xml:space="preserve">IPSS, </w:t>
            </w:r>
            <w:proofErr w:type="spellStart"/>
            <w:r>
              <w:rPr>
                <w:lang w:val="en-US"/>
              </w:rPr>
              <w:t>Qmax</w:t>
            </w:r>
            <w:proofErr w:type="spellEnd"/>
            <w:r>
              <w:rPr>
                <w:lang w:val="en-US"/>
              </w:rPr>
              <w:t>, safety outcomes</w:t>
            </w:r>
          </w:p>
        </w:tc>
      </w:tr>
      <w:tr w:rsidR="00364EC4" w:rsidRPr="00CE28E3" w14:paraId="66DC3E5B" w14:textId="77777777" w:rsidTr="613BE62B">
        <w:trPr>
          <w:cantSplit/>
        </w:trPr>
        <w:tc>
          <w:tcPr>
            <w:tcW w:w="540" w:type="pct"/>
            <w:shd w:val="clear" w:color="auto" w:fill="auto"/>
            <w:vAlign w:val="center"/>
          </w:tcPr>
          <w:p w14:paraId="00A2E7D8" w14:textId="77777777" w:rsidR="00364EC4" w:rsidRPr="00CE28E3" w:rsidRDefault="00364EC4" w:rsidP="003D4803">
            <w:pPr>
              <w:pStyle w:val="TableText"/>
              <w:rPr>
                <w:lang w:val="en-US"/>
              </w:rPr>
            </w:pPr>
            <w:r>
              <w:rPr>
                <w:lang w:val="en-US"/>
              </w:rPr>
              <w:t>PUL</w:t>
            </w:r>
          </w:p>
        </w:tc>
        <w:tc>
          <w:tcPr>
            <w:tcW w:w="1637" w:type="pct"/>
            <w:shd w:val="clear" w:color="auto" w:fill="auto"/>
            <w:vAlign w:val="center"/>
          </w:tcPr>
          <w:p w14:paraId="639522C4" w14:textId="77777777" w:rsidR="00364EC4" w:rsidRDefault="00364EC4" w:rsidP="003D4803">
            <w:pPr>
              <w:pStyle w:val="TableText"/>
              <w:jc w:val="center"/>
              <w:rPr>
                <w:lang w:val="en-US"/>
              </w:rPr>
            </w:pPr>
            <w:r>
              <w:rPr>
                <w:lang w:val="en-US"/>
              </w:rPr>
              <w:t>1 RCT</w:t>
            </w:r>
          </w:p>
          <w:p w14:paraId="04A4FE5F" w14:textId="6B63A9D1" w:rsidR="008424AD" w:rsidRPr="002C75BD" w:rsidRDefault="008424AD" w:rsidP="003D4803">
            <w:pPr>
              <w:pStyle w:val="TableText"/>
              <w:jc w:val="center"/>
              <w:rPr>
                <w:lang w:val="en-US"/>
              </w:rPr>
            </w:pPr>
            <w:r w:rsidRPr="00C1178E">
              <w:rPr>
                <w:iCs/>
                <w:lang w:val="en-US"/>
              </w:rPr>
              <w:t>Network meta-analysis (k=27)</w:t>
            </w:r>
          </w:p>
        </w:tc>
        <w:tc>
          <w:tcPr>
            <w:tcW w:w="960" w:type="pct"/>
            <w:shd w:val="clear" w:color="auto" w:fill="auto"/>
            <w:vAlign w:val="center"/>
          </w:tcPr>
          <w:p w14:paraId="48BF3F21" w14:textId="77777777" w:rsidR="00364EC4" w:rsidRPr="00CE28E3" w:rsidRDefault="00364EC4" w:rsidP="003D4803">
            <w:pPr>
              <w:pStyle w:val="TableText"/>
              <w:jc w:val="center"/>
              <w:rPr>
                <w:lang w:val="en-US"/>
              </w:rPr>
            </w:pPr>
            <w:r>
              <w:rPr>
                <w:lang w:val="en-US"/>
              </w:rPr>
              <w:t>79 PUL, 35 TURP</w:t>
            </w:r>
          </w:p>
        </w:tc>
        <w:tc>
          <w:tcPr>
            <w:tcW w:w="1864" w:type="pct"/>
            <w:shd w:val="clear" w:color="auto" w:fill="auto"/>
            <w:vAlign w:val="center"/>
          </w:tcPr>
          <w:p w14:paraId="6BE5B84C" w14:textId="77777777" w:rsidR="00364EC4" w:rsidRPr="00CE28E3" w:rsidRDefault="00364EC4" w:rsidP="003D4803">
            <w:pPr>
              <w:pStyle w:val="TableText"/>
              <w:jc w:val="center"/>
              <w:rPr>
                <w:lang w:val="en-US"/>
              </w:rPr>
            </w:pPr>
            <w:r>
              <w:rPr>
                <w:lang w:val="en-US"/>
              </w:rPr>
              <w:t xml:space="preserve">IPSS, </w:t>
            </w:r>
            <w:proofErr w:type="spellStart"/>
            <w:r>
              <w:rPr>
                <w:lang w:val="en-US"/>
              </w:rPr>
              <w:t>Qmax</w:t>
            </w:r>
            <w:proofErr w:type="spellEnd"/>
            <w:r>
              <w:rPr>
                <w:lang w:val="en-US"/>
              </w:rPr>
              <w:t xml:space="preserve">, </w:t>
            </w:r>
            <w:proofErr w:type="spellStart"/>
            <w:r>
              <w:rPr>
                <w:lang w:val="en-US"/>
              </w:rPr>
              <w:t>retintervention</w:t>
            </w:r>
            <w:proofErr w:type="spellEnd"/>
            <w:r>
              <w:rPr>
                <w:lang w:val="en-US"/>
              </w:rPr>
              <w:t xml:space="preserve"> rates, safety outcomes</w:t>
            </w:r>
          </w:p>
        </w:tc>
      </w:tr>
      <w:tr w:rsidR="00364EC4" w:rsidRPr="00CE28E3" w14:paraId="6EC1CEC1" w14:textId="77777777" w:rsidTr="613BE62B">
        <w:trPr>
          <w:cantSplit/>
        </w:trPr>
        <w:tc>
          <w:tcPr>
            <w:tcW w:w="540" w:type="pct"/>
            <w:shd w:val="clear" w:color="auto" w:fill="auto"/>
            <w:vAlign w:val="center"/>
          </w:tcPr>
          <w:p w14:paraId="2A5127EA" w14:textId="77777777" w:rsidR="00364EC4" w:rsidRDefault="00364EC4" w:rsidP="003D4803">
            <w:pPr>
              <w:pStyle w:val="TableText"/>
              <w:rPr>
                <w:lang w:val="en-US"/>
              </w:rPr>
            </w:pPr>
            <w:r>
              <w:rPr>
                <w:lang w:val="en-US"/>
              </w:rPr>
              <w:t>TUMT</w:t>
            </w:r>
          </w:p>
        </w:tc>
        <w:tc>
          <w:tcPr>
            <w:tcW w:w="1637" w:type="pct"/>
            <w:shd w:val="clear" w:color="auto" w:fill="auto"/>
            <w:vAlign w:val="center"/>
          </w:tcPr>
          <w:p w14:paraId="06750358" w14:textId="77777777" w:rsidR="00364EC4" w:rsidRDefault="00364EC4" w:rsidP="003D4803">
            <w:pPr>
              <w:pStyle w:val="TableText"/>
              <w:jc w:val="center"/>
              <w:rPr>
                <w:lang w:val="en-US"/>
              </w:rPr>
            </w:pPr>
            <w:r>
              <w:rPr>
                <w:lang w:val="en-US"/>
              </w:rPr>
              <w:t>4 RCTs</w:t>
            </w:r>
          </w:p>
        </w:tc>
        <w:tc>
          <w:tcPr>
            <w:tcW w:w="960" w:type="pct"/>
            <w:shd w:val="clear" w:color="auto" w:fill="auto"/>
            <w:vAlign w:val="center"/>
          </w:tcPr>
          <w:p w14:paraId="520DF772" w14:textId="77777777" w:rsidR="00364EC4" w:rsidRPr="00CE28E3" w:rsidRDefault="00364EC4" w:rsidP="003D4803">
            <w:pPr>
              <w:pStyle w:val="TableText"/>
              <w:jc w:val="center"/>
              <w:rPr>
                <w:lang w:val="en-US"/>
              </w:rPr>
            </w:pPr>
            <w:r>
              <w:rPr>
                <w:lang w:val="en-US"/>
              </w:rPr>
              <w:t>419</w:t>
            </w:r>
          </w:p>
        </w:tc>
        <w:tc>
          <w:tcPr>
            <w:tcW w:w="1864" w:type="pct"/>
            <w:shd w:val="clear" w:color="auto" w:fill="auto"/>
            <w:vAlign w:val="center"/>
          </w:tcPr>
          <w:p w14:paraId="7CDABE41" w14:textId="77777777" w:rsidR="00364EC4" w:rsidRDefault="00364EC4" w:rsidP="003D4803">
            <w:pPr>
              <w:pStyle w:val="TableText"/>
              <w:jc w:val="center"/>
              <w:rPr>
                <w:lang w:val="en-US"/>
              </w:rPr>
            </w:pPr>
            <w:r>
              <w:rPr>
                <w:lang w:val="en-US"/>
              </w:rPr>
              <w:t xml:space="preserve">IPSS, </w:t>
            </w:r>
            <w:proofErr w:type="spellStart"/>
            <w:r>
              <w:rPr>
                <w:lang w:val="en-US"/>
              </w:rPr>
              <w:t>Qmax</w:t>
            </w:r>
            <w:proofErr w:type="spellEnd"/>
            <w:r>
              <w:rPr>
                <w:lang w:val="en-US"/>
              </w:rPr>
              <w:t>, reintervention rates</w:t>
            </w:r>
          </w:p>
        </w:tc>
      </w:tr>
      <w:tr w:rsidR="00364EC4" w:rsidRPr="00CE28E3" w14:paraId="20E7BE6E" w14:textId="77777777" w:rsidTr="613BE62B">
        <w:trPr>
          <w:cantSplit/>
        </w:trPr>
        <w:tc>
          <w:tcPr>
            <w:tcW w:w="540" w:type="pct"/>
            <w:shd w:val="clear" w:color="auto" w:fill="auto"/>
            <w:vAlign w:val="center"/>
          </w:tcPr>
          <w:p w14:paraId="1C25A7CB" w14:textId="77777777" w:rsidR="00364EC4" w:rsidRPr="00CE28E3" w:rsidRDefault="00364EC4" w:rsidP="003D4803">
            <w:pPr>
              <w:pStyle w:val="TableText"/>
              <w:rPr>
                <w:lang w:val="en-US"/>
              </w:rPr>
            </w:pPr>
            <w:r>
              <w:rPr>
                <w:lang w:val="en-US"/>
              </w:rPr>
              <w:t>TUWA</w:t>
            </w:r>
          </w:p>
        </w:tc>
        <w:tc>
          <w:tcPr>
            <w:tcW w:w="1637" w:type="pct"/>
            <w:shd w:val="clear" w:color="auto" w:fill="auto"/>
            <w:vAlign w:val="center"/>
          </w:tcPr>
          <w:p w14:paraId="615E2F4D" w14:textId="34455B0A" w:rsidR="001D0007" w:rsidRDefault="001D0007" w:rsidP="003D4803">
            <w:pPr>
              <w:pStyle w:val="TableText"/>
              <w:jc w:val="center"/>
              <w:rPr>
                <w:lang w:val="en-US"/>
              </w:rPr>
            </w:pPr>
            <w:r>
              <w:rPr>
                <w:lang w:val="en-US"/>
              </w:rPr>
              <w:t>0 RCTs</w:t>
            </w:r>
          </w:p>
          <w:p w14:paraId="6BA2DCF4" w14:textId="5DB679D8" w:rsidR="00364EC4" w:rsidRPr="006715AE" w:rsidRDefault="001D0007" w:rsidP="003D4803">
            <w:pPr>
              <w:pStyle w:val="TableText"/>
              <w:jc w:val="center"/>
              <w:rPr>
                <w:iCs/>
                <w:lang w:val="en-US"/>
              </w:rPr>
            </w:pPr>
            <w:r w:rsidRPr="006715AE">
              <w:rPr>
                <w:iCs/>
                <w:lang w:val="en-US"/>
              </w:rPr>
              <w:t>(</w:t>
            </w:r>
            <w:proofErr w:type="gramStart"/>
            <w:r w:rsidRPr="006715AE">
              <w:rPr>
                <w:iCs/>
                <w:lang w:val="en-US"/>
              </w:rPr>
              <w:t>other</w:t>
            </w:r>
            <w:proofErr w:type="gramEnd"/>
            <w:r w:rsidRPr="006715AE">
              <w:rPr>
                <w:iCs/>
                <w:lang w:val="en-US"/>
              </w:rPr>
              <w:t xml:space="preserve"> types of evidence: </w:t>
            </w:r>
            <w:r w:rsidR="00364EC4" w:rsidRPr="006715AE">
              <w:rPr>
                <w:iCs/>
                <w:lang w:val="en-US"/>
              </w:rPr>
              <w:t xml:space="preserve">MSAC </w:t>
            </w:r>
            <w:r w:rsidR="00E71DD6">
              <w:rPr>
                <w:iCs/>
                <w:lang w:val="en-US"/>
              </w:rPr>
              <w:t>C</w:t>
            </w:r>
            <w:r w:rsidR="00364EC4" w:rsidRPr="006715AE">
              <w:rPr>
                <w:iCs/>
                <w:lang w:val="en-US"/>
              </w:rPr>
              <w:t>ommentary with indirect comparison (k=3)</w:t>
            </w:r>
          </w:p>
          <w:p w14:paraId="2FD90968" w14:textId="452DAE9C" w:rsidR="00364EC4" w:rsidRPr="00CE28E3" w:rsidRDefault="00364EC4" w:rsidP="003D4803">
            <w:pPr>
              <w:pStyle w:val="TableText"/>
              <w:jc w:val="center"/>
              <w:rPr>
                <w:lang w:val="en-US"/>
              </w:rPr>
            </w:pPr>
            <w:r w:rsidRPr="006715AE">
              <w:rPr>
                <w:iCs/>
                <w:lang w:val="en-US"/>
              </w:rPr>
              <w:t>Network meta-analysis (k=27)</w:t>
            </w:r>
            <w:r w:rsidR="00521ACA" w:rsidRPr="006715AE">
              <w:rPr>
                <w:iCs/>
                <w:lang w:val="en-US"/>
              </w:rPr>
              <w:br/>
            </w:r>
            <w:r w:rsidRPr="006715AE">
              <w:rPr>
                <w:iCs/>
                <w:lang w:val="en-US"/>
              </w:rPr>
              <w:t>Treatment crossover arms from RCT</w:t>
            </w:r>
            <w:r w:rsidR="001D0007" w:rsidRPr="006715AE">
              <w:rPr>
                <w:iCs/>
                <w:lang w:val="en-US"/>
              </w:rPr>
              <w:t xml:space="preserve"> vs sham</w:t>
            </w:r>
            <w:r w:rsidRPr="006715AE">
              <w:rPr>
                <w:iCs/>
                <w:lang w:val="en-US"/>
              </w:rPr>
              <w:t xml:space="preserve"> (n=135)</w:t>
            </w:r>
            <w:r w:rsidR="001D0007" w:rsidRPr="006715AE">
              <w:rPr>
                <w:iCs/>
                <w:lang w:val="en-US"/>
              </w:rPr>
              <w:t>)</w:t>
            </w:r>
          </w:p>
        </w:tc>
        <w:tc>
          <w:tcPr>
            <w:tcW w:w="960" w:type="pct"/>
            <w:shd w:val="clear" w:color="auto" w:fill="auto"/>
            <w:vAlign w:val="center"/>
          </w:tcPr>
          <w:p w14:paraId="344AA87C" w14:textId="77777777" w:rsidR="00364EC4" w:rsidRPr="00CE28E3" w:rsidRDefault="00364EC4" w:rsidP="003D4803">
            <w:pPr>
              <w:pStyle w:val="TableText"/>
              <w:jc w:val="center"/>
              <w:rPr>
                <w:lang w:val="en-US"/>
              </w:rPr>
            </w:pPr>
            <w:r>
              <w:rPr>
                <w:lang w:val="en-US"/>
              </w:rPr>
              <w:t>-</w:t>
            </w:r>
          </w:p>
        </w:tc>
        <w:tc>
          <w:tcPr>
            <w:tcW w:w="1864" w:type="pct"/>
            <w:shd w:val="clear" w:color="auto" w:fill="auto"/>
            <w:vAlign w:val="center"/>
          </w:tcPr>
          <w:p w14:paraId="2F2E5E63" w14:textId="77777777" w:rsidR="00364EC4" w:rsidRPr="00CE28E3" w:rsidRDefault="00364EC4" w:rsidP="003D4803">
            <w:pPr>
              <w:pStyle w:val="TableText"/>
              <w:jc w:val="center"/>
              <w:rPr>
                <w:lang w:val="en-US"/>
              </w:rPr>
            </w:pPr>
            <w:r>
              <w:rPr>
                <w:lang w:val="en-US"/>
              </w:rPr>
              <w:t xml:space="preserve">IPSS, </w:t>
            </w:r>
            <w:proofErr w:type="spellStart"/>
            <w:r>
              <w:rPr>
                <w:lang w:val="en-US"/>
              </w:rPr>
              <w:t>Qmax</w:t>
            </w:r>
            <w:proofErr w:type="spellEnd"/>
            <w:r>
              <w:rPr>
                <w:lang w:val="en-US"/>
              </w:rPr>
              <w:t>, reintervention rates, major adverse events</w:t>
            </w:r>
          </w:p>
        </w:tc>
      </w:tr>
      <w:tr w:rsidR="00364EC4" w:rsidRPr="00CE28E3" w14:paraId="66ABEBBE" w14:textId="77777777" w:rsidTr="613BE62B">
        <w:trPr>
          <w:cantSplit/>
        </w:trPr>
        <w:tc>
          <w:tcPr>
            <w:tcW w:w="540" w:type="pct"/>
            <w:shd w:val="clear" w:color="auto" w:fill="auto"/>
            <w:vAlign w:val="center"/>
          </w:tcPr>
          <w:p w14:paraId="758139DB" w14:textId="77777777" w:rsidR="00364EC4" w:rsidRPr="00CE28E3" w:rsidRDefault="00364EC4" w:rsidP="003D4803">
            <w:pPr>
              <w:pStyle w:val="TableText"/>
              <w:rPr>
                <w:lang w:val="en-US"/>
              </w:rPr>
            </w:pPr>
            <w:r>
              <w:rPr>
                <w:lang w:val="en-US"/>
              </w:rPr>
              <w:t>VLAP</w:t>
            </w:r>
          </w:p>
        </w:tc>
        <w:tc>
          <w:tcPr>
            <w:tcW w:w="1637" w:type="pct"/>
            <w:shd w:val="clear" w:color="auto" w:fill="auto"/>
            <w:vAlign w:val="center"/>
          </w:tcPr>
          <w:p w14:paraId="799573BA" w14:textId="77777777" w:rsidR="00364EC4" w:rsidRPr="00CE28E3" w:rsidRDefault="00364EC4" w:rsidP="003D4803">
            <w:pPr>
              <w:pStyle w:val="TableText"/>
              <w:jc w:val="center"/>
              <w:rPr>
                <w:lang w:val="en-US"/>
              </w:rPr>
            </w:pPr>
            <w:r>
              <w:rPr>
                <w:lang w:val="en-US"/>
              </w:rPr>
              <w:t>3 RCTs</w:t>
            </w:r>
          </w:p>
        </w:tc>
        <w:tc>
          <w:tcPr>
            <w:tcW w:w="960" w:type="pct"/>
            <w:shd w:val="clear" w:color="auto" w:fill="auto"/>
            <w:vAlign w:val="center"/>
          </w:tcPr>
          <w:p w14:paraId="7585996F" w14:textId="77777777" w:rsidR="00364EC4" w:rsidRPr="00CE28E3" w:rsidRDefault="00364EC4" w:rsidP="003D4803">
            <w:pPr>
              <w:pStyle w:val="TableText"/>
              <w:jc w:val="center"/>
              <w:rPr>
                <w:lang w:val="en-US"/>
              </w:rPr>
            </w:pPr>
            <w:r>
              <w:rPr>
                <w:lang w:val="en-US"/>
              </w:rPr>
              <w:t>451</w:t>
            </w:r>
          </w:p>
        </w:tc>
        <w:tc>
          <w:tcPr>
            <w:tcW w:w="1864" w:type="pct"/>
            <w:shd w:val="clear" w:color="auto" w:fill="auto"/>
            <w:vAlign w:val="center"/>
          </w:tcPr>
          <w:p w14:paraId="215C22B3" w14:textId="77777777" w:rsidR="00364EC4" w:rsidRPr="00CE28E3" w:rsidRDefault="00364EC4" w:rsidP="003D4803">
            <w:pPr>
              <w:pStyle w:val="TableText"/>
              <w:jc w:val="center"/>
              <w:rPr>
                <w:lang w:val="en-US"/>
              </w:rPr>
            </w:pPr>
            <w:r>
              <w:rPr>
                <w:lang w:val="en-US"/>
              </w:rPr>
              <w:t xml:space="preserve">IPSS, </w:t>
            </w:r>
            <w:proofErr w:type="spellStart"/>
            <w:r>
              <w:rPr>
                <w:lang w:val="en-US"/>
              </w:rPr>
              <w:t>Qmax</w:t>
            </w:r>
            <w:proofErr w:type="spellEnd"/>
            <w:r>
              <w:rPr>
                <w:lang w:val="en-US"/>
              </w:rPr>
              <w:t>, safety</w:t>
            </w:r>
          </w:p>
        </w:tc>
      </w:tr>
    </w:tbl>
    <w:p w14:paraId="2E063700" w14:textId="77777777" w:rsidR="00B21024" w:rsidRDefault="00B21024" w:rsidP="005B0CB6">
      <w:pPr>
        <w:pStyle w:val="Tablenotes"/>
      </w:pPr>
      <w:r>
        <w:t xml:space="preserve">Source: Table 3, </w:t>
      </w:r>
      <w:proofErr w:type="spellStart"/>
      <w:r>
        <w:t>pg</w:t>
      </w:r>
      <w:proofErr w:type="spellEnd"/>
      <w:r>
        <w:t xml:space="preserve"> 13 of MSAC 1697 DCAR</w:t>
      </w:r>
    </w:p>
    <w:p w14:paraId="3394268E" w14:textId="77777777" w:rsidR="00994805" w:rsidRDefault="00B21024" w:rsidP="005B0CB6">
      <w:pPr>
        <w:pStyle w:val="Tablenotes"/>
      </w:pPr>
      <w:r>
        <w:t xml:space="preserve">Abbreviations: </w:t>
      </w:r>
      <w:r w:rsidR="00814CE4">
        <w:t xml:space="preserve">EEP = endoscopic enucleation of the prostate; </w:t>
      </w:r>
      <w:r w:rsidR="00A75D5C">
        <w:t xml:space="preserve">IPSS = International prostate symptom score; PUL = prostatic urethral lift; </w:t>
      </w:r>
      <w:proofErr w:type="spellStart"/>
      <w:r w:rsidR="00A75D5C">
        <w:t>Qmax</w:t>
      </w:r>
      <w:proofErr w:type="spellEnd"/>
      <w:r w:rsidR="00A75D5C">
        <w:t xml:space="preserve"> = maximum flow rate (of urine flow); RCT = randomised controlled trial; TUMT = transurethral microwave therapy; TURP = transurethral resection of the prostate; TUWA = transurethral water vapour ablation; VLAP = visual laser ablation of the prostate</w:t>
      </w:r>
      <w:bookmarkStart w:id="23" w:name="_Toc100150278"/>
      <w:r w:rsidR="00B9033B">
        <w:t>10</w:t>
      </w:r>
      <w:r w:rsidR="00C36633">
        <w:t>.</w:t>
      </w:r>
      <w:r w:rsidR="00C36633">
        <w:tab/>
      </w:r>
    </w:p>
    <w:p w14:paraId="3B9FC2AD" w14:textId="5597D4D3" w:rsidR="00772829" w:rsidRDefault="00772829" w:rsidP="006715AE">
      <w:pPr>
        <w:pStyle w:val="Heading3"/>
      </w:pPr>
      <w:r>
        <w:lastRenderedPageBreak/>
        <w:t>Comparative safety</w:t>
      </w:r>
      <w:bookmarkEnd w:id="23"/>
    </w:p>
    <w:p w14:paraId="1EDF2839" w14:textId="0EBA0478" w:rsidR="002C6FC2" w:rsidRDefault="002C6FC2" w:rsidP="00994452">
      <w:pPr>
        <w:keepNext/>
        <w:keepLines/>
        <w:spacing w:before="240"/>
      </w:pPr>
      <w:r w:rsidRPr="005C144C">
        <w:t xml:space="preserve">A summary of the safety outcomes is shown in </w:t>
      </w:r>
      <w:r w:rsidRPr="005C144C">
        <w:fldChar w:fldCharType="begin"/>
      </w:r>
      <w:r w:rsidRPr="005C144C">
        <w:instrText xml:space="preserve"> REF _Ref96366061 \h </w:instrText>
      </w:r>
      <w:r w:rsidRPr="005C144C">
        <w:fldChar w:fldCharType="separate"/>
      </w:r>
      <w:r w:rsidR="00C03EF9" w:rsidRPr="005C144C">
        <w:t>Table 4</w:t>
      </w:r>
      <w:r w:rsidRPr="005C144C">
        <w:fldChar w:fldCharType="end"/>
      </w:r>
      <w:r w:rsidRPr="005C144C">
        <w:t>. Evidence was synthesised fro</w:t>
      </w:r>
      <w:r w:rsidR="00122872" w:rsidRPr="005C144C">
        <w:t>m other MSAC reports (MSAC 1014,</w:t>
      </w:r>
      <w:r w:rsidRPr="005C144C">
        <w:t xml:space="preserve"> 1076, 1149</w:t>
      </w:r>
      <w:r>
        <w:t xml:space="preserve">, 1518, 1586, and 1612), the </w:t>
      </w:r>
      <w:r w:rsidR="003A47DE" w:rsidRPr="003A47DE">
        <w:t xml:space="preserve">European Network for Health Technology Assessment </w:t>
      </w:r>
      <w:r w:rsidR="003A47DE">
        <w:t>(</w:t>
      </w:r>
      <w:proofErr w:type="spellStart"/>
      <w:r>
        <w:t>EUnetHTA</w:t>
      </w:r>
      <w:proofErr w:type="spellEnd"/>
      <w:r w:rsidR="000B26A9">
        <w:rPr>
          <w:rStyle w:val="FootnoteReference"/>
        </w:rPr>
        <w:footnoteReference w:id="5"/>
      </w:r>
      <w:r w:rsidR="003A47DE">
        <w:t>)</w:t>
      </w:r>
      <w:r>
        <w:t xml:space="preserve"> report and RCTs or meta-analyses identified through a gap analysis. Due to time limitations</w:t>
      </w:r>
      <w:r w:rsidR="001C7AF1">
        <w:t>,</w:t>
      </w:r>
      <w:r>
        <w:t xml:space="preserve"> data </w:t>
      </w:r>
      <w:r w:rsidR="001C7AF1">
        <w:t xml:space="preserve">were </w:t>
      </w:r>
      <w:r>
        <w:t>extracted from meta-analyses (</w:t>
      </w:r>
      <w:proofErr w:type="gramStart"/>
      <w:r>
        <w:t>e.g.</w:t>
      </w:r>
      <w:proofErr w:type="gramEnd"/>
      <w:r>
        <w:t xml:space="preserve"> the </w:t>
      </w:r>
      <w:proofErr w:type="spellStart"/>
      <w:r>
        <w:t>EUnetHTA</w:t>
      </w:r>
      <w:proofErr w:type="spellEnd"/>
      <w:r>
        <w:t xml:space="preserve"> report) or MSAC reports were possible (</w:t>
      </w:r>
      <w:r w:rsidR="001C7AF1">
        <w:t xml:space="preserve">and </w:t>
      </w:r>
      <w:r>
        <w:t xml:space="preserve">not </w:t>
      </w:r>
      <w:r w:rsidR="001C7AF1">
        <w:t xml:space="preserve">directly from </w:t>
      </w:r>
      <w:r>
        <w:t>the individual studies). Furthermore, no separate risk of bias assessment was conducted.</w:t>
      </w:r>
    </w:p>
    <w:p w14:paraId="7216E520" w14:textId="3B752963" w:rsidR="002C6FC2" w:rsidRDefault="001C7AF1" w:rsidP="002C6FC2">
      <w:r>
        <w:t>No interventions reported a statistically significant difference in e</w:t>
      </w:r>
      <w:r w:rsidR="002C6FC2">
        <w:t>rectile dysfunction</w:t>
      </w:r>
      <w:r>
        <w:t xml:space="preserve"> scores compared with TURP, and it has not been presented in the table below.</w:t>
      </w:r>
      <w:r w:rsidR="002C6FC2">
        <w:t xml:space="preserve"> However, PUL may have been superior for this outcome, had it been powered to detect a difference (0 </w:t>
      </w:r>
      <w:r>
        <w:t>and</w:t>
      </w:r>
      <w:r w:rsidR="002C6FC2">
        <w:t xml:space="preserve"> 9 events of erectile dysfunction </w:t>
      </w:r>
      <w:r w:rsidR="007612AA">
        <w:t xml:space="preserve">reported following </w:t>
      </w:r>
      <w:r w:rsidR="002C6FC2">
        <w:t>PUL and TURP, respectively, with a P-value of 0.08).</w:t>
      </w:r>
    </w:p>
    <w:p w14:paraId="7360F555" w14:textId="6E9B4977" w:rsidR="002C6FC2" w:rsidRDefault="002C6FC2" w:rsidP="002C6FC2">
      <w:r w:rsidRPr="005C144C">
        <w:t xml:space="preserve">Both PUL and TUMT </w:t>
      </w:r>
      <w:proofErr w:type="gramStart"/>
      <w:r w:rsidRPr="005C144C">
        <w:t>were considered to be</w:t>
      </w:r>
      <w:proofErr w:type="gramEnd"/>
      <w:r w:rsidRPr="005C144C">
        <w:t xml:space="preserve"> of superior safety when compared with</w:t>
      </w:r>
      <w:r>
        <w:t xml:space="preserve"> TURP (</w:t>
      </w:r>
      <w:r w:rsidR="005C144C">
        <w:fldChar w:fldCharType="begin"/>
      </w:r>
      <w:r w:rsidR="005C144C">
        <w:instrText xml:space="preserve"> REF _Ref116390333 \h </w:instrText>
      </w:r>
      <w:r w:rsidR="005C144C">
        <w:fldChar w:fldCharType="separate"/>
      </w:r>
      <w:r w:rsidR="005C144C">
        <w:t>Table </w:t>
      </w:r>
      <w:r w:rsidR="005C144C">
        <w:rPr>
          <w:noProof/>
        </w:rPr>
        <w:t>4</w:t>
      </w:r>
      <w:r w:rsidR="005C144C">
        <w:fldChar w:fldCharType="end"/>
      </w:r>
      <w:r>
        <w:t xml:space="preserve">). PUL had </w:t>
      </w:r>
      <w:r w:rsidR="001C7AF1">
        <w:t xml:space="preserve">fewer </w:t>
      </w:r>
      <w:r>
        <w:t xml:space="preserve">cases of retrograde ejaculation and urinary incontinence compared with TURP, </w:t>
      </w:r>
      <w:r w:rsidR="001C7AF1">
        <w:t xml:space="preserve">and </w:t>
      </w:r>
      <w:r>
        <w:t xml:space="preserve">TUMT had </w:t>
      </w:r>
      <w:r w:rsidR="001C7AF1">
        <w:t xml:space="preserve">fewer </w:t>
      </w:r>
      <w:r>
        <w:t xml:space="preserve">major adverse events overall (compared with TURP). </w:t>
      </w:r>
    </w:p>
    <w:p w14:paraId="69B0AFB1" w14:textId="19BBCCAA" w:rsidR="002C6FC2" w:rsidRDefault="002C6FC2" w:rsidP="002C6FC2">
      <w:r>
        <w:t xml:space="preserve">There were </w:t>
      </w:r>
      <w:r w:rsidR="001C7AF1">
        <w:t xml:space="preserve">fewer </w:t>
      </w:r>
      <w:r>
        <w:t>transfusion requirements after VLAP compared with TURP, however the rate</w:t>
      </w:r>
      <w:r w:rsidR="001C7AF1">
        <w:t>s</w:t>
      </w:r>
      <w:r>
        <w:t xml:space="preserve"> of urinary tract infection (UTI) and urinary incontinence were higher with VLAP. Overall, </w:t>
      </w:r>
      <w:r w:rsidR="001C7AF1">
        <w:t xml:space="preserve">a clinical conclusion </w:t>
      </w:r>
      <w:r>
        <w:t xml:space="preserve">of non-inferiority may be the most appropriate when </w:t>
      </w:r>
      <w:r w:rsidR="001C7AF1">
        <w:t>considering the comparative</w:t>
      </w:r>
      <w:r>
        <w:t xml:space="preserve"> safety of VLAP</w:t>
      </w:r>
      <w:r w:rsidR="001C7AF1">
        <w:t xml:space="preserve"> vs TURP</w:t>
      </w:r>
      <w:r>
        <w:t xml:space="preserve">. </w:t>
      </w:r>
    </w:p>
    <w:p w14:paraId="3A511635" w14:textId="028504C4" w:rsidR="002C6FC2" w:rsidRDefault="00814CE4" w:rsidP="002C6FC2">
      <w:r>
        <w:t>EEP</w:t>
      </w:r>
      <w:r w:rsidR="002C6FC2">
        <w:t xml:space="preserve"> had a higher rate of urinary incontinence compared with TURP, however the rate of urinary tract infection was lower in the groups undergoing </w:t>
      </w:r>
      <w:r>
        <w:t>EEP</w:t>
      </w:r>
      <w:r w:rsidR="002C6FC2">
        <w:t xml:space="preserve">. </w:t>
      </w:r>
      <w:r w:rsidR="00821F4D">
        <w:t xml:space="preserve">A </w:t>
      </w:r>
      <w:r w:rsidR="002C6FC2">
        <w:t xml:space="preserve">key difference in safety between </w:t>
      </w:r>
      <w:r>
        <w:t>EEP</w:t>
      </w:r>
      <w:r w:rsidR="002C6FC2">
        <w:t xml:space="preserve"> techniques and TURP was </w:t>
      </w:r>
      <w:r w:rsidR="00821F4D">
        <w:t xml:space="preserve">reported </w:t>
      </w:r>
      <w:r w:rsidR="002C6FC2">
        <w:t xml:space="preserve">to be </w:t>
      </w:r>
      <w:r w:rsidR="007612AA">
        <w:t xml:space="preserve">the </w:t>
      </w:r>
      <w:r w:rsidR="00821F4D">
        <w:t xml:space="preserve">incidence of </w:t>
      </w:r>
      <w:r w:rsidR="002C6FC2">
        <w:t>transfusion</w:t>
      </w:r>
      <w:r w:rsidR="00821F4D">
        <w:t>s</w:t>
      </w:r>
      <w:r w:rsidR="002C6FC2">
        <w:t xml:space="preserve">, with significantly lower transfusion rates reported in patients undergoing </w:t>
      </w:r>
      <w:proofErr w:type="spellStart"/>
      <w:r w:rsidR="002C6FC2">
        <w:t>HoLEP</w:t>
      </w:r>
      <w:proofErr w:type="spellEnd"/>
      <w:r w:rsidR="002C6FC2">
        <w:t xml:space="preserve"> or </w:t>
      </w:r>
      <w:proofErr w:type="spellStart"/>
      <w:r w:rsidR="002C6FC2">
        <w:t>T</w:t>
      </w:r>
      <w:r w:rsidR="00447FA5">
        <w:t>h</w:t>
      </w:r>
      <w:r w:rsidR="002C6FC2">
        <w:t>uLEP</w:t>
      </w:r>
      <w:proofErr w:type="spellEnd"/>
      <w:r w:rsidR="002C6FC2">
        <w:t xml:space="preserve"> (compared with TURP).</w:t>
      </w:r>
    </w:p>
    <w:p w14:paraId="53CDC139" w14:textId="1D389536" w:rsidR="002C6FC2" w:rsidRDefault="002C6FC2" w:rsidP="002C6FC2">
      <w:r w:rsidRPr="005C144C">
        <w:t xml:space="preserve">Mean catheterisation times were also presented for VLAP and the </w:t>
      </w:r>
      <w:r w:rsidR="00814CE4" w:rsidRPr="005C144C">
        <w:t>EEP</w:t>
      </w:r>
      <w:r w:rsidRPr="005C144C">
        <w:t xml:space="preserve"> techniques</w:t>
      </w:r>
      <w:r w:rsidR="00821F4D" w:rsidRPr="005C144C">
        <w:t xml:space="preserve">, however this is not </w:t>
      </w:r>
      <w:r w:rsidRPr="005C144C">
        <w:t>presented</w:t>
      </w:r>
      <w:r>
        <w:t xml:space="preserve"> in</w:t>
      </w:r>
      <w:r w:rsidR="005C144C">
        <w:t xml:space="preserve"> </w:t>
      </w:r>
      <w:r w:rsidR="005C144C">
        <w:fldChar w:fldCharType="begin"/>
      </w:r>
      <w:r w:rsidR="005C144C">
        <w:instrText xml:space="preserve"> REF _Ref116390333 \h </w:instrText>
      </w:r>
      <w:r w:rsidR="005C144C">
        <w:fldChar w:fldCharType="separate"/>
      </w:r>
      <w:r w:rsidR="005C144C">
        <w:t xml:space="preserve">Table </w:t>
      </w:r>
      <w:r w:rsidR="005C144C">
        <w:rPr>
          <w:noProof/>
        </w:rPr>
        <w:t>4</w:t>
      </w:r>
      <w:r w:rsidR="005C144C">
        <w:fldChar w:fldCharType="end"/>
      </w:r>
      <w:r w:rsidR="005C144C">
        <w:t xml:space="preserve"> </w:t>
      </w:r>
      <w:r>
        <w:t>as it was not technically considered a safety outcome</w:t>
      </w:r>
      <w:r w:rsidR="00821F4D">
        <w:t xml:space="preserve"> during the analysis</w:t>
      </w:r>
      <w:r>
        <w:t xml:space="preserve">. VLAP did not show a </w:t>
      </w:r>
      <w:proofErr w:type="gramStart"/>
      <w:r>
        <w:t>statistical</w:t>
      </w:r>
      <w:proofErr w:type="gramEnd"/>
      <w:r>
        <w:t xml:space="preserve"> significant difference in catheterisation time compared with TURP (mean difference -0.84 days, 95%CI -2.08, 0.41), whereas all four </w:t>
      </w:r>
      <w:r w:rsidR="00814CE4">
        <w:t>EEP</w:t>
      </w:r>
      <w:r>
        <w:t xml:space="preserve"> methods (</w:t>
      </w:r>
      <w:proofErr w:type="spellStart"/>
      <w:r>
        <w:t>HoLEP</w:t>
      </w:r>
      <w:proofErr w:type="spellEnd"/>
      <w:r>
        <w:t xml:space="preserve">, </w:t>
      </w:r>
      <w:proofErr w:type="spellStart"/>
      <w:r>
        <w:t>ThuLEP</w:t>
      </w:r>
      <w:proofErr w:type="spellEnd"/>
      <w:r>
        <w:t xml:space="preserve">, </w:t>
      </w:r>
      <w:proofErr w:type="spellStart"/>
      <w:r>
        <w:t>DioLEP</w:t>
      </w:r>
      <w:proofErr w:type="spellEnd"/>
      <w:r>
        <w:t>, B-TUEP) show</w:t>
      </w:r>
      <w:r w:rsidR="007612AA">
        <w:t xml:space="preserve">ed </w:t>
      </w:r>
      <w:r>
        <w:t xml:space="preserve">a difference in catheterisation time. Overall, </w:t>
      </w:r>
      <w:r w:rsidR="00814CE4">
        <w:t>EEP</w:t>
      </w:r>
      <w:r>
        <w:t xml:space="preserve"> had a shorter mean catheterisation time by 23.21 hours (95%CI -28.37, -18.06).</w:t>
      </w:r>
      <w:r w:rsidR="00821F4D">
        <w:t xml:space="preserve"> It is unclear whether this reduction is clinically relevant, or whether duration of catheterisation </w:t>
      </w:r>
      <w:r w:rsidR="0046251E">
        <w:t>is partly explained by differences in duration of hospitalisation (where catheters are generally removed prior to discharge).</w:t>
      </w:r>
      <w:r w:rsidR="00821F4D">
        <w:t xml:space="preserve"> </w:t>
      </w:r>
    </w:p>
    <w:p w14:paraId="1FDEC453" w14:textId="0ED2ACC8" w:rsidR="00CC7759" w:rsidRPr="00CC7759" w:rsidRDefault="00447FA5" w:rsidP="009A5C5B">
      <w:pPr>
        <w:pStyle w:val="TableFigureHeading"/>
        <w:rPr>
          <w:rFonts w:ascii="Franklin Gothic Book" w:eastAsiaTheme="minorHAnsi" w:hAnsi="Franklin Gothic Book" w:cstheme="minorBidi"/>
          <w:b w:val="0"/>
          <w:bCs w:val="0"/>
          <w:sz w:val="22"/>
          <w:szCs w:val="22"/>
          <w:lang w:eastAsia="en-US"/>
        </w:rPr>
      </w:pPr>
      <w:r w:rsidRPr="00CC7759">
        <w:rPr>
          <w:rFonts w:ascii="Franklin Gothic Book" w:eastAsiaTheme="minorHAnsi" w:hAnsi="Franklin Gothic Book" w:cstheme="minorBidi"/>
          <w:b w:val="0"/>
          <w:bCs w:val="0"/>
          <w:sz w:val="22"/>
          <w:szCs w:val="22"/>
          <w:lang w:eastAsia="en-US"/>
        </w:rPr>
        <w:t>The safety of TUWA was only assessed in a single RCT (versus sham). No direct comparison with TURP was made. One network meta-analysis reported a risk ratio of TUWA vs TURP</w:t>
      </w:r>
      <w:r w:rsidR="00BB04E8" w:rsidRPr="00CC7759">
        <w:rPr>
          <w:rFonts w:ascii="Franklin Gothic Book" w:eastAsiaTheme="minorHAnsi" w:hAnsi="Franklin Gothic Book" w:cstheme="minorBidi"/>
          <w:b w:val="0"/>
          <w:bCs w:val="0"/>
          <w:sz w:val="22"/>
          <w:szCs w:val="22"/>
          <w:lang w:eastAsia="en-US"/>
        </w:rPr>
        <w:t>, which suggested that TUWA may result in a large reduction of adverse events compared to TURP, although the confidence interval includes both substantial reductions and increases in harms.</w:t>
      </w:r>
      <w:r w:rsidR="001112FA" w:rsidRPr="00CC7759">
        <w:rPr>
          <w:rFonts w:ascii="Franklin Gothic Book" w:eastAsiaTheme="minorHAnsi" w:hAnsi="Franklin Gothic Book" w:cstheme="minorBidi"/>
          <w:b w:val="0"/>
          <w:bCs w:val="0"/>
          <w:sz w:val="22"/>
          <w:szCs w:val="22"/>
          <w:lang w:eastAsia="en-US"/>
        </w:rPr>
        <w:t xml:space="preserve"> </w:t>
      </w:r>
      <w:bookmarkStart w:id="24" w:name="_Ref96366061"/>
    </w:p>
    <w:p w14:paraId="7C13FDCB" w14:textId="77777777" w:rsidR="009E2D22" w:rsidRDefault="009E2D22" w:rsidP="002811D5">
      <w:pPr>
        <w:pStyle w:val="TableFigureHeading"/>
        <w:spacing w:before="240"/>
        <w:sectPr w:rsidR="009E2D22" w:rsidSect="00052DD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pPr>
    </w:p>
    <w:p w14:paraId="177A9CF9" w14:textId="1A6A538D" w:rsidR="002C6FC2" w:rsidRDefault="002C6FC2" w:rsidP="002811D5">
      <w:pPr>
        <w:pStyle w:val="TableFigureHeading"/>
        <w:spacing w:before="240"/>
      </w:pPr>
      <w:bookmarkStart w:id="25" w:name="_Ref116390333"/>
      <w:r>
        <w:lastRenderedPageBreak/>
        <w:t xml:space="preserve">Table </w:t>
      </w:r>
      <w:r>
        <w:fldChar w:fldCharType="begin"/>
      </w:r>
      <w:r>
        <w:instrText>SEQ Table \* ARABIC</w:instrText>
      </w:r>
      <w:r>
        <w:fldChar w:fldCharType="separate"/>
      </w:r>
      <w:r w:rsidR="00C03EF9">
        <w:rPr>
          <w:noProof/>
        </w:rPr>
        <w:t>4</w:t>
      </w:r>
      <w:r>
        <w:fldChar w:fldCharType="end"/>
      </w:r>
      <w:bookmarkEnd w:id="24"/>
      <w:bookmarkEnd w:id="25"/>
      <w:r>
        <w:t xml:space="preserve"> Summary of safety outcomes, compared with TURP</w:t>
      </w:r>
    </w:p>
    <w:tbl>
      <w:tblPr>
        <w:tblStyle w:val="TableGrid1"/>
        <w:tblW w:w="13040"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
        <w:gridCol w:w="740"/>
        <w:gridCol w:w="1584"/>
        <w:gridCol w:w="1417"/>
        <w:gridCol w:w="1417"/>
        <w:gridCol w:w="1418"/>
        <w:gridCol w:w="1559"/>
        <w:gridCol w:w="1559"/>
        <w:gridCol w:w="1418"/>
        <w:gridCol w:w="1616"/>
      </w:tblGrid>
      <w:tr w:rsidR="009E2D22" w14:paraId="0C1D0C0A" w14:textId="1572FA0E" w:rsidTr="00566C28">
        <w:trPr>
          <w:cnfStyle w:val="100000000000" w:firstRow="1" w:lastRow="0" w:firstColumn="0" w:lastColumn="0" w:oddVBand="0" w:evenVBand="0" w:oddHBand="0" w:evenHBand="0" w:firstRowFirstColumn="0" w:firstRowLastColumn="0" w:lastRowFirstColumn="0" w:lastRowLastColumn="0"/>
          <w:trHeight w:val="312"/>
        </w:trPr>
        <w:tc>
          <w:tcPr>
            <w:tcW w:w="1052" w:type="dxa"/>
            <w:gridSpan w:val="2"/>
            <w:tcBorders>
              <w:top w:val="single" w:sz="4" w:space="0" w:color="auto"/>
              <w:left w:val="single" w:sz="4" w:space="0" w:color="auto"/>
            </w:tcBorders>
            <w:shd w:val="clear" w:color="auto" w:fill="E7E6E6" w:themeFill="background2"/>
            <w:vAlign w:val="center"/>
          </w:tcPr>
          <w:p w14:paraId="55E4BA32" w14:textId="77777777" w:rsidR="009E2D22" w:rsidRDefault="009E2D22" w:rsidP="003D7BBE">
            <w:pPr>
              <w:pStyle w:val="TableHeading"/>
              <w:rPr>
                <w:sz w:val="2"/>
                <w:szCs w:val="2"/>
              </w:rPr>
            </w:pPr>
            <w:r>
              <w:t>Intervention</w:t>
            </w:r>
          </w:p>
        </w:tc>
        <w:tc>
          <w:tcPr>
            <w:tcW w:w="1584" w:type="dxa"/>
            <w:tcBorders>
              <w:top w:val="single" w:sz="4" w:space="0" w:color="auto"/>
            </w:tcBorders>
            <w:shd w:val="clear" w:color="auto" w:fill="E7E6E6" w:themeFill="background2"/>
            <w:vAlign w:val="center"/>
          </w:tcPr>
          <w:p w14:paraId="42C803C7" w14:textId="77777777" w:rsidR="009E2D22" w:rsidRDefault="009E2D22" w:rsidP="00566C28">
            <w:pPr>
              <w:pStyle w:val="TableHeading"/>
              <w:jc w:val="center"/>
            </w:pPr>
            <w:r>
              <w:t>Major adverse events</w:t>
            </w:r>
          </w:p>
        </w:tc>
        <w:tc>
          <w:tcPr>
            <w:tcW w:w="1417" w:type="dxa"/>
            <w:tcBorders>
              <w:top w:val="single" w:sz="4" w:space="0" w:color="auto"/>
            </w:tcBorders>
            <w:shd w:val="clear" w:color="auto" w:fill="E7E6E6" w:themeFill="background2"/>
            <w:vAlign w:val="center"/>
          </w:tcPr>
          <w:p w14:paraId="0E45CD8D" w14:textId="77777777" w:rsidR="009E2D22" w:rsidRDefault="009E2D22" w:rsidP="00566C28">
            <w:pPr>
              <w:pStyle w:val="TableHeading"/>
              <w:jc w:val="center"/>
            </w:pPr>
            <w:r>
              <w:t>Retrograde ejaculation</w:t>
            </w:r>
          </w:p>
        </w:tc>
        <w:tc>
          <w:tcPr>
            <w:tcW w:w="1417" w:type="dxa"/>
            <w:tcBorders>
              <w:top w:val="single" w:sz="4" w:space="0" w:color="auto"/>
            </w:tcBorders>
            <w:shd w:val="clear" w:color="auto" w:fill="E7E6E6" w:themeFill="background2"/>
            <w:vAlign w:val="center"/>
          </w:tcPr>
          <w:p w14:paraId="26EB4F0D" w14:textId="77777777" w:rsidR="009E2D22" w:rsidRDefault="009E2D22" w:rsidP="00566C28">
            <w:pPr>
              <w:pStyle w:val="TableHeading"/>
              <w:jc w:val="center"/>
            </w:pPr>
            <w:r>
              <w:t>Transfusion requirement</w:t>
            </w:r>
          </w:p>
        </w:tc>
        <w:tc>
          <w:tcPr>
            <w:tcW w:w="1418" w:type="dxa"/>
            <w:tcBorders>
              <w:top w:val="single" w:sz="4" w:space="0" w:color="auto"/>
            </w:tcBorders>
            <w:shd w:val="clear" w:color="auto" w:fill="E7E6E6" w:themeFill="background2"/>
            <w:vAlign w:val="center"/>
          </w:tcPr>
          <w:p w14:paraId="2C445B5F" w14:textId="77777777" w:rsidR="009E2D22" w:rsidRDefault="009E2D22" w:rsidP="00566C28">
            <w:pPr>
              <w:pStyle w:val="TableHeading"/>
              <w:jc w:val="center"/>
            </w:pPr>
            <w:r>
              <w:t>Urinary tract infection</w:t>
            </w:r>
          </w:p>
        </w:tc>
        <w:tc>
          <w:tcPr>
            <w:tcW w:w="1559" w:type="dxa"/>
            <w:tcBorders>
              <w:top w:val="single" w:sz="4" w:space="0" w:color="auto"/>
            </w:tcBorders>
            <w:shd w:val="clear" w:color="auto" w:fill="E7E6E6" w:themeFill="background2"/>
            <w:vAlign w:val="center"/>
          </w:tcPr>
          <w:p w14:paraId="55722773" w14:textId="77777777" w:rsidR="009E2D22" w:rsidRDefault="009E2D22" w:rsidP="00566C28">
            <w:pPr>
              <w:pStyle w:val="TableHeading"/>
              <w:jc w:val="center"/>
            </w:pPr>
            <w:r>
              <w:t>Urethral stricture</w:t>
            </w:r>
          </w:p>
        </w:tc>
        <w:tc>
          <w:tcPr>
            <w:tcW w:w="1559" w:type="dxa"/>
            <w:tcBorders>
              <w:top w:val="single" w:sz="4" w:space="0" w:color="auto"/>
            </w:tcBorders>
            <w:shd w:val="clear" w:color="auto" w:fill="E7E6E6" w:themeFill="background2"/>
            <w:vAlign w:val="center"/>
          </w:tcPr>
          <w:p w14:paraId="17603BC0" w14:textId="77777777" w:rsidR="009E2D22" w:rsidRDefault="009E2D22" w:rsidP="00566C28">
            <w:pPr>
              <w:pStyle w:val="TableHeading"/>
              <w:jc w:val="center"/>
            </w:pPr>
            <w:r>
              <w:t>Urinary incontinence</w:t>
            </w:r>
          </w:p>
        </w:tc>
        <w:tc>
          <w:tcPr>
            <w:tcW w:w="1418" w:type="dxa"/>
            <w:tcBorders>
              <w:top w:val="single" w:sz="4" w:space="0" w:color="auto"/>
              <w:right w:val="single" w:sz="4" w:space="0" w:color="auto"/>
            </w:tcBorders>
            <w:shd w:val="clear" w:color="auto" w:fill="E7E6E6" w:themeFill="background2"/>
            <w:vAlign w:val="center"/>
          </w:tcPr>
          <w:p w14:paraId="61E0E77A" w14:textId="77777777" w:rsidR="009E2D22" w:rsidRDefault="009E2D22" w:rsidP="00566C28">
            <w:pPr>
              <w:pStyle w:val="TableHeading"/>
              <w:jc w:val="center"/>
            </w:pPr>
            <w:r>
              <w:t>Re-catheterisation</w:t>
            </w:r>
          </w:p>
        </w:tc>
        <w:tc>
          <w:tcPr>
            <w:tcW w:w="1616" w:type="dxa"/>
            <w:tcBorders>
              <w:top w:val="single" w:sz="4" w:space="0" w:color="auto"/>
              <w:right w:val="single" w:sz="4" w:space="0" w:color="auto"/>
            </w:tcBorders>
            <w:shd w:val="clear" w:color="auto" w:fill="E7E6E6" w:themeFill="background2"/>
          </w:tcPr>
          <w:p w14:paraId="76EFABAC" w14:textId="160EAA8E" w:rsidR="009E2D22" w:rsidRPr="00566C28" w:rsidRDefault="009E2D22" w:rsidP="00566C28">
            <w:pPr>
              <w:pStyle w:val="TableHeading"/>
              <w:jc w:val="center"/>
              <w:rPr>
                <w:vertAlign w:val="superscript"/>
              </w:rPr>
            </w:pPr>
            <w:r>
              <w:t>Erectile dysfunction</w:t>
            </w:r>
          </w:p>
        </w:tc>
      </w:tr>
      <w:tr w:rsidR="009E2D22" w:rsidRPr="002D6A8A" w14:paraId="2C09D4BB" w14:textId="6399D55A" w:rsidTr="00566C28">
        <w:trPr>
          <w:trHeight w:val="314"/>
        </w:trPr>
        <w:tc>
          <w:tcPr>
            <w:tcW w:w="312" w:type="dxa"/>
            <w:vMerge w:val="restart"/>
            <w:textDirection w:val="btLr"/>
            <w:vAlign w:val="center"/>
          </w:tcPr>
          <w:p w14:paraId="3C557D79" w14:textId="5B93EEF0" w:rsidR="009E2D22" w:rsidRDefault="009E2D22" w:rsidP="00B4743B">
            <w:pPr>
              <w:pStyle w:val="TableHeading"/>
              <w:spacing w:before="0"/>
              <w:ind w:left="113" w:right="113"/>
              <w:jc w:val="center"/>
            </w:pPr>
            <w:r>
              <w:t>EEP</w:t>
            </w:r>
          </w:p>
          <w:p w14:paraId="36BB7222" w14:textId="77777777" w:rsidR="009E2D22" w:rsidRPr="008C2B4C" w:rsidRDefault="009E2D22" w:rsidP="00D04A4A">
            <w:pPr>
              <w:pStyle w:val="TableHeading"/>
              <w:ind w:left="113" w:right="113"/>
              <w:rPr>
                <w:lang w:val="en-US"/>
              </w:rPr>
            </w:pPr>
          </w:p>
          <w:p w14:paraId="501660C3" w14:textId="77777777" w:rsidR="009E2D22" w:rsidRPr="008C2B4C" w:rsidRDefault="009E2D22" w:rsidP="00D04A4A">
            <w:pPr>
              <w:pStyle w:val="TableHeading"/>
              <w:ind w:left="113" w:right="113"/>
              <w:rPr>
                <w:lang w:val="en-US"/>
              </w:rPr>
            </w:pPr>
          </w:p>
          <w:p w14:paraId="058AED96" w14:textId="77777777" w:rsidR="009E2D22" w:rsidRPr="008C2B4C" w:rsidRDefault="009E2D22" w:rsidP="00D04A4A">
            <w:pPr>
              <w:pStyle w:val="TableHeading"/>
              <w:ind w:left="113" w:right="113"/>
              <w:rPr>
                <w:lang w:val="en-US"/>
              </w:rPr>
            </w:pPr>
          </w:p>
          <w:p w14:paraId="3DC957AD" w14:textId="77777777" w:rsidR="009E2D22" w:rsidRPr="008C2B4C" w:rsidRDefault="009E2D22" w:rsidP="00D04A4A">
            <w:pPr>
              <w:pStyle w:val="TableHeading"/>
              <w:ind w:left="113" w:right="113"/>
              <w:rPr>
                <w:lang w:val="en-US"/>
              </w:rPr>
            </w:pPr>
          </w:p>
          <w:p w14:paraId="70356CEC" w14:textId="77777777" w:rsidR="009E2D22" w:rsidRDefault="009E2D22" w:rsidP="00D04A4A">
            <w:pPr>
              <w:pStyle w:val="TableHeading"/>
              <w:ind w:left="113" w:right="113"/>
              <w:rPr>
                <w:lang w:val="en-US"/>
              </w:rPr>
            </w:pPr>
          </w:p>
          <w:p w14:paraId="4CA09B36" w14:textId="77777777" w:rsidR="009E2D22" w:rsidRPr="008C2B4C" w:rsidRDefault="009E2D22" w:rsidP="00D04A4A">
            <w:pPr>
              <w:pStyle w:val="TableHeading"/>
              <w:ind w:left="113" w:right="113"/>
              <w:rPr>
                <w:lang w:val="en-US"/>
              </w:rPr>
            </w:pPr>
          </w:p>
          <w:p w14:paraId="2ACB7B2C" w14:textId="77777777" w:rsidR="009E2D22" w:rsidRDefault="009E2D22" w:rsidP="00D04A4A">
            <w:pPr>
              <w:pStyle w:val="TableHeading"/>
              <w:ind w:left="113" w:right="113"/>
            </w:pPr>
          </w:p>
        </w:tc>
        <w:tc>
          <w:tcPr>
            <w:tcW w:w="740" w:type="dxa"/>
            <w:vAlign w:val="center"/>
          </w:tcPr>
          <w:p w14:paraId="5B40FE21" w14:textId="2DF72235" w:rsidR="009E2D22" w:rsidRDefault="009E2D22" w:rsidP="00D04A4A">
            <w:pPr>
              <w:pStyle w:val="TableHeading"/>
            </w:pPr>
            <w:r>
              <w:t>B-TUEP</w:t>
            </w:r>
          </w:p>
        </w:tc>
        <w:tc>
          <w:tcPr>
            <w:tcW w:w="1584" w:type="dxa"/>
            <w:shd w:val="clear" w:color="auto" w:fill="auto"/>
            <w:vAlign w:val="center"/>
          </w:tcPr>
          <w:p w14:paraId="67622C33" w14:textId="77777777" w:rsidR="009E2D22" w:rsidRPr="00A77E2E" w:rsidRDefault="009E2D22" w:rsidP="00D04A4A">
            <w:pPr>
              <w:pStyle w:val="Tabletext0"/>
              <w:jc w:val="center"/>
            </w:pPr>
          </w:p>
        </w:tc>
        <w:tc>
          <w:tcPr>
            <w:tcW w:w="1417" w:type="dxa"/>
            <w:shd w:val="clear" w:color="auto" w:fill="auto"/>
            <w:vAlign w:val="center"/>
          </w:tcPr>
          <w:p w14:paraId="3C46962A" w14:textId="77777777" w:rsidR="009E2D22" w:rsidRPr="00A77E2E" w:rsidRDefault="009E2D22" w:rsidP="00D04A4A">
            <w:pPr>
              <w:pStyle w:val="Tabletext0"/>
              <w:jc w:val="center"/>
            </w:pPr>
          </w:p>
        </w:tc>
        <w:tc>
          <w:tcPr>
            <w:tcW w:w="1417" w:type="dxa"/>
            <w:shd w:val="clear" w:color="auto" w:fill="D0CECE" w:themeFill="background2" w:themeFillShade="E6"/>
            <w:vAlign w:val="center"/>
          </w:tcPr>
          <w:p w14:paraId="7AFBA9D6" w14:textId="7CE8289C" w:rsidR="009E2D22" w:rsidRDefault="009E2D22" w:rsidP="00D04A4A">
            <w:pPr>
              <w:pStyle w:val="Tabletext0"/>
              <w:jc w:val="center"/>
            </w:pPr>
            <w:r>
              <w:t>RR 0.40 (95%CI 0.05, 3.03)</w:t>
            </w:r>
          </w:p>
        </w:tc>
        <w:tc>
          <w:tcPr>
            <w:tcW w:w="1418" w:type="dxa"/>
            <w:shd w:val="clear" w:color="auto" w:fill="D0CECE" w:themeFill="background2" w:themeFillShade="E6"/>
            <w:vAlign w:val="center"/>
          </w:tcPr>
          <w:p w14:paraId="23AF7C1E" w14:textId="716AF54F" w:rsidR="009E2D22" w:rsidRDefault="009E2D22" w:rsidP="00D04A4A">
            <w:pPr>
              <w:pStyle w:val="Tabletext0"/>
              <w:jc w:val="center"/>
            </w:pPr>
            <w:r>
              <w:t>RR 0.88 (95%CI 0.45, 1.75)</w:t>
            </w:r>
          </w:p>
        </w:tc>
        <w:tc>
          <w:tcPr>
            <w:tcW w:w="1559" w:type="dxa"/>
            <w:shd w:val="clear" w:color="auto" w:fill="D0CECE" w:themeFill="background2" w:themeFillShade="E6"/>
            <w:vAlign w:val="center"/>
          </w:tcPr>
          <w:p w14:paraId="1E394AAA" w14:textId="2F51D5A8" w:rsidR="009E2D22" w:rsidRDefault="009E2D22" w:rsidP="00D04A4A">
            <w:pPr>
              <w:pStyle w:val="Tabletext0"/>
              <w:jc w:val="center"/>
            </w:pPr>
            <w:r>
              <w:t>RR 0.80 (95%CI 0.30, 2.15)</w:t>
            </w:r>
          </w:p>
        </w:tc>
        <w:tc>
          <w:tcPr>
            <w:tcW w:w="1559" w:type="dxa"/>
            <w:shd w:val="clear" w:color="auto" w:fill="D0CECE" w:themeFill="background2" w:themeFillShade="E6"/>
            <w:vAlign w:val="center"/>
          </w:tcPr>
          <w:p w14:paraId="16F22557" w14:textId="717E4E8B" w:rsidR="009E2D22" w:rsidRDefault="009E2D22" w:rsidP="00D04A4A">
            <w:pPr>
              <w:pStyle w:val="Tabletext0"/>
              <w:jc w:val="center"/>
            </w:pPr>
            <w:r>
              <w:t>RR 1.70 (95%CI 0.89, 3.27)</w:t>
            </w:r>
          </w:p>
        </w:tc>
        <w:tc>
          <w:tcPr>
            <w:tcW w:w="1418" w:type="dxa"/>
            <w:shd w:val="clear" w:color="auto" w:fill="D0CECE" w:themeFill="background2" w:themeFillShade="E6"/>
            <w:vAlign w:val="center"/>
          </w:tcPr>
          <w:p w14:paraId="628F3C51" w14:textId="1C8734A7" w:rsidR="009E2D22" w:rsidRDefault="009E2D22" w:rsidP="00D04A4A">
            <w:pPr>
              <w:pStyle w:val="Tabletext0"/>
              <w:jc w:val="center"/>
            </w:pPr>
            <w:r>
              <w:t>RR 0.72 (95%CI 0.23, 2.23)</w:t>
            </w:r>
          </w:p>
        </w:tc>
        <w:tc>
          <w:tcPr>
            <w:tcW w:w="1616" w:type="dxa"/>
            <w:shd w:val="clear" w:color="auto" w:fill="D9D9D9" w:themeFill="background1" w:themeFillShade="D9"/>
          </w:tcPr>
          <w:p w14:paraId="1F9ABEE1" w14:textId="7382D694" w:rsidR="009E2D22" w:rsidRDefault="00AB075A" w:rsidP="00D04A4A">
            <w:pPr>
              <w:pStyle w:val="Tabletext0"/>
              <w:jc w:val="center"/>
            </w:pPr>
            <w:r>
              <w:t>IIEF-5 MD -0.21 (95% CI -1.29, 0.87)</w:t>
            </w:r>
          </w:p>
        </w:tc>
      </w:tr>
      <w:tr w:rsidR="009E2D22" w:rsidRPr="002D6A8A" w14:paraId="50EA48F4" w14:textId="0E9987C5" w:rsidTr="00566C28">
        <w:trPr>
          <w:trHeight w:val="314"/>
        </w:trPr>
        <w:tc>
          <w:tcPr>
            <w:tcW w:w="312" w:type="dxa"/>
            <w:vMerge/>
            <w:textDirection w:val="btLr"/>
            <w:vAlign w:val="center"/>
          </w:tcPr>
          <w:p w14:paraId="4C0BDED0" w14:textId="77777777" w:rsidR="009E2D22" w:rsidRDefault="009E2D22" w:rsidP="00D04A4A">
            <w:pPr>
              <w:pStyle w:val="TableHeading"/>
              <w:ind w:left="113" w:right="113"/>
            </w:pPr>
          </w:p>
        </w:tc>
        <w:tc>
          <w:tcPr>
            <w:tcW w:w="740" w:type="dxa"/>
            <w:vAlign w:val="center"/>
          </w:tcPr>
          <w:p w14:paraId="7E6FB943" w14:textId="1D9D4F25" w:rsidR="009E2D22" w:rsidRDefault="009E2D22" w:rsidP="00D04A4A">
            <w:pPr>
              <w:pStyle w:val="TableHeading"/>
            </w:pPr>
            <w:proofErr w:type="spellStart"/>
            <w:r>
              <w:t>DioLEP</w:t>
            </w:r>
            <w:proofErr w:type="spellEnd"/>
          </w:p>
        </w:tc>
        <w:tc>
          <w:tcPr>
            <w:tcW w:w="1584" w:type="dxa"/>
            <w:shd w:val="clear" w:color="auto" w:fill="auto"/>
            <w:vAlign w:val="center"/>
          </w:tcPr>
          <w:p w14:paraId="1F23282B" w14:textId="77777777" w:rsidR="009E2D22" w:rsidRPr="00A77E2E" w:rsidRDefault="009E2D22" w:rsidP="00D04A4A">
            <w:pPr>
              <w:pStyle w:val="Tabletext0"/>
              <w:jc w:val="center"/>
            </w:pPr>
          </w:p>
        </w:tc>
        <w:tc>
          <w:tcPr>
            <w:tcW w:w="1417" w:type="dxa"/>
            <w:shd w:val="clear" w:color="auto" w:fill="auto"/>
            <w:vAlign w:val="center"/>
          </w:tcPr>
          <w:p w14:paraId="22C8B198" w14:textId="77777777" w:rsidR="009E2D22" w:rsidRPr="00A77E2E" w:rsidRDefault="009E2D22" w:rsidP="00D04A4A">
            <w:pPr>
              <w:pStyle w:val="Tabletext0"/>
              <w:jc w:val="center"/>
            </w:pPr>
          </w:p>
        </w:tc>
        <w:tc>
          <w:tcPr>
            <w:tcW w:w="1417" w:type="dxa"/>
            <w:shd w:val="clear" w:color="auto" w:fill="auto"/>
            <w:vAlign w:val="center"/>
          </w:tcPr>
          <w:p w14:paraId="0851E1FF" w14:textId="77777777" w:rsidR="009E2D22" w:rsidRDefault="009E2D22" w:rsidP="00D04A4A">
            <w:pPr>
              <w:pStyle w:val="Tabletext0"/>
              <w:jc w:val="center"/>
            </w:pPr>
          </w:p>
        </w:tc>
        <w:tc>
          <w:tcPr>
            <w:tcW w:w="1418" w:type="dxa"/>
            <w:shd w:val="clear" w:color="auto" w:fill="auto"/>
            <w:vAlign w:val="center"/>
          </w:tcPr>
          <w:p w14:paraId="4857BBF1" w14:textId="77777777" w:rsidR="009E2D22" w:rsidRDefault="009E2D22" w:rsidP="00D04A4A">
            <w:pPr>
              <w:pStyle w:val="Tabletext0"/>
              <w:jc w:val="center"/>
            </w:pPr>
          </w:p>
        </w:tc>
        <w:tc>
          <w:tcPr>
            <w:tcW w:w="1559" w:type="dxa"/>
            <w:shd w:val="clear" w:color="auto" w:fill="auto"/>
            <w:vAlign w:val="center"/>
          </w:tcPr>
          <w:p w14:paraId="68D1F141" w14:textId="77777777" w:rsidR="009E2D22" w:rsidRDefault="009E2D22" w:rsidP="00D04A4A">
            <w:pPr>
              <w:pStyle w:val="Tabletext0"/>
              <w:jc w:val="center"/>
            </w:pPr>
          </w:p>
        </w:tc>
        <w:tc>
          <w:tcPr>
            <w:tcW w:w="1559" w:type="dxa"/>
            <w:shd w:val="clear" w:color="auto" w:fill="D0CECE" w:themeFill="background2" w:themeFillShade="E6"/>
            <w:vAlign w:val="center"/>
          </w:tcPr>
          <w:p w14:paraId="5921293F" w14:textId="36F1FAFC" w:rsidR="009E2D22" w:rsidRDefault="009E2D22" w:rsidP="00D04A4A">
            <w:pPr>
              <w:pStyle w:val="Tabletext0"/>
              <w:jc w:val="center"/>
            </w:pPr>
            <w:r>
              <w:t>RR 1.22 (95%CI 0.37, 4.04)</w:t>
            </w:r>
          </w:p>
        </w:tc>
        <w:tc>
          <w:tcPr>
            <w:tcW w:w="1418" w:type="dxa"/>
            <w:shd w:val="clear" w:color="auto" w:fill="auto"/>
            <w:vAlign w:val="center"/>
          </w:tcPr>
          <w:p w14:paraId="68383F89" w14:textId="77777777" w:rsidR="009E2D22" w:rsidRDefault="009E2D22" w:rsidP="00D04A4A">
            <w:pPr>
              <w:pStyle w:val="Tabletext0"/>
              <w:jc w:val="center"/>
            </w:pPr>
          </w:p>
        </w:tc>
        <w:tc>
          <w:tcPr>
            <w:tcW w:w="1616" w:type="dxa"/>
            <w:shd w:val="clear" w:color="auto" w:fill="auto"/>
          </w:tcPr>
          <w:p w14:paraId="32FA55BA" w14:textId="77777777" w:rsidR="009E2D22" w:rsidRDefault="009E2D22" w:rsidP="00D04A4A">
            <w:pPr>
              <w:pStyle w:val="Tabletext0"/>
              <w:jc w:val="center"/>
            </w:pPr>
          </w:p>
        </w:tc>
      </w:tr>
      <w:tr w:rsidR="009E2D22" w:rsidRPr="002D6A8A" w14:paraId="1172D54D" w14:textId="48B78D26" w:rsidTr="00566C28">
        <w:trPr>
          <w:trHeight w:val="314"/>
        </w:trPr>
        <w:tc>
          <w:tcPr>
            <w:tcW w:w="312" w:type="dxa"/>
            <w:vMerge/>
            <w:textDirection w:val="btLr"/>
            <w:vAlign w:val="center"/>
          </w:tcPr>
          <w:p w14:paraId="3F9899FC" w14:textId="77777777" w:rsidR="009E2D22" w:rsidRPr="008C2B4C" w:rsidRDefault="009E2D22" w:rsidP="00D04A4A">
            <w:pPr>
              <w:pStyle w:val="TableHeading"/>
              <w:ind w:left="113" w:right="113"/>
              <w:rPr>
                <w:lang w:val="en-US"/>
              </w:rPr>
            </w:pPr>
          </w:p>
        </w:tc>
        <w:tc>
          <w:tcPr>
            <w:tcW w:w="740" w:type="dxa"/>
            <w:vAlign w:val="center"/>
          </w:tcPr>
          <w:p w14:paraId="5C58201A" w14:textId="77777777" w:rsidR="009E2D22" w:rsidRDefault="009E2D22" w:rsidP="00D04A4A">
            <w:pPr>
              <w:pStyle w:val="TableHeading"/>
            </w:pPr>
            <w:proofErr w:type="spellStart"/>
            <w:r>
              <w:t>HoLEP</w:t>
            </w:r>
            <w:proofErr w:type="spellEnd"/>
          </w:p>
        </w:tc>
        <w:tc>
          <w:tcPr>
            <w:tcW w:w="1584" w:type="dxa"/>
            <w:shd w:val="clear" w:color="auto" w:fill="auto"/>
            <w:vAlign w:val="center"/>
          </w:tcPr>
          <w:p w14:paraId="3BD47131" w14:textId="77777777" w:rsidR="009E2D22" w:rsidRPr="00A77E2E" w:rsidRDefault="009E2D22" w:rsidP="00D04A4A">
            <w:pPr>
              <w:pStyle w:val="Tabletext0"/>
              <w:jc w:val="center"/>
            </w:pPr>
          </w:p>
        </w:tc>
        <w:tc>
          <w:tcPr>
            <w:tcW w:w="1417" w:type="dxa"/>
            <w:shd w:val="clear" w:color="auto" w:fill="auto"/>
            <w:vAlign w:val="center"/>
          </w:tcPr>
          <w:p w14:paraId="60074648" w14:textId="77777777" w:rsidR="009E2D22" w:rsidRPr="00A77E2E" w:rsidRDefault="009E2D22" w:rsidP="00D04A4A">
            <w:pPr>
              <w:pStyle w:val="Tabletext0"/>
              <w:jc w:val="center"/>
            </w:pPr>
          </w:p>
        </w:tc>
        <w:tc>
          <w:tcPr>
            <w:tcW w:w="1417" w:type="dxa"/>
            <w:shd w:val="clear" w:color="auto" w:fill="CCFFCC"/>
            <w:vAlign w:val="center"/>
          </w:tcPr>
          <w:p w14:paraId="12201E10" w14:textId="77777777" w:rsidR="009E2D22" w:rsidRPr="00A77E2E" w:rsidRDefault="009E2D22" w:rsidP="00D04A4A">
            <w:pPr>
              <w:pStyle w:val="Tabletext0"/>
              <w:jc w:val="center"/>
            </w:pPr>
            <w:r>
              <w:t>RR 0.22 (95%CI 0.09, 0.50)</w:t>
            </w:r>
          </w:p>
        </w:tc>
        <w:tc>
          <w:tcPr>
            <w:tcW w:w="1418" w:type="dxa"/>
            <w:shd w:val="clear" w:color="auto" w:fill="CCFFCC"/>
            <w:vAlign w:val="center"/>
          </w:tcPr>
          <w:p w14:paraId="752E007C" w14:textId="77777777" w:rsidR="009E2D22" w:rsidRPr="00A77E2E" w:rsidRDefault="009E2D22" w:rsidP="00D04A4A">
            <w:pPr>
              <w:pStyle w:val="Tabletext0"/>
              <w:jc w:val="center"/>
            </w:pPr>
            <w:r>
              <w:t>RR 0.20 (95%CI 0.07, 0.52)</w:t>
            </w:r>
          </w:p>
        </w:tc>
        <w:tc>
          <w:tcPr>
            <w:tcW w:w="1559" w:type="dxa"/>
            <w:shd w:val="clear" w:color="auto" w:fill="D0CECE" w:themeFill="background2" w:themeFillShade="E6"/>
            <w:vAlign w:val="center"/>
          </w:tcPr>
          <w:p w14:paraId="00D5897D" w14:textId="77777777" w:rsidR="009E2D22" w:rsidRPr="00A77E2E" w:rsidRDefault="009E2D22" w:rsidP="00D04A4A">
            <w:pPr>
              <w:pStyle w:val="Tabletext0"/>
              <w:jc w:val="center"/>
            </w:pPr>
            <w:r>
              <w:t>RR 0.50 (95%CI 0.23, 1.05)</w:t>
            </w:r>
          </w:p>
        </w:tc>
        <w:tc>
          <w:tcPr>
            <w:tcW w:w="1559" w:type="dxa"/>
            <w:shd w:val="clear" w:color="auto" w:fill="F8D7B2"/>
            <w:vAlign w:val="center"/>
          </w:tcPr>
          <w:p w14:paraId="1B083E61" w14:textId="77777777" w:rsidR="009E2D22" w:rsidRPr="00A77E2E" w:rsidRDefault="009E2D22" w:rsidP="00D04A4A">
            <w:pPr>
              <w:pStyle w:val="Tabletext0"/>
              <w:jc w:val="center"/>
            </w:pPr>
            <w:r>
              <w:t>RR 1.60 (95%CI 1.09, 2.34)</w:t>
            </w:r>
          </w:p>
        </w:tc>
        <w:tc>
          <w:tcPr>
            <w:tcW w:w="1418" w:type="dxa"/>
            <w:shd w:val="clear" w:color="auto" w:fill="D0CECE" w:themeFill="background2" w:themeFillShade="E6"/>
            <w:vAlign w:val="center"/>
          </w:tcPr>
          <w:p w14:paraId="264DCB09" w14:textId="77777777" w:rsidR="009E2D22" w:rsidRPr="00A77E2E" w:rsidRDefault="009E2D22" w:rsidP="00D04A4A">
            <w:pPr>
              <w:pStyle w:val="Tabletext0"/>
              <w:jc w:val="center"/>
            </w:pPr>
            <w:r>
              <w:t>RR 0.69 (95%CI 0.30, 1.57)</w:t>
            </w:r>
          </w:p>
        </w:tc>
        <w:tc>
          <w:tcPr>
            <w:tcW w:w="1616" w:type="dxa"/>
            <w:shd w:val="clear" w:color="auto" w:fill="D9D9D9" w:themeFill="background1" w:themeFillShade="D9"/>
          </w:tcPr>
          <w:p w14:paraId="44AEB6B5" w14:textId="20C26146" w:rsidR="009E2D22" w:rsidRDefault="00AB075A" w:rsidP="00D04A4A">
            <w:pPr>
              <w:pStyle w:val="Tabletext0"/>
              <w:jc w:val="center"/>
            </w:pPr>
            <w:r>
              <w:t xml:space="preserve">IIEF-5 </w:t>
            </w:r>
            <w:r w:rsidR="009E2D22">
              <w:t>MD -0.05 (95% CI -0.51, 0.41)</w:t>
            </w:r>
          </w:p>
        </w:tc>
      </w:tr>
      <w:tr w:rsidR="009E2D22" w14:paraId="4F802F26" w14:textId="7DA417AA" w:rsidTr="00566C28">
        <w:trPr>
          <w:trHeight w:val="312"/>
        </w:trPr>
        <w:tc>
          <w:tcPr>
            <w:tcW w:w="312" w:type="dxa"/>
            <w:vMerge/>
            <w:vAlign w:val="center"/>
          </w:tcPr>
          <w:p w14:paraId="7D6DAF91" w14:textId="77777777" w:rsidR="009E2D22" w:rsidRDefault="009E2D22" w:rsidP="00D04A4A">
            <w:pPr>
              <w:pStyle w:val="TableHeading"/>
            </w:pPr>
          </w:p>
        </w:tc>
        <w:tc>
          <w:tcPr>
            <w:tcW w:w="740" w:type="dxa"/>
            <w:vAlign w:val="center"/>
          </w:tcPr>
          <w:p w14:paraId="73F545E5" w14:textId="77777777" w:rsidR="009E2D22" w:rsidRDefault="009E2D22" w:rsidP="00D04A4A">
            <w:pPr>
              <w:pStyle w:val="TableHeading"/>
            </w:pPr>
            <w:proofErr w:type="spellStart"/>
            <w:r>
              <w:t>ThuLEP</w:t>
            </w:r>
            <w:proofErr w:type="spellEnd"/>
          </w:p>
        </w:tc>
        <w:tc>
          <w:tcPr>
            <w:tcW w:w="1584" w:type="dxa"/>
            <w:shd w:val="clear" w:color="auto" w:fill="auto"/>
            <w:vAlign w:val="center"/>
          </w:tcPr>
          <w:p w14:paraId="2387604C" w14:textId="77777777" w:rsidR="009E2D22" w:rsidRPr="00A77E2E" w:rsidRDefault="009E2D22" w:rsidP="00D04A4A">
            <w:pPr>
              <w:pStyle w:val="Tabletext0"/>
              <w:jc w:val="center"/>
            </w:pPr>
          </w:p>
        </w:tc>
        <w:tc>
          <w:tcPr>
            <w:tcW w:w="1417" w:type="dxa"/>
            <w:shd w:val="clear" w:color="auto" w:fill="D0CECE" w:themeFill="background2" w:themeFillShade="E6"/>
            <w:vAlign w:val="center"/>
          </w:tcPr>
          <w:p w14:paraId="1B861210" w14:textId="77777777" w:rsidR="009E2D22" w:rsidRPr="00A77E2E" w:rsidRDefault="009E2D22" w:rsidP="00D04A4A">
            <w:pPr>
              <w:pStyle w:val="Tabletext0"/>
              <w:jc w:val="center"/>
            </w:pPr>
            <w:r>
              <w:t>RR 1.13 (95%CI 0.91, 1.41)</w:t>
            </w:r>
          </w:p>
        </w:tc>
        <w:tc>
          <w:tcPr>
            <w:tcW w:w="1417" w:type="dxa"/>
            <w:shd w:val="clear" w:color="auto" w:fill="CCFFCC"/>
            <w:vAlign w:val="center"/>
          </w:tcPr>
          <w:p w14:paraId="016FAA1C" w14:textId="77777777" w:rsidR="009E2D22" w:rsidRPr="00A77E2E" w:rsidRDefault="009E2D22" w:rsidP="00D04A4A">
            <w:pPr>
              <w:pStyle w:val="Tabletext0"/>
              <w:jc w:val="center"/>
            </w:pPr>
            <w:r>
              <w:t>RR 0.25 (95%CI 0.06, 0.99)</w:t>
            </w:r>
          </w:p>
        </w:tc>
        <w:tc>
          <w:tcPr>
            <w:tcW w:w="1418" w:type="dxa"/>
            <w:shd w:val="clear" w:color="auto" w:fill="D0CECE" w:themeFill="background2" w:themeFillShade="E6"/>
            <w:vAlign w:val="center"/>
          </w:tcPr>
          <w:p w14:paraId="33DDB3C9" w14:textId="77777777" w:rsidR="009E2D22" w:rsidRPr="00A77E2E" w:rsidRDefault="009E2D22" w:rsidP="00D04A4A">
            <w:pPr>
              <w:pStyle w:val="Tabletext0"/>
              <w:jc w:val="center"/>
            </w:pPr>
            <w:r>
              <w:t>RR 0.75 (95%CI 0.26, 2.14)</w:t>
            </w:r>
          </w:p>
        </w:tc>
        <w:tc>
          <w:tcPr>
            <w:tcW w:w="1559" w:type="dxa"/>
            <w:shd w:val="clear" w:color="auto" w:fill="D0CECE" w:themeFill="background2" w:themeFillShade="E6"/>
            <w:vAlign w:val="center"/>
          </w:tcPr>
          <w:p w14:paraId="5B470807" w14:textId="77777777" w:rsidR="009E2D22" w:rsidRPr="00A77E2E" w:rsidRDefault="009E2D22" w:rsidP="00D04A4A">
            <w:pPr>
              <w:pStyle w:val="Tabletext0"/>
              <w:jc w:val="center"/>
            </w:pPr>
            <w:r>
              <w:t>RR 0.76 (95%CI 0.21, 2.84)</w:t>
            </w:r>
          </w:p>
        </w:tc>
        <w:tc>
          <w:tcPr>
            <w:tcW w:w="1559" w:type="dxa"/>
            <w:shd w:val="clear" w:color="auto" w:fill="D0CECE" w:themeFill="background2" w:themeFillShade="E6"/>
            <w:vAlign w:val="center"/>
          </w:tcPr>
          <w:p w14:paraId="4F0BCA00" w14:textId="77777777" w:rsidR="009E2D22" w:rsidRPr="00A77E2E" w:rsidRDefault="009E2D22" w:rsidP="00D04A4A">
            <w:pPr>
              <w:pStyle w:val="Tabletext0"/>
              <w:jc w:val="center"/>
            </w:pPr>
            <w:r>
              <w:t>RR 0.82 (95%CI 0.42, 1.59)</w:t>
            </w:r>
          </w:p>
        </w:tc>
        <w:tc>
          <w:tcPr>
            <w:tcW w:w="1418" w:type="dxa"/>
            <w:vAlign w:val="center"/>
          </w:tcPr>
          <w:p w14:paraId="12512EE1" w14:textId="77777777" w:rsidR="009E2D22" w:rsidRPr="00A77E2E" w:rsidRDefault="009E2D22" w:rsidP="00D04A4A">
            <w:pPr>
              <w:pStyle w:val="Tabletext0"/>
              <w:jc w:val="center"/>
            </w:pPr>
          </w:p>
        </w:tc>
        <w:tc>
          <w:tcPr>
            <w:tcW w:w="1616" w:type="dxa"/>
            <w:shd w:val="clear" w:color="auto" w:fill="auto"/>
          </w:tcPr>
          <w:p w14:paraId="1B2CD3C4" w14:textId="77777777" w:rsidR="009E2D22" w:rsidRPr="00A77E2E" w:rsidRDefault="009E2D22" w:rsidP="00D04A4A">
            <w:pPr>
              <w:pStyle w:val="Tabletext0"/>
              <w:jc w:val="center"/>
            </w:pPr>
          </w:p>
        </w:tc>
      </w:tr>
      <w:tr w:rsidR="009E2D22" w14:paraId="2617ECB0" w14:textId="21C4B52F" w:rsidTr="00566C28">
        <w:trPr>
          <w:trHeight w:val="505"/>
        </w:trPr>
        <w:tc>
          <w:tcPr>
            <w:tcW w:w="312" w:type="dxa"/>
            <w:vMerge/>
            <w:vAlign w:val="center"/>
          </w:tcPr>
          <w:p w14:paraId="495FD87B" w14:textId="77777777" w:rsidR="009E2D22" w:rsidRDefault="009E2D22" w:rsidP="00D04A4A">
            <w:pPr>
              <w:pStyle w:val="TableHeading"/>
            </w:pPr>
          </w:p>
        </w:tc>
        <w:tc>
          <w:tcPr>
            <w:tcW w:w="740" w:type="dxa"/>
            <w:tcBorders>
              <w:top w:val="single" w:sz="4" w:space="0" w:color="auto"/>
            </w:tcBorders>
            <w:vAlign w:val="center"/>
          </w:tcPr>
          <w:p w14:paraId="7D00B880" w14:textId="77777777" w:rsidR="009E2D22" w:rsidRDefault="009E2D22" w:rsidP="00D04A4A">
            <w:pPr>
              <w:pStyle w:val="TableHeading"/>
            </w:pPr>
            <w:r>
              <w:t>Overall</w:t>
            </w:r>
          </w:p>
        </w:tc>
        <w:tc>
          <w:tcPr>
            <w:tcW w:w="1584" w:type="dxa"/>
            <w:tcBorders>
              <w:top w:val="single" w:sz="4" w:space="0" w:color="auto"/>
            </w:tcBorders>
            <w:shd w:val="clear" w:color="auto" w:fill="auto"/>
            <w:vAlign w:val="center"/>
          </w:tcPr>
          <w:p w14:paraId="1FB31431" w14:textId="77777777" w:rsidR="009E2D22" w:rsidRPr="00A77E2E" w:rsidRDefault="009E2D22" w:rsidP="00D04A4A">
            <w:pPr>
              <w:pStyle w:val="Tabletext0"/>
              <w:jc w:val="center"/>
            </w:pPr>
          </w:p>
        </w:tc>
        <w:tc>
          <w:tcPr>
            <w:tcW w:w="1417" w:type="dxa"/>
            <w:tcBorders>
              <w:top w:val="single" w:sz="4" w:space="0" w:color="auto"/>
            </w:tcBorders>
            <w:shd w:val="clear" w:color="auto" w:fill="auto"/>
            <w:vAlign w:val="center"/>
          </w:tcPr>
          <w:p w14:paraId="341A61DC" w14:textId="77777777" w:rsidR="009E2D22" w:rsidRPr="00A77E2E" w:rsidRDefault="009E2D22" w:rsidP="00D04A4A">
            <w:pPr>
              <w:pStyle w:val="Tabletext0"/>
              <w:jc w:val="center"/>
            </w:pPr>
          </w:p>
        </w:tc>
        <w:tc>
          <w:tcPr>
            <w:tcW w:w="1417" w:type="dxa"/>
            <w:tcBorders>
              <w:top w:val="single" w:sz="4" w:space="0" w:color="auto"/>
            </w:tcBorders>
            <w:shd w:val="clear" w:color="auto" w:fill="CCFFCC"/>
            <w:vAlign w:val="center"/>
          </w:tcPr>
          <w:p w14:paraId="73290864" w14:textId="77777777" w:rsidR="009E2D22" w:rsidRPr="008C2B4C" w:rsidRDefault="009E2D22" w:rsidP="00D04A4A">
            <w:pPr>
              <w:pStyle w:val="Tabletext0"/>
              <w:jc w:val="center"/>
            </w:pPr>
            <w:r>
              <w:t>RR 0.24 (95%CI 0.12, 0.47)</w:t>
            </w:r>
          </w:p>
        </w:tc>
        <w:tc>
          <w:tcPr>
            <w:tcW w:w="1418" w:type="dxa"/>
            <w:tcBorders>
              <w:top w:val="single" w:sz="4" w:space="0" w:color="auto"/>
            </w:tcBorders>
            <w:shd w:val="clear" w:color="auto" w:fill="CCFFCC"/>
            <w:vAlign w:val="center"/>
          </w:tcPr>
          <w:p w14:paraId="0833CB82" w14:textId="77777777" w:rsidR="009E2D22" w:rsidRPr="00A77E2E" w:rsidRDefault="009E2D22" w:rsidP="00D04A4A">
            <w:pPr>
              <w:pStyle w:val="Tabletext0"/>
              <w:jc w:val="center"/>
            </w:pPr>
            <w:r>
              <w:t>RR 0.58 (95%CI 0.35, 0.95)</w:t>
            </w:r>
          </w:p>
        </w:tc>
        <w:tc>
          <w:tcPr>
            <w:tcW w:w="1559" w:type="dxa"/>
            <w:tcBorders>
              <w:top w:val="single" w:sz="4" w:space="0" w:color="auto"/>
            </w:tcBorders>
            <w:shd w:val="clear" w:color="auto" w:fill="D0CECE" w:themeFill="background2" w:themeFillShade="E6"/>
            <w:vAlign w:val="center"/>
          </w:tcPr>
          <w:p w14:paraId="4612F259" w14:textId="77777777" w:rsidR="009E2D22" w:rsidRPr="00A77E2E" w:rsidRDefault="009E2D22" w:rsidP="00D04A4A">
            <w:pPr>
              <w:pStyle w:val="Tabletext0"/>
              <w:jc w:val="center"/>
            </w:pPr>
            <w:r>
              <w:t>RR 0.62 (95%CI 0.36, 1.06)</w:t>
            </w:r>
          </w:p>
        </w:tc>
        <w:tc>
          <w:tcPr>
            <w:tcW w:w="1559" w:type="dxa"/>
            <w:tcBorders>
              <w:top w:val="single" w:sz="4" w:space="0" w:color="auto"/>
            </w:tcBorders>
            <w:shd w:val="clear" w:color="auto" w:fill="F8D7B2"/>
            <w:vAlign w:val="center"/>
          </w:tcPr>
          <w:p w14:paraId="5FE81C0B" w14:textId="77777777" w:rsidR="009E2D22" w:rsidRPr="00A77E2E" w:rsidRDefault="009E2D22" w:rsidP="00D04A4A">
            <w:pPr>
              <w:pStyle w:val="Tabletext0"/>
              <w:jc w:val="center"/>
            </w:pPr>
            <w:r>
              <w:t>RR 1.45 (95%CI 1.10, 1.91)</w:t>
            </w:r>
          </w:p>
        </w:tc>
        <w:tc>
          <w:tcPr>
            <w:tcW w:w="1418" w:type="dxa"/>
            <w:tcBorders>
              <w:top w:val="single" w:sz="4" w:space="0" w:color="auto"/>
            </w:tcBorders>
            <w:shd w:val="clear" w:color="auto" w:fill="D0CECE" w:themeFill="background2" w:themeFillShade="E6"/>
            <w:vAlign w:val="center"/>
          </w:tcPr>
          <w:p w14:paraId="6688B86C" w14:textId="77777777" w:rsidR="009E2D22" w:rsidRPr="00A77E2E" w:rsidRDefault="009E2D22" w:rsidP="00D04A4A">
            <w:pPr>
              <w:pStyle w:val="Tabletext0"/>
              <w:jc w:val="center"/>
            </w:pPr>
            <w:r>
              <w:t>RR 0.70 (95%CI 0.36, 1.36)</w:t>
            </w:r>
          </w:p>
        </w:tc>
        <w:tc>
          <w:tcPr>
            <w:tcW w:w="1616" w:type="dxa"/>
            <w:tcBorders>
              <w:top w:val="single" w:sz="4" w:space="0" w:color="auto"/>
            </w:tcBorders>
            <w:shd w:val="clear" w:color="auto" w:fill="auto"/>
          </w:tcPr>
          <w:p w14:paraId="1267A1A5" w14:textId="77777777" w:rsidR="009E2D22" w:rsidRDefault="009E2D22" w:rsidP="00D04A4A">
            <w:pPr>
              <w:pStyle w:val="Tabletext0"/>
              <w:jc w:val="center"/>
            </w:pPr>
          </w:p>
        </w:tc>
      </w:tr>
      <w:tr w:rsidR="009E2D22" w14:paraId="51619A1E" w14:textId="2CB0FB0D" w:rsidTr="00566C28">
        <w:trPr>
          <w:trHeight w:val="312"/>
        </w:trPr>
        <w:tc>
          <w:tcPr>
            <w:tcW w:w="1052" w:type="dxa"/>
            <w:gridSpan w:val="2"/>
            <w:tcBorders>
              <w:left w:val="single" w:sz="4" w:space="0" w:color="auto"/>
            </w:tcBorders>
            <w:vAlign w:val="center"/>
          </w:tcPr>
          <w:p w14:paraId="51639181" w14:textId="77777777" w:rsidR="009E2D22" w:rsidRDefault="009E2D22" w:rsidP="00D04A4A">
            <w:pPr>
              <w:pStyle w:val="TableHeading"/>
            </w:pPr>
            <w:r>
              <w:t>PUL</w:t>
            </w:r>
          </w:p>
        </w:tc>
        <w:tc>
          <w:tcPr>
            <w:tcW w:w="1584" w:type="dxa"/>
            <w:tcBorders>
              <w:right w:val="single" w:sz="4" w:space="0" w:color="auto"/>
            </w:tcBorders>
            <w:shd w:val="clear" w:color="auto" w:fill="D0CECE" w:themeFill="background2" w:themeFillShade="E6"/>
            <w:vAlign w:val="center"/>
          </w:tcPr>
          <w:p w14:paraId="73D1F2B4" w14:textId="77777777" w:rsidR="009E2D22" w:rsidRPr="00774883" w:rsidRDefault="009E2D22" w:rsidP="00D04A4A">
            <w:pPr>
              <w:pStyle w:val="Tabletext0"/>
              <w:jc w:val="center"/>
            </w:pPr>
            <w:r w:rsidRPr="00774883">
              <w:t>RR 0.30 (95%CI 0.04, 2.22)</w:t>
            </w:r>
          </w:p>
        </w:tc>
        <w:tc>
          <w:tcPr>
            <w:tcW w:w="1417" w:type="dxa"/>
            <w:tcBorders>
              <w:left w:val="single" w:sz="4" w:space="0" w:color="auto"/>
            </w:tcBorders>
            <w:shd w:val="clear" w:color="auto" w:fill="CCFFCC"/>
            <w:vAlign w:val="center"/>
          </w:tcPr>
          <w:p w14:paraId="5858D25C" w14:textId="77777777" w:rsidR="009E2D22" w:rsidRPr="00774883" w:rsidRDefault="009E2D22" w:rsidP="00D04A4A">
            <w:pPr>
              <w:pStyle w:val="Tabletext0"/>
              <w:jc w:val="center"/>
            </w:pPr>
            <w:r w:rsidRPr="00774883">
              <w:t>PUL: 0</w:t>
            </w:r>
          </w:p>
          <w:p w14:paraId="628AEDB5" w14:textId="77777777" w:rsidR="009E2D22" w:rsidRPr="00774883" w:rsidRDefault="009E2D22" w:rsidP="00D04A4A">
            <w:pPr>
              <w:pStyle w:val="Tabletext0"/>
              <w:jc w:val="center"/>
            </w:pPr>
            <w:r w:rsidRPr="00774883">
              <w:t>TURP: 20</w:t>
            </w:r>
          </w:p>
          <w:p w14:paraId="06CE343D" w14:textId="77777777" w:rsidR="009E2D22" w:rsidRPr="00774883" w:rsidRDefault="009E2D22" w:rsidP="00D04A4A">
            <w:pPr>
              <w:pStyle w:val="Tabletext0"/>
              <w:jc w:val="center"/>
            </w:pPr>
            <w:r w:rsidRPr="00774883">
              <w:t>P-value: 0.002</w:t>
            </w:r>
          </w:p>
        </w:tc>
        <w:tc>
          <w:tcPr>
            <w:tcW w:w="1417" w:type="dxa"/>
            <w:shd w:val="clear" w:color="auto" w:fill="auto"/>
            <w:vAlign w:val="center"/>
          </w:tcPr>
          <w:p w14:paraId="2FB6C8D3" w14:textId="77777777" w:rsidR="009E2D22" w:rsidRPr="00774883" w:rsidRDefault="009E2D22" w:rsidP="00D04A4A">
            <w:pPr>
              <w:pStyle w:val="Tabletext0"/>
              <w:jc w:val="center"/>
            </w:pPr>
          </w:p>
        </w:tc>
        <w:tc>
          <w:tcPr>
            <w:tcW w:w="1418" w:type="dxa"/>
            <w:shd w:val="clear" w:color="auto" w:fill="D0CECE" w:themeFill="background2" w:themeFillShade="E6"/>
            <w:vAlign w:val="center"/>
          </w:tcPr>
          <w:p w14:paraId="12431721" w14:textId="77777777" w:rsidR="009E2D22" w:rsidRPr="00774883" w:rsidRDefault="009E2D22" w:rsidP="00D04A4A">
            <w:pPr>
              <w:pStyle w:val="Tabletext0"/>
              <w:jc w:val="center"/>
            </w:pPr>
            <w:r w:rsidRPr="00774883">
              <w:t>PUL: 7</w:t>
            </w:r>
          </w:p>
          <w:p w14:paraId="32DB039D" w14:textId="77777777" w:rsidR="009E2D22" w:rsidRPr="00774883" w:rsidRDefault="009E2D22" w:rsidP="00D04A4A">
            <w:pPr>
              <w:pStyle w:val="Tabletext0"/>
              <w:jc w:val="center"/>
            </w:pPr>
            <w:r w:rsidRPr="00774883">
              <w:t>TURP: 6</w:t>
            </w:r>
          </w:p>
          <w:p w14:paraId="17266179" w14:textId="77777777" w:rsidR="009E2D22" w:rsidRPr="00774883" w:rsidRDefault="009E2D22" w:rsidP="00D04A4A">
            <w:pPr>
              <w:pStyle w:val="Tabletext0"/>
              <w:jc w:val="center"/>
            </w:pPr>
            <w:r w:rsidRPr="00774883">
              <w:t>P-value: 0.9</w:t>
            </w:r>
          </w:p>
        </w:tc>
        <w:tc>
          <w:tcPr>
            <w:tcW w:w="1559" w:type="dxa"/>
            <w:shd w:val="clear" w:color="auto" w:fill="D0CECE" w:themeFill="background2" w:themeFillShade="E6"/>
            <w:vAlign w:val="center"/>
          </w:tcPr>
          <w:p w14:paraId="367624B7" w14:textId="77777777" w:rsidR="009E2D22" w:rsidRPr="00774883" w:rsidRDefault="009E2D22" w:rsidP="00D04A4A">
            <w:pPr>
              <w:pStyle w:val="Tabletext0"/>
              <w:jc w:val="center"/>
            </w:pPr>
            <w:r w:rsidRPr="00774883">
              <w:t>PUL: 0</w:t>
            </w:r>
          </w:p>
          <w:p w14:paraId="6D6B5E70" w14:textId="77777777" w:rsidR="009E2D22" w:rsidRPr="00774883" w:rsidRDefault="009E2D22" w:rsidP="00D04A4A">
            <w:pPr>
              <w:pStyle w:val="Tabletext0"/>
              <w:jc w:val="center"/>
            </w:pPr>
            <w:r w:rsidRPr="00774883">
              <w:t>TURP: 3</w:t>
            </w:r>
          </w:p>
          <w:p w14:paraId="4B12E659" w14:textId="77777777" w:rsidR="009E2D22" w:rsidRPr="00774883" w:rsidRDefault="009E2D22" w:rsidP="00D04A4A">
            <w:pPr>
              <w:pStyle w:val="Tabletext0"/>
              <w:jc w:val="center"/>
            </w:pPr>
            <w:r w:rsidRPr="00774883">
              <w:t>P-value: 0.4</w:t>
            </w:r>
          </w:p>
        </w:tc>
        <w:tc>
          <w:tcPr>
            <w:tcW w:w="1559" w:type="dxa"/>
            <w:shd w:val="clear" w:color="auto" w:fill="CCFFCC"/>
            <w:vAlign w:val="center"/>
          </w:tcPr>
          <w:p w14:paraId="2F1BC152" w14:textId="77777777" w:rsidR="009E2D22" w:rsidRPr="00774883" w:rsidRDefault="009E2D22" w:rsidP="00D04A4A">
            <w:pPr>
              <w:pStyle w:val="Tabletext0"/>
              <w:jc w:val="center"/>
            </w:pPr>
            <w:r w:rsidRPr="00774883">
              <w:t>PUL: 2</w:t>
            </w:r>
          </w:p>
          <w:p w14:paraId="56D42A39" w14:textId="77777777" w:rsidR="009E2D22" w:rsidRPr="00774883" w:rsidRDefault="009E2D22" w:rsidP="00D04A4A">
            <w:pPr>
              <w:pStyle w:val="Tabletext0"/>
              <w:jc w:val="center"/>
            </w:pPr>
            <w:r w:rsidRPr="00774883">
              <w:t>TURP: 17</w:t>
            </w:r>
          </w:p>
          <w:p w14:paraId="2464B8D5" w14:textId="77777777" w:rsidR="009E2D22" w:rsidRDefault="009E2D22" w:rsidP="00D04A4A">
            <w:pPr>
              <w:pStyle w:val="Tabletext0"/>
              <w:jc w:val="center"/>
            </w:pPr>
            <w:r w:rsidRPr="00774883">
              <w:t>P-value: 0.04</w:t>
            </w:r>
          </w:p>
        </w:tc>
        <w:tc>
          <w:tcPr>
            <w:tcW w:w="1418" w:type="dxa"/>
            <w:tcBorders>
              <w:right w:val="single" w:sz="4" w:space="0" w:color="auto"/>
            </w:tcBorders>
            <w:vAlign w:val="center"/>
          </w:tcPr>
          <w:p w14:paraId="47137AFA" w14:textId="77777777" w:rsidR="009E2D22" w:rsidRDefault="009E2D22" w:rsidP="00D04A4A">
            <w:pPr>
              <w:pStyle w:val="TableText"/>
              <w:jc w:val="center"/>
              <w:rPr>
                <w:rFonts w:ascii="Times New Roman"/>
              </w:rPr>
            </w:pPr>
          </w:p>
        </w:tc>
        <w:tc>
          <w:tcPr>
            <w:tcW w:w="1616" w:type="dxa"/>
            <w:tcBorders>
              <w:right w:val="single" w:sz="4" w:space="0" w:color="auto"/>
            </w:tcBorders>
            <w:shd w:val="clear" w:color="auto" w:fill="D9D9D9" w:themeFill="background1" w:themeFillShade="D9"/>
          </w:tcPr>
          <w:p w14:paraId="218A70E4" w14:textId="77777777" w:rsidR="009E2D22" w:rsidRDefault="00AB075A" w:rsidP="00566C28">
            <w:pPr>
              <w:pStyle w:val="Tabletext0"/>
              <w:shd w:val="clear" w:color="auto" w:fill="BFBFBF" w:themeFill="background1" w:themeFillShade="BF"/>
              <w:jc w:val="center"/>
            </w:pPr>
            <w:r>
              <w:t>PUL: 0%</w:t>
            </w:r>
          </w:p>
          <w:p w14:paraId="4DE7C332" w14:textId="77777777" w:rsidR="00AB075A" w:rsidRDefault="00AB075A" w:rsidP="00566C28">
            <w:pPr>
              <w:pStyle w:val="Tabletext0"/>
              <w:shd w:val="clear" w:color="auto" w:fill="BFBFBF" w:themeFill="background1" w:themeFillShade="BF"/>
              <w:jc w:val="center"/>
            </w:pPr>
            <w:r>
              <w:t>TURP: 9%</w:t>
            </w:r>
          </w:p>
          <w:p w14:paraId="1C9BFFD6" w14:textId="334AE8DD" w:rsidR="00AB075A" w:rsidRPr="00566C28" w:rsidRDefault="002F56F5" w:rsidP="00566C28">
            <w:pPr>
              <w:pStyle w:val="Tabletext0"/>
              <w:jc w:val="center"/>
            </w:pPr>
            <w:r>
              <w:t>P-value 0.08</w:t>
            </w:r>
          </w:p>
        </w:tc>
      </w:tr>
      <w:tr w:rsidR="002F56F5" w14:paraId="7C569A9B" w14:textId="27B26D9D" w:rsidTr="00566C28">
        <w:trPr>
          <w:trHeight w:val="312"/>
        </w:trPr>
        <w:tc>
          <w:tcPr>
            <w:tcW w:w="1052" w:type="dxa"/>
            <w:gridSpan w:val="2"/>
            <w:tcBorders>
              <w:left w:val="single" w:sz="4" w:space="0" w:color="auto"/>
            </w:tcBorders>
            <w:vAlign w:val="center"/>
          </w:tcPr>
          <w:p w14:paraId="28624DD0" w14:textId="77777777" w:rsidR="009E2D22" w:rsidRDefault="009E2D22" w:rsidP="00D04A4A">
            <w:pPr>
              <w:pStyle w:val="TableHeading"/>
            </w:pPr>
            <w:r>
              <w:t>TUMT</w:t>
            </w:r>
          </w:p>
        </w:tc>
        <w:tc>
          <w:tcPr>
            <w:tcW w:w="1584" w:type="dxa"/>
            <w:shd w:val="clear" w:color="auto" w:fill="CCFFCC"/>
            <w:vAlign w:val="center"/>
          </w:tcPr>
          <w:p w14:paraId="5E4FE107" w14:textId="77777777" w:rsidR="009E2D22" w:rsidRDefault="009E2D22" w:rsidP="00D04A4A">
            <w:pPr>
              <w:pStyle w:val="TableText"/>
              <w:jc w:val="center"/>
            </w:pPr>
            <w:r>
              <w:t>RR 0.20 (95%CI 0.09, 0.43)</w:t>
            </w:r>
          </w:p>
        </w:tc>
        <w:tc>
          <w:tcPr>
            <w:tcW w:w="1417" w:type="dxa"/>
            <w:shd w:val="clear" w:color="auto" w:fill="auto"/>
            <w:vAlign w:val="center"/>
          </w:tcPr>
          <w:p w14:paraId="3978B9C9" w14:textId="77777777" w:rsidR="009E2D22" w:rsidRDefault="009E2D22" w:rsidP="00D04A4A">
            <w:pPr>
              <w:pStyle w:val="TableText"/>
              <w:jc w:val="center"/>
            </w:pPr>
          </w:p>
        </w:tc>
        <w:tc>
          <w:tcPr>
            <w:tcW w:w="1417" w:type="dxa"/>
            <w:shd w:val="clear" w:color="auto" w:fill="auto"/>
            <w:vAlign w:val="center"/>
          </w:tcPr>
          <w:p w14:paraId="677C319A" w14:textId="77777777" w:rsidR="009E2D22" w:rsidRDefault="009E2D22" w:rsidP="00D04A4A">
            <w:pPr>
              <w:pStyle w:val="TableText"/>
              <w:jc w:val="center"/>
              <w:rPr>
                <w:w w:val="99"/>
              </w:rPr>
            </w:pPr>
          </w:p>
        </w:tc>
        <w:tc>
          <w:tcPr>
            <w:tcW w:w="1418" w:type="dxa"/>
            <w:shd w:val="clear" w:color="auto" w:fill="D0CECE" w:themeFill="background2" w:themeFillShade="E6"/>
            <w:vAlign w:val="center"/>
          </w:tcPr>
          <w:p w14:paraId="2287DC21" w14:textId="77777777" w:rsidR="009E2D22" w:rsidRDefault="009E2D22" w:rsidP="00D04A4A">
            <w:pPr>
              <w:pStyle w:val="TableText"/>
              <w:jc w:val="center"/>
            </w:pPr>
            <w:r>
              <w:t>RR 1.04</w:t>
            </w:r>
          </w:p>
          <w:p w14:paraId="5114A924" w14:textId="77777777" w:rsidR="009E2D22" w:rsidRDefault="009E2D22" w:rsidP="00D04A4A">
            <w:pPr>
              <w:pStyle w:val="TableText"/>
              <w:jc w:val="center"/>
            </w:pPr>
            <w:r>
              <w:t>(95%CI 0.59, 1.84)</w:t>
            </w:r>
          </w:p>
        </w:tc>
        <w:tc>
          <w:tcPr>
            <w:tcW w:w="1559" w:type="dxa"/>
            <w:shd w:val="clear" w:color="auto" w:fill="D0CECE" w:themeFill="background2" w:themeFillShade="E6"/>
            <w:vAlign w:val="center"/>
          </w:tcPr>
          <w:p w14:paraId="20A9AB0A" w14:textId="77777777" w:rsidR="009E2D22" w:rsidRDefault="009E2D22" w:rsidP="00D04A4A">
            <w:pPr>
              <w:pStyle w:val="TableText"/>
              <w:jc w:val="center"/>
              <w:rPr>
                <w:w w:val="99"/>
              </w:rPr>
            </w:pPr>
            <w:r>
              <w:rPr>
                <w:w w:val="99"/>
              </w:rPr>
              <w:t>RR 0.17</w:t>
            </w:r>
          </w:p>
          <w:p w14:paraId="281353C2" w14:textId="77777777" w:rsidR="009E2D22" w:rsidRDefault="009E2D22" w:rsidP="00D04A4A">
            <w:pPr>
              <w:pStyle w:val="TableText"/>
              <w:jc w:val="center"/>
              <w:rPr>
                <w:w w:val="99"/>
              </w:rPr>
            </w:pPr>
            <w:r>
              <w:rPr>
                <w:w w:val="99"/>
              </w:rPr>
              <w:t xml:space="preserve">(95%CI 0.02, 1.44) </w:t>
            </w:r>
          </w:p>
        </w:tc>
        <w:tc>
          <w:tcPr>
            <w:tcW w:w="1559" w:type="dxa"/>
            <w:tcBorders>
              <w:bottom w:val="single" w:sz="4" w:space="0" w:color="auto"/>
            </w:tcBorders>
            <w:shd w:val="clear" w:color="auto" w:fill="auto"/>
            <w:vAlign w:val="center"/>
          </w:tcPr>
          <w:p w14:paraId="08810B01" w14:textId="77777777" w:rsidR="009E2D22" w:rsidRDefault="009E2D22" w:rsidP="00D04A4A">
            <w:pPr>
              <w:pStyle w:val="TableText"/>
              <w:jc w:val="center"/>
              <w:rPr>
                <w:rFonts w:ascii="Times New Roman"/>
              </w:rPr>
            </w:pPr>
          </w:p>
        </w:tc>
        <w:tc>
          <w:tcPr>
            <w:tcW w:w="1418" w:type="dxa"/>
            <w:tcBorders>
              <w:right w:val="single" w:sz="4" w:space="0" w:color="auto"/>
            </w:tcBorders>
            <w:vAlign w:val="center"/>
          </w:tcPr>
          <w:p w14:paraId="598FCA74" w14:textId="77777777" w:rsidR="009E2D22" w:rsidRDefault="009E2D22" w:rsidP="00D04A4A">
            <w:pPr>
              <w:pStyle w:val="TableText"/>
              <w:jc w:val="center"/>
              <w:rPr>
                <w:rFonts w:ascii="Times New Roman"/>
              </w:rPr>
            </w:pPr>
          </w:p>
        </w:tc>
        <w:tc>
          <w:tcPr>
            <w:tcW w:w="1616" w:type="dxa"/>
            <w:tcBorders>
              <w:right w:val="single" w:sz="4" w:space="0" w:color="auto"/>
            </w:tcBorders>
          </w:tcPr>
          <w:p w14:paraId="0323F4B5" w14:textId="77777777" w:rsidR="009E2D22" w:rsidRPr="00566C28" w:rsidRDefault="009E2D22" w:rsidP="00566C28">
            <w:pPr>
              <w:pStyle w:val="Tabletext0"/>
              <w:jc w:val="center"/>
            </w:pPr>
          </w:p>
        </w:tc>
      </w:tr>
      <w:tr w:rsidR="009E2D22" w14:paraId="66F2A5A7" w14:textId="156F80F9" w:rsidTr="00566C28">
        <w:trPr>
          <w:trHeight w:val="312"/>
        </w:trPr>
        <w:tc>
          <w:tcPr>
            <w:tcW w:w="1052" w:type="dxa"/>
            <w:gridSpan w:val="2"/>
            <w:tcBorders>
              <w:left w:val="single" w:sz="4" w:space="0" w:color="auto"/>
            </w:tcBorders>
            <w:vAlign w:val="center"/>
          </w:tcPr>
          <w:p w14:paraId="21761DAD" w14:textId="7A27AD06" w:rsidR="009E2D22" w:rsidRDefault="009E2D22" w:rsidP="00D04A4A">
            <w:pPr>
              <w:pStyle w:val="TableHeading"/>
            </w:pPr>
            <w:r>
              <w:t xml:space="preserve">TUWA </w:t>
            </w:r>
          </w:p>
        </w:tc>
        <w:tc>
          <w:tcPr>
            <w:tcW w:w="1584" w:type="dxa"/>
            <w:shd w:val="clear" w:color="auto" w:fill="D0CECE" w:themeFill="background2" w:themeFillShade="E6"/>
            <w:vAlign w:val="center"/>
          </w:tcPr>
          <w:p w14:paraId="4B5D48F1" w14:textId="77777777" w:rsidR="009E2D22" w:rsidRDefault="009E2D22" w:rsidP="00D04A4A">
            <w:pPr>
              <w:pStyle w:val="TableText"/>
              <w:jc w:val="center"/>
            </w:pPr>
            <w:r>
              <w:t xml:space="preserve">RR 0.37 (95%CI 0.01, 18.68) </w:t>
            </w:r>
          </w:p>
        </w:tc>
        <w:tc>
          <w:tcPr>
            <w:tcW w:w="1417" w:type="dxa"/>
            <w:tcBorders>
              <w:right w:val="single" w:sz="4" w:space="0" w:color="auto"/>
            </w:tcBorders>
            <w:shd w:val="clear" w:color="auto" w:fill="auto"/>
            <w:vAlign w:val="center"/>
          </w:tcPr>
          <w:p w14:paraId="54C4303F" w14:textId="77777777" w:rsidR="009E2D22" w:rsidRDefault="009E2D22" w:rsidP="00D04A4A">
            <w:pPr>
              <w:pStyle w:val="TableText"/>
              <w:jc w:val="center"/>
              <w:rPr>
                <w:rFonts w:ascii="Times New Roman"/>
              </w:rPr>
            </w:pPr>
          </w:p>
        </w:tc>
        <w:tc>
          <w:tcPr>
            <w:tcW w:w="1417" w:type="dxa"/>
            <w:tcBorders>
              <w:right w:val="single" w:sz="4" w:space="0" w:color="auto"/>
            </w:tcBorders>
            <w:shd w:val="clear" w:color="auto" w:fill="auto"/>
            <w:vAlign w:val="center"/>
          </w:tcPr>
          <w:p w14:paraId="057BD3E8" w14:textId="77777777" w:rsidR="009E2D22" w:rsidRDefault="009E2D22" w:rsidP="00D04A4A">
            <w:pPr>
              <w:pStyle w:val="TableText"/>
              <w:jc w:val="center"/>
              <w:rPr>
                <w:rFonts w:ascii="Times New Roman"/>
              </w:rPr>
            </w:pPr>
          </w:p>
        </w:tc>
        <w:tc>
          <w:tcPr>
            <w:tcW w:w="1418" w:type="dxa"/>
            <w:tcBorders>
              <w:right w:val="single" w:sz="4" w:space="0" w:color="auto"/>
            </w:tcBorders>
            <w:shd w:val="clear" w:color="auto" w:fill="auto"/>
            <w:vAlign w:val="center"/>
          </w:tcPr>
          <w:p w14:paraId="7A7D17C9" w14:textId="77777777" w:rsidR="009E2D22" w:rsidRDefault="009E2D22" w:rsidP="00D04A4A">
            <w:pPr>
              <w:pStyle w:val="TableText"/>
              <w:jc w:val="center"/>
              <w:rPr>
                <w:rFonts w:ascii="Times New Roman"/>
              </w:rPr>
            </w:pPr>
          </w:p>
        </w:tc>
        <w:tc>
          <w:tcPr>
            <w:tcW w:w="1559" w:type="dxa"/>
            <w:tcBorders>
              <w:right w:val="single" w:sz="4" w:space="0" w:color="auto"/>
            </w:tcBorders>
            <w:shd w:val="clear" w:color="auto" w:fill="auto"/>
            <w:vAlign w:val="center"/>
          </w:tcPr>
          <w:p w14:paraId="2C06762D" w14:textId="77777777" w:rsidR="009E2D22" w:rsidRDefault="009E2D22" w:rsidP="00D04A4A">
            <w:pPr>
              <w:pStyle w:val="TableText"/>
              <w:jc w:val="center"/>
              <w:rPr>
                <w:rFonts w:ascii="Times New Roman"/>
              </w:rPr>
            </w:pPr>
          </w:p>
        </w:tc>
        <w:tc>
          <w:tcPr>
            <w:tcW w:w="1559" w:type="dxa"/>
            <w:tcBorders>
              <w:right w:val="single" w:sz="4" w:space="0" w:color="auto"/>
            </w:tcBorders>
            <w:shd w:val="clear" w:color="auto" w:fill="auto"/>
            <w:vAlign w:val="center"/>
          </w:tcPr>
          <w:p w14:paraId="0EF07571" w14:textId="77777777" w:rsidR="009E2D22" w:rsidRDefault="009E2D22" w:rsidP="00D04A4A">
            <w:pPr>
              <w:pStyle w:val="TableText"/>
              <w:jc w:val="center"/>
              <w:rPr>
                <w:rFonts w:ascii="Times New Roman"/>
              </w:rPr>
            </w:pPr>
          </w:p>
        </w:tc>
        <w:tc>
          <w:tcPr>
            <w:tcW w:w="1418" w:type="dxa"/>
            <w:tcBorders>
              <w:right w:val="single" w:sz="4" w:space="0" w:color="auto"/>
            </w:tcBorders>
            <w:shd w:val="clear" w:color="auto" w:fill="auto"/>
            <w:vAlign w:val="center"/>
          </w:tcPr>
          <w:p w14:paraId="39D62267" w14:textId="77777777" w:rsidR="009E2D22" w:rsidRDefault="009E2D22" w:rsidP="00D04A4A">
            <w:pPr>
              <w:pStyle w:val="TableText"/>
              <w:jc w:val="center"/>
              <w:rPr>
                <w:rFonts w:ascii="Times New Roman"/>
              </w:rPr>
            </w:pPr>
          </w:p>
        </w:tc>
        <w:tc>
          <w:tcPr>
            <w:tcW w:w="1616" w:type="dxa"/>
            <w:tcBorders>
              <w:right w:val="single" w:sz="4" w:space="0" w:color="auto"/>
            </w:tcBorders>
            <w:shd w:val="clear" w:color="auto" w:fill="CDFFCD"/>
          </w:tcPr>
          <w:p w14:paraId="49506D51" w14:textId="1EF079F4" w:rsidR="009E2D22" w:rsidRDefault="00AB075A" w:rsidP="00197631">
            <w:pPr>
              <w:pStyle w:val="Tabletext0"/>
              <w:jc w:val="center"/>
            </w:pPr>
            <w:r>
              <w:t xml:space="preserve">IIEF-5 </w:t>
            </w:r>
            <w:r w:rsidR="00197631" w:rsidRPr="00566C28">
              <w:t>MD</w:t>
            </w:r>
            <w:r w:rsidR="00197631">
              <w:t xml:space="preserve"> 6.49 (95% CI 8.13, 21.12)</w:t>
            </w:r>
          </w:p>
          <w:p w14:paraId="71B3934B" w14:textId="3B6D60F0" w:rsidR="00197631" w:rsidRPr="00566C28" w:rsidRDefault="00197631" w:rsidP="00566C28">
            <w:pPr>
              <w:pStyle w:val="Tabletext0"/>
              <w:jc w:val="center"/>
            </w:pPr>
            <w:r>
              <w:t>MSHQ-</w:t>
            </w:r>
            <w:proofErr w:type="spellStart"/>
            <w:r>
              <w:t>EjD</w:t>
            </w:r>
            <w:proofErr w:type="spellEnd"/>
            <w:r>
              <w:t xml:space="preserve"> MD</w:t>
            </w:r>
            <w:r w:rsidR="00AB075A">
              <w:t xml:space="preserve"> 3.54 (95% CI 1.057, 6.023)</w:t>
            </w:r>
          </w:p>
        </w:tc>
      </w:tr>
      <w:tr w:rsidR="009E2D22" w14:paraId="2CF7A27C" w14:textId="112695FE" w:rsidTr="00566C28">
        <w:trPr>
          <w:trHeight w:val="312"/>
        </w:trPr>
        <w:tc>
          <w:tcPr>
            <w:tcW w:w="1052" w:type="dxa"/>
            <w:gridSpan w:val="2"/>
            <w:tcBorders>
              <w:left w:val="single" w:sz="4" w:space="0" w:color="auto"/>
            </w:tcBorders>
            <w:vAlign w:val="center"/>
          </w:tcPr>
          <w:p w14:paraId="05C9E884" w14:textId="77777777" w:rsidR="009E2D22" w:rsidRDefault="009E2D22" w:rsidP="00D04A4A">
            <w:pPr>
              <w:pStyle w:val="TableHeading"/>
            </w:pPr>
            <w:r>
              <w:t>VLAP (PVP)</w:t>
            </w:r>
          </w:p>
        </w:tc>
        <w:tc>
          <w:tcPr>
            <w:tcW w:w="1584" w:type="dxa"/>
            <w:shd w:val="clear" w:color="auto" w:fill="auto"/>
            <w:vAlign w:val="center"/>
          </w:tcPr>
          <w:p w14:paraId="2DE9B232" w14:textId="77777777" w:rsidR="009E2D22" w:rsidRDefault="009E2D22" w:rsidP="00D04A4A">
            <w:pPr>
              <w:pStyle w:val="TableText"/>
              <w:jc w:val="center"/>
            </w:pPr>
          </w:p>
        </w:tc>
        <w:tc>
          <w:tcPr>
            <w:tcW w:w="1417" w:type="dxa"/>
            <w:shd w:val="clear" w:color="auto" w:fill="auto"/>
            <w:vAlign w:val="center"/>
          </w:tcPr>
          <w:p w14:paraId="79660260" w14:textId="77777777" w:rsidR="009E2D22" w:rsidRDefault="009E2D22" w:rsidP="00D04A4A">
            <w:pPr>
              <w:pStyle w:val="TableText"/>
              <w:jc w:val="center"/>
            </w:pPr>
          </w:p>
        </w:tc>
        <w:tc>
          <w:tcPr>
            <w:tcW w:w="1417" w:type="dxa"/>
            <w:shd w:val="clear" w:color="auto" w:fill="auto"/>
            <w:vAlign w:val="center"/>
          </w:tcPr>
          <w:p w14:paraId="59761163" w14:textId="77777777" w:rsidR="009E2D22" w:rsidRDefault="009E2D22" w:rsidP="00D04A4A">
            <w:pPr>
              <w:pStyle w:val="TableText"/>
              <w:jc w:val="center"/>
            </w:pPr>
            <w:r>
              <w:t>RR 0.11 (95%CI 0.02, 0.59)</w:t>
            </w:r>
          </w:p>
        </w:tc>
        <w:tc>
          <w:tcPr>
            <w:tcW w:w="1418" w:type="dxa"/>
            <w:shd w:val="clear" w:color="auto" w:fill="F8D7B2"/>
            <w:vAlign w:val="center"/>
          </w:tcPr>
          <w:p w14:paraId="2185EE30" w14:textId="77777777" w:rsidR="009E2D22" w:rsidRDefault="009E2D22" w:rsidP="00D04A4A">
            <w:pPr>
              <w:pStyle w:val="TableText"/>
              <w:jc w:val="center"/>
            </w:pPr>
            <w:r>
              <w:t>RR 1.75 (95%CI 1.01, 3.04)</w:t>
            </w:r>
          </w:p>
        </w:tc>
        <w:tc>
          <w:tcPr>
            <w:tcW w:w="1559" w:type="dxa"/>
            <w:shd w:val="clear" w:color="auto" w:fill="auto"/>
            <w:vAlign w:val="center"/>
          </w:tcPr>
          <w:p w14:paraId="2A0F7E81" w14:textId="77777777" w:rsidR="009E2D22" w:rsidRDefault="009E2D22" w:rsidP="00D04A4A">
            <w:pPr>
              <w:pStyle w:val="TableText"/>
              <w:jc w:val="center"/>
              <w:rPr>
                <w:w w:val="99"/>
              </w:rPr>
            </w:pPr>
          </w:p>
        </w:tc>
        <w:tc>
          <w:tcPr>
            <w:tcW w:w="1559" w:type="dxa"/>
            <w:tcBorders>
              <w:top w:val="single" w:sz="4" w:space="0" w:color="auto"/>
            </w:tcBorders>
            <w:shd w:val="clear" w:color="auto" w:fill="F8D7B2"/>
            <w:vAlign w:val="center"/>
          </w:tcPr>
          <w:p w14:paraId="2F74F740" w14:textId="77777777" w:rsidR="009E2D22" w:rsidRDefault="009E2D22" w:rsidP="00D04A4A">
            <w:pPr>
              <w:pStyle w:val="Tabletext0"/>
              <w:jc w:val="center"/>
            </w:pPr>
            <w:r>
              <w:t xml:space="preserve">RR </w:t>
            </w:r>
            <w:r w:rsidRPr="004968B0">
              <w:rPr>
                <w:rStyle w:val="TablenotesChar0"/>
              </w:rPr>
              <w:t>2.60 (95%CI 1.18, 5.72</w:t>
            </w:r>
            <w:r>
              <w:t>)</w:t>
            </w:r>
          </w:p>
        </w:tc>
        <w:tc>
          <w:tcPr>
            <w:tcW w:w="1418" w:type="dxa"/>
            <w:tcBorders>
              <w:right w:val="single" w:sz="4" w:space="0" w:color="auto"/>
            </w:tcBorders>
            <w:vAlign w:val="center"/>
          </w:tcPr>
          <w:p w14:paraId="353E2AAB" w14:textId="77777777" w:rsidR="009E2D22" w:rsidRDefault="009E2D22" w:rsidP="00D04A4A">
            <w:pPr>
              <w:pStyle w:val="TableText"/>
              <w:jc w:val="center"/>
              <w:rPr>
                <w:rFonts w:ascii="Times New Roman"/>
              </w:rPr>
            </w:pPr>
          </w:p>
        </w:tc>
        <w:tc>
          <w:tcPr>
            <w:tcW w:w="1616" w:type="dxa"/>
            <w:tcBorders>
              <w:right w:val="single" w:sz="4" w:space="0" w:color="auto"/>
            </w:tcBorders>
            <w:shd w:val="clear" w:color="auto" w:fill="D9D9D9" w:themeFill="background1" w:themeFillShade="D9"/>
          </w:tcPr>
          <w:p w14:paraId="1054DA90" w14:textId="7D5883BB" w:rsidR="009E2D22" w:rsidRDefault="00AB075A" w:rsidP="00566C28">
            <w:pPr>
              <w:pStyle w:val="Tabletext0"/>
              <w:jc w:val="center"/>
              <w:rPr>
                <w:rFonts w:ascii="Times New Roman"/>
              </w:rPr>
            </w:pPr>
            <w:r w:rsidRPr="00566C28">
              <w:t>IIEF-5 MD -1.24 (95% CI -3.11, 0.64)</w:t>
            </w:r>
          </w:p>
        </w:tc>
      </w:tr>
    </w:tbl>
    <w:p w14:paraId="6A50384B" w14:textId="43914B41" w:rsidR="00B21024" w:rsidRDefault="00B21024" w:rsidP="00BF52EC">
      <w:pPr>
        <w:pStyle w:val="Tablenotes0"/>
      </w:pPr>
      <w:r>
        <w:t xml:space="preserve">Source: Table 4, </w:t>
      </w:r>
      <w:proofErr w:type="spellStart"/>
      <w:r>
        <w:t>pg</w:t>
      </w:r>
      <w:proofErr w:type="spellEnd"/>
      <w:r>
        <w:t xml:space="preserve"> 15 of MSAC 1697 DCAR</w:t>
      </w:r>
      <w:r w:rsidR="009E2D22">
        <w:t xml:space="preserve"> updated to include erectile dysfunction outcome data</w:t>
      </w:r>
      <w:r w:rsidR="00AB075A">
        <w:t xml:space="preserve"> and indirect data for TUWA presented in pre-MSAC response from Boston Scientific</w:t>
      </w:r>
    </w:p>
    <w:p w14:paraId="139A5601" w14:textId="6040A8CB" w:rsidR="00D65A2B" w:rsidRPr="00442EC0" w:rsidRDefault="00B21024" w:rsidP="00566C28">
      <w:pPr>
        <w:pStyle w:val="Tablenotes0"/>
        <w:rPr>
          <w:b/>
          <w:bCs/>
          <w:spacing w:val="-6"/>
        </w:rPr>
      </w:pPr>
      <w:r>
        <w:t xml:space="preserve">Abbreviations: </w:t>
      </w:r>
      <w:r w:rsidR="00D658B3">
        <w:t xml:space="preserve">B-TUEP = bipolar transurethral enucleation; CI = confidence interval; </w:t>
      </w:r>
      <w:proofErr w:type="spellStart"/>
      <w:r w:rsidR="00D658B3">
        <w:t>DioLEP</w:t>
      </w:r>
      <w:proofErr w:type="spellEnd"/>
      <w:r w:rsidR="00D658B3">
        <w:t xml:space="preserve"> = diode laser enucleation; </w:t>
      </w:r>
      <w:r w:rsidR="00E977AF">
        <w:t xml:space="preserve">EEP = endoscopic enucleation of the prostate; </w:t>
      </w:r>
      <w:proofErr w:type="spellStart"/>
      <w:r w:rsidR="00BF52EC">
        <w:t>HoLEP</w:t>
      </w:r>
      <w:proofErr w:type="spellEnd"/>
      <w:r w:rsidR="00BF52EC">
        <w:t xml:space="preserve"> = holmium laser enucleation of the prostate; </w:t>
      </w:r>
      <w:r w:rsidR="00AB075A">
        <w:t>IIEF-5=</w:t>
      </w:r>
      <w:r w:rsidR="00AB075A" w:rsidRPr="00AB075A">
        <w:rPr>
          <w:spacing w:val="-4"/>
        </w:rPr>
        <w:t xml:space="preserve"> </w:t>
      </w:r>
      <w:r w:rsidR="00AB075A">
        <w:rPr>
          <w:spacing w:val="-4"/>
        </w:rPr>
        <w:t>I</w:t>
      </w:r>
      <w:r w:rsidR="00AB075A" w:rsidRPr="00197631">
        <w:rPr>
          <w:spacing w:val="-4"/>
        </w:rPr>
        <w:t>nternational Index of Erectile Dysfunction</w:t>
      </w:r>
      <w:r w:rsidR="00AB075A">
        <w:rPr>
          <w:spacing w:val="-4"/>
        </w:rPr>
        <w:t xml:space="preserve">, </w:t>
      </w:r>
      <w:r w:rsidR="009E2D22">
        <w:t xml:space="preserve">MD=mean difference; </w:t>
      </w:r>
      <w:r w:rsidR="00197631">
        <w:t>MSHQ-</w:t>
      </w:r>
      <w:proofErr w:type="spellStart"/>
      <w:r w:rsidR="00197631">
        <w:t>MjD</w:t>
      </w:r>
      <w:proofErr w:type="spellEnd"/>
      <w:r w:rsidR="00197631">
        <w:t>=</w:t>
      </w:r>
      <w:r w:rsidR="00197631" w:rsidRPr="004D38C3">
        <w:t>Male Sexual Health Questionnaire for Ejaculatory Dysfunction</w:t>
      </w:r>
      <w:r w:rsidR="00197631">
        <w:t xml:space="preserve">; </w:t>
      </w:r>
      <w:r w:rsidR="00BF52EC">
        <w:t>PUL = prostatic urethral lift;</w:t>
      </w:r>
      <w:r w:rsidR="00D658B3">
        <w:t xml:space="preserve"> RR = risk ratio; </w:t>
      </w:r>
      <w:proofErr w:type="spellStart"/>
      <w:r w:rsidR="00D658B3">
        <w:t>ThuLEP</w:t>
      </w:r>
      <w:proofErr w:type="spellEnd"/>
      <w:r w:rsidR="00D658B3">
        <w:t xml:space="preserve"> = thulium laser enucleation;</w:t>
      </w:r>
      <w:r w:rsidR="00BF52EC">
        <w:t xml:space="preserve"> </w:t>
      </w:r>
      <w:r w:rsidR="00D658B3">
        <w:t>T</w:t>
      </w:r>
      <w:r w:rsidR="00BF52EC">
        <w:t xml:space="preserve">UMT = transurethral microwave therapy; TURP = transurethral resection of the prostate; TUWA = transurethral water vapour ablation; VLAP = visual laser ablation of the </w:t>
      </w:r>
      <w:proofErr w:type="spellStart"/>
      <w:r w:rsidR="00BF52EC">
        <w:t>prostate</w:t>
      </w:r>
      <w:r w:rsidR="00D65A2B">
        <w:t>.Note</w:t>
      </w:r>
      <w:proofErr w:type="spellEnd"/>
      <w:r w:rsidR="00D65A2B">
        <w:t>:</w:t>
      </w:r>
      <w:r w:rsidR="00D65A2B">
        <w:rPr>
          <w:spacing w:val="-6"/>
        </w:rPr>
        <w:t xml:space="preserve"> </w:t>
      </w:r>
      <w:r w:rsidR="00D65A2B">
        <w:t>Comparison</w:t>
      </w:r>
      <w:r w:rsidR="00D65A2B">
        <w:rPr>
          <w:spacing w:val="-5"/>
        </w:rPr>
        <w:t xml:space="preserve"> </w:t>
      </w:r>
      <w:r w:rsidR="00D65A2B">
        <w:t>of</w:t>
      </w:r>
      <w:r w:rsidR="00D65A2B">
        <w:rPr>
          <w:spacing w:val="-5"/>
        </w:rPr>
        <w:t xml:space="preserve"> </w:t>
      </w:r>
      <w:r w:rsidR="00D65A2B">
        <w:t>each</w:t>
      </w:r>
      <w:r w:rsidR="00D65A2B">
        <w:rPr>
          <w:spacing w:val="-5"/>
        </w:rPr>
        <w:t xml:space="preserve"> </w:t>
      </w:r>
      <w:r w:rsidR="00D65A2B">
        <w:t>technology</w:t>
      </w:r>
      <w:r w:rsidR="00D65A2B">
        <w:rPr>
          <w:spacing w:val="-7"/>
        </w:rPr>
        <w:t xml:space="preserve"> </w:t>
      </w:r>
      <w:r w:rsidR="00D65A2B">
        <w:rPr>
          <w:spacing w:val="-1"/>
        </w:rPr>
        <w:t>(intervention,</w:t>
      </w:r>
      <w:r w:rsidR="00D65A2B">
        <w:rPr>
          <w:spacing w:val="-3"/>
        </w:rPr>
        <w:t xml:space="preserve"> </w:t>
      </w:r>
      <w:r w:rsidR="00D65A2B">
        <w:t>left</w:t>
      </w:r>
      <w:r w:rsidR="00D65A2B">
        <w:rPr>
          <w:spacing w:val="-5"/>
        </w:rPr>
        <w:t xml:space="preserve"> </w:t>
      </w:r>
      <w:r w:rsidR="00D65A2B">
        <w:t>column)</w:t>
      </w:r>
      <w:r w:rsidR="00D65A2B">
        <w:rPr>
          <w:spacing w:val="-5"/>
        </w:rPr>
        <w:t xml:space="preserve"> </w:t>
      </w:r>
      <w:r w:rsidR="00D65A2B">
        <w:t>by</w:t>
      </w:r>
      <w:r w:rsidR="00D65A2B">
        <w:rPr>
          <w:spacing w:val="-7"/>
        </w:rPr>
        <w:t xml:space="preserve"> </w:t>
      </w:r>
      <w:r w:rsidR="00D65A2B">
        <w:t>row</w:t>
      </w:r>
      <w:r w:rsidR="00D65A2B">
        <w:rPr>
          <w:spacing w:val="-5"/>
        </w:rPr>
        <w:t xml:space="preserve"> </w:t>
      </w:r>
      <w:r w:rsidR="00D65A2B">
        <w:t>with</w:t>
      </w:r>
      <w:r w:rsidR="00D65A2B">
        <w:rPr>
          <w:spacing w:val="-5"/>
        </w:rPr>
        <w:t xml:space="preserve"> </w:t>
      </w:r>
      <w:r w:rsidR="00D65A2B">
        <w:t>TURP.</w:t>
      </w:r>
      <w:r w:rsidR="00D65A2B">
        <w:rPr>
          <w:spacing w:val="50"/>
          <w:w w:val="99"/>
        </w:rPr>
        <w:t xml:space="preserve"> </w:t>
      </w:r>
      <w:r w:rsidR="00D65A2B">
        <w:rPr>
          <w:spacing w:val="-1"/>
        </w:rPr>
        <w:t>The</w:t>
      </w:r>
      <w:r w:rsidR="00D65A2B">
        <w:rPr>
          <w:spacing w:val="-5"/>
        </w:rPr>
        <w:t xml:space="preserve"> </w:t>
      </w:r>
      <w:r w:rsidR="00D65A2B">
        <w:rPr>
          <w:spacing w:val="-1"/>
        </w:rPr>
        <w:t>colours</w:t>
      </w:r>
      <w:r w:rsidR="00D65A2B">
        <w:rPr>
          <w:spacing w:val="-3"/>
        </w:rPr>
        <w:t xml:space="preserve"> </w:t>
      </w:r>
      <w:r w:rsidR="00D65A2B">
        <w:t>denote</w:t>
      </w:r>
      <w:r w:rsidR="00D65A2B">
        <w:rPr>
          <w:spacing w:val="-5"/>
        </w:rPr>
        <w:t xml:space="preserve"> </w:t>
      </w:r>
      <w:r w:rsidR="00D65A2B">
        <w:t>the</w:t>
      </w:r>
      <w:r w:rsidR="00D65A2B">
        <w:rPr>
          <w:spacing w:val="-4"/>
        </w:rPr>
        <w:t xml:space="preserve"> </w:t>
      </w:r>
      <w:r w:rsidR="00D65A2B">
        <w:t>quantitative</w:t>
      </w:r>
      <w:r w:rsidR="00D65A2B">
        <w:rPr>
          <w:spacing w:val="-4"/>
        </w:rPr>
        <w:t xml:space="preserve"> </w:t>
      </w:r>
      <w:r w:rsidR="00D65A2B">
        <w:rPr>
          <w:spacing w:val="-1"/>
        </w:rPr>
        <w:t>difference</w:t>
      </w:r>
      <w:r w:rsidR="00D65A2B">
        <w:rPr>
          <w:spacing w:val="-5"/>
        </w:rPr>
        <w:t xml:space="preserve"> </w:t>
      </w:r>
      <w:r w:rsidR="00D65A2B">
        <w:t>for</w:t>
      </w:r>
      <w:r w:rsidR="00D65A2B">
        <w:rPr>
          <w:spacing w:val="-3"/>
        </w:rPr>
        <w:t xml:space="preserve"> </w:t>
      </w:r>
      <w:r w:rsidR="00D65A2B">
        <w:t>each</w:t>
      </w:r>
      <w:r w:rsidR="00D65A2B">
        <w:rPr>
          <w:spacing w:val="-5"/>
        </w:rPr>
        <w:t xml:space="preserve"> </w:t>
      </w:r>
      <w:r w:rsidR="00D65A2B">
        <w:rPr>
          <w:spacing w:val="-1"/>
        </w:rPr>
        <w:t>comparison,</w:t>
      </w:r>
      <w:r w:rsidR="00D65A2B">
        <w:rPr>
          <w:spacing w:val="-4"/>
        </w:rPr>
        <w:t xml:space="preserve"> </w:t>
      </w:r>
      <w:r w:rsidR="00D65A2B">
        <w:t>as</w:t>
      </w:r>
      <w:r w:rsidR="00D65A2B">
        <w:rPr>
          <w:spacing w:val="-3"/>
        </w:rPr>
        <w:t xml:space="preserve"> </w:t>
      </w:r>
      <w:r w:rsidR="00D65A2B">
        <w:rPr>
          <w:spacing w:val="-1"/>
        </w:rPr>
        <w:t>shown</w:t>
      </w:r>
      <w:r w:rsidR="00D65A2B">
        <w:rPr>
          <w:spacing w:val="-5"/>
        </w:rPr>
        <w:t xml:space="preserve"> </w:t>
      </w:r>
      <w:r w:rsidR="00D65A2B">
        <w:t>in</w:t>
      </w:r>
      <w:r w:rsidR="00D65A2B">
        <w:rPr>
          <w:spacing w:val="-4"/>
        </w:rPr>
        <w:t xml:space="preserve"> </w:t>
      </w:r>
      <w:r w:rsidR="00D65A2B">
        <w:t>the</w:t>
      </w:r>
      <w:r w:rsidR="00D65A2B">
        <w:rPr>
          <w:spacing w:val="-3"/>
        </w:rPr>
        <w:t xml:space="preserve"> </w:t>
      </w:r>
      <w:r w:rsidR="00D65A2B">
        <w:rPr>
          <w:spacing w:val="-1"/>
        </w:rPr>
        <w:t>key.</w:t>
      </w:r>
      <w:r w:rsidR="00D65A2B">
        <w:rPr>
          <w:spacing w:val="-4"/>
        </w:rPr>
        <w:t xml:space="preserve"> When no evidence was available for a certain outcome, this cell was left blank. </w:t>
      </w:r>
      <w:r w:rsidR="00D65A2B" w:rsidRPr="00442EC0">
        <w:rPr>
          <w:b/>
          <w:bCs/>
        </w:rPr>
        <w:t>Key: Green = Intervention</w:t>
      </w:r>
      <w:r w:rsidR="00D65A2B" w:rsidRPr="00442EC0">
        <w:rPr>
          <w:b/>
          <w:bCs/>
          <w:spacing w:val="-7"/>
        </w:rPr>
        <w:t xml:space="preserve"> </w:t>
      </w:r>
      <w:r w:rsidR="00D65A2B" w:rsidRPr="00442EC0">
        <w:rPr>
          <w:b/>
          <w:bCs/>
        </w:rPr>
        <w:t>statistically</w:t>
      </w:r>
      <w:r w:rsidR="00D65A2B" w:rsidRPr="00442EC0">
        <w:rPr>
          <w:b/>
          <w:bCs/>
          <w:spacing w:val="-8"/>
        </w:rPr>
        <w:t xml:space="preserve"> </w:t>
      </w:r>
      <w:r w:rsidR="00D65A2B" w:rsidRPr="00442EC0">
        <w:rPr>
          <w:b/>
          <w:bCs/>
        </w:rPr>
        <w:t>significantly</w:t>
      </w:r>
      <w:r w:rsidR="00D65A2B" w:rsidRPr="00442EC0">
        <w:rPr>
          <w:b/>
          <w:bCs/>
          <w:spacing w:val="-7"/>
        </w:rPr>
        <w:t xml:space="preserve"> </w:t>
      </w:r>
      <w:r w:rsidR="00D65A2B" w:rsidRPr="00442EC0">
        <w:rPr>
          <w:b/>
          <w:bCs/>
        </w:rPr>
        <w:t>better</w:t>
      </w:r>
      <w:r w:rsidR="00D65A2B" w:rsidRPr="00442EC0">
        <w:rPr>
          <w:b/>
          <w:bCs/>
          <w:spacing w:val="-7"/>
        </w:rPr>
        <w:t xml:space="preserve"> </w:t>
      </w:r>
      <w:r w:rsidR="00D65A2B" w:rsidRPr="00442EC0">
        <w:rPr>
          <w:b/>
          <w:bCs/>
        </w:rPr>
        <w:t>than</w:t>
      </w:r>
      <w:r w:rsidR="00D65A2B" w:rsidRPr="00442EC0">
        <w:rPr>
          <w:b/>
          <w:bCs/>
          <w:spacing w:val="-7"/>
        </w:rPr>
        <w:t xml:space="preserve"> </w:t>
      </w:r>
      <w:r w:rsidR="00D65A2B" w:rsidRPr="00442EC0">
        <w:rPr>
          <w:b/>
          <w:bCs/>
        </w:rPr>
        <w:t>control, Grey = No statistically significant</w:t>
      </w:r>
      <w:r w:rsidR="00D65A2B" w:rsidRPr="00442EC0">
        <w:rPr>
          <w:b/>
          <w:bCs/>
          <w:spacing w:val="-11"/>
        </w:rPr>
        <w:t xml:space="preserve"> </w:t>
      </w:r>
      <w:r w:rsidR="00D65A2B" w:rsidRPr="00442EC0">
        <w:rPr>
          <w:b/>
          <w:bCs/>
        </w:rPr>
        <w:t>difference detected, Orange = Intervention</w:t>
      </w:r>
      <w:r w:rsidR="00D65A2B" w:rsidRPr="00442EC0">
        <w:rPr>
          <w:b/>
          <w:bCs/>
          <w:spacing w:val="-7"/>
        </w:rPr>
        <w:t xml:space="preserve"> </w:t>
      </w:r>
      <w:r w:rsidR="00D65A2B" w:rsidRPr="00442EC0">
        <w:rPr>
          <w:b/>
          <w:bCs/>
        </w:rPr>
        <w:t>statistically</w:t>
      </w:r>
      <w:r w:rsidR="00D65A2B" w:rsidRPr="00442EC0">
        <w:rPr>
          <w:b/>
          <w:bCs/>
          <w:spacing w:val="-8"/>
        </w:rPr>
        <w:t xml:space="preserve"> </w:t>
      </w:r>
      <w:r w:rsidR="00D65A2B" w:rsidRPr="00442EC0">
        <w:rPr>
          <w:b/>
          <w:bCs/>
        </w:rPr>
        <w:t>significantly</w:t>
      </w:r>
      <w:r w:rsidR="00D65A2B" w:rsidRPr="00442EC0">
        <w:rPr>
          <w:b/>
          <w:bCs/>
          <w:spacing w:val="-7"/>
        </w:rPr>
        <w:t xml:space="preserve"> </w:t>
      </w:r>
      <w:r w:rsidR="00D65A2B" w:rsidRPr="00442EC0">
        <w:rPr>
          <w:b/>
          <w:bCs/>
        </w:rPr>
        <w:t>worse</w:t>
      </w:r>
      <w:r w:rsidR="00D65A2B" w:rsidRPr="00442EC0">
        <w:rPr>
          <w:b/>
          <w:bCs/>
          <w:spacing w:val="-7"/>
        </w:rPr>
        <w:t xml:space="preserve"> </w:t>
      </w:r>
      <w:r w:rsidR="00D65A2B" w:rsidRPr="00442EC0">
        <w:rPr>
          <w:b/>
          <w:bCs/>
        </w:rPr>
        <w:t>than</w:t>
      </w:r>
      <w:r w:rsidR="00D65A2B" w:rsidRPr="00442EC0">
        <w:rPr>
          <w:b/>
          <w:bCs/>
          <w:spacing w:val="-7"/>
        </w:rPr>
        <w:t xml:space="preserve"> </w:t>
      </w:r>
      <w:r w:rsidR="00D65A2B" w:rsidRPr="00442EC0">
        <w:rPr>
          <w:b/>
          <w:bCs/>
        </w:rPr>
        <w:t xml:space="preserve">control, </w:t>
      </w:r>
      <w:r w:rsidR="00D65A2B" w:rsidRPr="00442EC0">
        <w:rPr>
          <w:b/>
          <w:bCs/>
          <w:spacing w:val="-6"/>
        </w:rPr>
        <w:t>White = no data.</w:t>
      </w:r>
    </w:p>
    <w:p w14:paraId="5B98E881" w14:textId="77777777" w:rsidR="009E2D22" w:rsidRDefault="009E2D22" w:rsidP="002A18BE">
      <w:pPr>
        <w:pStyle w:val="Heading2"/>
        <w:numPr>
          <w:ilvl w:val="0"/>
          <w:numId w:val="0"/>
        </w:numPr>
        <w:sectPr w:rsidR="009E2D22" w:rsidSect="00566C28">
          <w:pgSz w:w="16838" w:h="11906" w:orient="landscape"/>
          <w:pgMar w:top="1440" w:right="1440" w:bottom="1440" w:left="1440" w:header="709" w:footer="709" w:gutter="0"/>
          <w:cols w:space="708"/>
          <w:titlePg/>
          <w:docGrid w:linePitch="360"/>
        </w:sectPr>
      </w:pPr>
      <w:bookmarkStart w:id="26" w:name="_Toc100150279"/>
    </w:p>
    <w:p w14:paraId="3717AA01" w14:textId="25FC5014" w:rsidR="00772829" w:rsidRDefault="00C36633" w:rsidP="002A18BE">
      <w:pPr>
        <w:pStyle w:val="Heading2"/>
        <w:numPr>
          <w:ilvl w:val="0"/>
          <w:numId w:val="0"/>
        </w:numPr>
      </w:pPr>
      <w:r>
        <w:lastRenderedPageBreak/>
        <w:t>1</w:t>
      </w:r>
      <w:r w:rsidR="002811D5">
        <w:t>2</w:t>
      </w:r>
      <w:r>
        <w:t>.</w:t>
      </w:r>
      <w:r>
        <w:tab/>
      </w:r>
      <w:r w:rsidR="00772829" w:rsidRPr="00CE28E3">
        <w:t>Comparative effectiveness</w:t>
      </w:r>
      <w:bookmarkEnd w:id="26"/>
    </w:p>
    <w:p w14:paraId="5CF6B6C5" w14:textId="46699106" w:rsidR="0061536F" w:rsidRDefault="00122872" w:rsidP="00122872">
      <w:r>
        <w:t xml:space="preserve">Compared with TURP, the use of PUL, TUMT and TUWA were less effective, whereas VLAP and </w:t>
      </w:r>
      <w:r w:rsidR="00814CE4">
        <w:t>EEP</w:t>
      </w:r>
      <w:r>
        <w:t xml:space="preserve"> were non-inferior, and possibly </w:t>
      </w:r>
      <w:r w:rsidRPr="000F29FD">
        <w:t>superior</w:t>
      </w:r>
      <w:r w:rsidR="005C144C" w:rsidRPr="000F29FD">
        <w:t xml:space="preserve"> </w:t>
      </w:r>
      <w:r w:rsidR="000F29FD" w:rsidRPr="000F29FD">
        <w:t>(Table 5).</w:t>
      </w:r>
    </w:p>
    <w:p w14:paraId="508875F0" w14:textId="64D5B6DC" w:rsidR="0061536F" w:rsidRDefault="00067E2E" w:rsidP="00122872">
      <w:r>
        <w:t xml:space="preserve">PUL </w:t>
      </w:r>
      <w:proofErr w:type="gramStart"/>
      <w:r>
        <w:t>was considered to be</w:t>
      </w:r>
      <w:proofErr w:type="gramEnd"/>
      <w:r>
        <w:t xml:space="preserve"> of inferior effectiveness due to worse outcomes for IPSS at 12 months and </w:t>
      </w:r>
      <w:proofErr w:type="spellStart"/>
      <w:r>
        <w:t>Qmax</w:t>
      </w:r>
      <w:proofErr w:type="spellEnd"/>
      <w:r>
        <w:t xml:space="preserve"> at 6 and 12 months (compared with TURP).</w:t>
      </w:r>
      <w:r w:rsidR="0061536F">
        <w:t xml:space="preserve"> The differences in IPSS and </w:t>
      </w:r>
      <w:proofErr w:type="spellStart"/>
      <w:r w:rsidR="0061536F">
        <w:t>Qmax</w:t>
      </w:r>
      <w:proofErr w:type="spellEnd"/>
      <w:r w:rsidR="0061536F">
        <w:t xml:space="preserve"> are likely to be clinically meaningful.</w:t>
      </w:r>
    </w:p>
    <w:p w14:paraId="0848EF3A" w14:textId="0D3BCA71" w:rsidR="00067E2E" w:rsidRDefault="00067E2E" w:rsidP="00122872">
      <w:r>
        <w:t xml:space="preserve">TUMT also showed significantly worse outcomes for IPSS and </w:t>
      </w:r>
      <w:proofErr w:type="spellStart"/>
      <w:r>
        <w:t>Qmax</w:t>
      </w:r>
      <w:proofErr w:type="spellEnd"/>
      <w:r>
        <w:t xml:space="preserve"> compared with TURP.</w:t>
      </w:r>
      <w:r w:rsidRPr="00067E2E">
        <w:t xml:space="preserve"> </w:t>
      </w:r>
      <w:r w:rsidR="008709F8">
        <w:t>The differences are likely to be clinically meaningful.</w:t>
      </w:r>
    </w:p>
    <w:p w14:paraId="2DDD3052" w14:textId="3B7E20E5" w:rsidR="00122872" w:rsidRDefault="00067E2E" w:rsidP="00122872">
      <w:r>
        <w:t xml:space="preserve">The use of TUWA likely results in inferior effectiveness, based on the IPSS and </w:t>
      </w:r>
      <w:proofErr w:type="spellStart"/>
      <w:r>
        <w:t>Qmax</w:t>
      </w:r>
      <w:proofErr w:type="spellEnd"/>
      <w:r>
        <w:t xml:space="preserve"> changes reported</w:t>
      </w:r>
      <w:r w:rsidR="001E7B8F">
        <w:t xml:space="preserve"> (not included in the table below as it reported IPSS and </w:t>
      </w:r>
      <w:proofErr w:type="spellStart"/>
      <w:r w:rsidR="001E7B8F">
        <w:t>Qmax</w:t>
      </w:r>
      <w:proofErr w:type="spellEnd"/>
      <w:r w:rsidR="001E7B8F">
        <w:t xml:space="preserve"> changes from baseline instead of IPSS and </w:t>
      </w:r>
      <w:proofErr w:type="spellStart"/>
      <w:r w:rsidR="001E7B8F">
        <w:t>Qmax</w:t>
      </w:r>
      <w:proofErr w:type="spellEnd"/>
      <w:r w:rsidR="001E7B8F">
        <w:t xml:space="preserve"> scores)</w:t>
      </w:r>
      <w:r>
        <w:t>.</w:t>
      </w:r>
    </w:p>
    <w:p w14:paraId="1B1B0312" w14:textId="341087FC" w:rsidR="00067E2E" w:rsidRDefault="00067E2E" w:rsidP="00122872">
      <w:r>
        <w:t xml:space="preserve">There were no statistically significant differences in effectiveness (IPSS or </w:t>
      </w:r>
      <w:proofErr w:type="spellStart"/>
      <w:r>
        <w:t>Qmax</w:t>
      </w:r>
      <w:proofErr w:type="spellEnd"/>
      <w:r>
        <w:t xml:space="preserve">) between VLAP and TURP, and therefore the effectiveness of VLAP </w:t>
      </w:r>
      <w:proofErr w:type="gramStart"/>
      <w:r>
        <w:t>was considered to be</w:t>
      </w:r>
      <w:proofErr w:type="gramEnd"/>
      <w:r>
        <w:t xml:space="preserve"> non-inferior to TURP.</w:t>
      </w:r>
    </w:p>
    <w:p w14:paraId="357A3FC7" w14:textId="2DED925B" w:rsidR="00994452" w:rsidRPr="00994452" w:rsidRDefault="00067E2E" w:rsidP="00994452">
      <w:r>
        <w:t xml:space="preserve">The extent of use of the various enucleation techniques in Australia is unknown. This DCAR has sought to present results by individual enucleation </w:t>
      </w:r>
      <w:proofErr w:type="gramStart"/>
      <w:r>
        <w:t>technique, and</w:t>
      </w:r>
      <w:proofErr w:type="gramEnd"/>
      <w:r>
        <w:t xml:space="preserve"> pooled across all techniques. However, there are some differences in the results across the enucleation techniques, and the pooled analysis should be interpreted with caution.</w:t>
      </w:r>
      <w:r w:rsidRPr="00067E2E">
        <w:t xml:space="preserve"> </w:t>
      </w:r>
      <w:r>
        <w:t xml:space="preserve">While effectiveness outcomes (IPSS and </w:t>
      </w:r>
      <w:proofErr w:type="spellStart"/>
      <w:r>
        <w:t>Qmax</w:t>
      </w:r>
      <w:proofErr w:type="spellEnd"/>
      <w:r>
        <w:t>) were statistically superior after pooling, the size of the difference was unlikely to be clinically meaningful. The evidence best supports a conclusion of non-inferior effectiveness to TURP.</w:t>
      </w:r>
      <w:bookmarkStart w:id="27" w:name="_Ref96435135"/>
      <w:r w:rsidR="00994452">
        <w:br w:type="page"/>
      </w:r>
    </w:p>
    <w:p w14:paraId="2402F075" w14:textId="0489CC96" w:rsidR="002C6FC2" w:rsidRDefault="002C6FC2" w:rsidP="009A5C5B">
      <w:pPr>
        <w:pStyle w:val="TableFigureHeading"/>
      </w:pPr>
      <w:bookmarkStart w:id="28" w:name="_Ref116390412"/>
      <w:r>
        <w:lastRenderedPageBreak/>
        <w:t xml:space="preserve">Table </w:t>
      </w:r>
      <w:r>
        <w:fldChar w:fldCharType="begin"/>
      </w:r>
      <w:r>
        <w:instrText>SEQ Table \* ARABIC</w:instrText>
      </w:r>
      <w:r>
        <w:fldChar w:fldCharType="separate"/>
      </w:r>
      <w:r w:rsidR="00C03EF9">
        <w:rPr>
          <w:noProof/>
        </w:rPr>
        <w:t>5</w:t>
      </w:r>
      <w:r>
        <w:fldChar w:fldCharType="end"/>
      </w:r>
      <w:bookmarkEnd w:id="27"/>
      <w:bookmarkEnd w:id="28"/>
      <w:r>
        <w:t xml:space="preserve"> Summary of effectiveness outcomes, compared with TURP</w:t>
      </w:r>
    </w:p>
    <w:tbl>
      <w:tblPr>
        <w:tblStyle w:val="TableGrid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993"/>
        <w:gridCol w:w="1474"/>
        <w:gridCol w:w="1474"/>
        <w:gridCol w:w="1474"/>
        <w:gridCol w:w="1474"/>
        <w:gridCol w:w="1475"/>
      </w:tblGrid>
      <w:tr w:rsidR="00A80776" w14:paraId="595A24A7" w14:textId="77777777" w:rsidTr="00F042C1">
        <w:trPr>
          <w:cnfStyle w:val="100000000000" w:firstRow="1" w:lastRow="0" w:firstColumn="0" w:lastColumn="0" w:oddVBand="0" w:evenVBand="0" w:oddHBand="0" w:evenHBand="0" w:firstRowFirstColumn="0" w:firstRowLastColumn="0" w:lastRowFirstColumn="0" w:lastRowLastColumn="0"/>
          <w:trHeight w:val="318"/>
        </w:trPr>
        <w:tc>
          <w:tcPr>
            <w:tcW w:w="1560" w:type="dxa"/>
            <w:gridSpan w:val="2"/>
            <w:tcBorders>
              <w:top w:val="single" w:sz="4" w:space="0" w:color="auto"/>
              <w:left w:val="single" w:sz="4" w:space="0" w:color="auto"/>
            </w:tcBorders>
            <w:shd w:val="clear" w:color="auto" w:fill="E7E6E6" w:themeFill="background2"/>
          </w:tcPr>
          <w:p w14:paraId="302FF250" w14:textId="77777777" w:rsidR="00A80776" w:rsidRPr="001B578F" w:rsidRDefault="00A80776" w:rsidP="003D7BBE">
            <w:pPr>
              <w:pStyle w:val="TableHeadingCA"/>
            </w:pPr>
            <w:r w:rsidRPr="001B578F">
              <w:t>Intervention</w:t>
            </w:r>
          </w:p>
        </w:tc>
        <w:tc>
          <w:tcPr>
            <w:tcW w:w="1474" w:type="dxa"/>
            <w:tcBorders>
              <w:top w:val="single" w:sz="4" w:space="0" w:color="auto"/>
            </w:tcBorders>
            <w:shd w:val="clear" w:color="auto" w:fill="E7E6E6" w:themeFill="background2"/>
          </w:tcPr>
          <w:p w14:paraId="3A6FB729" w14:textId="77777777" w:rsidR="00A80776" w:rsidRPr="001B578F" w:rsidRDefault="00A80776" w:rsidP="003D7BBE">
            <w:pPr>
              <w:pStyle w:val="TableHeadingCA"/>
            </w:pPr>
            <w:r w:rsidRPr="001B578F">
              <w:t>IPSS 6mth</w:t>
            </w:r>
          </w:p>
        </w:tc>
        <w:tc>
          <w:tcPr>
            <w:tcW w:w="1474" w:type="dxa"/>
            <w:tcBorders>
              <w:top w:val="single" w:sz="4" w:space="0" w:color="auto"/>
            </w:tcBorders>
            <w:shd w:val="clear" w:color="auto" w:fill="E7E6E6" w:themeFill="background2"/>
          </w:tcPr>
          <w:p w14:paraId="6AD28066" w14:textId="77777777" w:rsidR="00A80776" w:rsidRPr="001B578F" w:rsidRDefault="00A80776" w:rsidP="003D7BBE">
            <w:pPr>
              <w:pStyle w:val="TableHeadingCA"/>
            </w:pPr>
            <w:r w:rsidRPr="001B578F">
              <w:t>IPSS 12mth</w:t>
            </w:r>
          </w:p>
        </w:tc>
        <w:tc>
          <w:tcPr>
            <w:tcW w:w="1474" w:type="dxa"/>
            <w:tcBorders>
              <w:top w:val="single" w:sz="4" w:space="0" w:color="auto"/>
            </w:tcBorders>
            <w:shd w:val="clear" w:color="auto" w:fill="E7E6E6" w:themeFill="background2"/>
          </w:tcPr>
          <w:p w14:paraId="2894C776" w14:textId="77777777" w:rsidR="00A80776" w:rsidRPr="001B578F" w:rsidRDefault="00A80776" w:rsidP="003D7BBE">
            <w:pPr>
              <w:pStyle w:val="TableHeadingCA"/>
            </w:pPr>
            <w:proofErr w:type="spellStart"/>
            <w:r w:rsidRPr="001B578F">
              <w:t>Qmax</w:t>
            </w:r>
            <w:proofErr w:type="spellEnd"/>
            <w:r w:rsidRPr="001B578F">
              <w:t xml:space="preserve"> 6mth</w:t>
            </w:r>
          </w:p>
        </w:tc>
        <w:tc>
          <w:tcPr>
            <w:tcW w:w="1474" w:type="dxa"/>
            <w:tcBorders>
              <w:top w:val="single" w:sz="4" w:space="0" w:color="auto"/>
            </w:tcBorders>
            <w:shd w:val="clear" w:color="auto" w:fill="E7E6E6" w:themeFill="background2"/>
          </w:tcPr>
          <w:p w14:paraId="6EB4BDD3" w14:textId="77777777" w:rsidR="00A80776" w:rsidRPr="001B578F" w:rsidRDefault="00A80776" w:rsidP="003D7BBE">
            <w:pPr>
              <w:pStyle w:val="TableHeadingCA"/>
            </w:pPr>
            <w:proofErr w:type="spellStart"/>
            <w:r w:rsidRPr="001B578F">
              <w:t>Qmax</w:t>
            </w:r>
            <w:proofErr w:type="spellEnd"/>
            <w:r w:rsidRPr="001B578F">
              <w:t xml:space="preserve"> 12mth</w:t>
            </w:r>
          </w:p>
        </w:tc>
        <w:tc>
          <w:tcPr>
            <w:tcW w:w="1475" w:type="dxa"/>
            <w:tcBorders>
              <w:top w:val="single" w:sz="4" w:space="0" w:color="auto"/>
            </w:tcBorders>
            <w:shd w:val="clear" w:color="auto" w:fill="E7E6E6" w:themeFill="background2"/>
          </w:tcPr>
          <w:p w14:paraId="26E33E31" w14:textId="77777777" w:rsidR="00A80776" w:rsidRPr="001B578F" w:rsidRDefault="00A80776" w:rsidP="003D7BBE">
            <w:pPr>
              <w:pStyle w:val="TableHeadingCA"/>
            </w:pPr>
            <w:r w:rsidRPr="001B578F">
              <w:t>Reintervention</w:t>
            </w:r>
          </w:p>
        </w:tc>
      </w:tr>
      <w:tr w:rsidR="0089393C" w14:paraId="59D01BE8" w14:textId="77777777" w:rsidTr="00F042C1">
        <w:trPr>
          <w:trHeight w:val="320"/>
        </w:trPr>
        <w:tc>
          <w:tcPr>
            <w:tcW w:w="567" w:type="dxa"/>
            <w:vMerge w:val="restart"/>
            <w:textDirection w:val="btLr"/>
            <w:vAlign w:val="center"/>
          </w:tcPr>
          <w:p w14:paraId="7EE615A3" w14:textId="48B1A80A" w:rsidR="0089393C" w:rsidRDefault="0089393C" w:rsidP="0089393C">
            <w:pPr>
              <w:pStyle w:val="TableHeader1"/>
              <w:ind w:left="113" w:right="113"/>
              <w:jc w:val="center"/>
            </w:pPr>
            <w:r>
              <w:t>EEP</w:t>
            </w:r>
          </w:p>
        </w:tc>
        <w:tc>
          <w:tcPr>
            <w:tcW w:w="993" w:type="dxa"/>
          </w:tcPr>
          <w:p w14:paraId="5BD90C18" w14:textId="4FFBEEA7" w:rsidR="0089393C" w:rsidRDefault="0089393C" w:rsidP="0089393C">
            <w:pPr>
              <w:pStyle w:val="TableHeader1"/>
            </w:pPr>
            <w:r>
              <w:t>B-TUEP</w:t>
            </w:r>
          </w:p>
        </w:tc>
        <w:tc>
          <w:tcPr>
            <w:tcW w:w="1474" w:type="dxa"/>
            <w:shd w:val="clear" w:color="auto" w:fill="CCCCCC"/>
          </w:tcPr>
          <w:p w14:paraId="30B1D48E" w14:textId="0EFF6682" w:rsidR="0089393C" w:rsidRDefault="0089393C" w:rsidP="0089393C">
            <w:pPr>
              <w:pStyle w:val="Tabletext0"/>
              <w:jc w:val="center"/>
            </w:pPr>
            <w:r>
              <w:t>Mean diff: -0.36 (95%CI -0.71, 0.00)</w:t>
            </w:r>
          </w:p>
        </w:tc>
        <w:tc>
          <w:tcPr>
            <w:tcW w:w="1474" w:type="dxa"/>
            <w:shd w:val="clear" w:color="auto" w:fill="CCCCCC"/>
          </w:tcPr>
          <w:p w14:paraId="31340B47" w14:textId="770C3F52" w:rsidR="0089393C" w:rsidRDefault="0089393C" w:rsidP="0089393C">
            <w:pPr>
              <w:pStyle w:val="Tabletext0"/>
              <w:jc w:val="center"/>
            </w:pPr>
            <w:r>
              <w:t>Mean diff: -0.43 (95%CI -1.06, 0.19)</w:t>
            </w:r>
          </w:p>
        </w:tc>
        <w:tc>
          <w:tcPr>
            <w:tcW w:w="1474" w:type="dxa"/>
            <w:shd w:val="clear" w:color="auto" w:fill="CCCCCC"/>
          </w:tcPr>
          <w:p w14:paraId="34A16568" w14:textId="2BE6328A" w:rsidR="0089393C" w:rsidRDefault="0089393C" w:rsidP="0089393C">
            <w:pPr>
              <w:pStyle w:val="Tabletext0"/>
              <w:jc w:val="center"/>
            </w:pPr>
            <w:r>
              <w:t>Mean diff: 1.71 (95%CI -0.02, 3.44)</w:t>
            </w:r>
          </w:p>
        </w:tc>
        <w:tc>
          <w:tcPr>
            <w:tcW w:w="1474" w:type="dxa"/>
            <w:shd w:val="clear" w:color="auto" w:fill="D0CECE" w:themeFill="background2" w:themeFillShade="E6"/>
          </w:tcPr>
          <w:p w14:paraId="2EBC0C9E" w14:textId="392D9473" w:rsidR="0089393C" w:rsidRDefault="0089393C" w:rsidP="0089393C">
            <w:pPr>
              <w:pStyle w:val="Tabletext0"/>
              <w:jc w:val="center"/>
            </w:pPr>
            <w:r>
              <w:t>Mean diff: 0.54 (95%CI -0.11, 1.19)</w:t>
            </w:r>
          </w:p>
        </w:tc>
        <w:tc>
          <w:tcPr>
            <w:tcW w:w="1475" w:type="dxa"/>
            <w:shd w:val="clear" w:color="auto" w:fill="CCFFCC"/>
          </w:tcPr>
          <w:p w14:paraId="24A4E216" w14:textId="77777777" w:rsidR="0089393C" w:rsidRDefault="0089393C" w:rsidP="0089393C">
            <w:pPr>
              <w:pStyle w:val="Tabletext0"/>
              <w:jc w:val="center"/>
            </w:pPr>
            <w:r>
              <w:t>RR 0.40</w:t>
            </w:r>
          </w:p>
          <w:p w14:paraId="7F3CC7F6" w14:textId="64822574" w:rsidR="0089393C" w:rsidRDefault="0089393C" w:rsidP="0089393C">
            <w:pPr>
              <w:pStyle w:val="Tabletext0"/>
              <w:jc w:val="center"/>
            </w:pPr>
            <w:r>
              <w:t>(95%CI 0.19, 0.87)</w:t>
            </w:r>
          </w:p>
        </w:tc>
      </w:tr>
      <w:tr w:rsidR="0089393C" w14:paraId="27F02DB3" w14:textId="77777777" w:rsidTr="00F042C1">
        <w:trPr>
          <w:trHeight w:val="320"/>
        </w:trPr>
        <w:tc>
          <w:tcPr>
            <w:tcW w:w="567" w:type="dxa"/>
            <w:vMerge/>
            <w:textDirection w:val="btLr"/>
            <w:vAlign w:val="center"/>
          </w:tcPr>
          <w:p w14:paraId="20AF87D6" w14:textId="20827AE7" w:rsidR="0089393C" w:rsidRDefault="0089393C" w:rsidP="0089393C">
            <w:pPr>
              <w:pStyle w:val="TableHeader1"/>
              <w:ind w:left="113" w:right="113"/>
              <w:jc w:val="center"/>
            </w:pPr>
          </w:p>
        </w:tc>
        <w:tc>
          <w:tcPr>
            <w:tcW w:w="993" w:type="dxa"/>
          </w:tcPr>
          <w:p w14:paraId="08FAD7F0" w14:textId="7BE051BF" w:rsidR="0089393C" w:rsidRDefault="0089393C" w:rsidP="0089393C">
            <w:pPr>
              <w:pStyle w:val="TableHeader1"/>
            </w:pPr>
            <w:proofErr w:type="spellStart"/>
            <w:r>
              <w:t>DioLEP</w:t>
            </w:r>
            <w:proofErr w:type="spellEnd"/>
          </w:p>
        </w:tc>
        <w:tc>
          <w:tcPr>
            <w:tcW w:w="1474" w:type="dxa"/>
            <w:shd w:val="clear" w:color="auto" w:fill="CCCCCC"/>
          </w:tcPr>
          <w:p w14:paraId="1A3AD8B3" w14:textId="67AD0F96" w:rsidR="0089393C" w:rsidRDefault="0089393C" w:rsidP="0089393C">
            <w:pPr>
              <w:pStyle w:val="Tabletext0"/>
              <w:jc w:val="center"/>
            </w:pPr>
            <w:r>
              <w:t>Mean diff: -0.26 (95%CI -0.69, 0.17)</w:t>
            </w:r>
          </w:p>
        </w:tc>
        <w:tc>
          <w:tcPr>
            <w:tcW w:w="1474" w:type="dxa"/>
            <w:shd w:val="clear" w:color="auto" w:fill="CCCCCC"/>
          </w:tcPr>
          <w:p w14:paraId="5E97FB94" w14:textId="753BC96D" w:rsidR="0089393C" w:rsidRDefault="0089393C" w:rsidP="0089393C">
            <w:pPr>
              <w:pStyle w:val="Tabletext0"/>
              <w:jc w:val="center"/>
            </w:pPr>
            <w:r>
              <w:t>Mean diff: -0.20 (95%CI -0.76, 0.36)</w:t>
            </w:r>
          </w:p>
        </w:tc>
        <w:tc>
          <w:tcPr>
            <w:tcW w:w="1474" w:type="dxa"/>
            <w:shd w:val="clear" w:color="auto" w:fill="CCCCCC"/>
          </w:tcPr>
          <w:p w14:paraId="079B5195" w14:textId="11AB55EF" w:rsidR="0089393C" w:rsidRDefault="0089393C" w:rsidP="0089393C">
            <w:pPr>
              <w:pStyle w:val="Tabletext0"/>
              <w:jc w:val="center"/>
            </w:pPr>
            <w:r>
              <w:t>Mean diff: -0.43 (95%CI -1.37, 0.51)</w:t>
            </w:r>
          </w:p>
        </w:tc>
        <w:tc>
          <w:tcPr>
            <w:tcW w:w="1474" w:type="dxa"/>
            <w:shd w:val="clear" w:color="auto" w:fill="D0CECE" w:themeFill="background2" w:themeFillShade="E6"/>
          </w:tcPr>
          <w:p w14:paraId="6C957B6C" w14:textId="750C64B3" w:rsidR="0089393C" w:rsidRDefault="0089393C" w:rsidP="0089393C">
            <w:pPr>
              <w:pStyle w:val="Tabletext0"/>
              <w:jc w:val="center"/>
            </w:pPr>
            <w:r>
              <w:t>Mean diff: -0.90 (95%CI -2.09, 0.29)</w:t>
            </w:r>
          </w:p>
        </w:tc>
        <w:tc>
          <w:tcPr>
            <w:tcW w:w="1475" w:type="dxa"/>
            <w:shd w:val="clear" w:color="auto" w:fill="FFFFFF" w:themeFill="background1"/>
          </w:tcPr>
          <w:p w14:paraId="3DACC436" w14:textId="77777777" w:rsidR="0089393C" w:rsidRDefault="0089393C" w:rsidP="0089393C">
            <w:pPr>
              <w:pStyle w:val="Tabletext0"/>
              <w:jc w:val="center"/>
            </w:pPr>
          </w:p>
        </w:tc>
      </w:tr>
      <w:tr w:rsidR="0089393C" w14:paraId="7A04638B" w14:textId="77777777" w:rsidTr="00F042C1">
        <w:trPr>
          <w:trHeight w:val="320"/>
        </w:trPr>
        <w:tc>
          <w:tcPr>
            <w:tcW w:w="567" w:type="dxa"/>
            <w:vMerge/>
            <w:textDirection w:val="btLr"/>
            <w:vAlign w:val="center"/>
          </w:tcPr>
          <w:p w14:paraId="2610FFCC" w14:textId="0C68B26F" w:rsidR="0089393C" w:rsidRDefault="0089393C" w:rsidP="0089393C">
            <w:pPr>
              <w:pStyle w:val="TableHeader1"/>
              <w:ind w:left="113" w:right="113"/>
              <w:jc w:val="center"/>
            </w:pPr>
          </w:p>
        </w:tc>
        <w:tc>
          <w:tcPr>
            <w:tcW w:w="993" w:type="dxa"/>
          </w:tcPr>
          <w:p w14:paraId="7531F731" w14:textId="77777777" w:rsidR="0089393C" w:rsidRDefault="0089393C" w:rsidP="0089393C">
            <w:pPr>
              <w:pStyle w:val="TableHeader1"/>
            </w:pPr>
            <w:proofErr w:type="spellStart"/>
            <w:r>
              <w:t>HoLEP</w:t>
            </w:r>
            <w:proofErr w:type="spellEnd"/>
          </w:p>
        </w:tc>
        <w:tc>
          <w:tcPr>
            <w:tcW w:w="1474" w:type="dxa"/>
            <w:shd w:val="clear" w:color="auto" w:fill="CCCCCC"/>
          </w:tcPr>
          <w:p w14:paraId="18E51AF3" w14:textId="77777777" w:rsidR="0089393C" w:rsidRDefault="0089393C" w:rsidP="0089393C">
            <w:pPr>
              <w:pStyle w:val="Tabletext0"/>
              <w:jc w:val="center"/>
            </w:pPr>
            <w:r>
              <w:t>Mean diff: -0.00 (95%CI -0.80, 0.80)</w:t>
            </w:r>
          </w:p>
        </w:tc>
        <w:tc>
          <w:tcPr>
            <w:tcW w:w="1474" w:type="dxa"/>
            <w:shd w:val="clear" w:color="auto" w:fill="CCCCCC"/>
          </w:tcPr>
          <w:p w14:paraId="28479167" w14:textId="77777777" w:rsidR="0089393C" w:rsidRPr="001B578F" w:rsidRDefault="0089393C" w:rsidP="0089393C">
            <w:pPr>
              <w:pStyle w:val="Tabletext0"/>
              <w:jc w:val="center"/>
            </w:pPr>
            <w:r>
              <w:t>Mean diff: -0.69 (95%CI -1.42, 0.04)</w:t>
            </w:r>
          </w:p>
        </w:tc>
        <w:tc>
          <w:tcPr>
            <w:tcW w:w="1474" w:type="dxa"/>
            <w:shd w:val="clear" w:color="auto" w:fill="CCCCCC"/>
          </w:tcPr>
          <w:p w14:paraId="5CA1EDF0" w14:textId="77777777" w:rsidR="0089393C" w:rsidRPr="001B578F" w:rsidRDefault="0089393C" w:rsidP="0089393C">
            <w:pPr>
              <w:pStyle w:val="Tabletext0"/>
              <w:jc w:val="center"/>
            </w:pPr>
            <w:r>
              <w:t>Mean diff: 0.20 (95%CI -0.78, 1.18)</w:t>
            </w:r>
          </w:p>
        </w:tc>
        <w:tc>
          <w:tcPr>
            <w:tcW w:w="1474" w:type="dxa"/>
            <w:shd w:val="clear" w:color="auto" w:fill="CCFFCC"/>
          </w:tcPr>
          <w:p w14:paraId="4B320201" w14:textId="77777777" w:rsidR="0089393C" w:rsidRDefault="0089393C" w:rsidP="0089393C">
            <w:pPr>
              <w:pStyle w:val="Tabletext0"/>
              <w:jc w:val="center"/>
            </w:pPr>
            <w:r>
              <w:t>Mean diff: 0.64 (95%CI 0.07, 1.20)</w:t>
            </w:r>
          </w:p>
        </w:tc>
        <w:tc>
          <w:tcPr>
            <w:tcW w:w="1475" w:type="dxa"/>
            <w:shd w:val="clear" w:color="auto" w:fill="D0CECE" w:themeFill="background2" w:themeFillShade="E6"/>
          </w:tcPr>
          <w:p w14:paraId="5883B6D4" w14:textId="77777777" w:rsidR="0089393C" w:rsidRDefault="0089393C" w:rsidP="0089393C">
            <w:pPr>
              <w:pStyle w:val="Tabletext0"/>
              <w:jc w:val="center"/>
            </w:pPr>
            <w:r>
              <w:t>RR 0.58</w:t>
            </w:r>
          </w:p>
          <w:p w14:paraId="5009D462" w14:textId="77777777" w:rsidR="0089393C" w:rsidRPr="001B578F" w:rsidRDefault="0089393C" w:rsidP="0089393C">
            <w:pPr>
              <w:pStyle w:val="Tabletext0"/>
              <w:jc w:val="center"/>
            </w:pPr>
            <w:r>
              <w:t>(95%CI 0.12, 2.90)</w:t>
            </w:r>
          </w:p>
        </w:tc>
      </w:tr>
      <w:tr w:rsidR="0089393C" w14:paraId="33E3CC90" w14:textId="77777777" w:rsidTr="00F042C1">
        <w:trPr>
          <w:trHeight w:val="318"/>
        </w:trPr>
        <w:tc>
          <w:tcPr>
            <w:tcW w:w="567" w:type="dxa"/>
            <w:vMerge/>
          </w:tcPr>
          <w:p w14:paraId="156BC45C" w14:textId="77777777" w:rsidR="0089393C" w:rsidRDefault="0089393C" w:rsidP="0089393C">
            <w:pPr>
              <w:pStyle w:val="TableHeader1"/>
            </w:pPr>
          </w:p>
        </w:tc>
        <w:tc>
          <w:tcPr>
            <w:tcW w:w="993" w:type="dxa"/>
          </w:tcPr>
          <w:p w14:paraId="6258B072" w14:textId="77777777" w:rsidR="0089393C" w:rsidRDefault="0089393C" w:rsidP="0089393C">
            <w:pPr>
              <w:pStyle w:val="TableHeader1"/>
            </w:pPr>
            <w:proofErr w:type="spellStart"/>
            <w:r>
              <w:t>ThuLEP</w:t>
            </w:r>
            <w:proofErr w:type="spellEnd"/>
          </w:p>
        </w:tc>
        <w:tc>
          <w:tcPr>
            <w:tcW w:w="1474" w:type="dxa"/>
            <w:shd w:val="clear" w:color="auto" w:fill="CCFFCC"/>
          </w:tcPr>
          <w:p w14:paraId="7F75FA00" w14:textId="0E144E7D" w:rsidR="0089393C" w:rsidRDefault="0089393C" w:rsidP="0089393C">
            <w:pPr>
              <w:pStyle w:val="Tabletext0"/>
              <w:jc w:val="center"/>
            </w:pPr>
            <w:r>
              <w:t xml:space="preserve">Mean diff: -0.72 (95%CI -1.14, </w:t>
            </w:r>
            <w:r>
              <w:br/>
              <w:t>-0.29)</w:t>
            </w:r>
          </w:p>
        </w:tc>
        <w:tc>
          <w:tcPr>
            <w:tcW w:w="1474" w:type="dxa"/>
            <w:shd w:val="clear" w:color="auto" w:fill="CCCCCC"/>
          </w:tcPr>
          <w:p w14:paraId="6C04C41D" w14:textId="77777777" w:rsidR="0089393C" w:rsidRDefault="0089393C" w:rsidP="0089393C">
            <w:pPr>
              <w:pStyle w:val="Tabletext0"/>
              <w:jc w:val="center"/>
            </w:pPr>
            <w:r>
              <w:t>Mean diff: 0.13 (95%CI -0.64, 0.90)</w:t>
            </w:r>
          </w:p>
        </w:tc>
        <w:tc>
          <w:tcPr>
            <w:tcW w:w="1474" w:type="dxa"/>
            <w:shd w:val="clear" w:color="auto" w:fill="CCCCCC"/>
          </w:tcPr>
          <w:p w14:paraId="0DE47EF4" w14:textId="77777777" w:rsidR="0089393C" w:rsidRDefault="0089393C" w:rsidP="0089393C">
            <w:pPr>
              <w:pStyle w:val="Tabletext0"/>
              <w:jc w:val="center"/>
            </w:pPr>
            <w:r>
              <w:t>Mean diff: 0.51 (95%CI -0.46, 1.48)</w:t>
            </w:r>
          </w:p>
        </w:tc>
        <w:tc>
          <w:tcPr>
            <w:tcW w:w="1474" w:type="dxa"/>
            <w:shd w:val="clear" w:color="auto" w:fill="CCCCCC"/>
          </w:tcPr>
          <w:p w14:paraId="11E71835" w14:textId="77777777" w:rsidR="0089393C" w:rsidRPr="001B578F" w:rsidRDefault="0089393C" w:rsidP="0089393C">
            <w:pPr>
              <w:pStyle w:val="Tabletext0"/>
              <w:jc w:val="center"/>
            </w:pPr>
            <w:r>
              <w:t>Mean diff: 0.73 (95%CI -0.56, 2.02)</w:t>
            </w:r>
          </w:p>
        </w:tc>
        <w:tc>
          <w:tcPr>
            <w:tcW w:w="1475" w:type="dxa"/>
            <w:shd w:val="clear" w:color="auto" w:fill="auto"/>
          </w:tcPr>
          <w:p w14:paraId="69985A41" w14:textId="77777777" w:rsidR="0089393C" w:rsidRPr="001B578F" w:rsidRDefault="0089393C" w:rsidP="0089393C">
            <w:pPr>
              <w:pStyle w:val="Tabletext0"/>
              <w:jc w:val="center"/>
            </w:pPr>
          </w:p>
        </w:tc>
      </w:tr>
      <w:tr w:rsidR="0089393C" w14:paraId="0401C0DB" w14:textId="77777777" w:rsidTr="00F042C1">
        <w:trPr>
          <w:trHeight w:val="318"/>
        </w:trPr>
        <w:tc>
          <w:tcPr>
            <w:tcW w:w="567" w:type="dxa"/>
            <w:vMerge/>
          </w:tcPr>
          <w:p w14:paraId="3406E994" w14:textId="77777777" w:rsidR="0089393C" w:rsidRDefault="0089393C" w:rsidP="0089393C">
            <w:pPr>
              <w:pStyle w:val="TableHeader1"/>
            </w:pPr>
          </w:p>
        </w:tc>
        <w:tc>
          <w:tcPr>
            <w:tcW w:w="993" w:type="dxa"/>
            <w:tcBorders>
              <w:top w:val="single" w:sz="4" w:space="0" w:color="auto"/>
            </w:tcBorders>
          </w:tcPr>
          <w:p w14:paraId="083BAA83" w14:textId="77777777" w:rsidR="0089393C" w:rsidRDefault="0089393C" w:rsidP="0089393C">
            <w:pPr>
              <w:pStyle w:val="TableHeader1"/>
            </w:pPr>
            <w:r>
              <w:t>Overall</w:t>
            </w:r>
          </w:p>
        </w:tc>
        <w:tc>
          <w:tcPr>
            <w:tcW w:w="1474" w:type="dxa"/>
            <w:tcBorders>
              <w:top w:val="single" w:sz="4" w:space="0" w:color="auto"/>
            </w:tcBorders>
            <w:shd w:val="clear" w:color="auto" w:fill="D0CECE" w:themeFill="background2" w:themeFillShade="E6"/>
          </w:tcPr>
          <w:p w14:paraId="7409229A" w14:textId="77777777" w:rsidR="0089393C" w:rsidRDefault="0089393C" w:rsidP="0089393C">
            <w:pPr>
              <w:pStyle w:val="Tabletext0"/>
              <w:jc w:val="center"/>
            </w:pPr>
            <w:r>
              <w:t>Mean diff: -0.24 (95%CI -0.59, 0.11)</w:t>
            </w:r>
          </w:p>
        </w:tc>
        <w:tc>
          <w:tcPr>
            <w:tcW w:w="1474" w:type="dxa"/>
            <w:tcBorders>
              <w:top w:val="single" w:sz="4" w:space="0" w:color="auto"/>
            </w:tcBorders>
            <w:shd w:val="clear" w:color="auto" w:fill="CCFFCC"/>
          </w:tcPr>
          <w:p w14:paraId="25F5D744" w14:textId="77777777" w:rsidR="0089393C" w:rsidRDefault="0089393C" w:rsidP="0089393C">
            <w:pPr>
              <w:pStyle w:val="Tabletext0"/>
              <w:jc w:val="center"/>
            </w:pPr>
            <w:r>
              <w:t xml:space="preserve">Mean diff: -0.51 (95%CI -0.98, </w:t>
            </w:r>
          </w:p>
          <w:p w14:paraId="1D8164EF" w14:textId="110C751F" w:rsidR="0089393C" w:rsidRDefault="0089393C" w:rsidP="0089393C">
            <w:pPr>
              <w:pStyle w:val="Tabletext0"/>
              <w:jc w:val="center"/>
            </w:pPr>
            <w:r>
              <w:t>-0.04)</w:t>
            </w:r>
          </w:p>
        </w:tc>
        <w:tc>
          <w:tcPr>
            <w:tcW w:w="1474" w:type="dxa"/>
            <w:tcBorders>
              <w:top w:val="single" w:sz="4" w:space="0" w:color="auto"/>
            </w:tcBorders>
            <w:shd w:val="clear" w:color="auto" w:fill="CCCCCC"/>
          </w:tcPr>
          <w:p w14:paraId="0809E963" w14:textId="77777777" w:rsidR="0089393C" w:rsidRPr="001B578F" w:rsidRDefault="0089393C" w:rsidP="0089393C">
            <w:pPr>
              <w:pStyle w:val="Tabletext0"/>
              <w:jc w:val="center"/>
            </w:pPr>
            <w:r>
              <w:t>Mean diff: 0.48 (95%CI -0.14, 1.09)</w:t>
            </w:r>
          </w:p>
        </w:tc>
        <w:tc>
          <w:tcPr>
            <w:tcW w:w="1474" w:type="dxa"/>
            <w:tcBorders>
              <w:top w:val="single" w:sz="4" w:space="0" w:color="auto"/>
            </w:tcBorders>
            <w:shd w:val="clear" w:color="auto" w:fill="CCFFCC"/>
          </w:tcPr>
          <w:p w14:paraId="7F4B3628" w14:textId="77777777" w:rsidR="0089393C" w:rsidRDefault="0089393C" w:rsidP="0089393C">
            <w:pPr>
              <w:pStyle w:val="Tabletext0"/>
              <w:jc w:val="center"/>
            </w:pPr>
            <w:r>
              <w:t>Mean diff: 0.49 (95%CI 0.12, 0.86)</w:t>
            </w:r>
          </w:p>
        </w:tc>
        <w:tc>
          <w:tcPr>
            <w:tcW w:w="1475" w:type="dxa"/>
            <w:tcBorders>
              <w:top w:val="single" w:sz="4" w:space="0" w:color="auto"/>
            </w:tcBorders>
            <w:shd w:val="clear" w:color="auto" w:fill="CCFFCC"/>
          </w:tcPr>
          <w:p w14:paraId="03698968" w14:textId="47698055" w:rsidR="0089393C" w:rsidRPr="001B578F" w:rsidRDefault="0089393C" w:rsidP="0089393C">
            <w:pPr>
              <w:pStyle w:val="Tabletext0"/>
              <w:jc w:val="center"/>
            </w:pPr>
            <w:r>
              <w:t>RR 0.46 (95%CI 0.23, 0.91)</w:t>
            </w:r>
          </w:p>
        </w:tc>
      </w:tr>
      <w:tr w:rsidR="0089393C" w14:paraId="2CE0DDB3" w14:textId="77777777" w:rsidTr="006715AE">
        <w:trPr>
          <w:trHeight w:val="1905"/>
        </w:trPr>
        <w:tc>
          <w:tcPr>
            <w:tcW w:w="1560" w:type="dxa"/>
            <w:gridSpan w:val="2"/>
            <w:tcBorders>
              <w:left w:val="single" w:sz="4" w:space="0" w:color="auto"/>
            </w:tcBorders>
          </w:tcPr>
          <w:p w14:paraId="723CEF1C" w14:textId="77777777" w:rsidR="0089393C" w:rsidRDefault="0089393C" w:rsidP="0089393C">
            <w:pPr>
              <w:pStyle w:val="TableHeader1"/>
            </w:pPr>
            <w:r>
              <w:t>PUL</w:t>
            </w:r>
          </w:p>
        </w:tc>
        <w:tc>
          <w:tcPr>
            <w:tcW w:w="1474" w:type="dxa"/>
            <w:shd w:val="clear" w:color="auto" w:fill="D0CECE" w:themeFill="background2" w:themeFillShade="E6"/>
          </w:tcPr>
          <w:p w14:paraId="26ADFA36" w14:textId="5B414727" w:rsidR="0089393C" w:rsidRDefault="0089393C" w:rsidP="0089393C">
            <w:pPr>
              <w:pStyle w:val="Tabletext0"/>
              <w:jc w:val="center"/>
            </w:pPr>
            <w:r>
              <w:t>PUL: 9.2</w:t>
            </w:r>
          </w:p>
          <w:p w14:paraId="7B64B8F7" w14:textId="4D228B21" w:rsidR="0089393C" w:rsidRDefault="0089393C" w:rsidP="0089393C">
            <w:pPr>
              <w:pStyle w:val="Tabletext0"/>
              <w:jc w:val="center"/>
            </w:pPr>
            <w:r>
              <w:t>TURP: 8.0</w:t>
            </w:r>
          </w:p>
          <w:p w14:paraId="0BBDFB8F" w14:textId="77777777" w:rsidR="00187353" w:rsidRDefault="0089393C" w:rsidP="0089393C">
            <w:pPr>
              <w:pStyle w:val="Tabletext0"/>
              <w:jc w:val="center"/>
            </w:pPr>
            <w:r>
              <w:t>P-value: 0.42</w:t>
            </w:r>
          </w:p>
          <w:p w14:paraId="12686675" w14:textId="77777777" w:rsidR="00DB781E" w:rsidRDefault="00DB781E" w:rsidP="00DB781E">
            <w:pPr>
              <w:pStyle w:val="Tabletext0"/>
              <w:jc w:val="center"/>
            </w:pPr>
            <w:r>
              <w:t>Change from baseline</w:t>
            </w:r>
          </w:p>
          <w:p w14:paraId="37A768B7" w14:textId="77777777" w:rsidR="00DB781E" w:rsidRDefault="00DB781E" w:rsidP="0089393C">
            <w:pPr>
              <w:pStyle w:val="Tabletext0"/>
              <w:jc w:val="center"/>
            </w:pPr>
            <w:r>
              <w:t>PUL: -13.0</w:t>
            </w:r>
          </w:p>
          <w:p w14:paraId="6218C348" w14:textId="1B1EA8D2" w:rsidR="00DB781E" w:rsidRDefault="00DB781E" w:rsidP="0089393C">
            <w:pPr>
              <w:pStyle w:val="Tabletext0"/>
              <w:jc w:val="center"/>
            </w:pPr>
            <w:r>
              <w:t>TURP: -14.6</w:t>
            </w:r>
          </w:p>
        </w:tc>
        <w:tc>
          <w:tcPr>
            <w:tcW w:w="1474" w:type="dxa"/>
            <w:shd w:val="clear" w:color="auto" w:fill="FF9933"/>
          </w:tcPr>
          <w:p w14:paraId="6B087C31" w14:textId="25E34BCF" w:rsidR="0089393C" w:rsidRDefault="0089393C" w:rsidP="0089393C">
            <w:pPr>
              <w:pStyle w:val="Tabletext0"/>
              <w:jc w:val="center"/>
            </w:pPr>
            <w:r>
              <w:t>PUL: 10.9</w:t>
            </w:r>
          </w:p>
          <w:p w14:paraId="3F91583D" w14:textId="1BE00264" w:rsidR="0089393C" w:rsidRDefault="0089393C" w:rsidP="00187353">
            <w:pPr>
              <w:pStyle w:val="Tabletext0"/>
              <w:jc w:val="center"/>
            </w:pPr>
            <w:r>
              <w:t>TURP: 7.3</w:t>
            </w:r>
          </w:p>
          <w:p w14:paraId="1F817DB9" w14:textId="77777777" w:rsidR="00DB781E" w:rsidRDefault="0089393C" w:rsidP="00DB781E">
            <w:pPr>
              <w:pStyle w:val="Tabletext0"/>
              <w:jc w:val="center"/>
            </w:pPr>
            <w:r>
              <w:t>P-value:  0.01</w:t>
            </w:r>
          </w:p>
          <w:p w14:paraId="24C975D3" w14:textId="168C4D63" w:rsidR="00DB781E" w:rsidRDefault="00DB781E" w:rsidP="00DB781E">
            <w:pPr>
              <w:pStyle w:val="Tabletext0"/>
              <w:jc w:val="center"/>
            </w:pPr>
            <w:r w:rsidRPr="00187353">
              <w:t>Change from baseline</w:t>
            </w:r>
          </w:p>
          <w:p w14:paraId="576DA7C1" w14:textId="55D02469" w:rsidR="00DB781E" w:rsidRDefault="00DB781E" w:rsidP="0089393C">
            <w:pPr>
              <w:pStyle w:val="Tabletext0"/>
              <w:jc w:val="center"/>
            </w:pPr>
            <w:r>
              <w:t>PUL: -11.4</w:t>
            </w:r>
          </w:p>
          <w:p w14:paraId="45F3007D" w14:textId="50F3F318" w:rsidR="00187353" w:rsidRDefault="00DB781E" w:rsidP="008424AD">
            <w:pPr>
              <w:pStyle w:val="Tabletext0"/>
              <w:jc w:val="center"/>
            </w:pPr>
            <w:r>
              <w:t>TURP: -15.4</w:t>
            </w:r>
          </w:p>
        </w:tc>
        <w:tc>
          <w:tcPr>
            <w:tcW w:w="1474" w:type="dxa"/>
            <w:shd w:val="clear" w:color="auto" w:fill="FF9900"/>
          </w:tcPr>
          <w:p w14:paraId="16669D92" w14:textId="0A8310F5" w:rsidR="0089393C" w:rsidRDefault="0089393C" w:rsidP="0089393C">
            <w:pPr>
              <w:pStyle w:val="Tabletext0"/>
              <w:jc w:val="center"/>
            </w:pPr>
            <w:r>
              <w:t>PUL: 13.5</w:t>
            </w:r>
          </w:p>
          <w:p w14:paraId="79B79B90" w14:textId="612E4BDC" w:rsidR="0089393C" w:rsidRDefault="0089393C" w:rsidP="0089393C">
            <w:pPr>
              <w:pStyle w:val="Tabletext0"/>
              <w:jc w:val="center"/>
            </w:pPr>
            <w:r>
              <w:t>TURP: 19.0</w:t>
            </w:r>
          </w:p>
          <w:p w14:paraId="4E4E270B" w14:textId="77777777" w:rsidR="00DB781E" w:rsidRDefault="0089393C" w:rsidP="00DB781E">
            <w:pPr>
              <w:pStyle w:val="Tabletext0"/>
              <w:jc w:val="center"/>
            </w:pPr>
            <w:r>
              <w:t>P-value: 0.003</w:t>
            </w:r>
          </w:p>
          <w:p w14:paraId="45C0E2DF" w14:textId="3CE23D15" w:rsidR="00DB781E" w:rsidRDefault="00DB781E" w:rsidP="00DB781E">
            <w:pPr>
              <w:pStyle w:val="Tabletext0"/>
              <w:jc w:val="center"/>
            </w:pPr>
            <w:r w:rsidRPr="00187353">
              <w:t>Change from baseline</w:t>
            </w:r>
          </w:p>
          <w:p w14:paraId="276CDDF8" w14:textId="54B426C7" w:rsidR="00DB781E" w:rsidRDefault="00DB781E" w:rsidP="0089393C">
            <w:pPr>
              <w:pStyle w:val="Tabletext0"/>
              <w:jc w:val="center"/>
            </w:pPr>
            <w:r>
              <w:t>PUL: 3.8</w:t>
            </w:r>
          </w:p>
          <w:p w14:paraId="13D7E5FE" w14:textId="39C1AE65" w:rsidR="006A690E" w:rsidRDefault="00DB781E" w:rsidP="008424AD">
            <w:pPr>
              <w:pStyle w:val="Tabletext0"/>
              <w:jc w:val="center"/>
            </w:pPr>
            <w:r>
              <w:t>TURP: 9.6</w:t>
            </w:r>
          </w:p>
        </w:tc>
        <w:tc>
          <w:tcPr>
            <w:tcW w:w="1474" w:type="dxa"/>
            <w:shd w:val="clear" w:color="auto" w:fill="FF9900"/>
          </w:tcPr>
          <w:p w14:paraId="5C9EEC5B" w14:textId="3217AD6C" w:rsidR="0089393C" w:rsidRDefault="0089393C" w:rsidP="0089393C">
            <w:pPr>
              <w:pStyle w:val="Tabletext0"/>
              <w:jc w:val="center"/>
            </w:pPr>
            <w:r>
              <w:t>PUL: 13.6</w:t>
            </w:r>
          </w:p>
          <w:p w14:paraId="57DE49E8" w14:textId="320AE7FD" w:rsidR="0089393C" w:rsidRDefault="0089393C" w:rsidP="0089393C">
            <w:pPr>
              <w:pStyle w:val="Tabletext0"/>
              <w:jc w:val="center"/>
            </w:pPr>
            <w:r>
              <w:t>TURP: 19.0</w:t>
            </w:r>
          </w:p>
          <w:p w14:paraId="25225182" w14:textId="77777777" w:rsidR="008424AD" w:rsidRDefault="0089393C" w:rsidP="00DB781E">
            <w:pPr>
              <w:pStyle w:val="Tabletext0"/>
              <w:jc w:val="center"/>
            </w:pPr>
            <w:r>
              <w:t>P-value &lt;0.001</w:t>
            </w:r>
          </w:p>
          <w:p w14:paraId="56243907" w14:textId="5164DA94" w:rsidR="00DB781E" w:rsidRDefault="00DB781E" w:rsidP="00DB781E">
            <w:pPr>
              <w:pStyle w:val="Tabletext0"/>
              <w:jc w:val="center"/>
            </w:pPr>
            <w:r>
              <w:t>Change from baseline</w:t>
            </w:r>
          </w:p>
          <w:p w14:paraId="5B6894E0" w14:textId="502A5B8C" w:rsidR="00DB781E" w:rsidRDefault="00DB781E" w:rsidP="0089393C">
            <w:pPr>
              <w:pStyle w:val="Tabletext0"/>
              <w:jc w:val="center"/>
            </w:pPr>
            <w:r>
              <w:t>PUL: 4.0</w:t>
            </w:r>
          </w:p>
          <w:p w14:paraId="05C623E0" w14:textId="564C27E4" w:rsidR="006A690E" w:rsidRDefault="00DB781E" w:rsidP="008424AD">
            <w:pPr>
              <w:pStyle w:val="Tabletext0"/>
              <w:jc w:val="center"/>
            </w:pPr>
            <w:r>
              <w:t xml:space="preserve">TURP: </w:t>
            </w:r>
            <w:r w:rsidR="008424AD">
              <w:t>13.7</w:t>
            </w:r>
          </w:p>
        </w:tc>
        <w:tc>
          <w:tcPr>
            <w:tcW w:w="1475" w:type="dxa"/>
            <w:shd w:val="clear" w:color="auto" w:fill="D0CECE" w:themeFill="background2" w:themeFillShade="E6"/>
          </w:tcPr>
          <w:p w14:paraId="1D5AECA5" w14:textId="77777777" w:rsidR="0089393C" w:rsidRDefault="0089393C" w:rsidP="0089393C">
            <w:pPr>
              <w:pStyle w:val="Tabletext0"/>
              <w:jc w:val="center"/>
              <w:rPr>
                <w:rFonts w:ascii="Times New Roman"/>
              </w:rPr>
            </w:pPr>
            <w:r w:rsidRPr="00B931CA">
              <w:t>RR 2.39 (95%CI 0.51, 11.10)</w:t>
            </w:r>
          </w:p>
        </w:tc>
      </w:tr>
      <w:tr w:rsidR="0089393C" w14:paraId="5CC0EE27" w14:textId="77777777" w:rsidTr="00F042C1">
        <w:trPr>
          <w:trHeight w:val="318"/>
        </w:trPr>
        <w:tc>
          <w:tcPr>
            <w:tcW w:w="1560" w:type="dxa"/>
            <w:gridSpan w:val="2"/>
            <w:tcBorders>
              <w:left w:val="single" w:sz="4" w:space="0" w:color="auto"/>
            </w:tcBorders>
          </w:tcPr>
          <w:p w14:paraId="49A5D9C5" w14:textId="77777777" w:rsidR="0089393C" w:rsidRDefault="0089393C" w:rsidP="0089393C">
            <w:pPr>
              <w:pStyle w:val="TableHeader1"/>
            </w:pPr>
            <w:r>
              <w:t>TUMT</w:t>
            </w:r>
          </w:p>
        </w:tc>
        <w:tc>
          <w:tcPr>
            <w:tcW w:w="1474" w:type="dxa"/>
            <w:shd w:val="clear" w:color="auto" w:fill="F8D7B2"/>
          </w:tcPr>
          <w:p w14:paraId="7AA027D0" w14:textId="77777777" w:rsidR="0089393C" w:rsidRDefault="0089393C" w:rsidP="0089393C">
            <w:pPr>
              <w:pStyle w:val="Tabletext0"/>
              <w:jc w:val="center"/>
            </w:pPr>
            <w:r>
              <w:t>Std. mean diff:</w:t>
            </w:r>
          </w:p>
          <w:p w14:paraId="24DB4FD7" w14:textId="77777777" w:rsidR="0089393C" w:rsidRDefault="0089393C" w:rsidP="0089393C">
            <w:pPr>
              <w:pStyle w:val="Tabletext0"/>
              <w:jc w:val="center"/>
            </w:pPr>
            <w:r>
              <w:t xml:space="preserve">0.44 (95%CI </w:t>
            </w:r>
          </w:p>
          <w:p w14:paraId="6D24612D" w14:textId="5348A47E" w:rsidR="0089393C" w:rsidRDefault="0089393C" w:rsidP="0089393C">
            <w:pPr>
              <w:pStyle w:val="Tabletext0"/>
              <w:jc w:val="center"/>
            </w:pPr>
            <w:r>
              <w:t>0.18, 0.70)</w:t>
            </w:r>
          </w:p>
        </w:tc>
        <w:tc>
          <w:tcPr>
            <w:tcW w:w="1474" w:type="dxa"/>
            <w:shd w:val="clear" w:color="auto" w:fill="F8D7B2"/>
          </w:tcPr>
          <w:p w14:paraId="27B0FD0D" w14:textId="77777777" w:rsidR="0089393C" w:rsidRDefault="0089393C" w:rsidP="0089393C">
            <w:pPr>
              <w:pStyle w:val="Tabletext0"/>
              <w:jc w:val="center"/>
            </w:pPr>
            <w:r>
              <w:t>Std. mean diff:</w:t>
            </w:r>
          </w:p>
          <w:p w14:paraId="05204750" w14:textId="77777777" w:rsidR="0089393C" w:rsidRDefault="0089393C" w:rsidP="0089393C">
            <w:pPr>
              <w:pStyle w:val="Tabletext0"/>
              <w:jc w:val="center"/>
            </w:pPr>
            <w:r>
              <w:t xml:space="preserve">0.63 (95%CI </w:t>
            </w:r>
          </w:p>
          <w:p w14:paraId="4BE89F62" w14:textId="20CA1F52" w:rsidR="0089393C" w:rsidRDefault="0089393C" w:rsidP="0089393C">
            <w:pPr>
              <w:pStyle w:val="Tabletext0"/>
              <w:jc w:val="center"/>
            </w:pPr>
            <w:r>
              <w:t>0.40, 0.85)</w:t>
            </w:r>
          </w:p>
        </w:tc>
        <w:tc>
          <w:tcPr>
            <w:tcW w:w="1474" w:type="dxa"/>
            <w:shd w:val="clear" w:color="auto" w:fill="F8D7B2"/>
          </w:tcPr>
          <w:p w14:paraId="36374D44" w14:textId="77777777" w:rsidR="0089393C" w:rsidRPr="008B0FED" w:rsidRDefault="0089393C" w:rsidP="0089393C">
            <w:pPr>
              <w:pStyle w:val="Tabletext0"/>
              <w:jc w:val="center"/>
            </w:pPr>
            <w:r w:rsidRPr="008B0FED">
              <w:t>Mean diff:</w:t>
            </w:r>
          </w:p>
          <w:p w14:paraId="029BFB4E" w14:textId="76A9DFF5" w:rsidR="0089393C" w:rsidRDefault="0089393C" w:rsidP="0089393C">
            <w:pPr>
              <w:pStyle w:val="Tabletext0"/>
              <w:jc w:val="center"/>
              <w:rPr>
                <w:w w:val="99"/>
              </w:rPr>
            </w:pPr>
            <w:r w:rsidRPr="008B0FED">
              <w:t xml:space="preserve">-2.94 (95%CI 4.43, </w:t>
            </w:r>
            <w:r w:rsidRPr="008B0FED">
              <w:noBreakHyphen/>
              <w:t>1.44)</w:t>
            </w:r>
          </w:p>
        </w:tc>
        <w:tc>
          <w:tcPr>
            <w:tcW w:w="1474" w:type="dxa"/>
            <w:shd w:val="clear" w:color="auto" w:fill="FF9900"/>
          </w:tcPr>
          <w:p w14:paraId="35048B65" w14:textId="77777777" w:rsidR="0089393C" w:rsidRDefault="0089393C" w:rsidP="0089393C">
            <w:pPr>
              <w:pStyle w:val="Tabletext0"/>
              <w:jc w:val="center"/>
            </w:pPr>
            <w:r>
              <w:t>Mean diff:</w:t>
            </w:r>
          </w:p>
          <w:p w14:paraId="3A3ECFBD" w14:textId="1F6B472B" w:rsidR="0089393C" w:rsidRDefault="0089393C" w:rsidP="0089393C">
            <w:pPr>
              <w:pStyle w:val="Tabletext0"/>
              <w:jc w:val="center"/>
            </w:pPr>
            <w:r>
              <w:t xml:space="preserve">-5.52 (95%CI </w:t>
            </w:r>
          </w:p>
          <w:p w14:paraId="0A64740B" w14:textId="7196084C" w:rsidR="0089393C" w:rsidRDefault="0089393C" w:rsidP="0089393C">
            <w:pPr>
              <w:pStyle w:val="Tabletext0"/>
              <w:jc w:val="center"/>
            </w:pPr>
            <w:r>
              <w:t xml:space="preserve">-7.18, </w:t>
            </w:r>
            <w:r>
              <w:noBreakHyphen/>
              <w:t>3.87)</w:t>
            </w:r>
          </w:p>
        </w:tc>
        <w:tc>
          <w:tcPr>
            <w:tcW w:w="1475" w:type="dxa"/>
            <w:tcBorders>
              <w:bottom w:val="single" w:sz="4" w:space="0" w:color="auto"/>
            </w:tcBorders>
            <w:shd w:val="clear" w:color="auto" w:fill="CCCCCC"/>
          </w:tcPr>
          <w:p w14:paraId="4AC48603" w14:textId="77777777" w:rsidR="0089393C" w:rsidRDefault="0089393C" w:rsidP="0089393C">
            <w:pPr>
              <w:pStyle w:val="Tabletext0"/>
              <w:jc w:val="center"/>
              <w:rPr>
                <w:rFonts w:ascii="Times New Roman"/>
              </w:rPr>
            </w:pPr>
            <w:r w:rsidRPr="007075A5">
              <w:t>RR 1.46 (95%CI 0.79, 2.70)</w:t>
            </w:r>
          </w:p>
        </w:tc>
      </w:tr>
      <w:tr w:rsidR="0089393C" w14:paraId="4AE93FB6" w14:textId="77777777" w:rsidTr="006715AE">
        <w:trPr>
          <w:trHeight w:val="318"/>
        </w:trPr>
        <w:tc>
          <w:tcPr>
            <w:tcW w:w="1560" w:type="dxa"/>
            <w:gridSpan w:val="2"/>
            <w:tcBorders>
              <w:left w:val="single" w:sz="4" w:space="0" w:color="auto"/>
            </w:tcBorders>
          </w:tcPr>
          <w:p w14:paraId="707D356B" w14:textId="77777777" w:rsidR="0089393C" w:rsidRDefault="0089393C" w:rsidP="0089393C">
            <w:pPr>
              <w:pStyle w:val="TableHeader1"/>
            </w:pPr>
            <w:r>
              <w:t>TUWA (WAVE)</w:t>
            </w:r>
          </w:p>
        </w:tc>
        <w:tc>
          <w:tcPr>
            <w:tcW w:w="1474" w:type="dxa"/>
            <w:shd w:val="clear" w:color="auto" w:fill="CCCCCC"/>
          </w:tcPr>
          <w:p w14:paraId="24B5C7F0" w14:textId="20E7EBAD" w:rsidR="0089393C" w:rsidRDefault="0089393C" w:rsidP="0089393C">
            <w:pPr>
              <w:pStyle w:val="Tabletext0"/>
              <w:jc w:val="center"/>
            </w:pPr>
            <w:r>
              <w:t>Change from baseline (95%CI)</w:t>
            </w:r>
          </w:p>
          <w:p w14:paraId="1AC4ACC4" w14:textId="77777777" w:rsidR="0089393C" w:rsidRDefault="0089393C" w:rsidP="0089393C">
            <w:pPr>
              <w:pStyle w:val="Tabletext0"/>
              <w:jc w:val="center"/>
            </w:pPr>
            <w:r>
              <w:t xml:space="preserve">TUWA: -12.2 </w:t>
            </w:r>
          </w:p>
          <w:p w14:paraId="653A38F1" w14:textId="72B166E1" w:rsidR="0089393C" w:rsidRDefault="0089393C" w:rsidP="0089393C">
            <w:pPr>
              <w:pStyle w:val="Tabletext0"/>
              <w:jc w:val="center"/>
            </w:pPr>
            <w:r>
              <w:t>(</w:t>
            </w:r>
            <w:r w:rsidRPr="00525C12">
              <w:t>-13.5, -10.9)</w:t>
            </w:r>
          </w:p>
          <w:p w14:paraId="6D6C6E1E" w14:textId="77777777" w:rsidR="0089393C" w:rsidRDefault="0089393C" w:rsidP="0089393C">
            <w:pPr>
              <w:pStyle w:val="Tabletext0"/>
              <w:jc w:val="center"/>
            </w:pPr>
            <w:r>
              <w:t xml:space="preserve">TURP: </w:t>
            </w:r>
            <w:r w:rsidRPr="00525C12">
              <w:t xml:space="preserve">-14.6 </w:t>
            </w:r>
          </w:p>
          <w:p w14:paraId="7094ACCA" w14:textId="6B958573" w:rsidR="0089393C" w:rsidRDefault="0089393C" w:rsidP="0089393C">
            <w:pPr>
              <w:pStyle w:val="Tabletext0"/>
              <w:jc w:val="center"/>
            </w:pPr>
            <w:r w:rsidRPr="00525C12">
              <w:t>(</w:t>
            </w:r>
            <w:r>
              <w:t>-17.5, -</w:t>
            </w:r>
            <w:r w:rsidRPr="00525C12">
              <w:t>11.7)</w:t>
            </w:r>
            <w:r>
              <w:t xml:space="preserve"> </w:t>
            </w:r>
            <w:r w:rsidDel="00C84F44">
              <w:t xml:space="preserve"> </w:t>
            </w:r>
          </w:p>
        </w:tc>
        <w:tc>
          <w:tcPr>
            <w:tcW w:w="1474" w:type="dxa"/>
            <w:shd w:val="clear" w:color="auto" w:fill="FF9900"/>
          </w:tcPr>
          <w:p w14:paraId="33A44370" w14:textId="77777777" w:rsidR="0089393C" w:rsidRDefault="0089393C" w:rsidP="0089393C">
            <w:pPr>
              <w:pStyle w:val="Tabletext0"/>
              <w:jc w:val="center"/>
            </w:pPr>
            <w:r>
              <w:t>Change from baseline (95%CI)</w:t>
            </w:r>
          </w:p>
          <w:p w14:paraId="0F572A34" w14:textId="77777777" w:rsidR="0089393C" w:rsidRDefault="0089393C" w:rsidP="0089393C">
            <w:pPr>
              <w:pStyle w:val="Tabletext0"/>
              <w:jc w:val="center"/>
            </w:pPr>
            <w:r>
              <w:t xml:space="preserve">TUWA: </w:t>
            </w:r>
            <w:r w:rsidRPr="00525C12">
              <w:t xml:space="preserve">-11.6 </w:t>
            </w:r>
          </w:p>
          <w:p w14:paraId="4C56ED31" w14:textId="3BC8544F" w:rsidR="0089393C" w:rsidRDefault="0089393C" w:rsidP="0089393C">
            <w:pPr>
              <w:pStyle w:val="Tabletext0"/>
              <w:jc w:val="center"/>
            </w:pPr>
            <w:r w:rsidRPr="00525C12">
              <w:t>(-12.9, -10.3)</w:t>
            </w:r>
          </w:p>
          <w:p w14:paraId="3BD95A82" w14:textId="77777777" w:rsidR="0089393C" w:rsidRDefault="0089393C" w:rsidP="0089393C">
            <w:pPr>
              <w:pStyle w:val="Tabletext0"/>
              <w:jc w:val="center"/>
            </w:pPr>
            <w:r>
              <w:t xml:space="preserve">TURP: -15.4 </w:t>
            </w:r>
          </w:p>
          <w:p w14:paraId="0E772F41" w14:textId="21D6787F" w:rsidR="0089393C" w:rsidRDefault="0089393C" w:rsidP="0089393C">
            <w:pPr>
              <w:pStyle w:val="Tabletext0"/>
              <w:jc w:val="center"/>
            </w:pPr>
            <w:r>
              <w:t>(-17.8, -</w:t>
            </w:r>
            <w:r w:rsidRPr="00525C12">
              <w:t>13.0)</w:t>
            </w:r>
          </w:p>
        </w:tc>
        <w:tc>
          <w:tcPr>
            <w:tcW w:w="1474" w:type="dxa"/>
            <w:tcBorders>
              <w:right w:val="single" w:sz="4" w:space="0" w:color="auto"/>
            </w:tcBorders>
            <w:shd w:val="clear" w:color="auto" w:fill="CCCCCC"/>
          </w:tcPr>
          <w:p w14:paraId="1B80E31A" w14:textId="77777777" w:rsidR="0089393C" w:rsidRDefault="0089393C" w:rsidP="0089393C">
            <w:pPr>
              <w:pStyle w:val="Tabletext0"/>
              <w:jc w:val="center"/>
            </w:pPr>
            <w:r>
              <w:t>Change from baseline (95%CI)</w:t>
            </w:r>
          </w:p>
          <w:p w14:paraId="394125E1" w14:textId="77777777" w:rsidR="0089393C" w:rsidRDefault="0089393C" w:rsidP="0089393C">
            <w:pPr>
              <w:pStyle w:val="Tabletext0"/>
              <w:jc w:val="center"/>
            </w:pPr>
            <w:r>
              <w:t xml:space="preserve">TUWA: </w:t>
            </w:r>
            <w:r w:rsidRPr="00525C12">
              <w:t xml:space="preserve">5.7 </w:t>
            </w:r>
          </w:p>
          <w:p w14:paraId="18CA8699" w14:textId="4A9B0CA6" w:rsidR="0089393C" w:rsidRDefault="0089393C" w:rsidP="0089393C">
            <w:pPr>
              <w:pStyle w:val="Tabletext0"/>
              <w:jc w:val="center"/>
            </w:pPr>
            <w:r w:rsidRPr="00525C12">
              <w:t>(4.6, 6.8)</w:t>
            </w:r>
          </w:p>
          <w:p w14:paraId="5DA53BC6" w14:textId="77777777" w:rsidR="0089393C" w:rsidRDefault="0089393C" w:rsidP="0089393C">
            <w:pPr>
              <w:pStyle w:val="Tabletext0"/>
              <w:jc w:val="center"/>
            </w:pPr>
            <w:r>
              <w:t xml:space="preserve">TURP: </w:t>
            </w:r>
            <w:r w:rsidRPr="00525C12">
              <w:t xml:space="preserve">9.6 </w:t>
            </w:r>
          </w:p>
          <w:p w14:paraId="165EBD37" w14:textId="622D882F" w:rsidR="0089393C" w:rsidRDefault="0089393C" w:rsidP="0089393C">
            <w:pPr>
              <w:pStyle w:val="Tabletext0"/>
              <w:jc w:val="center"/>
            </w:pPr>
            <w:r w:rsidRPr="00525C12">
              <w:t>(6.1, 13.1)</w:t>
            </w:r>
            <w:r w:rsidDel="00C84F44">
              <w:t xml:space="preserve"> </w:t>
            </w:r>
          </w:p>
        </w:tc>
        <w:tc>
          <w:tcPr>
            <w:tcW w:w="1474" w:type="dxa"/>
            <w:tcBorders>
              <w:right w:val="single" w:sz="4" w:space="0" w:color="auto"/>
            </w:tcBorders>
            <w:shd w:val="clear" w:color="auto" w:fill="FF9900"/>
          </w:tcPr>
          <w:p w14:paraId="38356822" w14:textId="77777777" w:rsidR="0089393C" w:rsidRDefault="0089393C" w:rsidP="0089393C">
            <w:pPr>
              <w:pStyle w:val="Tabletext0"/>
              <w:jc w:val="center"/>
            </w:pPr>
            <w:r>
              <w:t>Change from baseline (95%CI)</w:t>
            </w:r>
          </w:p>
          <w:p w14:paraId="5AF820A9" w14:textId="77777777" w:rsidR="0089393C" w:rsidRDefault="0089393C" w:rsidP="0089393C">
            <w:pPr>
              <w:pStyle w:val="Tabletext0"/>
              <w:jc w:val="center"/>
            </w:pPr>
            <w:r>
              <w:t xml:space="preserve">TUWA: </w:t>
            </w:r>
            <w:r w:rsidRPr="00525C12">
              <w:t xml:space="preserve">5.5 </w:t>
            </w:r>
          </w:p>
          <w:p w14:paraId="1C6252AC" w14:textId="2F228940" w:rsidR="0089393C" w:rsidRDefault="0089393C" w:rsidP="0089393C">
            <w:pPr>
              <w:pStyle w:val="Tabletext0"/>
              <w:jc w:val="center"/>
            </w:pPr>
            <w:r w:rsidRPr="00525C12">
              <w:t>(4.3, 6.7)</w:t>
            </w:r>
          </w:p>
          <w:p w14:paraId="4975B0DA" w14:textId="77777777" w:rsidR="0089393C" w:rsidRDefault="0089393C" w:rsidP="0089393C">
            <w:pPr>
              <w:pStyle w:val="Tabletext0"/>
              <w:jc w:val="center"/>
            </w:pPr>
            <w:r>
              <w:t xml:space="preserve">TURP: </w:t>
            </w:r>
            <w:r w:rsidRPr="00525C12">
              <w:t xml:space="preserve">12.7 </w:t>
            </w:r>
          </w:p>
          <w:p w14:paraId="0D5C7AF4" w14:textId="2FF0F1B6" w:rsidR="0089393C" w:rsidRDefault="0089393C" w:rsidP="0089393C">
            <w:pPr>
              <w:pStyle w:val="Tabletext0"/>
              <w:jc w:val="center"/>
            </w:pPr>
            <w:r w:rsidRPr="00525C12">
              <w:t>(8.9, 16.5)</w:t>
            </w:r>
          </w:p>
        </w:tc>
        <w:tc>
          <w:tcPr>
            <w:tcW w:w="14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E587CE" w14:textId="77777777" w:rsidR="0089393C" w:rsidRDefault="0089393C" w:rsidP="0089393C">
            <w:pPr>
              <w:pStyle w:val="Tabletext0"/>
              <w:jc w:val="center"/>
            </w:pPr>
            <w:r>
              <w:t xml:space="preserve">HR 1.015 </w:t>
            </w:r>
          </w:p>
          <w:p w14:paraId="1397C746" w14:textId="77777777" w:rsidR="0089393C" w:rsidRPr="001B578F" w:rsidRDefault="0089393C" w:rsidP="0089393C">
            <w:pPr>
              <w:pStyle w:val="Tabletext0"/>
              <w:jc w:val="center"/>
            </w:pPr>
            <w:r>
              <w:t>P-value: 0.8</w:t>
            </w:r>
          </w:p>
        </w:tc>
      </w:tr>
      <w:tr w:rsidR="0089393C" w14:paraId="79FF13A3" w14:textId="77777777" w:rsidTr="00F042C1">
        <w:trPr>
          <w:trHeight w:val="318"/>
        </w:trPr>
        <w:tc>
          <w:tcPr>
            <w:tcW w:w="1560" w:type="dxa"/>
            <w:gridSpan w:val="2"/>
            <w:tcBorders>
              <w:left w:val="single" w:sz="4" w:space="0" w:color="auto"/>
            </w:tcBorders>
          </w:tcPr>
          <w:p w14:paraId="713E0BA5" w14:textId="77777777" w:rsidR="0089393C" w:rsidRDefault="0089393C" w:rsidP="0089393C">
            <w:pPr>
              <w:pStyle w:val="TableHeader1"/>
            </w:pPr>
            <w:r>
              <w:t>VLAP (PVP)</w:t>
            </w:r>
          </w:p>
        </w:tc>
        <w:tc>
          <w:tcPr>
            <w:tcW w:w="1474" w:type="dxa"/>
          </w:tcPr>
          <w:p w14:paraId="7451B3AC" w14:textId="77777777" w:rsidR="0089393C" w:rsidRDefault="0089393C" w:rsidP="0089393C">
            <w:pPr>
              <w:pStyle w:val="Tabletext0"/>
              <w:jc w:val="center"/>
            </w:pPr>
          </w:p>
        </w:tc>
        <w:tc>
          <w:tcPr>
            <w:tcW w:w="1474" w:type="dxa"/>
            <w:shd w:val="clear" w:color="auto" w:fill="D0CECE" w:themeFill="background2" w:themeFillShade="E6"/>
          </w:tcPr>
          <w:p w14:paraId="7D66BBB3" w14:textId="77777777" w:rsidR="0089393C" w:rsidRDefault="0089393C" w:rsidP="0089393C">
            <w:pPr>
              <w:pStyle w:val="Tabletext0"/>
              <w:jc w:val="center"/>
            </w:pPr>
            <w:r>
              <w:t>Mean diff: 1.20 (95%CI 0.00, 2.40)</w:t>
            </w:r>
          </w:p>
        </w:tc>
        <w:tc>
          <w:tcPr>
            <w:tcW w:w="1474" w:type="dxa"/>
          </w:tcPr>
          <w:p w14:paraId="693BC9B8" w14:textId="77777777" w:rsidR="0089393C" w:rsidRDefault="0089393C" w:rsidP="0089393C">
            <w:pPr>
              <w:pStyle w:val="Tabletext0"/>
              <w:jc w:val="center"/>
            </w:pPr>
          </w:p>
        </w:tc>
        <w:tc>
          <w:tcPr>
            <w:tcW w:w="1474" w:type="dxa"/>
            <w:shd w:val="clear" w:color="auto" w:fill="CCCCCC"/>
          </w:tcPr>
          <w:p w14:paraId="35B69640" w14:textId="77777777" w:rsidR="0089393C" w:rsidRDefault="0089393C" w:rsidP="0089393C">
            <w:pPr>
              <w:pStyle w:val="Tabletext0"/>
              <w:jc w:val="center"/>
            </w:pPr>
            <w:r>
              <w:t>Mean diff: -1.18 (95%CI -3.59, 1.23)</w:t>
            </w:r>
          </w:p>
        </w:tc>
        <w:tc>
          <w:tcPr>
            <w:tcW w:w="1475" w:type="dxa"/>
            <w:tcBorders>
              <w:top w:val="single" w:sz="4" w:space="0" w:color="auto"/>
            </w:tcBorders>
            <w:shd w:val="clear" w:color="auto" w:fill="CCCCCC"/>
          </w:tcPr>
          <w:p w14:paraId="38AED923" w14:textId="77777777" w:rsidR="0089393C" w:rsidRPr="001B578F" w:rsidRDefault="0089393C" w:rsidP="0089393C">
            <w:pPr>
              <w:pStyle w:val="Tabletext0"/>
              <w:jc w:val="center"/>
            </w:pPr>
            <w:r>
              <w:t>RR 0.86 (95%CI 0.57, 1.31)</w:t>
            </w:r>
          </w:p>
        </w:tc>
      </w:tr>
    </w:tbl>
    <w:p w14:paraId="53CF30F0" w14:textId="6976B75A" w:rsidR="005A0C6D" w:rsidRDefault="00B21024">
      <w:pPr>
        <w:pStyle w:val="Tablenotes0"/>
      </w:pPr>
      <w:r>
        <w:t xml:space="preserve">Source: Table 5, </w:t>
      </w:r>
      <w:proofErr w:type="spellStart"/>
      <w:r>
        <w:t>pg</w:t>
      </w:r>
      <w:proofErr w:type="spellEnd"/>
      <w:r>
        <w:t xml:space="preserve"> 16 of MSAC 1697 with </w:t>
      </w:r>
      <w:r w:rsidR="00751E63">
        <w:t>correction of the</w:t>
      </w:r>
      <w:r w:rsidR="00CC22DC">
        <w:t xml:space="preserve"> cell colour for TUWA IPSS 12mth as specified in</w:t>
      </w:r>
      <w:r w:rsidR="00751E63">
        <w:t xml:space="preserve"> </w:t>
      </w:r>
      <w:r w:rsidR="005A0C6D">
        <w:t>the rejoinder</w:t>
      </w:r>
      <w:r w:rsidR="00DB781E">
        <w:t xml:space="preserve"> and change from baseline data provided in pre-ESC response from Teleflex Medical (MSAC 1612 applicant</w:t>
      </w:r>
      <w:proofErr w:type="gramStart"/>
      <w:r w:rsidR="00DB781E">
        <w:t>).</w:t>
      </w:r>
      <w:r w:rsidR="005A0C6D">
        <w:t>.</w:t>
      </w:r>
      <w:proofErr w:type="gramEnd"/>
    </w:p>
    <w:p w14:paraId="14A18BC9" w14:textId="7D738D1D" w:rsidR="00527943" w:rsidRDefault="005A0C6D" w:rsidP="00EE2A5C">
      <w:pPr>
        <w:pStyle w:val="Tablenotes0"/>
        <w:rPr>
          <w:rFonts w:ascii="Arial"/>
          <w:b/>
          <w:sz w:val="16"/>
        </w:rPr>
      </w:pPr>
      <w:r>
        <w:t xml:space="preserve">Abbreviations: </w:t>
      </w:r>
      <w:r w:rsidR="00E53091">
        <w:t xml:space="preserve">B-TUEP = bipolar transurethral enucleation; CI = confidence interval; </w:t>
      </w:r>
      <w:proofErr w:type="spellStart"/>
      <w:r w:rsidR="00E53091">
        <w:t>DioLEP</w:t>
      </w:r>
      <w:proofErr w:type="spellEnd"/>
      <w:r w:rsidR="00E53091">
        <w:t xml:space="preserve"> = diode laser enucleation;</w:t>
      </w:r>
      <w:r w:rsidR="00E977AF">
        <w:t xml:space="preserve"> EEP = endoscopic enucleation of the prostate;</w:t>
      </w:r>
      <w:r w:rsidR="00E53091">
        <w:t xml:space="preserve"> </w:t>
      </w:r>
      <w:proofErr w:type="spellStart"/>
      <w:r w:rsidR="00E53091">
        <w:t>HoLEP</w:t>
      </w:r>
      <w:proofErr w:type="spellEnd"/>
      <w:r w:rsidR="00E53091">
        <w:t xml:space="preserve"> = holmium laser enucleation of the prostate;</w:t>
      </w:r>
      <w:r w:rsidR="00733625">
        <w:t xml:space="preserve"> HR = hazard ratio; IPSS = International prostate symptom score; MSAC = </w:t>
      </w:r>
      <w:r w:rsidR="00733625" w:rsidRPr="00CE28E3">
        <w:t>Medical Services Advisory Committee</w:t>
      </w:r>
      <w:r w:rsidR="00733625">
        <w:t>;</w:t>
      </w:r>
      <w:r w:rsidR="00E53091">
        <w:t xml:space="preserve"> PUL = prostatic urethral lift; </w:t>
      </w:r>
      <w:proofErr w:type="spellStart"/>
      <w:r w:rsidR="00733625">
        <w:t>Qmax</w:t>
      </w:r>
      <w:proofErr w:type="spellEnd"/>
      <w:r w:rsidR="00733625">
        <w:t xml:space="preserve"> = maximum flow rate (of urine flow); </w:t>
      </w:r>
      <w:r w:rsidR="00E53091">
        <w:t xml:space="preserve">RR = risk ratio; </w:t>
      </w:r>
      <w:proofErr w:type="spellStart"/>
      <w:r w:rsidR="00E53091">
        <w:t>ThuLEP</w:t>
      </w:r>
      <w:proofErr w:type="spellEnd"/>
      <w:r w:rsidR="00E53091">
        <w:t xml:space="preserve"> = thulium laser enucleation; TUMT = transurethral microwave therapy; TURP = transurethral resection of the prostate; TUWA = transurethral water vapour ablation; VLAP = visual laser ablation of the prostate.</w:t>
      </w:r>
    </w:p>
    <w:p w14:paraId="495DFB01" w14:textId="308B9430" w:rsidR="00527943" w:rsidRDefault="006A6D2C" w:rsidP="00527943">
      <w:pPr>
        <w:rPr>
          <w:rFonts w:ascii="Arial"/>
          <w:b/>
          <w:spacing w:val="-1"/>
          <w:sz w:val="16"/>
        </w:rPr>
      </w:pPr>
      <w:r>
        <w:rPr>
          <w:noProof/>
          <w:lang w:eastAsia="en-AU"/>
        </w:rPr>
        <mc:AlternateContent>
          <mc:Choice Requires="wpg">
            <w:drawing>
              <wp:anchor distT="0" distB="0" distL="114300" distR="114300" simplePos="0" relativeHeight="251660289" behindDoc="0" locked="0" layoutInCell="1" allowOverlap="1" wp14:anchorId="1EF50EEB" wp14:editId="48E68F70">
                <wp:simplePos x="0" y="0"/>
                <wp:positionH relativeFrom="page">
                  <wp:posOffset>1052830</wp:posOffset>
                </wp:positionH>
                <wp:positionV relativeFrom="paragraph">
                  <wp:posOffset>208280</wp:posOffset>
                </wp:positionV>
                <wp:extent cx="449580" cy="750570"/>
                <wp:effectExtent l="9525" t="2540" r="7620" b="8890"/>
                <wp:wrapNone/>
                <wp:docPr id="52"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750570"/>
                          <a:chOff x="1860" y="61"/>
                          <a:chExt cx="708" cy="1182"/>
                        </a:xfrm>
                      </wpg:grpSpPr>
                      <wpg:grpSp>
                        <wpg:cNvPr id="53" name="Group 42"/>
                        <wpg:cNvGrpSpPr>
                          <a:grpSpLocks/>
                        </wpg:cNvGrpSpPr>
                        <wpg:grpSpPr bwMode="auto">
                          <a:xfrm>
                            <a:off x="1876" y="71"/>
                            <a:ext cx="2" cy="225"/>
                            <a:chOff x="1876" y="71"/>
                            <a:chExt cx="2" cy="225"/>
                          </a:xfrm>
                        </wpg:grpSpPr>
                        <wps:wsp>
                          <wps:cNvPr id="54" name="Freeform 43"/>
                          <wps:cNvSpPr>
                            <a:spLocks/>
                          </wps:cNvSpPr>
                          <wps:spPr bwMode="auto">
                            <a:xfrm>
                              <a:off x="1876" y="71"/>
                              <a:ext cx="2" cy="225"/>
                            </a:xfrm>
                            <a:custGeom>
                              <a:avLst/>
                              <a:gdLst>
                                <a:gd name="T0" fmla="+- 0 296 71"/>
                                <a:gd name="T1" fmla="*/ 296 h 225"/>
                                <a:gd name="T2" fmla="+- 0 71 71"/>
                                <a:gd name="T3" fmla="*/ 71 h 225"/>
                                <a:gd name="T4" fmla="+- 0 296 71"/>
                                <a:gd name="T5" fmla="*/ 296 h 225"/>
                              </a:gdLst>
                              <a:ahLst/>
                              <a:cxnLst>
                                <a:cxn ang="0">
                                  <a:pos x="0" y="T1"/>
                                </a:cxn>
                                <a:cxn ang="0">
                                  <a:pos x="0" y="T3"/>
                                </a:cxn>
                                <a:cxn ang="0">
                                  <a:pos x="0" y="T5"/>
                                </a:cxn>
                              </a:cxnLst>
                              <a:rect l="0" t="0" r="r" b="b"/>
                              <a:pathLst>
                                <a:path h="225">
                                  <a:moveTo>
                                    <a:pt x="0" y="225"/>
                                  </a:moveTo>
                                  <a:lnTo>
                                    <a:pt x="0" y="0"/>
                                  </a:lnTo>
                                  <a:lnTo>
                                    <a:pt x="0" y="225"/>
                                  </a:lnTo>
                                  <a:close/>
                                </a:path>
                              </a:pathLst>
                            </a:custGeom>
                            <a:solidFill>
                              <a:srgbClr val="99F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4"/>
                        <wpg:cNvGrpSpPr>
                          <a:grpSpLocks/>
                        </wpg:cNvGrpSpPr>
                        <wpg:grpSpPr bwMode="auto">
                          <a:xfrm>
                            <a:off x="1876" y="71"/>
                            <a:ext cx="677" cy="225"/>
                            <a:chOff x="1876" y="71"/>
                            <a:chExt cx="677" cy="225"/>
                          </a:xfrm>
                        </wpg:grpSpPr>
                        <wps:wsp>
                          <wps:cNvPr id="56" name="Freeform 45"/>
                          <wps:cNvSpPr>
                            <a:spLocks/>
                          </wps:cNvSpPr>
                          <wps:spPr bwMode="auto">
                            <a:xfrm>
                              <a:off x="1876" y="71"/>
                              <a:ext cx="677" cy="225"/>
                            </a:xfrm>
                            <a:custGeom>
                              <a:avLst/>
                              <a:gdLst>
                                <a:gd name="T0" fmla="+- 0 1876 1876"/>
                                <a:gd name="T1" fmla="*/ T0 w 677"/>
                                <a:gd name="T2" fmla="+- 0 296 71"/>
                                <a:gd name="T3" fmla="*/ 296 h 225"/>
                                <a:gd name="T4" fmla="+- 0 2552 1876"/>
                                <a:gd name="T5" fmla="*/ T4 w 677"/>
                                <a:gd name="T6" fmla="+- 0 296 71"/>
                                <a:gd name="T7" fmla="*/ 296 h 225"/>
                                <a:gd name="T8" fmla="+- 0 2552 1876"/>
                                <a:gd name="T9" fmla="*/ T8 w 677"/>
                                <a:gd name="T10" fmla="+- 0 71 71"/>
                                <a:gd name="T11" fmla="*/ 71 h 225"/>
                                <a:gd name="T12" fmla="+- 0 1876 1876"/>
                                <a:gd name="T13" fmla="*/ T12 w 677"/>
                                <a:gd name="T14" fmla="+- 0 71 71"/>
                                <a:gd name="T15" fmla="*/ 71 h 225"/>
                                <a:gd name="T16" fmla="+- 0 1876 1876"/>
                                <a:gd name="T17" fmla="*/ T16 w 677"/>
                                <a:gd name="T18" fmla="+- 0 296 71"/>
                                <a:gd name="T19" fmla="*/ 296 h 225"/>
                              </a:gdLst>
                              <a:ahLst/>
                              <a:cxnLst>
                                <a:cxn ang="0">
                                  <a:pos x="T1" y="T3"/>
                                </a:cxn>
                                <a:cxn ang="0">
                                  <a:pos x="T5" y="T7"/>
                                </a:cxn>
                                <a:cxn ang="0">
                                  <a:pos x="T9" y="T11"/>
                                </a:cxn>
                                <a:cxn ang="0">
                                  <a:pos x="T13" y="T15"/>
                                </a:cxn>
                                <a:cxn ang="0">
                                  <a:pos x="T17" y="T19"/>
                                </a:cxn>
                              </a:cxnLst>
                              <a:rect l="0" t="0" r="r" b="b"/>
                              <a:pathLst>
                                <a:path w="677" h="225">
                                  <a:moveTo>
                                    <a:pt x="0" y="225"/>
                                  </a:moveTo>
                                  <a:lnTo>
                                    <a:pt x="676" y="225"/>
                                  </a:lnTo>
                                  <a:lnTo>
                                    <a:pt x="676" y="0"/>
                                  </a:lnTo>
                                  <a:lnTo>
                                    <a:pt x="0" y="0"/>
                                  </a:lnTo>
                                  <a:lnTo>
                                    <a:pt x="0" y="225"/>
                                  </a:lnTo>
                                  <a:close/>
                                </a:path>
                              </a:pathLst>
                            </a:custGeom>
                            <a:solidFill>
                              <a:srgbClr val="99F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46"/>
                        <wpg:cNvGrpSpPr>
                          <a:grpSpLocks/>
                        </wpg:cNvGrpSpPr>
                        <wpg:grpSpPr bwMode="auto">
                          <a:xfrm>
                            <a:off x="1866" y="66"/>
                            <a:ext cx="696" cy="2"/>
                            <a:chOff x="1866" y="66"/>
                            <a:chExt cx="696" cy="2"/>
                          </a:xfrm>
                        </wpg:grpSpPr>
                        <wps:wsp>
                          <wps:cNvPr id="704" name="Freeform 47"/>
                          <wps:cNvSpPr>
                            <a:spLocks/>
                          </wps:cNvSpPr>
                          <wps:spPr bwMode="auto">
                            <a:xfrm>
                              <a:off x="1866" y="66"/>
                              <a:ext cx="696" cy="2"/>
                            </a:xfrm>
                            <a:custGeom>
                              <a:avLst/>
                              <a:gdLst>
                                <a:gd name="T0" fmla="+- 0 1866 1866"/>
                                <a:gd name="T1" fmla="*/ T0 w 696"/>
                                <a:gd name="T2" fmla="+- 0 2562 1866"/>
                                <a:gd name="T3" fmla="*/ T2 w 696"/>
                              </a:gdLst>
                              <a:ahLst/>
                              <a:cxnLst>
                                <a:cxn ang="0">
                                  <a:pos x="T1" y="0"/>
                                </a:cxn>
                                <a:cxn ang="0">
                                  <a:pos x="T3" y="0"/>
                                </a:cxn>
                              </a:cxnLst>
                              <a:rect l="0" t="0" r="r" b="b"/>
                              <a:pathLst>
                                <a:path w="696">
                                  <a:moveTo>
                                    <a:pt x="0" y="0"/>
                                  </a:moveTo>
                                  <a:lnTo>
                                    <a:pt x="6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48"/>
                        <wpg:cNvGrpSpPr>
                          <a:grpSpLocks/>
                        </wpg:cNvGrpSpPr>
                        <wpg:grpSpPr bwMode="auto">
                          <a:xfrm>
                            <a:off x="1871" y="71"/>
                            <a:ext cx="2" cy="1161"/>
                            <a:chOff x="1871" y="71"/>
                            <a:chExt cx="2" cy="1161"/>
                          </a:xfrm>
                        </wpg:grpSpPr>
                        <wps:wsp>
                          <wps:cNvPr id="706" name="Freeform 49"/>
                          <wps:cNvSpPr>
                            <a:spLocks/>
                          </wps:cNvSpPr>
                          <wps:spPr bwMode="auto">
                            <a:xfrm>
                              <a:off x="1871" y="71"/>
                              <a:ext cx="2" cy="1161"/>
                            </a:xfrm>
                            <a:custGeom>
                              <a:avLst/>
                              <a:gdLst>
                                <a:gd name="T0" fmla="+- 0 71 71"/>
                                <a:gd name="T1" fmla="*/ 71 h 1161"/>
                                <a:gd name="T2" fmla="+- 0 1232 71"/>
                                <a:gd name="T3" fmla="*/ 1232 h 1161"/>
                              </a:gdLst>
                              <a:ahLst/>
                              <a:cxnLst>
                                <a:cxn ang="0">
                                  <a:pos x="0" y="T1"/>
                                </a:cxn>
                                <a:cxn ang="0">
                                  <a:pos x="0" y="T3"/>
                                </a:cxn>
                              </a:cxnLst>
                              <a:rect l="0" t="0" r="r" b="b"/>
                              <a:pathLst>
                                <a:path h="1161">
                                  <a:moveTo>
                                    <a:pt x="0" y="0"/>
                                  </a:moveTo>
                                  <a:lnTo>
                                    <a:pt x="0" y="11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50"/>
                        <wpg:cNvGrpSpPr>
                          <a:grpSpLocks/>
                        </wpg:cNvGrpSpPr>
                        <wpg:grpSpPr bwMode="auto">
                          <a:xfrm>
                            <a:off x="2557" y="71"/>
                            <a:ext cx="2" cy="1161"/>
                            <a:chOff x="2557" y="71"/>
                            <a:chExt cx="2" cy="1161"/>
                          </a:xfrm>
                        </wpg:grpSpPr>
                        <wps:wsp>
                          <wps:cNvPr id="709" name="Freeform 51"/>
                          <wps:cNvSpPr>
                            <a:spLocks/>
                          </wps:cNvSpPr>
                          <wps:spPr bwMode="auto">
                            <a:xfrm>
                              <a:off x="2557" y="71"/>
                              <a:ext cx="2" cy="1161"/>
                            </a:xfrm>
                            <a:custGeom>
                              <a:avLst/>
                              <a:gdLst>
                                <a:gd name="T0" fmla="+- 0 71 71"/>
                                <a:gd name="T1" fmla="*/ 71 h 1161"/>
                                <a:gd name="T2" fmla="+- 0 1232 71"/>
                                <a:gd name="T3" fmla="*/ 1232 h 1161"/>
                              </a:gdLst>
                              <a:ahLst/>
                              <a:cxnLst>
                                <a:cxn ang="0">
                                  <a:pos x="0" y="T1"/>
                                </a:cxn>
                                <a:cxn ang="0">
                                  <a:pos x="0" y="T3"/>
                                </a:cxn>
                              </a:cxnLst>
                              <a:rect l="0" t="0" r="r" b="b"/>
                              <a:pathLst>
                                <a:path h="1161">
                                  <a:moveTo>
                                    <a:pt x="0" y="0"/>
                                  </a:moveTo>
                                  <a:lnTo>
                                    <a:pt x="0" y="11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52"/>
                        <wpg:cNvGrpSpPr>
                          <a:grpSpLocks/>
                        </wpg:cNvGrpSpPr>
                        <wpg:grpSpPr bwMode="auto">
                          <a:xfrm>
                            <a:off x="1876" y="305"/>
                            <a:ext cx="2" cy="225"/>
                            <a:chOff x="1876" y="305"/>
                            <a:chExt cx="2" cy="225"/>
                          </a:xfrm>
                        </wpg:grpSpPr>
                        <wps:wsp>
                          <wps:cNvPr id="712" name="Freeform 53"/>
                          <wps:cNvSpPr>
                            <a:spLocks/>
                          </wps:cNvSpPr>
                          <wps:spPr bwMode="auto">
                            <a:xfrm>
                              <a:off x="1876" y="305"/>
                              <a:ext cx="2" cy="225"/>
                            </a:xfrm>
                            <a:custGeom>
                              <a:avLst/>
                              <a:gdLst>
                                <a:gd name="T0" fmla="+- 0 530 305"/>
                                <a:gd name="T1" fmla="*/ 530 h 225"/>
                                <a:gd name="T2" fmla="+- 0 305 305"/>
                                <a:gd name="T3" fmla="*/ 305 h 225"/>
                                <a:gd name="T4" fmla="+- 0 530 305"/>
                                <a:gd name="T5" fmla="*/ 530 h 225"/>
                              </a:gdLst>
                              <a:ahLst/>
                              <a:cxnLst>
                                <a:cxn ang="0">
                                  <a:pos x="0" y="T1"/>
                                </a:cxn>
                                <a:cxn ang="0">
                                  <a:pos x="0" y="T3"/>
                                </a:cxn>
                                <a:cxn ang="0">
                                  <a:pos x="0" y="T5"/>
                                </a:cxn>
                              </a:cxnLst>
                              <a:rect l="0" t="0" r="r" b="b"/>
                              <a:pathLst>
                                <a:path h="225">
                                  <a:moveTo>
                                    <a:pt x="0" y="225"/>
                                  </a:moveTo>
                                  <a:lnTo>
                                    <a:pt x="0" y="0"/>
                                  </a:lnTo>
                                  <a:lnTo>
                                    <a:pt x="0" y="225"/>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3" name="Group 54"/>
                        <wpg:cNvGrpSpPr>
                          <a:grpSpLocks/>
                        </wpg:cNvGrpSpPr>
                        <wpg:grpSpPr bwMode="auto">
                          <a:xfrm>
                            <a:off x="1876" y="305"/>
                            <a:ext cx="677" cy="225"/>
                            <a:chOff x="1876" y="305"/>
                            <a:chExt cx="677" cy="225"/>
                          </a:xfrm>
                        </wpg:grpSpPr>
                        <wps:wsp>
                          <wps:cNvPr id="714" name="Freeform 55"/>
                          <wps:cNvSpPr>
                            <a:spLocks/>
                          </wps:cNvSpPr>
                          <wps:spPr bwMode="auto">
                            <a:xfrm>
                              <a:off x="1876" y="305"/>
                              <a:ext cx="677" cy="225"/>
                            </a:xfrm>
                            <a:custGeom>
                              <a:avLst/>
                              <a:gdLst>
                                <a:gd name="T0" fmla="+- 0 1876 1876"/>
                                <a:gd name="T1" fmla="*/ T0 w 677"/>
                                <a:gd name="T2" fmla="+- 0 530 305"/>
                                <a:gd name="T3" fmla="*/ 530 h 225"/>
                                <a:gd name="T4" fmla="+- 0 2552 1876"/>
                                <a:gd name="T5" fmla="*/ T4 w 677"/>
                                <a:gd name="T6" fmla="+- 0 530 305"/>
                                <a:gd name="T7" fmla="*/ 530 h 225"/>
                                <a:gd name="T8" fmla="+- 0 2552 1876"/>
                                <a:gd name="T9" fmla="*/ T8 w 677"/>
                                <a:gd name="T10" fmla="+- 0 305 305"/>
                                <a:gd name="T11" fmla="*/ 305 h 225"/>
                                <a:gd name="T12" fmla="+- 0 1876 1876"/>
                                <a:gd name="T13" fmla="*/ T12 w 677"/>
                                <a:gd name="T14" fmla="+- 0 305 305"/>
                                <a:gd name="T15" fmla="*/ 305 h 225"/>
                                <a:gd name="T16" fmla="+- 0 1876 1876"/>
                                <a:gd name="T17" fmla="*/ T16 w 677"/>
                                <a:gd name="T18" fmla="+- 0 530 305"/>
                                <a:gd name="T19" fmla="*/ 530 h 225"/>
                              </a:gdLst>
                              <a:ahLst/>
                              <a:cxnLst>
                                <a:cxn ang="0">
                                  <a:pos x="T1" y="T3"/>
                                </a:cxn>
                                <a:cxn ang="0">
                                  <a:pos x="T5" y="T7"/>
                                </a:cxn>
                                <a:cxn ang="0">
                                  <a:pos x="T9" y="T11"/>
                                </a:cxn>
                                <a:cxn ang="0">
                                  <a:pos x="T13" y="T15"/>
                                </a:cxn>
                                <a:cxn ang="0">
                                  <a:pos x="T17" y="T19"/>
                                </a:cxn>
                              </a:cxnLst>
                              <a:rect l="0" t="0" r="r" b="b"/>
                              <a:pathLst>
                                <a:path w="677" h="225">
                                  <a:moveTo>
                                    <a:pt x="0" y="225"/>
                                  </a:moveTo>
                                  <a:lnTo>
                                    <a:pt x="676" y="225"/>
                                  </a:lnTo>
                                  <a:lnTo>
                                    <a:pt x="676" y="0"/>
                                  </a:lnTo>
                                  <a:lnTo>
                                    <a:pt x="0" y="0"/>
                                  </a:lnTo>
                                  <a:lnTo>
                                    <a:pt x="0" y="225"/>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5" name="Group 56"/>
                        <wpg:cNvGrpSpPr>
                          <a:grpSpLocks/>
                        </wpg:cNvGrpSpPr>
                        <wpg:grpSpPr bwMode="auto">
                          <a:xfrm>
                            <a:off x="1866" y="300"/>
                            <a:ext cx="696" cy="2"/>
                            <a:chOff x="1866" y="300"/>
                            <a:chExt cx="696" cy="2"/>
                          </a:xfrm>
                        </wpg:grpSpPr>
                        <wps:wsp>
                          <wps:cNvPr id="716" name="Freeform 57"/>
                          <wps:cNvSpPr>
                            <a:spLocks/>
                          </wps:cNvSpPr>
                          <wps:spPr bwMode="auto">
                            <a:xfrm>
                              <a:off x="1866" y="300"/>
                              <a:ext cx="696" cy="2"/>
                            </a:xfrm>
                            <a:custGeom>
                              <a:avLst/>
                              <a:gdLst>
                                <a:gd name="T0" fmla="+- 0 1866 1866"/>
                                <a:gd name="T1" fmla="*/ T0 w 696"/>
                                <a:gd name="T2" fmla="+- 0 2562 1866"/>
                                <a:gd name="T3" fmla="*/ T2 w 696"/>
                              </a:gdLst>
                              <a:ahLst/>
                              <a:cxnLst>
                                <a:cxn ang="0">
                                  <a:pos x="T1" y="0"/>
                                </a:cxn>
                                <a:cxn ang="0">
                                  <a:pos x="T3" y="0"/>
                                </a:cxn>
                              </a:cxnLst>
                              <a:rect l="0" t="0" r="r" b="b"/>
                              <a:pathLst>
                                <a:path w="696">
                                  <a:moveTo>
                                    <a:pt x="0" y="0"/>
                                  </a:moveTo>
                                  <a:lnTo>
                                    <a:pt x="6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58"/>
                        <wpg:cNvGrpSpPr>
                          <a:grpSpLocks/>
                        </wpg:cNvGrpSpPr>
                        <wpg:grpSpPr bwMode="auto">
                          <a:xfrm>
                            <a:off x="1876" y="539"/>
                            <a:ext cx="2" cy="225"/>
                            <a:chOff x="1876" y="539"/>
                            <a:chExt cx="2" cy="225"/>
                          </a:xfrm>
                        </wpg:grpSpPr>
                        <wps:wsp>
                          <wps:cNvPr id="720" name="Freeform 59"/>
                          <wps:cNvSpPr>
                            <a:spLocks/>
                          </wps:cNvSpPr>
                          <wps:spPr bwMode="auto">
                            <a:xfrm>
                              <a:off x="1876" y="539"/>
                              <a:ext cx="2" cy="225"/>
                            </a:xfrm>
                            <a:custGeom>
                              <a:avLst/>
                              <a:gdLst>
                                <a:gd name="T0" fmla="+- 0 764 539"/>
                                <a:gd name="T1" fmla="*/ 764 h 225"/>
                                <a:gd name="T2" fmla="+- 0 539 539"/>
                                <a:gd name="T3" fmla="*/ 539 h 225"/>
                                <a:gd name="T4" fmla="+- 0 764 539"/>
                                <a:gd name="T5" fmla="*/ 764 h 225"/>
                              </a:gdLst>
                              <a:ahLst/>
                              <a:cxnLst>
                                <a:cxn ang="0">
                                  <a:pos x="0" y="T1"/>
                                </a:cxn>
                                <a:cxn ang="0">
                                  <a:pos x="0" y="T3"/>
                                </a:cxn>
                                <a:cxn ang="0">
                                  <a:pos x="0" y="T5"/>
                                </a:cxn>
                              </a:cxnLst>
                              <a:rect l="0" t="0" r="r" b="b"/>
                              <a:pathLst>
                                <a:path h="225">
                                  <a:moveTo>
                                    <a:pt x="0" y="225"/>
                                  </a:moveTo>
                                  <a:lnTo>
                                    <a:pt x="0" y="0"/>
                                  </a:lnTo>
                                  <a:lnTo>
                                    <a:pt x="0" y="225"/>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2" name="Group 60"/>
                        <wpg:cNvGrpSpPr>
                          <a:grpSpLocks/>
                        </wpg:cNvGrpSpPr>
                        <wpg:grpSpPr bwMode="auto">
                          <a:xfrm>
                            <a:off x="1876" y="539"/>
                            <a:ext cx="677" cy="225"/>
                            <a:chOff x="1876" y="539"/>
                            <a:chExt cx="677" cy="225"/>
                          </a:xfrm>
                        </wpg:grpSpPr>
                        <wps:wsp>
                          <wps:cNvPr id="723" name="Freeform 61"/>
                          <wps:cNvSpPr>
                            <a:spLocks/>
                          </wps:cNvSpPr>
                          <wps:spPr bwMode="auto">
                            <a:xfrm>
                              <a:off x="1876" y="539"/>
                              <a:ext cx="677" cy="225"/>
                            </a:xfrm>
                            <a:custGeom>
                              <a:avLst/>
                              <a:gdLst>
                                <a:gd name="T0" fmla="+- 0 1876 1876"/>
                                <a:gd name="T1" fmla="*/ T0 w 677"/>
                                <a:gd name="T2" fmla="+- 0 764 539"/>
                                <a:gd name="T3" fmla="*/ 764 h 225"/>
                                <a:gd name="T4" fmla="+- 0 2552 1876"/>
                                <a:gd name="T5" fmla="*/ T4 w 677"/>
                                <a:gd name="T6" fmla="+- 0 764 539"/>
                                <a:gd name="T7" fmla="*/ 764 h 225"/>
                                <a:gd name="T8" fmla="+- 0 2552 1876"/>
                                <a:gd name="T9" fmla="*/ T8 w 677"/>
                                <a:gd name="T10" fmla="+- 0 539 539"/>
                                <a:gd name="T11" fmla="*/ 539 h 225"/>
                                <a:gd name="T12" fmla="+- 0 1876 1876"/>
                                <a:gd name="T13" fmla="*/ T12 w 677"/>
                                <a:gd name="T14" fmla="+- 0 539 539"/>
                                <a:gd name="T15" fmla="*/ 539 h 225"/>
                                <a:gd name="T16" fmla="+- 0 1876 1876"/>
                                <a:gd name="T17" fmla="*/ T16 w 677"/>
                                <a:gd name="T18" fmla="+- 0 764 539"/>
                                <a:gd name="T19" fmla="*/ 764 h 225"/>
                              </a:gdLst>
                              <a:ahLst/>
                              <a:cxnLst>
                                <a:cxn ang="0">
                                  <a:pos x="T1" y="T3"/>
                                </a:cxn>
                                <a:cxn ang="0">
                                  <a:pos x="T5" y="T7"/>
                                </a:cxn>
                                <a:cxn ang="0">
                                  <a:pos x="T9" y="T11"/>
                                </a:cxn>
                                <a:cxn ang="0">
                                  <a:pos x="T13" y="T15"/>
                                </a:cxn>
                                <a:cxn ang="0">
                                  <a:pos x="T17" y="T19"/>
                                </a:cxn>
                              </a:cxnLst>
                              <a:rect l="0" t="0" r="r" b="b"/>
                              <a:pathLst>
                                <a:path w="677" h="225">
                                  <a:moveTo>
                                    <a:pt x="0" y="225"/>
                                  </a:moveTo>
                                  <a:lnTo>
                                    <a:pt x="676" y="225"/>
                                  </a:lnTo>
                                  <a:lnTo>
                                    <a:pt x="676" y="0"/>
                                  </a:lnTo>
                                  <a:lnTo>
                                    <a:pt x="0" y="0"/>
                                  </a:lnTo>
                                  <a:lnTo>
                                    <a:pt x="0" y="225"/>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4" name="Group 62"/>
                        <wpg:cNvGrpSpPr>
                          <a:grpSpLocks/>
                        </wpg:cNvGrpSpPr>
                        <wpg:grpSpPr bwMode="auto">
                          <a:xfrm>
                            <a:off x="1866" y="534"/>
                            <a:ext cx="696" cy="2"/>
                            <a:chOff x="1866" y="534"/>
                            <a:chExt cx="696" cy="2"/>
                          </a:xfrm>
                        </wpg:grpSpPr>
                        <wps:wsp>
                          <wps:cNvPr id="725" name="Freeform 63"/>
                          <wps:cNvSpPr>
                            <a:spLocks/>
                          </wps:cNvSpPr>
                          <wps:spPr bwMode="auto">
                            <a:xfrm>
                              <a:off x="1866" y="534"/>
                              <a:ext cx="696" cy="2"/>
                            </a:xfrm>
                            <a:custGeom>
                              <a:avLst/>
                              <a:gdLst>
                                <a:gd name="T0" fmla="+- 0 1866 1866"/>
                                <a:gd name="T1" fmla="*/ T0 w 696"/>
                                <a:gd name="T2" fmla="+- 0 2562 1866"/>
                                <a:gd name="T3" fmla="*/ T2 w 696"/>
                              </a:gdLst>
                              <a:ahLst/>
                              <a:cxnLst>
                                <a:cxn ang="0">
                                  <a:pos x="T1" y="0"/>
                                </a:cxn>
                                <a:cxn ang="0">
                                  <a:pos x="T3" y="0"/>
                                </a:cxn>
                              </a:cxnLst>
                              <a:rect l="0" t="0" r="r" b="b"/>
                              <a:pathLst>
                                <a:path w="696">
                                  <a:moveTo>
                                    <a:pt x="0" y="0"/>
                                  </a:moveTo>
                                  <a:lnTo>
                                    <a:pt x="6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6" name="Group 64"/>
                        <wpg:cNvGrpSpPr>
                          <a:grpSpLocks/>
                        </wpg:cNvGrpSpPr>
                        <wpg:grpSpPr bwMode="auto">
                          <a:xfrm>
                            <a:off x="1876" y="773"/>
                            <a:ext cx="2" cy="225"/>
                            <a:chOff x="1876" y="773"/>
                            <a:chExt cx="2" cy="225"/>
                          </a:xfrm>
                        </wpg:grpSpPr>
                        <wps:wsp>
                          <wps:cNvPr id="727" name="Freeform 65"/>
                          <wps:cNvSpPr>
                            <a:spLocks/>
                          </wps:cNvSpPr>
                          <wps:spPr bwMode="auto">
                            <a:xfrm>
                              <a:off x="1876" y="773"/>
                              <a:ext cx="2" cy="225"/>
                            </a:xfrm>
                            <a:custGeom>
                              <a:avLst/>
                              <a:gdLst>
                                <a:gd name="T0" fmla="+- 0 998 773"/>
                                <a:gd name="T1" fmla="*/ 998 h 225"/>
                                <a:gd name="T2" fmla="+- 0 773 773"/>
                                <a:gd name="T3" fmla="*/ 773 h 225"/>
                                <a:gd name="T4" fmla="+- 0 998 773"/>
                                <a:gd name="T5" fmla="*/ 998 h 225"/>
                              </a:gdLst>
                              <a:ahLst/>
                              <a:cxnLst>
                                <a:cxn ang="0">
                                  <a:pos x="0" y="T1"/>
                                </a:cxn>
                                <a:cxn ang="0">
                                  <a:pos x="0" y="T3"/>
                                </a:cxn>
                                <a:cxn ang="0">
                                  <a:pos x="0" y="T5"/>
                                </a:cxn>
                              </a:cxnLst>
                              <a:rect l="0" t="0" r="r" b="b"/>
                              <a:pathLst>
                                <a:path h="225">
                                  <a:moveTo>
                                    <a:pt x="0" y="225"/>
                                  </a:moveTo>
                                  <a:lnTo>
                                    <a:pt x="0" y="0"/>
                                  </a:lnTo>
                                  <a:lnTo>
                                    <a:pt x="0" y="225"/>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 name="Group 66"/>
                        <wpg:cNvGrpSpPr>
                          <a:grpSpLocks/>
                        </wpg:cNvGrpSpPr>
                        <wpg:grpSpPr bwMode="auto">
                          <a:xfrm>
                            <a:off x="1876" y="773"/>
                            <a:ext cx="677" cy="225"/>
                            <a:chOff x="1876" y="773"/>
                            <a:chExt cx="677" cy="225"/>
                          </a:xfrm>
                        </wpg:grpSpPr>
                        <wps:wsp>
                          <wps:cNvPr id="729" name="Freeform 67"/>
                          <wps:cNvSpPr>
                            <a:spLocks/>
                          </wps:cNvSpPr>
                          <wps:spPr bwMode="auto">
                            <a:xfrm>
                              <a:off x="1876" y="773"/>
                              <a:ext cx="677" cy="225"/>
                            </a:xfrm>
                            <a:custGeom>
                              <a:avLst/>
                              <a:gdLst>
                                <a:gd name="T0" fmla="+- 0 1876 1876"/>
                                <a:gd name="T1" fmla="*/ T0 w 677"/>
                                <a:gd name="T2" fmla="+- 0 998 773"/>
                                <a:gd name="T3" fmla="*/ 998 h 225"/>
                                <a:gd name="T4" fmla="+- 0 2552 1876"/>
                                <a:gd name="T5" fmla="*/ T4 w 677"/>
                                <a:gd name="T6" fmla="+- 0 998 773"/>
                                <a:gd name="T7" fmla="*/ 998 h 225"/>
                                <a:gd name="T8" fmla="+- 0 2552 1876"/>
                                <a:gd name="T9" fmla="*/ T8 w 677"/>
                                <a:gd name="T10" fmla="+- 0 773 773"/>
                                <a:gd name="T11" fmla="*/ 773 h 225"/>
                                <a:gd name="T12" fmla="+- 0 1876 1876"/>
                                <a:gd name="T13" fmla="*/ T12 w 677"/>
                                <a:gd name="T14" fmla="+- 0 773 773"/>
                                <a:gd name="T15" fmla="*/ 773 h 225"/>
                                <a:gd name="T16" fmla="+- 0 1876 1876"/>
                                <a:gd name="T17" fmla="*/ T16 w 677"/>
                                <a:gd name="T18" fmla="+- 0 998 773"/>
                                <a:gd name="T19" fmla="*/ 998 h 225"/>
                              </a:gdLst>
                              <a:ahLst/>
                              <a:cxnLst>
                                <a:cxn ang="0">
                                  <a:pos x="T1" y="T3"/>
                                </a:cxn>
                                <a:cxn ang="0">
                                  <a:pos x="T5" y="T7"/>
                                </a:cxn>
                                <a:cxn ang="0">
                                  <a:pos x="T9" y="T11"/>
                                </a:cxn>
                                <a:cxn ang="0">
                                  <a:pos x="T13" y="T15"/>
                                </a:cxn>
                                <a:cxn ang="0">
                                  <a:pos x="T17" y="T19"/>
                                </a:cxn>
                              </a:cxnLst>
                              <a:rect l="0" t="0" r="r" b="b"/>
                              <a:pathLst>
                                <a:path w="677" h="225">
                                  <a:moveTo>
                                    <a:pt x="0" y="225"/>
                                  </a:moveTo>
                                  <a:lnTo>
                                    <a:pt x="676" y="225"/>
                                  </a:lnTo>
                                  <a:lnTo>
                                    <a:pt x="676" y="0"/>
                                  </a:lnTo>
                                  <a:lnTo>
                                    <a:pt x="0" y="0"/>
                                  </a:lnTo>
                                  <a:lnTo>
                                    <a:pt x="0" y="225"/>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0" name="Group 68"/>
                        <wpg:cNvGrpSpPr>
                          <a:grpSpLocks/>
                        </wpg:cNvGrpSpPr>
                        <wpg:grpSpPr bwMode="auto">
                          <a:xfrm>
                            <a:off x="1866" y="768"/>
                            <a:ext cx="696" cy="2"/>
                            <a:chOff x="1866" y="768"/>
                            <a:chExt cx="696" cy="2"/>
                          </a:xfrm>
                        </wpg:grpSpPr>
                        <wps:wsp>
                          <wps:cNvPr id="731" name="Freeform 69"/>
                          <wps:cNvSpPr>
                            <a:spLocks/>
                          </wps:cNvSpPr>
                          <wps:spPr bwMode="auto">
                            <a:xfrm>
                              <a:off x="1866" y="768"/>
                              <a:ext cx="696" cy="2"/>
                            </a:xfrm>
                            <a:custGeom>
                              <a:avLst/>
                              <a:gdLst>
                                <a:gd name="T0" fmla="+- 0 1866 1866"/>
                                <a:gd name="T1" fmla="*/ T0 w 696"/>
                                <a:gd name="T2" fmla="+- 0 2562 1866"/>
                                <a:gd name="T3" fmla="*/ T2 w 696"/>
                              </a:gdLst>
                              <a:ahLst/>
                              <a:cxnLst>
                                <a:cxn ang="0">
                                  <a:pos x="T1" y="0"/>
                                </a:cxn>
                                <a:cxn ang="0">
                                  <a:pos x="T3" y="0"/>
                                </a:cxn>
                              </a:cxnLst>
                              <a:rect l="0" t="0" r="r" b="b"/>
                              <a:pathLst>
                                <a:path w="696">
                                  <a:moveTo>
                                    <a:pt x="0" y="0"/>
                                  </a:moveTo>
                                  <a:lnTo>
                                    <a:pt x="6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0"/>
                        <wpg:cNvGrpSpPr>
                          <a:grpSpLocks/>
                        </wpg:cNvGrpSpPr>
                        <wpg:grpSpPr bwMode="auto">
                          <a:xfrm>
                            <a:off x="1876" y="1007"/>
                            <a:ext cx="2" cy="225"/>
                            <a:chOff x="1876" y="1007"/>
                            <a:chExt cx="2" cy="225"/>
                          </a:xfrm>
                        </wpg:grpSpPr>
                        <wps:wsp>
                          <wps:cNvPr id="733" name="Freeform 71"/>
                          <wps:cNvSpPr>
                            <a:spLocks/>
                          </wps:cNvSpPr>
                          <wps:spPr bwMode="auto">
                            <a:xfrm>
                              <a:off x="1876" y="1007"/>
                              <a:ext cx="2" cy="225"/>
                            </a:xfrm>
                            <a:custGeom>
                              <a:avLst/>
                              <a:gdLst>
                                <a:gd name="T0" fmla="+- 0 1232 1007"/>
                                <a:gd name="T1" fmla="*/ 1232 h 225"/>
                                <a:gd name="T2" fmla="+- 0 1007 1007"/>
                                <a:gd name="T3" fmla="*/ 1007 h 225"/>
                                <a:gd name="T4" fmla="+- 0 1232 1007"/>
                                <a:gd name="T5" fmla="*/ 1232 h 225"/>
                              </a:gdLst>
                              <a:ahLst/>
                              <a:cxnLst>
                                <a:cxn ang="0">
                                  <a:pos x="0" y="T1"/>
                                </a:cxn>
                                <a:cxn ang="0">
                                  <a:pos x="0" y="T3"/>
                                </a:cxn>
                                <a:cxn ang="0">
                                  <a:pos x="0" y="T5"/>
                                </a:cxn>
                              </a:cxnLst>
                              <a:rect l="0" t="0" r="r" b="b"/>
                              <a:pathLst>
                                <a:path h="225">
                                  <a:moveTo>
                                    <a:pt x="0" y="225"/>
                                  </a:moveTo>
                                  <a:lnTo>
                                    <a:pt x="0" y="0"/>
                                  </a:lnTo>
                                  <a:lnTo>
                                    <a:pt x="0" y="225"/>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4" name="Group 72"/>
                        <wpg:cNvGrpSpPr>
                          <a:grpSpLocks/>
                        </wpg:cNvGrpSpPr>
                        <wpg:grpSpPr bwMode="auto">
                          <a:xfrm>
                            <a:off x="1876" y="1007"/>
                            <a:ext cx="677" cy="225"/>
                            <a:chOff x="1876" y="1007"/>
                            <a:chExt cx="677" cy="225"/>
                          </a:xfrm>
                        </wpg:grpSpPr>
                        <wps:wsp>
                          <wps:cNvPr id="735" name="Freeform 73"/>
                          <wps:cNvSpPr>
                            <a:spLocks/>
                          </wps:cNvSpPr>
                          <wps:spPr bwMode="auto">
                            <a:xfrm>
                              <a:off x="1876" y="1007"/>
                              <a:ext cx="677" cy="225"/>
                            </a:xfrm>
                            <a:custGeom>
                              <a:avLst/>
                              <a:gdLst>
                                <a:gd name="T0" fmla="+- 0 1876 1876"/>
                                <a:gd name="T1" fmla="*/ T0 w 677"/>
                                <a:gd name="T2" fmla="+- 0 1232 1007"/>
                                <a:gd name="T3" fmla="*/ 1232 h 225"/>
                                <a:gd name="T4" fmla="+- 0 2552 1876"/>
                                <a:gd name="T5" fmla="*/ T4 w 677"/>
                                <a:gd name="T6" fmla="+- 0 1232 1007"/>
                                <a:gd name="T7" fmla="*/ 1232 h 225"/>
                                <a:gd name="T8" fmla="+- 0 2552 1876"/>
                                <a:gd name="T9" fmla="*/ T8 w 677"/>
                                <a:gd name="T10" fmla="+- 0 1007 1007"/>
                                <a:gd name="T11" fmla="*/ 1007 h 225"/>
                                <a:gd name="T12" fmla="+- 0 1876 1876"/>
                                <a:gd name="T13" fmla="*/ T12 w 677"/>
                                <a:gd name="T14" fmla="+- 0 1007 1007"/>
                                <a:gd name="T15" fmla="*/ 1007 h 225"/>
                                <a:gd name="T16" fmla="+- 0 1876 1876"/>
                                <a:gd name="T17" fmla="*/ T16 w 677"/>
                                <a:gd name="T18" fmla="+- 0 1232 1007"/>
                                <a:gd name="T19" fmla="*/ 1232 h 225"/>
                              </a:gdLst>
                              <a:ahLst/>
                              <a:cxnLst>
                                <a:cxn ang="0">
                                  <a:pos x="T1" y="T3"/>
                                </a:cxn>
                                <a:cxn ang="0">
                                  <a:pos x="T5" y="T7"/>
                                </a:cxn>
                                <a:cxn ang="0">
                                  <a:pos x="T9" y="T11"/>
                                </a:cxn>
                                <a:cxn ang="0">
                                  <a:pos x="T13" y="T15"/>
                                </a:cxn>
                                <a:cxn ang="0">
                                  <a:pos x="T17" y="T19"/>
                                </a:cxn>
                              </a:cxnLst>
                              <a:rect l="0" t="0" r="r" b="b"/>
                              <a:pathLst>
                                <a:path w="677" h="225">
                                  <a:moveTo>
                                    <a:pt x="0" y="225"/>
                                  </a:moveTo>
                                  <a:lnTo>
                                    <a:pt x="676" y="225"/>
                                  </a:lnTo>
                                  <a:lnTo>
                                    <a:pt x="676" y="0"/>
                                  </a:lnTo>
                                  <a:lnTo>
                                    <a:pt x="0" y="0"/>
                                  </a:lnTo>
                                  <a:lnTo>
                                    <a:pt x="0" y="225"/>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6" name="Group 74"/>
                        <wpg:cNvGrpSpPr>
                          <a:grpSpLocks/>
                        </wpg:cNvGrpSpPr>
                        <wpg:grpSpPr bwMode="auto">
                          <a:xfrm>
                            <a:off x="1866" y="1002"/>
                            <a:ext cx="696" cy="2"/>
                            <a:chOff x="1866" y="1002"/>
                            <a:chExt cx="696" cy="2"/>
                          </a:xfrm>
                        </wpg:grpSpPr>
                        <wps:wsp>
                          <wps:cNvPr id="738" name="Freeform 75"/>
                          <wps:cNvSpPr>
                            <a:spLocks/>
                          </wps:cNvSpPr>
                          <wps:spPr bwMode="auto">
                            <a:xfrm>
                              <a:off x="1866" y="1002"/>
                              <a:ext cx="696" cy="2"/>
                            </a:xfrm>
                            <a:custGeom>
                              <a:avLst/>
                              <a:gdLst>
                                <a:gd name="T0" fmla="+- 0 1866 1866"/>
                                <a:gd name="T1" fmla="*/ T0 w 696"/>
                                <a:gd name="T2" fmla="+- 0 2562 1866"/>
                                <a:gd name="T3" fmla="*/ T2 w 696"/>
                              </a:gdLst>
                              <a:ahLst/>
                              <a:cxnLst>
                                <a:cxn ang="0">
                                  <a:pos x="T1" y="0"/>
                                </a:cxn>
                                <a:cxn ang="0">
                                  <a:pos x="T3" y="0"/>
                                </a:cxn>
                              </a:cxnLst>
                              <a:rect l="0" t="0" r="r" b="b"/>
                              <a:pathLst>
                                <a:path w="696">
                                  <a:moveTo>
                                    <a:pt x="0" y="0"/>
                                  </a:moveTo>
                                  <a:lnTo>
                                    <a:pt x="6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76"/>
                        <wpg:cNvGrpSpPr>
                          <a:grpSpLocks/>
                        </wpg:cNvGrpSpPr>
                        <wpg:grpSpPr bwMode="auto">
                          <a:xfrm>
                            <a:off x="1866" y="1236"/>
                            <a:ext cx="696" cy="2"/>
                            <a:chOff x="1866" y="1236"/>
                            <a:chExt cx="696" cy="2"/>
                          </a:xfrm>
                        </wpg:grpSpPr>
                        <wps:wsp>
                          <wps:cNvPr id="740" name="Freeform 77"/>
                          <wps:cNvSpPr>
                            <a:spLocks/>
                          </wps:cNvSpPr>
                          <wps:spPr bwMode="auto">
                            <a:xfrm>
                              <a:off x="1866" y="1236"/>
                              <a:ext cx="696" cy="2"/>
                            </a:xfrm>
                            <a:custGeom>
                              <a:avLst/>
                              <a:gdLst>
                                <a:gd name="T0" fmla="+- 0 1866 1866"/>
                                <a:gd name="T1" fmla="*/ T0 w 696"/>
                                <a:gd name="T2" fmla="+- 0 2562 1866"/>
                                <a:gd name="T3" fmla="*/ T2 w 696"/>
                              </a:gdLst>
                              <a:ahLst/>
                              <a:cxnLst>
                                <a:cxn ang="0">
                                  <a:pos x="T1" y="0"/>
                                </a:cxn>
                                <a:cxn ang="0">
                                  <a:pos x="T3" y="0"/>
                                </a:cxn>
                              </a:cxnLst>
                              <a:rect l="0" t="0" r="r" b="b"/>
                              <a:pathLst>
                                <a:path w="696">
                                  <a:moveTo>
                                    <a:pt x="0" y="0"/>
                                  </a:moveTo>
                                  <a:lnTo>
                                    <a:pt x="6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063D6E3" id="Group 52" o:spid="_x0000_s1026" alt="&quot;&quot;" style="position:absolute;margin-left:82.9pt;margin-top:16.4pt;width:35.4pt;height:59.1pt;z-index:251660289;mso-position-horizontal-relative:page" coordorigin="1860,61" coordsize="70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">
                <v:group id="Group 42" o:spid="_x0000_s1027" style="position:absolute;left:1876;top:71;width:2;height:225" coordorigin="1876,7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3" o:spid="_x0000_s1028" style="position:absolute;left:1876;top:71;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" path="m,225l,,,225xe" fillcolor="#9f3" stroked="f">
                    <v:path arrowok="t" o:connecttype="custom" o:connectlocs="0,296;0,71;0,296" o:connectangles="0,0,0"/>
                  </v:shape>
                </v:group>
                <v:group id="Group 44" o:spid="_x0000_s1029" style="position:absolute;left:1876;top:71;width:677;height:225" coordorigin="1876,71" coordsize="67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5" o:spid="_x0000_s1030" style="position:absolute;left:1876;top:71;width:677;height:225;visibility:visible;mso-wrap-style:square;v-text-anchor:top" coordsize="67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" path="m,225r676,l676,,,,,225xe" fillcolor="#9f3" stroked="f">
                    <v:path arrowok="t" o:connecttype="custom" o:connectlocs="0,296;676,296;676,71;0,71;0,296" o:connectangles="0,0,0,0,0"/>
                  </v:shape>
                </v:group>
                <v:group id="Group 46" o:spid="_x0000_s1031" style="position:absolute;left:1866;top:66;width:696;height:2" coordorigin="1866,66"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7" o:spid="_x0000_s1032" style="position:absolute;left:1866;top:66;width:696;height:2;visibility:visible;mso-wrap-style:square;v-text-anchor:top"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" path="m,l696,e" filled="f" strokeweight=".20497mm">
                    <v:path arrowok="t" o:connecttype="custom" o:connectlocs="0,0;696,0" o:connectangles="0,0"/>
                  </v:shape>
                </v:group>
                <v:group id="Group 48" o:spid="_x0000_s1033" style="position:absolute;left:1871;top:71;width:2;height:1161" coordorigin="1871,71" coordsize="2,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49" o:spid="_x0000_s1034" style="position:absolute;left:1871;top:71;width:2;height:1161;visibility:visible;mso-wrap-style:square;v-text-anchor:top" coordsize="2,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" path="m,l,1161e" filled="f" strokeweight=".58pt">
                    <v:path arrowok="t" o:connecttype="custom" o:connectlocs="0,71;0,1232" o:connectangles="0,0"/>
                  </v:shape>
                </v:group>
                <v:group id="Group 50" o:spid="_x0000_s1035" style="position:absolute;left:2557;top:71;width:2;height:1161" coordorigin="2557,71" coordsize="2,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51" o:spid="_x0000_s1036" style="position:absolute;left:2557;top:71;width:2;height:1161;visibility:visible;mso-wrap-style:square;v-text-anchor:top" coordsize="2,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" path="m,l,1161e" filled="f" strokeweight=".58pt">
                    <v:path arrowok="t" o:connecttype="custom" o:connectlocs="0,71;0,1232" o:connectangles="0,0"/>
                  </v:shape>
                </v:group>
                <v:group id="_x0000_s1037" style="position:absolute;left:1876;top:305;width:2;height:225" coordorigin="1876,305"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53" o:spid="_x0000_s1038" style="position:absolute;left:1876;top:305;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" path="m,225l,,,225xe" fillcolor="#cfc" stroked="f">
                    <v:path arrowok="t" o:connecttype="custom" o:connectlocs="0,530;0,305;0,530" o:connectangles="0,0,0"/>
                  </v:shape>
                </v:group>
                <v:group id="Group 54" o:spid="_x0000_s1039" style="position:absolute;left:1876;top:305;width:677;height:225" coordorigin="1876,305" coordsize="67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55" o:spid="_x0000_s1040" style="position:absolute;left:1876;top:305;width:677;height:225;visibility:visible;mso-wrap-style:square;v-text-anchor:top" coordsize="67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" path="m,225r676,l676,,,,,225xe" fillcolor="#cfc" stroked="f">
                    <v:path arrowok="t" o:connecttype="custom" o:connectlocs="0,530;676,530;676,305;0,305;0,530" o:connectangles="0,0,0,0,0"/>
                  </v:shape>
                </v:group>
                <v:group id="Group 56" o:spid="_x0000_s1041" style="position:absolute;left:1866;top:300;width:696;height:2" coordorigin="1866,300"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57" o:spid="_x0000_s1042" style="position:absolute;left:1866;top:300;width:696;height:2;visibility:visible;mso-wrap-style:square;v-text-anchor:top"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" path="m,l696,e" filled="f" strokeweight=".20497mm">
                    <v:path arrowok="t" o:connecttype="custom" o:connectlocs="0,0;696,0" o:connectangles="0,0"/>
                  </v:shape>
                </v:group>
                <v:group id="Group 58" o:spid="_x0000_s1043" style="position:absolute;left:1876;top:539;width:2;height:225" coordorigin="1876,53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59" o:spid="_x0000_s1044" style="position:absolute;left:1876;top:539;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" path="m,225l,,,225xe" fillcolor="#d0cece" stroked="f">
                    <v:path arrowok="t" o:connecttype="custom" o:connectlocs="0,764;0,539;0,764" o:connectangles="0,0,0"/>
                  </v:shape>
                </v:group>
                <v:group id="Group 60" o:spid="_x0000_s1045" style="position:absolute;left:1876;top:539;width:677;height:225" coordorigin="1876,539" coordsize="67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 o:spid="_x0000_s1046" style="position:absolute;left:1876;top:539;width:677;height:225;visibility:visible;mso-wrap-style:square;v-text-anchor:top" coordsize="67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" path="m,225r676,l676,,,,,225xe" fillcolor="#d0cece" stroked="f">
                    <v:path arrowok="t" o:connecttype="custom" o:connectlocs="0,764;676,764;676,539;0,539;0,764" o:connectangles="0,0,0,0,0"/>
                  </v:shape>
                </v:group>
                <v:group id="Group 62" o:spid="_x0000_s1047" style="position:absolute;left:1866;top:534;width:696;height:2" coordorigin="1866,534"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v:shape id="Freeform 63" o:spid="_x0000_s1048" style="position:absolute;left:1866;top:534;width:696;height:2;visibility:visible;mso-wrap-style:square;v-text-anchor:top"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" path="m,l696,e" filled="f" strokeweight=".20497mm">
                    <v:path arrowok="t" o:connecttype="custom" o:connectlocs="0,0;696,0" o:connectangles="0,0"/>
                  </v:shape>
                </v:group>
                <v:group id="Group 64" o:spid="_x0000_s1049" style="position:absolute;left:1876;top:773;width:2;height:225" coordorigin="1876,773"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65" o:spid="_x0000_s1050" style="position:absolute;left:1876;top:773;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" path="m,225l,,,225xe" fillcolor="#fc9" stroked="f">
                    <v:path arrowok="t" o:connecttype="custom" o:connectlocs="0,998;0,773;0,998" o:connectangles="0,0,0"/>
                  </v:shape>
                </v:group>
                <v:group id="Group 66" o:spid="_x0000_s1051" style="position:absolute;left:1876;top:773;width:677;height:225" coordorigin="1876,773" coordsize="67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67" o:spid="_x0000_s1052" style="position:absolute;left:1876;top:773;width:677;height:225;visibility:visible;mso-wrap-style:square;v-text-anchor:top" coordsize="67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" path="m,225r676,l676,,,,,225xe" fillcolor="#fc9" stroked="f">
                    <v:path arrowok="t" o:connecttype="custom" o:connectlocs="0,998;676,998;676,773;0,773;0,998" o:connectangles="0,0,0,0,0"/>
                  </v:shape>
                </v:group>
                <v:group id="Group 68" o:spid="_x0000_s1053" style="position:absolute;left:1866;top:768;width:696;height:2" coordorigin="1866,768"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69" o:spid="_x0000_s1054" style="position:absolute;left:1866;top:768;width:696;height:2;visibility:visible;mso-wrap-style:square;v-text-anchor:top"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" path="m,l696,e" filled="f" strokeweight=".20497mm">
                    <v:path arrowok="t" o:connecttype="custom" o:connectlocs="0,0;696,0" o:connectangles="0,0"/>
                  </v:shape>
                </v:group>
                <v:group id="Group 70" o:spid="_x0000_s1055" style="position:absolute;left:1876;top:1007;width:2;height:225" coordorigin="1876,1007"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71" o:spid="_x0000_s1056" style="position:absolute;left:1876;top:1007;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" path="m,225l,,,225xe" fillcolor="#f90" stroked="f">
                    <v:path arrowok="t" o:connecttype="custom" o:connectlocs="0,1232;0,1007;0,1232" o:connectangles="0,0,0"/>
                  </v:shape>
                </v:group>
                <v:group id="Group 72" o:spid="_x0000_s1057" style="position:absolute;left:1876;top:1007;width:677;height:225" coordorigin="1876,1007" coordsize="67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73" o:spid="_x0000_s1058" style="position:absolute;left:1876;top:1007;width:677;height:225;visibility:visible;mso-wrap-style:square;v-text-anchor:top" coordsize="67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" path="m,225r676,l676,,,,,225xe" fillcolor="#f90" stroked="f">
                    <v:path arrowok="t" o:connecttype="custom" o:connectlocs="0,1232;676,1232;676,1007;0,1007;0,1232" o:connectangles="0,0,0,0,0"/>
                  </v:shape>
                </v:group>
                <v:group id="Group 74" o:spid="_x0000_s1059" style="position:absolute;left:1866;top:1002;width:696;height:2" coordorigin="1866,1002"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75" o:spid="_x0000_s1060" style="position:absolute;left:1866;top:1002;width:696;height:2;visibility:visible;mso-wrap-style:square;v-text-anchor:top"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" path="m,l696,e" filled="f" strokeweight=".20497mm">
                    <v:path arrowok="t" o:connecttype="custom" o:connectlocs="0,0;696,0" o:connectangles="0,0"/>
                  </v:shape>
                </v:group>
                <v:group id="Group 76" o:spid="_x0000_s1061" style="position:absolute;left:1866;top:1236;width:696;height:2" coordorigin="1866,1236"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77" o:spid="_x0000_s1062" style="position:absolute;left:1866;top:1236;width:696;height:2;visibility:visible;mso-wrap-style:square;v-text-anchor:top" coordsize="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" path="m,l696,e" filled="f" strokeweight=".20497mm">
                    <v:path arrowok="t" o:connecttype="custom" o:connectlocs="0,0;696,0" o:connectangles="0,0"/>
                  </v:shape>
                </v:group>
                <w10:wrap anchorx="page"/>
              </v:group>
            </w:pict>
          </mc:Fallback>
        </mc:AlternateContent>
      </w:r>
      <w:r w:rsidR="00527943">
        <w:rPr>
          <w:rFonts w:ascii="Arial"/>
          <w:b/>
          <w:sz w:val="16"/>
        </w:rPr>
        <w:t>Key</w:t>
      </w:r>
      <w:r w:rsidR="00527943">
        <w:rPr>
          <w:rFonts w:ascii="Arial"/>
          <w:b/>
          <w:spacing w:val="-10"/>
          <w:sz w:val="16"/>
        </w:rPr>
        <w:t xml:space="preserve"> </w:t>
      </w:r>
      <w:r w:rsidR="00527943">
        <w:rPr>
          <w:rFonts w:ascii="Arial"/>
          <w:b/>
          <w:spacing w:val="-1"/>
          <w:sz w:val="16"/>
        </w:rPr>
        <w:t>to</w:t>
      </w:r>
      <w:r w:rsidR="00527943">
        <w:rPr>
          <w:rFonts w:ascii="Arial"/>
          <w:b/>
          <w:spacing w:val="-8"/>
          <w:sz w:val="16"/>
        </w:rPr>
        <w:t xml:space="preserve"> </w:t>
      </w:r>
      <w:r w:rsidR="00527943">
        <w:rPr>
          <w:rFonts w:ascii="Arial"/>
          <w:b/>
          <w:spacing w:val="-1"/>
          <w:sz w:val="16"/>
        </w:rPr>
        <w:t>quantitative</w:t>
      </w:r>
      <w:r w:rsidR="00527943">
        <w:rPr>
          <w:rFonts w:ascii="Arial"/>
          <w:b/>
          <w:spacing w:val="-6"/>
          <w:sz w:val="16"/>
        </w:rPr>
        <w:t xml:space="preserve"> </w:t>
      </w:r>
      <w:r w:rsidR="00527943">
        <w:rPr>
          <w:rFonts w:ascii="Arial"/>
          <w:b/>
          <w:spacing w:val="-1"/>
          <w:sz w:val="16"/>
        </w:rPr>
        <w:t>differences</w:t>
      </w:r>
    </w:p>
    <w:p w14:paraId="35732F94" w14:textId="6E79461C" w:rsidR="00527943" w:rsidRPr="00865F43" w:rsidRDefault="00527943" w:rsidP="00527943">
      <w:pPr>
        <w:tabs>
          <w:tab w:val="left" w:pos="7078"/>
        </w:tabs>
        <w:spacing w:before="88" w:line="305" w:lineRule="auto"/>
        <w:ind w:left="994" w:right="1004"/>
        <w:rPr>
          <w:rFonts w:ascii="Arial"/>
          <w:sz w:val="16"/>
        </w:rPr>
      </w:pPr>
      <w:r>
        <w:rPr>
          <w:rFonts w:ascii="Arial"/>
          <w:spacing w:val="-1"/>
          <w:sz w:val="16"/>
        </w:rPr>
        <w:t>Intervention clinically and</w:t>
      </w:r>
      <w:r>
        <w:rPr>
          <w:rFonts w:ascii="Arial"/>
          <w:spacing w:val="-8"/>
          <w:sz w:val="16"/>
        </w:rPr>
        <w:t xml:space="preserve"> </w:t>
      </w:r>
      <w:r>
        <w:rPr>
          <w:rFonts w:ascii="Arial"/>
          <w:spacing w:val="-1"/>
          <w:sz w:val="16"/>
        </w:rPr>
        <w:t>statistically</w:t>
      </w:r>
      <w:r>
        <w:rPr>
          <w:rFonts w:ascii="Arial"/>
          <w:spacing w:val="-8"/>
          <w:sz w:val="16"/>
        </w:rPr>
        <w:t xml:space="preserve"> </w:t>
      </w:r>
      <w:r>
        <w:rPr>
          <w:rFonts w:ascii="Arial"/>
          <w:sz w:val="16"/>
        </w:rPr>
        <w:t>significantly</w:t>
      </w:r>
      <w:r>
        <w:rPr>
          <w:rFonts w:ascii="Arial"/>
          <w:spacing w:val="-7"/>
          <w:sz w:val="16"/>
        </w:rPr>
        <w:t xml:space="preserve"> </w:t>
      </w:r>
      <w:r>
        <w:rPr>
          <w:rFonts w:ascii="Arial"/>
          <w:sz w:val="16"/>
        </w:rPr>
        <w:t>better</w:t>
      </w:r>
      <w:r>
        <w:rPr>
          <w:rFonts w:ascii="Arial"/>
          <w:spacing w:val="-7"/>
          <w:sz w:val="16"/>
        </w:rPr>
        <w:t xml:space="preserve"> </w:t>
      </w:r>
      <w:r>
        <w:rPr>
          <w:rFonts w:ascii="Arial"/>
          <w:sz w:val="16"/>
        </w:rPr>
        <w:t>than</w:t>
      </w:r>
      <w:r>
        <w:rPr>
          <w:rFonts w:ascii="Arial"/>
          <w:spacing w:val="-7"/>
          <w:sz w:val="16"/>
        </w:rPr>
        <w:t xml:space="preserve"> </w:t>
      </w:r>
      <w:r>
        <w:rPr>
          <w:rFonts w:ascii="Arial"/>
          <w:sz w:val="16"/>
        </w:rPr>
        <w:t>control</w:t>
      </w:r>
      <w:r>
        <w:rPr>
          <w:rFonts w:ascii="Arial"/>
          <w:sz w:val="16"/>
        </w:rPr>
        <w:br/>
      </w:r>
      <w:r>
        <w:rPr>
          <w:rFonts w:ascii="Arial"/>
          <w:spacing w:val="-1"/>
          <w:sz w:val="16"/>
        </w:rPr>
        <w:t>statistically</w:t>
      </w:r>
      <w:r>
        <w:rPr>
          <w:rFonts w:ascii="Arial"/>
          <w:spacing w:val="-8"/>
          <w:sz w:val="16"/>
        </w:rPr>
        <w:t xml:space="preserve"> </w:t>
      </w:r>
      <w:r>
        <w:rPr>
          <w:rFonts w:ascii="Arial"/>
          <w:sz w:val="16"/>
        </w:rPr>
        <w:t>significantly</w:t>
      </w:r>
      <w:r>
        <w:rPr>
          <w:rFonts w:ascii="Arial"/>
          <w:spacing w:val="-7"/>
          <w:sz w:val="16"/>
        </w:rPr>
        <w:t xml:space="preserve"> </w:t>
      </w:r>
      <w:r>
        <w:rPr>
          <w:rFonts w:ascii="Arial"/>
          <w:sz w:val="16"/>
        </w:rPr>
        <w:t>better</w:t>
      </w:r>
      <w:r>
        <w:rPr>
          <w:rFonts w:ascii="Arial"/>
          <w:spacing w:val="-7"/>
          <w:sz w:val="16"/>
        </w:rPr>
        <w:t xml:space="preserve"> </w:t>
      </w:r>
      <w:r>
        <w:rPr>
          <w:rFonts w:ascii="Arial"/>
          <w:sz w:val="16"/>
        </w:rPr>
        <w:t>than</w:t>
      </w:r>
      <w:r>
        <w:rPr>
          <w:rFonts w:ascii="Arial"/>
          <w:spacing w:val="-7"/>
          <w:sz w:val="16"/>
        </w:rPr>
        <w:t xml:space="preserve"> </w:t>
      </w:r>
      <w:r>
        <w:rPr>
          <w:rFonts w:ascii="Arial"/>
          <w:sz w:val="16"/>
        </w:rPr>
        <w:t>control</w:t>
      </w:r>
      <w:r>
        <w:rPr>
          <w:rFonts w:ascii="Arial"/>
          <w:sz w:val="16"/>
        </w:rPr>
        <w:br/>
        <w:t>No</w:t>
      </w:r>
      <w:r>
        <w:rPr>
          <w:rFonts w:ascii="Arial"/>
          <w:spacing w:val="-11"/>
          <w:sz w:val="16"/>
        </w:rPr>
        <w:t xml:space="preserve"> </w:t>
      </w:r>
      <w:r>
        <w:rPr>
          <w:rFonts w:ascii="Arial"/>
          <w:spacing w:val="-1"/>
          <w:sz w:val="16"/>
        </w:rPr>
        <w:t>difference</w:t>
      </w:r>
      <w:r>
        <w:rPr>
          <w:rFonts w:ascii="Arial"/>
          <w:spacing w:val="-1"/>
          <w:sz w:val="16"/>
        </w:rPr>
        <w:tab/>
      </w:r>
      <w:r>
        <w:rPr>
          <w:rFonts w:ascii="Arial"/>
          <w:sz w:val="16"/>
        </w:rPr>
        <w:br/>
      </w:r>
      <w:r>
        <w:rPr>
          <w:rFonts w:ascii="Arial"/>
          <w:spacing w:val="-1"/>
          <w:sz w:val="16"/>
        </w:rPr>
        <w:t>Intervention</w:t>
      </w:r>
      <w:r>
        <w:rPr>
          <w:rFonts w:ascii="Arial"/>
          <w:spacing w:val="-7"/>
          <w:sz w:val="16"/>
        </w:rPr>
        <w:t xml:space="preserve"> </w:t>
      </w:r>
      <w:r>
        <w:rPr>
          <w:rFonts w:ascii="Arial"/>
          <w:spacing w:val="-1"/>
          <w:sz w:val="16"/>
        </w:rPr>
        <w:t>statistically</w:t>
      </w:r>
      <w:r>
        <w:rPr>
          <w:rFonts w:ascii="Arial"/>
          <w:spacing w:val="-8"/>
          <w:sz w:val="16"/>
        </w:rPr>
        <w:t xml:space="preserve"> </w:t>
      </w:r>
      <w:r>
        <w:rPr>
          <w:rFonts w:ascii="Arial"/>
          <w:sz w:val="16"/>
        </w:rPr>
        <w:t>significantly</w:t>
      </w:r>
      <w:r>
        <w:rPr>
          <w:rFonts w:ascii="Arial"/>
          <w:spacing w:val="-7"/>
          <w:sz w:val="16"/>
        </w:rPr>
        <w:t xml:space="preserve"> </w:t>
      </w:r>
      <w:r>
        <w:rPr>
          <w:rFonts w:ascii="Arial"/>
          <w:spacing w:val="-1"/>
          <w:sz w:val="16"/>
        </w:rPr>
        <w:t>worse</w:t>
      </w:r>
      <w:r>
        <w:rPr>
          <w:rFonts w:ascii="Arial"/>
          <w:spacing w:val="-7"/>
          <w:sz w:val="16"/>
        </w:rPr>
        <w:t xml:space="preserve"> </w:t>
      </w:r>
      <w:r>
        <w:rPr>
          <w:rFonts w:ascii="Arial"/>
          <w:sz w:val="16"/>
        </w:rPr>
        <w:t>than</w:t>
      </w:r>
      <w:r>
        <w:rPr>
          <w:rFonts w:ascii="Arial"/>
          <w:spacing w:val="-7"/>
          <w:sz w:val="16"/>
        </w:rPr>
        <w:t xml:space="preserve"> </w:t>
      </w:r>
      <w:r>
        <w:rPr>
          <w:rFonts w:ascii="Arial"/>
          <w:spacing w:val="-1"/>
          <w:sz w:val="16"/>
        </w:rPr>
        <w:t>control</w:t>
      </w:r>
      <w:r>
        <w:rPr>
          <w:rFonts w:ascii="Arial"/>
          <w:sz w:val="16"/>
        </w:rPr>
        <w:br/>
      </w:r>
      <w:r>
        <w:rPr>
          <w:rFonts w:ascii="Arial"/>
          <w:spacing w:val="-1"/>
          <w:sz w:val="16"/>
        </w:rPr>
        <w:t>Intervention clinically and</w:t>
      </w:r>
      <w:r>
        <w:rPr>
          <w:rFonts w:ascii="Arial"/>
          <w:spacing w:val="-8"/>
          <w:sz w:val="16"/>
        </w:rPr>
        <w:t xml:space="preserve"> </w:t>
      </w:r>
      <w:r>
        <w:rPr>
          <w:rFonts w:ascii="Arial"/>
          <w:spacing w:val="-1"/>
          <w:sz w:val="16"/>
        </w:rPr>
        <w:t>statistically</w:t>
      </w:r>
      <w:r>
        <w:rPr>
          <w:rFonts w:ascii="Arial"/>
          <w:spacing w:val="-8"/>
          <w:sz w:val="16"/>
        </w:rPr>
        <w:t xml:space="preserve"> </w:t>
      </w:r>
      <w:r>
        <w:rPr>
          <w:rFonts w:ascii="Arial"/>
          <w:sz w:val="16"/>
        </w:rPr>
        <w:t>significantly</w:t>
      </w:r>
      <w:r>
        <w:rPr>
          <w:rFonts w:ascii="Arial"/>
          <w:spacing w:val="-7"/>
          <w:sz w:val="16"/>
        </w:rPr>
        <w:t xml:space="preserve"> </w:t>
      </w:r>
      <w:r>
        <w:rPr>
          <w:rFonts w:ascii="Arial"/>
          <w:spacing w:val="-1"/>
          <w:sz w:val="16"/>
        </w:rPr>
        <w:t>worse</w:t>
      </w:r>
      <w:r>
        <w:rPr>
          <w:rFonts w:ascii="Arial"/>
          <w:spacing w:val="-7"/>
          <w:sz w:val="16"/>
        </w:rPr>
        <w:t xml:space="preserve"> </w:t>
      </w:r>
      <w:r>
        <w:rPr>
          <w:rFonts w:ascii="Arial"/>
          <w:sz w:val="16"/>
        </w:rPr>
        <w:t>than</w:t>
      </w:r>
      <w:r>
        <w:rPr>
          <w:rFonts w:ascii="Arial"/>
          <w:spacing w:val="-7"/>
          <w:sz w:val="16"/>
        </w:rPr>
        <w:t xml:space="preserve"> </w:t>
      </w:r>
      <w:r>
        <w:rPr>
          <w:rFonts w:ascii="Arial"/>
          <w:spacing w:val="-1"/>
          <w:sz w:val="16"/>
        </w:rPr>
        <w:t>control</w:t>
      </w:r>
    </w:p>
    <w:p w14:paraId="58A85EB4" w14:textId="23173ECE" w:rsidR="00E53091" w:rsidRDefault="00E53091" w:rsidP="005B201F">
      <w:pPr>
        <w:pStyle w:val="Tablenotes"/>
        <w:rPr>
          <w:rFonts w:eastAsia="Arial" w:hAnsi="Arial"/>
          <w:szCs w:val="16"/>
        </w:rPr>
      </w:pPr>
      <w:r>
        <w:t>Note:</w:t>
      </w:r>
      <w:r>
        <w:rPr>
          <w:spacing w:val="-6"/>
        </w:rPr>
        <w:t xml:space="preserve"> </w:t>
      </w:r>
      <w:r>
        <w:t>Comparison</w:t>
      </w:r>
      <w:r>
        <w:rPr>
          <w:spacing w:val="-5"/>
        </w:rPr>
        <w:t xml:space="preserve"> </w:t>
      </w:r>
      <w:r>
        <w:t>of</w:t>
      </w:r>
      <w:r>
        <w:rPr>
          <w:spacing w:val="-5"/>
        </w:rPr>
        <w:t xml:space="preserve"> </w:t>
      </w:r>
      <w:r>
        <w:t>each</w:t>
      </w:r>
      <w:r>
        <w:rPr>
          <w:spacing w:val="-5"/>
        </w:rPr>
        <w:t xml:space="preserve"> </w:t>
      </w:r>
      <w:r>
        <w:t>technology</w:t>
      </w:r>
      <w:r>
        <w:rPr>
          <w:spacing w:val="-7"/>
        </w:rPr>
        <w:t xml:space="preserve"> </w:t>
      </w:r>
      <w:r>
        <w:t>(intervention,</w:t>
      </w:r>
      <w:r>
        <w:rPr>
          <w:spacing w:val="-3"/>
        </w:rPr>
        <w:t xml:space="preserve"> </w:t>
      </w:r>
      <w:r>
        <w:t>left</w:t>
      </w:r>
      <w:r>
        <w:rPr>
          <w:spacing w:val="-5"/>
        </w:rPr>
        <w:t xml:space="preserve"> </w:t>
      </w:r>
      <w:r>
        <w:t>column)</w:t>
      </w:r>
      <w:r>
        <w:rPr>
          <w:spacing w:val="-5"/>
        </w:rPr>
        <w:t xml:space="preserve"> </w:t>
      </w:r>
      <w:r>
        <w:t>by</w:t>
      </w:r>
      <w:r>
        <w:rPr>
          <w:spacing w:val="-7"/>
        </w:rPr>
        <w:t xml:space="preserve"> </w:t>
      </w:r>
      <w:r>
        <w:t>row</w:t>
      </w:r>
      <w:r>
        <w:rPr>
          <w:spacing w:val="-5"/>
        </w:rPr>
        <w:t xml:space="preserve"> </w:t>
      </w:r>
      <w:r>
        <w:t>with</w:t>
      </w:r>
      <w:r>
        <w:rPr>
          <w:spacing w:val="-5"/>
        </w:rPr>
        <w:t xml:space="preserve"> </w:t>
      </w:r>
      <w:r>
        <w:t>TURP.</w:t>
      </w:r>
      <w:r>
        <w:rPr>
          <w:spacing w:val="50"/>
          <w:w w:val="99"/>
        </w:rPr>
        <w:t xml:space="preserve"> </w:t>
      </w:r>
      <w:r>
        <w:t>The</w:t>
      </w:r>
      <w:r>
        <w:rPr>
          <w:spacing w:val="-5"/>
        </w:rPr>
        <w:t xml:space="preserve"> </w:t>
      </w:r>
      <w:r>
        <w:t>colours</w:t>
      </w:r>
      <w:r>
        <w:rPr>
          <w:spacing w:val="-3"/>
        </w:rPr>
        <w:t xml:space="preserve"> </w:t>
      </w:r>
      <w:r>
        <w:t>denote</w:t>
      </w:r>
      <w:r>
        <w:rPr>
          <w:spacing w:val="-5"/>
        </w:rPr>
        <w:t xml:space="preserve"> </w:t>
      </w:r>
      <w:r>
        <w:t>the</w:t>
      </w:r>
      <w:r>
        <w:rPr>
          <w:spacing w:val="-4"/>
        </w:rPr>
        <w:t xml:space="preserve"> </w:t>
      </w:r>
      <w:r>
        <w:t>quantitative</w:t>
      </w:r>
      <w:r>
        <w:rPr>
          <w:spacing w:val="-4"/>
        </w:rPr>
        <w:t xml:space="preserve"> </w:t>
      </w:r>
      <w:r>
        <w:t>difference</w:t>
      </w:r>
      <w:r>
        <w:rPr>
          <w:spacing w:val="-5"/>
        </w:rPr>
        <w:t xml:space="preserve"> </w:t>
      </w:r>
      <w:r>
        <w:t>for</w:t>
      </w:r>
      <w:r>
        <w:rPr>
          <w:spacing w:val="-3"/>
        </w:rPr>
        <w:t xml:space="preserve"> </w:t>
      </w:r>
      <w:r>
        <w:t>each</w:t>
      </w:r>
      <w:r>
        <w:rPr>
          <w:spacing w:val="-5"/>
        </w:rPr>
        <w:t xml:space="preserve"> </w:t>
      </w:r>
      <w:r>
        <w:t>comparison,</w:t>
      </w:r>
      <w:r>
        <w:rPr>
          <w:spacing w:val="-4"/>
        </w:rPr>
        <w:t xml:space="preserve"> </w:t>
      </w:r>
      <w:r>
        <w:t>as</w:t>
      </w:r>
      <w:r>
        <w:rPr>
          <w:spacing w:val="-3"/>
        </w:rPr>
        <w:t xml:space="preserve"> </w:t>
      </w:r>
      <w:r>
        <w:t>shown</w:t>
      </w:r>
      <w:r>
        <w:rPr>
          <w:spacing w:val="-5"/>
        </w:rPr>
        <w:t xml:space="preserve"> </w:t>
      </w:r>
      <w:r>
        <w:t>in</w:t>
      </w:r>
      <w:r>
        <w:rPr>
          <w:spacing w:val="-4"/>
        </w:rPr>
        <w:t xml:space="preserve"> </w:t>
      </w:r>
      <w:r>
        <w:t>the</w:t>
      </w:r>
      <w:r>
        <w:rPr>
          <w:spacing w:val="-3"/>
        </w:rPr>
        <w:t xml:space="preserve"> </w:t>
      </w:r>
      <w:r>
        <w:t xml:space="preserve">key. The </w:t>
      </w:r>
      <w:r w:rsidR="00533142">
        <w:t>minimal clinically important difference (</w:t>
      </w:r>
      <w:r>
        <w:t>MCID</w:t>
      </w:r>
      <w:r w:rsidR="00533142">
        <w:t>)</w:t>
      </w:r>
      <w:r>
        <w:t xml:space="preserve"> for IPSS is 3 points (lower is better), the MCID for </w:t>
      </w:r>
      <w:proofErr w:type="spellStart"/>
      <w:r>
        <w:t>Qmax</w:t>
      </w:r>
      <w:proofErr w:type="spellEnd"/>
      <w:r>
        <w:t xml:space="preserve"> is 5 ml/s (higher is better). </w:t>
      </w:r>
      <w:r>
        <w:rPr>
          <w:spacing w:val="-4"/>
        </w:rPr>
        <w:t>When no evidence was available for a certain outcome, this cell was left blank.</w:t>
      </w:r>
    </w:p>
    <w:p w14:paraId="213924C6" w14:textId="0546BC56" w:rsidR="00772829" w:rsidRDefault="00772829" w:rsidP="00994452">
      <w:pPr>
        <w:keepNext/>
        <w:keepLines/>
        <w:tabs>
          <w:tab w:val="left" w:pos="720"/>
          <w:tab w:val="left" w:pos="1140"/>
        </w:tabs>
        <w:spacing w:before="240" w:after="120"/>
        <w:rPr>
          <w:b/>
          <w:bCs/>
        </w:rPr>
      </w:pPr>
      <w:r w:rsidRPr="00223664">
        <w:rPr>
          <w:b/>
          <w:bCs/>
        </w:rPr>
        <w:lastRenderedPageBreak/>
        <w:t xml:space="preserve">Clinical </w:t>
      </w:r>
      <w:r w:rsidR="00A66BF9">
        <w:rPr>
          <w:b/>
          <w:bCs/>
        </w:rPr>
        <w:t>conclusion</w:t>
      </w:r>
    </w:p>
    <w:p w14:paraId="32D147E3" w14:textId="1BCCCB02" w:rsidR="00F14026" w:rsidRDefault="007A076B" w:rsidP="00994452">
      <w:pPr>
        <w:keepNext/>
        <w:keepLines/>
      </w:pPr>
      <w:r>
        <w:t xml:space="preserve">In summary, the conclusions regarding superiority, non-inferiority and inferiority of the safety and effectiveness of the different interventions (compared with TURP) are shown in the table below. </w:t>
      </w:r>
      <w:r w:rsidR="001E7B8F">
        <w:t>The applicants of the d</w:t>
      </w:r>
      <w:r>
        <w:t>ifferent MSAC applications</w:t>
      </w:r>
      <w:r w:rsidR="001E7B8F">
        <w:t xml:space="preserve"> for PUL, TUMT, TUWA, VLAP and </w:t>
      </w:r>
      <w:proofErr w:type="spellStart"/>
      <w:r w:rsidR="001E7B8F">
        <w:t>HoLEP</w:t>
      </w:r>
      <w:proofErr w:type="spellEnd"/>
      <w:r w:rsidR="001E7B8F">
        <w:t xml:space="preserve"> presented a clinical claim. None of the interventions are superior for both efficacy and safety compared to TURP. These claims are</w:t>
      </w:r>
      <w:r>
        <w:t xml:space="preserve"> presented i</w:t>
      </w:r>
      <w:r w:rsidR="005C144C">
        <w:t xml:space="preserve">n </w:t>
      </w:r>
      <w:r w:rsidR="005C144C">
        <w:fldChar w:fldCharType="begin"/>
      </w:r>
      <w:r w:rsidR="005C144C">
        <w:instrText xml:space="preserve"> REF _Ref116390412 \h </w:instrText>
      </w:r>
      <w:r w:rsidR="005C144C">
        <w:fldChar w:fldCharType="separate"/>
      </w:r>
      <w:r w:rsidR="005C144C">
        <w:t xml:space="preserve">Table </w:t>
      </w:r>
      <w:r w:rsidR="005C144C">
        <w:rPr>
          <w:noProof/>
        </w:rPr>
        <w:t>5</w:t>
      </w:r>
      <w:r w:rsidR="005C144C">
        <w:fldChar w:fldCharType="end"/>
      </w:r>
      <w:r w:rsidR="005C144C">
        <w:t xml:space="preserve"> </w:t>
      </w:r>
      <w:r>
        <w:t xml:space="preserve">above. </w:t>
      </w:r>
    </w:p>
    <w:p w14:paraId="0CC7EADE" w14:textId="6BAFAC9B" w:rsidR="00994452" w:rsidRPr="00994452" w:rsidRDefault="007A076B" w:rsidP="00994452">
      <w:r>
        <w:t>When choosing an i</w:t>
      </w:r>
      <w:r w:rsidR="001E7B8F">
        <w:t>ntervention</w:t>
      </w:r>
      <w:r>
        <w:t xml:space="preserve"> there </w:t>
      </w:r>
      <w:r w:rsidR="002E3E3A">
        <w:t>is</w:t>
      </w:r>
      <w:r>
        <w:t xml:space="preserve"> a trade-off between safety and effectiveness. Individual patients will have different preferences when considering the balance between effectiveness and possible side effects. Selecting an intervention would depend on factors like the individual patient’s prostate size, cardiovascular risk, level of invasiveness of the intervention, recovery time, likely treatment effect, contraindications, and risk of erectile dysfunction. </w:t>
      </w:r>
      <w:r w:rsidR="00A66BF9">
        <w:t>As d</w:t>
      </w:r>
      <w:r>
        <w:t xml:space="preserve">ifferent patients </w:t>
      </w:r>
      <w:r w:rsidR="008709F8">
        <w:t xml:space="preserve">may </w:t>
      </w:r>
      <w:r>
        <w:t xml:space="preserve">value </w:t>
      </w:r>
      <w:r w:rsidR="00A66BF9">
        <w:t xml:space="preserve">outcomes </w:t>
      </w:r>
      <w:r>
        <w:t>different</w:t>
      </w:r>
      <w:r w:rsidR="00A66BF9">
        <w:t>ly, the net health impacts of interventions compared with TURP may differ according to patient preferences</w:t>
      </w:r>
      <w:r>
        <w:t>.</w:t>
      </w:r>
    </w:p>
    <w:p w14:paraId="177E03B2" w14:textId="194BD21A" w:rsidR="00F14026" w:rsidRDefault="00F14026" w:rsidP="009A5C5B">
      <w:pPr>
        <w:pStyle w:val="TableFigureHeading"/>
      </w:pPr>
      <w:r>
        <w:t xml:space="preserve">Table </w:t>
      </w:r>
      <w:r>
        <w:fldChar w:fldCharType="begin"/>
      </w:r>
      <w:r>
        <w:instrText>SEQ Table \* ARABIC</w:instrText>
      </w:r>
      <w:r>
        <w:fldChar w:fldCharType="separate"/>
      </w:r>
      <w:r w:rsidR="00C03EF9">
        <w:rPr>
          <w:noProof/>
        </w:rPr>
        <w:t>6</w:t>
      </w:r>
      <w:r>
        <w:fldChar w:fldCharType="end"/>
      </w:r>
      <w:r w:rsidR="00581535">
        <w:t xml:space="preserve"> </w:t>
      </w:r>
      <w:r w:rsidR="00A66BF9">
        <w:t>Clinical conclusion</w:t>
      </w:r>
      <w:r>
        <w:t xml:space="preserve"> for each intervention, compared with TURP</w:t>
      </w:r>
    </w:p>
    <w:tbl>
      <w:tblPr>
        <w:tblStyle w:val="TableGrid"/>
        <w:tblW w:w="0" w:type="auto"/>
        <w:tblLook w:val="04A0" w:firstRow="1" w:lastRow="0" w:firstColumn="1" w:lastColumn="0" w:noHBand="0" w:noVBand="1"/>
        <w:tblCaption w:val="Clinical conclusion for each intervention, compared with TURP"/>
      </w:tblPr>
      <w:tblGrid>
        <w:gridCol w:w="2254"/>
        <w:gridCol w:w="1569"/>
        <w:gridCol w:w="1842"/>
        <w:gridCol w:w="3120"/>
      </w:tblGrid>
      <w:tr w:rsidR="00722EBF" w14:paraId="388E4539" w14:textId="7C8AB1D5" w:rsidTr="008B0FED">
        <w:trPr>
          <w:tblHeader/>
        </w:trPr>
        <w:tc>
          <w:tcPr>
            <w:tcW w:w="2254" w:type="dxa"/>
          </w:tcPr>
          <w:p w14:paraId="58608526" w14:textId="77777777" w:rsidR="00722EBF" w:rsidRDefault="00722EBF" w:rsidP="00C81E05">
            <w:pPr>
              <w:pStyle w:val="TableHeading0"/>
            </w:pPr>
            <w:r>
              <w:t>Intervention</w:t>
            </w:r>
          </w:p>
        </w:tc>
        <w:tc>
          <w:tcPr>
            <w:tcW w:w="1569" w:type="dxa"/>
          </w:tcPr>
          <w:p w14:paraId="09E0F992" w14:textId="77777777" w:rsidR="00722EBF" w:rsidRDefault="00722EBF" w:rsidP="00C81E05">
            <w:pPr>
              <w:pStyle w:val="TableHeading0"/>
            </w:pPr>
            <w:r>
              <w:t>Effectiveness</w:t>
            </w:r>
          </w:p>
        </w:tc>
        <w:tc>
          <w:tcPr>
            <w:tcW w:w="1842" w:type="dxa"/>
          </w:tcPr>
          <w:p w14:paraId="16D305B2" w14:textId="77777777" w:rsidR="00722EBF" w:rsidRDefault="00722EBF" w:rsidP="00C81E05">
            <w:pPr>
              <w:pStyle w:val="TableHeading0"/>
            </w:pPr>
            <w:r>
              <w:t>Safety</w:t>
            </w:r>
          </w:p>
        </w:tc>
        <w:tc>
          <w:tcPr>
            <w:tcW w:w="3120" w:type="dxa"/>
          </w:tcPr>
          <w:p w14:paraId="6FD52EB0" w14:textId="252AA0F6" w:rsidR="00722EBF" w:rsidRDefault="00722EBF" w:rsidP="00C81E05">
            <w:pPr>
              <w:pStyle w:val="TableHeading0"/>
            </w:pPr>
            <w:r>
              <w:t>MSAC’s previous assessment</w:t>
            </w:r>
          </w:p>
        </w:tc>
      </w:tr>
      <w:tr w:rsidR="00722EBF" w14:paraId="745F09C6" w14:textId="77777777" w:rsidTr="008B0FED">
        <w:tc>
          <w:tcPr>
            <w:tcW w:w="2254" w:type="dxa"/>
          </w:tcPr>
          <w:p w14:paraId="40FCCB6C" w14:textId="22C086E7" w:rsidR="00722EBF" w:rsidRDefault="00814CE4" w:rsidP="00C81E05">
            <w:pPr>
              <w:pStyle w:val="TableHeading0"/>
            </w:pPr>
            <w:r>
              <w:t>EEP</w:t>
            </w:r>
          </w:p>
        </w:tc>
        <w:tc>
          <w:tcPr>
            <w:tcW w:w="1569" w:type="dxa"/>
          </w:tcPr>
          <w:p w14:paraId="3D14D317" w14:textId="77777777" w:rsidR="00722EBF" w:rsidRPr="00353F0E" w:rsidRDefault="00722EBF" w:rsidP="00C81E05">
            <w:pPr>
              <w:pStyle w:val="Tabletext0"/>
            </w:pPr>
            <w:r>
              <w:t>Non-inferior (statistically superior for some outcomes, however clinical significance unknown)</w:t>
            </w:r>
          </w:p>
        </w:tc>
        <w:tc>
          <w:tcPr>
            <w:tcW w:w="1842" w:type="dxa"/>
          </w:tcPr>
          <w:p w14:paraId="62F2DF90" w14:textId="77777777" w:rsidR="00722EBF" w:rsidRPr="00353F0E" w:rsidRDefault="00722EBF" w:rsidP="00C81E05">
            <w:pPr>
              <w:pStyle w:val="Tabletext0"/>
            </w:pPr>
            <w:r w:rsidRPr="00353F0E">
              <w:t>Superior</w:t>
            </w:r>
            <w:r>
              <w:t xml:space="preserve"> for some outcomes</w:t>
            </w:r>
          </w:p>
        </w:tc>
        <w:tc>
          <w:tcPr>
            <w:tcW w:w="3120" w:type="dxa"/>
          </w:tcPr>
          <w:p w14:paraId="56F4CCFE" w14:textId="77777777" w:rsidR="00722EBF" w:rsidRDefault="00BE3773" w:rsidP="00C81E05">
            <w:pPr>
              <w:pStyle w:val="Tabletext0"/>
            </w:pPr>
            <w:r>
              <w:t>MSAC assessment 1149</w:t>
            </w:r>
          </w:p>
          <w:p w14:paraId="796E144D" w14:textId="0A4AC0DB" w:rsidR="00BE3773" w:rsidRDefault="00BE3773" w:rsidP="00C81E05">
            <w:pPr>
              <w:pStyle w:val="Tabletext0"/>
            </w:pPr>
            <w:r>
              <w:t xml:space="preserve">Effectiveness: </w:t>
            </w:r>
            <w:r w:rsidR="008C4F45">
              <w:t>non-inferior</w:t>
            </w:r>
          </w:p>
          <w:p w14:paraId="1A7778B9" w14:textId="0358021A" w:rsidR="00BE3773" w:rsidRPr="00353F0E" w:rsidRDefault="00BE3773" w:rsidP="00C81E05">
            <w:pPr>
              <w:pStyle w:val="Tabletext0"/>
            </w:pPr>
            <w:r>
              <w:t>Safety: non-inferior</w:t>
            </w:r>
            <w:r w:rsidR="008C4F45">
              <w:t xml:space="preserve"> or superior</w:t>
            </w:r>
          </w:p>
        </w:tc>
      </w:tr>
      <w:tr w:rsidR="00722EBF" w14:paraId="2EBE9EF4" w14:textId="77777777" w:rsidTr="008B0FED">
        <w:tc>
          <w:tcPr>
            <w:tcW w:w="2254" w:type="dxa"/>
          </w:tcPr>
          <w:p w14:paraId="7D06F673" w14:textId="77777777" w:rsidR="00722EBF" w:rsidRDefault="00722EBF" w:rsidP="00C81E05">
            <w:pPr>
              <w:pStyle w:val="TableHeading0"/>
            </w:pPr>
            <w:r>
              <w:t>PUL</w:t>
            </w:r>
          </w:p>
        </w:tc>
        <w:tc>
          <w:tcPr>
            <w:tcW w:w="1569" w:type="dxa"/>
          </w:tcPr>
          <w:p w14:paraId="0F298DFF" w14:textId="77777777" w:rsidR="00722EBF" w:rsidRPr="00353F0E" w:rsidRDefault="00722EBF" w:rsidP="00C81E05">
            <w:pPr>
              <w:pStyle w:val="Tabletext0"/>
            </w:pPr>
            <w:r w:rsidRPr="00353F0E">
              <w:t>Inferior</w:t>
            </w:r>
          </w:p>
        </w:tc>
        <w:tc>
          <w:tcPr>
            <w:tcW w:w="1842" w:type="dxa"/>
          </w:tcPr>
          <w:p w14:paraId="4839189F" w14:textId="77777777" w:rsidR="00722EBF" w:rsidRPr="00353F0E" w:rsidRDefault="00722EBF" w:rsidP="00C81E05">
            <w:pPr>
              <w:pStyle w:val="Tabletext0"/>
            </w:pPr>
            <w:r w:rsidRPr="00353F0E">
              <w:t>Superior</w:t>
            </w:r>
          </w:p>
        </w:tc>
        <w:tc>
          <w:tcPr>
            <w:tcW w:w="3120" w:type="dxa"/>
          </w:tcPr>
          <w:p w14:paraId="71A43443" w14:textId="77777777" w:rsidR="00722EBF" w:rsidRDefault="008C4F45" w:rsidP="00C81E05">
            <w:pPr>
              <w:pStyle w:val="Tabletext0"/>
            </w:pPr>
            <w:r>
              <w:t>MSAC assessment 1612</w:t>
            </w:r>
          </w:p>
          <w:p w14:paraId="51C1DAF6" w14:textId="77777777" w:rsidR="008C4F45" w:rsidRDefault="008C4F45" w:rsidP="00C81E05">
            <w:pPr>
              <w:pStyle w:val="Tabletext0"/>
            </w:pPr>
            <w:r>
              <w:t>Effectiveness: inferior</w:t>
            </w:r>
          </w:p>
          <w:p w14:paraId="51727350" w14:textId="26261768" w:rsidR="008C4F45" w:rsidRPr="00353F0E" w:rsidRDefault="008C4F45" w:rsidP="00C81E05">
            <w:pPr>
              <w:pStyle w:val="Tabletext0"/>
            </w:pPr>
            <w:r>
              <w:t>Safety: Unclear</w:t>
            </w:r>
          </w:p>
        </w:tc>
      </w:tr>
      <w:tr w:rsidR="00722EBF" w14:paraId="0F63708E" w14:textId="77777777" w:rsidTr="008B0FED">
        <w:tc>
          <w:tcPr>
            <w:tcW w:w="2254" w:type="dxa"/>
          </w:tcPr>
          <w:p w14:paraId="61E4B6C7" w14:textId="77777777" w:rsidR="00722EBF" w:rsidRDefault="00722EBF" w:rsidP="00C81E05">
            <w:pPr>
              <w:pStyle w:val="TableHeading0"/>
            </w:pPr>
            <w:r>
              <w:t>TUMT</w:t>
            </w:r>
          </w:p>
        </w:tc>
        <w:tc>
          <w:tcPr>
            <w:tcW w:w="1569" w:type="dxa"/>
          </w:tcPr>
          <w:p w14:paraId="1E44DCB7" w14:textId="77777777" w:rsidR="00722EBF" w:rsidRPr="00353F0E" w:rsidRDefault="00722EBF" w:rsidP="00C81E05">
            <w:pPr>
              <w:pStyle w:val="Tabletext0"/>
            </w:pPr>
            <w:r w:rsidRPr="00353F0E">
              <w:t>Inferior</w:t>
            </w:r>
          </w:p>
        </w:tc>
        <w:tc>
          <w:tcPr>
            <w:tcW w:w="1842" w:type="dxa"/>
          </w:tcPr>
          <w:p w14:paraId="52D42BF3" w14:textId="77777777" w:rsidR="00722EBF" w:rsidRPr="00353F0E" w:rsidRDefault="00722EBF" w:rsidP="00C81E05">
            <w:pPr>
              <w:pStyle w:val="Tabletext0"/>
            </w:pPr>
            <w:r w:rsidRPr="00353F0E">
              <w:t>Superior</w:t>
            </w:r>
          </w:p>
        </w:tc>
        <w:tc>
          <w:tcPr>
            <w:tcW w:w="3120" w:type="dxa"/>
          </w:tcPr>
          <w:p w14:paraId="1AE57AED" w14:textId="77777777" w:rsidR="00722EBF" w:rsidRDefault="008C4F45" w:rsidP="00C81E05">
            <w:pPr>
              <w:pStyle w:val="Tabletext0"/>
            </w:pPr>
            <w:r>
              <w:t>MSAC assessment 1076</w:t>
            </w:r>
          </w:p>
          <w:p w14:paraId="2343C625" w14:textId="77777777" w:rsidR="008C4F45" w:rsidRDefault="008C4F45" w:rsidP="00C81E05">
            <w:pPr>
              <w:pStyle w:val="Tabletext0"/>
            </w:pPr>
            <w:r>
              <w:t>Effectiveness: inferior</w:t>
            </w:r>
          </w:p>
          <w:p w14:paraId="30A6F074" w14:textId="3B0DD18A" w:rsidR="008C4F45" w:rsidRPr="00353F0E" w:rsidRDefault="008C4F45" w:rsidP="00C81E05">
            <w:pPr>
              <w:pStyle w:val="Tabletext0"/>
            </w:pPr>
            <w:r>
              <w:t>Safety: non-inferior</w:t>
            </w:r>
          </w:p>
        </w:tc>
      </w:tr>
      <w:tr w:rsidR="00722EBF" w14:paraId="5C380573" w14:textId="77777777" w:rsidTr="008B0FED">
        <w:tc>
          <w:tcPr>
            <w:tcW w:w="2254" w:type="dxa"/>
          </w:tcPr>
          <w:p w14:paraId="74E1A5F7" w14:textId="77777777" w:rsidR="00722EBF" w:rsidRDefault="00722EBF" w:rsidP="00C81E05">
            <w:pPr>
              <w:pStyle w:val="TableHeading0"/>
            </w:pPr>
            <w:r>
              <w:t>TUWA</w:t>
            </w:r>
          </w:p>
        </w:tc>
        <w:tc>
          <w:tcPr>
            <w:tcW w:w="1569" w:type="dxa"/>
          </w:tcPr>
          <w:p w14:paraId="0FA8DF48" w14:textId="77777777" w:rsidR="00722EBF" w:rsidRPr="00353F0E" w:rsidRDefault="00722EBF" w:rsidP="00C81E05">
            <w:pPr>
              <w:pStyle w:val="Tabletext0"/>
            </w:pPr>
            <w:r w:rsidRPr="00353F0E">
              <w:t>Inferior</w:t>
            </w:r>
          </w:p>
        </w:tc>
        <w:tc>
          <w:tcPr>
            <w:tcW w:w="1842" w:type="dxa"/>
          </w:tcPr>
          <w:p w14:paraId="5C8A8C05" w14:textId="3931FC0E" w:rsidR="00722EBF" w:rsidRPr="00353F0E" w:rsidRDefault="00722EBF">
            <w:pPr>
              <w:pStyle w:val="Tabletext0"/>
            </w:pPr>
            <w:r w:rsidRPr="00353F0E">
              <w:t>Non-inferior</w:t>
            </w:r>
            <w:r w:rsidR="00F72032">
              <w:t xml:space="preserve"> </w:t>
            </w:r>
          </w:p>
        </w:tc>
        <w:tc>
          <w:tcPr>
            <w:tcW w:w="3120" w:type="dxa"/>
          </w:tcPr>
          <w:p w14:paraId="2D953A0F" w14:textId="1999BBA2" w:rsidR="00722EBF" w:rsidRPr="005B0CB6" w:rsidRDefault="008C4F45" w:rsidP="00C81E05">
            <w:pPr>
              <w:pStyle w:val="Tabletext0"/>
              <w:rPr>
                <w:vertAlign w:val="superscript"/>
              </w:rPr>
            </w:pPr>
            <w:r>
              <w:t>MSAC assessment 1586</w:t>
            </w:r>
            <w:r w:rsidR="00E401EC">
              <w:rPr>
                <w:vertAlign w:val="superscript"/>
              </w:rPr>
              <w:t>1</w:t>
            </w:r>
          </w:p>
          <w:p w14:paraId="66BDEC56" w14:textId="2D38C676" w:rsidR="008C4F45" w:rsidRDefault="008C4F45" w:rsidP="00C81E05">
            <w:pPr>
              <w:pStyle w:val="Tabletext0"/>
            </w:pPr>
            <w:r>
              <w:t xml:space="preserve">Effectiveness: inferior </w:t>
            </w:r>
          </w:p>
          <w:p w14:paraId="4A2A84DE" w14:textId="5618B3B8" w:rsidR="008C4F45" w:rsidRPr="00353F0E" w:rsidRDefault="008C4F45" w:rsidP="00C81E05">
            <w:pPr>
              <w:pStyle w:val="Tabletext0"/>
            </w:pPr>
            <w:r>
              <w:t>Safety: may be superior</w:t>
            </w:r>
          </w:p>
        </w:tc>
      </w:tr>
      <w:tr w:rsidR="00722EBF" w14:paraId="7196AEC4" w14:textId="77777777" w:rsidTr="008B0FED">
        <w:tc>
          <w:tcPr>
            <w:tcW w:w="2254" w:type="dxa"/>
          </w:tcPr>
          <w:p w14:paraId="6C35ED95" w14:textId="77777777" w:rsidR="00722EBF" w:rsidRDefault="00722EBF" w:rsidP="00C81E05">
            <w:pPr>
              <w:pStyle w:val="TableHeading0"/>
            </w:pPr>
            <w:r>
              <w:t>VLAP</w:t>
            </w:r>
          </w:p>
        </w:tc>
        <w:tc>
          <w:tcPr>
            <w:tcW w:w="1569" w:type="dxa"/>
          </w:tcPr>
          <w:p w14:paraId="6BE8610A" w14:textId="77777777" w:rsidR="00722EBF" w:rsidRPr="00353F0E" w:rsidRDefault="00722EBF" w:rsidP="00C81E05">
            <w:pPr>
              <w:pStyle w:val="Tabletext0"/>
            </w:pPr>
            <w:r w:rsidRPr="00353F0E">
              <w:t>Non-inferior</w:t>
            </w:r>
          </w:p>
        </w:tc>
        <w:tc>
          <w:tcPr>
            <w:tcW w:w="1842" w:type="dxa"/>
          </w:tcPr>
          <w:p w14:paraId="4CDFBCD6" w14:textId="77777777" w:rsidR="00722EBF" w:rsidRPr="00353F0E" w:rsidRDefault="00722EBF" w:rsidP="00C81E05">
            <w:pPr>
              <w:pStyle w:val="Tabletext0"/>
            </w:pPr>
            <w:r>
              <w:t>Non-inferior</w:t>
            </w:r>
            <w:r w:rsidRPr="00353F0E">
              <w:t xml:space="preserve"> (some safety outcomes are superior, some non-inferior, some inferior)</w:t>
            </w:r>
          </w:p>
        </w:tc>
        <w:tc>
          <w:tcPr>
            <w:tcW w:w="3120" w:type="dxa"/>
          </w:tcPr>
          <w:p w14:paraId="22A09C3C" w14:textId="77777777" w:rsidR="00722EBF" w:rsidRDefault="008C4F45" w:rsidP="00C81E05">
            <w:pPr>
              <w:pStyle w:val="Tabletext0"/>
            </w:pPr>
            <w:r>
              <w:t>MSAC assessment 1518</w:t>
            </w:r>
          </w:p>
          <w:p w14:paraId="18C1E545" w14:textId="0536BC04" w:rsidR="008C4F45" w:rsidRDefault="008C4F45" w:rsidP="00C81E05">
            <w:pPr>
              <w:pStyle w:val="Tabletext0"/>
            </w:pPr>
            <w:r>
              <w:t>Effectiveness: non-inferior</w:t>
            </w:r>
          </w:p>
          <w:p w14:paraId="3E5C2F7D" w14:textId="0AD26C00" w:rsidR="008C4F45" w:rsidRDefault="008C4F45" w:rsidP="00C81E05">
            <w:pPr>
              <w:pStyle w:val="Tabletext0"/>
            </w:pPr>
            <w:r>
              <w:t>Safety: non-inferior</w:t>
            </w:r>
          </w:p>
        </w:tc>
      </w:tr>
    </w:tbl>
    <w:p w14:paraId="779EDC9D" w14:textId="77777777" w:rsidR="00994805" w:rsidRDefault="00994805" w:rsidP="00733625">
      <w:pPr>
        <w:pStyle w:val="Tablenotes0"/>
      </w:pPr>
      <w:r>
        <w:t xml:space="preserve">Source: Table 6, </w:t>
      </w:r>
      <w:proofErr w:type="spellStart"/>
      <w:r>
        <w:t>pg</w:t>
      </w:r>
      <w:proofErr w:type="spellEnd"/>
      <w:r>
        <w:t xml:space="preserve"> 17 of MSAC 1697 DCAR</w:t>
      </w:r>
    </w:p>
    <w:p w14:paraId="1A3C3D86" w14:textId="240863F6" w:rsidR="00733625" w:rsidRDefault="00994805" w:rsidP="00733625">
      <w:pPr>
        <w:pStyle w:val="Tablenotes0"/>
      </w:pPr>
      <w:r>
        <w:t xml:space="preserve">Abbreviations: </w:t>
      </w:r>
      <w:r w:rsidR="00814CE4">
        <w:t xml:space="preserve">EEP = endoscopic enucleation of the prostate; </w:t>
      </w:r>
      <w:r w:rsidR="00733625">
        <w:t>PUL = prostatic urethral lift; TUMT = transurethral microwave therapy; TURP = transurethral resection of the prostate; TUWA = transurethral water vapour ablation; VLAP = visual laser ablation of the prostate.</w:t>
      </w:r>
    </w:p>
    <w:p w14:paraId="1241AEDF" w14:textId="3C179DC1" w:rsidR="00E401EC" w:rsidRDefault="00E401EC" w:rsidP="00733625">
      <w:pPr>
        <w:pStyle w:val="Tablenotes0"/>
      </w:pPr>
      <w:r>
        <w:t>1 MSAC’s previous assessment of TUWA (MSAC 1586) was based on 2-step indirect comparison presented in the ADAR for MSAC 1586 and did not include the meta-analysis that included TUWA and TURP in Franco et al 2021.</w:t>
      </w:r>
    </w:p>
    <w:p w14:paraId="0D09C9E4" w14:textId="276E7983" w:rsidR="00772829" w:rsidRDefault="00C36633" w:rsidP="002A18BE">
      <w:pPr>
        <w:pStyle w:val="Heading2"/>
        <w:numPr>
          <w:ilvl w:val="0"/>
          <w:numId w:val="0"/>
        </w:numPr>
      </w:pPr>
      <w:bookmarkStart w:id="29" w:name="_Toc100150280"/>
      <w:r>
        <w:t>1</w:t>
      </w:r>
      <w:r w:rsidR="002811D5">
        <w:t>3</w:t>
      </w:r>
      <w:r>
        <w:t>.</w:t>
      </w:r>
      <w:r>
        <w:tab/>
      </w:r>
      <w:r w:rsidR="00772829" w:rsidRPr="00CE28E3">
        <w:t>Economic evaluation</w:t>
      </w:r>
      <w:bookmarkEnd w:id="29"/>
    </w:p>
    <w:p w14:paraId="228493C7" w14:textId="699B2C14" w:rsidR="008D44D0" w:rsidRDefault="008D44D0" w:rsidP="008D44D0">
      <w:r>
        <w:t xml:space="preserve">The clinical evaluation identified different clinical conclusions for efficacy and safety outcomes for the included minimally invasive procedures compared with TURP. Although conclusions of superiority and inferiority are most thoroughly explored using a cost-effectiveness analysis, uncertainty relating to the estimates of the incremental effects would undermine a robust analysis. In addition, valuing some of the outcomes may be difficult if different patients express considerably different preferences. </w:t>
      </w:r>
    </w:p>
    <w:p w14:paraId="036989D1" w14:textId="0D1962A3" w:rsidR="008D44D0" w:rsidRPr="008D44D0" w:rsidRDefault="008D44D0" w:rsidP="008D44D0">
      <w:pPr>
        <w:rPr>
          <w:rFonts w:cs="Segoe UI"/>
          <w:bCs/>
          <w:szCs w:val="20"/>
        </w:rPr>
      </w:pPr>
      <w:r w:rsidRPr="008D44D0">
        <w:lastRenderedPageBreak/>
        <w:t>A cost-consequences analysis has been presented to provide a comparison of the costs of the</w:t>
      </w:r>
      <w:r>
        <w:t xml:space="preserve"> included procedures in the context of the different outcomes achieved.</w:t>
      </w:r>
      <w:r w:rsidRPr="008D44D0">
        <w:rPr>
          <w:rFonts w:cs="Segoe UI"/>
          <w:b/>
          <w:bCs/>
          <w:szCs w:val="20"/>
        </w:rPr>
        <w:t xml:space="preserve"> </w:t>
      </w:r>
    </w:p>
    <w:p w14:paraId="3C415B63" w14:textId="270B404B" w:rsidR="008D44D0" w:rsidRDefault="008D44D0" w:rsidP="009A5C5B">
      <w:pPr>
        <w:pStyle w:val="TableFigureHeading"/>
      </w:pPr>
      <w:r>
        <w:t xml:space="preserve">Table </w:t>
      </w:r>
      <w:r>
        <w:fldChar w:fldCharType="begin"/>
      </w:r>
      <w:r>
        <w:instrText>SEQ Table \* ARABIC</w:instrText>
      </w:r>
      <w:r>
        <w:fldChar w:fldCharType="separate"/>
      </w:r>
      <w:r w:rsidR="00C03EF9">
        <w:rPr>
          <w:noProof/>
        </w:rPr>
        <w:t>7</w:t>
      </w:r>
      <w:r>
        <w:fldChar w:fldCharType="end"/>
      </w:r>
      <w:r>
        <w:tab/>
      </w:r>
      <w:r w:rsidRPr="008D44D0">
        <w:t xml:space="preserve">Summary of the economic evaluation  </w:t>
      </w:r>
    </w:p>
    <w:tbl>
      <w:tblPr>
        <w:tblStyle w:val="TableGrid1"/>
        <w:tblW w:w="5000" w:type="pct"/>
        <w:tblCellMar>
          <w:left w:w="0" w:type="dxa"/>
          <w:right w:w="0" w:type="dxa"/>
        </w:tblCellMar>
        <w:tblLook w:val="04A0" w:firstRow="1" w:lastRow="0" w:firstColumn="1" w:lastColumn="0" w:noHBand="0" w:noVBand="1"/>
        <w:tblCaption w:val="Table 1 Summary of the economic evaluation"/>
      </w:tblPr>
      <w:tblGrid>
        <w:gridCol w:w="3102"/>
        <w:gridCol w:w="5914"/>
      </w:tblGrid>
      <w:tr w:rsidR="008D44D0" w:rsidRPr="008D44D0" w14:paraId="1A6A5CBC" w14:textId="77777777" w:rsidTr="002316DC">
        <w:trPr>
          <w:cnfStyle w:val="100000000000" w:firstRow="1" w:lastRow="0" w:firstColumn="0" w:lastColumn="0" w:oddVBand="0" w:evenVBand="0" w:oddHBand="0" w:evenHBand="0" w:firstRowFirstColumn="0" w:firstRowLastColumn="0" w:lastRowFirstColumn="0" w:lastRowLastColumn="0"/>
          <w:trHeight w:val="15"/>
        </w:trPr>
        <w:tc>
          <w:tcPr>
            <w:tcW w:w="1720" w:type="pct"/>
            <w:shd w:val="clear" w:color="auto" w:fill="auto"/>
            <w:hideMark/>
          </w:tcPr>
          <w:p w14:paraId="25713965" w14:textId="77777777" w:rsidR="008D44D0" w:rsidRPr="008D44D0" w:rsidRDefault="008D44D0" w:rsidP="008D44D0">
            <w:pPr>
              <w:pStyle w:val="TableText"/>
              <w:rPr>
                <w:rFonts w:ascii="Times New Roman" w:hAnsi="Times New Roman"/>
                <w:b/>
                <w:sz w:val="24"/>
                <w:szCs w:val="24"/>
              </w:rPr>
            </w:pPr>
            <w:r w:rsidRPr="008D44D0">
              <w:rPr>
                <w:b/>
              </w:rPr>
              <w:t>Perspective </w:t>
            </w:r>
          </w:p>
        </w:tc>
        <w:tc>
          <w:tcPr>
            <w:tcW w:w="3280" w:type="pct"/>
            <w:shd w:val="clear" w:color="auto" w:fill="auto"/>
            <w:hideMark/>
          </w:tcPr>
          <w:p w14:paraId="03B38E65" w14:textId="77777777" w:rsidR="008D44D0" w:rsidRPr="008D44D0" w:rsidRDefault="008D44D0" w:rsidP="008D44D0">
            <w:pPr>
              <w:pStyle w:val="TableText"/>
              <w:rPr>
                <w:rFonts w:ascii="Times New Roman" w:hAnsi="Times New Roman"/>
                <w:sz w:val="24"/>
                <w:szCs w:val="24"/>
              </w:rPr>
            </w:pPr>
            <w:r w:rsidRPr="008D44D0">
              <w:t>Australian healthcare  </w:t>
            </w:r>
          </w:p>
        </w:tc>
      </w:tr>
      <w:tr w:rsidR="008D44D0" w:rsidRPr="008D44D0" w14:paraId="50317CBC" w14:textId="77777777" w:rsidTr="002316DC">
        <w:trPr>
          <w:trHeight w:val="15"/>
        </w:trPr>
        <w:tc>
          <w:tcPr>
            <w:tcW w:w="1720" w:type="pct"/>
            <w:shd w:val="clear" w:color="auto" w:fill="auto"/>
            <w:hideMark/>
          </w:tcPr>
          <w:p w14:paraId="7D7459EE" w14:textId="00F6FD92" w:rsidR="008D44D0" w:rsidRPr="008D44D0" w:rsidRDefault="008D44D0" w:rsidP="008D44D0">
            <w:pPr>
              <w:pStyle w:val="TableText"/>
              <w:rPr>
                <w:rFonts w:ascii="Times New Roman" w:hAnsi="Times New Roman"/>
                <w:b/>
                <w:sz w:val="24"/>
                <w:szCs w:val="24"/>
              </w:rPr>
            </w:pPr>
            <w:r w:rsidRPr="008D44D0">
              <w:rPr>
                <w:b/>
              </w:rPr>
              <w:t>Comparator </w:t>
            </w:r>
          </w:p>
        </w:tc>
        <w:tc>
          <w:tcPr>
            <w:tcW w:w="3280" w:type="pct"/>
            <w:shd w:val="clear" w:color="auto" w:fill="auto"/>
            <w:hideMark/>
          </w:tcPr>
          <w:p w14:paraId="02CB66C0" w14:textId="0FB6B620" w:rsidR="008D44D0" w:rsidRPr="008D44D0" w:rsidRDefault="008D44D0" w:rsidP="007B4C00">
            <w:pPr>
              <w:pStyle w:val="TableText"/>
              <w:rPr>
                <w:rFonts w:ascii="Times New Roman" w:hAnsi="Times New Roman"/>
                <w:sz w:val="24"/>
                <w:szCs w:val="24"/>
              </w:rPr>
            </w:pPr>
            <w:r w:rsidRPr="008D44D0">
              <w:t>TURP </w:t>
            </w:r>
          </w:p>
        </w:tc>
      </w:tr>
      <w:tr w:rsidR="007B4C00" w:rsidRPr="008D44D0" w14:paraId="6EE11E01" w14:textId="77777777" w:rsidTr="002316DC">
        <w:trPr>
          <w:trHeight w:val="15"/>
        </w:trPr>
        <w:tc>
          <w:tcPr>
            <w:tcW w:w="1720" w:type="pct"/>
            <w:shd w:val="clear" w:color="auto" w:fill="auto"/>
          </w:tcPr>
          <w:p w14:paraId="47CCD119" w14:textId="207E3BCB" w:rsidR="007B4C00" w:rsidRPr="008D44D0" w:rsidRDefault="007B4C00" w:rsidP="008D44D0">
            <w:pPr>
              <w:pStyle w:val="TableText"/>
              <w:rPr>
                <w:b/>
              </w:rPr>
            </w:pPr>
            <w:r>
              <w:rPr>
                <w:b/>
              </w:rPr>
              <w:t>Intervention</w:t>
            </w:r>
            <w:r w:rsidR="00CB7C25">
              <w:rPr>
                <w:b/>
              </w:rPr>
              <w:t>s</w:t>
            </w:r>
          </w:p>
        </w:tc>
        <w:tc>
          <w:tcPr>
            <w:tcW w:w="3280" w:type="pct"/>
            <w:shd w:val="clear" w:color="auto" w:fill="auto"/>
          </w:tcPr>
          <w:p w14:paraId="177E99DB" w14:textId="110E2580" w:rsidR="007B4C00" w:rsidRPr="008D44D0" w:rsidRDefault="007B4C00" w:rsidP="007B4C00">
            <w:pPr>
              <w:pStyle w:val="TableText"/>
            </w:pPr>
            <w:r w:rsidRPr="770B67B5">
              <w:t>VLAP, TUMT, EEP, PUL and TUWA </w:t>
            </w:r>
          </w:p>
        </w:tc>
      </w:tr>
      <w:tr w:rsidR="008D44D0" w:rsidRPr="008D44D0" w14:paraId="7B4ECBA4" w14:textId="77777777" w:rsidTr="002316DC">
        <w:trPr>
          <w:trHeight w:val="15"/>
        </w:trPr>
        <w:tc>
          <w:tcPr>
            <w:tcW w:w="1720" w:type="pct"/>
            <w:shd w:val="clear" w:color="auto" w:fill="auto"/>
            <w:hideMark/>
          </w:tcPr>
          <w:p w14:paraId="158B1FDA" w14:textId="77777777" w:rsidR="008D44D0" w:rsidRPr="008D44D0" w:rsidRDefault="008D44D0" w:rsidP="008D44D0">
            <w:pPr>
              <w:pStyle w:val="TableText"/>
              <w:rPr>
                <w:rFonts w:ascii="Times New Roman" w:hAnsi="Times New Roman"/>
                <w:b/>
                <w:sz w:val="24"/>
                <w:szCs w:val="24"/>
              </w:rPr>
            </w:pPr>
            <w:r w:rsidRPr="008D44D0">
              <w:rPr>
                <w:b/>
              </w:rPr>
              <w:t>Type of economic evaluation </w:t>
            </w:r>
          </w:p>
        </w:tc>
        <w:tc>
          <w:tcPr>
            <w:tcW w:w="3280" w:type="pct"/>
            <w:shd w:val="clear" w:color="auto" w:fill="auto"/>
            <w:hideMark/>
          </w:tcPr>
          <w:p w14:paraId="1551B9BA" w14:textId="77DA569E" w:rsidR="008D44D0" w:rsidRPr="008D44D0" w:rsidRDefault="008D44D0" w:rsidP="008D44D0">
            <w:pPr>
              <w:pStyle w:val="TableText"/>
              <w:rPr>
                <w:rFonts w:ascii="Times New Roman" w:hAnsi="Times New Roman"/>
                <w:sz w:val="24"/>
                <w:szCs w:val="24"/>
              </w:rPr>
            </w:pPr>
            <w:r w:rsidRPr="008D44D0">
              <w:t>Cost-consequences</w:t>
            </w:r>
            <w:r w:rsidR="00CB7C25">
              <w:t xml:space="preserve"> and cost-comparisons</w:t>
            </w:r>
            <w:r w:rsidRPr="008D44D0">
              <w:t> </w:t>
            </w:r>
          </w:p>
        </w:tc>
      </w:tr>
      <w:tr w:rsidR="008D44D0" w:rsidRPr="008D44D0" w14:paraId="5B394D4F" w14:textId="77777777" w:rsidTr="002316DC">
        <w:trPr>
          <w:trHeight w:val="15"/>
        </w:trPr>
        <w:tc>
          <w:tcPr>
            <w:tcW w:w="1720" w:type="pct"/>
            <w:shd w:val="clear" w:color="auto" w:fill="auto"/>
            <w:hideMark/>
          </w:tcPr>
          <w:p w14:paraId="18E73FD4" w14:textId="77777777" w:rsidR="008D44D0" w:rsidRPr="008D44D0" w:rsidRDefault="008D44D0" w:rsidP="008D44D0">
            <w:pPr>
              <w:pStyle w:val="TableText"/>
              <w:rPr>
                <w:rFonts w:ascii="Times New Roman" w:hAnsi="Times New Roman"/>
                <w:b/>
                <w:sz w:val="24"/>
                <w:szCs w:val="24"/>
              </w:rPr>
            </w:pPr>
            <w:r w:rsidRPr="008D44D0">
              <w:rPr>
                <w:b/>
              </w:rPr>
              <w:t>Sources of evidence </w:t>
            </w:r>
          </w:p>
        </w:tc>
        <w:tc>
          <w:tcPr>
            <w:tcW w:w="3280" w:type="pct"/>
            <w:shd w:val="clear" w:color="auto" w:fill="auto"/>
            <w:hideMark/>
          </w:tcPr>
          <w:p w14:paraId="7A885532" w14:textId="3679E6E8" w:rsidR="008D44D0" w:rsidRPr="008D44D0" w:rsidRDefault="008D44D0" w:rsidP="008D44D0">
            <w:pPr>
              <w:pStyle w:val="TableText"/>
              <w:rPr>
                <w:rFonts w:ascii="Times New Roman" w:hAnsi="Times New Roman"/>
                <w:sz w:val="24"/>
                <w:szCs w:val="24"/>
              </w:rPr>
            </w:pPr>
            <w:r w:rsidRPr="008D44D0">
              <w:t>Evidence identified in the clinical evaluation, previous MSAC evaluations and data provide</w:t>
            </w:r>
            <w:r w:rsidR="0006438D">
              <w:t>d</w:t>
            </w:r>
            <w:r w:rsidRPr="008D44D0">
              <w:t xml:space="preserve"> by the Department of Health</w:t>
            </w:r>
            <w:r w:rsidR="009E2D22">
              <w:t xml:space="preserve"> and Aged Care</w:t>
            </w:r>
            <w:r w:rsidRPr="008D44D0">
              <w:t>. </w:t>
            </w:r>
          </w:p>
        </w:tc>
      </w:tr>
      <w:tr w:rsidR="008D44D0" w:rsidRPr="008D44D0" w14:paraId="34FCDB5A" w14:textId="77777777" w:rsidTr="002316DC">
        <w:trPr>
          <w:trHeight w:val="15"/>
        </w:trPr>
        <w:tc>
          <w:tcPr>
            <w:tcW w:w="1720" w:type="pct"/>
            <w:shd w:val="clear" w:color="auto" w:fill="auto"/>
            <w:hideMark/>
          </w:tcPr>
          <w:p w14:paraId="4057AA23" w14:textId="77777777" w:rsidR="008D44D0" w:rsidRPr="008D44D0" w:rsidRDefault="008D44D0" w:rsidP="008D44D0">
            <w:pPr>
              <w:pStyle w:val="TableText"/>
              <w:rPr>
                <w:rFonts w:ascii="Times New Roman" w:hAnsi="Times New Roman"/>
                <w:b/>
                <w:sz w:val="24"/>
                <w:szCs w:val="24"/>
              </w:rPr>
            </w:pPr>
            <w:r w:rsidRPr="008D44D0">
              <w:rPr>
                <w:b/>
              </w:rPr>
              <w:t>Time horizon </w:t>
            </w:r>
          </w:p>
        </w:tc>
        <w:tc>
          <w:tcPr>
            <w:tcW w:w="3280" w:type="pct"/>
            <w:shd w:val="clear" w:color="auto" w:fill="auto"/>
            <w:hideMark/>
          </w:tcPr>
          <w:p w14:paraId="7E26E3C4" w14:textId="77777777" w:rsidR="008D44D0" w:rsidRPr="008D44D0" w:rsidRDefault="008D44D0" w:rsidP="008D44D0">
            <w:pPr>
              <w:pStyle w:val="TableText"/>
              <w:rPr>
                <w:rFonts w:ascii="Times New Roman" w:hAnsi="Times New Roman"/>
                <w:sz w:val="24"/>
                <w:szCs w:val="24"/>
              </w:rPr>
            </w:pPr>
            <w:r w:rsidRPr="008D44D0">
              <w:t>No explicit time horizon. Costs are limited to immediate procedure related costs and reintervention costs. Outcomes are reported across varying time frames. </w:t>
            </w:r>
          </w:p>
        </w:tc>
      </w:tr>
      <w:tr w:rsidR="008D44D0" w:rsidRPr="008D44D0" w14:paraId="4649C2E8" w14:textId="77777777" w:rsidTr="002316DC">
        <w:trPr>
          <w:trHeight w:val="15"/>
        </w:trPr>
        <w:tc>
          <w:tcPr>
            <w:tcW w:w="1720" w:type="pct"/>
            <w:shd w:val="clear" w:color="auto" w:fill="auto"/>
            <w:hideMark/>
          </w:tcPr>
          <w:p w14:paraId="6377DCFE" w14:textId="77777777" w:rsidR="008D44D0" w:rsidRPr="008D44D0" w:rsidRDefault="008D44D0" w:rsidP="008D44D0">
            <w:pPr>
              <w:pStyle w:val="TableText"/>
              <w:rPr>
                <w:rFonts w:ascii="Times New Roman" w:hAnsi="Times New Roman"/>
                <w:b/>
                <w:sz w:val="24"/>
                <w:szCs w:val="24"/>
              </w:rPr>
            </w:pPr>
            <w:r w:rsidRPr="008D44D0">
              <w:rPr>
                <w:b/>
              </w:rPr>
              <w:t>Costs </w:t>
            </w:r>
          </w:p>
        </w:tc>
        <w:tc>
          <w:tcPr>
            <w:tcW w:w="3280" w:type="pct"/>
            <w:shd w:val="clear" w:color="auto" w:fill="auto"/>
            <w:hideMark/>
          </w:tcPr>
          <w:p w14:paraId="0865D930" w14:textId="77777777" w:rsidR="008D44D0" w:rsidRPr="008D44D0" w:rsidRDefault="008D44D0" w:rsidP="008D44D0">
            <w:pPr>
              <w:pStyle w:val="TableText"/>
              <w:rPr>
                <w:rFonts w:ascii="Times New Roman" w:hAnsi="Times New Roman"/>
                <w:sz w:val="24"/>
                <w:szCs w:val="24"/>
              </w:rPr>
            </w:pPr>
            <w:r w:rsidRPr="008D44D0">
              <w:t>Australian Dollars </w:t>
            </w:r>
          </w:p>
        </w:tc>
      </w:tr>
    </w:tbl>
    <w:p w14:paraId="07541C63" w14:textId="30F08996" w:rsidR="00994805" w:rsidRDefault="00994805" w:rsidP="008B0FED">
      <w:pPr>
        <w:pStyle w:val="Tablenotes"/>
        <w:rPr>
          <w:lang w:eastAsia="en-AU"/>
        </w:rPr>
      </w:pPr>
      <w:r>
        <w:rPr>
          <w:lang w:eastAsia="en-AU"/>
        </w:rPr>
        <w:t xml:space="preserve">Source: Table 7, </w:t>
      </w:r>
      <w:proofErr w:type="spellStart"/>
      <w:r>
        <w:rPr>
          <w:lang w:eastAsia="en-AU"/>
        </w:rPr>
        <w:t>pg</w:t>
      </w:r>
      <w:proofErr w:type="spellEnd"/>
      <w:r>
        <w:rPr>
          <w:lang w:eastAsia="en-AU"/>
        </w:rPr>
        <w:t xml:space="preserve"> 18 of MSAC 1697 DCAR</w:t>
      </w:r>
    </w:p>
    <w:p w14:paraId="16C7082A" w14:textId="7803E057" w:rsidR="008D44D0" w:rsidRPr="008D44D0" w:rsidRDefault="00994805" w:rsidP="008B0FED">
      <w:pPr>
        <w:pStyle w:val="Tablenotes"/>
        <w:rPr>
          <w:rFonts w:ascii="Segoe UI" w:hAnsi="Segoe UI" w:cs="Segoe UI"/>
          <w:szCs w:val="18"/>
          <w:lang w:eastAsia="en-AU"/>
        </w:rPr>
      </w:pPr>
      <w:proofErr w:type="spellStart"/>
      <w:r>
        <w:rPr>
          <w:lang w:eastAsia="en-AU"/>
        </w:rPr>
        <w:t>Abbreviatons</w:t>
      </w:r>
      <w:proofErr w:type="spellEnd"/>
      <w:r>
        <w:rPr>
          <w:lang w:eastAsia="en-AU"/>
        </w:rPr>
        <w:t xml:space="preserve">: </w:t>
      </w:r>
      <w:r w:rsidR="00CB7C25" w:rsidRPr="00CB7C25">
        <w:rPr>
          <w:lang w:eastAsia="en-AU"/>
        </w:rPr>
        <w:t xml:space="preserve">EEP = endoscopic enucleation of the prostate; </w:t>
      </w:r>
      <w:r w:rsidR="00CB7C25">
        <w:rPr>
          <w:lang w:eastAsia="en-AU"/>
        </w:rPr>
        <w:t xml:space="preserve">MSAC = Medical Services Advisory Committee; </w:t>
      </w:r>
      <w:r w:rsidR="00CB7C25" w:rsidRPr="00CB7C25">
        <w:rPr>
          <w:lang w:eastAsia="en-AU"/>
        </w:rPr>
        <w:t>PUL = prostatic urethral lift; TUMT = transurethral microwave thermotherapy; TURP = transurethral resection of the prostate; TUWA = transurethral water vapour ablation; VLAP = visual laser ablation of the prostate</w:t>
      </w:r>
    </w:p>
    <w:p w14:paraId="6C90EA7A" w14:textId="77777777" w:rsidR="008D44D0" w:rsidRPr="008D44D0" w:rsidRDefault="008D44D0" w:rsidP="008D44D0">
      <w:pPr>
        <w:rPr>
          <w:rFonts w:ascii="Segoe UI" w:hAnsi="Segoe UI"/>
          <w:sz w:val="18"/>
          <w:szCs w:val="18"/>
          <w:lang w:eastAsia="en-AU"/>
        </w:rPr>
      </w:pPr>
      <w:r w:rsidRPr="008D44D0">
        <w:rPr>
          <w:lang w:eastAsia="en-AU"/>
        </w:rPr>
        <w:t>Medical services costs were sourced using MBS item numbers associated with the BPH procedure. </w:t>
      </w:r>
    </w:p>
    <w:p w14:paraId="38870AF4" w14:textId="26069EBB" w:rsidR="00F9620F" w:rsidRDefault="008D44D0" w:rsidP="008D44D0">
      <w:pPr>
        <w:rPr>
          <w:lang w:eastAsia="en-AU"/>
        </w:rPr>
      </w:pPr>
      <w:r w:rsidRPr="008D44D0">
        <w:rPr>
          <w:lang w:eastAsia="en-AU"/>
        </w:rPr>
        <w:t xml:space="preserve">Available evidence indicated that, although other jurisdictions may use local anaesthesia for some procedures, Australian clinical practice uses general anaesthesia for </w:t>
      </w:r>
      <w:proofErr w:type="gramStart"/>
      <w:r w:rsidRPr="008D44D0">
        <w:rPr>
          <w:lang w:eastAsia="en-AU"/>
        </w:rPr>
        <w:t>all of</w:t>
      </w:r>
      <w:proofErr w:type="gramEnd"/>
      <w:r w:rsidRPr="008D44D0">
        <w:rPr>
          <w:lang w:eastAsia="en-AU"/>
        </w:rPr>
        <w:t xml:space="preserve"> the included BPH procedures (including PUL</w:t>
      </w:r>
      <w:r w:rsidR="00066C09">
        <w:rPr>
          <w:lang w:eastAsia="en-AU"/>
        </w:rPr>
        <w:t xml:space="preserve"> and TUWA</w:t>
      </w:r>
      <w:r w:rsidRPr="008D44D0">
        <w:rPr>
          <w:lang w:eastAsia="en-AU"/>
        </w:rPr>
        <w:t>). Anaesthesia costs were varied according to duration and complexity of procedure. </w:t>
      </w:r>
    </w:p>
    <w:p w14:paraId="69F73104" w14:textId="7957CE02" w:rsidR="008D44D0" w:rsidRPr="008D44D0" w:rsidRDefault="008D44D0" w:rsidP="008D44D0">
      <w:pPr>
        <w:rPr>
          <w:rFonts w:ascii="Segoe UI" w:hAnsi="Segoe UI"/>
          <w:sz w:val="18"/>
          <w:szCs w:val="18"/>
          <w:lang w:eastAsia="en-AU"/>
        </w:rPr>
      </w:pPr>
      <w:r w:rsidRPr="008D44D0">
        <w:rPr>
          <w:lang w:eastAsia="en-AU"/>
        </w:rPr>
        <w:t>Average length of hospital stay was estimated from AR-DRGs, weighted according to data provided for ACHI codes. Daily hospital costs were estimated from AR-DRGs after removing prostheses costs, and total hospital costs were derived as the product of average length of stay and daily hospital costs. Theatre costs are included in total hospital costs. </w:t>
      </w:r>
    </w:p>
    <w:p w14:paraId="4B204769" w14:textId="77777777" w:rsidR="008D44D0" w:rsidRPr="008D44D0" w:rsidRDefault="008D44D0" w:rsidP="008D44D0">
      <w:pPr>
        <w:rPr>
          <w:rFonts w:ascii="Segoe UI" w:hAnsi="Segoe UI"/>
          <w:sz w:val="18"/>
          <w:szCs w:val="18"/>
          <w:lang w:eastAsia="en-AU"/>
        </w:rPr>
      </w:pPr>
      <w:r w:rsidRPr="008D44D0">
        <w:rPr>
          <w:lang w:eastAsia="en-AU"/>
        </w:rPr>
        <w:t>Total procedure costs include the cost of consumables, the cost of prostheses (for PUL), and amortised capital costs to provide an estimate of cost per procedure. </w:t>
      </w:r>
    </w:p>
    <w:p w14:paraId="68CA289D" w14:textId="0501DB6D" w:rsidR="00994452" w:rsidRPr="00994452" w:rsidRDefault="008D44D0" w:rsidP="00994452">
      <w:pPr>
        <w:rPr>
          <w:lang w:eastAsia="en-AU"/>
        </w:rPr>
      </w:pPr>
      <w:r w:rsidRPr="69B23373">
        <w:rPr>
          <w:lang w:eastAsia="en-AU"/>
        </w:rPr>
        <w:t xml:space="preserve">It is assumed that TURP will be selected as the method for all reinterventions. The cost of reinterventions for each BPH procedure are estimated as the product of the reintervention rate and the total cost of a TURP </w:t>
      </w:r>
      <w:r w:rsidRPr="000F29FD">
        <w:t>procedure</w:t>
      </w:r>
      <w:r w:rsidR="000F29FD" w:rsidRPr="000F29FD">
        <w:t xml:space="preserve">. Table 8 </w:t>
      </w:r>
      <w:r w:rsidR="007B4C00" w:rsidRPr="000F29FD">
        <w:t>provides</w:t>
      </w:r>
      <w:r w:rsidR="007B4C00">
        <w:rPr>
          <w:lang w:eastAsia="en-AU"/>
        </w:rPr>
        <w:t xml:space="preserve"> a summary of the costs included in the cost analyses.</w:t>
      </w:r>
      <w:bookmarkStart w:id="30" w:name="_Ref98934125"/>
      <w:r w:rsidR="00994452">
        <w:br w:type="page"/>
      </w:r>
    </w:p>
    <w:p w14:paraId="166D77A5" w14:textId="4D7DA906" w:rsidR="007B4C00" w:rsidRPr="00CE28E3" w:rsidRDefault="007B4C00" w:rsidP="00BA319D">
      <w:pPr>
        <w:pStyle w:val="TableFigureHeading"/>
      </w:pPr>
      <w:bookmarkStart w:id="31" w:name="_Ref116390480"/>
      <w:r>
        <w:lastRenderedPageBreak/>
        <w:t>Table </w:t>
      </w:r>
      <w:r w:rsidRPr="770B67B5">
        <w:fldChar w:fldCharType="begin"/>
      </w:r>
      <w:r>
        <w:instrText xml:space="preserve"> SEQ Table \* ARABIC </w:instrText>
      </w:r>
      <w:r w:rsidRPr="770B67B5">
        <w:fldChar w:fldCharType="separate"/>
      </w:r>
      <w:r w:rsidR="00C03EF9">
        <w:rPr>
          <w:noProof/>
        </w:rPr>
        <w:t>8</w:t>
      </w:r>
      <w:r w:rsidRPr="770B67B5">
        <w:rPr>
          <w:noProof/>
        </w:rPr>
        <w:fldChar w:fldCharType="end"/>
      </w:r>
      <w:bookmarkEnd w:id="30"/>
      <w:bookmarkEnd w:id="31"/>
      <w:r>
        <w:tab/>
        <w:t>Summary of the costs included in the cost-comparisons</w:t>
      </w:r>
    </w:p>
    <w:tbl>
      <w:tblPr>
        <w:tblStyle w:val="TableGrid1"/>
        <w:tblW w:w="5000" w:type="pct"/>
        <w:tblLook w:val="04A0" w:firstRow="1" w:lastRow="0" w:firstColumn="1" w:lastColumn="0" w:noHBand="0" w:noVBand="1"/>
      </w:tblPr>
      <w:tblGrid>
        <w:gridCol w:w="2718"/>
        <w:gridCol w:w="899"/>
        <w:gridCol w:w="899"/>
        <w:gridCol w:w="900"/>
        <w:gridCol w:w="973"/>
        <w:gridCol w:w="827"/>
        <w:gridCol w:w="900"/>
        <w:gridCol w:w="900"/>
      </w:tblGrid>
      <w:tr w:rsidR="007B4C00" w14:paraId="4E3A4A1C" w14:textId="77777777" w:rsidTr="00647E2C">
        <w:trPr>
          <w:cnfStyle w:val="100000000000" w:firstRow="1" w:lastRow="0" w:firstColumn="0" w:lastColumn="0" w:oddVBand="0" w:evenVBand="0" w:oddHBand="0" w:evenHBand="0" w:firstRowFirstColumn="0" w:firstRowLastColumn="0" w:lastRowFirstColumn="0" w:lastRowLastColumn="0"/>
          <w:trHeight w:val="255"/>
          <w:tblHeader/>
        </w:trPr>
        <w:tc>
          <w:tcPr>
            <w:tcW w:w="1176" w:type="pct"/>
            <w:tcBorders>
              <w:bottom w:val="single" w:sz="4" w:space="0" w:color="auto"/>
            </w:tcBorders>
            <w:shd w:val="clear" w:color="auto" w:fill="auto"/>
            <w:noWrap/>
            <w:tcMar>
              <w:top w:w="0" w:type="dxa"/>
              <w:left w:w="0" w:type="dxa"/>
              <w:bottom w:w="0" w:type="dxa"/>
              <w:right w:w="0" w:type="dxa"/>
            </w:tcMar>
            <w:vAlign w:val="center"/>
            <w:hideMark/>
          </w:tcPr>
          <w:p w14:paraId="0093A4FA" w14:textId="77777777" w:rsidR="007B4C00" w:rsidRDefault="007B4C00" w:rsidP="00AE5C81">
            <w:pPr>
              <w:pStyle w:val="TableFigureHeading"/>
            </w:pPr>
            <w:r>
              <w:t>Item</w:t>
            </w:r>
          </w:p>
        </w:tc>
        <w:tc>
          <w:tcPr>
            <w:tcW w:w="546" w:type="pct"/>
            <w:tcBorders>
              <w:bottom w:val="single" w:sz="4" w:space="0" w:color="auto"/>
            </w:tcBorders>
            <w:vAlign w:val="bottom"/>
          </w:tcPr>
          <w:p w14:paraId="3B2CA87E" w14:textId="77777777" w:rsidR="007B4C00" w:rsidRDefault="007B4C00" w:rsidP="00AE5C81">
            <w:pPr>
              <w:pStyle w:val="TableFigureHeading"/>
            </w:pPr>
            <w:r>
              <w:t>TURP</w:t>
            </w:r>
          </w:p>
        </w:tc>
        <w:tc>
          <w:tcPr>
            <w:tcW w:w="546" w:type="pct"/>
            <w:tcBorders>
              <w:bottom w:val="single" w:sz="4" w:space="0" w:color="auto"/>
            </w:tcBorders>
            <w:vAlign w:val="bottom"/>
          </w:tcPr>
          <w:p w14:paraId="3B48C0EB" w14:textId="77777777" w:rsidR="007B4C00" w:rsidRDefault="007B4C00" w:rsidP="00AE5C81">
            <w:pPr>
              <w:pStyle w:val="TableFigureHeading"/>
            </w:pPr>
            <w:r>
              <w:t>EEP</w:t>
            </w:r>
          </w:p>
        </w:tc>
        <w:tc>
          <w:tcPr>
            <w:tcW w:w="546" w:type="pct"/>
            <w:tcBorders>
              <w:bottom w:val="single" w:sz="4" w:space="0" w:color="auto"/>
            </w:tcBorders>
            <w:vAlign w:val="bottom"/>
          </w:tcPr>
          <w:p w14:paraId="711DBFD3" w14:textId="77777777" w:rsidR="007B4C00" w:rsidRDefault="007B4C00" w:rsidP="00AE5C81">
            <w:pPr>
              <w:pStyle w:val="TableFigureHeading"/>
            </w:pPr>
            <w:r>
              <w:t>PUL</w:t>
            </w:r>
          </w:p>
        </w:tc>
        <w:tc>
          <w:tcPr>
            <w:tcW w:w="546" w:type="pct"/>
            <w:tcBorders>
              <w:bottom w:val="single" w:sz="4" w:space="0" w:color="auto"/>
            </w:tcBorders>
          </w:tcPr>
          <w:p w14:paraId="1D54F44C" w14:textId="77777777" w:rsidR="007B4C00" w:rsidRDefault="007B4C00" w:rsidP="00AE5C81">
            <w:pPr>
              <w:pStyle w:val="TableFigureHeading"/>
            </w:pPr>
            <w:r>
              <w:t xml:space="preserve">Proposed PUL </w:t>
            </w:r>
            <w:r>
              <w:rPr>
                <w:vertAlign w:val="superscript"/>
              </w:rPr>
              <w:t>1</w:t>
            </w:r>
          </w:p>
        </w:tc>
        <w:tc>
          <w:tcPr>
            <w:tcW w:w="546" w:type="pct"/>
            <w:tcBorders>
              <w:bottom w:val="single" w:sz="4" w:space="0" w:color="auto"/>
            </w:tcBorders>
            <w:vAlign w:val="bottom"/>
          </w:tcPr>
          <w:p w14:paraId="5F2CB7C9" w14:textId="77777777" w:rsidR="007B4C00" w:rsidRDefault="007B4C00" w:rsidP="00AE5C81">
            <w:pPr>
              <w:pStyle w:val="TableFigureHeading"/>
            </w:pPr>
            <w:r>
              <w:t>TUMT</w:t>
            </w:r>
          </w:p>
        </w:tc>
        <w:tc>
          <w:tcPr>
            <w:tcW w:w="546" w:type="pct"/>
            <w:tcBorders>
              <w:bottom w:val="single" w:sz="4" w:space="0" w:color="auto"/>
            </w:tcBorders>
            <w:shd w:val="clear" w:color="auto" w:fill="auto"/>
            <w:noWrap/>
            <w:tcMar>
              <w:top w:w="0" w:type="dxa"/>
              <w:left w:w="0" w:type="dxa"/>
              <w:bottom w:w="0" w:type="dxa"/>
              <w:right w:w="0" w:type="dxa"/>
            </w:tcMar>
            <w:vAlign w:val="bottom"/>
            <w:hideMark/>
          </w:tcPr>
          <w:p w14:paraId="5193925B" w14:textId="77777777" w:rsidR="007B4C00" w:rsidRDefault="007B4C00" w:rsidP="00AE5C81">
            <w:pPr>
              <w:pStyle w:val="TableFigureHeading"/>
            </w:pPr>
            <w:r>
              <w:t>TUWA</w:t>
            </w:r>
          </w:p>
        </w:tc>
        <w:tc>
          <w:tcPr>
            <w:tcW w:w="546" w:type="pct"/>
            <w:tcBorders>
              <w:bottom w:val="single" w:sz="4" w:space="0" w:color="auto"/>
            </w:tcBorders>
            <w:vAlign w:val="bottom"/>
          </w:tcPr>
          <w:p w14:paraId="25627BF6" w14:textId="77777777" w:rsidR="007B4C00" w:rsidRDefault="007B4C00" w:rsidP="00AE5C81">
            <w:pPr>
              <w:pStyle w:val="TableFigureHeading"/>
            </w:pPr>
            <w:r>
              <w:t>VLAP</w:t>
            </w:r>
          </w:p>
        </w:tc>
      </w:tr>
      <w:tr w:rsidR="007B4C00" w14:paraId="5F602E46" w14:textId="77777777" w:rsidTr="00647E2C">
        <w:trPr>
          <w:trHeight w:val="255"/>
        </w:trPr>
        <w:tc>
          <w:tcPr>
            <w:tcW w:w="1176" w:type="pct"/>
            <w:tcBorders>
              <w:right w:val="nil"/>
            </w:tcBorders>
            <w:shd w:val="clear" w:color="auto" w:fill="auto"/>
            <w:noWrap/>
            <w:tcMar>
              <w:top w:w="0" w:type="dxa"/>
              <w:left w:w="0" w:type="dxa"/>
              <w:bottom w:w="0" w:type="dxa"/>
              <w:right w:w="0" w:type="dxa"/>
            </w:tcMar>
            <w:vAlign w:val="center"/>
            <w:hideMark/>
          </w:tcPr>
          <w:p w14:paraId="2D39E16D" w14:textId="77777777" w:rsidR="007B4C00" w:rsidRDefault="007B4C00" w:rsidP="00AE5C81">
            <w:pPr>
              <w:pStyle w:val="TableText"/>
            </w:pPr>
            <w:r>
              <w:t>Medical service costs</w:t>
            </w:r>
          </w:p>
        </w:tc>
        <w:tc>
          <w:tcPr>
            <w:tcW w:w="546" w:type="pct"/>
            <w:tcBorders>
              <w:left w:val="nil"/>
              <w:right w:val="nil"/>
            </w:tcBorders>
            <w:vAlign w:val="center"/>
          </w:tcPr>
          <w:p w14:paraId="2089D07E" w14:textId="77777777" w:rsidR="007B4C00" w:rsidRDefault="007B4C00" w:rsidP="00AE5C81">
            <w:pPr>
              <w:pStyle w:val="TableText"/>
            </w:pPr>
          </w:p>
        </w:tc>
        <w:tc>
          <w:tcPr>
            <w:tcW w:w="546" w:type="pct"/>
            <w:tcBorders>
              <w:left w:val="nil"/>
              <w:right w:val="nil"/>
            </w:tcBorders>
            <w:vAlign w:val="center"/>
          </w:tcPr>
          <w:p w14:paraId="62102699" w14:textId="77777777" w:rsidR="007B4C00" w:rsidRDefault="007B4C00" w:rsidP="00AE5C81">
            <w:pPr>
              <w:pStyle w:val="TableText"/>
            </w:pPr>
          </w:p>
        </w:tc>
        <w:tc>
          <w:tcPr>
            <w:tcW w:w="546" w:type="pct"/>
            <w:tcBorders>
              <w:left w:val="nil"/>
              <w:right w:val="nil"/>
            </w:tcBorders>
            <w:vAlign w:val="center"/>
          </w:tcPr>
          <w:p w14:paraId="20A59799" w14:textId="77777777" w:rsidR="007B4C00" w:rsidRDefault="007B4C00" w:rsidP="00AE5C81">
            <w:pPr>
              <w:pStyle w:val="TableText"/>
            </w:pPr>
          </w:p>
        </w:tc>
        <w:tc>
          <w:tcPr>
            <w:tcW w:w="546" w:type="pct"/>
            <w:tcBorders>
              <w:left w:val="nil"/>
              <w:right w:val="nil"/>
            </w:tcBorders>
          </w:tcPr>
          <w:p w14:paraId="0BB57E29" w14:textId="77777777" w:rsidR="007B4C00" w:rsidRDefault="007B4C00" w:rsidP="00AE5C81">
            <w:pPr>
              <w:pStyle w:val="TableText"/>
            </w:pPr>
          </w:p>
        </w:tc>
        <w:tc>
          <w:tcPr>
            <w:tcW w:w="546" w:type="pct"/>
            <w:tcBorders>
              <w:left w:val="nil"/>
              <w:right w:val="nil"/>
            </w:tcBorders>
            <w:vAlign w:val="center"/>
          </w:tcPr>
          <w:p w14:paraId="4CB59980" w14:textId="77777777" w:rsidR="007B4C00" w:rsidRDefault="007B4C00" w:rsidP="00AE5C81">
            <w:pPr>
              <w:pStyle w:val="TableText"/>
            </w:pPr>
          </w:p>
        </w:tc>
        <w:tc>
          <w:tcPr>
            <w:tcW w:w="546" w:type="pct"/>
            <w:tcBorders>
              <w:left w:val="nil"/>
              <w:right w:val="nil"/>
            </w:tcBorders>
            <w:shd w:val="clear" w:color="auto" w:fill="auto"/>
            <w:noWrap/>
            <w:tcMar>
              <w:top w:w="0" w:type="dxa"/>
              <w:left w:w="0" w:type="dxa"/>
              <w:bottom w:w="0" w:type="dxa"/>
              <w:right w:w="0" w:type="dxa"/>
            </w:tcMar>
            <w:vAlign w:val="center"/>
            <w:hideMark/>
          </w:tcPr>
          <w:p w14:paraId="6DCE9C96" w14:textId="77777777" w:rsidR="007B4C00" w:rsidRDefault="007B4C00" w:rsidP="00AE5C81">
            <w:pPr>
              <w:pStyle w:val="TableText"/>
            </w:pPr>
            <w:r>
              <w:t> </w:t>
            </w:r>
          </w:p>
        </w:tc>
        <w:tc>
          <w:tcPr>
            <w:tcW w:w="546" w:type="pct"/>
            <w:tcBorders>
              <w:left w:val="nil"/>
            </w:tcBorders>
            <w:vAlign w:val="center"/>
          </w:tcPr>
          <w:p w14:paraId="2A5A2592" w14:textId="77777777" w:rsidR="007B4C00" w:rsidRDefault="007B4C00" w:rsidP="00AE5C81">
            <w:pPr>
              <w:pStyle w:val="TableText"/>
            </w:pPr>
          </w:p>
        </w:tc>
      </w:tr>
      <w:tr w:rsidR="007B4C00" w14:paraId="40A6C01F" w14:textId="77777777" w:rsidTr="00647E2C">
        <w:trPr>
          <w:trHeight w:val="255"/>
        </w:trPr>
        <w:tc>
          <w:tcPr>
            <w:tcW w:w="1176" w:type="pct"/>
            <w:shd w:val="clear" w:color="auto" w:fill="auto"/>
            <w:noWrap/>
            <w:tcMar>
              <w:top w:w="0" w:type="dxa"/>
              <w:left w:w="135" w:type="dxa"/>
              <w:bottom w:w="0" w:type="dxa"/>
              <w:right w:w="0" w:type="dxa"/>
            </w:tcMar>
            <w:vAlign w:val="center"/>
            <w:hideMark/>
          </w:tcPr>
          <w:p w14:paraId="07DC2447" w14:textId="77777777" w:rsidR="007B4C00" w:rsidRDefault="007B4C00" w:rsidP="00AE5C81">
            <w:pPr>
              <w:pStyle w:val="TableText"/>
            </w:pPr>
            <w:r>
              <w:t>Primary service costs</w:t>
            </w:r>
          </w:p>
        </w:tc>
        <w:tc>
          <w:tcPr>
            <w:tcW w:w="546" w:type="pct"/>
            <w:vAlign w:val="center"/>
          </w:tcPr>
          <w:p w14:paraId="23685A0A" w14:textId="77777777" w:rsidR="007B4C00" w:rsidRDefault="007B4C00" w:rsidP="00AE5C81">
            <w:pPr>
              <w:pStyle w:val="TableText"/>
              <w:jc w:val="right"/>
            </w:pPr>
            <w:r>
              <w:t>$1,084</w:t>
            </w:r>
          </w:p>
        </w:tc>
        <w:tc>
          <w:tcPr>
            <w:tcW w:w="546" w:type="pct"/>
            <w:vAlign w:val="center"/>
          </w:tcPr>
          <w:p w14:paraId="7552E57B" w14:textId="77777777" w:rsidR="007B4C00" w:rsidRDefault="007B4C00" w:rsidP="00AE5C81">
            <w:pPr>
              <w:pStyle w:val="TableText"/>
              <w:jc w:val="right"/>
            </w:pPr>
            <w:r>
              <w:t>$1,313</w:t>
            </w:r>
          </w:p>
        </w:tc>
        <w:tc>
          <w:tcPr>
            <w:tcW w:w="546" w:type="pct"/>
            <w:vAlign w:val="center"/>
          </w:tcPr>
          <w:p w14:paraId="083A9433" w14:textId="77777777" w:rsidR="007B4C00" w:rsidRDefault="007B4C00" w:rsidP="00AE5C81">
            <w:pPr>
              <w:pStyle w:val="TableText"/>
              <w:jc w:val="right"/>
            </w:pPr>
            <w:r>
              <w:t>$337</w:t>
            </w:r>
          </w:p>
        </w:tc>
        <w:tc>
          <w:tcPr>
            <w:tcW w:w="546" w:type="pct"/>
            <w:vAlign w:val="center"/>
          </w:tcPr>
          <w:p w14:paraId="4A542D63" w14:textId="77777777" w:rsidR="007B4C00" w:rsidRDefault="007B4C00" w:rsidP="00AE5C81">
            <w:pPr>
              <w:pStyle w:val="TableText"/>
              <w:jc w:val="right"/>
            </w:pPr>
            <w:r w:rsidRPr="004D7682">
              <w:t>$1,084</w:t>
            </w:r>
          </w:p>
        </w:tc>
        <w:tc>
          <w:tcPr>
            <w:tcW w:w="546" w:type="pct"/>
            <w:vAlign w:val="center"/>
          </w:tcPr>
          <w:p w14:paraId="1A5E0609" w14:textId="77777777" w:rsidR="007B4C00" w:rsidRDefault="007B4C00" w:rsidP="00AE5C81">
            <w:pPr>
              <w:pStyle w:val="TableText"/>
              <w:jc w:val="right"/>
            </w:pPr>
            <w:r>
              <w:t>$1,084</w:t>
            </w:r>
          </w:p>
        </w:tc>
        <w:tc>
          <w:tcPr>
            <w:tcW w:w="546" w:type="pct"/>
            <w:shd w:val="clear" w:color="auto" w:fill="auto"/>
            <w:noWrap/>
            <w:tcMar>
              <w:top w:w="0" w:type="dxa"/>
              <w:left w:w="0" w:type="dxa"/>
              <w:bottom w:w="0" w:type="dxa"/>
              <w:right w:w="0" w:type="dxa"/>
            </w:tcMar>
            <w:vAlign w:val="center"/>
            <w:hideMark/>
          </w:tcPr>
          <w:p w14:paraId="241A3D4B" w14:textId="77777777" w:rsidR="007B4C00" w:rsidRDefault="007B4C00" w:rsidP="00BC6842">
            <w:pPr>
              <w:pStyle w:val="TableText"/>
              <w:ind w:right="41"/>
              <w:jc w:val="right"/>
            </w:pPr>
            <w:r>
              <w:t>$842</w:t>
            </w:r>
          </w:p>
        </w:tc>
        <w:tc>
          <w:tcPr>
            <w:tcW w:w="546" w:type="pct"/>
            <w:vAlign w:val="center"/>
          </w:tcPr>
          <w:p w14:paraId="1DAE3EAA" w14:textId="77777777" w:rsidR="007B4C00" w:rsidRDefault="007B4C00" w:rsidP="00AE5C81">
            <w:pPr>
              <w:pStyle w:val="TableText"/>
              <w:jc w:val="right"/>
            </w:pPr>
            <w:r>
              <w:t>$1,084</w:t>
            </w:r>
          </w:p>
        </w:tc>
      </w:tr>
      <w:tr w:rsidR="007B4C00" w14:paraId="4E30DABE" w14:textId="77777777" w:rsidTr="00647E2C">
        <w:trPr>
          <w:trHeight w:val="255"/>
        </w:trPr>
        <w:tc>
          <w:tcPr>
            <w:tcW w:w="1176" w:type="pct"/>
            <w:shd w:val="clear" w:color="auto" w:fill="auto"/>
            <w:noWrap/>
            <w:tcMar>
              <w:top w:w="0" w:type="dxa"/>
              <w:left w:w="135" w:type="dxa"/>
              <w:bottom w:w="0" w:type="dxa"/>
              <w:right w:w="0" w:type="dxa"/>
            </w:tcMar>
            <w:vAlign w:val="center"/>
            <w:hideMark/>
          </w:tcPr>
          <w:p w14:paraId="58254039" w14:textId="77777777" w:rsidR="007B4C00" w:rsidRDefault="007B4C00" w:rsidP="00AE5C81">
            <w:pPr>
              <w:pStyle w:val="TableText"/>
            </w:pPr>
            <w:r>
              <w:t>Anaesthesia costs</w:t>
            </w:r>
          </w:p>
        </w:tc>
        <w:tc>
          <w:tcPr>
            <w:tcW w:w="546" w:type="pct"/>
            <w:vAlign w:val="center"/>
          </w:tcPr>
          <w:p w14:paraId="281DB82E" w14:textId="77777777" w:rsidR="007B4C00" w:rsidRDefault="007B4C00" w:rsidP="00AE5C81">
            <w:pPr>
              <w:pStyle w:val="TableText"/>
              <w:jc w:val="right"/>
            </w:pPr>
            <w:r>
              <w:t>$292</w:t>
            </w:r>
          </w:p>
        </w:tc>
        <w:tc>
          <w:tcPr>
            <w:tcW w:w="546" w:type="pct"/>
            <w:vAlign w:val="center"/>
          </w:tcPr>
          <w:p w14:paraId="172F7EA7" w14:textId="77777777" w:rsidR="007B4C00" w:rsidRDefault="007B4C00" w:rsidP="00AE5C81">
            <w:pPr>
              <w:pStyle w:val="TableText"/>
              <w:jc w:val="right"/>
            </w:pPr>
            <w:r>
              <w:t>$250</w:t>
            </w:r>
          </w:p>
        </w:tc>
        <w:tc>
          <w:tcPr>
            <w:tcW w:w="546" w:type="pct"/>
            <w:vAlign w:val="center"/>
          </w:tcPr>
          <w:p w14:paraId="141A7A27" w14:textId="77777777" w:rsidR="007B4C00" w:rsidRDefault="007B4C00" w:rsidP="00AE5C81">
            <w:pPr>
              <w:pStyle w:val="TableText"/>
              <w:jc w:val="right"/>
            </w:pPr>
            <w:r>
              <w:t>$209</w:t>
            </w:r>
          </w:p>
        </w:tc>
        <w:tc>
          <w:tcPr>
            <w:tcW w:w="546" w:type="pct"/>
            <w:vAlign w:val="center"/>
          </w:tcPr>
          <w:p w14:paraId="56CCE775" w14:textId="77777777" w:rsidR="007B4C00" w:rsidRDefault="007B4C00" w:rsidP="00AE5C81">
            <w:pPr>
              <w:pStyle w:val="TableText"/>
              <w:jc w:val="right"/>
            </w:pPr>
            <w:r w:rsidRPr="004D7682">
              <w:t>$209</w:t>
            </w:r>
          </w:p>
        </w:tc>
        <w:tc>
          <w:tcPr>
            <w:tcW w:w="546" w:type="pct"/>
            <w:vAlign w:val="center"/>
          </w:tcPr>
          <w:p w14:paraId="0DD863AD" w14:textId="77777777" w:rsidR="007B4C00" w:rsidRDefault="007B4C00" w:rsidP="00AE5C81">
            <w:pPr>
              <w:pStyle w:val="TableText"/>
              <w:jc w:val="right"/>
            </w:pPr>
            <w:r>
              <w:t>$168</w:t>
            </w:r>
          </w:p>
        </w:tc>
        <w:tc>
          <w:tcPr>
            <w:tcW w:w="546" w:type="pct"/>
            <w:shd w:val="clear" w:color="auto" w:fill="auto"/>
            <w:noWrap/>
            <w:tcMar>
              <w:top w:w="0" w:type="dxa"/>
              <w:left w:w="0" w:type="dxa"/>
              <w:bottom w:w="0" w:type="dxa"/>
              <w:right w:w="0" w:type="dxa"/>
            </w:tcMar>
            <w:vAlign w:val="center"/>
            <w:hideMark/>
          </w:tcPr>
          <w:p w14:paraId="4174941A" w14:textId="77777777" w:rsidR="007B4C00" w:rsidRDefault="007B4C00" w:rsidP="00BC6842">
            <w:pPr>
              <w:pStyle w:val="TableText"/>
              <w:ind w:right="41"/>
              <w:jc w:val="right"/>
            </w:pPr>
            <w:r>
              <w:t>$168</w:t>
            </w:r>
          </w:p>
        </w:tc>
        <w:tc>
          <w:tcPr>
            <w:tcW w:w="546" w:type="pct"/>
            <w:vAlign w:val="center"/>
          </w:tcPr>
          <w:p w14:paraId="30628263" w14:textId="77777777" w:rsidR="007B4C00" w:rsidRDefault="007B4C00" w:rsidP="00AE5C81">
            <w:pPr>
              <w:pStyle w:val="TableText"/>
              <w:jc w:val="right"/>
            </w:pPr>
            <w:r>
              <w:t>$250</w:t>
            </w:r>
          </w:p>
        </w:tc>
      </w:tr>
      <w:tr w:rsidR="007B4C00" w14:paraId="039942B5" w14:textId="77777777" w:rsidTr="00647E2C">
        <w:trPr>
          <w:trHeight w:val="255"/>
        </w:trPr>
        <w:tc>
          <w:tcPr>
            <w:tcW w:w="1176" w:type="pct"/>
            <w:shd w:val="clear" w:color="auto" w:fill="auto"/>
            <w:noWrap/>
            <w:tcMar>
              <w:top w:w="0" w:type="dxa"/>
              <w:left w:w="0" w:type="dxa"/>
              <w:bottom w:w="0" w:type="dxa"/>
              <w:right w:w="0" w:type="dxa"/>
            </w:tcMar>
            <w:vAlign w:val="center"/>
            <w:hideMark/>
          </w:tcPr>
          <w:p w14:paraId="43448F81" w14:textId="77777777" w:rsidR="007B4C00" w:rsidRDefault="007B4C00" w:rsidP="00AE5C81">
            <w:pPr>
              <w:pStyle w:val="TableText"/>
            </w:pPr>
            <w:proofErr w:type="gramStart"/>
            <w:r>
              <w:t>Consumables</w:t>
            </w:r>
            <w:proofErr w:type="gramEnd"/>
            <w:r>
              <w:t xml:space="preserve"> cost</w:t>
            </w:r>
          </w:p>
        </w:tc>
        <w:tc>
          <w:tcPr>
            <w:tcW w:w="546" w:type="pct"/>
            <w:vAlign w:val="center"/>
          </w:tcPr>
          <w:p w14:paraId="38421198" w14:textId="77777777" w:rsidR="007B4C00" w:rsidRDefault="007B4C00" w:rsidP="00AE5C81">
            <w:pPr>
              <w:pStyle w:val="TableText"/>
              <w:jc w:val="right"/>
            </w:pPr>
            <w:r>
              <w:t>$463</w:t>
            </w:r>
          </w:p>
        </w:tc>
        <w:tc>
          <w:tcPr>
            <w:tcW w:w="546" w:type="pct"/>
            <w:vAlign w:val="center"/>
          </w:tcPr>
          <w:p w14:paraId="59A9C3DE" w14:textId="77777777" w:rsidR="007B4C00" w:rsidRDefault="007B4C00" w:rsidP="00AE5C81">
            <w:pPr>
              <w:pStyle w:val="TableText"/>
              <w:jc w:val="right"/>
            </w:pPr>
            <w:r>
              <w:t>$821</w:t>
            </w:r>
          </w:p>
        </w:tc>
        <w:tc>
          <w:tcPr>
            <w:tcW w:w="546" w:type="pct"/>
            <w:vAlign w:val="center"/>
          </w:tcPr>
          <w:p w14:paraId="60CBF8B5" w14:textId="77777777" w:rsidR="007B4C00" w:rsidRDefault="007B4C00" w:rsidP="00AE5C81">
            <w:pPr>
              <w:pStyle w:val="TableText"/>
              <w:jc w:val="right"/>
            </w:pPr>
            <w:r>
              <w:t>$0</w:t>
            </w:r>
          </w:p>
        </w:tc>
        <w:tc>
          <w:tcPr>
            <w:tcW w:w="546" w:type="pct"/>
            <w:vAlign w:val="center"/>
          </w:tcPr>
          <w:p w14:paraId="0C112886" w14:textId="77777777" w:rsidR="007B4C00" w:rsidRDefault="007B4C00" w:rsidP="00AE5C81">
            <w:pPr>
              <w:pStyle w:val="TableText"/>
              <w:jc w:val="right"/>
            </w:pPr>
            <w:r w:rsidRPr="004D7682">
              <w:t>$0</w:t>
            </w:r>
          </w:p>
        </w:tc>
        <w:tc>
          <w:tcPr>
            <w:tcW w:w="546" w:type="pct"/>
            <w:vAlign w:val="center"/>
          </w:tcPr>
          <w:p w14:paraId="094C5E52" w14:textId="77777777" w:rsidR="007B4C00" w:rsidRDefault="007B4C00" w:rsidP="00AE5C81">
            <w:pPr>
              <w:pStyle w:val="TableText"/>
              <w:jc w:val="right"/>
            </w:pPr>
            <w:r>
              <w:t>NA</w:t>
            </w:r>
          </w:p>
        </w:tc>
        <w:tc>
          <w:tcPr>
            <w:tcW w:w="546" w:type="pct"/>
            <w:shd w:val="clear" w:color="auto" w:fill="auto"/>
            <w:tcMar>
              <w:top w:w="0" w:type="dxa"/>
              <w:left w:w="0" w:type="dxa"/>
              <w:bottom w:w="0" w:type="dxa"/>
              <w:right w:w="0" w:type="dxa"/>
            </w:tcMar>
            <w:vAlign w:val="center"/>
            <w:hideMark/>
          </w:tcPr>
          <w:p w14:paraId="51CB27C2" w14:textId="1927CB84" w:rsidR="007B4C00" w:rsidRPr="005B0CB6" w:rsidRDefault="007B4C00" w:rsidP="00BC6842">
            <w:pPr>
              <w:pStyle w:val="TableText"/>
              <w:ind w:right="41"/>
              <w:jc w:val="right"/>
            </w:pPr>
            <w:r w:rsidRPr="005B0CB6">
              <w:t>$</w:t>
            </w:r>
            <w:r w:rsidR="00CF6AD4" w:rsidRPr="000F29FD">
              <w:rPr>
                <w:rFonts w:hint="eastAsia"/>
                <w:color w:val="000000"/>
                <w:w w:val="15"/>
                <w:shd w:val="solid" w:color="000000" w:fill="000000"/>
                <w:fitText w:val="9" w:id="-1455741440"/>
                <w14:textFill>
                  <w14:solidFill>
                    <w14:srgbClr w14:val="000000">
                      <w14:alpha w14:val="100000"/>
                    </w14:srgbClr>
                  </w14:solidFill>
                </w14:textFill>
              </w:rPr>
              <w:t xml:space="preserve">　</w:t>
            </w:r>
            <w:r w:rsidR="00CF6AD4" w:rsidRPr="000F29FD">
              <w:rPr>
                <w:color w:val="000000"/>
                <w:w w:val="15"/>
                <w:shd w:val="solid" w:color="000000" w:fill="000000"/>
                <w:fitText w:val="9" w:id="-1455741440"/>
                <w14:textFill>
                  <w14:solidFill>
                    <w14:srgbClr w14:val="000000">
                      <w14:alpha w14:val="100000"/>
                    </w14:srgbClr>
                  </w14:solidFill>
                </w14:textFill>
              </w:rPr>
              <w:t>|</w:t>
            </w:r>
            <w:r w:rsidR="00CF6AD4" w:rsidRPr="000F29FD">
              <w:rPr>
                <w:rFonts w:hint="eastAsia"/>
                <w:color w:val="000000"/>
                <w:spacing w:val="-57"/>
                <w:w w:val="15"/>
                <w:shd w:val="solid" w:color="000000" w:fill="000000"/>
                <w:fitText w:val="9" w:id="-1455741440"/>
                <w14:textFill>
                  <w14:solidFill>
                    <w14:srgbClr w14:val="000000">
                      <w14:alpha w14:val="100000"/>
                    </w14:srgbClr>
                  </w14:solidFill>
                </w14:textFill>
              </w:rPr>
              <w:t xml:space="preserve">　</w:t>
            </w:r>
          </w:p>
        </w:tc>
        <w:tc>
          <w:tcPr>
            <w:tcW w:w="546" w:type="pct"/>
            <w:vAlign w:val="center"/>
          </w:tcPr>
          <w:p w14:paraId="79C1319D" w14:textId="7EF248A1" w:rsidR="007B4C00" w:rsidRPr="005B0CB6" w:rsidRDefault="007B4C00" w:rsidP="00AE5C81">
            <w:pPr>
              <w:pStyle w:val="TableText"/>
              <w:jc w:val="right"/>
            </w:pPr>
            <w:r w:rsidRPr="005B0CB6">
              <w:t>$</w:t>
            </w:r>
            <w:r w:rsidR="00CF6AD4" w:rsidRPr="00CF6AD4">
              <w:rPr>
                <w:color w:val="000000"/>
                <w:spacing w:val="87"/>
                <w:shd w:val="solid" w:color="000000" w:fill="000000"/>
                <w:fitText w:val="173" w:id="-1455741439"/>
                <w14:textFill>
                  <w14:solidFill>
                    <w14:srgbClr w14:val="000000">
                      <w14:alpha w14:val="100000"/>
                    </w14:srgbClr>
                  </w14:solidFill>
                </w14:textFill>
              </w:rPr>
              <w:t>|</w:t>
            </w:r>
            <w:r w:rsidR="00CF6AD4" w:rsidRPr="00CF6AD4">
              <w:rPr>
                <w:color w:val="000000"/>
                <w:shd w:val="solid" w:color="000000" w:fill="000000"/>
                <w:fitText w:val="173" w:id="-1455741439"/>
                <w14:textFill>
                  <w14:solidFill>
                    <w14:srgbClr w14:val="000000">
                      <w14:alpha w14:val="100000"/>
                    </w14:srgbClr>
                  </w14:solidFill>
                </w14:textFill>
              </w:rPr>
              <w:t>|</w:t>
            </w:r>
          </w:p>
        </w:tc>
      </w:tr>
      <w:tr w:rsidR="007B4C00" w14:paraId="2CD3AD04" w14:textId="77777777" w:rsidTr="00647E2C">
        <w:trPr>
          <w:trHeight w:val="255"/>
        </w:trPr>
        <w:tc>
          <w:tcPr>
            <w:tcW w:w="1176" w:type="pct"/>
            <w:shd w:val="clear" w:color="auto" w:fill="auto"/>
            <w:noWrap/>
            <w:tcMar>
              <w:top w:w="0" w:type="dxa"/>
              <w:left w:w="0" w:type="dxa"/>
              <w:bottom w:w="0" w:type="dxa"/>
              <w:right w:w="0" w:type="dxa"/>
            </w:tcMar>
            <w:vAlign w:val="center"/>
            <w:hideMark/>
          </w:tcPr>
          <w:p w14:paraId="29A0D82C" w14:textId="77777777" w:rsidR="007B4C00" w:rsidRDefault="007B4C00" w:rsidP="00AE5C81">
            <w:pPr>
              <w:pStyle w:val="TableText"/>
            </w:pPr>
            <w:r>
              <w:t>Prostheses costs</w:t>
            </w:r>
          </w:p>
        </w:tc>
        <w:tc>
          <w:tcPr>
            <w:tcW w:w="546" w:type="pct"/>
            <w:vAlign w:val="center"/>
          </w:tcPr>
          <w:p w14:paraId="1A91CF3A" w14:textId="77777777" w:rsidR="007B4C00" w:rsidRDefault="007B4C00" w:rsidP="00AE5C81">
            <w:pPr>
              <w:pStyle w:val="TableText"/>
              <w:jc w:val="right"/>
            </w:pPr>
            <w:r>
              <w:t>$0</w:t>
            </w:r>
          </w:p>
        </w:tc>
        <w:tc>
          <w:tcPr>
            <w:tcW w:w="546" w:type="pct"/>
            <w:vAlign w:val="center"/>
          </w:tcPr>
          <w:p w14:paraId="66C7A33C" w14:textId="77777777" w:rsidR="007B4C00" w:rsidRDefault="007B4C00" w:rsidP="00AE5C81">
            <w:pPr>
              <w:pStyle w:val="TableText"/>
              <w:jc w:val="right"/>
            </w:pPr>
            <w:r>
              <w:t>$0</w:t>
            </w:r>
          </w:p>
        </w:tc>
        <w:tc>
          <w:tcPr>
            <w:tcW w:w="546" w:type="pct"/>
            <w:vAlign w:val="center"/>
          </w:tcPr>
          <w:p w14:paraId="13CE135C" w14:textId="77777777" w:rsidR="007B4C00" w:rsidRDefault="007B4C00" w:rsidP="00AE5C81">
            <w:pPr>
              <w:pStyle w:val="TableText"/>
              <w:jc w:val="right"/>
            </w:pPr>
            <w:r>
              <w:t>$3,234</w:t>
            </w:r>
          </w:p>
        </w:tc>
        <w:tc>
          <w:tcPr>
            <w:tcW w:w="546" w:type="pct"/>
            <w:vAlign w:val="center"/>
          </w:tcPr>
          <w:p w14:paraId="63C96CBD" w14:textId="77777777" w:rsidR="007B4C00" w:rsidRDefault="007B4C00" w:rsidP="00AE5C81">
            <w:pPr>
              <w:pStyle w:val="TableText"/>
              <w:jc w:val="right"/>
            </w:pPr>
            <w:r w:rsidRPr="004D7682">
              <w:t>$3,234</w:t>
            </w:r>
          </w:p>
        </w:tc>
        <w:tc>
          <w:tcPr>
            <w:tcW w:w="546" w:type="pct"/>
            <w:vAlign w:val="center"/>
          </w:tcPr>
          <w:p w14:paraId="415D70F7" w14:textId="77777777" w:rsidR="007B4C00" w:rsidRDefault="007B4C00" w:rsidP="00AE5C81">
            <w:pPr>
              <w:pStyle w:val="TableText"/>
              <w:jc w:val="right"/>
            </w:pPr>
            <w:r>
              <w:t>$0</w:t>
            </w:r>
          </w:p>
        </w:tc>
        <w:tc>
          <w:tcPr>
            <w:tcW w:w="546" w:type="pct"/>
            <w:shd w:val="clear" w:color="auto" w:fill="auto"/>
            <w:noWrap/>
            <w:tcMar>
              <w:top w:w="0" w:type="dxa"/>
              <w:left w:w="0" w:type="dxa"/>
              <w:bottom w:w="0" w:type="dxa"/>
              <w:right w:w="0" w:type="dxa"/>
            </w:tcMar>
            <w:vAlign w:val="center"/>
            <w:hideMark/>
          </w:tcPr>
          <w:p w14:paraId="38C3998F" w14:textId="77777777" w:rsidR="007B4C00" w:rsidRPr="005B0CB6" w:rsidRDefault="007B4C00" w:rsidP="00BC6842">
            <w:pPr>
              <w:pStyle w:val="TableText"/>
              <w:ind w:right="41"/>
              <w:jc w:val="right"/>
            </w:pPr>
            <w:r w:rsidRPr="005B0CB6">
              <w:t>$0 </w:t>
            </w:r>
          </w:p>
        </w:tc>
        <w:tc>
          <w:tcPr>
            <w:tcW w:w="546" w:type="pct"/>
            <w:vAlign w:val="center"/>
          </w:tcPr>
          <w:p w14:paraId="42E6D705" w14:textId="77777777" w:rsidR="007B4C00" w:rsidRPr="005B0CB6" w:rsidRDefault="007B4C00" w:rsidP="00AE5C81">
            <w:pPr>
              <w:pStyle w:val="TableText"/>
              <w:jc w:val="right"/>
            </w:pPr>
            <w:r w:rsidRPr="005B0CB6">
              <w:t> $0</w:t>
            </w:r>
          </w:p>
        </w:tc>
      </w:tr>
      <w:tr w:rsidR="007B4C00" w14:paraId="2A116253" w14:textId="77777777" w:rsidTr="00647E2C">
        <w:trPr>
          <w:trHeight w:val="255"/>
        </w:trPr>
        <w:tc>
          <w:tcPr>
            <w:tcW w:w="1176" w:type="pct"/>
            <w:shd w:val="clear" w:color="auto" w:fill="auto"/>
            <w:noWrap/>
            <w:tcMar>
              <w:top w:w="0" w:type="dxa"/>
              <w:left w:w="0" w:type="dxa"/>
              <w:bottom w:w="0" w:type="dxa"/>
              <w:right w:w="0" w:type="dxa"/>
            </w:tcMar>
            <w:vAlign w:val="center"/>
            <w:hideMark/>
          </w:tcPr>
          <w:p w14:paraId="4FA12FE5" w14:textId="77777777" w:rsidR="007B4C00" w:rsidRDefault="007B4C00" w:rsidP="00AE5C81">
            <w:pPr>
              <w:pStyle w:val="TableText"/>
            </w:pPr>
            <w:r>
              <w:t>Capital costs</w:t>
            </w:r>
          </w:p>
        </w:tc>
        <w:tc>
          <w:tcPr>
            <w:tcW w:w="546" w:type="pct"/>
            <w:vAlign w:val="center"/>
          </w:tcPr>
          <w:p w14:paraId="75B73BEE" w14:textId="77777777" w:rsidR="007B4C00" w:rsidRDefault="007B4C00" w:rsidP="00AE5C81">
            <w:pPr>
              <w:pStyle w:val="TableText"/>
              <w:jc w:val="right"/>
            </w:pPr>
            <w:r>
              <w:t>$20</w:t>
            </w:r>
          </w:p>
        </w:tc>
        <w:tc>
          <w:tcPr>
            <w:tcW w:w="546" w:type="pct"/>
            <w:vAlign w:val="center"/>
          </w:tcPr>
          <w:p w14:paraId="11830E34" w14:textId="77777777" w:rsidR="007B4C00" w:rsidRDefault="007B4C00" w:rsidP="00AE5C81">
            <w:pPr>
              <w:pStyle w:val="TableText"/>
              <w:jc w:val="right"/>
            </w:pPr>
            <w:r>
              <w:t>$164</w:t>
            </w:r>
          </w:p>
        </w:tc>
        <w:tc>
          <w:tcPr>
            <w:tcW w:w="546" w:type="pct"/>
            <w:vAlign w:val="center"/>
          </w:tcPr>
          <w:p w14:paraId="6BC4945D" w14:textId="77777777" w:rsidR="007B4C00" w:rsidRDefault="007B4C00" w:rsidP="00AE5C81">
            <w:pPr>
              <w:pStyle w:val="TableText"/>
              <w:jc w:val="right"/>
            </w:pPr>
            <w:r>
              <w:t>$</w:t>
            </w:r>
            <w:r w:rsidRPr="00F80FAE">
              <w:t>172</w:t>
            </w:r>
          </w:p>
        </w:tc>
        <w:tc>
          <w:tcPr>
            <w:tcW w:w="546" w:type="pct"/>
            <w:vAlign w:val="center"/>
          </w:tcPr>
          <w:p w14:paraId="6F7CABD1" w14:textId="77777777" w:rsidR="007B4C00" w:rsidRDefault="007B4C00" w:rsidP="00AE5C81">
            <w:pPr>
              <w:pStyle w:val="TableText"/>
              <w:jc w:val="right"/>
            </w:pPr>
            <w:r w:rsidRPr="004D7682">
              <w:t>$172</w:t>
            </w:r>
          </w:p>
        </w:tc>
        <w:tc>
          <w:tcPr>
            <w:tcW w:w="546" w:type="pct"/>
            <w:vAlign w:val="center"/>
          </w:tcPr>
          <w:p w14:paraId="1CD870D5" w14:textId="77777777" w:rsidR="007B4C00" w:rsidRDefault="007B4C00" w:rsidP="00AE5C81">
            <w:pPr>
              <w:pStyle w:val="TableText"/>
              <w:jc w:val="right"/>
            </w:pPr>
            <w:r>
              <w:t>NA</w:t>
            </w:r>
          </w:p>
        </w:tc>
        <w:tc>
          <w:tcPr>
            <w:tcW w:w="546" w:type="pct"/>
            <w:shd w:val="clear" w:color="auto" w:fill="auto"/>
            <w:tcMar>
              <w:top w:w="0" w:type="dxa"/>
              <w:left w:w="0" w:type="dxa"/>
              <w:bottom w:w="0" w:type="dxa"/>
              <w:right w:w="0" w:type="dxa"/>
            </w:tcMar>
            <w:vAlign w:val="center"/>
            <w:hideMark/>
          </w:tcPr>
          <w:p w14:paraId="366D5141" w14:textId="0A534BB2" w:rsidR="007B4C00" w:rsidRPr="005B0CB6" w:rsidRDefault="007B4C00" w:rsidP="00BC6842">
            <w:pPr>
              <w:pStyle w:val="TableText"/>
              <w:ind w:right="41"/>
              <w:jc w:val="right"/>
            </w:pPr>
            <w:r w:rsidRPr="005B0CB6">
              <w:t>$</w:t>
            </w:r>
            <w:r w:rsidR="00CF6AD4" w:rsidRPr="000F29FD">
              <w:rPr>
                <w:rFonts w:hint="eastAsia"/>
                <w:color w:val="000000"/>
                <w:w w:val="15"/>
                <w:shd w:val="solid" w:color="000000" w:fill="000000"/>
                <w:fitText w:val="9" w:id="-1455741438"/>
                <w14:textFill>
                  <w14:solidFill>
                    <w14:srgbClr w14:val="000000">
                      <w14:alpha w14:val="100000"/>
                    </w14:srgbClr>
                  </w14:solidFill>
                </w14:textFill>
              </w:rPr>
              <w:t xml:space="preserve">　</w:t>
            </w:r>
            <w:r w:rsidR="00CF6AD4" w:rsidRPr="000F29FD">
              <w:rPr>
                <w:color w:val="000000"/>
                <w:w w:val="15"/>
                <w:shd w:val="solid" w:color="000000" w:fill="000000"/>
                <w:fitText w:val="9" w:id="-1455741438"/>
                <w14:textFill>
                  <w14:solidFill>
                    <w14:srgbClr w14:val="000000">
                      <w14:alpha w14:val="100000"/>
                    </w14:srgbClr>
                  </w14:solidFill>
                </w14:textFill>
              </w:rPr>
              <w:t>|</w:t>
            </w:r>
            <w:r w:rsidR="00CF6AD4" w:rsidRPr="000F29FD">
              <w:rPr>
                <w:rFonts w:hint="eastAsia"/>
                <w:color w:val="000000"/>
                <w:spacing w:val="-57"/>
                <w:w w:val="15"/>
                <w:shd w:val="solid" w:color="000000" w:fill="000000"/>
                <w:fitText w:val="9" w:id="-1455741438"/>
                <w14:textFill>
                  <w14:solidFill>
                    <w14:srgbClr w14:val="000000">
                      <w14:alpha w14:val="100000"/>
                    </w14:srgbClr>
                  </w14:solidFill>
                </w14:textFill>
              </w:rPr>
              <w:t xml:space="preserve">　</w:t>
            </w:r>
          </w:p>
        </w:tc>
        <w:tc>
          <w:tcPr>
            <w:tcW w:w="546" w:type="pct"/>
            <w:vAlign w:val="center"/>
          </w:tcPr>
          <w:p w14:paraId="1AD2F518" w14:textId="6D8E906C" w:rsidR="007B4C00" w:rsidRPr="005B0CB6" w:rsidRDefault="007B4C00" w:rsidP="00AE5C81">
            <w:pPr>
              <w:pStyle w:val="TableText"/>
              <w:jc w:val="right"/>
            </w:pPr>
            <w:r w:rsidRPr="005B0CB6">
              <w:t>$</w:t>
            </w:r>
            <w:r w:rsidR="00CF6AD4" w:rsidRPr="00CF6AD4">
              <w:rPr>
                <w:color w:val="000000"/>
                <w:spacing w:val="81"/>
                <w:shd w:val="solid" w:color="000000" w:fill="000000"/>
                <w:fitText w:val="173" w:id="-1455741437"/>
                <w14:textFill>
                  <w14:solidFill>
                    <w14:srgbClr w14:val="000000">
                      <w14:alpha w14:val="100000"/>
                    </w14:srgbClr>
                  </w14:solidFill>
                </w14:textFill>
              </w:rPr>
              <w:t>|</w:t>
            </w:r>
            <w:r w:rsidR="00CF6AD4" w:rsidRPr="00CF6AD4">
              <w:rPr>
                <w:color w:val="000000"/>
                <w:shd w:val="solid" w:color="000000" w:fill="000000"/>
                <w:fitText w:val="173" w:id="-1455741437"/>
                <w14:textFill>
                  <w14:solidFill>
                    <w14:srgbClr w14:val="000000">
                      <w14:alpha w14:val="100000"/>
                    </w14:srgbClr>
                  </w14:solidFill>
                </w14:textFill>
              </w:rPr>
              <w:t>|</w:t>
            </w:r>
          </w:p>
        </w:tc>
      </w:tr>
      <w:tr w:rsidR="007B4C00" w14:paraId="5240B476" w14:textId="77777777" w:rsidTr="00647E2C">
        <w:trPr>
          <w:trHeight w:val="255"/>
        </w:trPr>
        <w:tc>
          <w:tcPr>
            <w:tcW w:w="1176" w:type="pct"/>
            <w:shd w:val="clear" w:color="auto" w:fill="auto"/>
            <w:noWrap/>
            <w:tcMar>
              <w:top w:w="0" w:type="dxa"/>
              <w:left w:w="0" w:type="dxa"/>
              <w:bottom w:w="0" w:type="dxa"/>
              <w:right w:w="0" w:type="dxa"/>
            </w:tcMar>
            <w:vAlign w:val="center"/>
            <w:hideMark/>
          </w:tcPr>
          <w:p w14:paraId="77F5E45D" w14:textId="77777777" w:rsidR="007B4C00" w:rsidRDefault="007B4C00" w:rsidP="00AE5C81">
            <w:pPr>
              <w:pStyle w:val="TableText"/>
            </w:pPr>
            <w:r>
              <w:t xml:space="preserve">Hospital </w:t>
            </w:r>
            <w:proofErr w:type="gramStart"/>
            <w:r>
              <w:t>stay</w:t>
            </w:r>
            <w:proofErr w:type="gramEnd"/>
          </w:p>
        </w:tc>
        <w:tc>
          <w:tcPr>
            <w:tcW w:w="546" w:type="pct"/>
            <w:vAlign w:val="center"/>
          </w:tcPr>
          <w:p w14:paraId="2F46B84D" w14:textId="77777777" w:rsidR="007B4C00" w:rsidRDefault="007B4C00" w:rsidP="00AE5C81">
            <w:pPr>
              <w:pStyle w:val="TableText"/>
              <w:jc w:val="right"/>
            </w:pPr>
            <w:r>
              <w:t>$4,602</w:t>
            </w:r>
          </w:p>
        </w:tc>
        <w:tc>
          <w:tcPr>
            <w:tcW w:w="546" w:type="pct"/>
            <w:vAlign w:val="center"/>
          </w:tcPr>
          <w:p w14:paraId="471926D5" w14:textId="77777777" w:rsidR="007B4C00" w:rsidRDefault="007B4C00" w:rsidP="00AE5C81">
            <w:pPr>
              <w:pStyle w:val="TableText"/>
              <w:jc w:val="right"/>
            </w:pPr>
            <w:r>
              <w:t>$2,641</w:t>
            </w:r>
          </w:p>
        </w:tc>
        <w:tc>
          <w:tcPr>
            <w:tcW w:w="546" w:type="pct"/>
            <w:vAlign w:val="center"/>
          </w:tcPr>
          <w:p w14:paraId="2AF39072" w14:textId="77777777" w:rsidR="007B4C00" w:rsidRDefault="007B4C00" w:rsidP="00AE5C81">
            <w:pPr>
              <w:pStyle w:val="TableText"/>
              <w:jc w:val="right"/>
            </w:pPr>
            <w:r>
              <w:t>$1,719</w:t>
            </w:r>
          </w:p>
        </w:tc>
        <w:tc>
          <w:tcPr>
            <w:tcW w:w="546" w:type="pct"/>
            <w:vAlign w:val="center"/>
          </w:tcPr>
          <w:p w14:paraId="5CF941CD" w14:textId="77777777" w:rsidR="007B4C00" w:rsidRDefault="007B4C00" w:rsidP="00AE5C81">
            <w:pPr>
              <w:pStyle w:val="TableText"/>
              <w:jc w:val="right"/>
            </w:pPr>
            <w:r w:rsidRPr="004D7682">
              <w:t>$1,719</w:t>
            </w:r>
          </w:p>
        </w:tc>
        <w:tc>
          <w:tcPr>
            <w:tcW w:w="546" w:type="pct"/>
            <w:vAlign w:val="center"/>
          </w:tcPr>
          <w:p w14:paraId="615E2DE3" w14:textId="77777777" w:rsidR="007B4C00" w:rsidRDefault="007B4C00" w:rsidP="00AE5C81">
            <w:pPr>
              <w:pStyle w:val="TableText"/>
              <w:jc w:val="right"/>
            </w:pPr>
            <w:r>
              <w:t>$3,624</w:t>
            </w:r>
          </w:p>
        </w:tc>
        <w:tc>
          <w:tcPr>
            <w:tcW w:w="546" w:type="pct"/>
            <w:shd w:val="clear" w:color="auto" w:fill="auto"/>
            <w:tcMar>
              <w:top w:w="0" w:type="dxa"/>
              <w:left w:w="0" w:type="dxa"/>
              <w:bottom w:w="0" w:type="dxa"/>
              <w:right w:w="0" w:type="dxa"/>
            </w:tcMar>
            <w:vAlign w:val="center"/>
            <w:hideMark/>
          </w:tcPr>
          <w:p w14:paraId="75134430" w14:textId="77777777" w:rsidR="007B4C00" w:rsidRPr="005B0CB6" w:rsidRDefault="007B4C00" w:rsidP="00BC6842">
            <w:pPr>
              <w:pStyle w:val="TableText"/>
              <w:ind w:right="41"/>
              <w:jc w:val="right"/>
            </w:pPr>
            <w:r w:rsidRPr="005B0CB6">
              <w:t>$1,719</w:t>
            </w:r>
          </w:p>
        </w:tc>
        <w:tc>
          <w:tcPr>
            <w:tcW w:w="546" w:type="pct"/>
            <w:vAlign w:val="center"/>
          </w:tcPr>
          <w:p w14:paraId="7F2BE6C3" w14:textId="77777777" w:rsidR="007B4C00" w:rsidRPr="005B0CB6" w:rsidRDefault="007B4C00" w:rsidP="00AE5C81">
            <w:pPr>
              <w:pStyle w:val="TableText"/>
              <w:jc w:val="right"/>
            </w:pPr>
            <w:r w:rsidRPr="005B0CB6">
              <w:t>$3,624</w:t>
            </w:r>
          </w:p>
        </w:tc>
      </w:tr>
      <w:tr w:rsidR="007B4C00" w14:paraId="7215DCF1" w14:textId="77777777" w:rsidTr="00647E2C">
        <w:trPr>
          <w:trHeight w:val="255"/>
        </w:trPr>
        <w:tc>
          <w:tcPr>
            <w:tcW w:w="1176" w:type="pct"/>
            <w:shd w:val="clear" w:color="auto" w:fill="auto"/>
            <w:noWrap/>
            <w:tcMar>
              <w:top w:w="0" w:type="dxa"/>
              <w:left w:w="0" w:type="dxa"/>
              <w:bottom w:w="0" w:type="dxa"/>
              <w:right w:w="0" w:type="dxa"/>
            </w:tcMar>
            <w:vAlign w:val="center"/>
            <w:hideMark/>
          </w:tcPr>
          <w:p w14:paraId="1757E2D2" w14:textId="77777777" w:rsidR="007B4C00" w:rsidRDefault="007B4C00" w:rsidP="00AE5C81">
            <w:pPr>
              <w:pStyle w:val="TableText"/>
            </w:pPr>
            <w:r>
              <w:t>Costs associated with reinterventions</w:t>
            </w:r>
          </w:p>
        </w:tc>
        <w:tc>
          <w:tcPr>
            <w:tcW w:w="546" w:type="pct"/>
            <w:vAlign w:val="center"/>
          </w:tcPr>
          <w:p w14:paraId="21A53E80" w14:textId="77777777" w:rsidR="007B4C00" w:rsidRDefault="007B4C00" w:rsidP="00AE5C81">
            <w:pPr>
              <w:pStyle w:val="TableText"/>
              <w:jc w:val="right"/>
            </w:pPr>
            <w:r w:rsidRPr="00AD52C9">
              <w:t>$467</w:t>
            </w:r>
          </w:p>
        </w:tc>
        <w:tc>
          <w:tcPr>
            <w:tcW w:w="546" w:type="pct"/>
            <w:vAlign w:val="center"/>
          </w:tcPr>
          <w:p w14:paraId="5B5B6E6B" w14:textId="77777777" w:rsidR="007B4C00" w:rsidRDefault="007B4C00" w:rsidP="00AE5C81">
            <w:pPr>
              <w:pStyle w:val="TableText"/>
              <w:jc w:val="right"/>
            </w:pPr>
            <w:r w:rsidRPr="00AD52C9">
              <w:t>$215</w:t>
            </w:r>
          </w:p>
        </w:tc>
        <w:tc>
          <w:tcPr>
            <w:tcW w:w="546" w:type="pct"/>
            <w:vAlign w:val="center"/>
          </w:tcPr>
          <w:p w14:paraId="5DA7E85E" w14:textId="77777777" w:rsidR="007B4C00" w:rsidRDefault="007B4C00" w:rsidP="00AE5C81">
            <w:pPr>
              <w:pStyle w:val="TableText"/>
              <w:jc w:val="right"/>
            </w:pPr>
            <w:r w:rsidRPr="00AD52C9">
              <w:t>$1,115</w:t>
            </w:r>
          </w:p>
        </w:tc>
        <w:tc>
          <w:tcPr>
            <w:tcW w:w="546" w:type="pct"/>
            <w:vAlign w:val="center"/>
          </w:tcPr>
          <w:p w14:paraId="0D8A54C3" w14:textId="77777777" w:rsidR="007B4C00" w:rsidRDefault="007B4C00" w:rsidP="00AE5C81">
            <w:pPr>
              <w:pStyle w:val="TableText"/>
              <w:jc w:val="right"/>
            </w:pPr>
            <w:r w:rsidRPr="00AD52C9">
              <w:t>$1,115</w:t>
            </w:r>
          </w:p>
        </w:tc>
        <w:tc>
          <w:tcPr>
            <w:tcW w:w="546" w:type="pct"/>
            <w:vAlign w:val="center"/>
          </w:tcPr>
          <w:p w14:paraId="0EE284ED" w14:textId="77777777" w:rsidR="007B4C00" w:rsidRDefault="007B4C00" w:rsidP="00AE5C81">
            <w:pPr>
              <w:pStyle w:val="TableText"/>
              <w:jc w:val="right"/>
            </w:pPr>
            <w:r w:rsidRPr="00A00409">
              <w:t>$681</w:t>
            </w:r>
          </w:p>
        </w:tc>
        <w:tc>
          <w:tcPr>
            <w:tcW w:w="546" w:type="pct"/>
            <w:shd w:val="clear" w:color="auto" w:fill="auto"/>
            <w:tcMar>
              <w:top w:w="0" w:type="dxa"/>
              <w:left w:w="0" w:type="dxa"/>
              <w:bottom w:w="0" w:type="dxa"/>
              <w:right w:w="0" w:type="dxa"/>
            </w:tcMar>
            <w:vAlign w:val="center"/>
            <w:hideMark/>
          </w:tcPr>
          <w:p w14:paraId="23122189" w14:textId="77777777" w:rsidR="007B4C00" w:rsidRPr="005B0CB6" w:rsidRDefault="007B4C00" w:rsidP="00BC6842">
            <w:pPr>
              <w:pStyle w:val="TableText"/>
              <w:ind w:right="41"/>
              <w:jc w:val="right"/>
            </w:pPr>
            <w:r w:rsidRPr="005B0CB6">
              <w:t>$474</w:t>
            </w:r>
          </w:p>
        </w:tc>
        <w:tc>
          <w:tcPr>
            <w:tcW w:w="546" w:type="pct"/>
            <w:vAlign w:val="center"/>
          </w:tcPr>
          <w:p w14:paraId="099D4968" w14:textId="77777777" w:rsidR="007B4C00" w:rsidRPr="005B0CB6" w:rsidRDefault="007B4C00" w:rsidP="00AE5C81">
            <w:pPr>
              <w:pStyle w:val="TableText"/>
              <w:jc w:val="right"/>
            </w:pPr>
            <w:r w:rsidRPr="005B0CB6">
              <w:t>$401</w:t>
            </w:r>
          </w:p>
        </w:tc>
      </w:tr>
      <w:tr w:rsidR="007B4C00" w14:paraId="1FF921EE" w14:textId="77777777" w:rsidTr="00647E2C">
        <w:trPr>
          <w:trHeight w:val="255"/>
        </w:trPr>
        <w:tc>
          <w:tcPr>
            <w:tcW w:w="1176" w:type="pct"/>
            <w:shd w:val="clear" w:color="auto" w:fill="auto"/>
            <w:noWrap/>
            <w:tcMar>
              <w:top w:w="0" w:type="dxa"/>
              <w:left w:w="0" w:type="dxa"/>
              <w:bottom w:w="0" w:type="dxa"/>
              <w:right w:w="0" w:type="dxa"/>
            </w:tcMar>
            <w:vAlign w:val="center"/>
            <w:hideMark/>
          </w:tcPr>
          <w:p w14:paraId="4BC9F24D" w14:textId="77777777" w:rsidR="007B4C00" w:rsidRDefault="007B4C00" w:rsidP="00AE5C81">
            <w:pPr>
              <w:pStyle w:val="TableText"/>
            </w:pPr>
            <w:r>
              <w:t>Total</w:t>
            </w:r>
          </w:p>
        </w:tc>
        <w:tc>
          <w:tcPr>
            <w:tcW w:w="546" w:type="pct"/>
          </w:tcPr>
          <w:p w14:paraId="1D614B6B" w14:textId="77777777" w:rsidR="007B4C00" w:rsidRDefault="007B4C00" w:rsidP="00AE5C81">
            <w:pPr>
              <w:pStyle w:val="TableText"/>
              <w:jc w:val="right"/>
            </w:pPr>
            <w:r w:rsidRPr="00F43DF0">
              <w:t>$6,876</w:t>
            </w:r>
          </w:p>
        </w:tc>
        <w:tc>
          <w:tcPr>
            <w:tcW w:w="546" w:type="pct"/>
          </w:tcPr>
          <w:p w14:paraId="3896FA60" w14:textId="77777777" w:rsidR="007B4C00" w:rsidRDefault="007B4C00" w:rsidP="00AE5C81">
            <w:pPr>
              <w:pStyle w:val="TableText"/>
              <w:jc w:val="right"/>
            </w:pPr>
            <w:r w:rsidRPr="00F43DF0">
              <w:t>$5,404</w:t>
            </w:r>
          </w:p>
        </w:tc>
        <w:tc>
          <w:tcPr>
            <w:tcW w:w="546" w:type="pct"/>
          </w:tcPr>
          <w:p w14:paraId="130FF8B0" w14:textId="77777777" w:rsidR="007B4C00" w:rsidRDefault="007B4C00" w:rsidP="00AE5C81">
            <w:pPr>
              <w:pStyle w:val="TableText"/>
              <w:jc w:val="right"/>
            </w:pPr>
            <w:r w:rsidRPr="00F43DF0">
              <w:t>$6,785</w:t>
            </w:r>
          </w:p>
        </w:tc>
        <w:tc>
          <w:tcPr>
            <w:tcW w:w="546" w:type="pct"/>
            <w:vAlign w:val="center"/>
          </w:tcPr>
          <w:p w14:paraId="66C43A2C" w14:textId="77777777" w:rsidR="007B4C00" w:rsidRDefault="007B4C00" w:rsidP="00AE5C81">
            <w:pPr>
              <w:pStyle w:val="TableText"/>
              <w:jc w:val="right"/>
            </w:pPr>
            <w:r>
              <w:t>$7</w:t>
            </w:r>
            <w:r w:rsidRPr="004D7682">
              <w:t>,5</w:t>
            </w:r>
            <w:r>
              <w:t>33</w:t>
            </w:r>
          </w:p>
        </w:tc>
        <w:tc>
          <w:tcPr>
            <w:tcW w:w="546" w:type="pct"/>
          </w:tcPr>
          <w:p w14:paraId="10F899B5" w14:textId="77777777" w:rsidR="007B4C00" w:rsidRDefault="007B4C00" w:rsidP="00AE5C81">
            <w:pPr>
              <w:pStyle w:val="TableText"/>
              <w:jc w:val="right"/>
            </w:pPr>
            <w:r w:rsidRPr="008759B1">
              <w:t>$5,557</w:t>
            </w:r>
          </w:p>
        </w:tc>
        <w:tc>
          <w:tcPr>
            <w:tcW w:w="546" w:type="pct"/>
            <w:shd w:val="clear" w:color="auto" w:fill="auto"/>
            <w:tcMar>
              <w:top w:w="0" w:type="dxa"/>
              <w:left w:w="0" w:type="dxa"/>
              <w:bottom w:w="0" w:type="dxa"/>
              <w:right w:w="0" w:type="dxa"/>
            </w:tcMar>
            <w:hideMark/>
          </w:tcPr>
          <w:p w14:paraId="2C2D6190" w14:textId="0E554B99" w:rsidR="007B4C00" w:rsidRPr="005B0CB6" w:rsidRDefault="007B4C00" w:rsidP="00BC6842">
            <w:pPr>
              <w:pStyle w:val="TableText"/>
              <w:ind w:right="41"/>
              <w:jc w:val="right"/>
            </w:pPr>
            <w:r w:rsidRPr="005B0CB6">
              <w:t>$</w:t>
            </w:r>
            <w:r w:rsidR="00CF6AD4" w:rsidRPr="000F29FD">
              <w:rPr>
                <w:rFonts w:hint="eastAsia"/>
                <w:color w:val="000000"/>
                <w:w w:val="15"/>
                <w:shd w:val="solid" w:color="000000" w:fill="000000"/>
                <w:fitText w:val="9" w:id="-1455741436"/>
                <w14:textFill>
                  <w14:solidFill>
                    <w14:srgbClr w14:val="000000">
                      <w14:alpha w14:val="100000"/>
                    </w14:srgbClr>
                  </w14:solidFill>
                </w14:textFill>
              </w:rPr>
              <w:t xml:space="preserve">　</w:t>
            </w:r>
            <w:r w:rsidR="00CF6AD4" w:rsidRPr="000F29FD">
              <w:rPr>
                <w:color w:val="000000"/>
                <w:w w:val="15"/>
                <w:shd w:val="solid" w:color="000000" w:fill="000000"/>
                <w:fitText w:val="9" w:id="-1455741436"/>
                <w14:textFill>
                  <w14:solidFill>
                    <w14:srgbClr w14:val="000000">
                      <w14:alpha w14:val="100000"/>
                    </w14:srgbClr>
                  </w14:solidFill>
                </w14:textFill>
              </w:rPr>
              <w:t>|</w:t>
            </w:r>
            <w:r w:rsidR="00CF6AD4" w:rsidRPr="000F29FD">
              <w:rPr>
                <w:rFonts w:hint="eastAsia"/>
                <w:color w:val="000000"/>
                <w:spacing w:val="-57"/>
                <w:w w:val="15"/>
                <w:shd w:val="solid" w:color="000000" w:fill="000000"/>
                <w:fitText w:val="9" w:id="-1455741436"/>
                <w14:textFill>
                  <w14:solidFill>
                    <w14:srgbClr w14:val="000000">
                      <w14:alpha w14:val="100000"/>
                    </w14:srgbClr>
                  </w14:solidFill>
                </w14:textFill>
              </w:rPr>
              <w:t xml:space="preserve">　</w:t>
            </w:r>
          </w:p>
        </w:tc>
        <w:tc>
          <w:tcPr>
            <w:tcW w:w="546" w:type="pct"/>
          </w:tcPr>
          <w:p w14:paraId="64049C9D" w14:textId="4F0D1B08" w:rsidR="007B4C00" w:rsidRPr="005B0CB6" w:rsidRDefault="007B4C00" w:rsidP="00AE5C81">
            <w:pPr>
              <w:pStyle w:val="TableText"/>
              <w:jc w:val="right"/>
            </w:pPr>
            <w:r w:rsidRPr="005B0CB6">
              <w:t>$</w:t>
            </w:r>
            <w:r w:rsidR="00CF6AD4" w:rsidRPr="00CF6AD4">
              <w:rPr>
                <w:color w:val="000000"/>
                <w:spacing w:val="87"/>
                <w:shd w:val="solid" w:color="000000" w:fill="000000"/>
                <w:fitText w:val="173" w:id="-1455741435"/>
                <w14:textFill>
                  <w14:solidFill>
                    <w14:srgbClr w14:val="000000">
                      <w14:alpha w14:val="100000"/>
                    </w14:srgbClr>
                  </w14:solidFill>
                </w14:textFill>
              </w:rPr>
              <w:t>|</w:t>
            </w:r>
            <w:r w:rsidR="00CF6AD4" w:rsidRPr="00CF6AD4">
              <w:rPr>
                <w:color w:val="000000"/>
                <w:shd w:val="solid" w:color="000000" w:fill="000000"/>
                <w:fitText w:val="173" w:id="-1455741435"/>
                <w14:textFill>
                  <w14:solidFill>
                    <w14:srgbClr w14:val="000000">
                      <w14:alpha w14:val="100000"/>
                    </w14:srgbClr>
                  </w14:solidFill>
                </w14:textFill>
              </w:rPr>
              <w:t>|</w:t>
            </w:r>
          </w:p>
        </w:tc>
      </w:tr>
    </w:tbl>
    <w:p w14:paraId="5DC87683" w14:textId="77777777" w:rsidR="00E060AA" w:rsidRDefault="00994805" w:rsidP="00085C64">
      <w:pPr>
        <w:pStyle w:val="Tablenotes0"/>
      </w:pPr>
      <w:r>
        <w:t>Source: Table</w:t>
      </w:r>
      <w:r w:rsidR="00E060AA">
        <w:t xml:space="preserve"> 8, </w:t>
      </w:r>
      <w:proofErr w:type="spellStart"/>
      <w:r w:rsidR="00E060AA">
        <w:t>pg</w:t>
      </w:r>
      <w:proofErr w:type="spellEnd"/>
      <w:r w:rsidR="00E060AA">
        <w:t xml:space="preserve"> 18 of MSAC 1697 DCAR</w:t>
      </w:r>
    </w:p>
    <w:p w14:paraId="33977AB5" w14:textId="6A658875" w:rsidR="007B4C00" w:rsidRDefault="00E060AA" w:rsidP="00085C64">
      <w:pPr>
        <w:pStyle w:val="Tablenotes0"/>
        <w:rPr>
          <w:iCs/>
        </w:rPr>
      </w:pPr>
      <w:r>
        <w:t>Abbreviations:</w:t>
      </w:r>
      <w:r w:rsidR="00994805">
        <w:t xml:space="preserve"> </w:t>
      </w:r>
      <w:r w:rsidR="007B4C00" w:rsidRPr="0015334F">
        <w:t>EEP = endoscopic enucleation of the prostate;</w:t>
      </w:r>
      <w:r w:rsidR="007B4C00">
        <w:t xml:space="preserve"> </w:t>
      </w:r>
      <w:r w:rsidR="007B4C00" w:rsidRPr="00BD267E">
        <w:t>NA</w:t>
      </w:r>
      <w:r w:rsidR="007B4C00">
        <w:t xml:space="preserve"> =</w:t>
      </w:r>
      <w:r w:rsidR="007B4C00" w:rsidRPr="00BD267E">
        <w:t xml:space="preserve"> </w:t>
      </w:r>
      <w:r w:rsidR="007B4C00">
        <w:t>i</w:t>
      </w:r>
      <w:r w:rsidR="007B4C00" w:rsidRPr="00BD267E">
        <w:t xml:space="preserve">ndicates data were not </w:t>
      </w:r>
      <w:r w:rsidR="007B4C00">
        <w:t xml:space="preserve">available; PUL = prostatic urethral lift; TUMT = transurethral microwave thermotherapy; TURP = transurethral resection of the prostate; TUWA = </w:t>
      </w:r>
      <w:r w:rsidR="007B4C00">
        <w:rPr>
          <w:iCs/>
        </w:rPr>
        <w:t xml:space="preserve">transurethral water vapour ablation; </w:t>
      </w:r>
      <w:r w:rsidR="007B4C00">
        <w:t xml:space="preserve">VLAP = </w:t>
      </w:r>
      <w:r w:rsidR="007B4C00">
        <w:rPr>
          <w:iCs/>
        </w:rPr>
        <w:t>visual laser ablation of the prostate</w:t>
      </w:r>
    </w:p>
    <w:p w14:paraId="554B4406" w14:textId="77777777" w:rsidR="007B4C00" w:rsidRDefault="007B4C00" w:rsidP="00085C64">
      <w:pPr>
        <w:pStyle w:val="Tablenotes0"/>
        <w:rPr>
          <w:iCs/>
        </w:rPr>
      </w:pPr>
      <w:r>
        <w:rPr>
          <w:iCs/>
          <w:vertAlign w:val="superscript"/>
        </w:rPr>
        <w:t xml:space="preserve">1 </w:t>
      </w:r>
      <w:r w:rsidRPr="00D52360">
        <w:rPr>
          <w:iCs/>
        </w:rPr>
        <w:t>MSAC application 1612 seeks to increase the MBS fee for PUL (equivalent to the MBS fee for VLAP and TURP) by amending MBS 36811 for cystoscopy</w:t>
      </w:r>
      <w:r>
        <w:rPr>
          <w:iCs/>
        </w:rPr>
        <w:t>. Proposed PUL uses primary service cost of PUL equivalent to TURP.</w:t>
      </w:r>
    </w:p>
    <w:p w14:paraId="2FD1E922" w14:textId="5F4879F5" w:rsidR="008D44D0" w:rsidRDefault="007B4C00" w:rsidP="008D44D0">
      <w:pPr>
        <w:rPr>
          <w:lang w:eastAsia="en-AU"/>
        </w:rPr>
      </w:pPr>
      <w:r w:rsidRPr="00BA319D">
        <w:t>Note: – Costs not presented or included in the table above indicates gaps in costings, which may highlight underestimations in various cost modelling for prostatic procedures.</w:t>
      </w:r>
      <w:r w:rsidR="00BC6842" w:rsidRPr="008D44D0">
        <w:rPr>
          <w:lang w:eastAsia="en-AU"/>
        </w:rPr>
        <w:t xml:space="preserve"> </w:t>
      </w:r>
      <w:r w:rsidR="008D44D0" w:rsidRPr="008D44D0">
        <w:rPr>
          <w:lang w:eastAsia="en-AU"/>
        </w:rPr>
        <w:t xml:space="preserve">The stepped analysis of costs is presented </w:t>
      </w:r>
      <w:r w:rsidR="000F29FD" w:rsidRPr="000F29FD">
        <w:t>in Table 9</w:t>
      </w:r>
      <w:r w:rsidR="008D44D0" w:rsidRPr="000F29FD">
        <w:t>. Compared</w:t>
      </w:r>
      <w:r w:rsidR="008D44D0" w:rsidRPr="008D44D0">
        <w:rPr>
          <w:lang w:eastAsia="en-AU"/>
        </w:rPr>
        <w:t xml:space="preserve"> with TURP, the base-case analysis indicates that all other minimally invasive techniques for the treatment of BPH are less costly. However, the cost differences for some of the comparisons are minor. The highest cost components tend to be hospitalisations, except for PUL (the highest cost component is the prosthesis cost) and TUWA (the highest cost compo</w:t>
      </w:r>
      <w:r w:rsidR="009217F2">
        <w:rPr>
          <w:lang w:eastAsia="en-AU"/>
        </w:rPr>
        <w:t>nent</w:t>
      </w:r>
      <w:r w:rsidR="008D44D0" w:rsidRPr="008D44D0">
        <w:rPr>
          <w:lang w:eastAsia="en-AU"/>
        </w:rPr>
        <w:t xml:space="preserve"> is consumables).</w:t>
      </w:r>
    </w:p>
    <w:p w14:paraId="1BBF2640" w14:textId="7F51A1E3" w:rsidR="009217F2" w:rsidRDefault="009217F2" w:rsidP="00085C64">
      <w:pPr>
        <w:pStyle w:val="TableFigureHeading"/>
      </w:pPr>
      <w:bookmarkStart w:id="32" w:name="_Ref96552050"/>
      <w:r>
        <w:t xml:space="preserve">Table </w:t>
      </w:r>
      <w:r>
        <w:fldChar w:fldCharType="begin"/>
      </w:r>
      <w:r>
        <w:instrText>SEQ Table \* ARABIC</w:instrText>
      </w:r>
      <w:r>
        <w:fldChar w:fldCharType="separate"/>
      </w:r>
      <w:r w:rsidR="00C03EF9">
        <w:rPr>
          <w:noProof/>
        </w:rPr>
        <w:t>9</w:t>
      </w:r>
      <w:r>
        <w:fldChar w:fldCharType="end"/>
      </w:r>
      <w:bookmarkEnd w:id="32"/>
      <w:r>
        <w:tab/>
      </w:r>
      <w:r w:rsidRPr="008D44D0">
        <w:t>Incremental costs of BPH interventions compared with TURP</w:t>
      </w:r>
    </w:p>
    <w:tbl>
      <w:tblPr>
        <w:tblStyle w:val="TableGrid1"/>
        <w:tblW w:w="5000" w:type="pct"/>
        <w:tblLayout w:type="fixed"/>
        <w:tblLook w:val="04A0" w:firstRow="1" w:lastRow="0" w:firstColumn="1" w:lastColumn="0" w:noHBand="0" w:noVBand="1"/>
      </w:tblPr>
      <w:tblGrid>
        <w:gridCol w:w="2691"/>
        <w:gridCol w:w="849"/>
        <w:gridCol w:w="851"/>
        <w:gridCol w:w="849"/>
        <w:gridCol w:w="992"/>
        <w:gridCol w:w="1017"/>
        <w:gridCol w:w="885"/>
        <w:gridCol w:w="882"/>
      </w:tblGrid>
      <w:tr w:rsidR="00F042C1" w:rsidRPr="00C733C7" w14:paraId="29787E3B" w14:textId="77777777" w:rsidTr="005B201F">
        <w:trPr>
          <w:cnfStyle w:val="100000000000" w:firstRow="1" w:lastRow="0" w:firstColumn="0" w:lastColumn="0" w:oddVBand="0" w:evenVBand="0" w:oddHBand="0" w:evenHBand="0" w:firstRowFirstColumn="0" w:firstRowLastColumn="0" w:lastRowFirstColumn="0" w:lastRowLastColumn="0"/>
          <w:trHeight w:val="326"/>
          <w:tblHeader/>
        </w:trPr>
        <w:tc>
          <w:tcPr>
            <w:tcW w:w="1492" w:type="pct"/>
            <w:tcBorders>
              <w:top w:val="single" w:sz="4" w:space="0" w:color="auto"/>
              <w:left w:val="single" w:sz="4" w:space="0" w:color="auto"/>
              <w:bottom w:val="single" w:sz="4" w:space="0" w:color="auto"/>
              <w:right w:val="single" w:sz="4" w:space="0" w:color="auto"/>
            </w:tcBorders>
            <w:noWrap/>
            <w:vAlign w:val="bottom"/>
            <w:hideMark/>
          </w:tcPr>
          <w:p w14:paraId="2D8476EC" w14:textId="77777777" w:rsidR="00755D58" w:rsidRPr="00755D58" w:rsidRDefault="00755D58" w:rsidP="00AE5C81">
            <w:pPr>
              <w:pStyle w:val="TableText"/>
              <w:rPr>
                <w:b/>
              </w:rPr>
            </w:pPr>
            <w:r w:rsidRPr="00755D58">
              <w:rPr>
                <w:b/>
              </w:rPr>
              <w:t>Item</w:t>
            </w:r>
          </w:p>
        </w:tc>
        <w:tc>
          <w:tcPr>
            <w:tcW w:w="471" w:type="pct"/>
            <w:tcBorders>
              <w:top w:val="single" w:sz="4" w:space="0" w:color="auto"/>
              <w:left w:val="single" w:sz="4" w:space="0" w:color="auto"/>
              <w:bottom w:val="single" w:sz="4" w:space="0" w:color="auto"/>
              <w:right w:val="single" w:sz="4" w:space="0" w:color="auto"/>
            </w:tcBorders>
          </w:tcPr>
          <w:p w14:paraId="4DD3034A" w14:textId="77777777" w:rsidR="00755D58" w:rsidRPr="00C733C7" w:rsidRDefault="00755D58" w:rsidP="00AE5C81">
            <w:pPr>
              <w:pStyle w:val="TableText"/>
              <w:rPr>
                <w:b/>
              </w:rPr>
            </w:pPr>
            <w:r w:rsidRPr="00C733C7">
              <w:rPr>
                <w:b/>
              </w:rPr>
              <w:t>TURP</w:t>
            </w:r>
          </w:p>
        </w:tc>
        <w:tc>
          <w:tcPr>
            <w:tcW w:w="472" w:type="pct"/>
            <w:tcBorders>
              <w:top w:val="single" w:sz="4" w:space="0" w:color="auto"/>
              <w:left w:val="single" w:sz="4" w:space="0" w:color="auto"/>
              <w:bottom w:val="single" w:sz="4" w:space="0" w:color="auto"/>
              <w:right w:val="single" w:sz="4" w:space="0" w:color="auto"/>
            </w:tcBorders>
          </w:tcPr>
          <w:p w14:paraId="333219A1" w14:textId="77777777" w:rsidR="00755D58" w:rsidRPr="00C733C7" w:rsidRDefault="00755D58" w:rsidP="00AE5C81">
            <w:pPr>
              <w:pStyle w:val="TableText"/>
              <w:rPr>
                <w:b/>
              </w:rPr>
            </w:pPr>
            <w:r w:rsidRPr="00C733C7">
              <w:rPr>
                <w:b/>
              </w:rPr>
              <w:t>EEP</w:t>
            </w:r>
          </w:p>
        </w:tc>
        <w:tc>
          <w:tcPr>
            <w:tcW w:w="471" w:type="pct"/>
            <w:tcBorders>
              <w:top w:val="single" w:sz="4" w:space="0" w:color="auto"/>
              <w:left w:val="single" w:sz="4" w:space="0" w:color="auto"/>
              <w:bottom w:val="single" w:sz="4" w:space="0" w:color="auto"/>
              <w:right w:val="single" w:sz="4" w:space="0" w:color="auto"/>
            </w:tcBorders>
          </w:tcPr>
          <w:p w14:paraId="240E16F9" w14:textId="77777777" w:rsidR="00755D58" w:rsidRPr="00C733C7" w:rsidRDefault="00755D58" w:rsidP="00AE5C81">
            <w:pPr>
              <w:pStyle w:val="TableText"/>
              <w:rPr>
                <w:b/>
              </w:rPr>
            </w:pPr>
            <w:r w:rsidRPr="00C733C7">
              <w:rPr>
                <w:b/>
              </w:rPr>
              <w:t>PUL</w:t>
            </w:r>
          </w:p>
        </w:tc>
        <w:tc>
          <w:tcPr>
            <w:tcW w:w="550" w:type="pct"/>
            <w:tcBorders>
              <w:top w:val="single" w:sz="4" w:space="0" w:color="auto"/>
              <w:left w:val="single" w:sz="4" w:space="0" w:color="auto"/>
              <w:bottom w:val="single" w:sz="4" w:space="0" w:color="auto"/>
              <w:right w:val="single" w:sz="4" w:space="0" w:color="auto"/>
            </w:tcBorders>
          </w:tcPr>
          <w:p w14:paraId="4B940DFF" w14:textId="77777777" w:rsidR="00755D58" w:rsidRPr="00C733C7" w:rsidRDefault="00755D58" w:rsidP="00AE5C81">
            <w:pPr>
              <w:pStyle w:val="TableText"/>
              <w:rPr>
                <w:b/>
              </w:rPr>
            </w:pPr>
            <w:r w:rsidRPr="00C733C7">
              <w:rPr>
                <w:b/>
              </w:rPr>
              <w:t xml:space="preserve">Proposed PUL </w:t>
            </w:r>
            <w:r w:rsidRPr="00755D58">
              <w:rPr>
                <w:b/>
                <w:vertAlign w:val="superscript"/>
              </w:rPr>
              <w:t>1</w:t>
            </w:r>
          </w:p>
        </w:tc>
        <w:tc>
          <w:tcPr>
            <w:tcW w:w="564" w:type="pct"/>
            <w:tcBorders>
              <w:top w:val="single" w:sz="4" w:space="0" w:color="auto"/>
              <w:left w:val="single" w:sz="4" w:space="0" w:color="auto"/>
              <w:bottom w:val="single" w:sz="4" w:space="0" w:color="auto"/>
              <w:right w:val="single" w:sz="4" w:space="0" w:color="auto"/>
            </w:tcBorders>
          </w:tcPr>
          <w:p w14:paraId="09E9CAAE" w14:textId="77777777" w:rsidR="00755D58" w:rsidRPr="00C733C7" w:rsidRDefault="00755D58" w:rsidP="00AE5C81">
            <w:pPr>
              <w:pStyle w:val="TableText"/>
              <w:rPr>
                <w:b/>
              </w:rPr>
            </w:pPr>
            <w:r w:rsidRPr="00C733C7">
              <w:rPr>
                <w:b/>
              </w:rPr>
              <w:t>TUMT</w:t>
            </w:r>
          </w:p>
        </w:tc>
        <w:tc>
          <w:tcPr>
            <w:tcW w:w="491" w:type="pct"/>
            <w:tcBorders>
              <w:top w:val="single" w:sz="4" w:space="0" w:color="auto"/>
              <w:left w:val="single" w:sz="4" w:space="0" w:color="auto"/>
              <w:bottom w:val="single" w:sz="4" w:space="0" w:color="auto"/>
              <w:right w:val="single" w:sz="4" w:space="0" w:color="auto"/>
            </w:tcBorders>
            <w:noWrap/>
            <w:hideMark/>
          </w:tcPr>
          <w:p w14:paraId="69111CEC" w14:textId="77777777" w:rsidR="00755D58" w:rsidRPr="00C733C7" w:rsidRDefault="00755D58" w:rsidP="00AE5C81">
            <w:pPr>
              <w:pStyle w:val="TableText"/>
              <w:rPr>
                <w:b/>
              </w:rPr>
            </w:pPr>
            <w:r w:rsidRPr="00C733C7">
              <w:rPr>
                <w:b/>
              </w:rPr>
              <w:t>TUWA</w:t>
            </w:r>
          </w:p>
        </w:tc>
        <w:tc>
          <w:tcPr>
            <w:tcW w:w="489" w:type="pct"/>
            <w:tcBorders>
              <w:top w:val="single" w:sz="4" w:space="0" w:color="auto"/>
              <w:left w:val="single" w:sz="4" w:space="0" w:color="auto"/>
              <w:bottom w:val="single" w:sz="4" w:space="0" w:color="auto"/>
              <w:right w:val="single" w:sz="4" w:space="0" w:color="auto"/>
            </w:tcBorders>
          </w:tcPr>
          <w:p w14:paraId="508F6DEA" w14:textId="77777777" w:rsidR="00755D58" w:rsidRPr="00C733C7" w:rsidRDefault="00755D58" w:rsidP="00AE5C81">
            <w:pPr>
              <w:pStyle w:val="TableText"/>
              <w:rPr>
                <w:b/>
              </w:rPr>
            </w:pPr>
            <w:r w:rsidRPr="00C733C7">
              <w:rPr>
                <w:b/>
              </w:rPr>
              <w:t>VLAP</w:t>
            </w:r>
          </w:p>
        </w:tc>
      </w:tr>
      <w:tr w:rsidR="00F042C1" w:rsidRPr="00C733C7" w14:paraId="58EDB45D" w14:textId="77777777" w:rsidTr="005B201F">
        <w:trPr>
          <w:trHeight w:val="326"/>
        </w:trPr>
        <w:tc>
          <w:tcPr>
            <w:tcW w:w="1492" w:type="pct"/>
            <w:tcBorders>
              <w:top w:val="single" w:sz="4" w:space="0" w:color="auto"/>
              <w:left w:val="single" w:sz="4" w:space="0" w:color="auto"/>
              <w:bottom w:val="single" w:sz="4" w:space="0" w:color="auto"/>
              <w:right w:val="single" w:sz="4" w:space="0" w:color="auto"/>
            </w:tcBorders>
            <w:noWrap/>
            <w:vAlign w:val="bottom"/>
            <w:hideMark/>
          </w:tcPr>
          <w:p w14:paraId="0E8F5735" w14:textId="77777777" w:rsidR="00755D58" w:rsidRPr="00755D58" w:rsidRDefault="00755D58" w:rsidP="00AE5C81">
            <w:pPr>
              <w:pStyle w:val="TableText"/>
            </w:pPr>
            <w:r w:rsidRPr="00755D58">
              <w:t>Step 1: Medical service costs only</w:t>
            </w:r>
          </w:p>
        </w:tc>
        <w:tc>
          <w:tcPr>
            <w:tcW w:w="471" w:type="pct"/>
            <w:tcBorders>
              <w:top w:val="single" w:sz="4" w:space="0" w:color="auto"/>
              <w:left w:val="single" w:sz="4" w:space="0" w:color="auto"/>
              <w:bottom w:val="single" w:sz="4" w:space="0" w:color="auto"/>
              <w:right w:val="single" w:sz="4" w:space="0" w:color="auto"/>
            </w:tcBorders>
          </w:tcPr>
          <w:p w14:paraId="2C114174" w14:textId="77777777" w:rsidR="00755D58" w:rsidRPr="00C733C7" w:rsidRDefault="00755D58" w:rsidP="00AE5C81">
            <w:pPr>
              <w:pStyle w:val="TableText"/>
              <w:jc w:val="right"/>
            </w:pPr>
            <w:r w:rsidRPr="00C733C7">
              <w:t>$1,376</w:t>
            </w:r>
          </w:p>
        </w:tc>
        <w:tc>
          <w:tcPr>
            <w:tcW w:w="472" w:type="pct"/>
            <w:tcBorders>
              <w:top w:val="single" w:sz="4" w:space="0" w:color="auto"/>
              <w:left w:val="single" w:sz="4" w:space="0" w:color="auto"/>
              <w:bottom w:val="single" w:sz="4" w:space="0" w:color="auto"/>
              <w:right w:val="single" w:sz="4" w:space="0" w:color="auto"/>
            </w:tcBorders>
          </w:tcPr>
          <w:p w14:paraId="2D08D7A2" w14:textId="77777777" w:rsidR="00755D58" w:rsidRPr="00C733C7" w:rsidRDefault="00755D58" w:rsidP="00AE5C81">
            <w:pPr>
              <w:pStyle w:val="TableText"/>
              <w:jc w:val="right"/>
            </w:pPr>
            <w:r w:rsidRPr="00C733C7">
              <w:t>$1,564</w:t>
            </w:r>
          </w:p>
        </w:tc>
        <w:tc>
          <w:tcPr>
            <w:tcW w:w="471" w:type="pct"/>
            <w:tcBorders>
              <w:top w:val="single" w:sz="4" w:space="0" w:color="auto"/>
              <w:left w:val="single" w:sz="4" w:space="0" w:color="auto"/>
              <w:bottom w:val="single" w:sz="4" w:space="0" w:color="auto"/>
              <w:right w:val="single" w:sz="4" w:space="0" w:color="auto"/>
            </w:tcBorders>
          </w:tcPr>
          <w:p w14:paraId="4745292F" w14:textId="77777777" w:rsidR="00755D58" w:rsidRPr="00C733C7" w:rsidRDefault="00755D58" w:rsidP="00AE5C81">
            <w:pPr>
              <w:pStyle w:val="TableText"/>
              <w:jc w:val="right"/>
            </w:pPr>
            <w:r w:rsidRPr="00C733C7">
              <w:t>$546</w:t>
            </w:r>
          </w:p>
        </w:tc>
        <w:tc>
          <w:tcPr>
            <w:tcW w:w="550" w:type="pct"/>
            <w:tcBorders>
              <w:top w:val="single" w:sz="4" w:space="0" w:color="auto"/>
              <w:left w:val="single" w:sz="4" w:space="0" w:color="auto"/>
              <w:bottom w:val="single" w:sz="4" w:space="0" w:color="auto"/>
              <w:right w:val="single" w:sz="4" w:space="0" w:color="auto"/>
            </w:tcBorders>
          </w:tcPr>
          <w:p w14:paraId="4349C6EB" w14:textId="77777777" w:rsidR="00755D58" w:rsidRPr="00C733C7" w:rsidRDefault="00755D58" w:rsidP="00AE5C81">
            <w:pPr>
              <w:pStyle w:val="TableText"/>
              <w:jc w:val="right"/>
            </w:pPr>
            <w:r w:rsidRPr="00C733C7">
              <w:t>$1,294</w:t>
            </w:r>
          </w:p>
        </w:tc>
        <w:tc>
          <w:tcPr>
            <w:tcW w:w="564" w:type="pct"/>
            <w:tcBorders>
              <w:top w:val="single" w:sz="4" w:space="0" w:color="auto"/>
              <w:left w:val="single" w:sz="4" w:space="0" w:color="auto"/>
              <w:bottom w:val="single" w:sz="4" w:space="0" w:color="auto"/>
              <w:right w:val="single" w:sz="4" w:space="0" w:color="auto"/>
            </w:tcBorders>
          </w:tcPr>
          <w:p w14:paraId="0060ECDB" w14:textId="77777777" w:rsidR="00755D58" w:rsidRPr="00C733C7" w:rsidRDefault="00755D58" w:rsidP="00AE5C81">
            <w:pPr>
              <w:pStyle w:val="TableText"/>
              <w:jc w:val="right"/>
            </w:pPr>
            <w:r w:rsidRPr="00C733C7">
              <w:t>$1,252</w:t>
            </w:r>
          </w:p>
        </w:tc>
        <w:tc>
          <w:tcPr>
            <w:tcW w:w="491" w:type="pct"/>
            <w:tcBorders>
              <w:top w:val="single" w:sz="4" w:space="0" w:color="auto"/>
              <w:left w:val="single" w:sz="4" w:space="0" w:color="auto"/>
              <w:bottom w:val="single" w:sz="4" w:space="0" w:color="auto"/>
              <w:right w:val="single" w:sz="4" w:space="0" w:color="auto"/>
            </w:tcBorders>
            <w:noWrap/>
          </w:tcPr>
          <w:p w14:paraId="216B4BFA" w14:textId="77777777" w:rsidR="00755D58" w:rsidRPr="00C733C7" w:rsidRDefault="00755D58" w:rsidP="00AE5C81">
            <w:pPr>
              <w:pStyle w:val="TableText"/>
              <w:jc w:val="right"/>
            </w:pPr>
            <w:r w:rsidRPr="00C733C7">
              <w:t>$1,010</w:t>
            </w:r>
          </w:p>
        </w:tc>
        <w:tc>
          <w:tcPr>
            <w:tcW w:w="489" w:type="pct"/>
            <w:tcBorders>
              <w:top w:val="single" w:sz="4" w:space="0" w:color="auto"/>
              <w:left w:val="single" w:sz="4" w:space="0" w:color="auto"/>
              <w:bottom w:val="single" w:sz="4" w:space="0" w:color="auto"/>
              <w:right w:val="single" w:sz="4" w:space="0" w:color="auto"/>
            </w:tcBorders>
          </w:tcPr>
          <w:p w14:paraId="2C4E7510" w14:textId="77777777" w:rsidR="00755D58" w:rsidRPr="00C733C7" w:rsidRDefault="00755D58" w:rsidP="00AE5C81">
            <w:pPr>
              <w:pStyle w:val="TableText"/>
              <w:jc w:val="right"/>
            </w:pPr>
            <w:r w:rsidRPr="00C733C7">
              <w:t>$1,335</w:t>
            </w:r>
          </w:p>
        </w:tc>
      </w:tr>
      <w:tr w:rsidR="00F042C1" w:rsidRPr="00C733C7" w14:paraId="3F369041" w14:textId="77777777" w:rsidTr="005B201F">
        <w:trPr>
          <w:trHeight w:val="326"/>
        </w:trPr>
        <w:tc>
          <w:tcPr>
            <w:tcW w:w="1492" w:type="pct"/>
            <w:tcBorders>
              <w:top w:val="single" w:sz="4" w:space="0" w:color="auto"/>
              <w:left w:val="single" w:sz="4" w:space="0" w:color="auto"/>
              <w:bottom w:val="single" w:sz="4" w:space="0" w:color="auto"/>
              <w:right w:val="single" w:sz="4" w:space="0" w:color="auto"/>
            </w:tcBorders>
            <w:noWrap/>
            <w:vAlign w:val="bottom"/>
          </w:tcPr>
          <w:p w14:paraId="322D2D8D" w14:textId="77777777" w:rsidR="00755D58" w:rsidRPr="00755D58" w:rsidRDefault="00755D58" w:rsidP="00AE5C81">
            <w:pPr>
              <w:pStyle w:val="TableText"/>
              <w:rPr>
                <w:i/>
              </w:rPr>
            </w:pPr>
            <w:r w:rsidRPr="00755D58">
              <w:rPr>
                <w:i/>
              </w:rPr>
              <w:t>Incremental cost</w:t>
            </w:r>
          </w:p>
        </w:tc>
        <w:tc>
          <w:tcPr>
            <w:tcW w:w="471" w:type="pct"/>
            <w:tcBorders>
              <w:top w:val="single" w:sz="4" w:space="0" w:color="auto"/>
              <w:left w:val="single" w:sz="4" w:space="0" w:color="auto"/>
              <w:bottom w:val="single" w:sz="4" w:space="0" w:color="auto"/>
              <w:right w:val="single" w:sz="4" w:space="0" w:color="auto"/>
            </w:tcBorders>
          </w:tcPr>
          <w:p w14:paraId="0A3944EE" w14:textId="77777777" w:rsidR="00755D58" w:rsidRPr="00C733C7" w:rsidRDefault="00755D58" w:rsidP="00AE5C81">
            <w:pPr>
              <w:pStyle w:val="TableText"/>
              <w:jc w:val="right"/>
              <w:rPr>
                <w:i/>
              </w:rPr>
            </w:pPr>
          </w:p>
        </w:tc>
        <w:tc>
          <w:tcPr>
            <w:tcW w:w="472" w:type="pct"/>
            <w:tcBorders>
              <w:top w:val="single" w:sz="4" w:space="0" w:color="auto"/>
              <w:left w:val="single" w:sz="4" w:space="0" w:color="auto"/>
              <w:bottom w:val="single" w:sz="4" w:space="0" w:color="auto"/>
              <w:right w:val="single" w:sz="4" w:space="0" w:color="auto"/>
            </w:tcBorders>
          </w:tcPr>
          <w:p w14:paraId="5216159B" w14:textId="77777777" w:rsidR="00755D58" w:rsidRPr="00C733C7" w:rsidRDefault="00755D58" w:rsidP="00AE5C81">
            <w:pPr>
              <w:pStyle w:val="TableText"/>
              <w:jc w:val="right"/>
              <w:rPr>
                <w:i/>
              </w:rPr>
            </w:pPr>
            <w:r w:rsidRPr="00C733C7">
              <w:rPr>
                <w:i/>
              </w:rPr>
              <w:t>$188</w:t>
            </w:r>
          </w:p>
        </w:tc>
        <w:tc>
          <w:tcPr>
            <w:tcW w:w="471" w:type="pct"/>
            <w:tcBorders>
              <w:top w:val="single" w:sz="4" w:space="0" w:color="auto"/>
              <w:left w:val="single" w:sz="4" w:space="0" w:color="auto"/>
              <w:bottom w:val="single" w:sz="4" w:space="0" w:color="auto"/>
              <w:right w:val="single" w:sz="4" w:space="0" w:color="auto"/>
            </w:tcBorders>
          </w:tcPr>
          <w:p w14:paraId="3447CF86" w14:textId="77777777" w:rsidR="00755D58" w:rsidRPr="00C733C7" w:rsidRDefault="00755D58" w:rsidP="00AE5C81">
            <w:pPr>
              <w:pStyle w:val="TableText"/>
              <w:jc w:val="right"/>
              <w:rPr>
                <w:i/>
              </w:rPr>
            </w:pPr>
            <w:r w:rsidRPr="00C733C7">
              <w:rPr>
                <w:i/>
              </w:rPr>
              <w:t>–$830</w:t>
            </w:r>
          </w:p>
        </w:tc>
        <w:tc>
          <w:tcPr>
            <w:tcW w:w="550" w:type="pct"/>
            <w:tcBorders>
              <w:top w:val="single" w:sz="4" w:space="0" w:color="auto"/>
              <w:left w:val="single" w:sz="4" w:space="0" w:color="auto"/>
              <w:bottom w:val="single" w:sz="4" w:space="0" w:color="auto"/>
              <w:right w:val="single" w:sz="4" w:space="0" w:color="auto"/>
            </w:tcBorders>
          </w:tcPr>
          <w:p w14:paraId="41F116F4" w14:textId="77777777" w:rsidR="00755D58" w:rsidRPr="00C733C7" w:rsidRDefault="00755D58" w:rsidP="00AE5C81">
            <w:pPr>
              <w:pStyle w:val="TableText"/>
              <w:jc w:val="right"/>
              <w:rPr>
                <w:i/>
              </w:rPr>
            </w:pPr>
            <w:r w:rsidRPr="00C733C7">
              <w:t>–$82</w:t>
            </w:r>
          </w:p>
        </w:tc>
        <w:tc>
          <w:tcPr>
            <w:tcW w:w="564" w:type="pct"/>
            <w:tcBorders>
              <w:top w:val="single" w:sz="4" w:space="0" w:color="auto"/>
              <w:left w:val="single" w:sz="4" w:space="0" w:color="auto"/>
              <w:bottom w:val="single" w:sz="4" w:space="0" w:color="auto"/>
              <w:right w:val="single" w:sz="4" w:space="0" w:color="auto"/>
            </w:tcBorders>
          </w:tcPr>
          <w:p w14:paraId="590A6F39" w14:textId="77777777" w:rsidR="00755D58" w:rsidRPr="00C733C7" w:rsidRDefault="00755D58" w:rsidP="00AE5C81">
            <w:pPr>
              <w:pStyle w:val="TableText"/>
              <w:jc w:val="right"/>
              <w:rPr>
                <w:i/>
              </w:rPr>
            </w:pPr>
            <w:r w:rsidRPr="00C733C7">
              <w:rPr>
                <w:i/>
              </w:rPr>
              <w:t>–$124</w:t>
            </w:r>
          </w:p>
        </w:tc>
        <w:tc>
          <w:tcPr>
            <w:tcW w:w="491" w:type="pct"/>
            <w:tcBorders>
              <w:top w:val="single" w:sz="4" w:space="0" w:color="auto"/>
              <w:left w:val="single" w:sz="4" w:space="0" w:color="auto"/>
              <w:bottom w:val="single" w:sz="4" w:space="0" w:color="auto"/>
              <w:right w:val="single" w:sz="4" w:space="0" w:color="auto"/>
            </w:tcBorders>
            <w:noWrap/>
          </w:tcPr>
          <w:p w14:paraId="0059BCB8" w14:textId="77777777" w:rsidR="00755D58" w:rsidRPr="00C733C7" w:rsidRDefault="00755D58" w:rsidP="00AE5C81">
            <w:pPr>
              <w:pStyle w:val="TableText"/>
              <w:jc w:val="right"/>
              <w:rPr>
                <w:i/>
              </w:rPr>
            </w:pPr>
            <w:r w:rsidRPr="00C733C7">
              <w:rPr>
                <w:i/>
              </w:rPr>
              <w:t>–$366</w:t>
            </w:r>
          </w:p>
        </w:tc>
        <w:tc>
          <w:tcPr>
            <w:tcW w:w="489" w:type="pct"/>
            <w:tcBorders>
              <w:top w:val="single" w:sz="4" w:space="0" w:color="auto"/>
              <w:left w:val="single" w:sz="4" w:space="0" w:color="auto"/>
              <w:bottom w:val="single" w:sz="4" w:space="0" w:color="auto"/>
              <w:right w:val="single" w:sz="4" w:space="0" w:color="auto"/>
            </w:tcBorders>
          </w:tcPr>
          <w:p w14:paraId="0DA99E9C" w14:textId="77777777" w:rsidR="00755D58" w:rsidRPr="00C733C7" w:rsidRDefault="00755D58" w:rsidP="00AE5C81">
            <w:pPr>
              <w:pStyle w:val="TableText"/>
              <w:jc w:val="right"/>
              <w:rPr>
                <w:i/>
              </w:rPr>
            </w:pPr>
            <w:r w:rsidRPr="00C733C7">
              <w:rPr>
                <w:i/>
              </w:rPr>
              <w:t>–$41</w:t>
            </w:r>
          </w:p>
        </w:tc>
      </w:tr>
      <w:tr w:rsidR="00F042C1" w:rsidRPr="00C733C7" w14:paraId="01A30BD0" w14:textId="77777777" w:rsidTr="005B201F">
        <w:trPr>
          <w:trHeight w:val="326"/>
        </w:trPr>
        <w:tc>
          <w:tcPr>
            <w:tcW w:w="1492" w:type="pct"/>
            <w:tcBorders>
              <w:top w:val="single" w:sz="4" w:space="0" w:color="auto"/>
              <w:left w:val="single" w:sz="4" w:space="0" w:color="auto"/>
              <w:bottom w:val="single" w:sz="4" w:space="0" w:color="auto"/>
              <w:right w:val="single" w:sz="4" w:space="0" w:color="auto"/>
            </w:tcBorders>
            <w:noWrap/>
            <w:vAlign w:val="bottom"/>
          </w:tcPr>
          <w:p w14:paraId="2B48DDB2" w14:textId="77777777" w:rsidR="00755D58" w:rsidRPr="00755D58" w:rsidRDefault="00755D58" w:rsidP="00AE5C81">
            <w:pPr>
              <w:pStyle w:val="TableText"/>
            </w:pPr>
            <w:r w:rsidRPr="00755D58">
              <w:t>Step 2: Step 1 + consumables cost + prostheses costs</w:t>
            </w:r>
          </w:p>
        </w:tc>
        <w:tc>
          <w:tcPr>
            <w:tcW w:w="471" w:type="pct"/>
            <w:tcBorders>
              <w:top w:val="single" w:sz="4" w:space="0" w:color="auto"/>
              <w:left w:val="single" w:sz="4" w:space="0" w:color="auto"/>
              <w:bottom w:val="single" w:sz="4" w:space="0" w:color="auto"/>
              <w:right w:val="single" w:sz="4" w:space="0" w:color="auto"/>
            </w:tcBorders>
          </w:tcPr>
          <w:p w14:paraId="256DB7AE" w14:textId="77777777" w:rsidR="00755D58" w:rsidRPr="00C733C7" w:rsidRDefault="00755D58" w:rsidP="00AE5C81">
            <w:pPr>
              <w:pStyle w:val="TableText"/>
              <w:jc w:val="right"/>
            </w:pPr>
            <w:r w:rsidRPr="00C733C7">
              <w:t>$1,788</w:t>
            </w:r>
          </w:p>
        </w:tc>
        <w:tc>
          <w:tcPr>
            <w:tcW w:w="472" w:type="pct"/>
            <w:tcBorders>
              <w:top w:val="single" w:sz="4" w:space="0" w:color="auto"/>
              <w:left w:val="single" w:sz="4" w:space="0" w:color="auto"/>
              <w:bottom w:val="single" w:sz="4" w:space="0" w:color="auto"/>
              <w:right w:val="single" w:sz="4" w:space="0" w:color="auto"/>
            </w:tcBorders>
          </w:tcPr>
          <w:p w14:paraId="7D2C42A8" w14:textId="77777777" w:rsidR="00755D58" w:rsidRPr="00C733C7" w:rsidRDefault="00755D58" w:rsidP="00AE5C81">
            <w:pPr>
              <w:pStyle w:val="TableText"/>
              <w:jc w:val="right"/>
            </w:pPr>
            <w:r w:rsidRPr="00C733C7">
              <w:t>$2,385</w:t>
            </w:r>
          </w:p>
        </w:tc>
        <w:tc>
          <w:tcPr>
            <w:tcW w:w="471" w:type="pct"/>
            <w:tcBorders>
              <w:top w:val="single" w:sz="4" w:space="0" w:color="auto"/>
              <w:left w:val="single" w:sz="4" w:space="0" w:color="auto"/>
              <w:bottom w:val="single" w:sz="4" w:space="0" w:color="auto"/>
              <w:right w:val="single" w:sz="4" w:space="0" w:color="auto"/>
            </w:tcBorders>
          </w:tcPr>
          <w:p w14:paraId="26062CEE" w14:textId="77777777" w:rsidR="00755D58" w:rsidRPr="00C733C7" w:rsidRDefault="00755D58" w:rsidP="00AE5C81">
            <w:pPr>
              <w:pStyle w:val="TableText"/>
              <w:jc w:val="right"/>
            </w:pPr>
            <w:r w:rsidRPr="00C733C7">
              <w:t>$3,779</w:t>
            </w:r>
          </w:p>
        </w:tc>
        <w:tc>
          <w:tcPr>
            <w:tcW w:w="550" w:type="pct"/>
            <w:tcBorders>
              <w:top w:val="single" w:sz="4" w:space="0" w:color="auto"/>
              <w:left w:val="single" w:sz="4" w:space="0" w:color="auto"/>
              <w:bottom w:val="single" w:sz="4" w:space="0" w:color="auto"/>
              <w:right w:val="single" w:sz="4" w:space="0" w:color="auto"/>
            </w:tcBorders>
          </w:tcPr>
          <w:p w14:paraId="55F670B7" w14:textId="77777777" w:rsidR="00755D58" w:rsidRPr="00C733C7" w:rsidRDefault="00755D58" w:rsidP="00AE5C81">
            <w:pPr>
              <w:pStyle w:val="TableText"/>
              <w:jc w:val="right"/>
            </w:pPr>
            <w:r w:rsidRPr="00C733C7">
              <w:t>$4,527</w:t>
            </w:r>
          </w:p>
        </w:tc>
        <w:tc>
          <w:tcPr>
            <w:tcW w:w="564" w:type="pct"/>
            <w:tcBorders>
              <w:top w:val="single" w:sz="4" w:space="0" w:color="auto"/>
              <w:left w:val="single" w:sz="4" w:space="0" w:color="auto"/>
              <w:bottom w:val="single" w:sz="4" w:space="0" w:color="auto"/>
              <w:right w:val="single" w:sz="4" w:space="0" w:color="auto"/>
            </w:tcBorders>
          </w:tcPr>
          <w:p w14:paraId="6A4EF68B" w14:textId="77777777" w:rsidR="00755D58" w:rsidRPr="00C733C7" w:rsidRDefault="00755D58" w:rsidP="00AE5C81">
            <w:pPr>
              <w:pStyle w:val="TableText"/>
              <w:jc w:val="right"/>
              <w:rPr>
                <w:vertAlign w:val="superscript"/>
              </w:rPr>
            </w:pPr>
            <w:r w:rsidRPr="00C733C7">
              <w:t>$1,252</w:t>
            </w:r>
          </w:p>
        </w:tc>
        <w:tc>
          <w:tcPr>
            <w:tcW w:w="491" w:type="pct"/>
            <w:tcBorders>
              <w:top w:val="single" w:sz="4" w:space="0" w:color="auto"/>
              <w:left w:val="single" w:sz="4" w:space="0" w:color="auto"/>
              <w:bottom w:val="single" w:sz="4" w:space="0" w:color="auto"/>
              <w:right w:val="single" w:sz="4" w:space="0" w:color="auto"/>
            </w:tcBorders>
            <w:noWrap/>
          </w:tcPr>
          <w:p w14:paraId="72551912" w14:textId="51401AB4" w:rsidR="00755D58" w:rsidRPr="005B0CB6" w:rsidRDefault="00755D58" w:rsidP="00AE5C81">
            <w:pPr>
              <w:pStyle w:val="TableText"/>
              <w:jc w:val="right"/>
            </w:pPr>
            <w:r w:rsidRPr="005B0CB6">
              <w:t>$</w:t>
            </w:r>
            <w:r w:rsidR="00CF6AD4" w:rsidRPr="00CF6AD4">
              <w:rPr>
                <w:color w:val="000000"/>
                <w:spacing w:val="106"/>
                <w:shd w:val="solid" w:color="000000" w:fill="000000"/>
                <w:fitText w:val="192" w:id="-1455741434"/>
                <w14:textFill>
                  <w14:solidFill>
                    <w14:srgbClr w14:val="000000">
                      <w14:alpha w14:val="100000"/>
                    </w14:srgbClr>
                  </w14:solidFill>
                </w14:textFill>
              </w:rPr>
              <w:t>|</w:t>
            </w:r>
            <w:r w:rsidR="00CF6AD4" w:rsidRPr="00CF6AD4">
              <w:rPr>
                <w:color w:val="000000"/>
                <w:shd w:val="solid" w:color="000000" w:fill="000000"/>
                <w:fitText w:val="192" w:id="-1455741434"/>
                <w14:textFill>
                  <w14:solidFill>
                    <w14:srgbClr w14:val="000000">
                      <w14:alpha w14:val="100000"/>
                    </w14:srgbClr>
                  </w14:solidFill>
                </w14:textFill>
              </w:rPr>
              <w:t>|</w:t>
            </w:r>
          </w:p>
        </w:tc>
        <w:tc>
          <w:tcPr>
            <w:tcW w:w="489" w:type="pct"/>
            <w:tcBorders>
              <w:top w:val="single" w:sz="4" w:space="0" w:color="auto"/>
              <w:left w:val="single" w:sz="4" w:space="0" w:color="auto"/>
              <w:bottom w:val="single" w:sz="4" w:space="0" w:color="auto"/>
              <w:right w:val="single" w:sz="4" w:space="0" w:color="auto"/>
            </w:tcBorders>
          </w:tcPr>
          <w:p w14:paraId="45AFBAEE" w14:textId="21B891AA" w:rsidR="00755D58" w:rsidRPr="005B0CB6" w:rsidRDefault="00755D58" w:rsidP="00AE5C81">
            <w:pPr>
              <w:pStyle w:val="TableText"/>
              <w:jc w:val="right"/>
            </w:pPr>
            <w:r w:rsidRPr="005B0CB6">
              <w:t>$</w:t>
            </w:r>
            <w:r w:rsidR="00CF6AD4" w:rsidRPr="00CF6AD4">
              <w:rPr>
                <w:color w:val="000000"/>
                <w:spacing w:val="106"/>
                <w:shd w:val="solid" w:color="000000" w:fill="000000"/>
                <w:fitText w:val="192" w:id="-1455741433"/>
                <w14:textFill>
                  <w14:solidFill>
                    <w14:srgbClr w14:val="000000">
                      <w14:alpha w14:val="100000"/>
                    </w14:srgbClr>
                  </w14:solidFill>
                </w14:textFill>
              </w:rPr>
              <w:t>|</w:t>
            </w:r>
            <w:r w:rsidR="00CF6AD4" w:rsidRPr="00CF6AD4">
              <w:rPr>
                <w:color w:val="000000"/>
                <w:shd w:val="solid" w:color="000000" w:fill="000000"/>
                <w:fitText w:val="192" w:id="-1455741433"/>
                <w14:textFill>
                  <w14:solidFill>
                    <w14:srgbClr w14:val="000000">
                      <w14:alpha w14:val="100000"/>
                    </w14:srgbClr>
                  </w14:solidFill>
                </w14:textFill>
              </w:rPr>
              <w:t>|</w:t>
            </w:r>
          </w:p>
        </w:tc>
      </w:tr>
      <w:tr w:rsidR="00F042C1" w:rsidRPr="00C733C7" w14:paraId="1742D539" w14:textId="77777777" w:rsidTr="005B201F">
        <w:trPr>
          <w:trHeight w:val="326"/>
        </w:trPr>
        <w:tc>
          <w:tcPr>
            <w:tcW w:w="1492" w:type="pct"/>
            <w:tcBorders>
              <w:top w:val="single" w:sz="4" w:space="0" w:color="auto"/>
              <w:left w:val="single" w:sz="4" w:space="0" w:color="auto"/>
              <w:bottom w:val="single" w:sz="4" w:space="0" w:color="auto"/>
              <w:right w:val="single" w:sz="4" w:space="0" w:color="auto"/>
            </w:tcBorders>
            <w:noWrap/>
            <w:vAlign w:val="bottom"/>
          </w:tcPr>
          <w:p w14:paraId="6708EBC0" w14:textId="77777777" w:rsidR="00755D58" w:rsidRPr="00755D58" w:rsidRDefault="00755D58" w:rsidP="00AE5C81">
            <w:pPr>
              <w:pStyle w:val="TableText"/>
              <w:rPr>
                <w:i/>
              </w:rPr>
            </w:pPr>
            <w:r w:rsidRPr="00755D58">
              <w:rPr>
                <w:i/>
              </w:rPr>
              <w:t>Incremental cost</w:t>
            </w:r>
          </w:p>
        </w:tc>
        <w:tc>
          <w:tcPr>
            <w:tcW w:w="471" w:type="pct"/>
            <w:tcBorders>
              <w:top w:val="single" w:sz="4" w:space="0" w:color="auto"/>
              <w:left w:val="single" w:sz="4" w:space="0" w:color="auto"/>
              <w:bottom w:val="single" w:sz="4" w:space="0" w:color="auto"/>
              <w:right w:val="single" w:sz="4" w:space="0" w:color="auto"/>
            </w:tcBorders>
          </w:tcPr>
          <w:p w14:paraId="5C48FFA3" w14:textId="77777777" w:rsidR="00755D58" w:rsidRPr="00C733C7" w:rsidRDefault="00755D58" w:rsidP="00AE5C81">
            <w:pPr>
              <w:pStyle w:val="TableText"/>
              <w:jc w:val="right"/>
              <w:rPr>
                <w:i/>
              </w:rPr>
            </w:pPr>
          </w:p>
        </w:tc>
        <w:tc>
          <w:tcPr>
            <w:tcW w:w="472" w:type="pct"/>
            <w:tcBorders>
              <w:top w:val="single" w:sz="4" w:space="0" w:color="auto"/>
              <w:left w:val="single" w:sz="4" w:space="0" w:color="auto"/>
              <w:bottom w:val="single" w:sz="4" w:space="0" w:color="auto"/>
              <w:right w:val="single" w:sz="4" w:space="0" w:color="auto"/>
            </w:tcBorders>
          </w:tcPr>
          <w:p w14:paraId="7784022D" w14:textId="77777777" w:rsidR="00755D58" w:rsidRPr="00C733C7" w:rsidRDefault="00755D58" w:rsidP="00AE5C81">
            <w:pPr>
              <w:pStyle w:val="TableText"/>
              <w:jc w:val="right"/>
              <w:rPr>
                <w:i/>
              </w:rPr>
            </w:pPr>
            <w:r w:rsidRPr="00C733C7">
              <w:rPr>
                <w:i/>
              </w:rPr>
              <w:t>$597</w:t>
            </w:r>
          </w:p>
        </w:tc>
        <w:tc>
          <w:tcPr>
            <w:tcW w:w="471" w:type="pct"/>
            <w:tcBorders>
              <w:top w:val="single" w:sz="4" w:space="0" w:color="auto"/>
              <w:left w:val="single" w:sz="4" w:space="0" w:color="auto"/>
              <w:bottom w:val="single" w:sz="4" w:space="0" w:color="auto"/>
              <w:right w:val="single" w:sz="4" w:space="0" w:color="auto"/>
            </w:tcBorders>
          </w:tcPr>
          <w:p w14:paraId="1E54831E" w14:textId="77777777" w:rsidR="00755D58" w:rsidRPr="00C733C7" w:rsidRDefault="00755D58" w:rsidP="00AE5C81">
            <w:pPr>
              <w:pStyle w:val="TableText"/>
              <w:jc w:val="right"/>
              <w:rPr>
                <w:i/>
              </w:rPr>
            </w:pPr>
            <w:r w:rsidRPr="00C733C7">
              <w:rPr>
                <w:i/>
              </w:rPr>
              <w:t>$1,992</w:t>
            </w:r>
          </w:p>
        </w:tc>
        <w:tc>
          <w:tcPr>
            <w:tcW w:w="550" w:type="pct"/>
            <w:tcBorders>
              <w:top w:val="single" w:sz="4" w:space="0" w:color="auto"/>
              <w:left w:val="single" w:sz="4" w:space="0" w:color="auto"/>
              <w:bottom w:val="single" w:sz="4" w:space="0" w:color="auto"/>
              <w:right w:val="single" w:sz="4" w:space="0" w:color="auto"/>
            </w:tcBorders>
          </w:tcPr>
          <w:p w14:paraId="2B36D8A9" w14:textId="77777777" w:rsidR="00755D58" w:rsidRPr="00C733C7" w:rsidRDefault="00755D58" w:rsidP="00AE5C81">
            <w:pPr>
              <w:pStyle w:val="TableText"/>
              <w:jc w:val="right"/>
              <w:rPr>
                <w:i/>
              </w:rPr>
            </w:pPr>
            <w:r w:rsidRPr="00C733C7">
              <w:rPr>
                <w:i/>
              </w:rPr>
              <w:t>$2,739</w:t>
            </w:r>
          </w:p>
        </w:tc>
        <w:tc>
          <w:tcPr>
            <w:tcW w:w="564" w:type="pct"/>
            <w:tcBorders>
              <w:top w:val="single" w:sz="4" w:space="0" w:color="auto"/>
              <w:left w:val="single" w:sz="4" w:space="0" w:color="auto"/>
              <w:bottom w:val="single" w:sz="4" w:space="0" w:color="auto"/>
              <w:right w:val="single" w:sz="4" w:space="0" w:color="auto"/>
            </w:tcBorders>
          </w:tcPr>
          <w:p w14:paraId="72229F29" w14:textId="77777777" w:rsidR="00755D58" w:rsidRPr="00C733C7" w:rsidRDefault="00755D58" w:rsidP="00AE5C81">
            <w:pPr>
              <w:pStyle w:val="TableText"/>
              <w:jc w:val="right"/>
              <w:rPr>
                <w:i/>
              </w:rPr>
            </w:pPr>
            <w:r w:rsidRPr="00C733C7">
              <w:rPr>
                <w:i/>
              </w:rPr>
              <w:t xml:space="preserve">–$535 </w:t>
            </w:r>
            <w:r w:rsidRPr="00C733C7">
              <w:rPr>
                <w:i/>
                <w:vertAlign w:val="superscript"/>
              </w:rPr>
              <w:t>2</w:t>
            </w:r>
          </w:p>
        </w:tc>
        <w:tc>
          <w:tcPr>
            <w:tcW w:w="491" w:type="pct"/>
            <w:tcBorders>
              <w:top w:val="single" w:sz="4" w:space="0" w:color="auto"/>
              <w:left w:val="single" w:sz="4" w:space="0" w:color="auto"/>
              <w:bottom w:val="single" w:sz="4" w:space="0" w:color="auto"/>
              <w:right w:val="single" w:sz="4" w:space="0" w:color="auto"/>
            </w:tcBorders>
            <w:noWrap/>
          </w:tcPr>
          <w:p w14:paraId="3540EAF2" w14:textId="1ABA118D" w:rsidR="00755D58" w:rsidRPr="005B0CB6" w:rsidRDefault="00755D58" w:rsidP="00AE5C81">
            <w:pPr>
              <w:pStyle w:val="TableText"/>
              <w:jc w:val="right"/>
              <w:rPr>
                <w:i/>
              </w:rPr>
            </w:pPr>
            <w:r w:rsidRPr="005B0CB6">
              <w:rPr>
                <w:i/>
              </w:rPr>
              <w:t>$</w:t>
            </w:r>
            <w:r w:rsidR="00CF6AD4" w:rsidRPr="00CF6AD4">
              <w:rPr>
                <w:i/>
                <w:color w:val="000000"/>
                <w:spacing w:val="106"/>
                <w:shd w:val="solid" w:color="000000" w:fill="000000"/>
                <w:fitText w:val="192" w:id="-1455741432"/>
                <w14:textFill>
                  <w14:solidFill>
                    <w14:srgbClr w14:val="000000">
                      <w14:alpha w14:val="100000"/>
                    </w14:srgbClr>
                  </w14:solidFill>
                </w14:textFill>
              </w:rPr>
              <w:t>|</w:t>
            </w:r>
            <w:r w:rsidR="00CF6AD4" w:rsidRPr="00CF6AD4">
              <w:rPr>
                <w:i/>
                <w:color w:val="000000"/>
                <w:shd w:val="solid" w:color="000000" w:fill="000000"/>
                <w:fitText w:val="192" w:id="-1455741432"/>
                <w14:textFill>
                  <w14:solidFill>
                    <w14:srgbClr w14:val="000000">
                      <w14:alpha w14:val="100000"/>
                    </w14:srgbClr>
                  </w14:solidFill>
                </w14:textFill>
              </w:rPr>
              <w:t>|</w:t>
            </w:r>
          </w:p>
        </w:tc>
        <w:tc>
          <w:tcPr>
            <w:tcW w:w="489" w:type="pct"/>
            <w:tcBorders>
              <w:top w:val="single" w:sz="4" w:space="0" w:color="auto"/>
              <w:left w:val="single" w:sz="4" w:space="0" w:color="auto"/>
              <w:bottom w:val="single" w:sz="4" w:space="0" w:color="auto"/>
              <w:right w:val="single" w:sz="4" w:space="0" w:color="auto"/>
            </w:tcBorders>
          </w:tcPr>
          <w:p w14:paraId="168213EB" w14:textId="478983F1" w:rsidR="00755D58" w:rsidRPr="005B0CB6" w:rsidRDefault="00755D58" w:rsidP="00AE5C81">
            <w:pPr>
              <w:pStyle w:val="TableText"/>
              <w:jc w:val="right"/>
              <w:rPr>
                <w:i/>
              </w:rPr>
            </w:pPr>
            <w:r w:rsidRPr="005B0CB6">
              <w:rPr>
                <w:i/>
              </w:rPr>
              <w:t>$</w:t>
            </w:r>
            <w:r w:rsidR="00CF6AD4" w:rsidRPr="00CF6AD4">
              <w:rPr>
                <w:i/>
                <w:color w:val="000000"/>
                <w:spacing w:val="106"/>
                <w:shd w:val="solid" w:color="000000" w:fill="000000"/>
                <w:fitText w:val="192" w:id="-1455741431"/>
                <w14:textFill>
                  <w14:solidFill>
                    <w14:srgbClr w14:val="000000">
                      <w14:alpha w14:val="100000"/>
                    </w14:srgbClr>
                  </w14:solidFill>
                </w14:textFill>
              </w:rPr>
              <w:t>|</w:t>
            </w:r>
            <w:r w:rsidR="00CF6AD4" w:rsidRPr="00CF6AD4">
              <w:rPr>
                <w:i/>
                <w:color w:val="000000"/>
                <w:shd w:val="solid" w:color="000000" w:fill="000000"/>
                <w:fitText w:val="192" w:id="-1455741431"/>
                <w14:textFill>
                  <w14:solidFill>
                    <w14:srgbClr w14:val="000000">
                      <w14:alpha w14:val="100000"/>
                    </w14:srgbClr>
                  </w14:solidFill>
                </w14:textFill>
              </w:rPr>
              <w:t>|</w:t>
            </w:r>
          </w:p>
        </w:tc>
      </w:tr>
      <w:tr w:rsidR="00F042C1" w:rsidRPr="00C733C7" w14:paraId="32371556" w14:textId="77777777" w:rsidTr="005B201F">
        <w:trPr>
          <w:trHeight w:val="326"/>
        </w:trPr>
        <w:tc>
          <w:tcPr>
            <w:tcW w:w="1492" w:type="pct"/>
            <w:tcBorders>
              <w:top w:val="single" w:sz="4" w:space="0" w:color="auto"/>
              <w:left w:val="single" w:sz="4" w:space="0" w:color="auto"/>
              <w:bottom w:val="single" w:sz="4" w:space="0" w:color="auto"/>
              <w:right w:val="single" w:sz="4" w:space="0" w:color="auto"/>
            </w:tcBorders>
            <w:noWrap/>
            <w:vAlign w:val="bottom"/>
          </w:tcPr>
          <w:p w14:paraId="79FA9DAE" w14:textId="77777777" w:rsidR="00755D58" w:rsidRPr="00C733C7" w:rsidRDefault="00755D58" w:rsidP="00AE5C81">
            <w:pPr>
              <w:pStyle w:val="TableText"/>
            </w:pPr>
            <w:r w:rsidRPr="00755D58">
              <w:t>Step 3:</w:t>
            </w:r>
            <w:r w:rsidRPr="00C733C7">
              <w:t xml:space="preserve"> Step 2 + Hospital </w:t>
            </w:r>
            <w:proofErr w:type="gramStart"/>
            <w:r w:rsidRPr="00C733C7">
              <w:t>stay</w:t>
            </w:r>
            <w:proofErr w:type="gramEnd"/>
          </w:p>
        </w:tc>
        <w:tc>
          <w:tcPr>
            <w:tcW w:w="471" w:type="pct"/>
            <w:tcBorders>
              <w:top w:val="single" w:sz="4" w:space="0" w:color="auto"/>
              <w:left w:val="single" w:sz="4" w:space="0" w:color="auto"/>
              <w:bottom w:val="single" w:sz="4" w:space="0" w:color="auto"/>
              <w:right w:val="single" w:sz="4" w:space="0" w:color="auto"/>
            </w:tcBorders>
          </w:tcPr>
          <w:p w14:paraId="1E802256" w14:textId="77777777" w:rsidR="00755D58" w:rsidRPr="00C733C7" w:rsidRDefault="00755D58" w:rsidP="00AE5C81">
            <w:pPr>
              <w:pStyle w:val="TableText"/>
              <w:jc w:val="right"/>
            </w:pPr>
            <w:r w:rsidRPr="00C733C7">
              <w:t>$6,389</w:t>
            </w:r>
          </w:p>
        </w:tc>
        <w:tc>
          <w:tcPr>
            <w:tcW w:w="472" w:type="pct"/>
            <w:tcBorders>
              <w:top w:val="single" w:sz="4" w:space="0" w:color="auto"/>
              <w:left w:val="single" w:sz="4" w:space="0" w:color="auto"/>
              <w:bottom w:val="single" w:sz="4" w:space="0" w:color="auto"/>
              <w:right w:val="single" w:sz="4" w:space="0" w:color="auto"/>
            </w:tcBorders>
          </w:tcPr>
          <w:p w14:paraId="34B1F61D" w14:textId="77777777" w:rsidR="00755D58" w:rsidRPr="00C733C7" w:rsidRDefault="00755D58" w:rsidP="00AE5C81">
            <w:pPr>
              <w:pStyle w:val="TableText"/>
              <w:jc w:val="right"/>
            </w:pPr>
            <w:r w:rsidRPr="00C733C7">
              <w:t>$5,026</w:t>
            </w:r>
          </w:p>
        </w:tc>
        <w:tc>
          <w:tcPr>
            <w:tcW w:w="471" w:type="pct"/>
            <w:tcBorders>
              <w:top w:val="single" w:sz="4" w:space="0" w:color="auto"/>
              <w:left w:val="single" w:sz="4" w:space="0" w:color="auto"/>
              <w:bottom w:val="single" w:sz="4" w:space="0" w:color="auto"/>
              <w:right w:val="single" w:sz="4" w:space="0" w:color="auto"/>
            </w:tcBorders>
          </w:tcPr>
          <w:p w14:paraId="2A3B8B35" w14:textId="77777777" w:rsidR="00755D58" w:rsidRPr="00C733C7" w:rsidRDefault="00755D58" w:rsidP="00AE5C81">
            <w:pPr>
              <w:pStyle w:val="TableText"/>
              <w:jc w:val="right"/>
              <w:rPr>
                <w:highlight w:val="green"/>
              </w:rPr>
            </w:pPr>
            <w:r w:rsidRPr="00C733C7">
              <w:t>$5,498</w:t>
            </w:r>
          </w:p>
        </w:tc>
        <w:tc>
          <w:tcPr>
            <w:tcW w:w="550" w:type="pct"/>
            <w:tcBorders>
              <w:top w:val="single" w:sz="4" w:space="0" w:color="auto"/>
              <w:left w:val="single" w:sz="4" w:space="0" w:color="auto"/>
              <w:bottom w:val="single" w:sz="4" w:space="0" w:color="auto"/>
              <w:right w:val="single" w:sz="4" w:space="0" w:color="auto"/>
            </w:tcBorders>
          </w:tcPr>
          <w:p w14:paraId="49582D78" w14:textId="77777777" w:rsidR="00755D58" w:rsidRPr="00C733C7" w:rsidRDefault="00755D58" w:rsidP="00AE5C81">
            <w:pPr>
              <w:pStyle w:val="TableText"/>
              <w:jc w:val="right"/>
            </w:pPr>
            <w:r w:rsidRPr="00C733C7">
              <w:t>$6,246</w:t>
            </w:r>
          </w:p>
        </w:tc>
        <w:tc>
          <w:tcPr>
            <w:tcW w:w="564" w:type="pct"/>
            <w:tcBorders>
              <w:top w:val="single" w:sz="4" w:space="0" w:color="auto"/>
              <w:left w:val="single" w:sz="4" w:space="0" w:color="auto"/>
              <w:bottom w:val="single" w:sz="4" w:space="0" w:color="auto"/>
              <w:right w:val="single" w:sz="4" w:space="0" w:color="auto"/>
            </w:tcBorders>
          </w:tcPr>
          <w:p w14:paraId="56D53DCB" w14:textId="77777777" w:rsidR="00755D58" w:rsidRPr="00C733C7" w:rsidRDefault="00755D58" w:rsidP="00AE5C81">
            <w:pPr>
              <w:pStyle w:val="TableText"/>
              <w:jc w:val="right"/>
              <w:rPr>
                <w:highlight w:val="green"/>
              </w:rPr>
            </w:pPr>
            <w:r w:rsidRPr="00C733C7">
              <w:t>$4,876</w:t>
            </w:r>
          </w:p>
        </w:tc>
        <w:tc>
          <w:tcPr>
            <w:tcW w:w="491" w:type="pct"/>
            <w:tcBorders>
              <w:top w:val="single" w:sz="4" w:space="0" w:color="auto"/>
              <w:left w:val="single" w:sz="4" w:space="0" w:color="auto"/>
              <w:bottom w:val="single" w:sz="4" w:space="0" w:color="auto"/>
              <w:right w:val="single" w:sz="4" w:space="0" w:color="auto"/>
            </w:tcBorders>
            <w:noWrap/>
          </w:tcPr>
          <w:p w14:paraId="4DB06F7C" w14:textId="04E017C0" w:rsidR="00755D58" w:rsidRPr="005B0CB6" w:rsidRDefault="00755D58" w:rsidP="00AE5C81">
            <w:pPr>
              <w:pStyle w:val="TableText"/>
              <w:jc w:val="right"/>
            </w:pPr>
            <w:r w:rsidRPr="005B0CB6">
              <w:t>$</w:t>
            </w:r>
            <w:r w:rsidR="00CF6AD4" w:rsidRPr="00CF6AD4">
              <w:rPr>
                <w:color w:val="000000"/>
                <w:spacing w:val="106"/>
                <w:shd w:val="solid" w:color="000000" w:fill="000000"/>
                <w:fitText w:val="192" w:id="-1455741430"/>
                <w14:textFill>
                  <w14:solidFill>
                    <w14:srgbClr w14:val="000000">
                      <w14:alpha w14:val="100000"/>
                    </w14:srgbClr>
                  </w14:solidFill>
                </w14:textFill>
              </w:rPr>
              <w:t>|</w:t>
            </w:r>
            <w:r w:rsidR="00CF6AD4" w:rsidRPr="00CF6AD4">
              <w:rPr>
                <w:color w:val="000000"/>
                <w:shd w:val="solid" w:color="000000" w:fill="000000"/>
                <w:fitText w:val="192" w:id="-1455741430"/>
                <w14:textFill>
                  <w14:solidFill>
                    <w14:srgbClr w14:val="000000">
                      <w14:alpha w14:val="100000"/>
                    </w14:srgbClr>
                  </w14:solidFill>
                </w14:textFill>
              </w:rPr>
              <w:t>|</w:t>
            </w:r>
          </w:p>
        </w:tc>
        <w:tc>
          <w:tcPr>
            <w:tcW w:w="489" w:type="pct"/>
            <w:tcBorders>
              <w:top w:val="single" w:sz="4" w:space="0" w:color="auto"/>
              <w:left w:val="single" w:sz="4" w:space="0" w:color="auto"/>
              <w:bottom w:val="single" w:sz="4" w:space="0" w:color="auto"/>
              <w:right w:val="single" w:sz="4" w:space="0" w:color="auto"/>
            </w:tcBorders>
          </w:tcPr>
          <w:p w14:paraId="04B1C09E" w14:textId="4CEADE7E" w:rsidR="00755D58" w:rsidRPr="005B0CB6" w:rsidRDefault="00755D58" w:rsidP="00AE5C81">
            <w:pPr>
              <w:pStyle w:val="TableText"/>
              <w:jc w:val="right"/>
            </w:pPr>
            <w:r w:rsidRPr="005B0CB6">
              <w:t>$</w:t>
            </w:r>
            <w:r w:rsidR="00CF6AD4" w:rsidRPr="00CF6AD4">
              <w:rPr>
                <w:color w:val="000000"/>
                <w:spacing w:val="106"/>
                <w:shd w:val="solid" w:color="000000" w:fill="000000"/>
                <w:fitText w:val="192" w:id="-1455741429"/>
                <w14:textFill>
                  <w14:solidFill>
                    <w14:srgbClr w14:val="000000">
                      <w14:alpha w14:val="100000"/>
                    </w14:srgbClr>
                  </w14:solidFill>
                </w14:textFill>
              </w:rPr>
              <w:t>|</w:t>
            </w:r>
            <w:r w:rsidR="00CF6AD4" w:rsidRPr="00CF6AD4">
              <w:rPr>
                <w:color w:val="000000"/>
                <w:shd w:val="solid" w:color="000000" w:fill="000000"/>
                <w:fitText w:val="192" w:id="-1455741429"/>
                <w14:textFill>
                  <w14:solidFill>
                    <w14:srgbClr w14:val="000000">
                      <w14:alpha w14:val="100000"/>
                    </w14:srgbClr>
                  </w14:solidFill>
                </w14:textFill>
              </w:rPr>
              <w:t>|</w:t>
            </w:r>
          </w:p>
        </w:tc>
      </w:tr>
      <w:tr w:rsidR="00F042C1" w:rsidRPr="00C733C7" w14:paraId="564E046B" w14:textId="77777777" w:rsidTr="005B201F">
        <w:trPr>
          <w:trHeight w:val="326"/>
        </w:trPr>
        <w:tc>
          <w:tcPr>
            <w:tcW w:w="1492" w:type="pct"/>
            <w:tcBorders>
              <w:top w:val="single" w:sz="4" w:space="0" w:color="auto"/>
              <w:left w:val="single" w:sz="4" w:space="0" w:color="auto"/>
              <w:bottom w:val="single" w:sz="4" w:space="0" w:color="auto"/>
              <w:right w:val="single" w:sz="4" w:space="0" w:color="auto"/>
            </w:tcBorders>
            <w:noWrap/>
            <w:vAlign w:val="bottom"/>
          </w:tcPr>
          <w:p w14:paraId="063A56F8" w14:textId="77777777" w:rsidR="00755D58" w:rsidRPr="00C733C7" w:rsidRDefault="00755D58" w:rsidP="00AE5C81">
            <w:pPr>
              <w:pStyle w:val="TableText"/>
              <w:rPr>
                <w:i/>
              </w:rPr>
            </w:pPr>
            <w:r w:rsidRPr="00755D58">
              <w:rPr>
                <w:i/>
              </w:rPr>
              <w:t>Incremental cost</w:t>
            </w:r>
          </w:p>
        </w:tc>
        <w:tc>
          <w:tcPr>
            <w:tcW w:w="471" w:type="pct"/>
            <w:tcBorders>
              <w:top w:val="single" w:sz="4" w:space="0" w:color="auto"/>
              <w:left w:val="single" w:sz="4" w:space="0" w:color="auto"/>
              <w:bottom w:val="single" w:sz="4" w:space="0" w:color="auto"/>
              <w:right w:val="single" w:sz="4" w:space="0" w:color="auto"/>
            </w:tcBorders>
          </w:tcPr>
          <w:p w14:paraId="07270997" w14:textId="77777777" w:rsidR="00755D58" w:rsidRPr="00C733C7" w:rsidRDefault="00755D58" w:rsidP="00AE5C81">
            <w:pPr>
              <w:pStyle w:val="TableText"/>
              <w:jc w:val="right"/>
              <w:rPr>
                <w:i/>
              </w:rPr>
            </w:pPr>
          </w:p>
        </w:tc>
        <w:tc>
          <w:tcPr>
            <w:tcW w:w="472" w:type="pct"/>
            <w:tcBorders>
              <w:top w:val="single" w:sz="4" w:space="0" w:color="auto"/>
              <w:left w:val="single" w:sz="4" w:space="0" w:color="auto"/>
              <w:bottom w:val="single" w:sz="4" w:space="0" w:color="auto"/>
              <w:right w:val="single" w:sz="4" w:space="0" w:color="auto"/>
            </w:tcBorders>
          </w:tcPr>
          <w:p w14:paraId="7FA7A0BF" w14:textId="77777777" w:rsidR="00755D58" w:rsidRPr="00C733C7" w:rsidRDefault="00755D58" w:rsidP="00AE5C81">
            <w:pPr>
              <w:pStyle w:val="TableText"/>
              <w:jc w:val="right"/>
              <w:rPr>
                <w:i/>
              </w:rPr>
            </w:pPr>
            <w:r w:rsidRPr="00C733C7">
              <w:t>–$1,364</w:t>
            </w:r>
          </w:p>
        </w:tc>
        <w:tc>
          <w:tcPr>
            <w:tcW w:w="471" w:type="pct"/>
            <w:tcBorders>
              <w:top w:val="single" w:sz="4" w:space="0" w:color="auto"/>
              <w:left w:val="single" w:sz="4" w:space="0" w:color="auto"/>
              <w:bottom w:val="single" w:sz="4" w:space="0" w:color="auto"/>
              <w:right w:val="single" w:sz="4" w:space="0" w:color="auto"/>
            </w:tcBorders>
          </w:tcPr>
          <w:p w14:paraId="5CCEB6BF" w14:textId="77777777" w:rsidR="00755D58" w:rsidRPr="00C733C7" w:rsidRDefault="00755D58" w:rsidP="00AE5C81">
            <w:pPr>
              <w:pStyle w:val="TableText"/>
              <w:jc w:val="right"/>
              <w:rPr>
                <w:i/>
                <w:highlight w:val="green"/>
              </w:rPr>
            </w:pPr>
            <w:r w:rsidRPr="00C733C7">
              <w:t>–$891</w:t>
            </w:r>
          </w:p>
        </w:tc>
        <w:tc>
          <w:tcPr>
            <w:tcW w:w="550" w:type="pct"/>
            <w:tcBorders>
              <w:top w:val="single" w:sz="4" w:space="0" w:color="auto"/>
              <w:left w:val="single" w:sz="4" w:space="0" w:color="auto"/>
              <w:bottom w:val="single" w:sz="4" w:space="0" w:color="auto"/>
              <w:right w:val="single" w:sz="4" w:space="0" w:color="auto"/>
            </w:tcBorders>
          </w:tcPr>
          <w:p w14:paraId="0145A4DE" w14:textId="77777777" w:rsidR="00755D58" w:rsidRPr="00C733C7" w:rsidRDefault="00755D58" w:rsidP="00AE5C81">
            <w:pPr>
              <w:pStyle w:val="TableText"/>
              <w:jc w:val="right"/>
              <w:rPr>
                <w:i/>
              </w:rPr>
            </w:pPr>
            <w:r w:rsidRPr="00C733C7">
              <w:t>–$143</w:t>
            </w:r>
          </w:p>
        </w:tc>
        <w:tc>
          <w:tcPr>
            <w:tcW w:w="564" w:type="pct"/>
            <w:tcBorders>
              <w:top w:val="single" w:sz="4" w:space="0" w:color="auto"/>
              <w:left w:val="single" w:sz="4" w:space="0" w:color="auto"/>
              <w:bottom w:val="single" w:sz="4" w:space="0" w:color="auto"/>
              <w:right w:val="single" w:sz="4" w:space="0" w:color="auto"/>
            </w:tcBorders>
          </w:tcPr>
          <w:p w14:paraId="67D28634" w14:textId="77777777" w:rsidR="00755D58" w:rsidRPr="00C733C7" w:rsidRDefault="00755D58" w:rsidP="00AE5C81">
            <w:pPr>
              <w:pStyle w:val="TableText"/>
              <w:jc w:val="right"/>
              <w:rPr>
                <w:i/>
                <w:highlight w:val="green"/>
              </w:rPr>
            </w:pPr>
            <w:r w:rsidRPr="00C733C7">
              <w:rPr>
                <w:i/>
              </w:rPr>
              <w:t>–$1,565</w:t>
            </w:r>
          </w:p>
        </w:tc>
        <w:tc>
          <w:tcPr>
            <w:tcW w:w="491" w:type="pct"/>
            <w:tcBorders>
              <w:top w:val="single" w:sz="4" w:space="0" w:color="auto"/>
              <w:left w:val="single" w:sz="4" w:space="0" w:color="auto"/>
              <w:bottom w:val="single" w:sz="4" w:space="0" w:color="auto"/>
              <w:right w:val="single" w:sz="4" w:space="0" w:color="auto"/>
            </w:tcBorders>
            <w:noWrap/>
          </w:tcPr>
          <w:p w14:paraId="12736385" w14:textId="3DB4C800" w:rsidR="00755D58" w:rsidRPr="005B0CB6" w:rsidRDefault="00755D58" w:rsidP="00AE5C81">
            <w:pPr>
              <w:pStyle w:val="TableText"/>
              <w:jc w:val="right"/>
              <w:rPr>
                <w:i/>
              </w:rPr>
            </w:pPr>
            <w:r w:rsidRPr="005B0CB6">
              <w:rPr>
                <w:i/>
              </w:rPr>
              <w:t>–$</w:t>
            </w:r>
            <w:r w:rsidR="00CF6AD4" w:rsidRPr="00CF6AD4">
              <w:rPr>
                <w:i/>
                <w:color w:val="000000"/>
                <w:spacing w:val="190"/>
                <w:shd w:val="solid" w:color="000000" w:fill="000000"/>
                <w:fitText w:val="283" w:id="-1455741428"/>
                <w14:textFill>
                  <w14:solidFill>
                    <w14:srgbClr w14:val="000000">
                      <w14:alpha w14:val="100000"/>
                    </w14:srgbClr>
                  </w14:solidFill>
                </w14:textFill>
              </w:rPr>
              <w:t>|</w:t>
            </w:r>
            <w:r w:rsidR="00CF6AD4" w:rsidRPr="00CF6AD4">
              <w:rPr>
                <w:i/>
                <w:color w:val="000000"/>
                <w:shd w:val="solid" w:color="000000" w:fill="000000"/>
                <w:fitText w:val="283" w:id="-1455741428"/>
                <w14:textFill>
                  <w14:solidFill>
                    <w14:srgbClr w14:val="000000">
                      <w14:alpha w14:val="100000"/>
                    </w14:srgbClr>
                  </w14:solidFill>
                </w14:textFill>
              </w:rPr>
              <w:t>|</w:t>
            </w:r>
          </w:p>
        </w:tc>
        <w:tc>
          <w:tcPr>
            <w:tcW w:w="489" w:type="pct"/>
            <w:tcBorders>
              <w:top w:val="single" w:sz="4" w:space="0" w:color="auto"/>
              <w:left w:val="single" w:sz="4" w:space="0" w:color="auto"/>
              <w:bottom w:val="single" w:sz="4" w:space="0" w:color="auto"/>
              <w:right w:val="single" w:sz="4" w:space="0" w:color="auto"/>
            </w:tcBorders>
          </w:tcPr>
          <w:p w14:paraId="6FBD9019" w14:textId="3D6A4688" w:rsidR="00755D58" w:rsidRPr="005B0CB6" w:rsidRDefault="00755D58" w:rsidP="00AE5C81">
            <w:pPr>
              <w:pStyle w:val="TableText"/>
              <w:jc w:val="right"/>
              <w:rPr>
                <w:i/>
              </w:rPr>
            </w:pPr>
            <w:r w:rsidRPr="005B0CB6">
              <w:rPr>
                <w:i/>
              </w:rPr>
              <w:t>–$</w:t>
            </w:r>
            <w:r w:rsidR="00CF6AD4" w:rsidRPr="00CF6AD4">
              <w:rPr>
                <w:i/>
                <w:color w:val="000000"/>
                <w:spacing w:val="190"/>
                <w:shd w:val="solid" w:color="000000" w:fill="000000"/>
                <w:fitText w:val="283" w:id="-1455741427"/>
                <w14:textFill>
                  <w14:solidFill>
                    <w14:srgbClr w14:val="000000">
                      <w14:alpha w14:val="100000"/>
                    </w14:srgbClr>
                  </w14:solidFill>
                </w14:textFill>
              </w:rPr>
              <w:t>|</w:t>
            </w:r>
            <w:r w:rsidR="00CF6AD4" w:rsidRPr="00CF6AD4">
              <w:rPr>
                <w:i/>
                <w:color w:val="000000"/>
                <w:shd w:val="solid" w:color="000000" w:fill="000000"/>
                <w:fitText w:val="283" w:id="-1455741427"/>
                <w14:textFill>
                  <w14:solidFill>
                    <w14:srgbClr w14:val="000000">
                      <w14:alpha w14:val="100000"/>
                    </w14:srgbClr>
                  </w14:solidFill>
                </w14:textFill>
              </w:rPr>
              <w:t>|</w:t>
            </w:r>
          </w:p>
        </w:tc>
      </w:tr>
      <w:tr w:rsidR="00F042C1" w:rsidRPr="00C733C7" w14:paraId="6C6FFDDA" w14:textId="77777777" w:rsidTr="005B201F">
        <w:trPr>
          <w:trHeight w:val="326"/>
        </w:trPr>
        <w:tc>
          <w:tcPr>
            <w:tcW w:w="1492" w:type="pct"/>
            <w:tcBorders>
              <w:top w:val="single" w:sz="4" w:space="0" w:color="auto"/>
              <w:left w:val="single" w:sz="4" w:space="0" w:color="auto"/>
              <w:bottom w:val="single" w:sz="4" w:space="0" w:color="auto"/>
              <w:right w:val="single" w:sz="4" w:space="0" w:color="auto"/>
            </w:tcBorders>
            <w:noWrap/>
            <w:vAlign w:val="bottom"/>
          </w:tcPr>
          <w:p w14:paraId="0A0C6819" w14:textId="77777777" w:rsidR="00755D58" w:rsidRPr="00755D58" w:rsidRDefault="00755D58" w:rsidP="00AE5C81">
            <w:pPr>
              <w:pStyle w:val="TableText"/>
            </w:pPr>
            <w:r w:rsidRPr="00755D58">
              <w:t>Step 4: Step 3 + Capital costs</w:t>
            </w:r>
          </w:p>
        </w:tc>
        <w:tc>
          <w:tcPr>
            <w:tcW w:w="471" w:type="pct"/>
            <w:tcBorders>
              <w:top w:val="single" w:sz="4" w:space="0" w:color="auto"/>
              <w:left w:val="single" w:sz="4" w:space="0" w:color="auto"/>
              <w:bottom w:val="single" w:sz="4" w:space="0" w:color="auto"/>
              <w:right w:val="single" w:sz="4" w:space="0" w:color="auto"/>
            </w:tcBorders>
          </w:tcPr>
          <w:p w14:paraId="190237CA" w14:textId="77777777" w:rsidR="00755D58" w:rsidRPr="00C733C7" w:rsidRDefault="00755D58" w:rsidP="00AE5C81">
            <w:pPr>
              <w:pStyle w:val="TableText"/>
              <w:jc w:val="right"/>
            </w:pPr>
            <w:r w:rsidRPr="00C733C7">
              <w:t>$6,410</w:t>
            </w:r>
          </w:p>
        </w:tc>
        <w:tc>
          <w:tcPr>
            <w:tcW w:w="472" w:type="pct"/>
            <w:tcBorders>
              <w:top w:val="single" w:sz="4" w:space="0" w:color="auto"/>
              <w:left w:val="single" w:sz="4" w:space="0" w:color="auto"/>
              <w:bottom w:val="single" w:sz="4" w:space="0" w:color="auto"/>
              <w:right w:val="single" w:sz="4" w:space="0" w:color="auto"/>
            </w:tcBorders>
          </w:tcPr>
          <w:p w14:paraId="0522F669" w14:textId="77777777" w:rsidR="00755D58" w:rsidRPr="00C733C7" w:rsidRDefault="00755D58" w:rsidP="00AE5C81">
            <w:pPr>
              <w:pStyle w:val="TableText"/>
              <w:jc w:val="right"/>
            </w:pPr>
            <w:r w:rsidRPr="00C733C7">
              <w:t>$5,190</w:t>
            </w:r>
          </w:p>
        </w:tc>
        <w:tc>
          <w:tcPr>
            <w:tcW w:w="471" w:type="pct"/>
            <w:tcBorders>
              <w:top w:val="single" w:sz="4" w:space="0" w:color="auto"/>
              <w:left w:val="single" w:sz="4" w:space="0" w:color="auto"/>
              <w:bottom w:val="single" w:sz="4" w:space="0" w:color="auto"/>
              <w:right w:val="single" w:sz="4" w:space="0" w:color="auto"/>
            </w:tcBorders>
          </w:tcPr>
          <w:p w14:paraId="2953CC33" w14:textId="77777777" w:rsidR="00755D58" w:rsidRPr="00C733C7" w:rsidRDefault="00755D58" w:rsidP="00AE5C81">
            <w:pPr>
              <w:pStyle w:val="TableText"/>
              <w:jc w:val="right"/>
              <w:rPr>
                <w:highlight w:val="green"/>
              </w:rPr>
            </w:pPr>
            <w:r w:rsidRPr="00C733C7">
              <w:t>$5,670</w:t>
            </w:r>
          </w:p>
        </w:tc>
        <w:tc>
          <w:tcPr>
            <w:tcW w:w="550" w:type="pct"/>
            <w:tcBorders>
              <w:top w:val="single" w:sz="4" w:space="0" w:color="auto"/>
              <w:left w:val="single" w:sz="4" w:space="0" w:color="auto"/>
              <w:bottom w:val="single" w:sz="4" w:space="0" w:color="auto"/>
              <w:right w:val="single" w:sz="4" w:space="0" w:color="auto"/>
            </w:tcBorders>
          </w:tcPr>
          <w:p w14:paraId="0ECD80E5" w14:textId="77777777" w:rsidR="00755D58" w:rsidRPr="00C733C7" w:rsidRDefault="00755D58" w:rsidP="00AE5C81">
            <w:pPr>
              <w:pStyle w:val="TableText"/>
              <w:jc w:val="right"/>
            </w:pPr>
            <w:r w:rsidRPr="00C733C7">
              <w:t>$6,418</w:t>
            </w:r>
          </w:p>
        </w:tc>
        <w:tc>
          <w:tcPr>
            <w:tcW w:w="564" w:type="pct"/>
            <w:tcBorders>
              <w:top w:val="single" w:sz="4" w:space="0" w:color="auto"/>
              <w:left w:val="single" w:sz="4" w:space="0" w:color="auto"/>
              <w:bottom w:val="single" w:sz="4" w:space="0" w:color="auto"/>
              <w:right w:val="single" w:sz="4" w:space="0" w:color="auto"/>
            </w:tcBorders>
          </w:tcPr>
          <w:p w14:paraId="7CD685CA" w14:textId="77777777" w:rsidR="00755D58" w:rsidRPr="00C733C7" w:rsidRDefault="00755D58" w:rsidP="00AE5C81">
            <w:pPr>
              <w:pStyle w:val="TableText"/>
              <w:jc w:val="right"/>
              <w:rPr>
                <w:highlight w:val="green"/>
                <w:vertAlign w:val="superscript"/>
              </w:rPr>
            </w:pPr>
            <w:r w:rsidRPr="00C733C7">
              <w:t>$4,876</w:t>
            </w:r>
          </w:p>
        </w:tc>
        <w:tc>
          <w:tcPr>
            <w:tcW w:w="491" w:type="pct"/>
            <w:tcBorders>
              <w:top w:val="single" w:sz="4" w:space="0" w:color="auto"/>
              <w:left w:val="single" w:sz="4" w:space="0" w:color="auto"/>
              <w:bottom w:val="single" w:sz="4" w:space="0" w:color="auto"/>
              <w:right w:val="single" w:sz="4" w:space="0" w:color="auto"/>
            </w:tcBorders>
            <w:noWrap/>
          </w:tcPr>
          <w:p w14:paraId="4CD783DA" w14:textId="2E0BBD86" w:rsidR="00755D58" w:rsidRPr="005B0CB6" w:rsidRDefault="00755D58" w:rsidP="00AE5C81">
            <w:pPr>
              <w:pStyle w:val="TableText"/>
              <w:jc w:val="right"/>
            </w:pPr>
            <w:r w:rsidRPr="005B0CB6">
              <w:t>$</w:t>
            </w:r>
            <w:r w:rsidR="00CF6AD4" w:rsidRPr="00CF6AD4">
              <w:rPr>
                <w:color w:val="000000"/>
                <w:spacing w:val="106"/>
                <w:shd w:val="solid" w:color="000000" w:fill="000000"/>
                <w:fitText w:val="192" w:id="-1455741426"/>
                <w14:textFill>
                  <w14:solidFill>
                    <w14:srgbClr w14:val="000000">
                      <w14:alpha w14:val="100000"/>
                    </w14:srgbClr>
                  </w14:solidFill>
                </w14:textFill>
              </w:rPr>
              <w:t>|</w:t>
            </w:r>
            <w:r w:rsidR="00CF6AD4" w:rsidRPr="00CF6AD4">
              <w:rPr>
                <w:color w:val="000000"/>
                <w:shd w:val="solid" w:color="000000" w:fill="000000"/>
                <w:fitText w:val="192" w:id="-1455741426"/>
                <w14:textFill>
                  <w14:solidFill>
                    <w14:srgbClr w14:val="000000">
                      <w14:alpha w14:val="100000"/>
                    </w14:srgbClr>
                  </w14:solidFill>
                </w14:textFill>
              </w:rPr>
              <w:t>|</w:t>
            </w:r>
          </w:p>
        </w:tc>
        <w:tc>
          <w:tcPr>
            <w:tcW w:w="489" w:type="pct"/>
            <w:tcBorders>
              <w:top w:val="single" w:sz="4" w:space="0" w:color="auto"/>
              <w:left w:val="single" w:sz="4" w:space="0" w:color="auto"/>
              <w:bottom w:val="single" w:sz="4" w:space="0" w:color="auto"/>
              <w:right w:val="single" w:sz="4" w:space="0" w:color="auto"/>
            </w:tcBorders>
          </w:tcPr>
          <w:p w14:paraId="02EA2A93" w14:textId="7EBA8418" w:rsidR="00755D58" w:rsidRPr="005B0CB6" w:rsidRDefault="00755D58" w:rsidP="00AE5C81">
            <w:pPr>
              <w:pStyle w:val="TableText"/>
              <w:jc w:val="right"/>
            </w:pPr>
            <w:r w:rsidRPr="005B0CB6">
              <w:t>$</w:t>
            </w:r>
            <w:r w:rsidR="00CF6AD4" w:rsidRPr="00CF6AD4">
              <w:rPr>
                <w:color w:val="000000"/>
                <w:spacing w:val="106"/>
                <w:shd w:val="solid" w:color="000000" w:fill="000000"/>
                <w:fitText w:val="192" w:id="-1455741425"/>
                <w14:textFill>
                  <w14:solidFill>
                    <w14:srgbClr w14:val="000000">
                      <w14:alpha w14:val="100000"/>
                    </w14:srgbClr>
                  </w14:solidFill>
                </w14:textFill>
              </w:rPr>
              <w:t>|</w:t>
            </w:r>
            <w:r w:rsidR="00CF6AD4" w:rsidRPr="00CF6AD4">
              <w:rPr>
                <w:color w:val="000000"/>
                <w:shd w:val="solid" w:color="000000" w:fill="000000"/>
                <w:fitText w:val="192" w:id="-1455741425"/>
                <w14:textFill>
                  <w14:solidFill>
                    <w14:srgbClr w14:val="000000">
                      <w14:alpha w14:val="100000"/>
                    </w14:srgbClr>
                  </w14:solidFill>
                </w14:textFill>
              </w:rPr>
              <w:t>|</w:t>
            </w:r>
          </w:p>
        </w:tc>
      </w:tr>
      <w:tr w:rsidR="00F042C1" w:rsidRPr="00C733C7" w14:paraId="1AEBC885" w14:textId="77777777" w:rsidTr="005B201F">
        <w:trPr>
          <w:trHeight w:val="326"/>
        </w:trPr>
        <w:tc>
          <w:tcPr>
            <w:tcW w:w="1492" w:type="pct"/>
            <w:tcBorders>
              <w:top w:val="single" w:sz="4" w:space="0" w:color="auto"/>
              <w:left w:val="single" w:sz="4" w:space="0" w:color="auto"/>
              <w:bottom w:val="single" w:sz="4" w:space="0" w:color="auto"/>
              <w:right w:val="single" w:sz="4" w:space="0" w:color="auto"/>
            </w:tcBorders>
            <w:noWrap/>
            <w:vAlign w:val="bottom"/>
          </w:tcPr>
          <w:p w14:paraId="1F6A73BC" w14:textId="77777777" w:rsidR="00755D58" w:rsidRPr="00C733C7" w:rsidRDefault="00755D58" w:rsidP="00AE5C81">
            <w:pPr>
              <w:pStyle w:val="TableText"/>
            </w:pPr>
            <w:r w:rsidRPr="00755D58">
              <w:rPr>
                <w:i/>
              </w:rPr>
              <w:t>Incremental cost</w:t>
            </w:r>
          </w:p>
        </w:tc>
        <w:tc>
          <w:tcPr>
            <w:tcW w:w="471" w:type="pct"/>
            <w:tcBorders>
              <w:top w:val="single" w:sz="4" w:space="0" w:color="auto"/>
              <w:left w:val="single" w:sz="4" w:space="0" w:color="auto"/>
              <w:bottom w:val="single" w:sz="4" w:space="0" w:color="auto"/>
              <w:right w:val="single" w:sz="4" w:space="0" w:color="auto"/>
            </w:tcBorders>
          </w:tcPr>
          <w:p w14:paraId="51E6AE1D" w14:textId="77777777" w:rsidR="00755D58" w:rsidRPr="00C733C7" w:rsidRDefault="00755D58" w:rsidP="00AE5C81">
            <w:pPr>
              <w:pStyle w:val="TableText"/>
              <w:jc w:val="right"/>
            </w:pPr>
          </w:p>
        </w:tc>
        <w:tc>
          <w:tcPr>
            <w:tcW w:w="472" w:type="pct"/>
            <w:tcBorders>
              <w:top w:val="single" w:sz="4" w:space="0" w:color="auto"/>
              <w:left w:val="single" w:sz="4" w:space="0" w:color="auto"/>
              <w:bottom w:val="single" w:sz="4" w:space="0" w:color="auto"/>
              <w:right w:val="single" w:sz="4" w:space="0" w:color="auto"/>
            </w:tcBorders>
          </w:tcPr>
          <w:p w14:paraId="19B27EEE" w14:textId="77777777" w:rsidR="00755D58" w:rsidRPr="00C733C7" w:rsidRDefault="00755D58" w:rsidP="00AE5C81">
            <w:pPr>
              <w:pStyle w:val="TableText"/>
              <w:jc w:val="right"/>
              <w:rPr>
                <w:i/>
              </w:rPr>
            </w:pPr>
            <w:r w:rsidRPr="00C733C7">
              <w:rPr>
                <w:i/>
              </w:rPr>
              <w:t>–$1,220</w:t>
            </w:r>
          </w:p>
        </w:tc>
        <w:tc>
          <w:tcPr>
            <w:tcW w:w="471" w:type="pct"/>
            <w:tcBorders>
              <w:top w:val="single" w:sz="4" w:space="0" w:color="auto"/>
              <w:left w:val="single" w:sz="4" w:space="0" w:color="auto"/>
              <w:bottom w:val="single" w:sz="4" w:space="0" w:color="auto"/>
              <w:right w:val="single" w:sz="4" w:space="0" w:color="auto"/>
            </w:tcBorders>
          </w:tcPr>
          <w:p w14:paraId="6FBC359E" w14:textId="77777777" w:rsidR="00755D58" w:rsidRPr="00C733C7" w:rsidRDefault="00755D58" w:rsidP="00AE5C81">
            <w:pPr>
              <w:pStyle w:val="TableText"/>
              <w:jc w:val="right"/>
              <w:rPr>
                <w:i/>
                <w:highlight w:val="green"/>
              </w:rPr>
            </w:pPr>
            <w:r w:rsidRPr="00C733C7">
              <w:rPr>
                <w:i/>
              </w:rPr>
              <w:t>–$740</w:t>
            </w:r>
          </w:p>
        </w:tc>
        <w:tc>
          <w:tcPr>
            <w:tcW w:w="550" w:type="pct"/>
            <w:tcBorders>
              <w:top w:val="single" w:sz="4" w:space="0" w:color="auto"/>
              <w:left w:val="single" w:sz="4" w:space="0" w:color="auto"/>
              <w:bottom w:val="single" w:sz="4" w:space="0" w:color="auto"/>
              <w:right w:val="single" w:sz="4" w:space="0" w:color="auto"/>
            </w:tcBorders>
          </w:tcPr>
          <w:p w14:paraId="2261E157" w14:textId="77777777" w:rsidR="00755D58" w:rsidRPr="00C733C7" w:rsidRDefault="00755D58" w:rsidP="00AE5C81">
            <w:pPr>
              <w:pStyle w:val="TableText"/>
              <w:jc w:val="right"/>
              <w:rPr>
                <w:i/>
              </w:rPr>
            </w:pPr>
            <w:r w:rsidRPr="00C733C7">
              <w:rPr>
                <w:i/>
              </w:rPr>
              <w:t>$8</w:t>
            </w:r>
          </w:p>
        </w:tc>
        <w:tc>
          <w:tcPr>
            <w:tcW w:w="564" w:type="pct"/>
            <w:tcBorders>
              <w:top w:val="single" w:sz="4" w:space="0" w:color="auto"/>
              <w:left w:val="single" w:sz="4" w:space="0" w:color="auto"/>
              <w:bottom w:val="single" w:sz="4" w:space="0" w:color="auto"/>
              <w:right w:val="single" w:sz="4" w:space="0" w:color="auto"/>
            </w:tcBorders>
          </w:tcPr>
          <w:p w14:paraId="200E92A9" w14:textId="77777777" w:rsidR="00755D58" w:rsidRPr="00C733C7" w:rsidRDefault="00755D58" w:rsidP="00AE5C81">
            <w:pPr>
              <w:pStyle w:val="TableText"/>
              <w:jc w:val="right"/>
              <w:rPr>
                <w:i/>
                <w:highlight w:val="green"/>
              </w:rPr>
            </w:pPr>
            <w:r w:rsidRPr="00C733C7">
              <w:rPr>
                <w:i/>
              </w:rPr>
              <w:t xml:space="preserve">–$1,585 </w:t>
            </w:r>
            <w:r w:rsidRPr="00C733C7">
              <w:rPr>
                <w:i/>
                <w:vertAlign w:val="superscript"/>
              </w:rPr>
              <w:t>2</w:t>
            </w:r>
          </w:p>
        </w:tc>
        <w:tc>
          <w:tcPr>
            <w:tcW w:w="491" w:type="pct"/>
            <w:tcBorders>
              <w:top w:val="single" w:sz="4" w:space="0" w:color="auto"/>
              <w:left w:val="single" w:sz="4" w:space="0" w:color="auto"/>
              <w:bottom w:val="single" w:sz="4" w:space="0" w:color="auto"/>
              <w:right w:val="single" w:sz="4" w:space="0" w:color="auto"/>
            </w:tcBorders>
            <w:noWrap/>
          </w:tcPr>
          <w:p w14:paraId="6A1D1EE1" w14:textId="741E3B8C" w:rsidR="00755D58" w:rsidRPr="005B0CB6" w:rsidRDefault="00755D58" w:rsidP="00AE5C81">
            <w:pPr>
              <w:pStyle w:val="TableText"/>
              <w:jc w:val="right"/>
              <w:rPr>
                <w:i/>
              </w:rPr>
            </w:pPr>
            <w:r w:rsidRPr="005B0CB6">
              <w:rPr>
                <w:i/>
              </w:rPr>
              <w:t>–$</w:t>
            </w:r>
            <w:r w:rsidR="00CF6AD4" w:rsidRPr="00CF6AD4">
              <w:rPr>
                <w:i/>
                <w:color w:val="000000"/>
                <w:spacing w:val="190"/>
                <w:shd w:val="solid" w:color="000000" w:fill="000000"/>
                <w:fitText w:val="283" w:id="-1455741424"/>
                <w14:textFill>
                  <w14:solidFill>
                    <w14:srgbClr w14:val="000000">
                      <w14:alpha w14:val="100000"/>
                    </w14:srgbClr>
                  </w14:solidFill>
                </w14:textFill>
              </w:rPr>
              <w:t>|</w:t>
            </w:r>
            <w:r w:rsidR="00CF6AD4" w:rsidRPr="00CF6AD4">
              <w:rPr>
                <w:i/>
                <w:color w:val="000000"/>
                <w:shd w:val="solid" w:color="000000" w:fill="000000"/>
                <w:fitText w:val="283" w:id="-1455741424"/>
                <w14:textFill>
                  <w14:solidFill>
                    <w14:srgbClr w14:val="000000">
                      <w14:alpha w14:val="100000"/>
                    </w14:srgbClr>
                  </w14:solidFill>
                </w14:textFill>
              </w:rPr>
              <w:t>|</w:t>
            </w:r>
          </w:p>
        </w:tc>
        <w:tc>
          <w:tcPr>
            <w:tcW w:w="489" w:type="pct"/>
            <w:tcBorders>
              <w:top w:val="single" w:sz="4" w:space="0" w:color="auto"/>
              <w:left w:val="single" w:sz="4" w:space="0" w:color="auto"/>
              <w:bottom w:val="single" w:sz="4" w:space="0" w:color="auto"/>
              <w:right w:val="single" w:sz="4" w:space="0" w:color="auto"/>
            </w:tcBorders>
          </w:tcPr>
          <w:p w14:paraId="7A36947F" w14:textId="031FE67F" w:rsidR="00755D58" w:rsidRPr="005B0CB6" w:rsidRDefault="00755D58" w:rsidP="00AE5C81">
            <w:pPr>
              <w:pStyle w:val="TableText"/>
              <w:jc w:val="right"/>
              <w:rPr>
                <w:i/>
              </w:rPr>
            </w:pPr>
            <w:r w:rsidRPr="005B0CB6">
              <w:rPr>
                <w:i/>
              </w:rPr>
              <w:t>–$</w:t>
            </w:r>
            <w:r w:rsidR="00CF6AD4" w:rsidRPr="00CF6AD4">
              <w:rPr>
                <w:i/>
                <w:color w:val="000000"/>
                <w:spacing w:val="190"/>
                <w:shd w:val="solid" w:color="000000" w:fill="000000"/>
                <w:fitText w:val="283" w:id="-1455741440"/>
                <w14:textFill>
                  <w14:solidFill>
                    <w14:srgbClr w14:val="000000">
                      <w14:alpha w14:val="100000"/>
                    </w14:srgbClr>
                  </w14:solidFill>
                </w14:textFill>
              </w:rPr>
              <w:t>|</w:t>
            </w:r>
            <w:r w:rsidR="00CF6AD4" w:rsidRPr="00CF6AD4">
              <w:rPr>
                <w:i/>
                <w:color w:val="000000"/>
                <w:shd w:val="solid" w:color="000000" w:fill="000000"/>
                <w:fitText w:val="283" w:id="-1455741440"/>
                <w14:textFill>
                  <w14:solidFill>
                    <w14:srgbClr w14:val="000000">
                      <w14:alpha w14:val="100000"/>
                    </w14:srgbClr>
                  </w14:solidFill>
                </w14:textFill>
              </w:rPr>
              <w:t>|</w:t>
            </w:r>
          </w:p>
        </w:tc>
      </w:tr>
      <w:tr w:rsidR="00F042C1" w:rsidRPr="00C733C7" w14:paraId="197FD333" w14:textId="77777777" w:rsidTr="005B201F">
        <w:trPr>
          <w:trHeight w:val="326"/>
        </w:trPr>
        <w:tc>
          <w:tcPr>
            <w:tcW w:w="1492" w:type="pct"/>
            <w:tcBorders>
              <w:top w:val="single" w:sz="4" w:space="0" w:color="auto"/>
              <w:left w:val="single" w:sz="4" w:space="0" w:color="auto"/>
              <w:bottom w:val="single" w:sz="4" w:space="0" w:color="auto"/>
              <w:right w:val="single" w:sz="4" w:space="0" w:color="auto"/>
            </w:tcBorders>
            <w:noWrap/>
            <w:vAlign w:val="bottom"/>
          </w:tcPr>
          <w:p w14:paraId="62785DDF" w14:textId="77777777" w:rsidR="00755D58" w:rsidRPr="00755D58" w:rsidRDefault="00755D58" w:rsidP="00AE5C81">
            <w:pPr>
              <w:pStyle w:val="TableText"/>
            </w:pPr>
            <w:r w:rsidRPr="00755D58">
              <w:t>Step 5: Step 4 + Reintervention costs</w:t>
            </w:r>
          </w:p>
        </w:tc>
        <w:tc>
          <w:tcPr>
            <w:tcW w:w="471" w:type="pct"/>
            <w:tcBorders>
              <w:top w:val="single" w:sz="4" w:space="0" w:color="auto"/>
              <w:left w:val="single" w:sz="4" w:space="0" w:color="auto"/>
              <w:bottom w:val="single" w:sz="4" w:space="0" w:color="auto"/>
              <w:right w:val="single" w:sz="4" w:space="0" w:color="auto"/>
            </w:tcBorders>
          </w:tcPr>
          <w:p w14:paraId="3EB61FC2" w14:textId="77777777" w:rsidR="00755D58" w:rsidRPr="00C733C7" w:rsidRDefault="00755D58" w:rsidP="00AE5C81">
            <w:pPr>
              <w:pStyle w:val="TableText"/>
              <w:jc w:val="right"/>
            </w:pPr>
            <w:r w:rsidRPr="00C733C7">
              <w:t>$6,876</w:t>
            </w:r>
          </w:p>
        </w:tc>
        <w:tc>
          <w:tcPr>
            <w:tcW w:w="472" w:type="pct"/>
            <w:tcBorders>
              <w:top w:val="single" w:sz="4" w:space="0" w:color="auto"/>
              <w:left w:val="single" w:sz="4" w:space="0" w:color="auto"/>
              <w:bottom w:val="single" w:sz="4" w:space="0" w:color="auto"/>
              <w:right w:val="single" w:sz="4" w:space="0" w:color="auto"/>
            </w:tcBorders>
          </w:tcPr>
          <w:p w14:paraId="6BED36F5" w14:textId="77777777" w:rsidR="00755D58" w:rsidRPr="00C733C7" w:rsidRDefault="00755D58" w:rsidP="00AE5C81">
            <w:pPr>
              <w:pStyle w:val="TableText"/>
              <w:jc w:val="right"/>
            </w:pPr>
            <w:r w:rsidRPr="00C733C7">
              <w:t>$5,404</w:t>
            </w:r>
          </w:p>
        </w:tc>
        <w:tc>
          <w:tcPr>
            <w:tcW w:w="471" w:type="pct"/>
            <w:tcBorders>
              <w:top w:val="single" w:sz="4" w:space="0" w:color="auto"/>
              <w:left w:val="single" w:sz="4" w:space="0" w:color="auto"/>
              <w:bottom w:val="single" w:sz="4" w:space="0" w:color="auto"/>
              <w:right w:val="single" w:sz="4" w:space="0" w:color="auto"/>
            </w:tcBorders>
          </w:tcPr>
          <w:p w14:paraId="06623AE9" w14:textId="77777777" w:rsidR="00755D58" w:rsidRPr="00C733C7" w:rsidRDefault="00755D58" w:rsidP="00AE5C81">
            <w:pPr>
              <w:pStyle w:val="TableText"/>
              <w:jc w:val="right"/>
              <w:rPr>
                <w:highlight w:val="yellow"/>
              </w:rPr>
            </w:pPr>
            <w:r w:rsidRPr="00C733C7">
              <w:t>$6,785</w:t>
            </w:r>
          </w:p>
        </w:tc>
        <w:tc>
          <w:tcPr>
            <w:tcW w:w="550" w:type="pct"/>
            <w:tcBorders>
              <w:top w:val="single" w:sz="4" w:space="0" w:color="auto"/>
              <w:left w:val="single" w:sz="4" w:space="0" w:color="auto"/>
              <w:bottom w:val="single" w:sz="4" w:space="0" w:color="auto"/>
              <w:right w:val="single" w:sz="4" w:space="0" w:color="auto"/>
            </w:tcBorders>
          </w:tcPr>
          <w:p w14:paraId="017AB153" w14:textId="77777777" w:rsidR="00755D58" w:rsidRPr="00C733C7" w:rsidRDefault="00755D58" w:rsidP="00AE5C81">
            <w:pPr>
              <w:pStyle w:val="TableText"/>
              <w:jc w:val="right"/>
            </w:pPr>
            <w:r w:rsidRPr="00C733C7">
              <w:t>$7,533</w:t>
            </w:r>
          </w:p>
        </w:tc>
        <w:tc>
          <w:tcPr>
            <w:tcW w:w="564" w:type="pct"/>
            <w:tcBorders>
              <w:top w:val="single" w:sz="4" w:space="0" w:color="auto"/>
              <w:left w:val="single" w:sz="4" w:space="0" w:color="auto"/>
              <w:bottom w:val="single" w:sz="4" w:space="0" w:color="auto"/>
              <w:right w:val="single" w:sz="4" w:space="0" w:color="auto"/>
            </w:tcBorders>
          </w:tcPr>
          <w:p w14:paraId="5AF164DD" w14:textId="77777777" w:rsidR="00755D58" w:rsidRPr="00C733C7" w:rsidRDefault="00755D58" w:rsidP="00AE5C81">
            <w:pPr>
              <w:pStyle w:val="TableText"/>
              <w:jc w:val="right"/>
              <w:rPr>
                <w:highlight w:val="yellow"/>
              </w:rPr>
            </w:pPr>
            <w:r w:rsidRPr="00C733C7">
              <w:t>$5,557</w:t>
            </w:r>
          </w:p>
        </w:tc>
        <w:tc>
          <w:tcPr>
            <w:tcW w:w="491" w:type="pct"/>
            <w:tcBorders>
              <w:top w:val="single" w:sz="4" w:space="0" w:color="auto"/>
              <w:left w:val="single" w:sz="4" w:space="0" w:color="auto"/>
              <w:bottom w:val="single" w:sz="4" w:space="0" w:color="auto"/>
              <w:right w:val="single" w:sz="4" w:space="0" w:color="auto"/>
            </w:tcBorders>
            <w:noWrap/>
          </w:tcPr>
          <w:p w14:paraId="79B75676" w14:textId="613C3048" w:rsidR="00755D58" w:rsidRPr="005B0CB6" w:rsidRDefault="00755D58" w:rsidP="00AE5C81">
            <w:pPr>
              <w:pStyle w:val="TableText"/>
              <w:jc w:val="right"/>
            </w:pPr>
            <w:r w:rsidRPr="005B0CB6">
              <w:t>$</w:t>
            </w:r>
            <w:r w:rsidR="00CF6AD4" w:rsidRPr="00CF6AD4">
              <w:rPr>
                <w:color w:val="000000"/>
                <w:spacing w:val="106"/>
                <w:shd w:val="solid" w:color="000000" w:fill="000000"/>
                <w:fitText w:val="192" w:id="-1455741439"/>
                <w14:textFill>
                  <w14:solidFill>
                    <w14:srgbClr w14:val="000000">
                      <w14:alpha w14:val="100000"/>
                    </w14:srgbClr>
                  </w14:solidFill>
                </w14:textFill>
              </w:rPr>
              <w:t>|</w:t>
            </w:r>
            <w:r w:rsidR="00CF6AD4" w:rsidRPr="00CF6AD4">
              <w:rPr>
                <w:color w:val="000000"/>
                <w:shd w:val="solid" w:color="000000" w:fill="000000"/>
                <w:fitText w:val="192" w:id="-1455741439"/>
                <w14:textFill>
                  <w14:solidFill>
                    <w14:srgbClr w14:val="000000">
                      <w14:alpha w14:val="100000"/>
                    </w14:srgbClr>
                  </w14:solidFill>
                </w14:textFill>
              </w:rPr>
              <w:t>|</w:t>
            </w:r>
          </w:p>
        </w:tc>
        <w:tc>
          <w:tcPr>
            <w:tcW w:w="489" w:type="pct"/>
            <w:tcBorders>
              <w:top w:val="single" w:sz="4" w:space="0" w:color="auto"/>
              <w:left w:val="single" w:sz="4" w:space="0" w:color="auto"/>
              <w:bottom w:val="single" w:sz="4" w:space="0" w:color="auto"/>
              <w:right w:val="single" w:sz="4" w:space="0" w:color="auto"/>
            </w:tcBorders>
          </w:tcPr>
          <w:p w14:paraId="097CF2EB" w14:textId="4BF5612E" w:rsidR="00755D58" w:rsidRPr="005B0CB6" w:rsidRDefault="00755D58" w:rsidP="00AE5C81">
            <w:pPr>
              <w:pStyle w:val="TableText"/>
              <w:jc w:val="right"/>
            </w:pPr>
            <w:r w:rsidRPr="005B0CB6">
              <w:t>$</w:t>
            </w:r>
            <w:r w:rsidR="00CF6AD4" w:rsidRPr="00CF6AD4">
              <w:rPr>
                <w:color w:val="000000"/>
                <w:spacing w:val="106"/>
                <w:shd w:val="solid" w:color="000000" w:fill="000000"/>
                <w:fitText w:val="192" w:id="-1455741438"/>
                <w14:textFill>
                  <w14:solidFill>
                    <w14:srgbClr w14:val="000000">
                      <w14:alpha w14:val="100000"/>
                    </w14:srgbClr>
                  </w14:solidFill>
                </w14:textFill>
              </w:rPr>
              <w:t>|</w:t>
            </w:r>
            <w:r w:rsidR="00CF6AD4" w:rsidRPr="00CF6AD4">
              <w:rPr>
                <w:color w:val="000000"/>
                <w:shd w:val="solid" w:color="000000" w:fill="000000"/>
                <w:fitText w:val="192" w:id="-1455741438"/>
                <w14:textFill>
                  <w14:solidFill>
                    <w14:srgbClr w14:val="000000">
                      <w14:alpha w14:val="100000"/>
                    </w14:srgbClr>
                  </w14:solidFill>
                </w14:textFill>
              </w:rPr>
              <w:t>|</w:t>
            </w:r>
          </w:p>
        </w:tc>
      </w:tr>
      <w:tr w:rsidR="00F042C1" w:rsidRPr="00C733C7" w14:paraId="0C1F47EB" w14:textId="77777777" w:rsidTr="005B201F">
        <w:trPr>
          <w:trHeight w:val="326"/>
        </w:trPr>
        <w:tc>
          <w:tcPr>
            <w:tcW w:w="1492" w:type="pct"/>
            <w:tcBorders>
              <w:top w:val="single" w:sz="4" w:space="0" w:color="auto"/>
              <w:left w:val="single" w:sz="4" w:space="0" w:color="auto"/>
              <w:bottom w:val="single" w:sz="4" w:space="0" w:color="auto"/>
              <w:right w:val="single" w:sz="4" w:space="0" w:color="auto"/>
            </w:tcBorders>
            <w:noWrap/>
            <w:vAlign w:val="bottom"/>
          </w:tcPr>
          <w:p w14:paraId="57D61D59" w14:textId="77777777" w:rsidR="00755D58" w:rsidRPr="00755D58" w:rsidRDefault="00755D58" w:rsidP="00AE5C81">
            <w:pPr>
              <w:pStyle w:val="TableText"/>
              <w:rPr>
                <w:i/>
              </w:rPr>
            </w:pPr>
            <w:r w:rsidRPr="00755D58">
              <w:rPr>
                <w:i/>
              </w:rPr>
              <w:t>Incremental costs</w:t>
            </w:r>
          </w:p>
        </w:tc>
        <w:tc>
          <w:tcPr>
            <w:tcW w:w="471" w:type="pct"/>
            <w:tcBorders>
              <w:top w:val="single" w:sz="4" w:space="0" w:color="auto"/>
              <w:left w:val="single" w:sz="4" w:space="0" w:color="auto"/>
              <w:bottom w:val="single" w:sz="4" w:space="0" w:color="auto"/>
              <w:right w:val="single" w:sz="4" w:space="0" w:color="auto"/>
            </w:tcBorders>
          </w:tcPr>
          <w:p w14:paraId="4C30C6A8" w14:textId="77777777" w:rsidR="00755D58" w:rsidRPr="00C733C7" w:rsidRDefault="00755D58" w:rsidP="00AE5C81">
            <w:pPr>
              <w:pStyle w:val="TableText"/>
              <w:jc w:val="right"/>
            </w:pPr>
          </w:p>
        </w:tc>
        <w:tc>
          <w:tcPr>
            <w:tcW w:w="472" w:type="pct"/>
            <w:tcBorders>
              <w:top w:val="single" w:sz="4" w:space="0" w:color="auto"/>
              <w:left w:val="single" w:sz="4" w:space="0" w:color="auto"/>
              <w:bottom w:val="single" w:sz="4" w:space="0" w:color="auto"/>
              <w:right w:val="single" w:sz="4" w:space="0" w:color="auto"/>
            </w:tcBorders>
          </w:tcPr>
          <w:p w14:paraId="06420762" w14:textId="77777777" w:rsidR="00755D58" w:rsidRPr="00C733C7" w:rsidRDefault="00755D58" w:rsidP="00AE5C81">
            <w:pPr>
              <w:pStyle w:val="TableText"/>
              <w:jc w:val="right"/>
              <w:rPr>
                <w:i/>
              </w:rPr>
            </w:pPr>
            <w:r w:rsidRPr="00C733C7">
              <w:rPr>
                <w:i/>
              </w:rPr>
              <w:t>–$1,472</w:t>
            </w:r>
          </w:p>
        </w:tc>
        <w:tc>
          <w:tcPr>
            <w:tcW w:w="471" w:type="pct"/>
            <w:tcBorders>
              <w:top w:val="single" w:sz="4" w:space="0" w:color="auto"/>
              <w:left w:val="single" w:sz="4" w:space="0" w:color="auto"/>
              <w:bottom w:val="single" w:sz="4" w:space="0" w:color="auto"/>
              <w:right w:val="single" w:sz="4" w:space="0" w:color="auto"/>
            </w:tcBorders>
          </w:tcPr>
          <w:p w14:paraId="2E21E0BE" w14:textId="77777777" w:rsidR="00755D58" w:rsidRPr="00C733C7" w:rsidRDefault="00755D58" w:rsidP="00AE5C81">
            <w:pPr>
              <w:pStyle w:val="TableText"/>
              <w:jc w:val="right"/>
              <w:rPr>
                <w:i/>
                <w:highlight w:val="yellow"/>
              </w:rPr>
            </w:pPr>
            <w:r w:rsidRPr="00C733C7">
              <w:rPr>
                <w:i/>
              </w:rPr>
              <w:t>–$91</w:t>
            </w:r>
          </w:p>
        </w:tc>
        <w:tc>
          <w:tcPr>
            <w:tcW w:w="550" w:type="pct"/>
            <w:tcBorders>
              <w:top w:val="single" w:sz="4" w:space="0" w:color="auto"/>
              <w:left w:val="single" w:sz="4" w:space="0" w:color="auto"/>
              <w:bottom w:val="single" w:sz="4" w:space="0" w:color="auto"/>
              <w:right w:val="single" w:sz="4" w:space="0" w:color="auto"/>
            </w:tcBorders>
          </w:tcPr>
          <w:p w14:paraId="64B79DF5" w14:textId="77777777" w:rsidR="00755D58" w:rsidRPr="00C733C7" w:rsidRDefault="00755D58" w:rsidP="00AE5C81">
            <w:pPr>
              <w:pStyle w:val="TableText"/>
              <w:jc w:val="right"/>
              <w:rPr>
                <w:i/>
              </w:rPr>
            </w:pPr>
            <w:r w:rsidRPr="00C733C7">
              <w:rPr>
                <w:i/>
              </w:rPr>
              <w:t>$657</w:t>
            </w:r>
          </w:p>
        </w:tc>
        <w:tc>
          <w:tcPr>
            <w:tcW w:w="564" w:type="pct"/>
            <w:tcBorders>
              <w:top w:val="single" w:sz="4" w:space="0" w:color="auto"/>
              <w:left w:val="single" w:sz="4" w:space="0" w:color="auto"/>
              <w:bottom w:val="single" w:sz="4" w:space="0" w:color="auto"/>
              <w:right w:val="single" w:sz="4" w:space="0" w:color="auto"/>
            </w:tcBorders>
          </w:tcPr>
          <w:p w14:paraId="73339E09" w14:textId="77777777" w:rsidR="00755D58" w:rsidRPr="00C733C7" w:rsidRDefault="00755D58" w:rsidP="00AE5C81">
            <w:pPr>
              <w:pStyle w:val="TableText"/>
              <w:jc w:val="right"/>
              <w:rPr>
                <w:i/>
                <w:highlight w:val="yellow"/>
              </w:rPr>
            </w:pPr>
            <w:r w:rsidRPr="00C733C7">
              <w:rPr>
                <w:i/>
              </w:rPr>
              <w:t>–$1,319</w:t>
            </w:r>
          </w:p>
        </w:tc>
        <w:tc>
          <w:tcPr>
            <w:tcW w:w="491" w:type="pct"/>
            <w:tcBorders>
              <w:top w:val="single" w:sz="4" w:space="0" w:color="auto"/>
              <w:left w:val="single" w:sz="4" w:space="0" w:color="auto"/>
              <w:bottom w:val="single" w:sz="4" w:space="0" w:color="auto"/>
              <w:right w:val="single" w:sz="4" w:space="0" w:color="auto"/>
            </w:tcBorders>
            <w:noWrap/>
          </w:tcPr>
          <w:p w14:paraId="1E42BDE7" w14:textId="2870E7A8" w:rsidR="00755D58" w:rsidRPr="005B0CB6" w:rsidRDefault="00755D58" w:rsidP="00AE5C81">
            <w:pPr>
              <w:pStyle w:val="TableText"/>
              <w:jc w:val="right"/>
              <w:rPr>
                <w:i/>
              </w:rPr>
            </w:pPr>
            <w:r w:rsidRPr="005B0CB6">
              <w:rPr>
                <w:i/>
              </w:rPr>
              <w:t>–$</w:t>
            </w:r>
            <w:r w:rsidR="00CF6AD4" w:rsidRPr="00CF6AD4">
              <w:rPr>
                <w:i/>
                <w:color w:val="000000"/>
                <w:spacing w:val="190"/>
                <w:shd w:val="solid" w:color="000000" w:fill="000000"/>
                <w:fitText w:val="283" w:id="-1455741437"/>
                <w14:textFill>
                  <w14:solidFill>
                    <w14:srgbClr w14:val="000000">
                      <w14:alpha w14:val="100000"/>
                    </w14:srgbClr>
                  </w14:solidFill>
                </w14:textFill>
              </w:rPr>
              <w:t>|</w:t>
            </w:r>
            <w:r w:rsidR="00CF6AD4" w:rsidRPr="00CF6AD4">
              <w:rPr>
                <w:i/>
                <w:color w:val="000000"/>
                <w:shd w:val="solid" w:color="000000" w:fill="000000"/>
                <w:fitText w:val="283" w:id="-1455741437"/>
                <w14:textFill>
                  <w14:solidFill>
                    <w14:srgbClr w14:val="000000">
                      <w14:alpha w14:val="100000"/>
                    </w14:srgbClr>
                  </w14:solidFill>
                </w14:textFill>
              </w:rPr>
              <w:t>|</w:t>
            </w:r>
          </w:p>
        </w:tc>
        <w:tc>
          <w:tcPr>
            <w:tcW w:w="489" w:type="pct"/>
            <w:tcBorders>
              <w:top w:val="single" w:sz="4" w:space="0" w:color="auto"/>
              <w:left w:val="single" w:sz="4" w:space="0" w:color="auto"/>
              <w:bottom w:val="single" w:sz="4" w:space="0" w:color="auto"/>
              <w:right w:val="single" w:sz="4" w:space="0" w:color="auto"/>
            </w:tcBorders>
          </w:tcPr>
          <w:p w14:paraId="017BF980" w14:textId="7F85D41F" w:rsidR="00755D58" w:rsidRPr="005B0CB6" w:rsidRDefault="00755D58" w:rsidP="00AE5C81">
            <w:pPr>
              <w:pStyle w:val="TableText"/>
              <w:jc w:val="right"/>
              <w:rPr>
                <w:i/>
              </w:rPr>
            </w:pPr>
            <w:r w:rsidRPr="005B0CB6">
              <w:rPr>
                <w:i/>
              </w:rPr>
              <w:t>–$</w:t>
            </w:r>
            <w:r w:rsidR="00CF6AD4" w:rsidRPr="00CF6AD4">
              <w:rPr>
                <w:i/>
                <w:color w:val="000000"/>
                <w:spacing w:val="190"/>
                <w:shd w:val="solid" w:color="000000" w:fill="000000"/>
                <w:fitText w:val="283" w:id="-1455741436"/>
                <w14:textFill>
                  <w14:solidFill>
                    <w14:srgbClr w14:val="000000">
                      <w14:alpha w14:val="100000"/>
                    </w14:srgbClr>
                  </w14:solidFill>
                </w14:textFill>
              </w:rPr>
              <w:t>|</w:t>
            </w:r>
            <w:r w:rsidR="00CF6AD4" w:rsidRPr="00CF6AD4">
              <w:rPr>
                <w:i/>
                <w:color w:val="000000"/>
                <w:shd w:val="solid" w:color="000000" w:fill="000000"/>
                <w:fitText w:val="283" w:id="-1455741436"/>
                <w14:textFill>
                  <w14:solidFill>
                    <w14:srgbClr w14:val="000000">
                      <w14:alpha w14:val="100000"/>
                    </w14:srgbClr>
                  </w14:solidFill>
                </w14:textFill>
              </w:rPr>
              <w:t>|</w:t>
            </w:r>
          </w:p>
        </w:tc>
      </w:tr>
    </w:tbl>
    <w:p w14:paraId="605D6516" w14:textId="77777777" w:rsidR="009521E7" w:rsidRDefault="009521E7" w:rsidP="00BA319D">
      <w:pPr>
        <w:pStyle w:val="Tablenotes"/>
      </w:pPr>
      <w:r>
        <w:t xml:space="preserve">Source: Table 9, </w:t>
      </w:r>
      <w:proofErr w:type="spellStart"/>
      <w:r>
        <w:t>pg</w:t>
      </w:r>
      <w:proofErr w:type="spellEnd"/>
      <w:r>
        <w:t xml:space="preserve"> 19 of MSAC 1697 DCAR</w:t>
      </w:r>
    </w:p>
    <w:p w14:paraId="0FC0A2E1" w14:textId="1F713FC3" w:rsidR="00C733C7" w:rsidRPr="00BA319D" w:rsidRDefault="009521E7" w:rsidP="00BA319D">
      <w:pPr>
        <w:pStyle w:val="Tablenotes"/>
      </w:pPr>
      <w:r>
        <w:t xml:space="preserve">Abbreviations: </w:t>
      </w:r>
      <w:r w:rsidR="00C733C7" w:rsidRPr="00BA319D">
        <w:t>EEP = endoscopic enucleation of the prostate; NA = indicates data were not available PUL = prostatic urethral lift; TUMT = transurethral microwave thermotherapy; TURP = transurethral resection of the prostate; TUWA = transurethral water vapour ablation; VLAP = visual laser ablation of the prostate </w:t>
      </w:r>
    </w:p>
    <w:p w14:paraId="53DF33B6" w14:textId="77777777" w:rsidR="00C733C7" w:rsidRPr="00BA319D" w:rsidRDefault="00C733C7" w:rsidP="00BA319D">
      <w:pPr>
        <w:pStyle w:val="Tablenotes"/>
      </w:pPr>
      <w:r w:rsidRPr="00BA319D">
        <w:rPr>
          <w:rFonts w:eastAsiaTheme="minorHAnsi"/>
          <w:vertAlign w:val="superscript"/>
        </w:rPr>
        <w:t>1</w:t>
      </w:r>
      <w:r w:rsidRPr="00BA319D">
        <w:t xml:space="preserve"> MSAC application 1612 seeks to increase the MBS fee for PUL (equivalent to the MBS fee for VLAP and TURP) by amending MBS 36811 for cystoscopy. Proposed PUL uses primary service cost of PUL equivalent to TURP.</w:t>
      </w:r>
    </w:p>
    <w:p w14:paraId="35E0B6BF" w14:textId="34CF9CEB" w:rsidR="00C733C7" w:rsidRPr="00BA319D" w:rsidRDefault="00C733C7" w:rsidP="00BA319D">
      <w:pPr>
        <w:pStyle w:val="Tablenotes"/>
      </w:pPr>
      <w:r w:rsidRPr="00BA319D">
        <w:rPr>
          <w:rFonts w:eastAsiaTheme="minorHAnsi"/>
        </w:rPr>
        <w:t>Note: – Costs not presented or included in the table above indicates gaps in costings, which may highlight underestimations in various cost modelling for prostatic procedures</w:t>
      </w:r>
      <w:r w:rsidRPr="00BA319D">
        <w:t>.</w:t>
      </w:r>
    </w:p>
    <w:p w14:paraId="56B9C5FD" w14:textId="2A7D5189" w:rsidR="008D44D0" w:rsidRPr="009217F2" w:rsidRDefault="00EC5430" w:rsidP="002316DC">
      <w:pPr>
        <w:spacing w:before="240"/>
        <w:rPr>
          <w:rFonts w:ascii="Segoe UI" w:hAnsi="Segoe UI"/>
          <w:sz w:val="18"/>
          <w:szCs w:val="18"/>
          <w:lang w:eastAsia="en-AU"/>
        </w:rPr>
      </w:pPr>
      <w:r w:rsidRPr="000F29FD">
        <w:lastRenderedPageBreak/>
        <w:t xml:space="preserve">Clinical effectiveness outcomes included in the cost-consequence analyses are summarised </w:t>
      </w:r>
      <w:r w:rsidR="000F29FD" w:rsidRPr="000F29FD">
        <w:t xml:space="preserve">in Table 10. </w:t>
      </w:r>
      <w:r w:rsidRPr="000F29FD">
        <w:t>Costs</w:t>
      </w:r>
      <w:r w:rsidRPr="00EC5430">
        <w:rPr>
          <w:lang w:eastAsia="en-AU"/>
        </w:rPr>
        <w:t xml:space="preserve"> associated with reinterventions are captured in the estimated total costs per procedure. Therefore, these are not explicitly discussed as a cost-consequence outcome. While effectiveness outcomes (IPSS and </w:t>
      </w:r>
      <w:proofErr w:type="spellStart"/>
      <w:r w:rsidRPr="00EC5430">
        <w:rPr>
          <w:lang w:eastAsia="en-AU"/>
        </w:rPr>
        <w:t>Qmax</w:t>
      </w:r>
      <w:proofErr w:type="spellEnd"/>
      <w:r w:rsidRPr="00EC5430">
        <w:rPr>
          <w:lang w:eastAsia="en-AU"/>
        </w:rPr>
        <w:t>) may have been statistically superior after pooling for some comparisons, the size of the difference was unlikely to be clinically meaningful.</w:t>
      </w:r>
      <w:r w:rsidR="008D44D0" w:rsidRPr="69B23373">
        <w:rPr>
          <w:lang w:eastAsia="en-AU"/>
        </w:rPr>
        <w:t> </w:t>
      </w:r>
    </w:p>
    <w:p w14:paraId="1F1D2229" w14:textId="7DB6E888" w:rsidR="009217F2" w:rsidRDefault="009217F2" w:rsidP="00BA319D">
      <w:pPr>
        <w:pStyle w:val="TableFigureHeading"/>
      </w:pPr>
      <w:bookmarkStart w:id="33" w:name="_Ref98936061"/>
      <w:r>
        <w:t xml:space="preserve">Table </w:t>
      </w:r>
      <w:r>
        <w:fldChar w:fldCharType="begin"/>
      </w:r>
      <w:r>
        <w:instrText>SEQ Table \* ARABIC</w:instrText>
      </w:r>
      <w:r>
        <w:fldChar w:fldCharType="separate"/>
      </w:r>
      <w:r w:rsidR="00C03EF9">
        <w:rPr>
          <w:noProof/>
        </w:rPr>
        <w:t>10</w:t>
      </w:r>
      <w:r>
        <w:fldChar w:fldCharType="end"/>
      </w:r>
      <w:bookmarkEnd w:id="33"/>
      <w:r>
        <w:tab/>
      </w:r>
      <w:r w:rsidRPr="008D44D0">
        <w:t>Effectiveness outcomes for BPH procedures compared with TURP </w:t>
      </w:r>
    </w:p>
    <w:tbl>
      <w:tblPr>
        <w:tblStyle w:val="TableGrid1"/>
        <w:tblW w:w="5000" w:type="pct"/>
        <w:tblLook w:val="04A0" w:firstRow="1" w:lastRow="0" w:firstColumn="1" w:lastColumn="0" w:noHBand="0" w:noVBand="1"/>
      </w:tblPr>
      <w:tblGrid>
        <w:gridCol w:w="2097"/>
        <w:gridCol w:w="1383"/>
        <w:gridCol w:w="1385"/>
        <w:gridCol w:w="1385"/>
        <w:gridCol w:w="1385"/>
        <w:gridCol w:w="1381"/>
      </w:tblGrid>
      <w:tr w:rsidR="0097032C" w:rsidRPr="00AF4494" w14:paraId="150E7D55" w14:textId="77777777" w:rsidTr="002E1E7C">
        <w:trPr>
          <w:cnfStyle w:val="100000000000" w:firstRow="1" w:lastRow="0" w:firstColumn="0" w:lastColumn="0" w:oddVBand="0" w:evenVBand="0" w:oddHBand="0" w:evenHBand="0" w:firstRowFirstColumn="0" w:firstRowLastColumn="0" w:lastRowFirstColumn="0" w:lastRowLastColumn="0"/>
          <w:trHeight w:val="255"/>
          <w:tblHeader/>
        </w:trPr>
        <w:tc>
          <w:tcPr>
            <w:tcW w:w="1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0C991" w14:textId="77777777" w:rsidR="0097032C" w:rsidRPr="00AF4494" w:rsidRDefault="0097032C" w:rsidP="00AE5C81">
            <w:pPr>
              <w:spacing w:before="0" w:after="0"/>
              <w:rPr>
                <w:rFonts w:ascii="Arial Narrow" w:hAnsi="Arial Narrow" w:cs="Calibri"/>
                <w:color w:val="000000"/>
              </w:rPr>
            </w:pPr>
            <w:r w:rsidRPr="00AF4494">
              <w:rPr>
                <w:rFonts w:ascii="Arial Narrow" w:hAnsi="Arial Narrow" w:cs="Calibri"/>
                <w:color w:val="000000"/>
              </w:rPr>
              <w:t> </w:t>
            </w:r>
          </w:p>
        </w:tc>
        <w:tc>
          <w:tcPr>
            <w:tcW w:w="767" w:type="pct"/>
            <w:tcBorders>
              <w:top w:val="single" w:sz="4" w:space="0" w:color="auto"/>
              <w:left w:val="nil"/>
              <w:bottom w:val="single" w:sz="4" w:space="0" w:color="auto"/>
              <w:right w:val="single" w:sz="4" w:space="0" w:color="auto"/>
            </w:tcBorders>
            <w:vAlign w:val="bottom"/>
          </w:tcPr>
          <w:p w14:paraId="6311697C" w14:textId="77777777" w:rsidR="0097032C" w:rsidRPr="00AF4494" w:rsidRDefault="0097032C" w:rsidP="00AE5C81">
            <w:pPr>
              <w:spacing w:before="0" w:after="0"/>
              <w:rPr>
                <w:rFonts w:ascii="Arial Narrow" w:hAnsi="Arial Narrow" w:cs="Calibri"/>
                <w:b/>
                <w:bCs/>
                <w:color w:val="000000"/>
              </w:rPr>
            </w:pPr>
            <w:r w:rsidRPr="00AF4494">
              <w:rPr>
                <w:rFonts w:ascii="Arial Narrow" w:hAnsi="Arial Narrow" w:cs="Calibri"/>
                <w:b/>
                <w:bCs/>
                <w:color w:val="000000"/>
              </w:rPr>
              <w:t>EEP</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8A186" w14:textId="77777777" w:rsidR="0097032C" w:rsidRPr="00AF4494" w:rsidRDefault="0097032C" w:rsidP="00AE5C81">
            <w:pPr>
              <w:spacing w:before="0" w:after="0"/>
              <w:rPr>
                <w:rFonts w:ascii="Arial Narrow" w:hAnsi="Arial Narrow" w:cs="Calibri"/>
                <w:b/>
                <w:bCs/>
                <w:color w:val="000000"/>
              </w:rPr>
            </w:pPr>
            <w:r w:rsidRPr="00AF4494">
              <w:rPr>
                <w:rFonts w:ascii="Arial Narrow" w:hAnsi="Arial Narrow" w:cs="Calibri"/>
                <w:b/>
                <w:bCs/>
                <w:color w:val="000000"/>
              </w:rPr>
              <w:t>PUL</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659A" w14:textId="77777777" w:rsidR="0097032C" w:rsidRPr="00AF4494" w:rsidRDefault="0097032C" w:rsidP="00AE5C81">
            <w:pPr>
              <w:spacing w:before="0" w:after="0"/>
              <w:rPr>
                <w:rFonts w:ascii="Arial Narrow" w:hAnsi="Arial Narrow" w:cs="Calibri"/>
                <w:b/>
                <w:bCs/>
                <w:color w:val="000000"/>
              </w:rPr>
            </w:pPr>
            <w:r w:rsidRPr="00AF4494">
              <w:rPr>
                <w:rFonts w:ascii="Arial Narrow" w:hAnsi="Arial Narrow" w:cs="Calibri"/>
                <w:b/>
                <w:bCs/>
                <w:color w:val="000000"/>
              </w:rPr>
              <w:t>TUMT</w:t>
            </w:r>
          </w:p>
        </w:tc>
        <w:tc>
          <w:tcPr>
            <w:tcW w:w="768" w:type="pct"/>
            <w:tcBorders>
              <w:top w:val="single" w:sz="4" w:space="0" w:color="auto"/>
              <w:left w:val="single" w:sz="4" w:space="0" w:color="auto"/>
              <w:bottom w:val="single" w:sz="4" w:space="0" w:color="auto"/>
              <w:right w:val="single" w:sz="4" w:space="0" w:color="auto"/>
            </w:tcBorders>
            <w:vAlign w:val="bottom"/>
          </w:tcPr>
          <w:p w14:paraId="7B2B8934" w14:textId="77777777" w:rsidR="0097032C" w:rsidRPr="00AF4494" w:rsidRDefault="0097032C" w:rsidP="00AE5C81">
            <w:pPr>
              <w:spacing w:before="0" w:after="0"/>
              <w:rPr>
                <w:rFonts w:ascii="Arial Narrow" w:hAnsi="Arial Narrow" w:cs="Calibri"/>
                <w:b/>
                <w:bCs/>
                <w:color w:val="000000"/>
              </w:rPr>
            </w:pPr>
            <w:r w:rsidRPr="00AF4494">
              <w:rPr>
                <w:rFonts w:ascii="Arial Narrow" w:hAnsi="Arial Narrow" w:cs="Calibri"/>
                <w:b/>
                <w:bCs/>
                <w:color w:val="000000"/>
              </w:rPr>
              <w:t>TUWA</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B7BF0" w14:textId="77777777" w:rsidR="0097032C" w:rsidRPr="00AF4494" w:rsidRDefault="0097032C" w:rsidP="00AE5C81">
            <w:pPr>
              <w:spacing w:before="0" w:after="0"/>
              <w:rPr>
                <w:rFonts w:ascii="Arial Narrow" w:hAnsi="Arial Narrow" w:cs="Calibri"/>
                <w:b/>
                <w:bCs/>
                <w:color w:val="000000"/>
              </w:rPr>
            </w:pPr>
            <w:r w:rsidRPr="00AF4494">
              <w:rPr>
                <w:rFonts w:ascii="Arial Narrow" w:hAnsi="Arial Narrow" w:cs="Calibri"/>
                <w:b/>
                <w:bCs/>
                <w:color w:val="000000"/>
              </w:rPr>
              <w:t>VLAP</w:t>
            </w:r>
          </w:p>
        </w:tc>
      </w:tr>
      <w:tr w:rsidR="0097032C" w:rsidRPr="00AF4494" w14:paraId="1034EFA4" w14:textId="77777777" w:rsidTr="002E1E7C">
        <w:trPr>
          <w:trHeight w:val="255"/>
        </w:trPr>
        <w:tc>
          <w:tcPr>
            <w:tcW w:w="1163" w:type="pct"/>
            <w:tcBorders>
              <w:top w:val="single" w:sz="4" w:space="0" w:color="auto"/>
              <w:left w:val="single" w:sz="4" w:space="0" w:color="auto"/>
              <w:bottom w:val="single" w:sz="4" w:space="0" w:color="auto"/>
            </w:tcBorders>
            <w:shd w:val="clear" w:color="auto" w:fill="auto"/>
            <w:noWrap/>
            <w:vAlign w:val="bottom"/>
            <w:hideMark/>
          </w:tcPr>
          <w:p w14:paraId="67EAE2DE" w14:textId="77777777" w:rsidR="0097032C" w:rsidRPr="00AF4494" w:rsidRDefault="0097032C" w:rsidP="00AE5C81">
            <w:pPr>
              <w:spacing w:before="0" w:after="0"/>
              <w:rPr>
                <w:rFonts w:ascii="Arial Narrow" w:hAnsi="Arial Narrow" w:cs="Calibri"/>
                <w:i/>
                <w:iCs/>
                <w:color w:val="000000"/>
              </w:rPr>
            </w:pPr>
            <w:r w:rsidRPr="00AF4494">
              <w:rPr>
                <w:rFonts w:ascii="Arial Narrow" w:hAnsi="Arial Narrow" w:cs="Calibri"/>
                <w:i/>
                <w:iCs/>
                <w:color w:val="000000"/>
              </w:rPr>
              <w:t>IPSS after 12 months</w:t>
            </w:r>
          </w:p>
        </w:tc>
        <w:tc>
          <w:tcPr>
            <w:tcW w:w="767" w:type="pct"/>
            <w:tcBorders>
              <w:top w:val="single" w:sz="4" w:space="0" w:color="auto"/>
              <w:bottom w:val="single" w:sz="4" w:space="0" w:color="auto"/>
            </w:tcBorders>
            <w:vAlign w:val="bottom"/>
          </w:tcPr>
          <w:p w14:paraId="390E594F"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tcBorders>
            <w:shd w:val="clear" w:color="auto" w:fill="auto"/>
            <w:noWrap/>
            <w:vAlign w:val="bottom"/>
            <w:hideMark/>
          </w:tcPr>
          <w:p w14:paraId="7684EC6F"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tcBorders>
            <w:shd w:val="clear" w:color="auto" w:fill="auto"/>
            <w:noWrap/>
            <w:vAlign w:val="bottom"/>
            <w:hideMark/>
          </w:tcPr>
          <w:p w14:paraId="646F5C20"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tcBorders>
            <w:vAlign w:val="bottom"/>
          </w:tcPr>
          <w:p w14:paraId="1F2E36EE"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right w:val="single" w:sz="4" w:space="0" w:color="auto"/>
            </w:tcBorders>
            <w:shd w:val="clear" w:color="auto" w:fill="auto"/>
            <w:noWrap/>
            <w:vAlign w:val="bottom"/>
            <w:hideMark/>
          </w:tcPr>
          <w:p w14:paraId="4AFE133D" w14:textId="77777777" w:rsidR="0097032C" w:rsidRPr="00AF4494" w:rsidRDefault="0097032C" w:rsidP="00AE5C81">
            <w:pPr>
              <w:spacing w:before="0" w:after="0"/>
              <w:jc w:val="center"/>
              <w:rPr>
                <w:rFonts w:ascii="Arial Narrow" w:hAnsi="Arial Narrow" w:cs="Calibri"/>
                <w:color w:val="000000"/>
              </w:rPr>
            </w:pPr>
          </w:p>
        </w:tc>
      </w:tr>
      <w:tr w:rsidR="0097032C" w:rsidRPr="00AF4494" w14:paraId="23A3E17D" w14:textId="77777777" w:rsidTr="002E1E7C">
        <w:trPr>
          <w:trHeight w:val="255"/>
        </w:trPr>
        <w:tc>
          <w:tcPr>
            <w:tcW w:w="1163" w:type="pct"/>
            <w:tcBorders>
              <w:top w:val="nil"/>
              <w:left w:val="single" w:sz="4" w:space="0" w:color="auto"/>
              <w:bottom w:val="single" w:sz="4" w:space="0" w:color="auto"/>
              <w:right w:val="single" w:sz="4" w:space="0" w:color="auto"/>
            </w:tcBorders>
            <w:shd w:val="clear" w:color="auto" w:fill="auto"/>
            <w:noWrap/>
            <w:vAlign w:val="bottom"/>
            <w:hideMark/>
          </w:tcPr>
          <w:p w14:paraId="59DA304E" w14:textId="77777777" w:rsidR="0097032C" w:rsidRPr="00AF4494" w:rsidRDefault="0097032C" w:rsidP="00AE5C81">
            <w:pPr>
              <w:spacing w:before="0" w:after="0"/>
              <w:rPr>
                <w:rFonts w:ascii="Arial Narrow" w:hAnsi="Arial Narrow" w:cs="Calibri"/>
                <w:color w:val="000000"/>
              </w:rPr>
            </w:pPr>
            <w:r w:rsidRPr="00AF4494">
              <w:rPr>
                <w:rFonts w:ascii="Arial Narrow" w:hAnsi="Arial Narrow" w:cs="Calibri"/>
                <w:color w:val="000000"/>
              </w:rPr>
              <w:t>Mean difference</w:t>
            </w:r>
          </w:p>
        </w:tc>
        <w:tc>
          <w:tcPr>
            <w:tcW w:w="767" w:type="pct"/>
            <w:tcBorders>
              <w:top w:val="single" w:sz="4" w:space="0" w:color="auto"/>
              <w:left w:val="nil"/>
              <w:bottom w:val="single" w:sz="4" w:space="0" w:color="auto"/>
              <w:right w:val="single" w:sz="4" w:space="0" w:color="auto"/>
            </w:tcBorders>
            <w:vAlign w:val="bottom"/>
          </w:tcPr>
          <w:p w14:paraId="227C165A" w14:textId="77777777" w:rsidR="0097032C" w:rsidRPr="00AF4494" w:rsidRDefault="0097032C" w:rsidP="00AE5C81">
            <w:pPr>
              <w:spacing w:before="0" w:after="0"/>
              <w:jc w:val="center"/>
              <w:rPr>
                <w:rFonts w:ascii="Arial Narrow" w:hAnsi="Arial Narrow" w:cs="Calibri"/>
                <w:color w:val="000000"/>
              </w:rPr>
            </w:pPr>
            <w:r>
              <w:rPr>
                <w:rFonts w:ascii="Arial Narrow" w:hAnsi="Arial Narrow" w:cs="Calibri"/>
                <w:color w:val="000000"/>
              </w:rPr>
              <w:t>–</w:t>
            </w:r>
            <w:r w:rsidRPr="00AF4494">
              <w:rPr>
                <w:rFonts w:ascii="Arial Narrow" w:hAnsi="Arial Narrow" w:cs="Calibri"/>
                <w:color w:val="000000"/>
              </w:rPr>
              <w:t>0.51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23165"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1.47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DBA18"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0.63</w:t>
            </w:r>
          </w:p>
        </w:tc>
        <w:tc>
          <w:tcPr>
            <w:tcW w:w="768" w:type="pct"/>
            <w:tcBorders>
              <w:top w:val="single" w:sz="4" w:space="0" w:color="auto"/>
              <w:left w:val="single" w:sz="4" w:space="0" w:color="auto"/>
              <w:bottom w:val="single" w:sz="4" w:space="0" w:color="auto"/>
              <w:right w:val="single" w:sz="4" w:space="0" w:color="auto"/>
            </w:tcBorders>
            <w:vAlign w:val="bottom"/>
          </w:tcPr>
          <w:p w14:paraId="053912B9"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3.6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FFB2D"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1.2</w:t>
            </w:r>
          </w:p>
        </w:tc>
      </w:tr>
      <w:tr w:rsidR="0097032C" w:rsidRPr="00AF4494" w14:paraId="7CCB3CDC" w14:textId="77777777" w:rsidTr="002E1E7C">
        <w:trPr>
          <w:trHeight w:val="255"/>
        </w:trPr>
        <w:tc>
          <w:tcPr>
            <w:tcW w:w="1163" w:type="pct"/>
            <w:tcBorders>
              <w:top w:val="nil"/>
              <w:left w:val="single" w:sz="4" w:space="0" w:color="auto"/>
              <w:bottom w:val="single" w:sz="4" w:space="0" w:color="auto"/>
              <w:right w:val="single" w:sz="4" w:space="0" w:color="auto"/>
            </w:tcBorders>
            <w:shd w:val="clear" w:color="auto" w:fill="auto"/>
            <w:noWrap/>
            <w:vAlign w:val="bottom"/>
            <w:hideMark/>
          </w:tcPr>
          <w:p w14:paraId="610E40DD" w14:textId="77777777" w:rsidR="0097032C" w:rsidRPr="00AF4494" w:rsidRDefault="0097032C" w:rsidP="00AE5C81">
            <w:pPr>
              <w:spacing w:before="0" w:after="0"/>
              <w:rPr>
                <w:rFonts w:ascii="Arial Narrow" w:hAnsi="Arial Narrow" w:cs="Calibri"/>
                <w:color w:val="000000"/>
              </w:rPr>
            </w:pPr>
            <w:r w:rsidRPr="00AF4494">
              <w:rPr>
                <w:rFonts w:ascii="Arial Narrow" w:hAnsi="Arial Narrow" w:cs="Calibri"/>
                <w:color w:val="000000"/>
              </w:rPr>
              <w:t>95% CI</w:t>
            </w:r>
          </w:p>
        </w:tc>
        <w:tc>
          <w:tcPr>
            <w:tcW w:w="767" w:type="pct"/>
            <w:tcBorders>
              <w:top w:val="single" w:sz="4" w:space="0" w:color="auto"/>
              <w:left w:val="nil"/>
              <w:bottom w:val="single" w:sz="4" w:space="0" w:color="auto"/>
              <w:right w:val="single" w:sz="4" w:space="0" w:color="auto"/>
            </w:tcBorders>
            <w:vAlign w:val="bottom"/>
          </w:tcPr>
          <w:p w14:paraId="7ADB50EC"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w:t>
            </w:r>
            <w:r>
              <w:rPr>
                <w:rFonts w:ascii="Arial Narrow" w:hAnsi="Arial Narrow" w:cs="Calibri"/>
                <w:color w:val="000000"/>
              </w:rPr>
              <w:t>–</w:t>
            </w:r>
            <w:r w:rsidRPr="00AF4494">
              <w:rPr>
                <w:rFonts w:ascii="Arial Narrow" w:hAnsi="Arial Narrow" w:cs="Calibri"/>
                <w:color w:val="000000"/>
              </w:rPr>
              <w:t xml:space="preserve">0.98, </w:t>
            </w:r>
            <w:r>
              <w:rPr>
                <w:rFonts w:ascii="Arial Narrow" w:hAnsi="Arial Narrow" w:cs="Calibri"/>
                <w:color w:val="000000"/>
              </w:rPr>
              <w:t>–</w:t>
            </w:r>
            <w:r w:rsidRPr="00AF4494">
              <w:rPr>
                <w:rFonts w:ascii="Arial Narrow" w:hAnsi="Arial Narrow" w:cs="Calibri"/>
                <w:color w:val="000000"/>
              </w:rPr>
              <w:t>0.04)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C6A7D"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w:t>
            </w:r>
            <w:r>
              <w:rPr>
                <w:rFonts w:ascii="Arial Narrow" w:hAnsi="Arial Narrow" w:cs="Calibri"/>
                <w:color w:val="000000"/>
              </w:rPr>
              <w:t>–</w:t>
            </w:r>
            <w:r w:rsidRPr="00AF4494">
              <w:rPr>
                <w:rFonts w:ascii="Arial Narrow" w:hAnsi="Arial Narrow" w:cs="Calibri"/>
                <w:color w:val="000000"/>
              </w:rPr>
              <w:t>4, 6.93)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27E2"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 xml:space="preserve">(0.4, </w:t>
            </w:r>
            <w:r>
              <w:rPr>
                <w:rFonts w:ascii="Arial Narrow" w:hAnsi="Arial Narrow" w:cs="Calibri"/>
                <w:color w:val="000000"/>
              </w:rPr>
              <w:t>–</w:t>
            </w:r>
            <w:r w:rsidRPr="00AF4494">
              <w:rPr>
                <w:rFonts w:ascii="Arial Narrow" w:hAnsi="Arial Narrow" w:cs="Calibri"/>
                <w:color w:val="000000"/>
              </w:rPr>
              <w:t>0.85)</w:t>
            </w:r>
          </w:p>
        </w:tc>
        <w:tc>
          <w:tcPr>
            <w:tcW w:w="768" w:type="pct"/>
            <w:tcBorders>
              <w:top w:val="single" w:sz="4" w:space="0" w:color="auto"/>
              <w:left w:val="single" w:sz="4" w:space="0" w:color="auto"/>
              <w:bottom w:val="single" w:sz="4" w:space="0" w:color="auto"/>
              <w:right w:val="single" w:sz="4" w:space="0" w:color="auto"/>
            </w:tcBorders>
            <w:vAlign w:val="bottom"/>
          </w:tcPr>
          <w:p w14:paraId="065CE737"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w:t>
            </w:r>
            <w:r>
              <w:rPr>
                <w:rFonts w:ascii="Arial Narrow" w:hAnsi="Arial Narrow" w:cs="Calibri"/>
                <w:color w:val="000000"/>
              </w:rPr>
              <w:t>–</w:t>
            </w:r>
            <w:r w:rsidRPr="00AF4494">
              <w:rPr>
                <w:rFonts w:ascii="Arial Narrow" w:hAnsi="Arial Narrow" w:cs="Calibri"/>
                <w:color w:val="000000"/>
              </w:rPr>
              <w:t>4.25, 11.26)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EE1DA"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(0, 2.4)</w:t>
            </w:r>
          </w:p>
        </w:tc>
      </w:tr>
      <w:tr w:rsidR="0097032C" w:rsidRPr="00AF4494" w14:paraId="52AA065B" w14:textId="77777777" w:rsidTr="002E1E7C">
        <w:trPr>
          <w:trHeight w:val="255"/>
        </w:trPr>
        <w:tc>
          <w:tcPr>
            <w:tcW w:w="1163" w:type="pct"/>
            <w:tcBorders>
              <w:top w:val="single" w:sz="4" w:space="0" w:color="auto"/>
              <w:left w:val="single" w:sz="4" w:space="0" w:color="auto"/>
              <w:bottom w:val="single" w:sz="4" w:space="0" w:color="auto"/>
            </w:tcBorders>
            <w:shd w:val="clear" w:color="auto" w:fill="auto"/>
            <w:noWrap/>
            <w:vAlign w:val="bottom"/>
            <w:hideMark/>
          </w:tcPr>
          <w:p w14:paraId="1BEACDDE" w14:textId="77777777" w:rsidR="0097032C" w:rsidRPr="00AF4494" w:rsidRDefault="0097032C" w:rsidP="00AE5C81">
            <w:pPr>
              <w:spacing w:before="0" w:after="0"/>
              <w:rPr>
                <w:rFonts w:ascii="Arial Narrow" w:hAnsi="Arial Narrow" w:cs="Calibri"/>
                <w:i/>
                <w:iCs/>
                <w:color w:val="000000"/>
              </w:rPr>
            </w:pPr>
            <w:proofErr w:type="spellStart"/>
            <w:r w:rsidRPr="00AF4494">
              <w:rPr>
                <w:rFonts w:ascii="Arial Narrow" w:hAnsi="Arial Narrow" w:cs="Calibri"/>
                <w:i/>
                <w:iCs/>
                <w:color w:val="000000"/>
              </w:rPr>
              <w:t>Qmax</w:t>
            </w:r>
            <w:proofErr w:type="spellEnd"/>
            <w:r w:rsidRPr="00AF4494">
              <w:rPr>
                <w:rFonts w:ascii="Arial Narrow" w:hAnsi="Arial Narrow" w:cs="Calibri"/>
                <w:i/>
                <w:iCs/>
                <w:color w:val="000000"/>
              </w:rPr>
              <w:t xml:space="preserve"> after 12 months</w:t>
            </w:r>
          </w:p>
        </w:tc>
        <w:tc>
          <w:tcPr>
            <w:tcW w:w="767" w:type="pct"/>
            <w:tcBorders>
              <w:top w:val="single" w:sz="4" w:space="0" w:color="auto"/>
              <w:bottom w:val="single" w:sz="4" w:space="0" w:color="auto"/>
            </w:tcBorders>
            <w:vAlign w:val="bottom"/>
          </w:tcPr>
          <w:p w14:paraId="19E88090"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tcBorders>
            <w:shd w:val="clear" w:color="auto" w:fill="auto"/>
            <w:noWrap/>
            <w:vAlign w:val="bottom"/>
            <w:hideMark/>
          </w:tcPr>
          <w:p w14:paraId="0798CFA9"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tcBorders>
            <w:shd w:val="clear" w:color="auto" w:fill="auto"/>
            <w:noWrap/>
            <w:vAlign w:val="bottom"/>
            <w:hideMark/>
          </w:tcPr>
          <w:p w14:paraId="0C63347B"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tcBorders>
            <w:vAlign w:val="bottom"/>
          </w:tcPr>
          <w:p w14:paraId="54E0FAFE"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right w:val="single" w:sz="4" w:space="0" w:color="auto"/>
            </w:tcBorders>
            <w:shd w:val="clear" w:color="auto" w:fill="auto"/>
            <w:noWrap/>
            <w:vAlign w:val="bottom"/>
            <w:hideMark/>
          </w:tcPr>
          <w:p w14:paraId="5609D7D6" w14:textId="77777777" w:rsidR="0097032C" w:rsidRPr="00AF4494" w:rsidRDefault="0097032C" w:rsidP="00AE5C81">
            <w:pPr>
              <w:spacing w:before="0" w:after="0"/>
              <w:jc w:val="center"/>
              <w:rPr>
                <w:rFonts w:ascii="Arial Narrow" w:hAnsi="Arial Narrow" w:cs="Calibri"/>
                <w:color w:val="000000"/>
              </w:rPr>
            </w:pPr>
          </w:p>
        </w:tc>
      </w:tr>
      <w:tr w:rsidR="0097032C" w:rsidRPr="00AF4494" w14:paraId="603BABDC" w14:textId="77777777" w:rsidTr="002E1E7C">
        <w:trPr>
          <w:trHeight w:val="255"/>
        </w:trPr>
        <w:tc>
          <w:tcPr>
            <w:tcW w:w="1163" w:type="pct"/>
            <w:tcBorders>
              <w:top w:val="nil"/>
              <w:left w:val="single" w:sz="4" w:space="0" w:color="auto"/>
              <w:bottom w:val="single" w:sz="4" w:space="0" w:color="auto"/>
              <w:right w:val="single" w:sz="4" w:space="0" w:color="auto"/>
            </w:tcBorders>
            <w:shd w:val="clear" w:color="auto" w:fill="auto"/>
            <w:noWrap/>
            <w:vAlign w:val="bottom"/>
            <w:hideMark/>
          </w:tcPr>
          <w:p w14:paraId="5FC2B430" w14:textId="77777777" w:rsidR="0097032C" w:rsidRPr="00AF4494" w:rsidRDefault="0097032C" w:rsidP="00AE5C81">
            <w:pPr>
              <w:spacing w:before="0" w:after="0"/>
              <w:rPr>
                <w:rFonts w:ascii="Arial Narrow" w:hAnsi="Arial Narrow" w:cs="Calibri"/>
                <w:color w:val="000000"/>
              </w:rPr>
            </w:pPr>
            <w:r w:rsidRPr="00AF4494">
              <w:rPr>
                <w:rFonts w:ascii="Arial Narrow" w:hAnsi="Arial Narrow" w:cs="Calibri"/>
                <w:color w:val="000000"/>
              </w:rPr>
              <w:t>Mean difference</w:t>
            </w:r>
          </w:p>
        </w:tc>
        <w:tc>
          <w:tcPr>
            <w:tcW w:w="767" w:type="pct"/>
            <w:tcBorders>
              <w:top w:val="single" w:sz="4" w:space="0" w:color="auto"/>
              <w:left w:val="nil"/>
              <w:bottom w:val="single" w:sz="4" w:space="0" w:color="auto"/>
              <w:right w:val="single" w:sz="4" w:space="0" w:color="auto"/>
            </w:tcBorders>
            <w:vAlign w:val="bottom"/>
          </w:tcPr>
          <w:p w14:paraId="4B877B31" w14:textId="77777777" w:rsidR="0097032C" w:rsidDel="004E3ADE"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0.49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8DD3E7" w14:textId="77777777" w:rsidR="0097032C" w:rsidRPr="00AF4494" w:rsidRDefault="0097032C" w:rsidP="00AE5C81">
            <w:pPr>
              <w:spacing w:before="0" w:after="0"/>
              <w:jc w:val="center"/>
              <w:rPr>
                <w:rFonts w:ascii="Arial Narrow" w:hAnsi="Arial Narrow" w:cs="Calibri"/>
                <w:color w:val="000000"/>
              </w:rPr>
            </w:pPr>
            <w:r>
              <w:rPr>
                <w:rFonts w:ascii="Arial Narrow" w:hAnsi="Arial Narrow" w:cs="Calibri"/>
                <w:color w:val="000000"/>
              </w:rPr>
              <w:t>NA</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71B3D" w14:textId="77777777" w:rsidR="0097032C" w:rsidRPr="00AF4494" w:rsidRDefault="0097032C" w:rsidP="00AE5C81">
            <w:pPr>
              <w:spacing w:before="0" w:after="0"/>
              <w:jc w:val="center"/>
              <w:rPr>
                <w:rFonts w:ascii="Arial Narrow" w:hAnsi="Arial Narrow" w:cs="Calibri"/>
                <w:color w:val="000000"/>
              </w:rPr>
            </w:pPr>
            <w:r>
              <w:rPr>
                <w:rFonts w:ascii="Arial Narrow" w:hAnsi="Arial Narrow" w:cs="Calibri"/>
                <w:color w:val="000000"/>
              </w:rPr>
              <w:t>–</w:t>
            </w:r>
            <w:r w:rsidRPr="00AF4494">
              <w:rPr>
                <w:rFonts w:ascii="Arial Narrow" w:hAnsi="Arial Narrow" w:cs="Calibri"/>
                <w:color w:val="000000"/>
              </w:rPr>
              <w:t>5.52</w:t>
            </w:r>
          </w:p>
        </w:tc>
        <w:tc>
          <w:tcPr>
            <w:tcW w:w="768" w:type="pct"/>
            <w:tcBorders>
              <w:top w:val="single" w:sz="4" w:space="0" w:color="auto"/>
              <w:left w:val="single" w:sz="4" w:space="0" w:color="auto"/>
              <w:bottom w:val="single" w:sz="4" w:space="0" w:color="auto"/>
              <w:right w:val="single" w:sz="4" w:space="0" w:color="auto"/>
            </w:tcBorders>
            <w:vAlign w:val="bottom"/>
          </w:tcPr>
          <w:p w14:paraId="36ACB03A" w14:textId="77777777" w:rsidR="0097032C" w:rsidRDefault="0097032C" w:rsidP="00AE5C81">
            <w:pPr>
              <w:spacing w:before="0" w:after="0"/>
              <w:jc w:val="center"/>
              <w:rPr>
                <w:rFonts w:ascii="Arial Narrow" w:hAnsi="Arial Narrow" w:cs="Calibri"/>
                <w:color w:val="000000"/>
              </w:rPr>
            </w:pPr>
            <w:r>
              <w:rPr>
                <w:rFonts w:ascii="Arial Narrow" w:hAnsi="Arial Narrow" w:cs="Calibri"/>
                <w:color w:val="000000"/>
              </w:rPr>
              <w:t>NA</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7C56" w14:textId="77777777" w:rsidR="0097032C" w:rsidRPr="00AF4494" w:rsidRDefault="0097032C" w:rsidP="00AE5C81">
            <w:pPr>
              <w:spacing w:before="0" w:after="0"/>
              <w:jc w:val="center"/>
              <w:rPr>
                <w:rFonts w:ascii="Arial Narrow" w:hAnsi="Arial Narrow" w:cs="Calibri"/>
                <w:color w:val="000000"/>
              </w:rPr>
            </w:pPr>
            <w:r>
              <w:rPr>
                <w:rFonts w:ascii="Arial Narrow" w:hAnsi="Arial Narrow" w:cs="Calibri"/>
                <w:color w:val="000000"/>
              </w:rPr>
              <w:t>–</w:t>
            </w:r>
            <w:r w:rsidRPr="00AF4494">
              <w:rPr>
                <w:rFonts w:ascii="Arial Narrow" w:hAnsi="Arial Narrow" w:cs="Calibri"/>
                <w:color w:val="000000"/>
              </w:rPr>
              <w:t>1.18</w:t>
            </w:r>
          </w:p>
        </w:tc>
      </w:tr>
      <w:tr w:rsidR="0097032C" w:rsidRPr="00AF4494" w14:paraId="4970DEB1" w14:textId="77777777" w:rsidTr="002E1E7C">
        <w:trPr>
          <w:trHeight w:val="255"/>
        </w:trPr>
        <w:tc>
          <w:tcPr>
            <w:tcW w:w="1163" w:type="pct"/>
            <w:tcBorders>
              <w:top w:val="nil"/>
              <w:left w:val="single" w:sz="4" w:space="0" w:color="auto"/>
              <w:bottom w:val="single" w:sz="4" w:space="0" w:color="auto"/>
              <w:right w:val="single" w:sz="4" w:space="0" w:color="auto"/>
            </w:tcBorders>
            <w:shd w:val="clear" w:color="auto" w:fill="auto"/>
            <w:noWrap/>
            <w:vAlign w:val="bottom"/>
            <w:hideMark/>
          </w:tcPr>
          <w:p w14:paraId="6C3CEEBC" w14:textId="77777777" w:rsidR="0097032C" w:rsidRPr="00AF4494" w:rsidRDefault="0097032C" w:rsidP="00AE5C81">
            <w:pPr>
              <w:spacing w:before="0" w:after="0"/>
              <w:rPr>
                <w:rFonts w:ascii="Arial Narrow" w:hAnsi="Arial Narrow" w:cs="Calibri"/>
                <w:color w:val="000000"/>
              </w:rPr>
            </w:pPr>
            <w:r w:rsidRPr="00AF4494">
              <w:rPr>
                <w:rFonts w:ascii="Arial Narrow" w:hAnsi="Arial Narrow" w:cs="Calibri"/>
                <w:color w:val="000000"/>
              </w:rPr>
              <w:t>95% CI</w:t>
            </w:r>
          </w:p>
        </w:tc>
        <w:tc>
          <w:tcPr>
            <w:tcW w:w="767" w:type="pct"/>
            <w:tcBorders>
              <w:top w:val="single" w:sz="4" w:space="0" w:color="auto"/>
              <w:left w:val="nil"/>
              <w:bottom w:val="single" w:sz="4" w:space="0" w:color="auto"/>
              <w:right w:val="single" w:sz="4" w:space="0" w:color="auto"/>
            </w:tcBorders>
            <w:vAlign w:val="bottom"/>
          </w:tcPr>
          <w:p w14:paraId="789F9E00" w14:textId="77777777" w:rsidR="0097032C" w:rsidDel="004E3ADE"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(0.12, 0.86)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D6202" w14:textId="77777777" w:rsidR="0097032C" w:rsidRPr="00AF4494" w:rsidRDefault="0097032C" w:rsidP="00AE5C81">
            <w:pPr>
              <w:spacing w:before="0" w:after="0"/>
              <w:jc w:val="center"/>
              <w:rPr>
                <w:rFonts w:ascii="Arial Narrow" w:hAnsi="Arial Narrow" w:cs="Calibri"/>
                <w:color w:val="000000"/>
              </w:rPr>
            </w:pPr>
            <w:r>
              <w:rPr>
                <w:rFonts w:ascii="Arial Narrow" w:hAnsi="Arial Narrow" w:cs="Calibri"/>
                <w:color w:val="000000"/>
              </w:rPr>
              <w:t>NA</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5B1E1"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w:t>
            </w:r>
            <w:r>
              <w:rPr>
                <w:rFonts w:ascii="Arial Narrow" w:hAnsi="Arial Narrow" w:cs="Calibri"/>
                <w:color w:val="000000"/>
              </w:rPr>
              <w:t>–</w:t>
            </w:r>
            <w:r w:rsidRPr="00AF4494">
              <w:rPr>
                <w:rFonts w:ascii="Arial Narrow" w:hAnsi="Arial Narrow" w:cs="Calibri"/>
                <w:color w:val="000000"/>
              </w:rPr>
              <w:t xml:space="preserve">7.18, </w:t>
            </w:r>
            <w:r>
              <w:rPr>
                <w:rFonts w:ascii="Arial Narrow" w:hAnsi="Arial Narrow" w:cs="Calibri"/>
                <w:color w:val="000000"/>
              </w:rPr>
              <w:t>–</w:t>
            </w:r>
            <w:r w:rsidRPr="00AF4494">
              <w:rPr>
                <w:rFonts w:ascii="Arial Narrow" w:hAnsi="Arial Narrow" w:cs="Calibri"/>
                <w:color w:val="000000"/>
              </w:rPr>
              <w:t>3.87)</w:t>
            </w:r>
          </w:p>
        </w:tc>
        <w:tc>
          <w:tcPr>
            <w:tcW w:w="768" w:type="pct"/>
            <w:tcBorders>
              <w:top w:val="single" w:sz="4" w:space="0" w:color="auto"/>
              <w:left w:val="single" w:sz="4" w:space="0" w:color="auto"/>
              <w:bottom w:val="single" w:sz="4" w:space="0" w:color="auto"/>
              <w:right w:val="single" w:sz="4" w:space="0" w:color="auto"/>
            </w:tcBorders>
            <w:vAlign w:val="bottom"/>
          </w:tcPr>
          <w:p w14:paraId="0025E5B3" w14:textId="77777777" w:rsidR="0097032C" w:rsidRPr="00AF4494" w:rsidRDefault="0097032C" w:rsidP="00AE5C81">
            <w:pPr>
              <w:spacing w:before="0" w:after="0"/>
              <w:jc w:val="center"/>
              <w:rPr>
                <w:rFonts w:ascii="Arial Narrow" w:hAnsi="Arial Narrow" w:cs="Calibri"/>
                <w:color w:val="000000"/>
              </w:rPr>
            </w:pPr>
            <w:r>
              <w:rPr>
                <w:rFonts w:ascii="Arial Narrow" w:hAnsi="Arial Narrow" w:cs="Calibri"/>
                <w:color w:val="000000"/>
              </w:rPr>
              <w:t>NA</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9B927"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w:t>
            </w:r>
            <w:r>
              <w:rPr>
                <w:rFonts w:ascii="Arial Narrow" w:hAnsi="Arial Narrow" w:cs="Calibri"/>
                <w:color w:val="000000"/>
              </w:rPr>
              <w:t>–</w:t>
            </w:r>
            <w:r w:rsidRPr="00AF4494">
              <w:rPr>
                <w:rFonts w:ascii="Arial Narrow" w:hAnsi="Arial Narrow" w:cs="Calibri"/>
                <w:color w:val="000000"/>
              </w:rPr>
              <w:t>3.59, 1.23)</w:t>
            </w:r>
          </w:p>
        </w:tc>
      </w:tr>
      <w:tr w:rsidR="0097032C" w:rsidRPr="00AF4494" w14:paraId="518D31F7" w14:textId="77777777" w:rsidTr="002E1E7C">
        <w:trPr>
          <w:trHeight w:val="255"/>
        </w:trPr>
        <w:tc>
          <w:tcPr>
            <w:tcW w:w="1163" w:type="pct"/>
            <w:tcBorders>
              <w:top w:val="single" w:sz="4" w:space="0" w:color="auto"/>
              <w:left w:val="single" w:sz="4" w:space="0" w:color="auto"/>
              <w:bottom w:val="single" w:sz="4" w:space="0" w:color="auto"/>
            </w:tcBorders>
            <w:shd w:val="clear" w:color="auto" w:fill="auto"/>
            <w:noWrap/>
            <w:vAlign w:val="bottom"/>
            <w:hideMark/>
          </w:tcPr>
          <w:p w14:paraId="0A1C0625" w14:textId="77777777" w:rsidR="0097032C" w:rsidRPr="00AF4494" w:rsidRDefault="0097032C" w:rsidP="00AE5C81">
            <w:pPr>
              <w:spacing w:before="0" w:after="0"/>
              <w:rPr>
                <w:rFonts w:ascii="Arial Narrow" w:hAnsi="Arial Narrow" w:cs="Calibri"/>
                <w:i/>
                <w:iCs/>
                <w:color w:val="000000"/>
              </w:rPr>
            </w:pPr>
            <w:r w:rsidRPr="00AF4494">
              <w:rPr>
                <w:rFonts w:ascii="Arial Narrow" w:hAnsi="Arial Narrow" w:cs="Calibri"/>
                <w:i/>
                <w:iCs/>
                <w:color w:val="000000"/>
              </w:rPr>
              <w:t>Reintervention</w:t>
            </w:r>
          </w:p>
        </w:tc>
        <w:tc>
          <w:tcPr>
            <w:tcW w:w="767" w:type="pct"/>
            <w:tcBorders>
              <w:top w:val="single" w:sz="4" w:space="0" w:color="auto"/>
              <w:bottom w:val="single" w:sz="4" w:space="0" w:color="auto"/>
            </w:tcBorders>
            <w:vAlign w:val="bottom"/>
          </w:tcPr>
          <w:p w14:paraId="702464BF"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tcBorders>
            <w:shd w:val="clear" w:color="auto" w:fill="auto"/>
            <w:noWrap/>
            <w:vAlign w:val="bottom"/>
            <w:hideMark/>
          </w:tcPr>
          <w:p w14:paraId="3F39F324"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tcBorders>
            <w:shd w:val="clear" w:color="auto" w:fill="auto"/>
            <w:noWrap/>
            <w:vAlign w:val="bottom"/>
            <w:hideMark/>
          </w:tcPr>
          <w:p w14:paraId="2D317A61"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tcBorders>
            <w:vAlign w:val="bottom"/>
          </w:tcPr>
          <w:p w14:paraId="5E30ADF5" w14:textId="77777777" w:rsidR="0097032C" w:rsidRPr="00AF4494" w:rsidRDefault="0097032C" w:rsidP="00AE5C81">
            <w:pPr>
              <w:spacing w:before="0" w:after="0"/>
              <w:jc w:val="center"/>
              <w:rPr>
                <w:rFonts w:ascii="Arial Narrow" w:hAnsi="Arial Narrow" w:cs="Calibri"/>
                <w:color w:val="000000"/>
              </w:rPr>
            </w:pPr>
          </w:p>
        </w:tc>
        <w:tc>
          <w:tcPr>
            <w:tcW w:w="768" w:type="pct"/>
            <w:tcBorders>
              <w:top w:val="single" w:sz="4" w:space="0" w:color="auto"/>
              <w:bottom w:val="single" w:sz="4" w:space="0" w:color="auto"/>
              <w:right w:val="single" w:sz="4" w:space="0" w:color="auto"/>
            </w:tcBorders>
            <w:shd w:val="clear" w:color="auto" w:fill="auto"/>
            <w:noWrap/>
            <w:vAlign w:val="bottom"/>
            <w:hideMark/>
          </w:tcPr>
          <w:p w14:paraId="0C8E7E3A" w14:textId="77777777" w:rsidR="0097032C" w:rsidRPr="00AF4494" w:rsidRDefault="0097032C" w:rsidP="00AE5C81">
            <w:pPr>
              <w:spacing w:before="0" w:after="0"/>
              <w:jc w:val="center"/>
              <w:rPr>
                <w:rFonts w:ascii="Arial Narrow" w:hAnsi="Arial Narrow" w:cs="Calibri"/>
                <w:color w:val="000000"/>
              </w:rPr>
            </w:pPr>
          </w:p>
        </w:tc>
      </w:tr>
      <w:tr w:rsidR="0097032C" w:rsidRPr="00AF4494" w14:paraId="53B5BE47" w14:textId="77777777" w:rsidTr="002E1E7C">
        <w:trPr>
          <w:trHeight w:val="255"/>
        </w:trPr>
        <w:tc>
          <w:tcPr>
            <w:tcW w:w="1163" w:type="pct"/>
            <w:tcBorders>
              <w:top w:val="nil"/>
              <w:left w:val="single" w:sz="4" w:space="0" w:color="auto"/>
              <w:bottom w:val="single" w:sz="4" w:space="0" w:color="auto"/>
              <w:right w:val="single" w:sz="4" w:space="0" w:color="auto"/>
            </w:tcBorders>
            <w:shd w:val="clear" w:color="auto" w:fill="auto"/>
            <w:noWrap/>
            <w:vAlign w:val="bottom"/>
            <w:hideMark/>
          </w:tcPr>
          <w:p w14:paraId="30C2A1BB" w14:textId="77777777" w:rsidR="0097032C" w:rsidRPr="00AF4494" w:rsidRDefault="0097032C" w:rsidP="00AE5C81">
            <w:pPr>
              <w:spacing w:before="0" w:after="0"/>
              <w:rPr>
                <w:rFonts w:ascii="Arial Narrow" w:hAnsi="Arial Narrow" w:cs="Calibri"/>
                <w:color w:val="000000"/>
              </w:rPr>
            </w:pPr>
            <w:r w:rsidRPr="00AF4494">
              <w:rPr>
                <w:rFonts w:ascii="Arial Narrow" w:hAnsi="Arial Narrow" w:cs="Calibri"/>
                <w:color w:val="000000"/>
              </w:rPr>
              <w:t>Risk ratio</w:t>
            </w:r>
          </w:p>
        </w:tc>
        <w:tc>
          <w:tcPr>
            <w:tcW w:w="767" w:type="pct"/>
            <w:tcBorders>
              <w:top w:val="single" w:sz="4" w:space="0" w:color="auto"/>
              <w:left w:val="nil"/>
              <w:bottom w:val="single" w:sz="4" w:space="0" w:color="auto"/>
              <w:right w:val="single" w:sz="4" w:space="0" w:color="auto"/>
            </w:tcBorders>
            <w:vAlign w:val="bottom"/>
          </w:tcPr>
          <w:p w14:paraId="35C343F9"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0.46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37469"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2.39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5A886"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1.46</w:t>
            </w:r>
          </w:p>
        </w:tc>
        <w:tc>
          <w:tcPr>
            <w:tcW w:w="768" w:type="pct"/>
            <w:tcBorders>
              <w:top w:val="single" w:sz="4" w:space="0" w:color="auto"/>
              <w:left w:val="single" w:sz="4" w:space="0" w:color="auto"/>
              <w:bottom w:val="single" w:sz="4" w:space="0" w:color="auto"/>
              <w:right w:val="single" w:sz="4" w:space="0" w:color="auto"/>
            </w:tcBorders>
            <w:vAlign w:val="bottom"/>
          </w:tcPr>
          <w:p w14:paraId="7EFF0859"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1.0</w:t>
            </w:r>
            <w:r>
              <w:rPr>
                <w:rFonts w:ascii="Arial Narrow" w:hAnsi="Arial Narrow" w:cs="Calibri"/>
                <w:color w:val="000000"/>
              </w:rPr>
              <w:t>1</w:t>
            </w:r>
            <w:r w:rsidRPr="00AF4494">
              <w:rPr>
                <w:rFonts w:ascii="Arial Narrow" w:hAnsi="Arial Narrow" w:cs="Calibri"/>
                <w:color w:val="000000"/>
              </w:rPr>
              <w:t>5</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03F36"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0.86</w:t>
            </w:r>
          </w:p>
        </w:tc>
      </w:tr>
      <w:tr w:rsidR="0097032C" w:rsidRPr="00AF4494" w14:paraId="086B9C23" w14:textId="77777777" w:rsidTr="002E1E7C">
        <w:trPr>
          <w:trHeight w:val="255"/>
        </w:trPr>
        <w:tc>
          <w:tcPr>
            <w:tcW w:w="1163" w:type="pct"/>
            <w:tcBorders>
              <w:top w:val="nil"/>
              <w:left w:val="single" w:sz="4" w:space="0" w:color="auto"/>
              <w:bottom w:val="single" w:sz="4" w:space="0" w:color="auto"/>
              <w:right w:val="single" w:sz="4" w:space="0" w:color="auto"/>
            </w:tcBorders>
            <w:shd w:val="clear" w:color="auto" w:fill="auto"/>
            <w:noWrap/>
            <w:vAlign w:val="bottom"/>
            <w:hideMark/>
          </w:tcPr>
          <w:p w14:paraId="7E518474" w14:textId="77777777" w:rsidR="0097032C" w:rsidRPr="00AF4494" w:rsidRDefault="0097032C" w:rsidP="00AE5C81">
            <w:pPr>
              <w:spacing w:before="0" w:after="0"/>
              <w:rPr>
                <w:rFonts w:ascii="Arial Narrow" w:hAnsi="Arial Narrow" w:cs="Calibri"/>
                <w:color w:val="000000"/>
              </w:rPr>
            </w:pPr>
            <w:r w:rsidRPr="00AF4494">
              <w:rPr>
                <w:rFonts w:ascii="Arial Narrow" w:hAnsi="Arial Narrow" w:cs="Calibri"/>
                <w:color w:val="000000"/>
              </w:rPr>
              <w:t>95% CI</w:t>
            </w:r>
          </w:p>
        </w:tc>
        <w:tc>
          <w:tcPr>
            <w:tcW w:w="767" w:type="pct"/>
            <w:tcBorders>
              <w:top w:val="single" w:sz="4" w:space="0" w:color="auto"/>
              <w:left w:val="nil"/>
              <w:bottom w:val="single" w:sz="4" w:space="0" w:color="auto"/>
              <w:right w:val="single" w:sz="4" w:space="0" w:color="auto"/>
            </w:tcBorders>
            <w:vAlign w:val="bottom"/>
          </w:tcPr>
          <w:p w14:paraId="18534E1B" w14:textId="38D4884A" w:rsidR="0097032C" w:rsidRPr="00AF4494" w:rsidRDefault="0097032C" w:rsidP="00710582">
            <w:pPr>
              <w:spacing w:before="0" w:after="0"/>
              <w:jc w:val="center"/>
              <w:rPr>
                <w:rFonts w:ascii="Arial Narrow" w:hAnsi="Arial Narrow" w:cs="Calibri"/>
                <w:color w:val="000000"/>
              </w:rPr>
            </w:pPr>
            <w:r w:rsidRPr="00AF4494">
              <w:rPr>
                <w:rFonts w:ascii="Arial Narrow" w:hAnsi="Arial Narrow" w:cs="Calibri"/>
                <w:color w:val="000000"/>
              </w:rPr>
              <w:t>(0.2</w:t>
            </w:r>
            <w:r w:rsidR="00710582">
              <w:rPr>
                <w:rFonts w:ascii="Arial Narrow" w:hAnsi="Arial Narrow" w:cs="Calibri"/>
                <w:color w:val="000000"/>
              </w:rPr>
              <w:t>3</w:t>
            </w:r>
            <w:r w:rsidRPr="00AF4494">
              <w:rPr>
                <w:rFonts w:ascii="Arial Narrow" w:hAnsi="Arial Narrow" w:cs="Calibri"/>
                <w:color w:val="000000"/>
              </w:rPr>
              <w:t xml:space="preserve">, </w:t>
            </w:r>
            <w:r w:rsidR="00710582">
              <w:rPr>
                <w:rFonts w:ascii="Arial Narrow" w:hAnsi="Arial Narrow" w:cs="Calibri"/>
                <w:color w:val="000000"/>
              </w:rPr>
              <w:t>0.91</w:t>
            </w:r>
            <w:r w:rsidRPr="00AF4494">
              <w:rPr>
                <w:rFonts w:ascii="Arial Narrow" w:hAnsi="Arial Narrow" w:cs="Calibri"/>
                <w:color w:val="000000"/>
              </w:rPr>
              <w:t>)</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80DF1"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(0.51, 11.1)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AFDE"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(0.52, 10.08)</w:t>
            </w:r>
          </w:p>
        </w:tc>
        <w:tc>
          <w:tcPr>
            <w:tcW w:w="768" w:type="pct"/>
            <w:tcBorders>
              <w:top w:val="single" w:sz="4" w:space="0" w:color="auto"/>
              <w:left w:val="single" w:sz="4" w:space="0" w:color="auto"/>
              <w:bottom w:val="single" w:sz="4" w:space="0" w:color="auto"/>
              <w:right w:val="single" w:sz="4" w:space="0" w:color="auto"/>
            </w:tcBorders>
            <w:vAlign w:val="bottom"/>
          </w:tcPr>
          <w:p w14:paraId="39469EE8" w14:textId="77777777" w:rsidR="0097032C" w:rsidRPr="00AF4494" w:rsidRDefault="0097032C" w:rsidP="00AE5C81">
            <w:pPr>
              <w:spacing w:before="0" w:after="0"/>
              <w:jc w:val="center"/>
              <w:rPr>
                <w:rFonts w:ascii="Arial Narrow" w:hAnsi="Arial Narrow" w:cs="Calibri"/>
                <w:color w:val="000000"/>
              </w:rPr>
            </w:pPr>
            <w:r>
              <w:rPr>
                <w:rFonts w:ascii="Arial Narrow" w:hAnsi="Arial Narrow" w:cs="Calibri"/>
                <w:color w:val="000000"/>
              </w:rPr>
              <w:t>NA</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AFA27" w14:textId="77777777" w:rsidR="0097032C" w:rsidRPr="00AF4494" w:rsidRDefault="0097032C" w:rsidP="00AE5C81">
            <w:pPr>
              <w:spacing w:before="0" w:after="0"/>
              <w:jc w:val="center"/>
              <w:rPr>
                <w:rFonts w:ascii="Arial Narrow" w:hAnsi="Arial Narrow" w:cs="Calibri"/>
                <w:color w:val="000000"/>
              </w:rPr>
            </w:pPr>
            <w:r w:rsidRPr="00AF4494">
              <w:rPr>
                <w:rFonts w:ascii="Arial Narrow" w:hAnsi="Arial Narrow" w:cs="Calibri"/>
                <w:color w:val="000000"/>
              </w:rPr>
              <w:t>(0.57, 1.31)</w:t>
            </w:r>
          </w:p>
        </w:tc>
      </w:tr>
    </w:tbl>
    <w:p w14:paraId="4945B47D" w14:textId="77777777" w:rsidR="009521E7" w:rsidRDefault="009521E7" w:rsidP="00085C64">
      <w:pPr>
        <w:pStyle w:val="Tablenotes0"/>
        <w:rPr>
          <w:lang w:eastAsia="en-AU"/>
        </w:rPr>
      </w:pPr>
      <w:r>
        <w:rPr>
          <w:lang w:eastAsia="en-AU"/>
        </w:rPr>
        <w:t xml:space="preserve">Source: Table 10, </w:t>
      </w:r>
      <w:proofErr w:type="spellStart"/>
      <w:r>
        <w:rPr>
          <w:lang w:eastAsia="en-AU"/>
        </w:rPr>
        <w:t>pg</w:t>
      </w:r>
      <w:proofErr w:type="spellEnd"/>
      <w:r>
        <w:rPr>
          <w:lang w:eastAsia="en-AU"/>
        </w:rPr>
        <w:t xml:space="preserve"> 20 of MSAC 1697 DCAR</w:t>
      </w:r>
    </w:p>
    <w:p w14:paraId="297F0251" w14:textId="484ABD15" w:rsidR="008D44D0" w:rsidRPr="008D44D0" w:rsidRDefault="009521E7" w:rsidP="00085C64">
      <w:pPr>
        <w:pStyle w:val="Tablenotes0"/>
        <w:rPr>
          <w:rFonts w:ascii="Segoe UI" w:hAnsi="Segoe UI"/>
          <w:lang w:eastAsia="en-AU"/>
        </w:rPr>
      </w:pPr>
      <w:proofErr w:type="spellStart"/>
      <w:r>
        <w:rPr>
          <w:lang w:eastAsia="en-AU"/>
        </w:rPr>
        <w:t>Abbreivations</w:t>
      </w:r>
      <w:proofErr w:type="spellEnd"/>
      <w:r>
        <w:rPr>
          <w:lang w:eastAsia="en-AU"/>
        </w:rPr>
        <w:t xml:space="preserve">: </w:t>
      </w:r>
      <w:r w:rsidR="7A07CF5B" w:rsidRPr="613BE62B">
        <w:rPr>
          <w:lang w:eastAsia="en-AU"/>
        </w:rPr>
        <w:t xml:space="preserve">CI = confidence interval; </w:t>
      </w:r>
      <w:r w:rsidR="77AFCF44" w:rsidRPr="613BE62B">
        <w:rPr>
          <w:lang w:eastAsia="en-AU"/>
        </w:rPr>
        <w:t xml:space="preserve">EEP = endoscopic enucleation of the prostate; IPSS = International prostate symptom score; </w:t>
      </w:r>
      <w:r w:rsidR="006928FF" w:rsidRPr="006928FF">
        <w:rPr>
          <w:lang w:eastAsia="en-AU"/>
        </w:rPr>
        <w:t xml:space="preserve">NA = indicates data were not available; </w:t>
      </w:r>
      <w:r w:rsidR="77AFCF44" w:rsidRPr="613BE62B">
        <w:rPr>
          <w:lang w:eastAsia="en-AU"/>
        </w:rPr>
        <w:t>PUL = prostatic urethral lift;</w:t>
      </w:r>
      <w:r w:rsidR="7A07CF5B" w:rsidRPr="613BE62B">
        <w:rPr>
          <w:lang w:eastAsia="en-AU"/>
        </w:rPr>
        <w:t xml:space="preserve"> </w:t>
      </w:r>
      <w:proofErr w:type="spellStart"/>
      <w:r w:rsidR="7A07CF5B" w:rsidRPr="613BE62B">
        <w:rPr>
          <w:lang w:eastAsia="en-AU"/>
        </w:rPr>
        <w:t>Qmax</w:t>
      </w:r>
      <w:proofErr w:type="spellEnd"/>
      <w:r w:rsidR="7A07CF5B" w:rsidRPr="613BE62B">
        <w:rPr>
          <w:lang w:eastAsia="en-AU"/>
        </w:rPr>
        <w:t xml:space="preserve"> =</w:t>
      </w:r>
      <w:r w:rsidR="1997A3D1">
        <w:t xml:space="preserve"> </w:t>
      </w:r>
      <w:r w:rsidR="1997A3D1" w:rsidRPr="613BE62B">
        <w:rPr>
          <w:lang w:eastAsia="en-AU"/>
        </w:rPr>
        <w:t>maximum flow rate (of urine flow</w:t>
      </w:r>
      <w:r w:rsidR="77AFCF44" w:rsidRPr="613BE62B">
        <w:rPr>
          <w:lang w:eastAsia="en-AU"/>
        </w:rPr>
        <w:t>); TUMT = transurethral microwave thermotherapy; TURP = transurethral resection of the prostate; TUWA = transurethral water vapour ablation; VLAP = visual laser ablation of the prostate</w:t>
      </w:r>
    </w:p>
    <w:p w14:paraId="52C4B5EA" w14:textId="0DC95582" w:rsidR="0097032C" w:rsidRPr="00710582" w:rsidRDefault="007C3A8A" w:rsidP="00085C64">
      <w:pPr>
        <w:pStyle w:val="Tablenotes0"/>
        <w:rPr>
          <w:lang w:eastAsia="en-AU"/>
        </w:rPr>
      </w:pPr>
      <w:r w:rsidRPr="00710582">
        <w:rPr>
          <w:lang w:eastAsia="en-AU"/>
        </w:rPr>
        <w:t>Note: standardised mean differences are presented</w:t>
      </w:r>
      <w:r w:rsidR="0097032C" w:rsidRPr="00710582">
        <w:rPr>
          <w:lang w:eastAsia="en-AU"/>
        </w:rPr>
        <w:t xml:space="preserve">. </w:t>
      </w:r>
      <w:r w:rsidR="0097032C" w:rsidRPr="00710582">
        <w:t xml:space="preserve">Information not presented or included in the table above indicates gaps in the evidence, which may highlight </w:t>
      </w:r>
      <w:proofErr w:type="spellStart"/>
      <w:r w:rsidR="0097032C" w:rsidRPr="00710582">
        <w:t>uncertainities</w:t>
      </w:r>
      <w:proofErr w:type="spellEnd"/>
      <w:r w:rsidR="0097032C" w:rsidRPr="00710582">
        <w:t xml:space="preserve"> in the estimations in various cost modelling for prostatic procedures.</w:t>
      </w:r>
    </w:p>
    <w:p w14:paraId="0888B552" w14:textId="1AD8B868" w:rsidR="008D44D0" w:rsidRPr="008D44D0" w:rsidRDefault="008D44D0" w:rsidP="00831457">
      <w:pPr>
        <w:rPr>
          <w:rFonts w:ascii="Segoe UI" w:hAnsi="Segoe UI"/>
          <w:sz w:val="18"/>
          <w:szCs w:val="18"/>
          <w:lang w:eastAsia="en-AU"/>
        </w:rPr>
      </w:pPr>
      <w:r w:rsidRPr="008D44D0">
        <w:rPr>
          <w:lang w:eastAsia="en-AU"/>
        </w:rPr>
        <w:t>The clinical evaluation did not identify statistical differences in erectile dysfunction measured with</w:t>
      </w:r>
      <w:r w:rsidR="00A91FF2" w:rsidRPr="00A91FF2">
        <w:t xml:space="preserve"> </w:t>
      </w:r>
      <w:r w:rsidR="00A91FF2" w:rsidRPr="00A91FF2">
        <w:rPr>
          <w:lang w:eastAsia="en-AU"/>
        </w:rPr>
        <w:t>International Index of Erectile Function</w:t>
      </w:r>
      <w:r w:rsidRPr="008D44D0">
        <w:rPr>
          <w:lang w:eastAsia="en-AU"/>
        </w:rPr>
        <w:t xml:space="preserve"> </w:t>
      </w:r>
      <w:r w:rsidR="00A91FF2">
        <w:rPr>
          <w:lang w:eastAsia="en-AU"/>
        </w:rPr>
        <w:t>(</w:t>
      </w:r>
      <w:r w:rsidRPr="008D44D0">
        <w:rPr>
          <w:lang w:eastAsia="en-AU"/>
        </w:rPr>
        <w:t>IIEF</w:t>
      </w:r>
      <w:r w:rsidR="00A91FF2">
        <w:rPr>
          <w:lang w:eastAsia="en-AU"/>
        </w:rPr>
        <w:t>)</w:t>
      </w:r>
      <w:r w:rsidRPr="008D44D0">
        <w:rPr>
          <w:lang w:eastAsia="en-AU"/>
        </w:rPr>
        <w:t xml:space="preserve"> across the included studies. However, it is plausible that sexual function may be more likely to be preserved following a PUL procedure compared with a TURP. </w:t>
      </w:r>
    </w:p>
    <w:p w14:paraId="7FA0C0BC" w14:textId="77777777" w:rsidR="008D44D0" w:rsidRPr="008D44D0" w:rsidRDefault="008D44D0" w:rsidP="00831457">
      <w:pPr>
        <w:rPr>
          <w:rFonts w:ascii="Segoe UI" w:hAnsi="Segoe UI"/>
          <w:sz w:val="18"/>
          <w:szCs w:val="18"/>
          <w:lang w:eastAsia="en-AU"/>
        </w:rPr>
      </w:pPr>
      <w:r w:rsidRPr="008D44D0">
        <w:rPr>
          <w:lang w:eastAsia="en-AU"/>
        </w:rPr>
        <w:t xml:space="preserve">Therefore, while the cost of PUL is </w:t>
      </w:r>
      <w:proofErr w:type="gramStart"/>
      <w:r w:rsidRPr="008D44D0">
        <w:rPr>
          <w:lang w:eastAsia="en-AU"/>
        </w:rPr>
        <w:t>similar to</w:t>
      </w:r>
      <w:proofErr w:type="gramEnd"/>
      <w:r w:rsidRPr="008D44D0">
        <w:rPr>
          <w:lang w:eastAsia="en-AU"/>
        </w:rPr>
        <w:t xml:space="preserve"> TURP, and it is inferior in terms of LUTS and urinary flow, it is an option that may result in lower levels of erectile dysfunction. The availability of a range of reimbursed options may result in a higher overall population utility. </w:t>
      </w:r>
    </w:p>
    <w:p w14:paraId="2C79E66F" w14:textId="1FD3D100" w:rsidR="00994452" w:rsidRPr="000F29FD" w:rsidRDefault="000F29FD" w:rsidP="000F29FD">
      <w:r w:rsidRPr="000F29FD">
        <w:t>Table 11 p</w:t>
      </w:r>
      <w:r w:rsidR="007C3A8A" w:rsidRPr="000F29FD">
        <w:t>resents the incremental cost-effectiveness of BPH interventions compared with TURP.</w:t>
      </w:r>
      <w:bookmarkStart w:id="34" w:name="_Ref96553018"/>
      <w:r w:rsidR="00994452" w:rsidRPr="000F29FD">
        <w:br w:type="page"/>
      </w:r>
    </w:p>
    <w:p w14:paraId="6C7872A6" w14:textId="3ECF298D" w:rsidR="007C3A8A" w:rsidRDefault="007C3A8A" w:rsidP="00085C64">
      <w:pPr>
        <w:pStyle w:val="TableFigureHeading"/>
      </w:pPr>
      <w:bookmarkStart w:id="35" w:name="_Ref116390512"/>
      <w:r>
        <w:lastRenderedPageBreak/>
        <w:t xml:space="preserve">Table </w:t>
      </w:r>
      <w:r>
        <w:fldChar w:fldCharType="begin"/>
      </w:r>
      <w:r>
        <w:instrText>SEQ Table \* ARABIC</w:instrText>
      </w:r>
      <w:r>
        <w:fldChar w:fldCharType="separate"/>
      </w:r>
      <w:r w:rsidR="00C03EF9">
        <w:rPr>
          <w:noProof/>
        </w:rPr>
        <w:t>11</w:t>
      </w:r>
      <w:r>
        <w:fldChar w:fldCharType="end"/>
      </w:r>
      <w:bookmarkEnd w:id="34"/>
      <w:bookmarkEnd w:id="35"/>
      <w:r>
        <w:tab/>
        <w:t>Incremental cost-effectiveness of BPH interventions compared with TURP</w:t>
      </w:r>
    </w:p>
    <w:tbl>
      <w:tblPr>
        <w:tblStyle w:val="TableGrid1"/>
        <w:tblW w:w="5000" w:type="pct"/>
        <w:tblLayout w:type="fixed"/>
        <w:tblLook w:val="04A0" w:firstRow="1" w:lastRow="0" w:firstColumn="1" w:lastColumn="0" w:noHBand="0" w:noVBand="1"/>
      </w:tblPr>
      <w:tblGrid>
        <w:gridCol w:w="1553"/>
        <w:gridCol w:w="994"/>
        <w:gridCol w:w="1293"/>
        <w:gridCol w:w="1295"/>
        <w:gridCol w:w="1293"/>
        <w:gridCol w:w="1295"/>
        <w:gridCol w:w="1293"/>
      </w:tblGrid>
      <w:tr w:rsidR="004842E7" w:rsidRPr="00F86824" w14:paraId="296ACAE9" w14:textId="77777777" w:rsidTr="00B31139">
        <w:trPr>
          <w:cnfStyle w:val="100000000000" w:firstRow="1" w:lastRow="0" w:firstColumn="0" w:lastColumn="0" w:oddVBand="0" w:evenVBand="0" w:oddHBand="0" w:evenHBand="0" w:firstRowFirstColumn="0" w:firstRowLastColumn="0" w:lastRowFirstColumn="0" w:lastRowLastColumn="0"/>
          <w:trHeight w:val="255"/>
          <w:tblHeader/>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39708" w14:textId="77777777" w:rsidR="004842E7" w:rsidRPr="00F86824" w:rsidRDefault="004842E7" w:rsidP="00AE5C81">
            <w:pPr>
              <w:pStyle w:val="TableText"/>
              <w:rPr>
                <w:b/>
              </w:rPr>
            </w:pPr>
            <w:r w:rsidRPr="00F86824">
              <w:rPr>
                <w:b/>
              </w:rPr>
              <w:t> </w:t>
            </w:r>
          </w:p>
        </w:tc>
        <w:tc>
          <w:tcPr>
            <w:tcW w:w="551" w:type="pct"/>
            <w:tcBorders>
              <w:top w:val="single" w:sz="4" w:space="0" w:color="auto"/>
              <w:left w:val="nil"/>
              <w:bottom w:val="single" w:sz="4" w:space="0" w:color="auto"/>
              <w:right w:val="single" w:sz="4" w:space="0" w:color="auto"/>
            </w:tcBorders>
          </w:tcPr>
          <w:p w14:paraId="0575FE14" w14:textId="77777777" w:rsidR="004842E7" w:rsidRPr="00F86824" w:rsidRDefault="004842E7" w:rsidP="00AE5C81">
            <w:pPr>
              <w:pStyle w:val="TableText"/>
              <w:rPr>
                <w:b/>
              </w:rPr>
            </w:pPr>
            <w:r w:rsidRPr="00F86824">
              <w:rPr>
                <w:b/>
              </w:rPr>
              <w:t>EEP</w:t>
            </w:r>
          </w:p>
        </w:tc>
        <w:tc>
          <w:tcPr>
            <w:tcW w:w="717" w:type="pct"/>
            <w:tcBorders>
              <w:top w:val="single" w:sz="4" w:space="0" w:color="auto"/>
              <w:left w:val="single" w:sz="4" w:space="0" w:color="auto"/>
              <w:bottom w:val="single" w:sz="4" w:space="0" w:color="auto"/>
              <w:right w:val="single" w:sz="4" w:space="0" w:color="auto"/>
            </w:tcBorders>
          </w:tcPr>
          <w:p w14:paraId="1AA0F599" w14:textId="77777777" w:rsidR="004842E7" w:rsidRPr="00F86824" w:rsidRDefault="004842E7" w:rsidP="00AE5C81">
            <w:pPr>
              <w:pStyle w:val="TableText"/>
              <w:rPr>
                <w:b/>
              </w:rPr>
            </w:pPr>
            <w:r w:rsidRPr="00F86824">
              <w:rPr>
                <w:b/>
              </w:rPr>
              <w:t>PUL</w:t>
            </w:r>
          </w:p>
        </w:tc>
        <w:tc>
          <w:tcPr>
            <w:tcW w:w="718" w:type="pct"/>
            <w:tcBorders>
              <w:top w:val="single" w:sz="4" w:space="0" w:color="auto"/>
              <w:left w:val="single" w:sz="4" w:space="0" w:color="auto"/>
              <w:bottom w:val="single" w:sz="4" w:space="0" w:color="auto"/>
              <w:right w:val="single" w:sz="4" w:space="0" w:color="auto"/>
            </w:tcBorders>
          </w:tcPr>
          <w:p w14:paraId="2BFAA821" w14:textId="339FB228" w:rsidR="004842E7" w:rsidRPr="00B31139" w:rsidRDefault="004842E7" w:rsidP="00AE5C81">
            <w:pPr>
              <w:pStyle w:val="TableText"/>
              <w:rPr>
                <w:b/>
                <w:vertAlign w:val="superscript"/>
              </w:rPr>
            </w:pPr>
            <w:r w:rsidRPr="00F86824">
              <w:rPr>
                <w:b/>
              </w:rPr>
              <w:t>Proposed PUL</w:t>
            </w:r>
            <w:r w:rsidR="00B31139">
              <w:rPr>
                <w:b/>
              </w:rPr>
              <w:t xml:space="preserve"> </w:t>
            </w:r>
            <w:r w:rsidR="00B31139">
              <w:rPr>
                <w:b/>
                <w:vertAlign w:val="superscript"/>
              </w:rPr>
              <w:t>1</w:t>
            </w:r>
          </w:p>
        </w:tc>
        <w:tc>
          <w:tcPr>
            <w:tcW w:w="717" w:type="pct"/>
            <w:tcBorders>
              <w:top w:val="single" w:sz="4" w:space="0" w:color="auto"/>
              <w:left w:val="single" w:sz="4" w:space="0" w:color="auto"/>
              <w:bottom w:val="single" w:sz="4" w:space="0" w:color="auto"/>
              <w:right w:val="single" w:sz="4" w:space="0" w:color="auto"/>
            </w:tcBorders>
          </w:tcPr>
          <w:p w14:paraId="4A10C0A5" w14:textId="77777777" w:rsidR="004842E7" w:rsidRPr="00F86824" w:rsidRDefault="004842E7" w:rsidP="00AE5C81">
            <w:pPr>
              <w:pStyle w:val="TableText"/>
              <w:rPr>
                <w:b/>
              </w:rPr>
            </w:pPr>
            <w:r w:rsidRPr="00F86824">
              <w:rPr>
                <w:b/>
              </w:rPr>
              <w:t>TUMT</w:t>
            </w:r>
          </w:p>
        </w:tc>
        <w:tc>
          <w:tcPr>
            <w:tcW w:w="718" w:type="pct"/>
            <w:tcBorders>
              <w:top w:val="single" w:sz="4" w:space="0" w:color="auto"/>
              <w:left w:val="single" w:sz="4" w:space="0" w:color="auto"/>
              <w:bottom w:val="single" w:sz="4" w:space="0" w:color="auto"/>
              <w:right w:val="single" w:sz="4" w:space="0" w:color="auto"/>
            </w:tcBorders>
            <w:shd w:val="clear" w:color="auto" w:fill="auto"/>
            <w:noWrap/>
            <w:hideMark/>
          </w:tcPr>
          <w:p w14:paraId="7FBB5ECB" w14:textId="77777777" w:rsidR="004842E7" w:rsidRPr="00F86824" w:rsidRDefault="004842E7" w:rsidP="00AE5C81">
            <w:pPr>
              <w:pStyle w:val="TableText"/>
              <w:rPr>
                <w:b/>
                <w:bCs/>
              </w:rPr>
            </w:pPr>
            <w:r w:rsidRPr="00F86824">
              <w:rPr>
                <w:b/>
              </w:rPr>
              <w:t>TUWA</w:t>
            </w:r>
          </w:p>
        </w:tc>
        <w:tc>
          <w:tcPr>
            <w:tcW w:w="717" w:type="pct"/>
            <w:tcBorders>
              <w:top w:val="single" w:sz="4" w:space="0" w:color="auto"/>
              <w:left w:val="single" w:sz="4" w:space="0" w:color="auto"/>
              <w:bottom w:val="single" w:sz="4" w:space="0" w:color="auto"/>
              <w:right w:val="single" w:sz="4" w:space="0" w:color="auto"/>
            </w:tcBorders>
          </w:tcPr>
          <w:p w14:paraId="52307E51" w14:textId="77777777" w:rsidR="004842E7" w:rsidRPr="00F86824" w:rsidRDefault="004842E7" w:rsidP="00AE5C81">
            <w:pPr>
              <w:pStyle w:val="TableText"/>
              <w:rPr>
                <w:b/>
              </w:rPr>
            </w:pPr>
            <w:r w:rsidRPr="00F86824">
              <w:rPr>
                <w:b/>
              </w:rPr>
              <w:t>VLAP</w:t>
            </w:r>
          </w:p>
        </w:tc>
      </w:tr>
      <w:tr w:rsidR="004842E7" w:rsidRPr="00F86824" w14:paraId="0F4566C7" w14:textId="77777777" w:rsidTr="00B31139">
        <w:trPr>
          <w:trHeight w:val="255"/>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F70C30" w14:textId="77777777" w:rsidR="004842E7" w:rsidRPr="00F86824" w:rsidRDefault="004842E7" w:rsidP="00AE5C81">
            <w:pPr>
              <w:pStyle w:val="TableText"/>
              <w:rPr>
                <w:iCs/>
              </w:rPr>
            </w:pPr>
            <w:r w:rsidRPr="00F86824">
              <w:rPr>
                <w:iCs/>
              </w:rPr>
              <w:t>Incremental cost</w:t>
            </w:r>
          </w:p>
        </w:tc>
        <w:tc>
          <w:tcPr>
            <w:tcW w:w="551" w:type="pct"/>
            <w:tcBorders>
              <w:top w:val="single" w:sz="4" w:space="0" w:color="auto"/>
              <w:left w:val="single" w:sz="4" w:space="0" w:color="auto"/>
              <w:bottom w:val="single" w:sz="4" w:space="0" w:color="auto"/>
              <w:right w:val="single" w:sz="4" w:space="0" w:color="auto"/>
            </w:tcBorders>
          </w:tcPr>
          <w:p w14:paraId="209B421D" w14:textId="77777777" w:rsidR="004842E7" w:rsidRPr="00F86824" w:rsidRDefault="004842E7" w:rsidP="00AE5C81">
            <w:pPr>
              <w:pStyle w:val="TableText"/>
              <w:jc w:val="center"/>
              <w:rPr>
                <w:highlight w:val="yellow"/>
              </w:rPr>
            </w:pPr>
            <w:r w:rsidRPr="00F86824">
              <w:t>–$1,472</w:t>
            </w:r>
          </w:p>
        </w:tc>
        <w:tc>
          <w:tcPr>
            <w:tcW w:w="717" w:type="pct"/>
            <w:tcBorders>
              <w:top w:val="single" w:sz="4" w:space="0" w:color="auto"/>
              <w:left w:val="single" w:sz="4" w:space="0" w:color="auto"/>
              <w:bottom w:val="single" w:sz="4" w:space="0" w:color="auto"/>
              <w:right w:val="single" w:sz="4" w:space="0" w:color="auto"/>
            </w:tcBorders>
          </w:tcPr>
          <w:p w14:paraId="7F44209C" w14:textId="77777777" w:rsidR="004842E7" w:rsidRPr="00F86824" w:rsidRDefault="004842E7" w:rsidP="00AE5C81">
            <w:pPr>
              <w:pStyle w:val="TableText"/>
              <w:jc w:val="center"/>
              <w:rPr>
                <w:highlight w:val="yellow"/>
              </w:rPr>
            </w:pPr>
            <w:r w:rsidRPr="00F86824">
              <w:t>–$91</w:t>
            </w:r>
          </w:p>
        </w:tc>
        <w:tc>
          <w:tcPr>
            <w:tcW w:w="718" w:type="pct"/>
            <w:tcBorders>
              <w:top w:val="single" w:sz="4" w:space="0" w:color="auto"/>
              <w:left w:val="single" w:sz="4" w:space="0" w:color="auto"/>
              <w:bottom w:val="single" w:sz="4" w:space="0" w:color="auto"/>
              <w:right w:val="single" w:sz="4" w:space="0" w:color="auto"/>
            </w:tcBorders>
            <w:vAlign w:val="center"/>
          </w:tcPr>
          <w:p w14:paraId="73A3F05A" w14:textId="77777777" w:rsidR="004842E7" w:rsidRPr="00F86824" w:rsidRDefault="004842E7" w:rsidP="00AE5C81">
            <w:pPr>
              <w:pStyle w:val="TableText"/>
              <w:jc w:val="center"/>
              <w:rPr>
                <w:highlight w:val="yellow"/>
              </w:rPr>
            </w:pPr>
            <w:r w:rsidRPr="00F86824">
              <w:t>$657</w:t>
            </w:r>
          </w:p>
        </w:tc>
        <w:tc>
          <w:tcPr>
            <w:tcW w:w="717" w:type="pct"/>
            <w:tcBorders>
              <w:top w:val="single" w:sz="4" w:space="0" w:color="auto"/>
              <w:left w:val="single" w:sz="4" w:space="0" w:color="auto"/>
              <w:bottom w:val="single" w:sz="4" w:space="0" w:color="auto"/>
              <w:right w:val="single" w:sz="4" w:space="0" w:color="auto"/>
            </w:tcBorders>
            <w:vAlign w:val="center"/>
          </w:tcPr>
          <w:p w14:paraId="73488FAC" w14:textId="77777777" w:rsidR="004842E7" w:rsidRPr="00F86824" w:rsidRDefault="004842E7" w:rsidP="00AE5C81">
            <w:pPr>
              <w:pStyle w:val="TableText"/>
              <w:jc w:val="center"/>
              <w:rPr>
                <w:highlight w:val="yellow"/>
              </w:rPr>
            </w:pPr>
            <w:r w:rsidRPr="00F86824">
              <w:t>–$1,319</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CB7BD" w14:textId="1DCABFA6" w:rsidR="004842E7" w:rsidRPr="005B0CB6" w:rsidRDefault="004842E7" w:rsidP="00AE5C81">
            <w:pPr>
              <w:pStyle w:val="TableText"/>
              <w:jc w:val="center"/>
            </w:pPr>
            <w:r w:rsidRPr="005B0CB6">
              <w:t>–$</w:t>
            </w:r>
            <w:r w:rsidR="00CF6AD4" w:rsidRPr="00CF6AD4">
              <w:rPr>
                <w:rFonts w:hint="eastAsia"/>
                <w:color w:val="000000"/>
                <w:w w:val="22"/>
                <w:shd w:val="solid" w:color="000000" w:fill="000000"/>
                <w:fitText w:val="101" w:id="-1455741435"/>
                <w14:textFill>
                  <w14:solidFill>
                    <w14:srgbClr w14:val="000000">
                      <w14:alpha w14:val="100000"/>
                    </w14:srgbClr>
                  </w14:solidFill>
                </w14:textFill>
              </w:rPr>
              <w:t xml:space="preserve">　</w:t>
            </w:r>
            <w:r w:rsidR="00CF6AD4" w:rsidRPr="00CF6AD4">
              <w:rPr>
                <w:color w:val="000000"/>
                <w:w w:val="22"/>
                <w:shd w:val="solid" w:color="000000" w:fill="000000"/>
                <w:fitText w:val="101" w:id="-1455741435"/>
                <w14:textFill>
                  <w14:solidFill>
                    <w14:srgbClr w14:val="000000">
                      <w14:alpha w14:val="100000"/>
                    </w14:srgbClr>
                  </w14:solidFill>
                </w14:textFill>
              </w:rPr>
              <w:t>|</w:t>
            </w:r>
            <w:r w:rsidR="00CF6AD4" w:rsidRPr="00CF6AD4">
              <w:rPr>
                <w:rFonts w:hint="eastAsia"/>
                <w:color w:val="000000"/>
                <w:spacing w:val="4"/>
                <w:w w:val="22"/>
                <w:shd w:val="solid" w:color="000000" w:fill="000000"/>
                <w:fitText w:val="101" w:id="-1455741435"/>
                <w14:textFill>
                  <w14:solidFill>
                    <w14:srgbClr w14:val="000000">
                      <w14:alpha w14:val="100000"/>
                    </w14:srgbClr>
                  </w14:solidFill>
                </w14:textFill>
              </w:rPr>
              <w:t xml:space="preserve">　</w:t>
            </w:r>
          </w:p>
        </w:tc>
        <w:tc>
          <w:tcPr>
            <w:tcW w:w="717" w:type="pct"/>
            <w:tcBorders>
              <w:top w:val="single" w:sz="4" w:space="0" w:color="auto"/>
              <w:left w:val="single" w:sz="4" w:space="0" w:color="auto"/>
              <w:bottom w:val="single" w:sz="4" w:space="0" w:color="auto"/>
              <w:right w:val="single" w:sz="4" w:space="0" w:color="auto"/>
            </w:tcBorders>
            <w:vAlign w:val="center"/>
          </w:tcPr>
          <w:p w14:paraId="7FE1AA0B" w14:textId="5699350D" w:rsidR="004842E7" w:rsidRPr="005B0CB6" w:rsidRDefault="004842E7" w:rsidP="00AE5C81">
            <w:pPr>
              <w:pStyle w:val="TableText"/>
              <w:jc w:val="center"/>
            </w:pPr>
            <w:r w:rsidRPr="005B0CB6">
              <w:t>–$</w:t>
            </w:r>
            <w:r w:rsidR="00CF6AD4" w:rsidRPr="00CF6AD4">
              <w:rPr>
                <w:rFonts w:hint="eastAsia"/>
                <w:color w:val="000000"/>
                <w:w w:val="22"/>
                <w:shd w:val="solid" w:color="000000" w:fill="000000"/>
                <w:fitText w:val="101" w:id="-1455741434"/>
                <w14:textFill>
                  <w14:solidFill>
                    <w14:srgbClr w14:val="000000">
                      <w14:alpha w14:val="100000"/>
                    </w14:srgbClr>
                  </w14:solidFill>
                </w14:textFill>
              </w:rPr>
              <w:t xml:space="preserve">　</w:t>
            </w:r>
            <w:r w:rsidR="00CF6AD4" w:rsidRPr="00CF6AD4">
              <w:rPr>
                <w:color w:val="000000"/>
                <w:w w:val="22"/>
                <w:shd w:val="solid" w:color="000000" w:fill="000000"/>
                <w:fitText w:val="101" w:id="-1455741434"/>
                <w14:textFill>
                  <w14:solidFill>
                    <w14:srgbClr w14:val="000000">
                      <w14:alpha w14:val="100000"/>
                    </w14:srgbClr>
                  </w14:solidFill>
                </w14:textFill>
              </w:rPr>
              <w:t>|</w:t>
            </w:r>
            <w:r w:rsidR="00CF6AD4" w:rsidRPr="00CF6AD4">
              <w:rPr>
                <w:rFonts w:hint="eastAsia"/>
                <w:color w:val="000000"/>
                <w:spacing w:val="4"/>
                <w:w w:val="22"/>
                <w:shd w:val="solid" w:color="000000" w:fill="000000"/>
                <w:fitText w:val="101" w:id="-1455741434"/>
                <w14:textFill>
                  <w14:solidFill>
                    <w14:srgbClr w14:val="000000">
                      <w14:alpha w14:val="100000"/>
                    </w14:srgbClr>
                  </w14:solidFill>
                </w14:textFill>
              </w:rPr>
              <w:t xml:space="preserve">　</w:t>
            </w:r>
          </w:p>
        </w:tc>
      </w:tr>
      <w:tr w:rsidR="004842E7" w:rsidRPr="00F86824" w14:paraId="2F85360B" w14:textId="77777777" w:rsidTr="00B31139">
        <w:trPr>
          <w:trHeight w:val="255"/>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84A0A7" w14:textId="77777777" w:rsidR="004842E7" w:rsidRPr="00F86824" w:rsidRDefault="004842E7" w:rsidP="00AE5C81">
            <w:pPr>
              <w:pStyle w:val="TableText"/>
              <w:rPr>
                <w:iCs/>
              </w:rPr>
            </w:pPr>
            <w:r w:rsidRPr="00F86824">
              <w:t>Incremental IPSS</w:t>
            </w:r>
          </w:p>
        </w:tc>
        <w:tc>
          <w:tcPr>
            <w:tcW w:w="551" w:type="pct"/>
            <w:tcBorders>
              <w:top w:val="single" w:sz="4" w:space="0" w:color="auto"/>
              <w:left w:val="single" w:sz="4" w:space="0" w:color="auto"/>
              <w:bottom w:val="single" w:sz="4" w:space="0" w:color="auto"/>
              <w:right w:val="single" w:sz="4" w:space="0" w:color="auto"/>
            </w:tcBorders>
            <w:vAlign w:val="center"/>
          </w:tcPr>
          <w:p w14:paraId="1F1427FF" w14:textId="77777777" w:rsidR="004842E7" w:rsidRPr="00F86824" w:rsidRDefault="004842E7" w:rsidP="00AE5C81">
            <w:pPr>
              <w:pStyle w:val="TableText"/>
              <w:jc w:val="center"/>
            </w:pPr>
            <w:r w:rsidRPr="00F86824">
              <w:t>–0.51</w:t>
            </w:r>
          </w:p>
        </w:tc>
        <w:tc>
          <w:tcPr>
            <w:tcW w:w="717" w:type="pct"/>
            <w:tcBorders>
              <w:top w:val="single" w:sz="4" w:space="0" w:color="auto"/>
              <w:left w:val="single" w:sz="4" w:space="0" w:color="auto"/>
              <w:bottom w:val="single" w:sz="4" w:space="0" w:color="auto"/>
              <w:right w:val="single" w:sz="4" w:space="0" w:color="auto"/>
            </w:tcBorders>
            <w:vAlign w:val="center"/>
          </w:tcPr>
          <w:p w14:paraId="634F28E4" w14:textId="77777777" w:rsidR="004842E7" w:rsidRPr="00F86824" w:rsidRDefault="004842E7" w:rsidP="00AE5C81">
            <w:pPr>
              <w:pStyle w:val="TableText"/>
              <w:jc w:val="center"/>
            </w:pPr>
            <w:r w:rsidRPr="00F86824">
              <w:t>1.47</w:t>
            </w:r>
          </w:p>
        </w:tc>
        <w:tc>
          <w:tcPr>
            <w:tcW w:w="718" w:type="pct"/>
            <w:tcBorders>
              <w:top w:val="single" w:sz="4" w:space="0" w:color="auto"/>
              <w:left w:val="single" w:sz="4" w:space="0" w:color="auto"/>
              <w:bottom w:val="single" w:sz="4" w:space="0" w:color="auto"/>
              <w:right w:val="single" w:sz="4" w:space="0" w:color="auto"/>
            </w:tcBorders>
            <w:vAlign w:val="center"/>
          </w:tcPr>
          <w:p w14:paraId="6EE0A910" w14:textId="77777777" w:rsidR="004842E7" w:rsidRPr="00F86824" w:rsidRDefault="004842E7" w:rsidP="00AE5C81">
            <w:pPr>
              <w:pStyle w:val="TableText"/>
              <w:jc w:val="center"/>
            </w:pPr>
            <w:r w:rsidRPr="00F86824">
              <w:t>1.47</w:t>
            </w:r>
          </w:p>
        </w:tc>
        <w:tc>
          <w:tcPr>
            <w:tcW w:w="717" w:type="pct"/>
            <w:tcBorders>
              <w:top w:val="single" w:sz="4" w:space="0" w:color="auto"/>
              <w:left w:val="single" w:sz="4" w:space="0" w:color="auto"/>
              <w:bottom w:val="single" w:sz="4" w:space="0" w:color="auto"/>
              <w:right w:val="single" w:sz="4" w:space="0" w:color="auto"/>
            </w:tcBorders>
            <w:vAlign w:val="center"/>
          </w:tcPr>
          <w:p w14:paraId="3BC2BCC7" w14:textId="77777777" w:rsidR="004842E7" w:rsidRPr="00F86824" w:rsidRDefault="004842E7" w:rsidP="00AE5C81">
            <w:pPr>
              <w:pStyle w:val="TableText"/>
              <w:jc w:val="center"/>
            </w:pPr>
            <w:r w:rsidRPr="00F86824">
              <w:t>0.63</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102C6" w14:textId="77777777" w:rsidR="004842E7" w:rsidRPr="00F86824" w:rsidRDefault="004842E7" w:rsidP="00AE5C81">
            <w:pPr>
              <w:pStyle w:val="TableText"/>
              <w:jc w:val="center"/>
            </w:pPr>
            <w:r w:rsidRPr="00F86824">
              <w:t>3.6</w:t>
            </w:r>
          </w:p>
        </w:tc>
        <w:tc>
          <w:tcPr>
            <w:tcW w:w="717" w:type="pct"/>
            <w:tcBorders>
              <w:top w:val="single" w:sz="4" w:space="0" w:color="auto"/>
              <w:left w:val="single" w:sz="4" w:space="0" w:color="auto"/>
              <w:bottom w:val="single" w:sz="4" w:space="0" w:color="auto"/>
              <w:right w:val="single" w:sz="4" w:space="0" w:color="auto"/>
            </w:tcBorders>
            <w:vAlign w:val="center"/>
          </w:tcPr>
          <w:p w14:paraId="45642FA9" w14:textId="77777777" w:rsidR="004842E7" w:rsidRPr="00F86824" w:rsidRDefault="004842E7" w:rsidP="00AE5C81">
            <w:pPr>
              <w:pStyle w:val="TableText"/>
              <w:jc w:val="center"/>
            </w:pPr>
            <w:r w:rsidRPr="00F86824">
              <w:t>1.2</w:t>
            </w:r>
          </w:p>
        </w:tc>
      </w:tr>
      <w:tr w:rsidR="00B31139" w:rsidRPr="00F86824" w14:paraId="668CB5A7" w14:textId="77777777" w:rsidTr="00B31139">
        <w:trPr>
          <w:trHeight w:val="255"/>
        </w:trPr>
        <w:tc>
          <w:tcPr>
            <w:tcW w:w="862" w:type="pct"/>
            <w:tcBorders>
              <w:top w:val="nil"/>
              <w:left w:val="single" w:sz="4" w:space="0" w:color="auto"/>
              <w:bottom w:val="single" w:sz="4" w:space="0" w:color="auto"/>
              <w:right w:val="single" w:sz="4" w:space="0" w:color="auto"/>
            </w:tcBorders>
            <w:shd w:val="clear" w:color="auto" w:fill="auto"/>
            <w:noWrap/>
            <w:vAlign w:val="bottom"/>
          </w:tcPr>
          <w:p w14:paraId="2477210F" w14:textId="5134284C" w:rsidR="00B31139" w:rsidRPr="00B31139" w:rsidRDefault="00B31139" w:rsidP="00B31139">
            <w:pPr>
              <w:pStyle w:val="TableText"/>
              <w:rPr>
                <w:i/>
                <w:vertAlign w:val="superscript"/>
              </w:rPr>
            </w:pPr>
            <w:r w:rsidRPr="00F86824">
              <w:rPr>
                <w:i/>
              </w:rPr>
              <w:t xml:space="preserve">ICER per </w:t>
            </w:r>
            <w:r>
              <w:rPr>
                <w:i/>
              </w:rPr>
              <w:t>loss</w:t>
            </w:r>
            <w:r w:rsidRPr="00F86824">
              <w:rPr>
                <w:i/>
              </w:rPr>
              <w:t xml:space="preserve"> in IPSS</w:t>
            </w:r>
            <w:r>
              <w:rPr>
                <w:i/>
              </w:rPr>
              <w:t xml:space="preserve"> </w:t>
            </w:r>
            <w:r>
              <w:rPr>
                <w:i/>
                <w:vertAlign w:val="superscript"/>
              </w:rPr>
              <w:t>1</w:t>
            </w:r>
          </w:p>
        </w:tc>
        <w:tc>
          <w:tcPr>
            <w:tcW w:w="551" w:type="pct"/>
            <w:tcBorders>
              <w:top w:val="single" w:sz="4" w:space="0" w:color="auto"/>
              <w:left w:val="nil"/>
              <w:bottom w:val="single" w:sz="4" w:space="0" w:color="auto"/>
              <w:right w:val="single" w:sz="4" w:space="0" w:color="auto"/>
            </w:tcBorders>
            <w:vAlign w:val="center"/>
          </w:tcPr>
          <w:p w14:paraId="093C06DB" w14:textId="77777777" w:rsidR="00B31139" w:rsidRPr="00F86824" w:rsidRDefault="00B31139" w:rsidP="00B31139">
            <w:pPr>
              <w:pStyle w:val="TableText"/>
              <w:jc w:val="center"/>
              <w:rPr>
                <w:i/>
              </w:rPr>
            </w:pPr>
            <w:r w:rsidRPr="00F86824">
              <w:rPr>
                <w:i/>
              </w:rPr>
              <w:t>Dominant</w:t>
            </w:r>
          </w:p>
        </w:tc>
        <w:tc>
          <w:tcPr>
            <w:tcW w:w="717" w:type="pct"/>
            <w:tcBorders>
              <w:top w:val="single" w:sz="4" w:space="0" w:color="auto"/>
              <w:left w:val="single" w:sz="4" w:space="0" w:color="auto"/>
              <w:bottom w:val="single" w:sz="4" w:space="0" w:color="auto"/>
              <w:right w:val="single" w:sz="4" w:space="0" w:color="auto"/>
            </w:tcBorders>
            <w:vAlign w:val="center"/>
          </w:tcPr>
          <w:p w14:paraId="5EDFC132" w14:textId="7A974C00" w:rsidR="00B31139" w:rsidRPr="00F86824" w:rsidRDefault="00B31139" w:rsidP="00B31139">
            <w:pPr>
              <w:pStyle w:val="TableText"/>
              <w:jc w:val="center"/>
              <w:rPr>
                <w:i/>
              </w:rPr>
            </w:pPr>
            <w:r>
              <w:rPr>
                <w:i/>
              </w:rPr>
              <w:t>SW-quadrant ($62 cost savings per gain in IPSS)</w:t>
            </w:r>
          </w:p>
        </w:tc>
        <w:tc>
          <w:tcPr>
            <w:tcW w:w="718" w:type="pct"/>
            <w:tcBorders>
              <w:top w:val="single" w:sz="4" w:space="0" w:color="auto"/>
              <w:left w:val="single" w:sz="4" w:space="0" w:color="auto"/>
              <w:bottom w:val="single" w:sz="4" w:space="0" w:color="auto"/>
              <w:right w:val="single" w:sz="4" w:space="0" w:color="auto"/>
            </w:tcBorders>
            <w:vAlign w:val="center"/>
          </w:tcPr>
          <w:p w14:paraId="49037980" w14:textId="0335F9EB" w:rsidR="00B31139" w:rsidRPr="00F86824" w:rsidRDefault="00B31139" w:rsidP="00B31139">
            <w:pPr>
              <w:pStyle w:val="TableText"/>
              <w:jc w:val="center"/>
              <w:rPr>
                <w:i/>
              </w:rPr>
            </w:pPr>
            <w:r>
              <w:rPr>
                <w:i/>
              </w:rPr>
              <w:t>Dominated</w:t>
            </w:r>
          </w:p>
        </w:tc>
        <w:tc>
          <w:tcPr>
            <w:tcW w:w="717" w:type="pct"/>
            <w:tcBorders>
              <w:top w:val="single" w:sz="4" w:space="0" w:color="auto"/>
              <w:left w:val="single" w:sz="4" w:space="0" w:color="auto"/>
              <w:bottom w:val="single" w:sz="4" w:space="0" w:color="auto"/>
              <w:right w:val="single" w:sz="4" w:space="0" w:color="auto"/>
            </w:tcBorders>
            <w:vAlign w:val="center"/>
          </w:tcPr>
          <w:p w14:paraId="21FD25A0" w14:textId="77777777" w:rsidR="00B31139" w:rsidRDefault="00B31139" w:rsidP="00B31139">
            <w:pPr>
              <w:pStyle w:val="TableText"/>
              <w:jc w:val="center"/>
              <w:rPr>
                <w:i/>
              </w:rPr>
            </w:pPr>
            <w:r>
              <w:rPr>
                <w:i/>
              </w:rPr>
              <w:t xml:space="preserve">SW-quadrant </w:t>
            </w:r>
          </w:p>
          <w:p w14:paraId="2558F147" w14:textId="07993708" w:rsidR="00B31139" w:rsidRPr="00F86824" w:rsidRDefault="00B31139" w:rsidP="00B31139">
            <w:pPr>
              <w:pStyle w:val="TableText"/>
              <w:jc w:val="center"/>
              <w:rPr>
                <w:i/>
              </w:rPr>
            </w:pPr>
            <w:r>
              <w:rPr>
                <w:i/>
              </w:rPr>
              <w:t>($2,094 cost savings per gain in IPSS)</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2CF919" w14:textId="3CB21FF9" w:rsidR="00B31139" w:rsidRPr="00F86824" w:rsidRDefault="00B31139" w:rsidP="00B31139">
            <w:pPr>
              <w:pStyle w:val="TableText"/>
              <w:jc w:val="center"/>
              <w:rPr>
                <w:i/>
              </w:rPr>
            </w:pPr>
            <w:r>
              <w:rPr>
                <w:i/>
              </w:rPr>
              <w:t>SW-quadrant ($</w:t>
            </w:r>
            <w:r w:rsidR="00CF6AD4" w:rsidRPr="00CF6AD4">
              <w:rPr>
                <w:i/>
                <w:color w:val="000000"/>
                <w:spacing w:val="169"/>
                <w:shd w:val="solid" w:color="000000" w:fill="000000"/>
                <w:fitText w:val="255" w:id="-1455741433"/>
                <w14:textFill>
                  <w14:solidFill>
                    <w14:srgbClr w14:val="000000">
                      <w14:alpha w14:val="100000"/>
                    </w14:srgbClr>
                  </w14:solidFill>
                </w14:textFill>
              </w:rPr>
              <w:t>|</w:t>
            </w:r>
            <w:r w:rsidR="00CF6AD4" w:rsidRPr="00CF6AD4">
              <w:rPr>
                <w:i/>
                <w:color w:val="000000"/>
                <w:spacing w:val="1"/>
                <w:shd w:val="solid" w:color="000000" w:fill="000000"/>
                <w:fitText w:val="255" w:id="-1455741433"/>
                <w14:textFill>
                  <w14:solidFill>
                    <w14:srgbClr w14:val="000000">
                      <w14:alpha w14:val="100000"/>
                    </w14:srgbClr>
                  </w14:solidFill>
                </w14:textFill>
              </w:rPr>
              <w:t>|</w:t>
            </w:r>
            <w:r>
              <w:rPr>
                <w:i/>
              </w:rPr>
              <w:t xml:space="preserve"> cost savings per gain in IPSS)</w:t>
            </w:r>
          </w:p>
        </w:tc>
        <w:tc>
          <w:tcPr>
            <w:tcW w:w="717" w:type="pct"/>
            <w:tcBorders>
              <w:top w:val="single" w:sz="4" w:space="0" w:color="auto"/>
              <w:left w:val="single" w:sz="4" w:space="0" w:color="auto"/>
              <w:bottom w:val="single" w:sz="4" w:space="0" w:color="auto"/>
              <w:right w:val="single" w:sz="4" w:space="0" w:color="auto"/>
            </w:tcBorders>
            <w:vAlign w:val="center"/>
          </w:tcPr>
          <w:p w14:paraId="70B882B7" w14:textId="77777777" w:rsidR="00B31139" w:rsidRDefault="00B31139" w:rsidP="00B31139">
            <w:pPr>
              <w:pStyle w:val="TableText"/>
              <w:jc w:val="center"/>
              <w:rPr>
                <w:i/>
              </w:rPr>
            </w:pPr>
            <w:r>
              <w:rPr>
                <w:i/>
              </w:rPr>
              <w:t>SW-quadrant</w:t>
            </w:r>
          </w:p>
          <w:p w14:paraId="385D18C9" w14:textId="770C1701" w:rsidR="00B31139" w:rsidRPr="00F86824" w:rsidRDefault="00B31139" w:rsidP="00B31139">
            <w:pPr>
              <w:pStyle w:val="TableText"/>
              <w:jc w:val="center"/>
              <w:rPr>
                <w:i/>
              </w:rPr>
            </w:pPr>
            <w:r>
              <w:rPr>
                <w:i/>
              </w:rPr>
              <w:t>($</w:t>
            </w:r>
            <w:r w:rsidR="00CF6AD4" w:rsidRPr="00CF6AD4">
              <w:rPr>
                <w:i/>
                <w:color w:val="000000"/>
                <w:spacing w:val="169"/>
                <w:shd w:val="solid" w:color="000000" w:fill="000000"/>
                <w:fitText w:val="255" w:id="-1455741432"/>
                <w14:textFill>
                  <w14:solidFill>
                    <w14:srgbClr w14:val="000000">
                      <w14:alpha w14:val="100000"/>
                    </w14:srgbClr>
                  </w14:solidFill>
                </w14:textFill>
              </w:rPr>
              <w:t>|</w:t>
            </w:r>
            <w:r w:rsidR="00CF6AD4" w:rsidRPr="00CF6AD4">
              <w:rPr>
                <w:i/>
                <w:color w:val="000000"/>
                <w:spacing w:val="1"/>
                <w:shd w:val="solid" w:color="000000" w:fill="000000"/>
                <w:fitText w:val="255" w:id="-1455741432"/>
                <w14:textFill>
                  <w14:solidFill>
                    <w14:srgbClr w14:val="000000">
                      <w14:alpha w14:val="100000"/>
                    </w14:srgbClr>
                  </w14:solidFill>
                </w14:textFill>
              </w:rPr>
              <w:t>|</w:t>
            </w:r>
            <w:r>
              <w:rPr>
                <w:i/>
              </w:rPr>
              <w:t xml:space="preserve"> cost savings per gain in IPSS)</w:t>
            </w:r>
          </w:p>
        </w:tc>
      </w:tr>
      <w:tr w:rsidR="00820135" w:rsidRPr="00F86824" w14:paraId="597511D8" w14:textId="77777777" w:rsidTr="00B31139">
        <w:trPr>
          <w:trHeight w:val="255"/>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21B151" w14:textId="77777777" w:rsidR="00820135" w:rsidRPr="00F86824" w:rsidRDefault="00820135" w:rsidP="00820135">
            <w:pPr>
              <w:pStyle w:val="TableText"/>
              <w:rPr>
                <w:iCs/>
              </w:rPr>
            </w:pPr>
            <w:r w:rsidRPr="00F86824">
              <w:t xml:space="preserve">Incremental </w:t>
            </w:r>
            <w:proofErr w:type="spellStart"/>
            <w:r w:rsidRPr="00F86824">
              <w:t>Qmax</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14:paraId="0A9C4E9D" w14:textId="77777777" w:rsidR="00820135" w:rsidRPr="00F86824" w:rsidRDefault="00820135" w:rsidP="00820135">
            <w:pPr>
              <w:pStyle w:val="TableText"/>
              <w:jc w:val="center"/>
            </w:pPr>
            <w:r w:rsidRPr="00F86824">
              <w:t>0.49</w:t>
            </w:r>
          </w:p>
        </w:tc>
        <w:tc>
          <w:tcPr>
            <w:tcW w:w="717" w:type="pct"/>
            <w:tcBorders>
              <w:top w:val="single" w:sz="4" w:space="0" w:color="auto"/>
              <w:left w:val="single" w:sz="4" w:space="0" w:color="auto"/>
              <w:bottom w:val="single" w:sz="4" w:space="0" w:color="auto"/>
              <w:right w:val="single" w:sz="4" w:space="0" w:color="auto"/>
            </w:tcBorders>
            <w:vAlign w:val="center"/>
          </w:tcPr>
          <w:p w14:paraId="29809CE0" w14:textId="27F8DB8B" w:rsidR="00820135" w:rsidRPr="00F86824" w:rsidRDefault="00820135" w:rsidP="00820135">
            <w:pPr>
              <w:pStyle w:val="TableText"/>
              <w:jc w:val="center"/>
            </w:pPr>
            <w:r w:rsidRPr="00045521">
              <w:t>NA</w:t>
            </w:r>
          </w:p>
        </w:tc>
        <w:tc>
          <w:tcPr>
            <w:tcW w:w="718" w:type="pct"/>
            <w:tcBorders>
              <w:top w:val="single" w:sz="4" w:space="0" w:color="auto"/>
              <w:left w:val="single" w:sz="4" w:space="0" w:color="auto"/>
              <w:bottom w:val="single" w:sz="4" w:space="0" w:color="auto"/>
              <w:right w:val="single" w:sz="4" w:space="0" w:color="auto"/>
            </w:tcBorders>
            <w:vAlign w:val="center"/>
          </w:tcPr>
          <w:p w14:paraId="460F0DEC" w14:textId="74E9E42F" w:rsidR="00820135" w:rsidRPr="00F86824" w:rsidRDefault="00820135" w:rsidP="00820135">
            <w:pPr>
              <w:pStyle w:val="TableText"/>
              <w:jc w:val="center"/>
            </w:pPr>
            <w:r w:rsidRPr="00045521">
              <w:t>NA</w:t>
            </w:r>
          </w:p>
        </w:tc>
        <w:tc>
          <w:tcPr>
            <w:tcW w:w="717" w:type="pct"/>
            <w:tcBorders>
              <w:top w:val="single" w:sz="4" w:space="0" w:color="auto"/>
              <w:left w:val="single" w:sz="4" w:space="0" w:color="auto"/>
              <w:bottom w:val="single" w:sz="4" w:space="0" w:color="auto"/>
              <w:right w:val="single" w:sz="4" w:space="0" w:color="auto"/>
            </w:tcBorders>
            <w:vAlign w:val="center"/>
          </w:tcPr>
          <w:p w14:paraId="4A95FAB0" w14:textId="7DB6428F" w:rsidR="00820135" w:rsidRPr="00F86824" w:rsidRDefault="00820135" w:rsidP="00820135">
            <w:pPr>
              <w:pStyle w:val="TableText"/>
              <w:jc w:val="center"/>
            </w:pPr>
            <w:r w:rsidRPr="00045521">
              <w:t>–5.52</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BF179D" w14:textId="1227243A" w:rsidR="00820135" w:rsidRPr="00F86824" w:rsidRDefault="00820135" w:rsidP="00820135">
            <w:pPr>
              <w:pStyle w:val="TableText"/>
              <w:jc w:val="center"/>
            </w:pPr>
            <w:r w:rsidRPr="00045521">
              <w:t>NA</w:t>
            </w:r>
          </w:p>
        </w:tc>
        <w:tc>
          <w:tcPr>
            <w:tcW w:w="717" w:type="pct"/>
            <w:tcBorders>
              <w:top w:val="single" w:sz="4" w:space="0" w:color="auto"/>
              <w:left w:val="single" w:sz="4" w:space="0" w:color="auto"/>
              <w:bottom w:val="single" w:sz="4" w:space="0" w:color="auto"/>
              <w:right w:val="single" w:sz="4" w:space="0" w:color="auto"/>
            </w:tcBorders>
            <w:vAlign w:val="center"/>
          </w:tcPr>
          <w:p w14:paraId="1BF9CE89" w14:textId="23EB638E" w:rsidR="00820135" w:rsidRPr="00F86824" w:rsidRDefault="00820135" w:rsidP="00820135">
            <w:pPr>
              <w:pStyle w:val="TableText"/>
              <w:jc w:val="center"/>
            </w:pPr>
            <w:r w:rsidRPr="00045521">
              <w:t>–1.18</w:t>
            </w:r>
          </w:p>
        </w:tc>
      </w:tr>
      <w:tr w:rsidR="00B31139" w:rsidRPr="00F86824" w14:paraId="226C3656" w14:textId="77777777" w:rsidTr="00B31139">
        <w:trPr>
          <w:trHeight w:val="255"/>
        </w:trPr>
        <w:tc>
          <w:tcPr>
            <w:tcW w:w="862" w:type="pct"/>
            <w:tcBorders>
              <w:top w:val="nil"/>
              <w:left w:val="single" w:sz="4" w:space="0" w:color="auto"/>
              <w:bottom w:val="single" w:sz="4" w:space="0" w:color="auto"/>
              <w:right w:val="single" w:sz="4" w:space="0" w:color="auto"/>
            </w:tcBorders>
            <w:shd w:val="clear" w:color="auto" w:fill="auto"/>
            <w:noWrap/>
            <w:vAlign w:val="bottom"/>
          </w:tcPr>
          <w:p w14:paraId="7B3A6E85" w14:textId="53D7E037" w:rsidR="00B31139" w:rsidRPr="00F86824" w:rsidRDefault="00B31139" w:rsidP="00B31139">
            <w:pPr>
              <w:pStyle w:val="TableText"/>
              <w:rPr>
                <w:i/>
              </w:rPr>
            </w:pPr>
            <w:r w:rsidRPr="00F86824">
              <w:rPr>
                <w:i/>
              </w:rPr>
              <w:t xml:space="preserve">ICER per gain in </w:t>
            </w:r>
            <w:proofErr w:type="spellStart"/>
            <w:r w:rsidRPr="00F86824">
              <w:rPr>
                <w:i/>
              </w:rPr>
              <w:t>Qmax</w:t>
            </w:r>
            <w:proofErr w:type="spellEnd"/>
            <w:r>
              <w:rPr>
                <w:i/>
              </w:rPr>
              <w:t xml:space="preserve"> </w:t>
            </w:r>
            <w:r w:rsidRPr="00B31139">
              <w:rPr>
                <w:i/>
                <w:vertAlign w:val="superscript"/>
              </w:rPr>
              <w:t>2</w:t>
            </w:r>
          </w:p>
        </w:tc>
        <w:tc>
          <w:tcPr>
            <w:tcW w:w="551" w:type="pct"/>
            <w:tcBorders>
              <w:top w:val="single" w:sz="4" w:space="0" w:color="auto"/>
              <w:left w:val="nil"/>
              <w:bottom w:val="single" w:sz="4" w:space="0" w:color="auto"/>
              <w:right w:val="single" w:sz="4" w:space="0" w:color="auto"/>
            </w:tcBorders>
            <w:vAlign w:val="center"/>
          </w:tcPr>
          <w:p w14:paraId="0BAEE978" w14:textId="77777777" w:rsidR="00B31139" w:rsidRPr="00F86824" w:rsidRDefault="00B31139" w:rsidP="00B31139">
            <w:pPr>
              <w:pStyle w:val="TableText"/>
              <w:jc w:val="center"/>
              <w:rPr>
                <w:i/>
              </w:rPr>
            </w:pPr>
            <w:r w:rsidRPr="00F86824">
              <w:rPr>
                <w:i/>
              </w:rPr>
              <w:t>Dominant</w:t>
            </w:r>
          </w:p>
        </w:tc>
        <w:tc>
          <w:tcPr>
            <w:tcW w:w="717" w:type="pct"/>
            <w:tcBorders>
              <w:top w:val="single" w:sz="4" w:space="0" w:color="auto"/>
              <w:left w:val="single" w:sz="4" w:space="0" w:color="auto"/>
              <w:bottom w:val="single" w:sz="4" w:space="0" w:color="auto"/>
              <w:right w:val="single" w:sz="4" w:space="0" w:color="auto"/>
            </w:tcBorders>
            <w:vAlign w:val="center"/>
          </w:tcPr>
          <w:p w14:paraId="503F4B87" w14:textId="5DFDF10B" w:rsidR="00B31139" w:rsidRPr="00F86824" w:rsidRDefault="00B31139" w:rsidP="00B31139">
            <w:pPr>
              <w:pStyle w:val="TableText"/>
              <w:jc w:val="center"/>
              <w:rPr>
                <w:i/>
              </w:rPr>
            </w:pPr>
            <w:r>
              <w:rPr>
                <w:i/>
              </w:rPr>
              <w:t>NA</w:t>
            </w:r>
          </w:p>
        </w:tc>
        <w:tc>
          <w:tcPr>
            <w:tcW w:w="718" w:type="pct"/>
            <w:tcBorders>
              <w:top w:val="single" w:sz="4" w:space="0" w:color="auto"/>
              <w:left w:val="single" w:sz="4" w:space="0" w:color="auto"/>
              <w:bottom w:val="single" w:sz="4" w:space="0" w:color="auto"/>
              <w:right w:val="single" w:sz="4" w:space="0" w:color="auto"/>
            </w:tcBorders>
            <w:vAlign w:val="center"/>
          </w:tcPr>
          <w:p w14:paraId="274156F5" w14:textId="2C890031" w:rsidR="00B31139" w:rsidRPr="00F86824" w:rsidRDefault="00B31139" w:rsidP="00B31139">
            <w:pPr>
              <w:pStyle w:val="TableText"/>
              <w:jc w:val="center"/>
              <w:rPr>
                <w:i/>
              </w:rPr>
            </w:pPr>
            <w:r>
              <w:rPr>
                <w:i/>
              </w:rPr>
              <w:t>NA</w:t>
            </w:r>
          </w:p>
        </w:tc>
        <w:tc>
          <w:tcPr>
            <w:tcW w:w="717" w:type="pct"/>
            <w:tcBorders>
              <w:top w:val="single" w:sz="4" w:space="0" w:color="auto"/>
              <w:left w:val="single" w:sz="4" w:space="0" w:color="auto"/>
              <w:bottom w:val="single" w:sz="4" w:space="0" w:color="auto"/>
              <w:right w:val="single" w:sz="4" w:space="0" w:color="auto"/>
            </w:tcBorders>
            <w:vAlign w:val="center"/>
          </w:tcPr>
          <w:p w14:paraId="10B1B179" w14:textId="72D8A3D2" w:rsidR="00B31139" w:rsidRPr="00F86824" w:rsidRDefault="00B31139" w:rsidP="00B31139">
            <w:pPr>
              <w:pStyle w:val="TableText"/>
              <w:jc w:val="center"/>
              <w:rPr>
                <w:i/>
              </w:rPr>
            </w:pPr>
            <w:r>
              <w:rPr>
                <w:i/>
              </w:rPr>
              <w:t xml:space="preserve">SW-quadrant ($239 cost savings per loss in </w:t>
            </w:r>
            <w:proofErr w:type="spellStart"/>
            <w:r>
              <w:rPr>
                <w:i/>
              </w:rPr>
              <w:t>Qmax</w:t>
            </w:r>
            <w:proofErr w:type="spellEnd"/>
            <w:r>
              <w:rPr>
                <w:i/>
              </w:rPr>
              <w:t>)</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238D7" w14:textId="4AA9476C" w:rsidR="00B31139" w:rsidRPr="00F86824" w:rsidRDefault="00B31139" w:rsidP="00B31139">
            <w:pPr>
              <w:pStyle w:val="TableText"/>
              <w:jc w:val="center"/>
              <w:rPr>
                <w:i/>
              </w:rPr>
            </w:pPr>
            <w:r>
              <w:rPr>
                <w:i/>
              </w:rPr>
              <w:t>NA</w:t>
            </w:r>
          </w:p>
        </w:tc>
        <w:tc>
          <w:tcPr>
            <w:tcW w:w="717" w:type="pct"/>
            <w:tcBorders>
              <w:top w:val="single" w:sz="4" w:space="0" w:color="auto"/>
              <w:left w:val="single" w:sz="4" w:space="0" w:color="auto"/>
              <w:bottom w:val="single" w:sz="4" w:space="0" w:color="auto"/>
              <w:right w:val="single" w:sz="4" w:space="0" w:color="auto"/>
            </w:tcBorders>
            <w:vAlign w:val="center"/>
          </w:tcPr>
          <w:p w14:paraId="667B4753" w14:textId="227D1E6F" w:rsidR="00B31139" w:rsidRPr="00F86824" w:rsidRDefault="00B31139" w:rsidP="00B31139">
            <w:pPr>
              <w:pStyle w:val="TableText"/>
              <w:jc w:val="center"/>
              <w:rPr>
                <w:i/>
              </w:rPr>
            </w:pPr>
            <w:r>
              <w:rPr>
                <w:i/>
              </w:rPr>
              <w:t>SW-quadrant ($</w:t>
            </w:r>
            <w:r w:rsidR="00CF6AD4" w:rsidRPr="00CF6AD4">
              <w:rPr>
                <w:i/>
                <w:color w:val="000000"/>
                <w:spacing w:val="169"/>
                <w:shd w:val="solid" w:color="000000" w:fill="000000"/>
                <w:fitText w:val="255" w:id="-1455741431"/>
                <w14:textFill>
                  <w14:solidFill>
                    <w14:srgbClr w14:val="000000">
                      <w14:alpha w14:val="100000"/>
                    </w14:srgbClr>
                  </w14:solidFill>
                </w14:textFill>
              </w:rPr>
              <w:t>|</w:t>
            </w:r>
            <w:r w:rsidR="00CF6AD4" w:rsidRPr="00CF6AD4">
              <w:rPr>
                <w:i/>
                <w:color w:val="000000"/>
                <w:spacing w:val="1"/>
                <w:shd w:val="solid" w:color="000000" w:fill="000000"/>
                <w:fitText w:val="255" w:id="-1455741431"/>
                <w14:textFill>
                  <w14:solidFill>
                    <w14:srgbClr w14:val="000000">
                      <w14:alpha w14:val="100000"/>
                    </w14:srgbClr>
                  </w14:solidFill>
                </w14:textFill>
              </w:rPr>
              <w:t>|</w:t>
            </w:r>
            <w:r>
              <w:rPr>
                <w:i/>
              </w:rPr>
              <w:t xml:space="preserve"> cost savings per loss in </w:t>
            </w:r>
            <w:proofErr w:type="spellStart"/>
            <w:r>
              <w:rPr>
                <w:i/>
              </w:rPr>
              <w:t>Qmax</w:t>
            </w:r>
            <w:proofErr w:type="spellEnd"/>
            <w:r>
              <w:rPr>
                <w:i/>
              </w:rPr>
              <w:t>)</w:t>
            </w:r>
          </w:p>
        </w:tc>
      </w:tr>
    </w:tbl>
    <w:p w14:paraId="78445392" w14:textId="77777777" w:rsidR="009521E7" w:rsidRDefault="009521E7" w:rsidP="00085C64">
      <w:pPr>
        <w:pStyle w:val="Tablenotes0"/>
      </w:pPr>
      <w:r>
        <w:t xml:space="preserve">Source: Table 11, </w:t>
      </w:r>
      <w:proofErr w:type="spellStart"/>
      <w:r>
        <w:t>pg</w:t>
      </w:r>
      <w:proofErr w:type="spellEnd"/>
      <w:r>
        <w:t xml:space="preserve"> 20 of MSAC 1697 DCAR</w:t>
      </w:r>
    </w:p>
    <w:p w14:paraId="5535774D" w14:textId="2FA53577" w:rsidR="007C3A8A" w:rsidRDefault="009521E7" w:rsidP="00085C64">
      <w:pPr>
        <w:pStyle w:val="Tablenotes0"/>
      </w:pPr>
      <w:r>
        <w:t xml:space="preserve">Abbreviations: </w:t>
      </w:r>
      <w:r w:rsidR="44D5223B">
        <w:t xml:space="preserve">EEP = endoscopic enucleation of the prostate; IPSS = International prostate symptom score; </w:t>
      </w:r>
      <w:r w:rsidR="00166779" w:rsidRPr="00BD267E">
        <w:t>NA</w:t>
      </w:r>
      <w:r w:rsidR="00166779">
        <w:t xml:space="preserve"> =</w:t>
      </w:r>
      <w:r w:rsidR="00166779" w:rsidRPr="00BD267E">
        <w:t xml:space="preserve"> </w:t>
      </w:r>
      <w:r w:rsidR="00166779">
        <w:t>i</w:t>
      </w:r>
      <w:r w:rsidR="00166779" w:rsidRPr="00BD267E">
        <w:t xml:space="preserve">ndicates data were not </w:t>
      </w:r>
      <w:r w:rsidR="00166779">
        <w:t>available;</w:t>
      </w:r>
      <w:r w:rsidR="00166779" w:rsidRPr="00BD267E">
        <w:t xml:space="preserve"> </w:t>
      </w:r>
      <w:r w:rsidR="44D5223B">
        <w:t xml:space="preserve">PUL = prostatic urethral lift; </w:t>
      </w:r>
      <w:proofErr w:type="spellStart"/>
      <w:r w:rsidR="17DE8445" w:rsidRPr="613BE62B">
        <w:rPr>
          <w:rFonts w:eastAsia="Times New Roman" w:cs="Segoe UI"/>
          <w:lang w:eastAsia="en-AU"/>
        </w:rPr>
        <w:t>Qmax</w:t>
      </w:r>
      <w:proofErr w:type="spellEnd"/>
      <w:r w:rsidR="17DE8445" w:rsidRPr="613BE62B">
        <w:rPr>
          <w:rFonts w:eastAsia="Times New Roman" w:cs="Segoe UI"/>
          <w:lang w:eastAsia="en-AU"/>
        </w:rPr>
        <w:t xml:space="preserve"> =</w:t>
      </w:r>
      <w:r w:rsidR="17DE8445">
        <w:t xml:space="preserve"> </w:t>
      </w:r>
      <w:r w:rsidR="17DE8445" w:rsidRPr="613BE62B">
        <w:rPr>
          <w:rFonts w:eastAsia="Times New Roman" w:cs="Segoe UI"/>
          <w:lang w:eastAsia="en-AU"/>
        </w:rPr>
        <w:t>maximum flow rate (of urine flow</w:t>
      </w:r>
      <w:r w:rsidR="0B1CD94D" w:rsidRPr="613BE62B">
        <w:rPr>
          <w:rFonts w:eastAsia="Times New Roman" w:cs="Segoe UI"/>
          <w:lang w:eastAsia="en-AU"/>
        </w:rPr>
        <w:t xml:space="preserve">); SW = south-west; </w:t>
      </w:r>
      <w:r w:rsidR="44D5223B">
        <w:t>TUMT = transurethral microwave thermotherapy; TURP = transurethral resection of the prostate; TUWA = transurethral water vapour ablation; VLAP = visual laser ablation of the prostate</w:t>
      </w:r>
    </w:p>
    <w:p w14:paraId="4A4CB79E" w14:textId="77777777" w:rsidR="00B31139" w:rsidRDefault="00B31139" w:rsidP="00085C64">
      <w:pPr>
        <w:pStyle w:val="Tablenotes0"/>
        <w:rPr>
          <w:i/>
          <w:iCs/>
        </w:rPr>
      </w:pPr>
      <w:r>
        <w:rPr>
          <w:iCs/>
          <w:vertAlign w:val="superscript"/>
        </w:rPr>
        <w:t xml:space="preserve">1 </w:t>
      </w:r>
      <w:r w:rsidRPr="00986D79">
        <w:rPr>
          <w:iCs/>
        </w:rPr>
        <w:t>MSAC application 1612 seeks to increase the MBS fee for PUL (equivalent to the MBS fee for VLAP and TURP) by amending MBS 36811 for cystoscopy</w:t>
      </w:r>
      <w:r>
        <w:rPr>
          <w:iCs/>
        </w:rPr>
        <w:t>. Proposed PUL uses primary service cost of PUL equivalent to TURP.</w:t>
      </w:r>
      <w:r w:rsidRPr="00E828AD">
        <w:rPr>
          <w:i/>
          <w:iCs/>
        </w:rPr>
        <w:t xml:space="preserve"> </w:t>
      </w:r>
    </w:p>
    <w:p w14:paraId="7C2CF7BF" w14:textId="77777777" w:rsidR="00B31139" w:rsidRDefault="00B31139" w:rsidP="00085C64">
      <w:pPr>
        <w:pStyle w:val="Tablenotes0"/>
        <w:rPr>
          <w:iCs/>
        </w:rPr>
      </w:pPr>
      <w:r w:rsidRPr="00302CA4">
        <w:rPr>
          <w:iCs/>
          <w:vertAlign w:val="superscript"/>
        </w:rPr>
        <w:t xml:space="preserve">2 </w:t>
      </w:r>
      <w:r w:rsidRPr="00302CA4">
        <w:rPr>
          <w:iCs/>
        </w:rPr>
        <w:t xml:space="preserve">A negative mean difference for IPSS means the intervention is better than TURP, whilst a positive mean difference for </w:t>
      </w:r>
      <w:proofErr w:type="spellStart"/>
      <w:r w:rsidRPr="00302CA4">
        <w:rPr>
          <w:iCs/>
        </w:rPr>
        <w:t>Qmax</w:t>
      </w:r>
      <w:proofErr w:type="spellEnd"/>
      <w:r w:rsidRPr="00302CA4">
        <w:rPr>
          <w:iCs/>
        </w:rPr>
        <w:t xml:space="preserve"> indicates intervention is better than TURP.</w:t>
      </w:r>
    </w:p>
    <w:p w14:paraId="1DD36F3A" w14:textId="77777777" w:rsidR="00B31139" w:rsidRPr="00085C64" w:rsidRDefault="00B31139" w:rsidP="00085C64">
      <w:pPr>
        <w:pStyle w:val="Tablenotes0"/>
      </w:pPr>
      <w:r w:rsidRPr="00085C64">
        <w:rPr>
          <w:iCs/>
        </w:rPr>
        <w:t xml:space="preserve">Notes: </w:t>
      </w:r>
      <w:r w:rsidRPr="00085C64">
        <w:t>Costs/information not presented or included in the table above indicates gaps in costings and evidence, which may highlight underestimations in various cost modelling for prostatic procedures.</w:t>
      </w:r>
    </w:p>
    <w:p w14:paraId="535ED225" w14:textId="0CFA4B21" w:rsidR="00B31139" w:rsidRPr="00085C64" w:rsidRDefault="00B31139" w:rsidP="00085C64">
      <w:pPr>
        <w:pStyle w:val="Tablenotes0"/>
        <w:rPr>
          <w:iCs/>
        </w:rPr>
      </w:pPr>
      <w:r w:rsidRPr="00085C64">
        <w:rPr>
          <w:iCs/>
        </w:rPr>
        <w:t>SW-quadrant of the cost-effectiveness acceptability curves indicates an intervention is less cost</w:t>
      </w:r>
      <w:r w:rsidR="00084B06">
        <w:rPr>
          <w:iCs/>
        </w:rPr>
        <w:t>l</w:t>
      </w:r>
      <w:r w:rsidRPr="00085C64">
        <w:rPr>
          <w:iCs/>
        </w:rPr>
        <w:t xml:space="preserve">y and less effective than comparator. The interpretation of ICERs in this quadrant is opposite of that in the </w:t>
      </w:r>
      <w:proofErr w:type="gramStart"/>
      <w:r w:rsidRPr="00085C64">
        <w:rPr>
          <w:iCs/>
        </w:rPr>
        <w:t>North East</w:t>
      </w:r>
      <w:proofErr w:type="gramEnd"/>
      <w:r w:rsidRPr="00085C64">
        <w:rPr>
          <w:iCs/>
        </w:rPr>
        <w:t xml:space="preserve"> quadrant. The higher ICERs in the SW quadrant are more acceptable.</w:t>
      </w:r>
    </w:p>
    <w:p w14:paraId="743D60A8" w14:textId="77777777" w:rsidR="0099451C" w:rsidRDefault="00B31139" w:rsidP="0099451C">
      <w:pPr>
        <w:pStyle w:val="Tablenotes0"/>
        <w:rPr>
          <w:iCs/>
        </w:rPr>
      </w:pPr>
      <w:r w:rsidRPr="00085C64">
        <w:rPr>
          <w:iCs/>
        </w:rPr>
        <w:t>Dominant indicates that an intervention is less costly and more effective than comparator.</w:t>
      </w:r>
    </w:p>
    <w:p w14:paraId="31B27ABA" w14:textId="1EF9E7C6" w:rsidR="0099451C" w:rsidRPr="001426DD" w:rsidRDefault="0099451C" w:rsidP="005B0CB6">
      <w:pPr>
        <w:pStyle w:val="Tablenotes0"/>
        <w:rPr>
          <w:iCs/>
        </w:rPr>
      </w:pPr>
      <w:r w:rsidRPr="001426DD">
        <w:rPr>
          <w:iCs/>
        </w:rPr>
        <w:t>Dominated indicates that an intervention is more costly and less effective than comparator.</w:t>
      </w:r>
    </w:p>
    <w:p w14:paraId="64EFB918" w14:textId="2ED4911E" w:rsidR="00CD0165" w:rsidRDefault="007C3A8A" w:rsidP="00CD0165">
      <w:r>
        <w:t xml:space="preserve">Cost-consequence analyses for VLAP, TUWA, TUMT and PUL suggests that all these interventions are less costly </w:t>
      </w:r>
      <w:proofErr w:type="gramStart"/>
      <w:r>
        <w:t>and also</w:t>
      </w:r>
      <w:proofErr w:type="gramEnd"/>
      <w:r>
        <w:t xml:space="preserve"> less effective compared with TURP for the outcomes IPSS and </w:t>
      </w:r>
      <w:proofErr w:type="spellStart"/>
      <w:r>
        <w:t>Qmax</w:t>
      </w:r>
      <w:proofErr w:type="spellEnd"/>
      <w:r>
        <w:t xml:space="preserve"> after 12 months (where data available). </w:t>
      </w:r>
      <w:r w:rsidR="00E977AF">
        <w:t>EEP</w:t>
      </w:r>
      <w:r>
        <w:t xml:space="preserve"> techniques dominate TURP as these are less costly and more effective compared to TURP.</w:t>
      </w:r>
    </w:p>
    <w:p w14:paraId="7121BD25" w14:textId="173DEABB" w:rsidR="00994452" w:rsidRPr="00994452" w:rsidRDefault="00792251" w:rsidP="00994452">
      <w:r>
        <w:t xml:space="preserve">Sensitivity analysis </w:t>
      </w:r>
      <w:r w:rsidR="00637C22">
        <w:t xml:space="preserve">(cost comparisons) </w:t>
      </w:r>
      <w:r>
        <w:t xml:space="preserve">were </w:t>
      </w:r>
      <w:r w:rsidRPr="00000482">
        <w:t>perfo</w:t>
      </w:r>
      <w:r w:rsidR="00E76D67" w:rsidRPr="00000482">
        <w:t>r</w:t>
      </w:r>
      <w:r w:rsidRPr="00000482">
        <w:t>med</w:t>
      </w:r>
      <w:r>
        <w:t xml:space="preserve"> to assess the impact of several variables including type of anaesthesia used, costs associated with consumables, prostheses costs, capital costs and average length of hospital </w:t>
      </w:r>
      <w:r w:rsidRPr="000F29FD">
        <w:t xml:space="preserve">stay. </w:t>
      </w:r>
      <w:r w:rsidR="000F29FD" w:rsidRPr="000F29FD">
        <w:t>Table 12 pr</w:t>
      </w:r>
      <w:r w:rsidR="00CA4067" w:rsidRPr="000F29FD">
        <w:t>esents</w:t>
      </w:r>
      <w:r w:rsidR="00CA4067">
        <w:t xml:space="preserve"> </w:t>
      </w:r>
      <w:r w:rsidR="00AC64B9">
        <w:t>results for</w:t>
      </w:r>
      <w:r w:rsidR="00CA4067">
        <w:t xml:space="preserve"> key sensitivity analyses</w:t>
      </w:r>
      <w:r w:rsidR="006E1850">
        <w:t xml:space="preserve"> (cost comparisons only)</w:t>
      </w:r>
      <w:r w:rsidR="00CA4067">
        <w:t>.</w:t>
      </w:r>
      <w:r w:rsidR="006E1850">
        <w:t xml:space="preserve"> </w:t>
      </w:r>
      <w:bookmarkStart w:id="36" w:name="_Ref98937051"/>
      <w:r w:rsidR="00994452">
        <w:br w:type="page"/>
      </w:r>
    </w:p>
    <w:p w14:paraId="0EA2911A" w14:textId="55427224" w:rsidR="00CD0165" w:rsidRDefault="00CD0165" w:rsidP="00BA319D">
      <w:pPr>
        <w:pStyle w:val="TableFigureHeading"/>
      </w:pPr>
      <w:bookmarkStart w:id="37" w:name="_Ref116390532"/>
      <w:r>
        <w:lastRenderedPageBreak/>
        <w:t xml:space="preserve">Table </w:t>
      </w:r>
      <w:fldSimple w:instr=" SEQ Table \* ARABIC ">
        <w:r w:rsidR="00C03EF9">
          <w:rPr>
            <w:noProof/>
          </w:rPr>
          <w:t>12</w:t>
        </w:r>
      </w:fldSimple>
      <w:bookmarkEnd w:id="36"/>
      <w:bookmarkEnd w:id="37"/>
      <w:r w:rsidR="00BA319D">
        <w:tab/>
      </w:r>
      <w:r>
        <w:t>Key sensitivity analyses</w:t>
      </w:r>
    </w:p>
    <w:tbl>
      <w:tblPr>
        <w:tblStyle w:val="TableGrid1"/>
        <w:tblW w:w="8701" w:type="dxa"/>
        <w:tblLook w:val="04A0" w:firstRow="1" w:lastRow="0" w:firstColumn="1" w:lastColumn="0" w:noHBand="0" w:noVBand="1"/>
      </w:tblPr>
      <w:tblGrid>
        <w:gridCol w:w="3215"/>
        <w:gridCol w:w="1120"/>
        <w:gridCol w:w="1014"/>
        <w:gridCol w:w="1128"/>
        <w:gridCol w:w="1202"/>
        <w:gridCol w:w="1022"/>
      </w:tblGrid>
      <w:tr w:rsidR="00CD0165" w:rsidRPr="00BB0771" w14:paraId="0A3CAB48" w14:textId="77777777" w:rsidTr="00BA319D">
        <w:trPr>
          <w:cnfStyle w:val="100000000000" w:firstRow="1" w:lastRow="0" w:firstColumn="0" w:lastColumn="0" w:oddVBand="0" w:evenVBand="0" w:oddHBand="0" w:evenHBand="0" w:firstRowFirstColumn="0" w:firstRowLastColumn="0" w:lastRowFirstColumn="0" w:lastRowLastColumn="0"/>
          <w:trHeight w:val="255"/>
          <w:tblHeader/>
        </w:trPr>
        <w:tc>
          <w:tcPr>
            <w:tcW w:w="3215" w:type="dxa"/>
            <w:shd w:val="clear" w:color="auto" w:fill="auto"/>
            <w:noWrap/>
            <w:vAlign w:val="bottom"/>
            <w:hideMark/>
          </w:tcPr>
          <w:p w14:paraId="3A7CAF8F" w14:textId="77777777" w:rsidR="00CD0165" w:rsidRPr="00BB0771" w:rsidRDefault="00CD0165" w:rsidP="00AE5C81">
            <w:pPr>
              <w:spacing w:before="0" w:after="0"/>
              <w:rPr>
                <w:rFonts w:ascii="Arial Narrow" w:hAnsi="Arial Narrow" w:cs="Calibri"/>
                <w:b/>
                <w:bCs/>
                <w:color w:val="000000"/>
              </w:rPr>
            </w:pPr>
            <w:r w:rsidRPr="00BB0771">
              <w:rPr>
                <w:rFonts w:ascii="Arial Narrow" w:hAnsi="Arial Narrow" w:cs="Calibri"/>
                <w:b/>
                <w:bCs/>
                <w:color w:val="000000"/>
              </w:rPr>
              <w:t> </w:t>
            </w:r>
          </w:p>
        </w:tc>
        <w:tc>
          <w:tcPr>
            <w:tcW w:w="1120" w:type="dxa"/>
            <w:shd w:val="clear" w:color="auto" w:fill="auto"/>
            <w:vAlign w:val="center"/>
            <w:hideMark/>
          </w:tcPr>
          <w:p w14:paraId="5C67E02F" w14:textId="77777777" w:rsidR="00CD0165" w:rsidRPr="00BB0771" w:rsidRDefault="00CD0165" w:rsidP="00AE5C81">
            <w:pPr>
              <w:spacing w:before="0" w:after="0"/>
              <w:rPr>
                <w:rFonts w:ascii="Arial Narrow" w:hAnsi="Arial Narrow" w:cs="Calibri"/>
                <w:b/>
                <w:bCs/>
                <w:color w:val="000000"/>
              </w:rPr>
            </w:pPr>
            <w:r w:rsidRPr="00BB0771">
              <w:rPr>
                <w:rFonts w:ascii="Arial Narrow" w:hAnsi="Arial Narrow" w:cs="Calibri"/>
                <w:b/>
                <w:bCs/>
                <w:color w:val="000000"/>
              </w:rPr>
              <w:t>EEP</w:t>
            </w:r>
          </w:p>
        </w:tc>
        <w:tc>
          <w:tcPr>
            <w:tcW w:w="1014" w:type="dxa"/>
            <w:shd w:val="clear" w:color="auto" w:fill="auto"/>
            <w:vAlign w:val="center"/>
            <w:hideMark/>
          </w:tcPr>
          <w:p w14:paraId="18103FBF" w14:textId="77777777" w:rsidR="00CD0165" w:rsidRPr="00BB0771" w:rsidRDefault="00CD0165" w:rsidP="00AE5C81">
            <w:pPr>
              <w:spacing w:before="0" w:after="0"/>
              <w:rPr>
                <w:rFonts w:ascii="Arial Narrow" w:hAnsi="Arial Narrow" w:cs="Calibri"/>
                <w:b/>
                <w:bCs/>
                <w:color w:val="000000"/>
              </w:rPr>
            </w:pPr>
            <w:r w:rsidRPr="00BB0771">
              <w:rPr>
                <w:rFonts w:ascii="Arial Narrow" w:hAnsi="Arial Narrow" w:cs="Calibri"/>
                <w:b/>
                <w:bCs/>
                <w:color w:val="000000"/>
              </w:rPr>
              <w:t>PUL</w:t>
            </w:r>
          </w:p>
        </w:tc>
        <w:tc>
          <w:tcPr>
            <w:tcW w:w="1128" w:type="dxa"/>
            <w:shd w:val="clear" w:color="auto" w:fill="auto"/>
            <w:noWrap/>
            <w:vAlign w:val="center"/>
            <w:hideMark/>
          </w:tcPr>
          <w:p w14:paraId="426A3F9A" w14:textId="77777777" w:rsidR="00CD0165" w:rsidRPr="00BB0771" w:rsidRDefault="00CD0165" w:rsidP="00AE5C81">
            <w:pPr>
              <w:spacing w:before="0" w:after="0"/>
              <w:rPr>
                <w:rFonts w:ascii="Arial Narrow" w:hAnsi="Arial Narrow" w:cs="Calibri"/>
                <w:b/>
                <w:bCs/>
                <w:color w:val="000000"/>
              </w:rPr>
            </w:pPr>
            <w:r w:rsidRPr="00BB0771">
              <w:rPr>
                <w:rFonts w:ascii="Arial Narrow" w:hAnsi="Arial Narrow" w:cs="Calibri"/>
                <w:b/>
                <w:bCs/>
                <w:color w:val="000000"/>
              </w:rPr>
              <w:t>TUMT</w:t>
            </w:r>
          </w:p>
        </w:tc>
        <w:tc>
          <w:tcPr>
            <w:tcW w:w="1202" w:type="dxa"/>
            <w:shd w:val="clear" w:color="auto" w:fill="auto"/>
            <w:noWrap/>
            <w:vAlign w:val="center"/>
            <w:hideMark/>
          </w:tcPr>
          <w:p w14:paraId="0116E026" w14:textId="77777777" w:rsidR="00CD0165" w:rsidRPr="00BB0771" w:rsidRDefault="00CD0165" w:rsidP="00AE5C81">
            <w:pPr>
              <w:spacing w:before="0" w:after="0"/>
              <w:rPr>
                <w:rFonts w:ascii="Arial Narrow" w:hAnsi="Arial Narrow" w:cs="Calibri"/>
                <w:b/>
                <w:bCs/>
                <w:color w:val="000000"/>
              </w:rPr>
            </w:pPr>
            <w:r w:rsidRPr="00BB0771">
              <w:rPr>
                <w:rFonts w:ascii="Arial Narrow" w:hAnsi="Arial Narrow" w:cs="Calibri"/>
                <w:b/>
                <w:bCs/>
                <w:color w:val="000000"/>
              </w:rPr>
              <w:t>TUWA</w:t>
            </w:r>
          </w:p>
        </w:tc>
        <w:tc>
          <w:tcPr>
            <w:tcW w:w="1022" w:type="dxa"/>
            <w:shd w:val="clear" w:color="auto" w:fill="auto"/>
            <w:noWrap/>
            <w:vAlign w:val="center"/>
            <w:hideMark/>
          </w:tcPr>
          <w:p w14:paraId="65A1C62D" w14:textId="77777777" w:rsidR="00CD0165" w:rsidRPr="00BB0771" w:rsidRDefault="00CD0165" w:rsidP="00AE5C81">
            <w:pPr>
              <w:spacing w:before="0" w:after="0"/>
              <w:rPr>
                <w:rFonts w:ascii="Arial Narrow" w:hAnsi="Arial Narrow" w:cs="Calibri"/>
                <w:b/>
                <w:bCs/>
                <w:color w:val="000000"/>
              </w:rPr>
            </w:pPr>
            <w:r w:rsidRPr="00BB0771">
              <w:rPr>
                <w:rFonts w:ascii="Arial Narrow" w:hAnsi="Arial Narrow" w:cs="Calibri"/>
                <w:b/>
                <w:bCs/>
                <w:color w:val="000000"/>
              </w:rPr>
              <w:t>VLAP</w:t>
            </w:r>
          </w:p>
        </w:tc>
      </w:tr>
      <w:tr w:rsidR="00CD0165" w:rsidRPr="00BB0771" w14:paraId="474F7DAC" w14:textId="77777777" w:rsidTr="00BA319D">
        <w:trPr>
          <w:cnfStyle w:val="100000000000" w:firstRow="1" w:lastRow="0" w:firstColumn="0" w:lastColumn="0" w:oddVBand="0" w:evenVBand="0" w:oddHBand="0" w:evenHBand="0" w:firstRowFirstColumn="0" w:firstRowLastColumn="0" w:lastRowFirstColumn="0" w:lastRowLastColumn="0"/>
          <w:trHeight w:val="255"/>
          <w:tblHeader/>
        </w:trPr>
        <w:tc>
          <w:tcPr>
            <w:tcW w:w="3215" w:type="dxa"/>
            <w:tcBorders>
              <w:bottom w:val="single" w:sz="4" w:space="0" w:color="auto"/>
            </w:tcBorders>
            <w:shd w:val="clear" w:color="auto" w:fill="auto"/>
            <w:noWrap/>
            <w:vAlign w:val="bottom"/>
            <w:hideMark/>
          </w:tcPr>
          <w:p w14:paraId="54839C8E" w14:textId="77777777" w:rsidR="00CD0165" w:rsidRPr="00BB0771" w:rsidRDefault="00CD0165" w:rsidP="00AE5C81">
            <w:pPr>
              <w:spacing w:before="0" w:after="0"/>
              <w:rPr>
                <w:rFonts w:ascii="Arial Narrow" w:hAnsi="Arial Narrow" w:cs="Calibri"/>
                <w:b/>
                <w:bCs/>
                <w:i/>
                <w:iCs/>
                <w:color w:val="000000"/>
              </w:rPr>
            </w:pPr>
            <w:r w:rsidRPr="00BB0771">
              <w:rPr>
                <w:rFonts w:ascii="Arial Narrow" w:hAnsi="Arial Narrow" w:cs="Calibri"/>
                <w:b/>
                <w:bCs/>
                <w:i/>
                <w:iCs/>
                <w:color w:val="000000"/>
              </w:rPr>
              <w:t>Base case incremental costs</w:t>
            </w:r>
          </w:p>
        </w:tc>
        <w:tc>
          <w:tcPr>
            <w:tcW w:w="1120" w:type="dxa"/>
            <w:tcBorders>
              <w:bottom w:val="single" w:sz="4" w:space="0" w:color="auto"/>
            </w:tcBorders>
            <w:shd w:val="clear" w:color="auto" w:fill="auto"/>
            <w:noWrap/>
            <w:vAlign w:val="bottom"/>
            <w:hideMark/>
          </w:tcPr>
          <w:p w14:paraId="5819E4A7" w14:textId="77777777" w:rsidR="00CD0165" w:rsidRPr="00BB0771" w:rsidRDefault="00CD0165" w:rsidP="00AE5C81">
            <w:pPr>
              <w:spacing w:before="0" w:after="0"/>
              <w:jc w:val="right"/>
              <w:rPr>
                <w:rFonts w:ascii="Arial Narrow" w:hAnsi="Arial Narrow" w:cs="Calibri"/>
                <w:b/>
                <w:bCs/>
                <w:i/>
                <w:iCs/>
                <w:color w:val="000000"/>
              </w:rPr>
            </w:pPr>
            <w:r>
              <w:rPr>
                <w:rFonts w:ascii="Arial Narrow" w:hAnsi="Arial Narrow" w:cs="Calibri"/>
                <w:b/>
                <w:bCs/>
                <w:i/>
                <w:iCs/>
                <w:color w:val="000000"/>
              </w:rPr>
              <w:t>–</w:t>
            </w:r>
            <w:r w:rsidRPr="00BB0771">
              <w:rPr>
                <w:rFonts w:ascii="Arial Narrow" w:hAnsi="Arial Narrow" w:cs="Calibri"/>
                <w:b/>
                <w:bCs/>
                <w:i/>
                <w:iCs/>
                <w:color w:val="000000"/>
              </w:rPr>
              <w:t>$1,472</w:t>
            </w:r>
          </w:p>
        </w:tc>
        <w:tc>
          <w:tcPr>
            <w:tcW w:w="1014" w:type="dxa"/>
            <w:tcBorders>
              <w:bottom w:val="single" w:sz="4" w:space="0" w:color="auto"/>
            </w:tcBorders>
            <w:shd w:val="clear" w:color="auto" w:fill="auto"/>
            <w:noWrap/>
            <w:vAlign w:val="bottom"/>
            <w:hideMark/>
          </w:tcPr>
          <w:p w14:paraId="7465B82D" w14:textId="77777777" w:rsidR="00CD0165" w:rsidRPr="00BB0771" w:rsidRDefault="00CD0165" w:rsidP="00AE5C81">
            <w:pPr>
              <w:spacing w:before="0" w:after="0"/>
              <w:jc w:val="right"/>
              <w:rPr>
                <w:rFonts w:ascii="Arial Narrow" w:hAnsi="Arial Narrow" w:cs="Calibri"/>
                <w:b/>
                <w:bCs/>
                <w:i/>
                <w:iCs/>
                <w:color w:val="000000"/>
              </w:rPr>
            </w:pPr>
            <w:r>
              <w:rPr>
                <w:rFonts w:ascii="Arial Narrow" w:hAnsi="Arial Narrow" w:cs="Calibri"/>
                <w:b/>
                <w:bCs/>
                <w:i/>
                <w:iCs/>
                <w:color w:val="000000"/>
              </w:rPr>
              <w:t>–</w:t>
            </w:r>
            <w:r w:rsidRPr="00BB0771">
              <w:rPr>
                <w:rFonts w:ascii="Arial Narrow" w:hAnsi="Arial Narrow" w:cs="Calibri"/>
                <w:b/>
                <w:bCs/>
                <w:i/>
                <w:iCs/>
                <w:color w:val="000000"/>
              </w:rPr>
              <w:t>$91</w:t>
            </w:r>
          </w:p>
        </w:tc>
        <w:tc>
          <w:tcPr>
            <w:tcW w:w="1128" w:type="dxa"/>
            <w:tcBorders>
              <w:bottom w:val="single" w:sz="4" w:space="0" w:color="auto"/>
            </w:tcBorders>
            <w:shd w:val="clear" w:color="auto" w:fill="auto"/>
            <w:noWrap/>
            <w:vAlign w:val="bottom"/>
            <w:hideMark/>
          </w:tcPr>
          <w:p w14:paraId="7D578A8F" w14:textId="77777777" w:rsidR="00CD0165" w:rsidRPr="00BB0771" w:rsidRDefault="00CD0165" w:rsidP="00AE5C81">
            <w:pPr>
              <w:spacing w:before="0" w:after="0"/>
              <w:jc w:val="right"/>
              <w:rPr>
                <w:rFonts w:ascii="Arial Narrow" w:hAnsi="Arial Narrow" w:cs="Calibri"/>
                <w:b/>
                <w:bCs/>
                <w:i/>
                <w:iCs/>
                <w:color w:val="000000"/>
              </w:rPr>
            </w:pPr>
            <w:r>
              <w:rPr>
                <w:rFonts w:ascii="Arial Narrow" w:hAnsi="Arial Narrow" w:cs="Calibri"/>
                <w:b/>
                <w:bCs/>
                <w:i/>
                <w:iCs/>
                <w:color w:val="000000"/>
              </w:rPr>
              <w:t>–</w:t>
            </w:r>
            <w:r w:rsidRPr="00BB0771">
              <w:rPr>
                <w:rFonts w:ascii="Arial Narrow" w:hAnsi="Arial Narrow" w:cs="Calibri"/>
                <w:b/>
                <w:bCs/>
                <w:i/>
                <w:iCs/>
                <w:color w:val="000000"/>
              </w:rPr>
              <w:t>$1,319</w:t>
            </w:r>
          </w:p>
        </w:tc>
        <w:tc>
          <w:tcPr>
            <w:tcW w:w="1202" w:type="dxa"/>
            <w:tcBorders>
              <w:bottom w:val="single" w:sz="4" w:space="0" w:color="auto"/>
            </w:tcBorders>
            <w:shd w:val="clear" w:color="auto" w:fill="auto"/>
            <w:noWrap/>
            <w:vAlign w:val="bottom"/>
            <w:hideMark/>
          </w:tcPr>
          <w:p w14:paraId="226B85AA" w14:textId="14EF6527" w:rsidR="00CD0165" w:rsidRPr="005B0CB6" w:rsidRDefault="00CD0165" w:rsidP="00AE5C81">
            <w:pPr>
              <w:spacing w:before="0" w:after="0"/>
              <w:jc w:val="right"/>
              <w:rPr>
                <w:rFonts w:ascii="Arial Narrow" w:hAnsi="Arial Narrow" w:cs="Calibri"/>
                <w:b/>
                <w:bCs/>
                <w:i/>
                <w:iCs/>
                <w:color w:val="000000"/>
              </w:rPr>
            </w:pPr>
            <w:r w:rsidRPr="005B0CB6">
              <w:rPr>
                <w:rFonts w:ascii="Arial Narrow" w:hAnsi="Arial Narrow" w:cs="Calibri"/>
                <w:b/>
                <w:bCs/>
                <w:i/>
                <w:iCs/>
                <w:color w:val="000000"/>
              </w:rPr>
              <w:t>–$</w:t>
            </w:r>
            <w:r w:rsidR="00CF6AD4" w:rsidRPr="00CF6AD4">
              <w:rPr>
                <w:rFonts w:ascii="Arial Narrow" w:hAnsi="Arial Narrow" w:cs="Calibri" w:hint="eastAsia"/>
                <w:b/>
                <w:bCs/>
                <w:i/>
                <w:iCs/>
                <w:color w:val="000000"/>
                <w:w w:val="15"/>
                <w:shd w:val="solid" w:color="000000" w:fill="000000"/>
                <w:fitText w:val="28" w:id="-1455741430"/>
                <w14:textFill>
                  <w14:solidFill>
                    <w14:srgbClr w14:val="000000">
                      <w14:alpha w14:val="100000"/>
                    </w14:srgbClr>
                  </w14:solidFill>
                </w14:textFill>
              </w:rPr>
              <w:t xml:space="preserve">　</w:t>
            </w:r>
            <w:r w:rsidR="00CF6AD4" w:rsidRPr="00CF6AD4">
              <w:rPr>
                <w:rFonts w:ascii="Arial Narrow" w:hAnsi="Arial Narrow" w:cs="Calibri"/>
                <w:b/>
                <w:bCs/>
                <w:i/>
                <w:iCs/>
                <w:color w:val="000000"/>
                <w:w w:val="15"/>
                <w:shd w:val="solid" w:color="000000" w:fill="000000"/>
                <w:fitText w:val="28" w:id="-1455741430"/>
                <w14:textFill>
                  <w14:solidFill>
                    <w14:srgbClr w14:val="000000">
                      <w14:alpha w14:val="100000"/>
                    </w14:srgbClr>
                  </w14:solidFill>
                </w14:textFill>
              </w:rPr>
              <w:t>|</w:t>
            </w:r>
            <w:r w:rsidR="00CF6AD4" w:rsidRPr="00CF6AD4">
              <w:rPr>
                <w:rFonts w:ascii="Arial Narrow" w:hAnsi="Arial Narrow" w:cs="Calibri" w:hint="eastAsia"/>
                <w:b/>
                <w:bCs/>
                <w:i/>
                <w:iCs/>
                <w:color w:val="000000"/>
                <w:spacing w:val="-40"/>
                <w:w w:val="15"/>
                <w:shd w:val="solid" w:color="000000" w:fill="000000"/>
                <w:fitText w:val="28" w:id="-1455741430"/>
                <w14:textFill>
                  <w14:solidFill>
                    <w14:srgbClr w14:val="000000">
                      <w14:alpha w14:val="100000"/>
                    </w14:srgbClr>
                  </w14:solidFill>
                </w14:textFill>
              </w:rPr>
              <w:t xml:space="preserve">　</w:t>
            </w:r>
          </w:p>
        </w:tc>
        <w:tc>
          <w:tcPr>
            <w:tcW w:w="1022" w:type="dxa"/>
            <w:tcBorders>
              <w:bottom w:val="single" w:sz="4" w:space="0" w:color="auto"/>
            </w:tcBorders>
            <w:shd w:val="clear" w:color="auto" w:fill="auto"/>
            <w:noWrap/>
            <w:vAlign w:val="bottom"/>
            <w:hideMark/>
          </w:tcPr>
          <w:p w14:paraId="11F38C06" w14:textId="71AE4E98" w:rsidR="00CD0165" w:rsidRPr="005B0CB6" w:rsidRDefault="00CD0165" w:rsidP="00AE5C81">
            <w:pPr>
              <w:spacing w:before="0" w:after="0"/>
              <w:jc w:val="right"/>
              <w:rPr>
                <w:rFonts w:ascii="Arial Narrow" w:hAnsi="Arial Narrow" w:cs="Calibri"/>
                <w:b/>
                <w:bCs/>
                <w:i/>
                <w:iCs/>
                <w:color w:val="000000"/>
              </w:rPr>
            </w:pPr>
            <w:r w:rsidRPr="005B0CB6">
              <w:rPr>
                <w:rFonts w:ascii="Arial Narrow" w:hAnsi="Arial Narrow" w:cs="Calibri"/>
                <w:b/>
                <w:bCs/>
                <w:i/>
                <w:iCs/>
                <w:color w:val="000000"/>
              </w:rPr>
              <w:t>–$</w:t>
            </w:r>
            <w:r w:rsidR="00CF6AD4" w:rsidRPr="00CF6AD4">
              <w:rPr>
                <w:rFonts w:ascii="Arial Narrow" w:hAnsi="Arial Narrow" w:cs="Calibri"/>
                <w:b/>
                <w:bCs/>
                <w:i/>
                <w:iCs/>
                <w:color w:val="000000"/>
                <w:spacing w:val="36"/>
                <w:shd w:val="solid" w:color="000000" w:fill="000000"/>
                <w:fitText w:val="210" w:id="-1455741429"/>
                <w14:textFill>
                  <w14:solidFill>
                    <w14:srgbClr w14:val="000000">
                      <w14:alpha w14:val="100000"/>
                    </w14:srgbClr>
                  </w14:solidFill>
                </w14:textFill>
              </w:rPr>
              <w:t>||</w:t>
            </w:r>
            <w:r w:rsidR="00CF6AD4" w:rsidRPr="00CF6AD4">
              <w:rPr>
                <w:rFonts w:ascii="Arial Narrow" w:hAnsi="Arial Narrow" w:cs="Calibri"/>
                <w:b/>
                <w:bCs/>
                <w:i/>
                <w:iCs/>
                <w:color w:val="000000"/>
                <w:spacing w:val="1"/>
                <w:shd w:val="solid" w:color="000000" w:fill="000000"/>
                <w:fitText w:val="210" w:id="-1455741429"/>
                <w14:textFill>
                  <w14:solidFill>
                    <w14:srgbClr w14:val="000000">
                      <w14:alpha w14:val="100000"/>
                    </w14:srgbClr>
                  </w14:solidFill>
                </w14:textFill>
              </w:rPr>
              <w:t>|</w:t>
            </w:r>
          </w:p>
        </w:tc>
      </w:tr>
      <w:tr w:rsidR="00CD0165" w:rsidRPr="00BB0771" w14:paraId="7BF60ABF" w14:textId="77777777" w:rsidTr="00BA319D">
        <w:trPr>
          <w:trHeight w:val="255"/>
        </w:trPr>
        <w:tc>
          <w:tcPr>
            <w:tcW w:w="3215" w:type="dxa"/>
            <w:tcBorders>
              <w:right w:val="nil"/>
            </w:tcBorders>
            <w:shd w:val="clear" w:color="auto" w:fill="auto"/>
            <w:noWrap/>
            <w:vAlign w:val="bottom"/>
            <w:hideMark/>
          </w:tcPr>
          <w:p w14:paraId="3BCF2E3F" w14:textId="77777777" w:rsidR="00CD0165" w:rsidRPr="00BB0771" w:rsidRDefault="00CD0165" w:rsidP="00AE5C81">
            <w:pPr>
              <w:spacing w:before="0" w:after="0"/>
              <w:rPr>
                <w:rFonts w:ascii="Arial Narrow" w:hAnsi="Arial Narrow" w:cs="Calibri"/>
                <w:i/>
                <w:color w:val="000000"/>
              </w:rPr>
            </w:pPr>
            <w:r w:rsidRPr="00BB0771">
              <w:rPr>
                <w:rFonts w:ascii="Arial Narrow" w:hAnsi="Arial Narrow" w:cs="Calibri"/>
                <w:i/>
                <w:color w:val="000000"/>
              </w:rPr>
              <w:t>Fees for all procedures same as TURP</w:t>
            </w:r>
          </w:p>
        </w:tc>
        <w:tc>
          <w:tcPr>
            <w:tcW w:w="1120" w:type="dxa"/>
            <w:tcBorders>
              <w:left w:val="nil"/>
              <w:right w:val="nil"/>
            </w:tcBorders>
            <w:shd w:val="clear" w:color="auto" w:fill="auto"/>
            <w:noWrap/>
            <w:vAlign w:val="bottom"/>
            <w:hideMark/>
          </w:tcPr>
          <w:p w14:paraId="162DF1D1" w14:textId="77777777" w:rsidR="00CD0165" w:rsidRPr="00BB0771" w:rsidRDefault="00CD0165" w:rsidP="00AE5C81">
            <w:pPr>
              <w:spacing w:before="0" w:after="0"/>
              <w:rPr>
                <w:rFonts w:ascii="Arial Narrow" w:hAnsi="Arial Narrow" w:cs="Calibri"/>
                <w:i/>
                <w:color w:val="000000"/>
              </w:rPr>
            </w:pPr>
          </w:p>
        </w:tc>
        <w:tc>
          <w:tcPr>
            <w:tcW w:w="1014" w:type="dxa"/>
            <w:tcBorders>
              <w:left w:val="nil"/>
              <w:right w:val="nil"/>
            </w:tcBorders>
            <w:shd w:val="clear" w:color="auto" w:fill="auto"/>
            <w:noWrap/>
            <w:vAlign w:val="bottom"/>
            <w:hideMark/>
          </w:tcPr>
          <w:p w14:paraId="7BA2AAFA" w14:textId="77777777" w:rsidR="00CD0165" w:rsidRPr="00BB0771" w:rsidRDefault="00CD0165" w:rsidP="00AE5C81">
            <w:pPr>
              <w:spacing w:before="0" w:after="0"/>
              <w:rPr>
                <w:rFonts w:ascii="Arial Narrow" w:hAnsi="Arial Narrow"/>
                <w:i/>
              </w:rPr>
            </w:pPr>
          </w:p>
        </w:tc>
        <w:tc>
          <w:tcPr>
            <w:tcW w:w="1128" w:type="dxa"/>
            <w:tcBorders>
              <w:left w:val="nil"/>
              <w:right w:val="nil"/>
            </w:tcBorders>
            <w:shd w:val="clear" w:color="auto" w:fill="auto"/>
            <w:noWrap/>
            <w:vAlign w:val="bottom"/>
            <w:hideMark/>
          </w:tcPr>
          <w:p w14:paraId="2A8620AC" w14:textId="77777777" w:rsidR="00CD0165" w:rsidRPr="00BB0771" w:rsidRDefault="00CD0165" w:rsidP="00AE5C81">
            <w:pPr>
              <w:spacing w:before="0" w:after="0"/>
              <w:rPr>
                <w:rFonts w:ascii="Arial Narrow" w:hAnsi="Arial Narrow"/>
                <w:i/>
              </w:rPr>
            </w:pPr>
          </w:p>
        </w:tc>
        <w:tc>
          <w:tcPr>
            <w:tcW w:w="1202" w:type="dxa"/>
            <w:tcBorders>
              <w:left w:val="nil"/>
              <w:right w:val="nil"/>
            </w:tcBorders>
            <w:shd w:val="clear" w:color="auto" w:fill="auto"/>
            <w:noWrap/>
            <w:vAlign w:val="bottom"/>
            <w:hideMark/>
          </w:tcPr>
          <w:p w14:paraId="76A03707" w14:textId="77777777" w:rsidR="00CD0165" w:rsidRPr="005B0CB6" w:rsidRDefault="00CD0165" w:rsidP="00AE5C81">
            <w:pPr>
              <w:spacing w:before="0" w:after="0"/>
              <w:rPr>
                <w:rFonts w:ascii="Arial Narrow" w:hAnsi="Arial Narrow"/>
                <w:i/>
              </w:rPr>
            </w:pPr>
          </w:p>
        </w:tc>
        <w:tc>
          <w:tcPr>
            <w:tcW w:w="1022" w:type="dxa"/>
            <w:tcBorders>
              <w:left w:val="nil"/>
            </w:tcBorders>
            <w:shd w:val="clear" w:color="auto" w:fill="auto"/>
            <w:noWrap/>
            <w:vAlign w:val="bottom"/>
            <w:hideMark/>
          </w:tcPr>
          <w:p w14:paraId="7B6C11DB" w14:textId="77777777" w:rsidR="00CD0165" w:rsidRPr="005B0CB6" w:rsidRDefault="00CD0165" w:rsidP="00AE5C81">
            <w:pPr>
              <w:spacing w:before="0" w:after="0"/>
              <w:rPr>
                <w:rFonts w:ascii="Arial Narrow" w:hAnsi="Arial Narrow" w:cs="Calibri"/>
                <w:i/>
                <w:color w:val="000000"/>
              </w:rPr>
            </w:pPr>
            <w:r w:rsidRPr="005B0CB6">
              <w:rPr>
                <w:rFonts w:ascii="Arial Narrow" w:hAnsi="Arial Narrow" w:cs="Calibri"/>
                <w:i/>
                <w:color w:val="000000"/>
              </w:rPr>
              <w:t> </w:t>
            </w:r>
          </w:p>
        </w:tc>
      </w:tr>
      <w:tr w:rsidR="00CD0165" w:rsidRPr="00BB0771" w14:paraId="38835729" w14:textId="77777777" w:rsidTr="00BA319D">
        <w:trPr>
          <w:trHeight w:val="300"/>
        </w:trPr>
        <w:tc>
          <w:tcPr>
            <w:tcW w:w="3215" w:type="dxa"/>
            <w:shd w:val="clear" w:color="auto" w:fill="auto"/>
            <w:noWrap/>
            <w:vAlign w:val="bottom"/>
            <w:hideMark/>
          </w:tcPr>
          <w:p w14:paraId="29073BE5" w14:textId="1B1E9934"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r w:rsidR="00AF7A49">
              <w:rPr>
                <w:rFonts w:ascii="Arial Narrow" w:hAnsi="Arial Narrow" w:cs="Calibri"/>
                <w:color w:val="000000"/>
              </w:rPr>
              <w:t>Incremental cost</w:t>
            </w:r>
          </w:p>
        </w:tc>
        <w:tc>
          <w:tcPr>
            <w:tcW w:w="1120" w:type="dxa"/>
            <w:shd w:val="clear" w:color="auto" w:fill="auto"/>
            <w:noWrap/>
            <w:vAlign w:val="bottom"/>
            <w:hideMark/>
          </w:tcPr>
          <w:p w14:paraId="1591996F"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$1,701</w:t>
            </w:r>
          </w:p>
        </w:tc>
        <w:tc>
          <w:tcPr>
            <w:tcW w:w="1014" w:type="dxa"/>
            <w:shd w:val="clear" w:color="auto" w:fill="auto"/>
            <w:noWrap/>
            <w:vAlign w:val="bottom"/>
            <w:hideMark/>
          </w:tcPr>
          <w:p w14:paraId="0DB7F79E" w14:textId="77777777" w:rsidR="00CD0165" w:rsidRPr="00BB0771" w:rsidRDefault="00CD0165" w:rsidP="00AE5C81">
            <w:pPr>
              <w:spacing w:before="0" w:after="0"/>
              <w:jc w:val="right"/>
              <w:rPr>
                <w:rFonts w:ascii="Arial Narrow" w:hAnsi="Arial Narrow" w:cs="Calibri"/>
                <w:color w:val="000000"/>
              </w:rPr>
            </w:pPr>
            <w:r w:rsidRPr="00BB0771">
              <w:rPr>
                <w:rFonts w:ascii="Arial Narrow" w:hAnsi="Arial Narrow" w:cs="Calibri"/>
                <w:color w:val="000000"/>
              </w:rPr>
              <w:t>$657</w:t>
            </w:r>
          </w:p>
        </w:tc>
        <w:tc>
          <w:tcPr>
            <w:tcW w:w="1128" w:type="dxa"/>
            <w:shd w:val="clear" w:color="000000" w:fill="E7E6E6"/>
            <w:noWrap/>
            <w:vAlign w:val="bottom"/>
            <w:hideMark/>
          </w:tcPr>
          <w:p w14:paraId="65A31607" w14:textId="77777777"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p>
        </w:tc>
        <w:tc>
          <w:tcPr>
            <w:tcW w:w="1202" w:type="dxa"/>
            <w:shd w:val="clear" w:color="auto" w:fill="auto"/>
            <w:noWrap/>
            <w:vAlign w:val="bottom"/>
            <w:hideMark/>
          </w:tcPr>
          <w:p w14:paraId="3C90FC23" w14:textId="656C99CC" w:rsidR="00CD0165" w:rsidRPr="005B0CB6" w:rsidRDefault="00CD0165" w:rsidP="00AE5C81">
            <w:pPr>
              <w:spacing w:before="0" w:after="0"/>
              <w:jc w:val="right"/>
              <w:rPr>
                <w:rFonts w:ascii="Arial Narrow" w:hAnsi="Arial Narrow" w:cs="Calibri"/>
                <w:color w:val="000000"/>
              </w:rPr>
            </w:pPr>
            <w:r w:rsidRPr="005B0CB6">
              <w:rPr>
                <w:rFonts w:ascii="Arial Narrow" w:hAnsi="Arial Narrow" w:cs="Calibri"/>
                <w:color w:val="000000"/>
              </w:rPr>
              <w:t>–$</w:t>
            </w:r>
            <w:r w:rsidR="00CF6AD4" w:rsidRPr="00CF6AD4">
              <w:rPr>
                <w:rFonts w:ascii="Arial Narrow" w:hAnsi="Arial Narrow" w:cs="Calibri"/>
                <w:color w:val="000000"/>
                <w:shd w:val="solid" w:color="000000" w:fill="000000"/>
                <w14:textFill>
                  <w14:solidFill>
                    <w14:srgbClr w14:val="000000">
                      <w14:alpha w14:val="100000"/>
                    </w14:srgbClr>
                  </w14:solidFill>
                </w14:textFill>
              </w:rPr>
              <w:t>|</w:t>
            </w:r>
          </w:p>
        </w:tc>
        <w:tc>
          <w:tcPr>
            <w:tcW w:w="1022" w:type="dxa"/>
            <w:shd w:val="clear" w:color="000000" w:fill="E7E6E6"/>
            <w:noWrap/>
            <w:vAlign w:val="bottom"/>
            <w:hideMark/>
          </w:tcPr>
          <w:p w14:paraId="21258C48" w14:textId="77777777" w:rsidR="00CD0165" w:rsidRPr="005B0CB6" w:rsidRDefault="00CD0165" w:rsidP="00AE5C81">
            <w:pPr>
              <w:spacing w:before="0" w:after="0"/>
              <w:rPr>
                <w:rFonts w:ascii="Arial Narrow" w:hAnsi="Arial Narrow" w:cs="Calibri"/>
                <w:color w:val="000000"/>
              </w:rPr>
            </w:pPr>
            <w:r w:rsidRPr="005B0CB6">
              <w:rPr>
                <w:rFonts w:ascii="Arial Narrow" w:hAnsi="Arial Narrow" w:cs="Calibri"/>
                <w:color w:val="000000"/>
              </w:rPr>
              <w:t> </w:t>
            </w:r>
          </w:p>
        </w:tc>
      </w:tr>
      <w:tr w:rsidR="00CD0165" w:rsidRPr="00BB0771" w14:paraId="7C28ACAA" w14:textId="77777777" w:rsidTr="00BA319D">
        <w:trPr>
          <w:trHeight w:val="255"/>
        </w:trPr>
        <w:tc>
          <w:tcPr>
            <w:tcW w:w="4335" w:type="dxa"/>
            <w:gridSpan w:val="2"/>
            <w:tcBorders>
              <w:right w:val="nil"/>
            </w:tcBorders>
            <w:shd w:val="clear" w:color="auto" w:fill="auto"/>
            <w:noWrap/>
            <w:vAlign w:val="bottom"/>
            <w:hideMark/>
          </w:tcPr>
          <w:p w14:paraId="5C8A6FA2" w14:textId="77777777" w:rsidR="00CD0165" w:rsidRPr="00BB0771" w:rsidRDefault="00CD0165" w:rsidP="00AE5C81">
            <w:pPr>
              <w:spacing w:before="0" w:after="0"/>
              <w:rPr>
                <w:rFonts w:ascii="Arial Narrow" w:hAnsi="Arial Narrow" w:cs="Calibri"/>
                <w:i/>
                <w:color w:val="000000"/>
              </w:rPr>
            </w:pPr>
            <w:r w:rsidRPr="00BB0771">
              <w:rPr>
                <w:rFonts w:ascii="Arial Narrow" w:hAnsi="Arial Narrow" w:cs="Calibri"/>
                <w:i/>
                <w:color w:val="000000"/>
              </w:rPr>
              <w:t>Cost per TURP loop $439, base case $365</w:t>
            </w:r>
          </w:p>
        </w:tc>
        <w:tc>
          <w:tcPr>
            <w:tcW w:w="1014" w:type="dxa"/>
            <w:tcBorders>
              <w:left w:val="nil"/>
              <w:right w:val="nil"/>
            </w:tcBorders>
            <w:shd w:val="clear" w:color="auto" w:fill="auto"/>
            <w:noWrap/>
            <w:vAlign w:val="bottom"/>
            <w:hideMark/>
          </w:tcPr>
          <w:p w14:paraId="45E98094" w14:textId="77777777" w:rsidR="00CD0165" w:rsidRPr="00BB0771" w:rsidRDefault="00CD0165" w:rsidP="00AE5C81">
            <w:pPr>
              <w:spacing w:before="0" w:after="0"/>
              <w:rPr>
                <w:rFonts w:ascii="Arial Narrow" w:hAnsi="Arial Narrow" w:cs="Calibri"/>
                <w:i/>
                <w:color w:val="000000"/>
              </w:rPr>
            </w:pPr>
          </w:p>
        </w:tc>
        <w:tc>
          <w:tcPr>
            <w:tcW w:w="1128" w:type="dxa"/>
            <w:tcBorders>
              <w:left w:val="nil"/>
              <w:right w:val="nil"/>
            </w:tcBorders>
            <w:shd w:val="clear" w:color="auto" w:fill="auto"/>
            <w:noWrap/>
            <w:vAlign w:val="bottom"/>
            <w:hideMark/>
          </w:tcPr>
          <w:p w14:paraId="29F688BB" w14:textId="77777777" w:rsidR="00CD0165" w:rsidRPr="00BB0771" w:rsidRDefault="00CD0165" w:rsidP="00AE5C81">
            <w:pPr>
              <w:spacing w:before="0" w:after="0"/>
              <w:rPr>
                <w:rFonts w:ascii="Arial Narrow" w:hAnsi="Arial Narrow"/>
                <w:i/>
              </w:rPr>
            </w:pPr>
          </w:p>
        </w:tc>
        <w:tc>
          <w:tcPr>
            <w:tcW w:w="1202" w:type="dxa"/>
            <w:tcBorders>
              <w:left w:val="nil"/>
              <w:right w:val="nil"/>
            </w:tcBorders>
            <w:shd w:val="clear" w:color="auto" w:fill="auto"/>
            <w:noWrap/>
            <w:vAlign w:val="bottom"/>
            <w:hideMark/>
          </w:tcPr>
          <w:p w14:paraId="71E8350A" w14:textId="77777777" w:rsidR="00CD0165" w:rsidRPr="005B0CB6" w:rsidRDefault="00CD0165" w:rsidP="00AE5C81">
            <w:pPr>
              <w:spacing w:before="0" w:after="0"/>
              <w:rPr>
                <w:rFonts w:ascii="Arial Narrow" w:hAnsi="Arial Narrow"/>
                <w:i/>
              </w:rPr>
            </w:pPr>
          </w:p>
        </w:tc>
        <w:tc>
          <w:tcPr>
            <w:tcW w:w="1022" w:type="dxa"/>
            <w:tcBorders>
              <w:left w:val="nil"/>
            </w:tcBorders>
            <w:shd w:val="clear" w:color="auto" w:fill="auto"/>
            <w:noWrap/>
            <w:vAlign w:val="bottom"/>
            <w:hideMark/>
          </w:tcPr>
          <w:p w14:paraId="7447A8EE" w14:textId="77777777" w:rsidR="00CD0165" w:rsidRPr="005B0CB6" w:rsidRDefault="00CD0165" w:rsidP="00AE5C81">
            <w:pPr>
              <w:spacing w:before="0" w:after="0"/>
              <w:rPr>
                <w:rFonts w:ascii="Arial Narrow" w:hAnsi="Arial Narrow" w:cs="Calibri"/>
                <w:i/>
                <w:color w:val="000000"/>
              </w:rPr>
            </w:pPr>
            <w:r w:rsidRPr="005B0CB6">
              <w:rPr>
                <w:rFonts w:ascii="Arial Narrow" w:hAnsi="Arial Narrow" w:cs="Calibri"/>
                <w:i/>
                <w:color w:val="000000"/>
              </w:rPr>
              <w:t> </w:t>
            </w:r>
          </w:p>
        </w:tc>
      </w:tr>
      <w:tr w:rsidR="00CD0165" w:rsidRPr="00BB0771" w14:paraId="75FE4490" w14:textId="77777777" w:rsidTr="00BA319D">
        <w:trPr>
          <w:trHeight w:val="300"/>
        </w:trPr>
        <w:tc>
          <w:tcPr>
            <w:tcW w:w="3215" w:type="dxa"/>
            <w:tcBorders>
              <w:bottom w:val="single" w:sz="4" w:space="0" w:color="auto"/>
            </w:tcBorders>
            <w:shd w:val="clear" w:color="auto" w:fill="auto"/>
            <w:noWrap/>
            <w:vAlign w:val="bottom"/>
            <w:hideMark/>
          </w:tcPr>
          <w:p w14:paraId="3F74FFDA" w14:textId="71850641"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r w:rsidR="00AF7A49" w:rsidRPr="00BB0771">
              <w:rPr>
                <w:rFonts w:ascii="Arial Narrow" w:hAnsi="Arial Narrow" w:cs="Calibri"/>
                <w:color w:val="000000"/>
              </w:rPr>
              <w:t> </w:t>
            </w:r>
            <w:r w:rsidR="00AF7A49">
              <w:rPr>
                <w:rFonts w:ascii="Arial Narrow" w:hAnsi="Arial Narrow" w:cs="Calibri"/>
                <w:color w:val="000000"/>
              </w:rPr>
              <w:t>Incremental cost</w:t>
            </w:r>
          </w:p>
        </w:tc>
        <w:tc>
          <w:tcPr>
            <w:tcW w:w="1120" w:type="dxa"/>
            <w:tcBorders>
              <w:bottom w:val="single" w:sz="4" w:space="0" w:color="auto"/>
            </w:tcBorders>
            <w:shd w:val="clear" w:color="auto" w:fill="auto"/>
            <w:noWrap/>
            <w:vAlign w:val="bottom"/>
            <w:hideMark/>
          </w:tcPr>
          <w:p w14:paraId="06881F0C"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$1,556</w:t>
            </w:r>
          </w:p>
        </w:tc>
        <w:tc>
          <w:tcPr>
            <w:tcW w:w="1014" w:type="dxa"/>
            <w:tcBorders>
              <w:bottom w:val="single" w:sz="4" w:space="0" w:color="auto"/>
            </w:tcBorders>
            <w:shd w:val="clear" w:color="auto" w:fill="auto"/>
            <w:noWrap/>
            <w:vAlign w:val="bottom"/>
            <w:hideMark/>
          </w:tcPr>
          <w:p w14:paraId="2F1BC276"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$175</w:t>
            </w:r>
          </w:p>
        </w:tc>
        <w:tc>
          <w:tcPr>
            <w:tcW w:w="1128" w:type="dxa"/>
            <w:tcBorders>
              <w:bottom w:val="single" w:sz="4" w:space="0" w:color="auto"/>
            </w:tcBorders>
            <w:shd w:val="clear" w:color="auto" w:fill="auto"/>
            <w:noWrap/>
            <w:vAlign w:val="bottom"/>
            <w:hideMark/>
          </w:tcPr>
          <w:p w14:paraId="56FFFE0F"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$1,402</w:t>
            </w:r>
          </w:p>
        </w:tc>
        <w:tc>
          <w:tcPr>
            <w:tcW w:w="1202" w:type="dxa"/>
            <w:tcBorders>
              <w:bottom w:val="single" w:sz="4" w:space="0" w:color="auto"/>
            </w:tcBorders>
            <w:shd w:val="clear" w:color="auto" w:fill="auto"/>
            <w:noWrap/>
            <w:vAlign w:val="bottom"/>
            <w:hideMark/>
          </w:tcPr>
          <w:p w14:paraId="35C27372" w14:textId="1589C087" w:rsidR="00CD0165" w:rsidRPr="005B0CB6" w:rsidRDefault="00CD0165" w:rsidP="00AE5C81">
            <w:pPr>
              <w:spacing w:before="0" w:after="0"/>
              <w:jc w:val="right"/>
              <w:rPr>
                <w:rFonts w:ascii="Arial Narrow" w:hAnsi="Arial Narrow" w:cs="Calibri"/>
                <w:color w:val="000000"/>
              </w:rPr>
            </w:pPr>
            <w:r w:rsidRPr="005B0CB6">
              <w:rPr>
                <w:rFonts w:ascii="Arial Narrow" w:hAnsi="Arial Narrow" w:cs="Calibri"/>
                <w:color w:val="000000"/>
              </w:rPr>
              <w:t>–$</w:t>
            </w:r>
            <w:r w:rsidR="00CF6AD4" w:rsidRPr="00CF6AD4">
              <w:rPr>
                <w:rFonts w:ascii="Arial Narrow" w:hAnsi="Arial Narrow" w:cs="Calibri"/>
                <w:color w:val="000000"/>
                <w:shd w:val="solid" w:color="000000" w:fill="000000"/>
                <w14:textFill>
                  <w14:solidFill>
                    <w14:srgbClr w14:val="000000">
                      <w14:alpha w14:val="100000"/>
                    </w14:srgbClr>
                  </w14:solidFill>
                </w14:textFill>
              </w:rPr>
              <w:t>|</w:t>
            </w:r>
          </w:p>
        </w:tc>
        <w:tc>
          <w:tcPr>
            <w:tcW w:w="1022" w:type="dxa"/>
            <w:tcBorders>
              <w:bottom w:val="single" w:sz="4" w:space="0" w:color="auto"/>
            </w:tcBorders>
            <w:shd w:val="clear" w:color="auto" w:fill="auto"/>
            <w:noWrap/>
            <w:vAlign w:val="bottom"/>
            <w:hideMark/>
          </w:tcPr>
          <w:p w14:paraId="7FD3A8C3" w14:textId="6F7E0FF6" w:rsidR="00CD0165" w:rsidRPr="005B0CB6" w:rsidRDefault="00CD0165" w:rsidP="00AE5C81">
            <w:pPr>
              <w:spacing w:before="0" w:after="0"/>
              <w:jc w:val="right"/>
              <w:rPr>
                <w:rFonts w:ascii="Arial Narrow" w:hAnsi="Arial Narrow" w:cs="Calibri"/>
                <w:color w:val="000000"/>
              </w:rPr>
            </w:pPr>
            <w:r w:rsidRPr="005B0CB6">
              <w:rPr>
                <w:rFonts w:ascii="Arial Narrow" w:hAnsi="Arial Narrow" w:cs="Calibri"/>
                <w:color w:val="000000"/>
              </w:rPr>
              <w:t>–$</w:t>
            </w:r>
            <w:r w:rsidR="00CF6AD4" w:rsidRPr="00CF6AD4">
              <w:rPr>
                <w:rFonts w:ascii="Arial Narrow" w:hAnsi="Arial Narrow" w:cs="Calibri" w:hint="eastAsia"/>
                <w:color w:val="000000"/>
                <w:w w:val="32"/>
                <w:shd w:val="solid" w:color="000000" w:fill="000000"/>
                <w:fitText w:val="146" w:id="-1455741428"/>
                <w14:textFill>
                  <w14:solidFill>
                    <w14:srgbClr w14:val="000000">
                      <w14:alpha w14:val="100000"/>
                    </w14:srgbClr>
                  </w14:solidFill>
                </w14:textFill>
              </w:rPr>
              <w:t xml:space="preserve">　</w:t>
            </w:r>
            <w:r w:rsidR="00CF6AD4" w:rsidRPr="00CF6AD4">
              <w:rPr>
                <w:rFonts w:ascii="Arial Narrow" w:hAnsi="Arial Narrow" w:cs="Calibri"/>
                <w:color w:val="000000"/>
                <w:w w:val="32"/>
                <w:shd w:val="solid" w:color="000000" w:fill="000000"/>
                <w:fitText w:val="146" w:id="-1455741428"/>
                <w14:textFill>
                  <w14:solidFill>
                    <w14:srgbClr w14:val="000000">
                      <w14:alpha w14:val="100000"/>
                    </w14:srgbClr>
                  </w14:solidFill>
                </w14:textFill>
              </w:rPr>
              <w:t>|</w:t>
            </w:r>
            <w:r w:rsidR="00CF6AD4" w:rsidRPr="00CF6AD4">
              <w:rPr>
                <w:rFonts w:ascii="Arial Narrow" w:hAnsi="Arial Narrow" w:cs="Calibri" w:hint="eastAsia"/>
                <w:color w:val="000000"/>
                <w:spacing w:val="7"/>
                <w:w w:val="32"/>
                <w:shd w:val="solid" w:color="000000" w:fill="000000"/>
                <w:fitText w:val="146" w:id="-1455741428"/>
                <w14:textFill>
                  <w14:solidFill>
                    <w14:srgbClr w14:val="000000">
                      <w14:alpha w14:val="100000"/>
                    </w14:srgbClr>
                  </w14:solidFill>
                </w14:textFill>
              </w:rPr>
              <w:t xml:space="preserve">　</w:t>
            </w:r>
          </w:p>
        </w:tc>
      </w:tr>
      <w:tr w:rsidR="00CD0165" w:rsidRPr="00BB0771" w14:paraId="02AA2892" w14:textId="77777777" w:rsidTr="00BA319D">
        <w:trPr>
          <w:trHeight w:val="255"/>
        </w:trPr>
        <w:tc>
          <w:tcPr>
            <w:tcW w:w="4335" w:type="dxa"/>
            <w:gridSpan w:val="2"/>
            <w:tcBorders>
              <w:right w:val="nil"/>
            </w:tcBorders>
            <w:shd w:val="clear" w:color="auto" w:fill="auto"/>
            <w:noWrap/>
            <w:vAlign w:val="bottom"/>
            <w:hideMark/>
          </w:tcPr>
          <w:p w14:paraId="1917C5E9" w14:textId="77777777" w:rsidR="00CD0165" w:rsidRPr="00BB0771" w:rsidRDefault="00CD0165" w:rsidP="00AE5C81">
            <w:pPr>
              <w:spacing w:before="0" w:after="0"/>
              <w:rPr>
                <w:rFonts w:ascii="Arial Narrow" w:hAnsi="Arial Narrow" w:cs="Calibri"/>
                <w:i/>
                <w:color w:val="000000"/>
              </w:rPr>
            </w:pPr>
            <w:r w:rsidRPr="00BB0771">
              <w:rPr>
                <w:rFonts w:ascii="Arial Narrow" w:hAnsi="Arial Narrow" w:cs="Calibri"/>
                <w:i/>
                <w:color w:val="000000"/>
              </w:rPr>
              <w:t xml:space="preserve">Number of implants used in PUL: 4, </w:t>
            </w:r>
            <w:proofErr w:type="spellStart"/>
            <w:r w:rsidRPr="00BB0771">
              <w:rPr>
                <w:rFonts w:ascii="Arial Narrow" w:hAnsi="Arial Narrow" w:cs="Calibri"/>
                <w:i/>
                <w:color w:val="000000"/>
              </w:rPr>
              <w:t>basecase</w:t>
            </w:r>
            <w:proofErr w:type="spellEnd"/>
            <w:r w:rsidRPr="00BB0771">
              <w:rPr>
                <w:rFonts w:ascii="Arial Narrow" w:hAnsi="Arial Narrow" w:cs="Calibri"/>
                <w:i/>
                <w:color w:val="000000"/>
              </w:rPr>
              <w:t xml:space="preserve"> 4.54</w:t>
            </w:r>
          </w:p>
        </w:tc>
        <w:tc>
          <w:tcPr>
            <w:tcW w:w="1014" w:type="dxa"/>
            <w:tcBorders>
              <w:left w:val="nil"/>
              <w:right w:val="nil"/>
            </w:tcBorders>
            <w:shd w:val="clear" w:color="auto" w:fill="auto"/>
            <w:noWrap/>
            <w:vAlign w:val="bottom"/>
            <w:hideMark/>
          </w:tcPr>
          <w:p w14:paraId="4010411A" w14:textId="77777777" w:rsidR="00CD0165" w:rsidRPr="00BB0771" w:rsidRDefault="00CD0165" w:rsidP="00AE5C81">
            <w:pPr>
              <w:spacing w:before="0" w:after="0"/>
              <w:rPr>
                <w:rFonts w:ascii="Arial Narrow" w:hAnsi="Arial Narrow" w:cs="Calibri"/>
                <w:i/>
                <w:color w:val="000000"/>
              </w:rPr>
            </w:pPr>
          </w:p>
        </w:tc>
        <w:tc>
          <w:tcPr>
            <w:tcW w:w="1128" w:type="dxa"/>
            <w:tcBorders>
              <w:left w:val="nil"/>
              <w:right w:val="nil"/>
            </w:tcBorders>
            <w:shd w:val="clear" w:color="auto" w:fill="auto"/>
            <w:noWrap/>
            <w:vAlign w:val="bottom"/>
            <w:hideMark/>
          </w:tcPr>
          <w:p w14:paraId="4A9E6AE5" w14:textId="77777777" w:rsidR="00CD0165" w:rsidRPr="00BB0771" w:rsidRDefault="00CD0165" w:rsidP="00AE5C81">
            <w:pPr>
              <w:spacing w:before="0" w:after="0"/>
              <w:rPr>
                <w:rFonts w:ascii="Arial Narrow" w:hAnsi="Arial Narrow"/>
                <w:i/>
              </w:rPr>
            </w:pPr>
          </w:p>
        </w:tc>
        <w:tc>
          <w:tcPr>
            <w:tcW w:w="1202" w:type="dxa"/>
            <w:tcBorders>
              <w:left w:val="nil"/>
              <w:right w:val="nil"/>
            </w:tcBorders>
            <w:shd w:val="clear" w:color="auto" w:fill="auto"/>
            <w:noWrap/>
            <w:vAlign w:val="bottom"/>
            <w:hideMark/>
          </w:tcPr>
          <w:p w14:paraId="3A77B4F9" w14:textId="77777777" w:rsidR="00CD0165" w:rsidRPr="005B0CB6" w:rsidRDefault="00CD0165" w:rsidP="00AE5C81">
            <w:pPr>
              <w:spacing w:before="0" w:after="0"/>
              <w:rPr>
                <w:rFonts w:ascii="Arial Narrow" w:hAnsi="Arial Narrow"/>
                <w:i/>
              </w:rPr>
            </w:pPr>
          </w:p>
        </w:tc>
        <w:tc>
          <w:tcPr>
            <w:tcW w:w="1022" w:type="dxa"/>
            <w:tcBorders>
              <w:left w:val="nil"/>
            </w:tcBorders>
            <w:shd w:val="clear" w:color="auto" w:fill="auto"/>
            <w:noWrap/>
            <w:vAlign w:val="bottom"/>
            <w:hideMark/>
          </w:tcPr>
          <w:p w14:paraId="1D668FDF" w14:textId="77777777" w:rsidR="00CD0165" w:rsidRPr="005B0CB6" w:rsidRDefault="00CD0165" w:rsidP="00AE5C81">
            <w:pPr>
              <w:spacing w:before="0" w:after="0"/>
              <w:rPr>
                <w:rFonts w:ascii="Arial Narrow" w:hAnsi="Arial Narrow" w:cs="Calibri"/>
                <w:i/>
                <w:color w:val="000000"/>
              </w:rPr>
            </w:pPr>
            <w:r w:rsidRPr="005B0CB6">
              <w:rPr>
                <w:rFonts w:ascii="Arial Narrow" w:hAnsi="Arial Narrow" w:cs="Calibri"/>
                <w:i/>
                <w:color w:val="000000"/>
              </w:rPr>
              <w:t> </w:t>
            </w:r>
          </w:p>
        </w:tc>
      </w:tr>
      <w:tr w:rsidR="00CD0165" w:rsidRPr="00BB0771" w14:paraId="6F145609" w14:textId="77777777" w:rsidTr="00BA319D">
        <w:trPr>
          <w:trHeight w:val="255"/>
        </w:trPr>
        <w:tc>
          <w:tcPr>
            <w:tcW w:w="3215" w:type="dxa"/>
            <w:tcBorders>
              <w:bottom w:val="single" w:sz="4" w:space="0" w:color="auto"/>
            </w:tcBorders>
            <w:shd w:val="clear" w:color="auto" w:fill="auto"/>
            <w:noWrap/>
            <w:vAlign w:val="bottom"/>
            <w:hideMark/>
          </w:tcPr>
          <w:p w14:paraId="54E31240" w14:textId="6A378B22" w:rsidR="00CD0165" w:rsidRPr="00BB0771" w:rsidRDefault="00AF7A49" w:rsidP="00AE5C81">
            <w:pPr>
              <w:spacing w:before="0" w:after="0"/>
              <w:rPr>
                <w:rFonts w:ascii="Arial Narrow" w:hAnsi="Arial Narrow" w:cs="Calibri"/>
                <w:color w:val="000000"/>
              </w:rPr>
            </w:pPr>
            <w:r w:rsidRPr="00BB0771">
              <w:rPr>
                <w:rFonts w:ascii="Arial Narrow" w:hAnsi="Arial Narrow" w:cs="Calibri"/>
                <w:color w:val="000000"/>
              </w:rPr>
              <w:t> </w:t>
            </w:r>
            <w:r>
              <w:rPr>
                <w:rFonts w:ascii="Arial Narrow" w:hAnsi="Arial Narrow" w:cs="Calibri"/>
                <w:color w:val="000000"/>
              </w:rPr>
              <w:t>Incremental cost</w:t>
            </w:r>
          </w:p>
        </w:tc>
        <w:tc>
          <w:tcPr>
            <w:tcW w:w="1120" w:type="dxa"/>
            <w:tcBorders>
              <w:bottom w:val="single" w:sz="4" w:space="0" w:color="auto"/>
            </w:tcBorders>
            <w:shd w:val="clear" w:color="000000" w:fill="EDEDED"/>
            <w:noWrap/>
            <w:vAlign w:val="bottom"/>
            <w:hideMark/>
          </w:tcPr>
          <w:p w14:paraId="263FF759" w14:textId="77777777"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p>
        </w:tc>
        <w:tc>
          <w:tcPr>
            <w:tcW w:w="1014" w:type="dxa"/>
            <w:tcBorders>
              <w:bottom w:val="single" w:sz="4" w:space="0" w:color="auto"/>
            </w:tcBorders>
            <w:shd w:val="clear" w:color="auto" w:fill="auto"/>
            <w:noWrap/>
            <w:vAlign w:val="bottom"/>
            <w:hideMark/>
          </w:tcPr>
          <w:p w14:paraId="7F00D07E"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$477</w:t>
            </w:r>
          </w:p>
        </w:tc>
        <w:tc>
          <w:tcPr>
            <w:tcW w:w="1128" w:type="dxa"/>
            <w:tcBorders>
              <w:bottom w:val="single" w:sz="4" w:space="0" w:color="auto"/>
            </w:tcBorders>
            <w:shd w:val="clear" w:color="000000" w:fill="EDEDED"/>
            <w:noWrap/>
            <w:vAlign w:val="bottom"/>
            <w:hideMark/>
          </w:tcPr>
          <w:p w14:paraId="5D4B76B2" w14:textId="77777777"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p>
        </w:tc>
        <w:tc>
          <w:tcPr>
            <w:tcW w:w="1202" w:type="dxa"/>
            <w:tcBorders>
              <w:bottom w:val="single" w:sz="4" w:space="0" w:color="auto"/>
            </w:tcBorders>
            <w:shd w:val="clear" w:color="000000" w:fill="EDEDED"/>
            <w:noWrap/>
            <w:vAlign w:val="bottom"/>
            <w:hideMark/>
          </w:tcPr>
          <w:p w14:paraId="33156D7F" w14:textId="77777777" w:rsidR="00CD0165" w:rsidRPr="005B0CB6" w:rsidRDefault="00CD0165" w:rsidP="00AE5C81">
            <w:pPr>
              <w:spacing w:before="0" w:after="0"/>
              <w:rPr>
                <w:rFonts w:ascii="Arial Narrow" w:hAnsi="Arial Narrow" w:cs="Calibri"/>
                <w:color w:val="000000"/>
              </w:rPr>
            </w:pPr>
            <w:r w:rsidRPr="005B0CB6">
              <w:rPr>
                <w:rFonts w:ascii="Arial Narrow" w:hAnsi="Arial Narrow" w:cs="Calibri"/>
                <w:color w:val="000000"/>
              </w:rPr>
              <w:t> </w:t>
            </w:r>
          </w:p>
        </w:tc>
        <w:tc>
          <w:tcPr>
            <w:tcW w:w="1022" w:type="dxa"/>
            <w:tcBorders>
              <w:bottom w:val="single" w:sz="4" w:space="0" w:color="auto"/>
            </w:tcBorders>
            <w:shd w:val="clear" w:color="000000" w:fill="EDEDED"/>
            <w:noWrap/>
            <w:vAlign w:val="bottom"/>
            <w:hideMark/>
          </w:tcPr>
          <w:p w14:paraId="58166B04" w14:textId="77777777" w:rsidR="00CD0165" w:rsidRPr="005B0CB6" w:rsidRDefault="00CD0165" w:rsidP="00AE5C81">
            <w:pPr>
              <w:spacing w:before="0" w:after="0"/>
              <w:rPr>
                <w:rFonts w:ascii="Arial Narrow" w:hAnsi="Arial Narrow" w:cs="Calibri"/>
                <w:color w:val="000000"/>
              </w:rPr>
            </w:pPr>
            <w:r w:rsidRPr="005B0CB6">
              <w:rPr>
                <w:rFonts w:ascii="Arial Narrow" w:hAnsi="Arial Narrow" w:cs="Calibri"/>
                <w:color w:val="000000"/>
              </w:rPr>
              <w:t> </w:t>
            </w:r>
          </w:p>
        </w:tc>
      </w:tr>
      <w:tr w:rsidR="00CD0165" w:rsidRPr="00BB0771" w14:paraId="08434364" w14:textId="77777777" w:rsidTr="00BA319D">
        <w:trPr>
          <w:trHeight w:val="255"/>
        </w:trPr>
        <w:tc>
          <w:tcPr>
            <w:tcW w:w="4335" w:type="dxa"/>
            <w:gridSpan w:val="2"/>
            <w:tcBorders>
              <w:right w:val="nil"/>
            </w:tcBorders>
            <w:shd w:val="clear" w:color="auto" w:fill="auto"/>
            <w:noWrap/>
            <w:vAlign w:val="bottom"/>
            <w:hideMark/>
          </w:tcPr>
          <w:p w14:paraId="7A359273" w14:textId="77777777" w:rsidR="00CD0165" w:rsidRPr="00BB0771" w:rsidRDefault="00CD0165" w:rsidP="00AE5C81">
            <w:pPr>
              <w:spacing w:before="0" w:after="0"/>
              <w:rPr>
                <w:rFonts w:ascii="Arial Narrow" w:hAnsi="Arial Narrow" w:cs="Calibri"/>
                <w:i/>
                <w:color w:val="000000"/>
              </w:rPr>
            </w:pPr>
            <w:r w:rsidRPr="00BB0771">
              <w:rPr>
                <w:rFonts w:ascii="Arial Narrow" w:hAnsi="Arial Narrow" w:cs="Calibri"/>
                <w:i/>
                <w:color w:val="000000"/>
              </w:rPr>
              <w:t xml:space="preserve">Number of implants used in PUL: 6, </w:t>
            </w:r>
            <w:proofErr w:type="spellStart"/>
            <w:r w:rsidRPr="00BB0771">
              <w:rPr>
                <w:rFonts w:ascii="Arial Narrow" w:hAnsi="Arial Narrow" w:cs="Calibri"/>
                <w:i/>
                <w:color w:val="000000"/>
              </w:rPr>
              <w:t>basecase</w:t>
            </w:r>
            <w:proofErr w:type="spellEnd"/>
            <w:r w:rsidRPr="00BB0771">
              <w:rPr>
                <w:rFonts w:ascii="Arial Narrow" w:hAnsi="Arial Narrow" w:cs="Calibri"/>
                <w:i/>
                <w:color w:val="000000"/>
              </w:rPr>
              <w:t xml:space="preserve"> 4.54</w:t>
            </w:r>
          </w:p>
        </w:tc>
        <w:tc>
          <w:tcPr>
            <w:tcW w:w="1014" w:type="dxa"/>
            <w:tcBorders>
              <w:left w:val="nil"/>
              <w:right w:val="nil"/>
            </w:tcBorders>
            <w:shd w:val="clear" w:color="auto" w:fill="auto"/>
            <w:noWrap/>
            <w:vAlign w:val="bottom"/>
            <w:hideMark/>
          </w:tcPr>
          <w:p w14:paraId="7440374A" w14:textId="77777777" w:rsidR="00CD0165" w:rsidRPr="00BB0771" w:rsidRDefault="00CD0165" w:rsidP="00AE5C81">
            <w:pPr>
              <w:spacing w:before="0" w:after="0"/>
              <w:rPr>
                <w:rFonts w:ascii="Arial Narrow" w:hAnsi="Arial Narrow" w:cs="Calibri"/>
                <w:i/>
                <w:color w:val="000000"/>
              </w:rPr>
            </w:pPr>
          </w:p>
        </w:tc>
        <w:tc>
          <w:tcPr>
            <w:tcW w:w="1128" w:type="dxa"/>
            <w:tcBorders>
              <w:left w:val="nil"/>
              <w:right w:val="nil"/>
            </w:tcBorders>
            <w:shd w:val="clear" w:color="auto" w:fill="auto"/>
            <w:noWrap/>
            <w:vAlign w:val="bottom"/>
            <w:hideMark/>
          </w:tcPr>
          <w:p w14:paraId="5E961947" w14:textId="77777777" w:rsidR="00CD0165" w:rsidRPr="00BB0771" w:rsidRDefault="00CD0165" w:rsidP="00AE5C81">
            <w:pPr>
              <w:spacing w:before="0" w:after="0"/>
              <w:rPr>
                <w:rFonts w:ascii="Arial Narrow" w:hAnsi="Arial Narrow"/>
                <w:i/>
              </w:rPr>
            </w:pPr>
          </w:p>
        </w:tc>
        <w:tc>
          <w:tcPr>
            <w:tcW w:w="1202" w:type="dxa"/>
            <w:tcBorders>
              <w:left w:val="nil"/>
              <w:right w:val="nil"/>
            </w:tcBorders>
            <w:shd w:val="clear" w:color="auto" w:fill="auto"/>
            <w:noWrap/>
            <w:vAlign w:val="bottom"/>
            <w:hideMark/>
          </w:tcPr>
          <w:p w14:paraId="3F549B53" w14:textId="77777777" w:rsidR="00CD0165" w:rsidRPr="005B0CB6" w:rsidRDefault="00CD0165" w:rsidP="00AE5C81">
            <w:pPr>
              <w:spacing w:before="0" w:after="0"/>
              <w:rPr>
                <w:rFonts w:ascii="Arial Narrow" w:hAnsi="Arial Narrow"/>
                <w:i/>
              </w:rPr>
            </w:pPr>
          </w:p>
        </w:tc>
        <w:tc>
          <w:tcPr>
            <w:tcW w:w="1022" w:type="dxa"/>
            <w:tcBorders>
              <w:left w:val="nil"/>
            </w:tcBorders>
            <w:shd w:val="clear" w:color="auto" w:fill="auto"/>
            <w:noWrap/>
            <w:vAlign w:val="bottom"/>
            <w:hideMark/>
          </w:tcPr>
          <w:p w14:paraId="2BD79386" w14:textId="77777777" w:rsidR="00CD0165" w:rsidRPr="005B0CB6" w:rsidRDefault="00CD0165" w:rsidP="00AE5C81">
            <w:pPr>
              <w:spacing w:before="0" w:after="0"/>
              <w:rPr>
                <w:rFonts w:ascii="Arial Narrow" w:hAnsi="Arial Narrow" w:cs="Calibri"/>
                <w:i/>
                <w:color w:val="000000"/>
              </w:rPr>
            </w:pPr>
            <w:r w:rsidRPr="005B0CB6">
              <w:rPr>
                <w:rFonts w:ascii="Arial Narrow" w:hAnsi="Arial Narrow" w:cs="Calibri"/>
                <w:i/>
                <w:color w:val="000000"/>
              </w:rPr>
              <w:t> </w:t>
            </w:r>
          </w:p>
        </w:tc>
      </w:tr>
      <w:tr w:rsidR="00CD0165" w:rsidRPr="00BB0771" w14:paraId="6988C4FF" w14:textId="77777777" w:rsidTr="00BA319D">
        <w:trPr>
          <w:trHeight w:val="255"/>
        </w:trPr>
        <w:tc>
          <w:tcPr>
            <w:tcW w:w="3215" w:type="dxa"/>
            <w:tcBorders>
              <w:bottom w:val="single" w:sz="4" w:space="0" w:color="auto"/>
            </w:tcBorders>
            <w:shd w:val="clear" w:color="auto" w:fill="auto"/>
            <w:noWrap/>
            <w:vAlign w:val="bottom"/>
            <w:hideMark/>
          </w:tcPr>
          <w:p w14:paraId="177D004A" w14:textId="0B15ED4D"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r w:rsidR="00AF7A49" w:rsidRPr="00BB0771">
              <w:rPr>
                <w:rFonts w:ascii="Arial Narrow" w:hAnsi="Arial Narrow" w:cs="Calibri"/>
                <w:color w:val="000000"/>
              </w:rPr>
              <w:t> </w:t>
            </w:r>
            <w:r w:rsidR="00AF7A49">
              <w:rPr>
                <w:rFonts w:ascii="Arial Narrow" w:hAnsi="Arial Narrow" w:cs="Calibri"/>
                <w:color w:val="000000"/>
              </w:rPr>
              <w:t>Incremental cost</w:t>
            </w:r>
          </w:p>
        </w:tc>
        <w:tc>
          <w:tcPr>
            <w:tcW w:w="1120" w:type="dxa"/>
            <w:tcBorders>
              <w:bottom w:val="single" w:sz="4" w:space="0" w:color="auto"/>
            </w:tcBorders>
            <w:shd w:val="clear" w:color="000000" w:fill="EDEDED"/>
            <w:noWrap/>
            <w:vAlign w:val="bottom"/>
            <w:hideMark/>
          </w:tcPr>
          <w:p w14:paraId="3180C9C3" w14:textId="77777777"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p>
        </w:tc>
        <w:tc>
          <w:tcPr>
            <w:tcW w:w="1014" w:type="dxa"/>
            <w:tcBorders>
              <w:bottom w:val="single" w:sz="4" w:space="0" w:color="auto"/>
            </w:tcBorders>
            <w:shd w:val="clear" w:color="auto" w:fill="auto"/>
            <w:noWrap/>
            <w:vAlign w:val="bottom"/>
            <w:hideMark/>
          </w:tcPr>
          <w:p w14:paraId="34C8FE21" w14:textId="77777777" w:rsidR="00CD0165" w:rsidRPr="00BB0771" w:rsidRDefault="00CD0165" w:rsidP="00AE5C81">
            <w:pPr>
              <w:spacing w:before="0" w:after="0"/>
              <w:jc w:val="right"/>
              <w:rPr>
                <w:rFonts w:ascii="Arial Narrow" w:hAnsi="Arial Narrow" w:cs="Calibri"/>
                <w:color w:val="000000"/>
              </w:rPr>
            </w:pPr>
            <w:r w:rsidRPr="00BB0771">
              <w:rPr>
                <w:rFonts w:ascii="Arial Narrow" w:hAnsi="Arial Narrow" w:cs="Calibri"/>
                <w:color w:val="000000"/>
              </w:rPr>
              <w:t>$947</w:t>
            </w:r>
          </w:p>
        </w:tc>
        <w:tc>
          <w:tcPr>
            <w:tcW w:w="1128" w:type="dxa"/>
            <w:tcBorders>
              <w:bottom w:val="single" w:sz="4" w:space="0" w:color="auto"/>
            </w:tcBorders>
            <w:shd w:val="clear" w:color="000000" w:fill="EDEDED"/>
            <w:noWrap/>
            <w:vAlign w:val="bottom"/>
            <w:hideMark/>
          </w:tcPr>
          <w:p w14:paraId="1DCA0BFC" w14:textId="77777777"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p>
        </w:tc>
        <w:tc>
          <w:tcPr>
            <w:tcW w:w="1202" w:type="dxa"/>
            <w:tcBorders>
              <w:bottom w:val="single" w:sz="4" w:space="0" w:color="auto"/>
            </w:tcBorders>
            <w:shd w:val="clear" w:color="000000" w:fill="EDEDED"/>
            <w:noWrap/>
            <w:vAlign w:val="bottom"/>
            <w:hideMark/>
          </w:tcPr>
          <w:p w14:paraId="6B3A8DC6" w14:textId="77777777" w:rsidR="00CD0165" w:rsidRPr="005B0CB6" w:rsidRDefault="00CD0165" w:rsidP="00AE5C81">
            <w:pPr>
              <w:spacing w:before="0" w:after="0"/>
              <w:rPr>
                <w:rFonts w:ascii="Arial Narrow" w:hAnsi="Arial Narrow" w:cs="Calibri"/>
                <w:color w:val="000000"/>
              </w:rPr>
            </w:pPr>
            <w:r w:rsidRPr="005B0CB6">
              <w:rPr>
                <w:rFonts w:ascii="Arial Narrow" w:hAnsi="Arial Narrow" w:cs="Calibri"/>
                <w:color w:val="000000"/>
              </w:rPr>
              <w:t> </w:t>
            </w:r>
          </w:p>
        </w:tc>
        <w:tc>
          <w:tcPr>
            <w:tcW w:w="1022" w:type="dxa"/>
            <w:tcBorders>
              <w:bottom w:val="single" w:sz="4" w:space="0" w:color="auto"/>
            </w:tcBorders>
            <w:shd w:val="clear" w:color="000000" w:fill="EDEDED"/>
            <w:noWrap/>
            <w:vAlign w:val="bottom"/>
            <w:hideMark/>
          </w:tcPr>
          <w:p w14:paraId="405DCCDB" w14:textId="77777777" w:rsidR="00CD0165" w:rsidRPr="005B0CB6" w:rsidRDefault="00CD0165" w:rsidP="00AE5C81">
            <w:pPr>
              <w:spacing w:before="0" w:after="0"/>
              <w:rPr>
                <w:rFonts w:ascii="Arial Narrow" w:hAnsi="Arial Narrow" w:cs="Calibri"/>
                <w:color w:val="000000"/>
              </w:rPr>
            </w:pPr>
            <w:r w:rsidRPr="005B0CB6">
              <w:rPr>
                <w:rFonts w:ascii="Arial Narrow" w:hAnsi="Arial Narrow" w:cs="Calibri"/>
                <w:color w:val="000000"/>
              </w:rPr>
              <w:t> </w:t>
            </w:r>
          </w:p>
        </w:tc>
      </w:tr>
      <w:tr w:rsidR="00CD0165" w:rsidRPr="00BB0771" w14:paraId="4D01CF20" w14:textId="77777777" w:rsidTr="00BA319D">
        <w:trPr>
          <w:trHeight w:val="255"/>
        </w:trPr>
        <w:tc>
          <w:tcPr>
            <w:tcW w:w="3215" w:type="dxa"/>
            <w:tcBorders>
              <w:right w:val="nil"/>
            </w:tcBorders>
            <w:shd w:val="clear" w:color="auto" w:fill="auto"/>
            <w:noWrap/>
            <w:vAlign w:val="bottom"/>
            <w:hideMark/>
          </w:tcPr>
          <w:p w14:paraId="3EFA69DE" w14:textId="77777777" w:rsidR="00CD0165" w:rsidRPr="00BB0771" w:rsidRDefault="00CD0165" w:rsidP="00AE5C81">
            <w:pPr>
              <w:spacing w:before="0" w:after="0"/>
              <w:rPr>
                <w:rFonts w:ascii="Arial Narrow" w:hAnsi="Arial Narrow" w:cs="Calibri"/>
                <w:i/>
                <w:color w:val="000000"/>
              </w:rPr>
            </w:pPr>
            <w:r w:rsidRPr="00BB0771">
              <w:rPr>
                <w:rFonts w:ascii="Arial Narrow" w:hAnsi="Arial Narrow" w:cs="Calibri"/>
                <w:i/>
                <w:color w:val="000000"/>
              </w:rPr>
              <w:t>Lower CI for risk ratio for reintervention</w:t>
            </w:r>
          </w:p>
        </w:tc>
        <w:tc>
          <w:tcPr>
            <w:tcW w:w="1120" w:type="dxa"/>
            <w:tcBorders>
              <w:left w:val="nil"/>
              <w:right w:val="nil"/>
            </w:tcBorders>
            <w:shd w:val="clear" w:color="auto" w:fill="auto"/>
            <w:noWrap/>
            <w:vAlign w:val="bottom"/>
            <w:hideMark/>
          </w:tcPr>
          <w:p w14:paraId="27BC2D76" w14:textId="77777777" w:rsidR="00CD0165" w:rsidRPr="00BB0771" w:rsidRDefault="00CD0165" w:rsidP="00AE5C81">
            <w:pPr>
              <w:spacing w:before="0" w:after="0"/>
              <w:rPr>
                <w:rFonts w:ascii="Arial Narrow" w:hAnsi="Arial Narrow" w:cs="Calibri"/>
                <w:i/>
                <w:color w:val="000000"/>
              </w:rPr>
            </w:pPr>
          </w:p>
        </w:tc>
        <w:tc>
          <w:tcPr>
            <w:tcW w:w="1014" w:type="dxa"/>
            <w:tcBorders>
              <w:left w:val="nil"/>
              <w:right w:val="nil"/>
            </w:tcBorders>
            <w:shd w:val="clear" w:color="auto" w:fill="auto"/>
            <w:noWrap/>
            <w:vAlign w:val="bottom"/>
            <w:hideMark/>
          </w:tcPr>
          <w:p w14:paraId="7928CA1A" w14:textId="77777777" w:rsidR="00CD0165" w:rsidRPr="00BB0771" w:rsidRDefault="00CD0165" w:rsidP="00AE5C81">
            <w:pPr>
              <w:spacing w:before="0" w:after="0"/>
              <w:rPr>
                <w:rFonts w:ascii="Arial Narrow" w:hAnsi="Arial Narrow"/>
                <w:i/>
              </w:rPr>
            </w:pPr>
          </w:p>
        </w:tc>
        <w:tc>
          <w:tcPr>
            <w:tcW w:w="1128" w:type="dxa"/>
            <w:tcBorders>
              <w:left w:val="nil"/>
              <w:right w:val="nil"/>
            </w:tcBorders>
            <w:shd w:val="clear" w:color="auto" w:fill="auto"/>
            <w:noWrap/>
            <w:vAlign w:val="bottom"/>
            <w:hideMark/>
          </w:tcPr>
          <w:p w14:paraId="2CDE372A" w14:textId="77777777" w:rsidR="00CD0165" w:rsidRPr="00BB0771" w:rsidRDefault="00CD0165" w:rsidP="00AE5C81">
            <w:pPr>
              <w:spacing w:before="0" w:after="0"/>
              <w:rPr>
                <w:rFonts w:ascii="Arial Narrow" w:hAnsi="Arial Narrow"/>
                <w:i/>
              </w:rPr>
            </w:pPr>
          </w:p>
        </w:tc>
        <w:tc>
          <w:tcPr>
            <w:tcW w:w="1202" w:type="dxa"/>
            <w:tcBorders>
              <w:left w:val="nil"/>
              <w:right w:val="nil"/>
            </w:tcBorders>
            <w:shd w:val="clear" w:color="auto" w:fill="auto"/>
            <w:noWrap/>
            <w:vAlign w:val="bottom"/>
            <w:hideMark/>
          </w:tcPr>
          <w:p w14:paraId="63F71980" w14:textId="77777777" w:rsidR="00CD0165" w:rsidRPr="005B0CB6" w:rsidRDefault="00CD0165" w:rsidP="00AE5C81">
            <w:pPr>
              <w:spacing w:before="0" w:after="0"/>
              <w:rPr>
                <w:rFonts w:ascii="Arial Narrow" w:hAnsi="Arial Narrow"/>
                <w:i/>
              </w:rPr>
            </w:pPr>
          </w:p>
        </w:tc>
        <w:tc>
          <w:tcPr>
            <w:tcW w:w="1022" w:type="dxa"/>
            <w:tcBorders>
              <w:left w:val="nil"/>
            </w:tcBorders>
            <w:shd w:val="clear" w:color="auto" w:fill="auto"/>
            <w:noWrap/>
            <w:vAlign w:val="bottom"/>
            <w:hideMark/>
          </w:tcPr>
          <w:p w14:paraId="199A3C23" w14:textId="77777777" w:rsidR="00CD0165" w:rsidRPr="005B0CB6" w:rsidRDefault="00CD0165" w:rsidP="00AE5C81">
            <w:pPr>
              <w:spacing w:before="0" w:after="0"/>
              <w:rPr>
                <w:rFonts w:ascii="Arial Narrow" w:hAnsi="Arial Narrow" w:cs="Calibri"/>
                <w:i/>
                <w:color w:val="000000"/>
              </w:rPr>
            </w:pPr>
            <w:r w:rsidRPr="005B0CB6">
              <w:rPr>
                <w:rFonts w:ascii="Arial Narrow" w:hAnsi="Arial Narrow" w:cs="Calibri"/>
                <w:i/>
                <w:color w:val="000000"/>
              </w:rPr>
              <w:t> </w:t>
            </w:r>
          </w:p>
        </w:tc>
      </w:tr>
      <w:tr w:rsidR="00CD0165" w:rsidRPr="00BB0771" w14:paraId="6A1CA60C" w14:textId="77777777" w:rsidTr="00BA319D">
        <w:trPr>
          <w:trHeight w:val="300"/>
        </w:trPr>
        <w:tc>
          <w:tcPr>
            <w:tcW w:w="3215" w:type="dxa"/>
            <w:tcBorders>
              <w:bottom w:val="single" w:sz="4" w:space="0" w:color="auto"/>
            </w:tcBorders>
            <w:shd w:val="clear" w:color="auto" w:fill="auto"/>
            <w:noWrap/>
            <w:vAlign w:val="bottom"/>
            <w:hideMark/>
          </w:tcPr>
          <w:p w14:paraId="5973D23E" w14:textId="12788F4B"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r w:rsidR="00AF7A49" w:rsidRPr="00BB0771">
              <w:rPr>
                <w:rFonts w:ascii="Arial Narrow" w:hAnsi="Arial Narrow" w:cs="Calibri"/>
                <w:color w:val="000000"/>
              </w:rPr>
              <w:t> </w:t>
            </w:r>
            <w:r w:rsidR="00AF7A49">
              <w:rPr>
                <w:rFonts w:ascii="Arial Narrow" w:hAnsi="Arial Narrow" w:cs="Calibri"/>
                <w:color w:val="000000"/>
              </w:rPr>
              <w:t>Incremental cost</w:t>
            </w:r>
          </w:p>
        </w:tc>
        <w:tc>
          <w:tcPr>
            <w:tcW w:w="1120" w:type="dxa"/>
            <w:tcBorders>
              <w:bottom w:val="single" w:sz="4" w:space="0" w:color="auto"/>
            </w:tcBorders>
            <w:shd w:val="clear" w:color="auto" w:fill="auto"/>
            <w:noWrap/>
            <w:vAlign w:val="bottom"/>
            <w:hideMark/>
          </w:tcPr>
          <w:p w14:paraId="4B5589A3"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$1,589</w:t>
            </w:r>
          </w:p>
        </w:tc>
        <w:tc>
          <w:tcPr>
            <w:tcW w:w="1014" w:type="dxa"/>
            <w:tcBorders>
              <w:bottom w:val="single" w:sz="4" w:space="0" w:color="auto"/>
            </w:tcBorders>
            <w:shd w:val="clear" w:color="auto" w:fill="auto"/>
            <w:noWrap/>
            <w:vAlign w:val="bottom"/>
            <w:hideMark/>
          </w:tcPr>
          <w:p w14:paraId="2B8E0862"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$968</w:t>
            </w:r>
          </w:p>
        </w:tc>
        <w:tc>
          <w:tcPr>
            <w:tcW w:w="1128" w:type="dxa"/>
            <w:tcBorders>
              <w:bottom w:val="single" w:sz="4" w:space="0" w:color="auto"/>
            </w:tcBorders>
            <w:shd w:val="clear" w:color="auto" w:fill="auto"/>
            <w:noWrap/>
            <w:vAlign w:val="bottom"/>
            <w:hideMark/>
          </w:tcPr>
          <w:p w14:paraId="02E46D19"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$1,757</w:t>
            </w:r>
          </w:p>
        </w:tc>
        <w:tc>
          <w:tcPr>
            <w:tcW w:w="1202" w:type="dxa"/>
            <w:tcBorders>
              <w:bottom w:val="single" w:sz="4" w:space="0" w:color="auto"/>
            </w:tcBorders>
            <w:shd w:val="clear" w:color="000000" w:fill="E7E6E6"/>
            <w:noWrap/>
            <w:vAlign w:val="bottom"/>
            <w:hideMark/>
          </w:tcPr>
          <w:p w14:paraId="103A153A" w14:textId="77777777" w:rsidR="00CD0165" w:rsidRPr="005B0CB6" w:rsidRDefault="00CD0165" w:rsidP="00AE5C81">
            <w:pPr>
              <w:spacing w:before="0" w:after="0"/>
              <w:rPr>
                <w:rFonts w:ascii="Arial Narrow" w:hAnsi="Arial Narrow" w:cs="Calibri"/>
                <w:color w:val="000000"/>
              </w:rPr>
            </w:pPr>
            <w:r w:rsidRPr="005B0CB6">
              <w:rPr>
                <w:rFonts w:ascii="Arial Narrow" w:hAnsi="Arial Narrow" w:cs="Calibri"/>
                <w:color w:val="000000"/>
              </w:rPr>
              <w:t> </w:t>
            </w:r>
          </w:p>
        </w:tc>
        <w:tc>
          <w:tcPr>
            <w:tcW w:w="1022" w:type="dxa"/>
            <w:tcBorders>
              <w:bottom w:val="single" w:sz="4" w:space="0" w:color="auto"/>
            </w:tcBorders>
            <w:shd w:val="clear" w:color="auto" w:fill="auto"/>
            <w:noWrap/>
            <w:vAlign w:val="bottom"/>
            <w:hideMark/>
          </w:tcPr>
          <w:p w14:paraId="1F4D0DF1" w14:textId="59D3FDEE" w:rsidR="00CD0165" w:rsidRPr="005B0CB6" w:rsidRDefault="00CD0165" w:rsidP="00AE5C81">
            <w:pPr>
              <w:spacing w:before="0" w:after="0"/>
              <w:jc w:val="right"/>
              <w:rPr>
                <w:rFonts w:ascii="Arial Narrow" w:hAnsi="Arial Narrow" w:cs="Calibri"/>
                <w:color w:val="000000"/>
              </w:rPr>
            </w:pPr>
            <w:r w:rsidRPr="005B0CB6">
              <w:rPr>
                <w:rFonts w:ascii="Arial Narrow" w:hAnsi="Arial Narrow" w:cs="Calibri"/>
                <w:color w:val="000000"/>
              </w:rPr>
              <w:t>–$</w:t>
            </w:r>
            <w:r w:rsidR="00CF6AD4" w:rsidRPr="00CF6AD4">
              <w:rPr>
                <w:rFonts w:ascii="Arial Narrow" w:hAnsi="Arial Narrow" w:cs="Calibri" w:hint="eastAsia"/>
                <w:color w:val="000000"/>
                <w:w w:val="32"/>
                <w:shd w:val="solid" w:color="000000" w:fill="000000"/>
                <w:fitText w:val="146" w:id="-1455741427"/>
                <w14:textFill>
                  <w14:solidFill>
                    <w14:srgbClr w14:val="000000">
                      <w14:alpha w14:val="100000"/>
                    </w14:srgbClr>
                  </w14:solidFill>
                </w14:textFill>
              </w:rPr>
              <w:t xml:space="preserve">　</w:t>
            </w:r>
            <w:r w:rsidR="00CF6AD4" w:rsidRPr="00CF6AD4">
              <w:rPr>
                <w:rFonts w:ascii="Arial Narrow" w:hAnsi="Arial Narrow" w:cs="Calibri"/>
                <w:color w:val="000000"/>
                <w:w w:val="32"/>
                <w:shd w:val="solid" w:color="000000" w:fill="000000"/>
                <w:fitText w:val="146" w:id="-1455741427"/>
                <w14:textFill>
                  <w14:solidFill>
                    <w14:srgbClr w14:val="000000">
                      <w14:alpha w14:val="100000"/>
                    </w14:srgbClr>
                  </w14:solidFill>
                </w14:textFill>
              </w:rPr>
              <w:t>|</w:t>
            </w:r>
            <w:r w:rsidR="00CF6AD4" w:rsidRPr="00CF6AD4">
              <w:rPr>
                <w:rFonts w:ascii="Arial Narrow" w:hAnsi="Arial Narrow" w:cs="Calibri" w:hint="eastAsia"/>
                <w:color w:val="000000"/>
                <w:spacing w:val="7"/>
                <w:w w:val="32"/>
                <w:shd w:val="solid" w:color="000000" w:fill="000000"/>
                <w:fitText w:val="146" w:id="-1455741427"/>
                <w14:textFill>
                  <w14:solidFill>
                    <w14:srgbClr w14:val="000000">
                      <w14:alpha w14:val="100000"/>
                    </w14:srgbClr>
                  </w14:solidFill>
                </w14:textFill>
              </w:rPr>
              <w:t xml:space="preserve">　</w:t>
            </w:r>
          </w:p>
        </w:tc>
      </w:tr>
      <w:tr w:rsidR="00CD0165" w:rsidRPr="00BB0771" w14:paraId="2EDEEAB4" w14:textId="77777777" w:rsidTr="00BA319D">
        <w:trPr>
          <w:trHeight w:val="255"/>
        </w:trPr>
        <w:tc>
          <w:tcPr>
            <w:tcW w:w="3215" w:type="dxa"/>
            <w:tcBorders>
              <w:right w:val="nil"/>
            </w:tcBorders>
            <w:shd w:val="clear" w:color="auto" w:fill="auto"/>
            <w:noWrap/>
            <w:vAlign w:val="bottom"/>
            <w:hideMark/>
          </w:tcPr>
          <w:p w14:paraId="681B0FD8" w14:textId="77777777" w:rsidR="00CD0165" w:rsidRPr="00BB0771" w:rsidRDefault="00CD0165" w:rsidP="00AE5C81">
            <w:pPr>
              <w:spacing w:before="0" w:after="0"/>
              <w:rPr>
                <w:rFonts w:ascii="Arial Narrow" w:hAnsi="Arial Narrow" w:cs="Calibri"/>
                <w:i/>
                <w:color w:val="000000"/>
              </w:rPr>
            </w:pPr>
            <w:r w:rsidRPr="00BB0771">
              <w:rPr>
                <w:rFonts w:ascii="Arial Narrow" w:hAnsi="Arial Narrow" w:cs="Calibri"/>
                <w:i/>
                <w:color w:val="000000"/>
              </w:rPr>
              <w:t>Upper CI for risk ratio for reintervention</w:t>
            </w:r>
          </w:p>
        </w:tc>
        <w:tc>
          <w:tcPr>
            <w:tcW w:w="1120" w:type="dxa"/>
            <w:tcBorders>
              <w:left w:val="nil"/>
              <w:right w:val="nil"/>
            </w:tcBorders>
            <w:shd w:val="clear" w:color="auto" w:fill="auto"/>
            <w:noWrap/>
            <w:vAlign w:val="bottom"/>
            <w:hideMark/>
          </w:tcPr>
          <w:p w14:paraId="713BCA7A" w14:textId="77777777" w:rsidR="00CD0165" w:rsidRPr="00BB0771" w:rsidRDefault="00CD0165" w:rsidP="00AE5C81">
            <w:pPr>
              <w:spacing w:before="0" w:after="0"/>
              <w:rPr>
                <w:rFonts w:ascii="Arial Narrow" w:hAnsi="Arial Narrow" w:cs="Calibri"/>
                <w:i/>
                <w:color w:val="000000"/>
              </w:rPr>
            </w:pPr>
          </w:p>
        </w:tc>
        <w:tc>
          <w:tcPr>
            <w:tcW w:w="1014" w:type="dxa"/>
            <w:tcBorders>
              <w:left w:val="nil"/>
              <w:right w:val="nil"/>
            </w:tcBorders>
            <w:shd w:val="clear" w:color="auto" w:fill="auto"/>
            <w:noWrap/>
            <w:vAlign w:val="bottom"/>
            <w:hideMark/>
          </w:tcPr>
          <w:p w14:paraId="1DD39193" w14:textId="77777777" w:rsidR="00CD0165" w:rsidRPr="00BB0771" w:rsidRDefault="00CD0165" w:rsidP="00AE5C81">
            <w:pPr>
              <w:spacing w:before="0" w:after="0"/>
              <w:rPr>
                <w:rFonts w:ascii="Arial Narrow" w:hAnsi="Arial Narrow"/>
                <w:i/>
              </w:rPr>
            </w:pPr>
          </w:p>
        </w:tc>
        <w:tc>
          <w:tcPr>
            <w:tcW w:w="1128" w:type="dxa"/>
            <w:tcBorders>
              <w:left w:val="nil"/>
              <w:right w:val="nil"/>
            </w:tcBorders>
            <w:shd w:val="clear" w:color="auto" w:fill="auto"/>
            <w:noWrap/>
            <w:vAlign w:val="bottom"/>
            <w:hideMark/>
          </w:tcPr>
          <w:p w14:paraId="58847391" w14:textId="77777777" w:rsidR="00CD0165" w:rsidRPr="00BB0771" w:rsidRDefault="00CD0165" w:rsidP="00AE5C81">
            <w:pPr>
              <w:spacing w:before="0" w:after="0"/>
              <w:rPr>
                <w:rFonts w:ascii="Arial Narrow" w:hAnsi="Arial Narrow"/>
                <w:i/>
              </w:rPr>
            </w:pPr>
          </w:p>
        </w:tc>
        <w:tc>
          <w:tcPr>
            <w:tcW w:w="1202" w:type="dxa"/>
            <w:tcBorders>
              <w:left w:val="nil"/>
              <w:right w:val="nil"/>
            </w:tcBorders>
            <w:shd w:val="clear" w:color="auto" w:fill="auto"/>
            <w:noWrap/>
            <w:vAlign w:val="bottom"/>
            <w:hideMark/>
          </w:tcPr>
          <w:p w14:paraId="6C52603C" w14:textId="77777777" w:rsidR="00CD0165" w:rsidRPr="005B0CB6" w:rsidRDefault="00CD0165" w:rsidP="00AE5C81">
            <w:pPr>
              <w:spacing w:before="0" w:after="0"/>
              <w:rPr>
                <w:rFonts w:ascii="Arial Narrow" w:hAnsi="Arial Narrow"/>
                <w:i/>
              </w:rPr>
            </w:pPr>
          </w:p>
        </w:tc>
        <w:tc>
          <w:tcPr>
            <w:tcW w:w="1022" w:type="dxa"/>
            <w:tcBorders>
              <w:left w:val="nil"/>
            </w:tcBorders>
            <w:shd w:val="clear" w:color="auto" w:fill="auto"/>
            <w:noWrap/>
            <w:vAlign w:val="bottom"/>
            <w:hideMark/>
          </w:tcPr>
          <w:p w14:paraId="2F42C07B" w14:textId="77777777" w:rsidR="00CD0165" w:rsidRPr="005B0CB6" w:rsidRDefault="00CD0165" w:rsidP="00AE5C81">
            <w:pPr>
              <w:spacing w:before="0" w:after="0"/>
              <w:rPr>
                <w:rFonts w:ascii="Arial Narrow" w:hAnsi="Arial Narrow" w:cs="Calibri"/>
                <w:i/>
                <w:color w:val="000000"/>
              </w:rPr>
            </w:pPr>
            <w:r w:rsidRPr="005B0CB6">
              <w:rPr>
                <w:rFonts w:ascii="Arial Narrow" w:hAnsi="Arial Narrow" w:cs="Calibri"/>
                <w:i/>
                <w:color w:val="000000"/>
              </w:rPr>
              <w:t> </w:t>
            </w:r>
          </w:p>
        </w:tc>
      </w:tr>
      <w:tr w:rsidR="00CD0165" w:rsidRPr="00BB0771" w14:paraId="0C7E6302" w14:textId="77777777" w:rsidTr="00BA319D">
        <w:trPr>
          <w:trHeight w:val="255"/>
        </w:trPr>
        <w:tc>
          <w:tcPr>
            <w:tcW w:w="3215" w:type="dxa"/>
            <w:tcBorders>
              <w:bottom w:val="single" w:sz="4" w:space="0" w:color="auto"/>
            </w:tcBorders>
            <w:shd w:val="clear" w:color="auto" w:fill="auto"/>
            <w:noWrap/>
            <w:vAlign w:val="bottom"/>
            <w:hideMark/>
          </w:tcPr>
          <w:p w14:paraId="38DEC1D3" w14:textId="3679CD30"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r w:rsidR="00AF7A49" w:rsidRPr="00BB0771">
              <w:rPr>
                <w:rFonts w:ascii="Arial Narrow" w:hAnsi="Arial Narrow" w:cs="Calibri"/>
                <w:color w:val="000000"/>
              </w:rPr>
              <w:t> </w:t>
            </w:r>
            <w:r w:rsidR="00AF7A49">
              <w:rPr>
                <w:rFonts w:ascii="Arial Narrow" w:hAnsi="Arial Narrow" w:cs="Calibri"/>
                <w:color w:val="000000"/>
              </w:rPr>
              <w:t>Incremental cost</w:t>
            </w:r>
          </w:p>
        </w:tc>
        <w:tc>
          <w:tcPr>
            <w:tcW w:w="1120" w:type="dxa"/>
            <w:tcBorders>
              <w:bottom w:val="single" w:sz="4" w:space="0" w:color="auto"/>
            </w:tcBorders>
            <w:shd w:val="clear" w:color="auto" w:fill="auto"/>
            <w:noWrap/>
            <w:vAlign w:val="bottom"/>
            <w:hideMark/>
          </w:tcPr>
          <w:p w14:paraId="54BE8B9A"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$1,211</w:t>
            </w:r>
          </w:p>
        </w:tc>
        <w:tc>
          <w:tcPr>
            <w:tcW w:w="1014" w:type="dxa"/>
            <w:tcBorders>
              <w:bottom w:val="single" w:sz="4" w:space="0" w:color="auto"/>
            </w:tcBorders>
            <w:shd w:val="clear" w:color="auto" w:fill="auto"/>
            <w:noWrap/>
            <w:vAlign w:val="bottom"/>
            <w:hideMark/>
          </w:tcPr>
          <w:p w14:paraId="2CFE6585" w14:textId="77777777" w:rsidR="00CD0165" w:rsidRPr="00BB0771" w:rsidRDefault="00CD0165" w:rsidP="00AE5C81">
            <w:pPr>
              <w:spacing w:before="0" w:after="0"/>
              <w:jc w:val="right"/>
              <w:rPr>
                <w:rFonts w:ascii="Arial Narrow" w:hAnsi="Arial Narrow" w:cs="Calibri"/>
                <w:color w:val="000000"/>
              </w:rPr>
            </w:pPr>
            <w:r w:rsidRPr="00BB0771">
              <w:rPr>
                <w:rFonts w:ascii="Arial Narrow" w:hAnsi="Arial Narrow" w:cs="Calibri"/>
                <w:color w:val="000000"/>
              </w:rPr>
              <w:t>$3,972</w:t>
            </w:r>
          </w:p>
        </w:tc>
        <w:tc>
          <w:tcPr>
            <w:tcW w:w="1128" w:type="dxa"/>
            <w:tcBorders>
              <w:bottom w:val="single" w:sz="4" w:space="0" w:color="auto"/>
            </w:tcBorders>
            <w:shd w:val="clear" w:color="auto" w:fill="auto"/>
            <w:noWrap/>
            <w:vAlign w:val="bottom"/>
            <w:hideMark/>
          </w:tcPr>
          <w:p w14:paraId="3689593D" w14:textId="77777777" w:rsidR="00CD0165" w:rsidRPr="00BB0771" w:rsidRDefault="00CD0165" w:rsidP="00AE5C81">
            <w:pPr>
              <w:spacing w:before="0" w:after="0"/>
              <w:jc w:val="right"/>
              <w:rPr>
                <w:rFonts w:ascii="Arial Narrow" w:hAnsi="Arial Narrow" w:cs="Calibri"/>
                <w:color w:val="000000"/>
              </w:rPr>
            </w:pPr>
            <w:r w:rsidRPr="00BB0771">
              <w:rPr>
                <w:rFonts w:ascii="Arial Narrow" w:hAnsi="Arial Narrow" w:cs="Calibri"/>
                <w:color w:val="000000"/>
              </w:rPr>
              <w:t>$2,703</w:t>
            </w:r>
          </w:p>
        </w:tc>
        <w:tc>
          <w:tcPr>
            <w:tcW w:w="1202" w:type="dxa"/>
            <w:tcBorders>
              <w:bottom w:val="single" w:sz="4" w:space="0" w:color="auto"/>
            </w:tcBorders>
            <w:shd w:val="clear" w:color="000000" w:fill="E7E6E6"/>
            <w:noWrap/>
            <w:vAlign w:val="bottom"/>
            <w:hideMark/>
          </w:tcPr>
          <w:p w14:paraId="4E313C4C" w14:textId="77777777" w:rsidR="00CD0165" w:rsidRPr="005B0CB6" w:rsidRDefault="00CD0165" w:rsidP="00AE5C81">
            <w:pPr>
              <w:spacing w:before="0" w:after="0"/>
              <w:rPr>
                <w:rFonts w:ascii="Arial Narrow" w:hAnsi="Arial Narrow" w:cs="Calibri"/>
                <w:color w:val="000000"/>
              </w:rPr>
            </w:pPr>
            <w:r w:rsidRPr="005B0CB6">
              <w:rPr>
                <w:rFonts w:ascii="Arial Narrow" w:hAnsi="Arial Narrow" w:cs="Calibri"/>
                <w:color w:val="000000"/>
              </w:rPr>
              <w:t> </w:t>
            </w:r>
          </w:p>
        </w:tc>
        <w:tc>
          <w:tcPr>
            <w:tcW w:w="1022" w:type="dxa"/>
            <w:tcBorders>
              <w:bottom w:val="single" w:sz="4" w:space="0" w:color="auto"/>
            </w:tcBorders>
            <w:shd w:val="clear" w:color="auto" w:fill="auto"/>
            <w:noWrap/>
            <w:vAlign w:val="bottom"/>
            <w:hideMark/>
          </w:tcPr>
          <w:p w14:paraId="51E2FFDB" w14:textId="7D844984" w:rsidR="00CD0165" w:rsidRPr="005B0CB6" w:rsidRDefault="00CD0165" w:rsidP="00AE5C81">
            <w:pPr>
              <w:spacing w:before="0" w:after="0"/>
              <w:jc w:val="right"/>
              <w:rPr>
                <w:rFonts w:ascii="Arial Narrow" w:hAnsi="Arial Narrow" w:cs="Calibri"/>
                <w:color w:val="000000"/>
              </w:rPr>
            </w:pPr>
            <w:r w:rsidRPr="005B0CB6">
              <w:rPr>
                <w:rFonts w:ascii="Arial Narrow" w:hAnsi="Arial Narrow" w:cs="Calibri"/>
                <w:color w:val="000000"/>
              </w:rPr>
              <w:t>$</w:t>
            </w:r>
            <w:r w:rsidR="00CF6AD4" w:rsidRPr="00CF6AD4">
              <w:rPr>
                <w:rFonts w:ascii="Arial Narrow" w:hAnsi="Arial Narrow" w:cs="Calibri" w:hint="eastAsia"/>
                <w:color w:val="000000"/>
                <w:w w:val="15"/>
                <w:shd w:val="solid" w:color="000000" w:fill="000000"/>
                <w:fitText w:val="55" w:id="-1455741426"/>
                <w14:textFill>
                  <w14:solidFill>
                    <w14:srgbClr w14:val="000000">
                      <w14:alpha w14:val="100000"/>
                    </w14:srgbClr>
                  </w14:solidFill>
                </w14:textFill>
              </w:rPr>
              <w:t xml:space="preserve">　</w:t>
            </w:r>
            <w:r w:rsidR="00CF6AD4" w:rsidRPr="00CF6AD4">
              <w:rPr>
                <w:rFonts w:ascii="Arial Narrow" w:hAnsi="Arial Narrow" w:cs="Calibri"/>
                <w:color w:val="000000"/>
                <w:w w:val="15"/>
                <w:shd w:val="solid" w:color="000000" w:fill="000000"/>
                <w:fitText w:val="55" w:id="-1455741426"/>
                <w14:textFill>
                  <w14:solidFill>
                    <w14:srgbClr w14:val="000000">
                      <w14:alpha w14:val="100000"/>
                    </w14:srgbClr>
                  </w14:solidFill>
                </w14:textFill>
              </w:rPr>
              <w:t>|</w:t>
            </w:r>
            <w:r w:rsidR="00CF6AD4" w:rsidRPr="00CF6AD4">
              <w:rPr>
                <w:rFonts w:ascii="Arial Narrow" w:hAnsi="Arial Narrow" w:cs="Calibri" w:hint="eastAsia"/>
                <w:color w:val="000000"/>
                <w:spacing w:val="-10"/>
                <w:w w:val="15"/>
                <w:shd w:val="solid" w:color="000000" w:fill="000000"/>
                <w:fitText w:val="55" w:id="-1455741426"/>
                <w14:textFill>
                  <w14:solidFill>
                    <w14:srgbClr w14:val="000000">
                      <w14:alpha w14:val="100000"/>
                    </w14:srgbClr>
                  </w14:solidFill>
                </w14:textFill>
              </w:rPr>
              <w:t xml:space="preserve">　</w:t>
            </w:r>
          </w:p>
        </w:tc>
      </w:tr>
      <w:tr w:rsidR="00CD0165" w:rsidRPr="00BB0771" w14:paraId="3E23FAAF" w14:textId="77777777" w:rsidTr="00BA319D">
        <w:trPr>
          <w:trHeight w:val="255"/>
        </w:trPr>
        <w:tc>
          <w:tcPr>
            <w:tcW w:w="4335" w:type="dxa"/>
            <w:gridSpan w:val="2"/>
            <w:tcBorders>
              <w:right w:val="nil"/>
            </w:tcBorders>
            <w:shd w:val="clear" w:color="auto" w:fill="auto"/>
            <w:noWrap/>
            <w:vAlign w:val="bottom"/>
            <w:hideMark/>
          </w:tcPr>
          <w:p w14:paraId="67A8ED29" w14:textId="77777777" w:rsidR="00CD0165" w:rsidRPr="00BB0771" w:rsidRDefault="00CD0165" w:rsidP="00AE5C81">
            <w:pPr>
              <w:spacing w:before="0" w:after="0"/>
              <w:rPr>
                <w:rFonts w:ascii="Arial Narrow" w:hAnsi="Arial Narrow" w:cs="Calibri"/>
                <w:i/>
                <w:color w:val="000000"/>
              </w:rPr>
            </w:pPr>
            <w:proofErr w:type="spellStart"/>
            <w:r w:rsidRPr="00BB0771">
              <w:rPr>
                <w:rFonts w:ascii="Arial Narrow" w:hAnsi="Arial Narrow" w:cs="Calibri"/>
                <w:i/>
                <w:color w:val="000000"/>
              </w:rPr>
              <w:t>ALoS</w:t>
            </w:r>
            <w:proofErr w:type="spellEnd"/>
            <w:r w:rsidRPr="00BB0771">
              <w:rPr>
                <w:rFonts w:ascii="Arial Narrow" w:hAnsi="Arial Narrow" w:cs="Calibri"/>
                <w:i/>
                <w:color w:val="000000"/>
              </w:rPr>
              <w:t xml:space="preserve"> of TURP 2 days, base case 2.34 days</w:t>
            </w:r>
          </w:p>
        </w:tc>
        <w:tc>
          <w:tcPr>
            <w:tcW w:w="1014" w:type="dxa"/>
            <w:tcBorders>
              <w:left w:val="nil"/>
              <w:right w:val="nil"/>
            </w:tcBorders>
            <w:shd w:val="clear" w:color="auto" w:fill="auto"/>
            <w:noWrap/>
            <w:vAlign w:val="bottom"/>
            <w:hideMark/>
          </w:tcPr>
          <w:p w14:paraId="569F28E4" w14:textId="77777777" w:rsidR="00CD0165" w:rsidRPr="00BB0771" w:rsidRDefault="00CD0165" w:rsidP="00AE5C81">
            <w:pPr>
              <w:spacing w:before="0" w:after="0"/>
              <w:rPr>
                <w:rFonts w:ascii="Arial Narrow" w:hAnsi="Arial Narrow" w:cs="Calibri"/>
                <w:i/>
                <w:color w:val="000000"/>
              </w:rPr>
            </w:pPr>
          </w:p>
        </w:tc>
        <w:tc>
          <w:tcPr>
            <w:tcW w:w="1128" w:type="dxa"/>
            <w:tcBorders>
              <w:left w:val="nil"/>
              <w:right w:val="nil"/>
            </w:tcBorders>
            <w:shd w:val="clear" w:color="auto" w:fill="auto"/>
            <w:noWrap/>
            <w:vAlign w:val="bottom"/>
            <w:hideMark/>
          </w:tcPr>
          <w:p w14:paraId="32F09B5B" w14:textId="77777777" w:rsidR="00CD0165" w:rsidRPr="00BB0771" w:rsidRDefault="00CD0165" w:rsidP="00AE5C81">
            <w:pPr>
              <w:spacing w:before="0" w:after="0"/>
              <w:rPr>
                <w:rFonts w:ascii="Arial Narrow" w:hAnsi="Arial Narrow"/>
                <w:i/>
              </w:rPr>
            </w:pPr>
          </w:p>
        </w:tc>
        <w:tc>
          <w:tcPr>
            <w:tcW w:w="1202" w:type="dxa"/>
            <w:tcBorders>
              <w:left w:val="nil"/>
              <w:right w:val="nil"/>
            </w:tcBorders>
            <w:shd w:val="clear" w:color="auto" w:fill="auto"/>
            <w:noWrap/>
            <w:vAlign w:val="bottom"/>
            <w:hideMark/>
          </w:tcPr>
          <w:p w14:paraId="5384B472" w14:textId="77777777" w:rsidR="00CD0165" w:rsidRPr="005B0CB6" w:rsidRDefault="00CD0165" w:rsidP="00AE5C81">
            <w:pPr>
              <w:spacing w:before="0" w:after="0"/>
              <w:rPr>
                <w:rFonts w:ascii="Arial Narrow" w:hAnsi="Arial Narrow"/>
                <w:i/>
              </w:rPr>
            </w:pPr>
          </w:p>
        </w:tc>
        <w:tc>
          <w:tcPr>
            <w:tcW w:w="1022" w:type="dxa"/>
            <w:tcBorders>
              <w:left w:val="nil"/>
            </w:tcBorders>
            <w:shd w:val="clear" w:color="auto" w:fill="auto"/>
            <w:noWrap/>
            <w:vAlign w:val="bottom"/>
            <w:hideMark/>
          </w:tcPr>
          <w:p w14:paraId="250B50B5" w14:textId="77777777" w:rsidR="00CD0165" w:rsidRPr="005B0CB6" w:rsidRDefault="00CD0165" w:rsidP="00AE5C81">
            <w:pPr>
              <w:spacing w:before="0" w:after="0"/>
              <w:rPr>
                <w:rFonts w:ascii="Arial Narrow" w:hAnsi="Arial Narrow" w:cs="Calibri"/>
                <w:i/>
                <w:color w:val="000000"/>
              </w:rPr>
            </w:pPr>
            <w:r w:rsidRPr="005B0CB6">
              <w:rPr>
                <w:rFonts w:ascii="Arial Narrow" w:hAnsi="Arial Narrow" w:cs="Calibri"/>
                <w:i/>
                <w:color w:val="000000"/>
              </w:rPr>
              <w:t> </w:t>
            </w:r>
          </w:p>
        </w:tc>
      </w:tr>
      <w:tr w:rsidR="00CD0165" w:rsidRPr="00BB0771" w14:paraId="5CAE530C" w14:textId="77777777" w:rsidTr="00BA319D">
        <w:trPr>
          <w:trHeight w:val="255"/>
        </w:trPr>
        <w:tc>
          <w:tcPr>
            <w:tcW w:w="3215" w:type="dxa"/>
            <w:tcBorders>
              <w:bottom w:val="single" w:sz="4" w:space="0" w:color="auto"/>
            </w:tcBorders>
            <w:shd w:val="clear" w:color="auto" w:fill="auto"/>
            <w:noWrap/>
            <w:vAlign w:val="bottom"/>
            <w:hideMark/>
          </w:tcPr>
          <w:p w14:paraId="0554D7A1" w14:textId="104B19AA"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r w:rsidR="00AF7A49" w:rsidRPr="00BB0771">
              <w:rPr>
                <w:rFonts w:ascii="Arial Narrow" w:hAnsi="Arial Narrow" w:cs="Calibri"/>
                <w:color w:val="000000"/>
              </w:rPr>
              <w:t> </w:t>
            </w:r>
            <w:r w:rsidR="00AF7A49">
              <w:rPr>
                <w:rFonts w:ascii="Arial Narrow" w:hAnsi="Arial Narrow" w:cs="Calibri"/>
                <w:color w:val="000000"/>
              </w:rPr>
              <w:t>Incremental cost</w:t>
            </w:r>
          </w:p>
        </w:tc>
        <w:tc>
          <w:tcPr>
            <w:tcW w:w="1120" w:type="dxa"/>
            <w:tcBorders>
              <w:bottom w:val="single" w:sz="4" w:space="0" w:color="auto"/>
            </w:tcBorders>
            <w:shd w:val="clear" w:color="auto" w:fill="auto"/>
            <w:noWrap/>
            <w:vAlign w:val="bottom"/>
            <w:hideMark/>
          </w:tcPr>
          <w:p w14:paraId="22E0FCFA"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$1,441</w:t>
            </w:r>
          </w:p>
        </w:tc>
        <w:tc>
          <w:tcPr>
            <w:tcW w:w="1014" w:type="dxa"/>
            <w:tcBorders>
              <w:bottom w:val="single" w:sz="4" w:space="0" w:color="auto"/>
            </w:tcBorders>
            <w:shd w:val="clear" w:color="auto" w:fill="auto"/>
            <w:noWrap/>
            <w:vAlign w:val="bottom"/>
            <w:hideMark/>
          </w:tcPr>
          <w:p w14:paraId="2C55D338" w14:textId="77777777" w:rsidR="00CD0165" w:rsidRPr="00BB0771" w:rsidRDefault="00CD0165" w:rsidP="00AE5C81">
            <w:pPr>
              <w:spacing w:before="0" w:after="0"/>
              <w:jc w:val="right"/>
              <w:rPr>
                <w:rFonts w:ascii="Arial Narrow" w:hAnsi="Arial Narrow" w:cs="Calibri"/>
                <w:color w:val="000000"/>
              </w:rPr>
            </w:pPr>
            <w:r w:rsidRPr="00BB0771">
              <w:rPr>
                <w:rFonts w:ascii="Arial Narrow" w:hAnsi="Arial Narrow" w:cs="Calibri"/>
                <w:color w:val="000000"/>
              </w:rPr>
              <w:t>$398</w:t>
            </w:r>
          </w:p>
        </w:tc>
        <w:tc>
          <w:tcPr>
            <w:tcW w:w="1128" w:type="dxa"/>
            <w:tcBorders>
              <w:bottom w:val="single" w:sz="4" w:space="0" w:color="auto"/>
            </w:tcBorders>
            <w:shd w:val="clear" w:color="auto" w:fill="auto"/>
            <w:noWrap/>
            <w:vAlign w:val="bottom"/>
            <w:hideMark/>
          </w:tcPr>
          <w:p w14:paraId="7394E15C"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$776</w:t>
            </w:r>
          </w:p>
        </w:tc>
        <w:tc>
          <w:tcPr>
            <w:tcW w:w="1202" w:type="dxa"/>
            <w:tcBorders>
              <w:bottom w:val="single" w:sz="4" w:space="0" w:color="auto"/>
            </w:tcBorders>
            <w:shd w:val="clear" w:color="auto" w:fill="auto"/>
            <w:noWrap/>
            <w:vAlign w:val="bottom"/>
            <w:hideMark/>
          </w:tcPr>
          <w:p w14:paraId="31967458" w14:textId="19BD4E73" w:rsidR="00CD0165" w:rsidRPr="005B0CB6" w:rsidRDefault="00CD0165" w:rsidP="00AE5C81">
            <w:pPr>
              <w:spacing w:before="0" w:after="0"/>
              <w:jc w:val="right"/>
              <w:rPr>
                <w:rFonts w:ascii="Arial Narrow" w:hAnsi="Arial Narrow" w:cs="Calibri"/>
                <w:color w:val="000000"/>
              </w:rPr>
            </w:pPr>
            <w:r w:rsidRPr="005B0CB6">
              <w:rPr>
                <w:rFonts w:ascii="Arial Narrow" w:hAnsi="Arial Narrow" w:cs="Calibri"/>
                <w:color w:val="000000"/>
              </w:rPr>
              <w:t>–$</w:t>
            </w:r>
            <w:r w:rsidR="00CF6AD4" w:rsidRPr="00CF6AD4">
              <w:rPr>
                <w:rFonts w:ascii="Arial Narrow" w:hAnsi="Arial Narrow" w:cs="Calibri"/>
                <w:color w:val="000000"/>
                <w:shd w:val="solid" w:color="000000" w:fill="000000"/>
                <w14:textFill>
                  <w14:solidFill>
                    <w14:srgbClr w14:val="000000">
                      <w14:alpha w14:val="100000"/>
                    </w14:srgbClr>
                  </w14:solidFill>
                </w14:textFill>
              </w:rPr>
              <w:t>|</w:t>
            </w:r>
          </w:p>
        </w:tc>
        <w:tc>
          <w:tcPr>
            <w:tcW w:w="1022" w:type="dxa"/>
            <w:tcBorders>
              <w:bottom w:val="single" w:sz="4" w:space="0" w:color="auto"/>
            </w:tcBorders>
            <w:shd w:val="clear" w:color="auto" w:fill="auto"/>
            <w:noWrap/>
            <w:vAlign w:val="bottom"/>
            <w:hideMark/>
          </w:tcPr>
          <w:p w14:paraId="73FA196D" w14:textId="27C257D2" w:rsidR="00CD0165" w:rsidRPr="005B0CB6" w:rsidRDefault="00CD0165" w:rsidP="00AE5C81">
            <w:pPr>
              <w:spacing w:before="0" w:after="0"/>
              <w:jc w:val="right"/>
              <w:rPr>
                <w:rFonts w:ascii="Arial Narrow" w:hAnsi="Arial Narrow" w:cs="Calibri"/>
                <w:color w:val="000000"/>
              </w:rPr>
            </w:pPr>
            <w:r w:rsidRPr="005B0CB6">
              <w:rPr>
                <w:rFonts w:ascii="Arial Narrow" w:hAnsi="Arial Narrow" w:cs="Calibri"/>
                <w:color w:val="000000"/>
              </w:rPr>
              <w:t>$</w:t>
            </w:r>
            <w:r w:rsidR="00CF6AD4" w:rsidRPr="00CF6AD4">
              <w:rPr>
                <w:rFonts w:ascii="Arial Narrow" w:hAnsi="Arial Narrow" w:cs="Calibri" w:hint="eastAsia"/>
                <w:color w:val="000000"/>
                <w:w w:val="15"/>
                <w:shd w:val="solid" w:color="000000" w:fill="000000"/>
                <w:fitText w:val="55" w:id="-1455741425"/>
                <w14:textFill>
                  <w14:solidFill>
                    <w14:srgbClr w14:val="000000">
                      <w14:alpha w14:val="100000"/>
                    </w14:srgbClr>
                  </w14:solidFill>
                </w14:textFill>
              </w:rPr>
              <w:t xml:space="preserve">　</w:t>
            </w:r>
            <w:r w:rsidR="00CF6AD4" w:rsidRPr="00CF6AD4">
              <w:rPr>
                <w:rFonts w:ascii="Arial Narrow" w:hAnsi="Arial Narrow" w:cs="Calibri"/>
                <w:color w:val="000000"/>
                <w:w w:val="15"/>
                <w:shd w:val="solid" w:color="000000" w:fill="000000"/>
                <w:fitText w:val="55" w:id="-1455741425"/>
                <w14:textFill>
                  <w14:solidFill>
                    <w14:srgbClr w14:val="000000">
                      <w14:alpha w14:val="100000"/>
                    </w14:srgbClr>
                  </w14:solidFill>
                </w14:textFill>
              </w:rPr>
              <w:t>|</w:t>
            </w:r>
            <w:r w:rsidR="00CF6AD4" w:rsidRPr="00CF6AD4">
              <w:rPr>
                <w:rFonts w:ascii="Arial Narrow" w:hAnsi="Arial Narrow" w:cs="Calibri" w:hint="eastAsia"/>
                <w:color w:val="000000"/>
                <w:spacing w:val="-10"/>
                <w:w w:val="15"/>
                <w:shd w:val="solid" w:color="000000" w:fill="000000"/>
                <w:fitText w:val="55" w:id="-1455741425"/>
                <w14:textFill>
                  <w14:solidFill>
                    <w14:srgbClr w14:val="000000">
                      <w14:alpha w14:val="100000"/>
                    </w14:srgbClr>
                  </w14:solidFill>
                </w14:textFill>
              </w:rPr>
              <w:t xml:space="preserve">　</w:t>
            </w:r>
          </w:p>
        </w:tc>
      </w:tr>
      <w:tr w:rsidR="00CD0165" w:rsidRPr="00BB0771" w14:paraId="73B01369" w14:textId="77777777" w:rsidTr="00BA319D">
        <w:trPr>
          <w:trHeight w:val="255"/>
        </w:trPr>
        <w:tc>
          <w:tcPr>
            <w:tcW w:w="4335" w:type="dxa"/>
            <w:gridSpan w:val="2"/>
            <w:tcBorders>
              <w:right w:val="nil"/>
            </w:tcBorders>
            <w:shd w:val="clear" w:color="auto" w:fill="auto"/>
            <w:noWrap/>
            <w:vAlign w:val="bottom"/>
            <w:hideMark/>
          </w:tcPr>
          <w:p w14:paraId="26B4D54B" w14:textId="77777777" w:rsidR="00CD0165" w:rsidRPr="00BB0771" w:rsidRDefault="00CD0165" w:rsidP="00AE5C81">
            <w:pPr>
              <w:spacing w:before="0" w:after="0"/>
              <w:rPr>
                <w:rFonts w:ascii="Arial Narrow" w:hAnsi="Arial Narrow" w:cs="Calibri"/>
                <w:i/>
                <w:color w:val="000000"/>
              </w:rPr>
            </w:pPr>
            <w:proofErr w:type="spellStart"/>
            <w:r w:rsidRPr="00BB0771">
              <w:rPr>
                <w:rFonts w:ascii="Arial Narrow" w:hAnsi="Arial Narrow" w:cs="Calibri"/>
                <w:i/>
                <w:color w:val="000000"/>
              </w:rPr>
              <w:t>ALoS</w:t>
            </w:r>
            <w:proofErr w:type="spellEnd"/>
            <w:r w:rsidRPr="00BB0771">
              <w:rPr>
                <w:rFonts w:ascii="Arial Narrow" w:hAnsi="Arial Narrow" w:cs="Calibri"/>
                <w:i/>
                <w:color w:val="000000"/>
              </w:rPr>
              <w:t xml:space="preserve"> of TURP 4 days, base case 2.34 days</w:t>
            </w:r>
          </w:p>
        </w:tc>
        <w:tc>
          <w:tcPr>
            <w:tcW w:w="1014" w:type="dxa"/>
            <w:tcBorders>
              <w:left w:val="nil"/>
              <w:right w:val="nil"/>
            </w:tcBorders>
            <w:shd w:val="clear" w:color="auto" w:fill="auto"/>
            <w:noWrap/>
            <w:vAlign w:val="bottom"/>
            <w:hideMark/>
          </w:tcPr>
          <w:p w14:paraId="0267613C" w14:textId="77777777" w:rsidR="00CD0165" w:rsidRPr="00BB0771" w:rsidRDefault="00CD0165" w:rsidP="00AE5C81">
            <w:pPr>
              <w:spacing w:before="0" w:after="0"/>
              <w:rPr>
                <w:rFonts w:ascii="Arial Narrow" w:hAnsi="Arial Narrow" w:cs="Calibri"/>
                <w:i/>
                <w:color w:val="000000"/>
              </w:rPr>
            </w:pPr>
          </w:p>
        </w:tc>
        <w:tc>
          <w:tcPr>
            <w:tcW w:w="1128" w:type="dxa"/>
            <w:tcBorders>
              <w:left w:val="nil"/>
              <w:right w:val="nil"/>
            </w:tcBorders>
            <w:shd w:val="clear" w:color="auto" w:fill="auto"/>
            <w:noWrap/>
            <w:vAlign w:val="bottom"/>
            <w:hideMark/>
          </w:tcPr>
          <w:p w14:paraId="5309FD1C" w14:textId="77777777" w:rsidR="00CD0165" w:rsidRPr="00BB0771" w:rsidRDefault="00CD0165" w:rsidP="00AE5C81">
            <w:pPr>
              <w:spacing w:before="0" w:after="0"/>
              <w:rPr>
                <w:rFonts w:ascii="Arial Narrow" w:hAnsi="Arial Narrow"/>
                <w:i/>
              </w:rPr>
            </w:pPr>
          </w:p>
        </w:tc>
        <w:tc>
          <w:tcPr>
            <w:tcW w:w="1202" w:type="dxa"/>
            <w:tcBorders>
              <w:left w:val="nil"/>
              <w:right w:val="nil"/>
            </w:tcBorders>
            <w:shd w:val="clear" w:color="auto" w:fill="auto"/>
            <w:noWrap/>
            <w:vAlign w:val="bottom"/>
            <w:hideMark/>
          </w:tcPr>
          <w:p w14:paraId="413FEB7F" w14:textId="77777777" w:rsidR="00CD0165" w:rsidRPr="005B0CB6" w:rsidRDefault="00CD0165" w:rsidP="00AE5C81">
            <w:pPr>
              <w:spacing w:before="0" w:after="0"/>
              <w:rPr>
                <w:rFonts w:ascii="Arial Narrow" w:hAnsi="Arial Narrow"/>
                <w:i/>
              </w:rPr>
            </w:pPr>
          </w:p>
        </w:tc>
        <w:tc>
          <w:tcPr>
            <w:tcW w:w="1022" w:type="dxa"/>
            <w:tcBorders>
              <w:left w:val="nil"/>
            </w:tcBorders>
            <w:shd w:val="clear" w:color="auto" w:fill="auto"/>
            <w:noWrap/>
            <w:vAlign w:val="bottom"/>
            <w:hideMark/>
          </w:tcPr>
          <w:p w14:paraId="4C3A4D30" w14:textId="77777777" w:rsidR="00CD0165" w:rsidRPr="005B0CB6" w:rsidRDefault="00CD0165" w:rsidP="00AE5C81">
            <w:pPr>
              <w:spacing w:before="0" w:after="0"/>
              <w:rPr>
                <w:rFonts w:ascii="Arial Narrow" w:hAnsi="Arial Narrow" w:cs="Calibri"/>
                <w:i/>
                <w:color w:val="000000"/>
              </w:rPr>
            </w:pPr>
            <w:r w:rsidRPr="005B0CB6">
              <w:rPr>
                <w:rFonts w:ascii="Arial Narrow" w:hAnsi="Arial Narrow" w:cs="Calibri"/>
                <w:i/>
                <w:color w:val="000000"/>
              </w:rPr>
              <w:t> </w:t>
            </w:r>
          </w:p>
        </w:tc>
      </w:tr>
      <w:tr w:rsidR="00CD0165" w:rsidRPr="00BB0771" w14:paraId="6590E2B2" w14:textId="77777777" w:rsidTr="00BA319D">
        <w:trPr>
          <w:trHeight w:val="255"/>
        </w:trPr>
        <w:tc>
          <w:tcPr>
            <w:tcW w:w="3215" w:type="dxa"/>
            <w:tcBorders>
              <w:bottom w:val="single" w:sz="4" w:space="0" w:color="auto"/>
            </w:tcBorders>
            <w:shd w:val="clear" w:color="auto" w:fill="auto"/>
            <w:noWrap/>
            <w:vAlign w:val="bottom"/>
            <w:hideMark/>
          </w:tcPr>
          <w:p w14:paraId="44E58F57" w14:textId="6F59D9ED"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r w:rsidR="00AF7A49" w:rsidRPr="00BB0771">
              <w:rPr>
                <w:rFonts w:ascii="Arial Narrow" w:hAnsi="Arial Narrow" w:cs="Calibri"/>
                <w:color w:val="000000"/>
              </w:rPr>
              <w:t> </w:t>
            </w:r>
            <w:r w:rsidR="00AF7A49">
              <w:rPr>
                <w:rFonts w:ascii="Arial Narrow" w:hAnsi="Arial Narrow" w:cs="Calibri"/>
                <w:color w:val="000000"/>
              </w:rPr>
              <w:t>Incremental cost</w:t>
            </w:r>
          </w:p>
        </w:tc>
        <w:tc>
          <w:tcPr>
            <w:tcW w:w="1120" w:type="dxa"/>
            <w:tcBorders>
              <w:bottom w:val="single" w:sz="4" w:space="0" w:color="auto"/>
            </w:tcBorders>
            <w:shd w:val="clear" w:color="auto" w:fill="auto"/>
            <w:noWrap/>
            <w:vAlign w:val="bottom"/>
            <w:hideMark/>
          </w:tcPr>
          <w:p w14:paraId="35B8E189"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$1,624</w:t>
            </w:r>
          </w:p>
        </w:tc>
        <w:tc>
          <w:tcPr>
            <w:tcW w:w="1014" w:type="dxa"/>
            <w:tcBorders>
              <w:bottom w:val="single" w:sz="4" w:space="0" w:color="auto"/>
            </w:tcBorders>
            <w:shd w:val="clear" w:color="auto" w:fill="auto"/>
            <w:noWrap/>
            <w:vAlign w:val="bottom"/>
            <w:hideMark/>
          </w:tcPr>
          <w:p w14:paraId="10B111F3"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$2,481</w:t>
            </w:r>
          </w:p>
        </w:tc>
        <w:tc>
          <w:tcPr>
            <w:tcW w:w="1128" w:type="dxa"/>
            <w:tcBorders>
              <w:bottom w:val="single" w:sz="4" w:space="0" w:color="auto"/>
            </w:tcBorders>
            <w:shd w:val="clear" w:color="auto" w:fill="auto"/>
            <w:noWrap/>
            <w:vAlign w:val="bottom"/>
            <w:hideMark/>
          </w:tcPr>
          <w:p w14:paraId="740A4E32" w14:textId="77777777" w:rsidR="00CD0165" w:rsidRPr="00BB0771" w:rsidRDefault="00CD0165" w:rsidP="00AE5C81">
            <w:pPr>
              <w:spacing w:before="0" w:after="0"/>
              <w:jc w:val="right"/>
              <w:rPr>
                <w:rFonts w:ascii="Arial Narrow" w:hAnsi="Arial Narrow" w:cs="Calibri"/>
                <w:color w:val="000000"/>
              </w:rPr>
            </w:pPr>
            <w:r>
              <w:rPr>
                <w:rFonts w:ascii="Arial Narrow" w:hAnsi="Arial Narrow" w:cs="Calibri"/>
                <w:color w:val="000000"/>
              </w:rPr>
              <w:t>–</w:t>
            </w:r>
            <w:r w:rsidRPr="00BB0771">
              <w:rPr>
                <w:rFonts w:ascii="Arial Narrow" w:hAnsi="Arial Narrow" w:cs="Calibri"/>
                <w:color w:val="000000"/>
              </w:rPr>
              <w:t>$3,971</w:t>
            </w:r>
          </w:p>
        </w:tc>
        <w:tc>
          <w:tcPr>
            <w:tcW w:w="1202" w:type="dxa"/>
            <w:tcBorders>
              <w:bottom w:val="single" w:sz="4" w:space="0" w:color="auto"/>
            </w:tcBorders>
            <w:shd w:val="clear" w:color="auto" w:fill="auto"/>
            <w:noWrap/>
            <w:vAlign w:val="bottom"/>
            <w:hideMark/>
          </w:tcPr>
          <w:p w14:paraId="4A66D9D6" w14:textId="16E398FF" w:rsidR="00CD0165" w:rsidRPr="005B0CB6" w:rsidRDefault="00CD0165" w:rsidP="00AE5C81">
            <w:pPr>
              <w:spacing w:before="0" w:after="0"/>
              <w:jc w:val="right"/>
              <w:rPr>
                <w:rFonts w:ascii="Arial Narrow" w:hAnsi="Arial Narrow" w:cs="Calibri"/>
                <w:color w:val="000000"/>
              </w:rPr>
            </w:pPr>
            <w:r w:rsidRPr="005B0CB6">
              <w:rPr>
                <w:rFonts w:ascii="Arial Narrow" w:hAnsi="Arial Narrow" w:cs="Calibri"/>
                <w:color w:val="000000"/>
              </w:rPr>
              <w:t>–$</w:t>
            </w:r>
            <w:r w:rsidR="00CF6AD4" w:rsidRPr="00CF6AD4">
              <w:rPr>
                <w:rFonts w:ascii="Arial Narrow" w:hAnsi="Arial Narrow" w:cs="Calibri"/>
                <w:color w:val="000000"/>
                <w:shd w:val="solid" w:color="000000" w:fill="000000"/>
                <w14:textFill>
                  <w14:solidFill>
                    <w14:srgbClr w14:val="000000">
                      <w14:alpha w14:val="100000"/>
                    </w14:srgbClr>
                  </w14:solidFill>
                </w14:textFill>
              </w:rPr>
              <w:t>|</w:t>
            </w:r>
          </w:p>
        </w:tc>
        <w:tc>
          <w:tcPr>
            <w:tcW w:w="1022" w:type="dxa"/>
            <w:tcBorders>
              <w:bottom w:val="single" w:sz="4" w:space="0" w:color="auto"/>
            </w:tcBorders>
            <w:shd w:val="clear" w:color="auto" w:fill="auto"/>
            <w:noWrap/>
            <w:vAlign w:val="bottom"/>
            <w:hideMark/>
          </w:tcPr>
          <w:p w14:paraId="66BFC261" w14:textId="2836A948" w:rsidR="00CD0165" w:rsidRPr="005B0CB6" w:rsidRDefault="00CD0165" w:rsidP="00AE5C81">
            <w:pPr>
              <w:spacing w:before="0" w:after="0"/>
              <w:jc w:val="right"/>
              <w:rPr>
                <w:rFonts w:ascii="Arial Narrow" w:hAnsi="Arial Narrow" w:cs="Calibri"/>
                <w:color w:val="000000"/>
              </w:rPr>
            </w:pPr>
            <w:r w:rsidRPr="005B0CB6">
              <w:rPr>
                <w:rFonts w:ascii="Arial Narrow" w:hAnsi="Arial Narrow" w:cs="Calibri"/>
                <w:color w:val="000000"/>
              </w:rPr>
              <w:t>–$</w:t>
            </w:r>
            <w:r w:rsidR="00CF6AD4" w:rsidRPr="00CF6AD4">
              <w:rPr>
                <w:rFonts w:ascii="Arial Narrow" w:hAnsi="Arial Narrow" w:cs="Calibri" w:hint="eastAsia"/>
                <w:color w:val="000000"/>
                <w:w w:val="32"/>
                <w:shd w:val="solid" w:color="000000" w:fill="000000"/>
                <w:fitText w:val="146" w:id="-1455741424"/>
                <w14:textFill>
                  <w14:solidFill>
                    <w14:srgbClr w14:val="000000">
                      <w14:alpha w14:val="100000"/>
                    </w14:srgbClr>
                  </w14:solidFill>
                </w14:textFill>
              </w:rPr>
              <w:t xml:space="preserve">　</w:t>
            </w:r>
            <w:r w:rsidR="00CF6AD4" w:rsidRPr="00CF6AD4">
              <w:rPr>
                <w:rFonts w:ascii="Arial Narrow" w:hAnsi="Arial Narrow" w:cs="Calibri"/>
                <w:color w:val="000000"/>
                <w:w w:val="32"/>
                <w:shd w:val="solid" w:color="000000" w:fill="000000"/>
                <w:fitText w:val="146" w:id="-1455741424"/>
                <w14:textFill>
                  <w14:solidFill>
                    <w14:srgbClr w14:val="000000">
                      <w14:alpha w14:val="100000"/>
                    </w14:srgbClr>
                  </w14:solidFill>
                </w14:textFill>
              </w:rPr>
              <w:t>|</w:t>
            </w:r>
            <w:r w:rsidR="00CF6AD4" w:rsidRPr="00CF6AD4">
              <w:rPr>
                <w:rFonts w:ascii="Arial Narrow" w:hAnsi="Arial Narrow" w:cs="Calibri" w:hint="eastAsia"/>
                <w:color w:val="000000"/>
                <w:spacing w:val="7"/>
                <w:w w:val="32"/>
                <w:shd w:val="solid" w:color="000000" w:fill="000000"/>
                <w:fitText w:val="146" w:id="-1455741424"/>
                <w14:textFill>
                  <w14:solidFill>
                    <w14:srgbClr w14:val="000000">
                      <w14:alpha w14:val="100000"/>
                    </w14:srgbClr>
                  </w14:solidFill>
                </w14:textFill>
              </w:rPr>
              <w:t xml:space="preserve">　</w:t>
            </w:r>
          </w:p>
        </w:tc>
      </w:tr>
      <w:tr w:rsidR="00CD0165" w:rsidRPr="00BB0771" w14:paraId="6C9B5127" w14:textId="77777777" w:rsidTr="00BA319D">
        <w:trPr>
          <w:trHeight w:val="300"/>
        </w:trPr>
        <w:tc>
          <w:tcPr>
            <w:tcW w:w="5349" w:type="dxa"/>
            <w:gridSpan w:val="3"/>
            <w:tcBorders>
              <w:right w:val="nil"/>
            </w:tcBorders>
            <w:shd w:val="clear" w:color="auto" w:fill="auto"/>
            <w:noWrap/>
            <w:vAlign w:val="bottom"/>
            <w:hideMark/>
          </w:tcPr>
          <w:p w14:paraId="37209133" w14:textId="77777777" w:rsidR="00CD0165" w:rsidRPr="00BB0771" w:rsidRDefault="00CD0165" w:rsidP="00AE5C81">
            <w:pPr>
              <w:spacing w:before="0" w:after="0"/>
              <w:rPr>
                <w:rFonts w:ascii="Arial Narrow" w:hAnsi="Arial Narrow" w:cs="Calibri"/>
                <w:i/>
                <w:color w:val="000000"/>
              </w:rPr>
            </w:pPr>
            <w:r w:rsidRPr="00BB0771">
              <w:rPr>
                <w:rFonts w:ascii="Arial Narrow" w:hAnsi="Arial Narrow" w:cs="Calibri"/>
                <w:i/>
                <w:color w:val="000000"/>
              </w:rPr>
              <w:t>Capital cost per procedure for VLAP: $839; base case $372</w:t>
            </w:r>
          </w:p>
        </w:tc>
        <w:tc>
          <w:tcPr>
            <w:tcW w:w="1128" w:type="dxa"/>
            <w:tcBorders>
              <w:left w:val="nil"/>
              <w:right w:val="nil"/>
            </w:tcBorders>
            <w:shd w:val="clear" w:color="auto" w:fill="auto"/>
            <w:noWrap/>
            <w:vAlign w:val="bottom"/>
            <w:hideMark/>
          </w:tcPr>
          <w:p w14:paraId="776F187B" w14:textId="77777777" w:rsidR="00CD0165" w:rsidRPr="00BB0771" w:rsidRDefault="00CD0165" w:rsidP="00AE5C81">
            <w:pPr>
              <w:spacing w:before="0" w:after="0"/>
              <w:rPr>
                <w:rFonts w:ascii="Arial Narrow" w:hAnsi="Arial Narrow" w:cs="Calibri"/>
                <w:i/>
                <w:color w:val="000000"/>
              </w:rPr>
            </w:pPr>
          </w:p>
        </w:tc>
        <w:tc>
          <w:tcPr>
            <w:tcW w:w="1202" w:type="dxa"/>
            <w:tcBorders>
              <w:left w:val="nil"/>
              <w:right w:val="nil"/>
            </w:tcBorders>
            <w:shd w:val="clear" w:color="auto" w:fill="auto"/>
            <w:noWrap/>
            <w:vAlign w:val="bottom"/>
            <w:hideMark/>
          </w:tcPr>
          <w:p w14:paraId="7C0B2768" w14:textId="77777777" w:rsidR="00CD0165" w:rsidRPr="005B0CB6" w:rsidRDefault="00CD0165" w:rsidP="00AE5C81">
            <w:pPr>
              <w:spacing w:before="0" w:after="0"/>
              <w:rPr>
                <w:rFonts w:ascii="Arial Narrow" w:hAnsi="Arial Narrow"/>
                <w:i/>
              </w:rPr>
            </w:pPr>
          </w:p>
        </w:tc>
        <w:tc>
          <w:tcPr>
            <w:tcW w:w="1022" w:type="dxa"/>
            <w:tcBorders>
              <w:left w:val="nil"/>
            </w:tcBorders>
            <w:shd w:val="clear" w:color="auto" w:fill="auto"/>
            <w:noWrap/>
            <w:vAlign w:val="bottom"/>
            <w:hideMark/>
          </w:tcPr>
          <w:p w14:paraId="52F3C361" w14:textId="77777777" w:rsidR="00CD0165" w:rsidRPr="005B0CB6" w:rsidRDefault="00CD0165" w:rsidP="00AE5C81">
            <w:pPr>
              <w:spacing w:before="0" w:after="0"/>
              <w:rPr>
                <w:rFonts w:ascii="Arial Narrow" w:hAnsi="Arial Narrow" w:cs="Calibri"/>
                <w:i/>
                <w:color w:val="000000"/>
              </w:rPr>
            </w:pPr>
            <w:r w:rsidRPr="005B0CB6">
              <w:rPr>
                <w:rFonts w:ascii="Arial Narrow" w:hAnsi="Arial Narrow" w:cs="Calibri"/>
                <w:i/>
                <w:color w:val="000000"/>
              </w:rPr>
              <w:t> </w:t>
            </w:r>
          </w:p>
        </w:tc>
      </w:tr>
      <w:tr w:rsidR="00CD0165" w:rsidRPr="00BB0771" w14:paraId="48F87B63" w14:textId="77777777" w:rsidTr="00BA319D">
        <w:trPr>
          <w:trHeight w:val="300"/>
        </w:trPr>
        <w:tc>
          <w:tcPr>
            <w:tcW w:w="3215" w:type="dxa"/>
            <w:tcBorders>
              <w:bottom w:val="single" w:sz="4" w:space="0" w:color="auto"/>
            </w:tcBorders>
            <w:shd w:val="clear" w:color="auto" w:fill="auto"/>
            <w:noWrap/>
            <w:vAlign w:val="bottom"/>
            <w:hideMark/>
          </w:tcPr>
          <w:p w14:paraId="1D853B1C" w14:textId="6E9430A2"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r w:rsidR="00AF7A49" w:rsidRPr="00BB0771">
              <w:rPr>
                <w:rFonts w:ascii="Arial Narrow" w:hAnsi="Arial Narrow" w:cs="Calibri"/>
                <w:color w:val="000000"/>
              </w:rPr>
              <w:t> </w:t>
            </w:r>
            <w:r w:rsidR="00AF7A49">
              <w:rPr>
                <w:rFonts w:ascii="Arial Narrow" w:hAnsi="Arial Narrow" w:cs="Calibri"/>
                <w:color w:val="000000"/>
              </w:rPr>
              <w:t>Incremental cost</w:t>
            </w:r>
          </w:p>
        </w:tc>
        <w:tc>
          <w:tcPr>
            <w:tcW w:w="1120" w:type="dxa"/>
            <w:tcBorders>
              <w:bottom w:val="single" w:sz="4" w:space="0" w:color="auto"/>
            </w:tcBorders>
            <w:shd w:val="clear" w:color="000000" w:fill="E7E6E6"/>
            <w:noWrap/>
            <w:vAlign w:val="bottom"/>
            <w:hideMark/>
          </w:tcPr>
          <w:p w14:paraId="1B39510E" w14:textId="77777777"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p>
        </w:tc>
        <w:tc>
          <w:tcPr>
            <w:tcW w:w="1014" w:type="dxa"/>
            <w:tcBorders>
              <w:bottom w:val="single" w:sz="4" w:space="0" w:color="auto"/>
            </w:tcBorders>
            <w:shd w:val="clear" w:color="000000" w:fill="E7E6E6"/>
            <w:noWrap/>
            <w:vAlign w:val="bottom"/>
            <w:hideMark/>
          </w:tcPr>
          <w:p w14:paraId="00E73C30" w14:textId="77777777"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p>
        </w:tc>
        <w:tc>
          <w:tcPr>
            <w:tcW w:w="1128" w:type="dxa"/>
            <w:tcBorders>
              <w:bottom w:val="single" w:sz="4" w:space="0" w:color="auto"/>
            </w:tcBorders>
            <w:shd w:val="clear" w:color="000000" w:fill="E7E6E6"/>
            <w:noWrap/>
            <w:vAlign w:val="bottom"/>
            <w:hideMark/>
          </w:tcPr>
          <w:p w14:paraId="41FCB675" w14:textId="77777777" w:rsidR="00CD0165" w:rsidRPr="00BB0771" w:rsidRDefault="00CD0165" w:rsidP="00AE5C81">
            <w:pPr>
              <w:spacing w:before="0" w:after="0"/>
              <w:rPr>
                <w:rFonts w:ascii="Arial Narrow" w:hAnsi="Arial Narrow" w:cs="Calibri"/>
                <w:color w:val="000000"/>
              </w:rPr>
            </w:pPr>
            <w:r w:rsidRPr="00BB0771">
              <w:rPr>
                <w:rFonts w:ascii="Arial Narrow" w:hAnsi="Arial Narrow" w:cs="Calibri"/>
                <w:color w:val="000000"/>
              </w:rPr>
              <w:t> </w:t>
            </w:r>
          </w:p>
        </w:tc>
        <w:tc>
          <w:tcPr>
            <w:tcW w:w="1202" w:type="dxa"/>
            <w:tcBorders>
              <w:bottom w:val="single" w:sz="4" w:space="0" w:color="auto"/>
            </w:tcBorders>
            <w:shd w:val="clear" w:color="000000" w:fill="E7E6E6"/>
            <w:noWrap/>
            <w:vAlign w:val="bottom"/>
            <w:hideMark/>
          </w:tcPr>
          <w:p w14:paraId="16F0891D" w14:textId="77777777" w:rsidR="00CD0165" w:rsidRPr="005B0CB6" w:rsidRDefault="00CD0165" w:rsidP="00AE5C81">
            <w:pPr>
              <w:spacing w:before="0" w:after="0"/>
              <w:rPr>
                <w:rFonts w:ascii="Arial Narrow" w:hAnsi="Arial Narrow" w:cs="Calibri"/>
                <w:color w:val="000000"/>
              </w:rPr>
            </w:pPr>
            <w:r w:rsidRPr="005B0CB6">
              <w:rPr>
                <w:rFonts w:ascii="Arial Narrow" w:hAnsi="Arial Narrow" w:cs="Calibri"/>
                <w:color w:val="000000"/>
              </w:rPr>
              <w:t> </w:t>
            </w:r>
          </w:p>
        </w:tc>
        <w:tc>
          <w:tcPr>
            <w:tcW w:w="1022" w:type="dxa"/>
            <w:tcBorders>
              <w:bottom w:val="single" w:sz="4" w:space="0" w:color="auto"/>
            </w:tcBorders>
            <w:shd w:val="clear" w:color="auto" w:fill="auto"/>
            <w:noWrap/>
            <w:vAlign w:val="bottom"/>
            <w:hideMark/>
          </w:tcPr>
          <w:p w14:paraId="24C8DDFA" w14:textId="41855260" w:rsidR="00CD0165" w:rsidRPr="005B0CB6" w:rsidRDefault="00CD0165" w:rsidP="00AE5C81">
            <w:pPr>
              <w:spacing w:before="0" w:after="0"/>
              <w:jc w:val="right"/>
              <w:rPr>
                <w:rFonts w:ascii="Arial Narrow" w:hAnsi="Arial Narrow" w:cs="Calibri"/>
                <w:color w:val="000000"/>
              </w:rPr>
            </w:pPr>
            <w:r w:rsidRPr="005B0CB6">
              <w:rPr>
                <w:rFonts w:ascii="Arial Narrow" w:hAnsi="Arial Narrow" w:cs="Calibri"/>
                <w:color w:val="000000"/>
              </w:rPr>
              <w:t>$</w:t>
            </w:r>
            <w:r w:rsidR="00CF6AD4" w:rsidRPr="00CF6AD4">
              <w:rPr>
                <w:rFonts w:ascii="Arial Narrow" w:hAnsi="Arial Narrow" w:cs="Calibri" w:hint="eastAsia"/>
                <w:color w:val="000000"/>
                <w:w w:val="15"/>
                <w:shd w:val="solid" w:color="000000" w:fill="000000"/>
                <w:fitText w:val="55" w:id="-1455741440"/>
                <w14:textFill>
                  <w14:solidFill>
                    <w14:srgbClr w14:val="000000">
                      <w14:alpha w14:val="100000"/>
                    </w14:srgbClr>
                  </w14:solidFill>
                </w14:textFill>
              </w:rPr>
              <w:t xml:space="preserve">　</w:t>
            </w:r>
            <w:r w:rsidR="00CF6AD4" w:rsidRPr="00CF6AD4">
              <w:rPr>
                <w:rFonts w:ascii="Arial Narrow" w:hAnsi="Arial Narrow" w:cs="Calibri"/>
                <w:color w:val="000000"/>
                <w:w w:val="15"/>
                <w:shd w:val="solid" w:color="000000" w:fill="000000"/>
                <w:fitText w:val="55" w:id="-1455741440"/>
                <w14:textFill>
                  <w14:solidFill>
                    <w14:srgbClr w14:val="000000">
                      <w14:alpha w14:val="100000"/>
                    </w14:srgbClr>
                  </w14:solidFill>
                </w14:textFill>
              </w:rPr>
              <w:t>|</w:t>
            </w:r>
            <w:r w:rsidR="00CF6AD4" w:rsidRPr="00CF6AD4">
              <w:rPr>
                <w:rFonts w:ascii="Arial Narrow" w:hAnsi="Arial Narrow" w:cs="Calibri" w:hint="eastAsia"/>
                <w:color w:val="000000"/>
                <w:spacing w:val="-10"/>
                <w:w w:val="15"/>
                <w:shd w:val="solid" w:color="000000" w:fill="000000"/>
                <w:fitText w:val="55" w:id="-1455741440"/>
                <w14:textFill>
                  <w14:solidFill>
                    <w14:srgbClr w14:val="000000">
                      <w14:alpha w14:val="100000"/>
                    </w14:srgbClr>
                  </w14:solidFill>
                </w14:textFill>
              </w:rPr>
              <w:t xml:space="preserve">　</w:t>
            </w:r>
          </w:p>
        </w:tc>
      </w:tr>
    </w:tbl>
    <w:p w14:paraId="2142E917" w14:textId="77777777" w:rsidR="009521E7" w:rsidRDefault="009521E7" w:rsidP="00BA319D">
      <w:pPr>
        <w:pStyle w:val="Tablenotes0"/>
      </w:pPr>
      <w:r>
        <w:t xml:space="preserve">Source: Table 12, </w:t>
      </w:r>
      <w:proofErr w:type="spellStart"/>
      <w:r>
        <w:t>pg</w:t>
      </w:r>
      <w:proofErr w:type="spellEnd"/>
      <w:r>
        <w:t xml:space="preserve"> 21 of MSAC 1697 DCAR</w:t>
      </w:r>
    </w:p>
    <w:p w14:paraId="41EF407F" w14:textId="3542FAE3" w:rsidR="0027653D" w:rsidRDefault="009521E7" w:rsidP="00BA319D">
      <w:pPr>
        <w:pStyle w:val="Tablenotes0"/>
        <w:rPr>
          <w:iCs/>
        </w:rPr>
      </w:pPr>
      <w:r>
        <w:t xml:space="preserve">Abbreviations: </w:t>
      </w:r>
      <w:proofErr w:type="spellStart"/>
      <w:r w:rsidR="0027653D">
        <w:t>ALoS</w:t>
      </w:r>
      <w:proofErr w:type="spellEnd"/>
      <w:r w:rsidR="0027653D">
        <w:t xml:space="preserve"> = average length of stay; BPH = benign prostatic hyperplasia; </w:t>
      </w:r>
      <w:r w:rsidR="0027653D" w:rsidRPr="0015334F">
        <w:t>EEP = endoscopic enucleation of the prostate;</w:t>
      </w:r>
      <w:r w:rsidR="0027653D">
        <w:t xml:space="preserve"> LUTS = </w:t>
      </w:r>
      <w:r w:rsidR="0027653D" w:rsidRPr="009D6007">
        <w:rPr>
          <w:rFonts w:cs="Calibri"/>
          <w:color w:val="000000"/>
          <w:szCs w:val="18"/>
          <w:lang w:eastAsia="en-AU"/>
        </w:rPr>
        <w:t>Lower Urinary Tract Symptoms</w:t>
      </w:r>
      <w:r w:rsidR="0027653D">
        <w:rPr>
          <w:rFonts w:cs="Calibri"/>
          <w:color w:val="000000"/>
          <w:sz w:val="20"/>
          <w:lang w:eastAsia="en-AU"/>
        </w:rPr>
        <w:t xml:space="preserve">; </w:t>
      </w:r>
      <w:r w:rsidR="0027653D">
        <w:t>MBS = Medicare Benefits Schedule;</w:t>
      </w:r>
      <w:r w:rsidR="0027653D">
        <w:rPr>
          <w:color w:val="258221"/>
        </w:rPr>
        <w:t xml:space="preserve"> </w:t>
      </w:r>
      <w:r w:rsidR="0027653D">
        <w:t xml:space="preserve">MSAC = Medical Services Advisory Committee; </w:t>
      </w:r>
      <w:r w:rsidR="0027653D" w:rsidRPr="00FA2DC7">
        <w:t>NICE = The National Institute for Health and Care Excellence</w:t>
      </w:r>
      <w:r w:rsidR="0027653D">
        <w:rPr>
          <w:color w:val="258221"/>
        </w:rPr>
        <w:t xml:space="preserve">; </w:t>
      </w:r>
      <w:r w:rsidR="0027653D">
        <w:t xml:space="preserve">PUL = prostatic urethral lift; TUMT = transurethral microwave thermotherapy; TURP = transurethral resection of the prostate; TUWA = </w:t>
      </w:r>
      <w:r w:rsidR="0027653D">
        <w:rPr>
          <w:iCs/>
        </w:rPr>
        <w:t xml:space="preserve">transurethral water vapour ablation; </w:t>
      </w:r>
      <w:r w:rsidR="0027653D">
        <w:t xml:space="preserve">VLAP = </w:t>
      </w:r>
      <w:r w:rsidR="0027653D">
        <w:rPr>
          <w:iCs/>
        </w:rPr>
        <w:t>visual laser ablation of the prostate.</w:t>
      </w:r>
    </w:p>
    <w:p w14:paraId="128A1671" w14:textId="77777777" w:rsidR="0027653D" w:rsidRPr="00710582" w:rsidRDefault="0027653D" w:rsidP="00BA319D">
      <w:pPr>
        <w:pStyle w:val="Tablenotes0"/>
        <w:rPr>
          <w:iCs/>
        </w:rPr>
      </w:pPr>
      <w:r w:rsidRPr="00710582">
        <w:rPr>
          <w:iCs/>
        </w:rPr>
        <w:t>Note: Shaded cells represent sensitivity analyses not applicable to the procedure.</w:t>
      </w:r>
    </w:p>
    <w:p w14:paraId="3795BDB6" w14:textId="693AE3E2" w:rsidR="006E1850" w:rsidRDefault="006E1850" w:rsidP="00792251">
      <w:r>
        <w:t xml:space="preserve">Sensitivity analyses were performed to estimate the impact of varying incremental health outcomes, using the 95% confidence limits </w:t>
      </w:r>
      <w:r w:rsidRPr="000F29FD">
        <w:t xml:space="preserve">presented </w:t>
      </w:r>
      <w:r w:rsidR="000F29FD" w:rsidRPr="000F29FD">
        <w:t>in Table 10</w:t>
      </w:r>
      <w:r w:rsidRPr="000F29FD">
        <w:t>, on the incremental</w:t>
      </w:r>
      <w:r>
        <w:t xml:space="preserve"> cost-effectiveness of BPH interventions compared with TURP. </w:t>
      </w:r>
      <w:r w:rsidR="001672B7">
        <w:t xml:space="preserve">Base case incremental costs were used for these analyses. </w:t>
      </w:r>
      <w:r w:rsidR="00E47A6C">
        <w:t>F</w:t>
      </w:r>
      <w:r w:rsidR="00E47A6C" w:rsidRPr="00E47A6C">
        <w:t>or interventions where outcomes were statistically significant</w:t>
      </w:r>
      <w:r w:rsidR="00E47A6C">
        <w:t xml:space="preserve"> (EEP)</w:t>
      </w:r>
      <w:r w:rsidR="00E47A6C" w:rsidRPr="00E47A6C">
        <w:t>, the conclusion of cost effectiveness does not change when the upper and lower 95%</w:t>
      </w:r>
      <w:r w:rsidR="00E47A6C">
        <w:t xml:space="preserve"> </w:t>
      </w:r>
      <w:r w:rsidR="00E47A6C" w:rsidRPr="00E47A6C">
        <w:t>CI are used</w:t>
      </w:r>
      <w:r w:rsidR="00E47A6C">
        <w:t xml:space="preserve">. </w:t>
      </w:r>
    </w:p>
    <w:p w14:paraId="5391AFE7" w14:textId="70EE6716" w:rsidR="00F100C5" w:rsidRDefault="00792251" w:rsidP="00792251">
      <w:r>
        <w:t>The largest cost components across the interventions and TURP related to length of hospital stay. Estimates of hospital stay are largely derived from observational data where patient selection into different procedures may confound length of stay, and therefore, overall hospital costs.</w:t>
      </w:r>
      <w:r w:rsidR="000C49FD">
        <w:t xml:space="preserve"> </w:t>
      </w:r>
      <w:r>
        <w:t>However, varying length of stay for TURP patients in sensitivity analyses did not result in either TUWA or EEP becoming more costly.</w:t>
      </w:r>
      <w:r w:rsidR="00F100C5">
        <w:t xml:space="preserve"> </w:t>
      </w:r>
    </w:p>
    <w:p w14:paraId="34ADF6FB" w14:textId="3C6D3267" w:rsidR="00792251" w:rsidRDefault="00F100C5" w:rsidP="00792251">
      <w:r>
        <w:t xml:space="preserve">PUL is cost saving in the base case. However, it is dominated by TURP (more costly and less effective) when the fee of PUL is set equivalent to TURP (proposed fee in MSAC Application 1612) or when the number of implants used in the PUL treatment </w:t>
      </w:r>
      <w:r w:rsidR="00641ACC">
        <w:t xml:space="preserve">is </w:t>
      </w:r>
      <w:r>
        <w:t xml:space="preserve">higher than 4.7. </w:t>
      </w:r>
    </w:p>
    <w:p w14:paraId="6ABDCBCF" w14:textId="10E8B974" w:rsidR="00792251" w:rsidRDefault="00792251" w:rsidP="00792251">
      <w:r>
        <w:t>In terms of achieved health outcomes, most procedures appeared to be similar, although PUL and TUWA may have had marginally poorer urinary symptom outcomes, and EEP may have had marginally better urinary symptom outcomes. Of note is that PUL may be associated with reduced incidence of erectile dysfunction.</w:t>
      </w:r>
    </w:p>
    <w:p w14:paraId="4C3CDB78" w14:textId="269820C0" w:rsidR="00792251" w:rsidRPr="008C160F" w:rsidRDefault="00792251" w:rsidP="008D44D0">
      <w:r>
        <w:t xml:space="preserve">The base case analysis indicated that TURP was the </w:t>
      </w:r>
      <w:proofErr w:type="gramStart"/>
      <w:r>
        <w:t>most costly</w:t>
      </w:r>
      <w:proofErr w:type="gramEnd"/>
      <w:r>
        <w:t xml:space="preserve"> option for treating BPH. However, the difference in costs between TURP, VLAP and PUL were small, and likely within the boundaries of uncertainty in the analysis. Cost differences were more favourable for TUWA, TUMT </w:t>
      </w:r>
      <w:r>
        <w:lastRenderedPageBreak/>
        <w:t>and EEP. However, the costing for TUMT is incomplete (does not include consumables or capital costs), and the cost-consequences is therefore difficult to interpret.</w:t>
      </w:r>
    </w:p>
    <w:p w14:paraId="1CCDF02E" w14:textId="1355281C" w:rsidR="008C160F" w:rsidRDefault="00C36633" w:rsidP="008C160F">
      <w:pPr>
        <w:pStyle w:val="Heading2"/>
        <w:numPr>
          <w:ilvl w:val="0"/>
          <w:numId w:val="0"/>
        </w:numPr>
      </w:pPr>
      <w:bookmarkStart w:id="38" w:name="_Toc100150281"/>
      <w:r>
        <w:t>1</w:t>
      </w:r>
      <w:r w:rsidR="002811D5">
        <w:t>4</w:t>
      </w:r>
      <w:r>
        <w:t>.</w:t>
      </w:r>
      <w:r>
        <w:tab/>
      </w:r>
      <w:r w:rsidR="00772829" w:rsidRPr="00CE28E3">
        <w:t>Financial/budgetary impacts</w:t>
      </w:r>
      <w:bookmarkEnd w:id="38"/>
    </w:p>
    <w:p w14:paraId="79DD3451" w14:textId="540641DC" w:rsidR="008C160F" w:rsidRPr="008C160F" w:rsidRDefault="003F58E6" w:rsidP="008C160F">
      <w:r>
        <w:t xml:space="preserve">Not requested as part of the terms of reference for </w:t>
      </w:r>
      <w:r w:rsidR="008501C7">
        <w:t>the assessment.</w:t>
      </w:r>
      <w:r w:rsidR="00D16E08">
        <w:t xml:space="preserve"> </w:t>
      </w:r>
    </w:p>
    <w:p w14:paraId="7838A9FF" w14:textId="5AA1FD53" w:rsidR="00772829" w:rsidRPr="00CE28E3" w:rsidRDefault="00C36633" w:rsidP="002A18BE">
      <w:pPr>
        <w:pStyle w:val="Heading2"/>
        <w:numPr>
          <w:ilvl w:val="0"/>
          <w:numId w:val="0"/>
        </w:numPr>
      </w:pPr>
      <w:bookmarkStart w:id="39" w:name="_Toc100150282"/>
      <w:r>
        <w:t>1</w:t>
      </w:r>
      <w:r w:rsidR="002811D5">
        <w:t>5</w:t>
      </w:r>
      <w:r>
        <w:t>.</w:t>
      </w:r>
      <w:r>
        <w:tab/>
      </w:r>
      <w:r w:rsidR="00772829" w:rsidRPr="00CE28E3">
        <w:t xml:space="preserve">Other relevant </w:t>
      </w:r>
      <w:r w:rsidR="00FA5766">
        <w:t>information</w:t>
      </w:r>
      <w:bookmarkEnd w:id="39"/>
    </w:p>
    <w:p w14:paraId="35CEABF6" w14:textId="67B0B7CE" w:rsidR="002C6FC2" w:rsidRDefault="002C6FC2" w:rsidP="002C6FC2">
      <w:r>
        <w:t xml:space="preserve">Which BPH procedure is recommended by the provider is influenced by </w:t>
      </w:r>
      <w:r w:rsidR="009B42A2">
        <w:t xml:space="preserve">multiple </w:t>
      </w:r>
      <w:r>
        <w:t xml:space="preserve">patient related factors, </w:t>
      </w:r>
      <w:proofErr w:type="gramStart"/>
      <w:r>
        <w:t>including:</w:t>
      </w:r>
      <w:proofErr w:type="gramEnd"/>
      <w:r>
        <w:t xml:space="preserve"> prostate size</w:t>
      </w:r>
      <w:r w:rsidR="00B905FA">
        <w:t>/shape</w:t>
      </w:r>
      <w:r>
        <w:t xml:space="preserve">, presence of a middle lobe, cardiovascular risk, </w:t>
      </w:r>
      <w:r w:rsidR="00C37D22">
        <w:t xml:space="preserve">bleeding risk, incontinence risk, </w:t>
      </w:r>
      <w:r>
        <w:t xml:space="preserve">other health issues, whether the patient is on complex anticoagulants, and a patient’s ability to have </w:t>
      </w:r>
      <w:r w:rsidRPr="00000482">
        <w:t>an</w:t>
      </w:r>
      <w:r w:rsidR="00785E24" w:rsidRPr="00000482">
        <w:t>a</w:t>
      </w:r>
      <w:r w:rsidRPr="00000482">
        <w:t>esthesia</w:t>
      </w:r>
      <w:r>
        <w:t>.</w:t>
      </w:r>
    </w:p>
    <w:p w14:paraId="54A7D395" w14:textId="77777777" w:rsidR="002C6FC2" w:rsidRDefault="002C6FC2" w:rsidP="002C6FC2">
      <w:r>
        <w:t xml:space="preserve">Common factors </w:t>
      </w:r>
      <w:proofErr w:type="gramStart"/>
      <w:r>
        <w:t>taken into account</w:t>
      </w:r>
      <w:proofErr w:type="gramEnd"/>
      <w:r>
        <w:t xml:space="preserve"> by patients on which BPH procedure to choose are:</w:t>
      </w:r>
    </w:p>
    <w:p w14:paraId="456CE574" w14:textId="77777777" w:rsidR="002C6FC2" w:rsidRDefault="002C6FC2" w:rsidP="00CE1F5E">
      <w:pPr>
        <w:pStyle w:val="ListParagraph"/>
        <w:numPr>
          <w:ilvl w:val="0"/>
          <w:numId w:val="17"/>
        </w:numPr>
      </w:pPr>
      <w:r>
        <w:t>The severity of BPH symptoms and the effectiveness of the treatments at resolving these symptoms.</w:t>
      </w:r>
    </w:p>
    <w:p w14:paraId="7DAB634F" w14:textId="157FF2AB" w:rsidR="002C6FC2" w:rsidRDefault="002C6FC2" w:rsidP="00CE1F5E">
      <w:pPr>
        <w:pStyle w:val="ListParagraph"/>
        <w:numPr>
          <w:ilvl w:val="0"/>
          <w:numId w:val="17"/>
        </w:numPr>
      </w:pPr>
      <w:r>
        <w:t>Sexual activity – a sexual</w:t>
      </w:r>
      <w:r w:rsidR="009B42A2">
        <w:t>ly</w:t>
      </w:r>
      <w:r>
        <w:t xml:space="preserve"> active man may prefer a BPH procedure that is more likely to preserve sexual function.</w:t>
      </w:r>
    </w:p>
    <w:p w14:paraId="330DDB8A" w14:textId="04DB648F" w:rsidR="002C6FC2" w:rsidRPr="00FF7A54" w:rsidRDefault="002C6FC2" w:rsidP="00CE1F5E">
      <w:pPr>
        <w:pStyle w:val="ListParagraph"/>
        <w:numPr>
          <w:ilvl w:val="0"/>
          <w:numId w:val="17"/>
        </w:numPr>
      </w:pPr>
      <w:r>
        <w:t xml:space="preserve">Level of invasiveness – patients may prefer a procedure that is less invasive and that </w:t>
      </w:r>
      <w:r w:rsidR="009B42A2">
        <w:t xml:space="preserve">takes place </w:t>
      </w:r>
      <w:r>
        <w:t xml:space="preserve">as a day procedure rather than being hospitalised for </w:t>
      </w:r>
      <w:r>
        <w:rPr>
          <w:rFonts w:cs="Calibri"/>
          <w:lang w:val="en-US"/>
        </w:rPr>
        <w:t>≥</w:t>
      </w:r>
      <w:r>
        <w:rPr>
          <w:lang w:val="en-US"/>
        </w:rPr>
        <w:t>1 day.</w:t>
      </w:r>
    </w:p>
    <w:p w14:paraId="35AC1121" w14:textId="77777777" w:rsidR="002C6FC2" w:rsidRPr="00FF7A54" w:rsidRDefault="002C6FC2" w:rsidP="00CE1F5E">
      <w:pPr>
        <w:pStyle w:val="ListParagraph"/>
        <w:numPr>
          <w:ilvl w:val="0"/>
          <w:numId w:val="17"/>
        </w:numPr>
      </w:pPr>
      <w:r>
        <w:rPr>
          <w:lang w:val="en-US"/>
        </w:rPr>
        <w:t>Risk of side effects.</w:t>
      </w:r>
    </w:p>
    <w:p w14:paraId="6E3B27E7" w14:textId="4D24B8D1" w:rsidR="002C6FC2" w:rsidRDefault="002C6FC2" w:rsidP="00CE1F5E">
      <w:pPr>
        <w:pStyle w:val="ListParagraph"/>
        <w:numPr>
          <w:ilvl w:val="0"/>
          <w:numId w:val="17"/>
        </w:numPr>
      </w:pPr>
      <w:r>
        <w:rPr>
          <w:lang w:val="en-US"/>
        </w:rPr>
        <w:t>Financial impact – the affordability of different procedures may impact the procedure patients choose.</w:t>
      </w:r>
    </w:p>
    <w:p w14:paraId="6E76C6A5" w14:textId="4C486430" w:rsidR="002C6FC2" w:rsidRDefault="002C6FC2" w:rsidP="002C6FC2">
      <w:r>
        <w:t>The authors of a large discrete-choice survey</w:t>
      </w:r>
      <w:r w:rsidR="002512F1">
        <w:rPr>
          <w:rStyle w:val="FootnoteReference"/>
        </w:rPr>
        <w:footnoteReference w:id="6"/>
      </w:r>
      <w:r>
        <w:t xml:space="preserve"> of men in the United States and Puerto Rico suggested that differences between respondents emphasised the importance of individualised care. This is to ensure patients select the most suitable treatment based on their preferences and patient characteristics.</w:t>
      </w:r>
    </w:p>
    <w:p w14:paraId="282C3B0C" w14:textId="43E1F4AE" w:rsidR="00994452" w:rsidRDefault="002C6FC2" w:rsidP="00994452">
      <w:proofErr w:type="gramStart"/>
      <w:r>
        <w:t>Particular procedures</w:t>
      </w:r>
      <w:proofErr w:type="gramEnd"/>
      <w:r>
        <w:t xml:space="preserve"> require capital equipment to be invested in, and the availability and funding of this equipment would also influence which procedures patients are able to choose from. Furthermore, the added pressure put on the healthcare system due to COVID-19 means that any opportunities to relieve the burden on hospitals, staff and operating theatres would be welcomed, inferring that the minimally invasive procedures would be preferred over the more resource-intensive TURP. However, this must be balanced with the risk of re-treatment.</w:t>
      </w:r>
      <w:r w:rsidR="00994452">
        <w:br w:type="page"/>
      </w:r>
    </w:p>
    <w:p w14:paraId="1D1CD7E2" w14:textId="77777777" w:rsidR="002811D5" w:rsidRDefault="002811D5" w:rsidP="002811D5">
      <w:pPr>
        <w:pStyle w:val="Heading2"/>
        <w:numPr>
          <w:ilvl w:val="0"/>
          <w:numId w:val="0"/>
        </w:numPr>
      </w:pPr>
      <w:r>
        <w:lastRenderedPageBreak/>
        <w:t>16.</w:t>
      </w:r>
      <w:r>
        <w:tab/>
        <w:t>Key issues from ESC to MSAC</w:t>
      </w:r>
    </w:p>
    <w:tbl>
      <w:tblPr>
        <w:tblStyle w:val="TableGrid"/>
        <w:tblW w:w="9209" w:type="dxa"/>
        <w:tblInd w:w="-147" w:type="dxa"/>
        <w:tblLook w:val="04A0" w:firstRow="1" w:lastRow="0" w:firstColumn="1" w:lastColumn="0" w:noHBand="0" w:noVBand="1"/>
      </w:tblPr>
      <w:tblGrid>
        <w:gridCol w:w="9209"/>
      </w:tblGrid>
      <w:tr w:rsidR="002811D5" w:rsidRPr="00CE28E3" w14:paraId="3E56BAB0" w14:textId="77777777" w:rsidTr="00014248">
        <w:tc>
          <w:tcPr>
            <w:tcW w:w="9209" w:type="dxa"/>
          </w:tcPr>
          <w:p w14:paraId="7F05E6E4" w14:textId="77777777" w:rsidR="002811D5" w:rsidRPr="002D7875" w:rsidRDefault="002811D5" w:rsidP="00014248">
            <w:pPr>
              <w:spacing w:before="240" w:after="240"/>
              <w:rPr>
                <w:b/>
                <w:bCs/>
                <w:sz w:val="24"/>
                <w:szCs w:val="24"/>
              </w:rPr>
            </w:pPr>
            <w:bookmarkStart w:id="40" w:name="_Hlk69734340"/>
            <w:bookmarkStart w:id="41" w:name="_Hlk103938359"/>
            <w:r w:rsidRPr="002D7875">
              <w:rPr>
                <w:b/>
                <w:bCs/>
                <w:sz w:val="24"/>
                <w:szCs w:val="24"/>
              </w:rPr>
              <w:t xml:space="preserve">Main issues for MSAC consideration </w:t>
            </w:r>
          </w:p>
          <w:p w14:paraId="2077A327" w14:textId="77777777" w:rsidR="002811D5" w:rsidRPr="002D7875" w:rsidRDefault="002811D5" w:rsidP="00014248">
            <w:pPr>
              <w:spacing w:after="160" w:line="259" w:lineRule="auto"/>
              <w:rPr>
                <w:rFonts w:eastAsia="Calibri" w:cs="Times New Roman"/>
                <w:b/>
              </w:rPr>
            </w:pPr>
            <w:r w:rsidRPr="002D7875">
              <w:rPr>
                <w:rFonts w:eastAsia="Calibri" w:cs="Times New Roman"/>
                <w:b/>
              </w:rPr>
              <w:t>Clinical issues:</w:t>
            </w:r>
          </w:p>
          <w:p w14:paraId="28BADF6B" w14:textId="77777777" w:rsidR="002811D5" w:rsidRDefault="002811D5" w:rsidP="00014248">
            <w:pPr>
              <w:pStyle w:val="Bullet"/>
              <w:ind w:left="360"/>
              <w:rPr>
                <w:rFonts w:ascii="Franklin Gothic Book" w:hAnsi="Franklin Gothic Book"/>
              </w:rPr>
            </w:pPr>
            <w:r>
              <w:rPr>
                <w:rFonts w:ascii="Franklin Gothic Book" w:hAnsi="Franklin Gothic Book"/>
              </w:rPr>
              <w:t>In general, m</w:t>
            </w:r>
            <w:r w:rsidRPr="002D7875">
              <w:rPr>
                <w:rFonts w:ascii="Franklin Gothic Book" w:hAnsi="Franklin Gothic Book"/>
              </w:rPr>
              <w:t xml:space="preserve">inimally invasive procedures </w:t>
            </w:r>
            <w:r>
              <w:rPr>
                <w:rFonts w:ascii="Franklin Gothic Book" w:hAnsi="Franklin Gothic Book"/>
              </w:rPr>
              <w:t xml:space="preserve">appear to have </w:t>
            </w:r>
            <w:r w:rsidRPr="002D7875">
              <w:rPr>
                <w:rFonts w:ascii="Franklin Gothic Book" w:hAnsi="Franklin Gothic Book"/>
              </w:rPr>
              <w:t>non-inferior</w:t>
            </w:r>
            <w:r>
              <w:rPr>
                <w:rFonts w:ascii="Franklin Gothic Book" w:hAnsi="Franklin Gothic Book"/>
              </w:rPr>
              <w:t xml:space="preserve"> or </w:t>
            </w:r>
            <w:r w:rsidRPr="002D7875">
              <w:rPr>
                <w:rFonts w:ascii="Franklin Gothic Book" w:hAnsi="Franklin Gothic Book"/>
              </w:rPr>
              <w:t xml:space="preserve">inferior effectiveness and superior safety compared to TURP. </w:t>
            </w:r>
          </w:p>
          <w:p w14:paraId="2419D3F4" w14:textId="77777777" w:rsidR="002811D5" w:rsidRPr="002D7875" w:rsidRDefault="002811D5" w:rsidP="00014248">
            <w:pPr>
              <w:pStyle w:val="Bullet"/>
              <w:ind w:left="360"/>
              <w:rPr>
                <w:rFonts w:ascii="Franklin Gothic Book" w:hAnsi="Franklin Gothic Book"/>
              </w:rPr>
            </w:pPr>
            <w:r>
              <w:rPr>
                <w:rFonts w:ascii="Franklin Gothic Book" w:hAnsi="Franklin Gothic Book"/>
              </w:rPr>
              <w:t>The comparative safety and effectiveness</w:t>
            </w:r>
            <w:r w:rsidRPr="002D7875">
              <w:rPr>
                <w:rFonts w:ascii="Franklin Gothic Book" w:hAnsi="Franklin Gothic Book"/>
              </w:rPr>
              <w:t xml:space="preserve"> </w:t>
            </w:r>
            <w:r>
              <w:rPr>
                <w:rFonts w:ascii="Franklin Gothic Book" w:hAnsi="Franklin Gothic Book"/>
              </w:rPr>
              <w:t xml:space="preserve">of </w:t>
            </w:r>
            <w:r w:rsidRPr="002D7875">
              <w:rPr>
                <w:rFonts w:ascii="Franklin Gothic Book" w:hAnsi="Franklin Gothic Book"/>
              </w:rPr>
              <w:t>TUWA</w:t>
            </w:r>
            <w:r>
              <w:rPr>
                <w:rFonts w:ascii="Franklin Gothic Book" w:hAnsi="Franklin Gothic Book"/>
              </w:rPr>
              <w:t xml:space="preserve"> should be interpreted with caution as it is based on low level evidence (2-3 step indirect treatment comparison at 3 months</w:t>
            </w:r>
            <w:r w:rsidDel="00E03B78">
              <w:rPr>
                <w:rFonts w:ascii="Franklin Gothic Book" w:hAnsi="Franklin Gothic Book"/>
              </w:rPr>
              <w:t xml:space="preserve"> </w:t>
            </w:r>
            <w:r>
              <w:rPr>
                <w:rFonts w:ascii="Franklin Gothic Book" w:hAnsi="Franklin Gothic Book"/>
              </w:rPr>
              <w:t>or naïve comparison for outcomes &gt;3 months)</w:t>
            </w:r>
          </w:p>
          <w:p w14:paraId="0DE50771" w14:textId="77777777" w:rsidR="002811D5" w:rsidRPr="002D7875" w:rsidRDefault="002811D5" w:rsidP="00014248">
            <w:pPr>
              <w:pStyle w:val="Bullet"/>
              <w:ind w:left="360"/>
              <w:rPr>
                <w:rFonts w:ascii="Franklin Gothic Book" w:hAnsi="Franklin Gothic Book"/>
              </w:rPr>
            </w:pPr>
            <w:r w:rsidRPr="002D7875">
              <w:rPr>
                <w:rFonts w:ascii="Franklin Gothic Book" w:hAnsi="Franklin Gothic Book"/>
              </w:rPr>
              <w:t xml:space="preserve">TURP as a sole comparator is appropriate. </w:t>
            </w:r>
            <w:r>
              <w:rPr>
                <w:rFonts w:ascii="Franklin Gothic Book" w:hAnsi="Franklin Gothic Book"/>
              </w:rPr>
              <w:t>It is not possible to</w:t>
            </w:r>
            <w:r w:rsidRPr="002D7875">
              <w:rPr>
                <w:rFonts w:ascii="Franklin Gothic Book" w:hAnsi="Franklin Gothic Book"/>
              </w:rPr>
              <w:t xml:space="preserve"> compar</w:t>
            </w:r>
            <w:r>
              <w:rPr>
                <w:rFonts w:ascii="Franklin Gothic Book" w:hAnsi="Franklin Gothic Book"/>
              </w:rPr>
              <w:t>e</w:t>
            </w:r>
            <w:r w:rsidRPr="002D7875">
              <w:rPr>
                <w:rFonts w:ascii="Franklin Gothic Book" w:hAnsi="Franklin Gothic Book"/>
              </w:rPr>
              <w:t xml:space="preserve"> minimally invasive procedures with each other</w:t>
            </w:r>
            <w:r>
              <w:rPr>
                <w:rFonts w:ascii="Franklin Gothic Book" w:hAnsi="Franklin Gothic Book"/>
              </w:rPr>
              <w:t xml:space="preserve">, since </w:t>
            </w:r>
            <w:r w:rsidRPr="002D7875">
              <w:rPr>
                <w:rFonts w:ascii="Franklin Gothic Book" w:hAnsi="Franklin Gothic Book"/>
              </w:rPr>
              <w:t>direct RCT evidence is lacking.</w:t>
            </w:r>
          </w:p>
          <w:p w14:paraId="265B3EB0" w14:textId="77777777" w:rsidR="002811D5" w:rsidRDefault="002811D5" w:rsidP="00014248">
            <w:pPr>
              <w:pStyle w:val="Bullet"/>
              <w:ind w:left="360"/>
              <w:rPr>
                <w:rFonts w:ascii="Franklin Gothic Book" w:hAnsi="Franklin Gothic Book"/>
              </w:rPr>
            </w:pPr>
            <w:r>
              <w:rPr>
                <w:rFonts w:ascii="Franklin Gothic Book" w:hAnsi="Franklin Gothic Book"/>
              </w:rPr>
              <w:t xml:space="preserve">There is a clear trade-off in efficacy to </w:t>
            </w:r>
            <w:r w:rsidRPr="00076390">
              <w:rPr>
                <w:rFonts w:ascii="Franklin Gothic Book" w:hAnsi="Franklin Gothic Book"/>
              </w:rPr>
              <w:t xml:space="preserve">achieve </w:t>
            </w:r>
            <w:proofErr w:type="gramStart"/>
            <w:r w:rsidRPr="00076390">
              <w:rPr>
                <w:rFonts w:ascii="Franklin Gothic Book" w:hAnsi="Franklin Gothic Book"/>
              </w:rPr>
              <w:t>particular safety</w:t>
            </w:r>
            <w:proofErr w:type="gramEnd"/>
            <w:r w:rsidRPr="00076390">
              <w:rPr>
                <w:rFonts w:ascii="Franklin Gothic Book" w:hAnsi="Franklin Gothic Book"/>
              </w:rPr>
              <w:t xml:space="preserve"> outcomes</w:t>
            </w:r>
            <w:r>
              <w:rPr>
                <w:rFonts w:ascii="Franklin Gothic Book" w:hAnsi="Franklin Gothic Book"/>
              </w:rPr>
              <w:t>.</w:t>
            </w:r>
            <w:r w:rsidRPr="002D7875">
              <w:rPr>
                <w:rFonts w:ascii="Franklin Gothic Book" w:hAnsi="Franklin Gothic Book"/>
              </w:rPr>
              <w:t xml:space="preserve"> </w:t>
            </w:r>
          </w:p>
          <w:p w14:paraId="1580A81A" w14:textId="77777777" w:rsidR="002811D5" w:rsidRPr="002D7875" w:rsidRDefault="002811D5" w:rsidP="00014248">
            <w:pPr>
              <w:pStyle w:val="Bullet"/>
              <w:ind w:left="360"/>
              <w:rPr>
                <w:rFonts w:ascii="Franklin Gothic Book" w:hAnsi="Franklin Gothic Book"/>
              </w:rPr>
            </w:pPr>
            <w:r w:rsidRPr="002D7875">
              <w:rPr>
                <w:rFonts w:ascii="Franklin Gothic Book" w:hAnsi="Franklin Gothic Book"/>
              </w:rPr>
              <w:t>The choice of minimally invasive procedures is multifactorial</w:t>
            </w:r>
            <w:r>
              <w:rPr>
                <w:rFonts w:ascii="Franklin Gothic Book" w:hAnsi="Franklin Gothic Book"/>
              </w:rPr>
              <w:t>. E</w:t>
            </w:r>
            <w:r w:rsidRPr="002D7875">
              <w:rPr>
                <w:rFonts w:ascii="Franklin Gothic Book" w:hAnsi="Franklin Gothic Book"/>
              </w:rPr>
              <w:t xml:space="preserve">fficacy is not the only driver for clinician/patient </w:t>
            </w:r>
            <w:r>
              <w:rPr>
                <w:rFonts w:ascii="Franklin Gothic Book" w:hAnsi="Franklin Gothic Book"/>
              </w:rPr>
              <w:t>decision making</w:t>
            </w:r>
            <w:r w:rsidRPr="002D7875">
              <w:rPr>
                <w:rFonts w:ascii="Franklin Gothic Book" w:hAnsi="Franklin Gothic Book"/>
              </w:rPr>
              <w:t xml:space="preserve">. </w:t>
            </w:r>
          </w:p>
          <w:p w14:paraId="03BDAFD6" w14:textId="77777777" w:rsidR="002811D5" w:rsidRPr="002D7875" w:rsidRDefault="002811D5" w:rsidP="00014248">
            <w:pPr>
              <w:spacing w:after="160" w:line="259" w:lineRule="auto"/>
              <w:rPr>
                <w:rFonts w:eastAsia="Calibri" w:cs="Times New Roman"/>
                <w:b/>
              </w:rPr>
            </w:pPr>
            <w:r w:rsidRPr="002D7875">
              <w:rPr>
                <w:rFonts w:eastAsia="Calibri" w:cs="Times New Roman"/>
                <w:b/>
              </w:rPr>
              <w:t>Economic issues:</w:t>
            </w:r>
          </w:p>
          <w:p w14:paraId="1F0F55AC" w14:textId="77777777" w:rsidR="002811D5" w:rsidRDefault="002811D5" w:rsidP="00014248">
            <w:pPr>
              <w:pStyle w:val="Bullet"/>
              <w:ind w:left="360"/>
              <w:rPr>
                <w:rFonts w:ascii="Franklin Gothic Book" w:hAnsi="Franklin Gothic Book"/>
              </w:rPr>
            </w:pPr>
            <w:r w:rsidRPr="002D7875">
              <w:rPr>
                <w:rFonts w:ascii="Franklin Gothic Book" w:hAnsi="Franklin Gothic Book"/>
              </w:rPr>
              <w:t xml:space="preserve">ESC considers that the level of detail included in the cost analysis, the approaches to estimate cost inputs for the economic evaluation, and the sources used </w:t>
            </w:r>
            <w:r>
              <w:rPr>
                <w:rFonts w:ascii="Franklin Gothic Book" w:hAnsi="Franklin Gothic Book"/>
              </w:rPr>
              <w:t xml:space="preserve">were comprehensive and </w:t>
            </w:r>
            <w:r w:rsidRPr="002D7875">
              <w:rPr>
                <w:rFonts w:ascii="Franklin Gothic Book" w:hAnsi="Franklin Gothic Book"/>
              </w:rPr>
              <w:t>generally appropriate (improving both accuracy and consistency).</w:t>
            </w:r>
          </w:p>
          <w:p w14:paraId="2A56726A" w14:textId="77777777" w:rsidR="002811D5" w:rsidRDefault="002811D5" w:rsidP="00014248">
            <w:pPr>
              <w:pStyle w:val="Bullet"/>
              <w:ind w:left="360"/>
              <w:rPr>
                <w:rFonts w:ascii="Franklin Gothic Book" w:hAnsi="Franklin Gothic Book"/>
              </w:rPr>
            </w:pPr>
            <w:r>
              <w:rPr>
                <w:rFonts w:ascii="Franklin Gothic Book" w:hAnsi="Franklin Gothic Book"/>
              </w:rPr>
              <w:t>TUWA appears cost saving and t</w:t>
            </w:r>
            <w:r w:rsidRPr="002D7875">
              <w:rPr>
                <w:rFonts w:ascii="Franklin Gothic Book" w:hAnsi="Franklin Gothic Book"/>
              </w:rPr>
              <w:t>here are small cost differences for PUL (and VLAP)</w:t>
            </w:r>
            <w:r>
              <w:rPr>
                <w:rFonts w:ascii="Franklin Gothic Book" w:hAnsi="Franklin Gothic Book"/>
              </w:rPr>
              <w:t xml:space="preserve"> compared to TURP</w:t>
            </w:r>
            <w:r w:rsidRPr="002D7875">
              <w:rPr>
                <w:rFonts w:ascii="Franklin Gothic Book" w:hAnsi="Franklin Gothic Book"/>
              </w:rPr>
              <w:t xml:space="preserve">, possibly within the boundaries of uncertainty. </w:t>
            </w:r>
          </w:p>
          <w:p w14:paraId="5170188F" w14:textId="77777777" w:rsidR="002811D5" w:rsidRDefault="002811D5" w:rsidP="00014248">
            <w:pPr>
              <w:pStyle w:val="Bullet"/>
              <w:ind w:left="360"/>
              <w:rPr>
                <w:rFonts w:ascii="Franklin Gothic Book" w:hAnsi="Franklin Gothic Book"/>
              </w:rPr>
            </w:pPr>
            <w:r w:rsidRPr="002D7875">
              <w:rPr>
                <w:rFonts w:ascii="Franklin Gothic Book" w:hAnsi="Franklin Gothic Book"/>
              </w:rPr>
              <w:t>If there is a small increase in the number of implants for PUL, it is no longer cost saving.</w:t>
            </w:r>
          </w:p>
          <w:p w14:paraId="546B0DCD" w14:textId="77777777" w:rsidR="002811D5" w:rsidRDefault="002811D5" w:rsidP="00014248">
            <w:pPr>
              <w:pStyle w:val="Bullet"/>
              <w:ind w:left="360"/>
              <w:rPr>
                <w:rFonts w:ascii="Franklin Gothic Book" w:hAnsi="Franklin Gothic Book"/>
              </w:rPr>
            </w:pPr>
            <w:r>
              <w:rPr>
                <w:rFonts w:ascii="Franklin Gothic Book" w:hAnsi="Franklin Gothic Book"/>
              </w:rPr>
              <w:t xml:space="preserve">If the MBS fee for PUL is increased, </w:t>
            </w:r>
            <w:r w:rsidRPr="002D7875">
              <w:rPr>
                <w:rFonts w:ascii="Franklin Gothic Book" w:hAnsi="Franklin Gothic Book"/>
              </w:rPr>
              <w:t>PUL</w:t>
            </w:r>
            <w:r>
              <w:rPr>
                <w:rFonts w:ascii="Franklin Gothic Book" w:hAnsi="Franklin Gothic Book"/>
              </w:rPr>
              <w:t xml:space="preserve"> is more costly than TURP and the cost-effectiveness analysis (CEA) indicates it </w:t>
            </w:r>
            <w:r w:rsidRPr="002D7875">
              <w:rPr>
                <w:rFonts w:ascii="Franklin Gothic Book" w:hAnsi="Franklin Gothic Book"/>
              </w:rPr>
              <w:t>is a dominated intervention</w:t>
            </w:r>
            <w:r>
              <w:rPr>
                <w:rFonts w:ascii="Franklin Gothic Book" w:hAnsi="Franklin Gothic Book"/>
              </w:rPr>
              <w:t xml:space="preserve"> for the International Prostate Symptom Score </w:t>
            </w:r>
            <w:r>
              <w:t>(</w:t>
            </w:r>
            <w:r>
              <w:rPr>
                <w:rFonts w:ascii="Franklin Gothic Book" w:hAnsi="Franklin Gothic Book"/>
              </w:rPr>
              <w:t>IPSS) outcome</w:t>
            </w:r>
            <w:r w:rsidRPr="002D7875">
              <w:rPr>
                <w:rFonts w:ascii="Franklin Gothic Book" w:hAnsi="Franklin Gothic Book"/>
              </w:rPr>
              <w:t xml:space="preserve">. </w:t>
            </w:r>
          </w:p>
          <w:p w14:paraId="29FD41DF" w14:textId="77777777" w:rsidR="002811D5" w:rsidRPr="002D7875" w:rsidRDefault="002811D5" w:rsidP="00014248">
            <w:pPr>
              <w:pStyle w:val="Bullet"/>
              <w:ind w:left="360"/>
              <w:rPr>
                <w:rFonts w:ascii="Franklin Gothic Book" w:hAnsi="Franklin Gothic Book"/>
              </w:rPr>
            </w:pPr>
            <w:r>
              <w:rPr>
                <w:rFonts w:ascii="Franklin Gothic Book" w:hAnsi="Franklin Gothic Book"/>
              </w:rPr>
              <w:t xml:space="preserve">The capital cost component is the most uncertain component in estimating the total costs for the procedures. </w:t>
            </w:r>
          </w:p>
          <w:p w14:paraId="73D4DE07" w14:textId="77777777" w:rsidR="002811D5" w:rsidRPr="002D7875" w:rsidRDefault="002811D5" w:rsidP="00014248">
            <w:pPr>
              <w:keepNext/>
              <w:spacing w:after="160" w:line="259" w:lineRule="auto"/>
              <w:rPr>
                <w:rFonts w:eastAsia="Calibri" w:cs="Times New Roman"/>
                <w:b/>
              </w:rPr>
            </w:pPr>
            <w:r>
              <w:rPr>
                <w:rFonts w:eastAsia="Calibri" w:cs="Times New Roman"/>
                <w:b/>
              </w:rPr>
              <w:t xml:space="preserve">Other </w:t>
            </w:r>
            <w:r w:rsidRPr="002D7875">
              <w:rPr>
                <w:rFonts w:eastAsia="Calibri" w:cs="Times New Roman"/>
                <w:b/>
              </w:rPr>
              <w:t>issues:</w:t>
            </w:r>
          </w:p>
          <w:p w14:paraId="4856A076" w14:textId="77777777" w:rsidR="002811D5" w:rsidRPr="00521838" w:rsidRDefault="002811D5" w:rsidP="00014248">
            <w:pPr>
              <w:pStyle w:val="Bullet"/>
              <w:ind w:left="360"/>
              <w:rPr>
                <w:rFonts w:eastAsia="Calibri" w:cs="Times New Roman"/>
              </w:rPr>
            </w:pPr>
            <w:r w:rsidRPr="002D7875">
              <w:rPr>
                <w:rFonts w:ascii="Franklin Gothic Book" w:hAnsi="Franklin Gothic Book"/>
              </w:rPr>
              <w:t xml:space="preserve">ESC suggests that, if the fee for PUL is increased, a </w:t>
            </w:r>
            <w:r>
              <w:rPr>
                <w:rFonts w:ascii="Franklin Gothic Book" w:hAnsi="Franklin Gothic Book"/>
              </w:rPr>
              <w:t xml:space="preserve">new </w:t>
            </w:r>
            <w:r w:rsidRPr="002D7875">
              <w:rPr>
                <w:rFonts w:ascii="Franklin Gothic Book" w:hAnsi="Franklin Gothic Book"/>
              </w:rPr>
              <w:t xml:space="preserve">separate MBS item </w:t>
            </w:r>
            <w:r>
              <w:rPr>
                <w:rFonts w:ascii="Franklin Gothic Book" w:hAnsi="Franklin Gothic Book"/>
              </w:rPr>
              <w:t xml:space="preserve">should be created for PUL. MSAC may wish to consider the implications for new urethral stents that may be used for treating BPH (e.g., </w:t>
            </w:r>
            <w:proofErr w:type="spellStart"/>
            <w:r>
              <w:rPr>
                <w:rFonts w:ascii="Franklin Gothic Book" w:hAnsi="Franklin Gothic Book"/>
              </w:rPr>
              <w:t>iTIND</w:t>
            </w:r>
            <w:proofErr w:type="spellEnd"/>
            <w:r>
              <w:rPr>
                <w:rFonts w:ascii="Franklin Gothic Book" w:hAnsi="Franklin Gothic Book"/>
              </w:rPr>
              <w:t>).</w:t>
            </w:r>
          </w:p>
        </w:tc>
      </w:tr>
    </w:tbl>
    <w:bookmarkEnd w:id="40"/>
    <w:p w14:paraId="2044DA64" w14:textId="77777777" w:rsidR="002811D5" w:rsidRPr="002811D5" w:rsidRDefault="002811D5" w:rsidP="002811D5">
      <w:pPr>
        <w:keepNext/>
        <w:keepLines/>
        <w:spacing w:before="360" w:after="240" w:line="240" w:lineRule="auto"/>
        <w:outlineLvl w:val="1"/>
        <w:rPr>
          <w:rFonts w:ascii="Franklin Gothic Medium" w:eastAsia="SimSun" w:hAnsi="Franklin Gothic Medium" w:cs="Times New Roman"/>
          <w:b/>
          <w:bCs/>
          <w:color w:val="000000"/>
        </w:rPr>
      </w:pPr>
      <w:r w:rsidRPr="002811D5">
        <w:rPr>
          <w:rFonts w:ascii="Franklin Gothic Medium" w:eastAsia="SimSun" w:hAnsi="Franklin Gothic Medium" w:cs="Times New Roman"/>
          <w:b/>
          <w:bCs/>
          <w:color w:val="000000"/>
        </w:rPr>
        <w:t>ESC discussion</w:t>
      </w:r>
    </w:p>
    <w:bookmarkEnd w:id="41"/>
    <w:p w14:paraId="0C7AE9C0" w14:textId="77777777" w:rsidR="002811D5" w:rsidRDefault="002811D5" w:rsidP="002811D5">
      <w:r w:rsidRPr="00FA468E">
        <w:t xml:space="preserve">ESC noted </w:t>
      </w:r>
      <w:r>
        <w:t xml:space="preserve">that </w:t>
      </w:r>
      <w:r w:rsidRPr="00FA468E">
        <w:t xml:space="preserve">MSAC </w:t>
      </w:r>
      <w:r>
        <w:t xml:space="preserve">requested </w:t>
      </w:r>
      <w:r w:rsidRPr="00FA468E">
        <w:t>a review of the effectiveness, safety and cost-effectiveness of all minimally invasive procedures used to manage benign prostatic hyperplasia (BPH)</w:t>
      </w:r>
      <w:r>
        <w:t xml:space="preserve"> in Australia</w:t>
      </w:r>
      <w:r w:rsidRPr="00FA468E">
        <w:t>. MSAC requested this assessment to provide better advice on which BPH procedures should be listed</w:t>
      </w:r>
      <w:r>
        <w:t xml:space="preserve"> on the </w:t>
      </w:r>
      <w:r w:rsidRPr="00EA4851">
        <w:t>Medicare Benefits Schedule</w:t>
      </w:r>
      <w:r>
        <w:t xml:space="preserve"> (MBS), as well as</w:t>
      </w:r>
      <w:r w:rsidRPr="00FA468E">
        <w:t xml:space="preserve"> appropriate fees for each procedure.</w:t>
      </w:r>
      <w:r>
        <w:t xml:space="preserve"> </w:t>
      </w:r>
      <w:proofErr w:type="gramStart"/>
      <w:r>
        <w:t>In particular the</w:t>
      </w:r>
      <w:proofErr w:type="gramEnd"/>
      <w:r>
        <w:t xml:space="preserve"> review will be relevant to MSAC’s reconsideration of two deferred MSAC applications:</w:t>
      </w:r>
    </w:p>
    <w:p w14:paraId="62661FCC" w14:textId="77777777" w:rsidR="002811D5" w:rsidRDefault="002811D5" w:rsidP="002811D5">
      <w:pPr>
        <w:pStyle w:val="ListParagraph"/>
        <w:numPr>
          <w:ilvl w:val="0"/>
          <w:numId w:val="44"/>
        </w:numPr>
      </w:pPr>
      <w:r>
        <w:t xml:space="preserve">MSAC application 1586 which seeks creation of a new MBS item </w:t>
      </w:r>
      <w:r w:rsidRPr="00FA468E">
        <w:t>transurethral water vapour ablation (TUWA</w:t>
      </w:r>
      <w:r>
        <w:t xml:space="preserve">). </w:t>
      </w:r>
    </w:p>
    <w:p w14:paraId="02DEC608" w14:textId="77777777" w:rsidR="002811D5" w:rsidRPr="00FA468E" w:rsidRDefault="002811D5" w:rsidP="002811D5">
      <w:pPr>
        <w:pStyle w:val="ListParagraph"/>
        <w:numPr>
          <w:ilvl w:val="0"/>
          <w:numId w:val="44"/>
        </w:numPr>
      </w:pPr>
      <w:r>
        <w:t xml:space="preserve">MSAC application 1612 which seeks to increase the MBS fee for </w:t>
      </w:r>
      <w:r w:rsidRPr="00FA468E">
        <w:t>prostate urethral lift (PUL;</w:t>
      </w:r>
      <w:r>
        <w:t xml:space="preserve"> MBS item 36811). </w:t>
      </w:r>
    </w:p>
    <w:p w14:paraId="375FCA1E" w14:textId="77777777" w:rsidR="002811D5" w:rsidRPr="00FA468E" w:rsidRDefault="002811D5" w:rsidP="002811D5">
      <w:r w:rsidRPr="00FA468E">
        <w:lastRenderedPageBreak/>
        <w:t xml:space="preserve">ESC noted that </w:t>
      </w:r>
      <w:r>
        <w:t xml:space="preserve">the population within scope of the review, as supported by the MSAC Executive, was </w:t>
      </w:r>
      <w:r w:rsidRPr="00FA468E">
        <w:t>patients with BPH and severe or high</w:t>
      </w:r>
      <w:r>
        <w:t>-</w:t>
      </w:r>
      <w:r w:rsidRPr="00FA468E">
        <w:t>impact urinary symptoms.</w:t>
      </w:r>
      <w:r>
        <w:t xml:space="preserve"> T</w:t>
      </w:r>
      <w:r w:rsidRPr="00FA468E">
        <w:t xml:space="preserve">he comparator </w:t>
      </w:r>
      <w:r>
        <w:t xml:space="preserve">specified for the review was </w:t>
      </w:r>
      <w:r w:rsidRPr="00FA468E">
        <w:t>transurethral resection of the prostate (TURP), which is the most common procedure for BPH in Australia and is considered the gold standard for BPH surgical procedures.</w:t>
      </w:r>
    </w:p>
    <w:p w14:paraId="70D9B6FE" w14:textId="77777777" w:rsidR="002811D5" w:rsidRPr="00FA468E" w:rsidRDefault="002811D5" w:rsidP="002811D5">
      <w:r w:rsidRPr="00FA468E">
        <w:t>ESC noted that</w:t>
      </w:r>
      <w:r>
        <w:t xml:space="preserve"> MSAC has previously considered and supported MBS listing of</w:t>
      </w:r>
      <w:r w:rsidRPr="00FA468E">
        <w:t xml:space="preserve"> </w:t>
      </w:r>
      <w:r>
        <w:t xml:space="preserve">four other </w:t>
      </w:r>
      <w:r w:rsidRPr="00FA468E">
        <w:t xml:space="preserve">minimally invasive procedures </w:t>
      </w:r>
      <w:r>
        <w:t>for BPH:</w:t>
      </w:r>
      <w:r w:rsidRPr="00FA468E">
        <w:t xml:space="preserve"> transurethral needle ablation (TUNA; MBS item 37201</w:t>
      </w:r>
      <w:r>
        <w:t xml:space="preserve"> and 37202</w:t>
      </w:r>
      <w:r w:rsidRPr="00FA468E">
        <w:t>), transurethral microwave therapy (TUMT; MBS item 37230), endoscopic enucleation (EEP) such as holmium-YAG laser enucleation of the prostate (</w:t>
      </w:r>
      <w:proofErr w:type="spellStart"/>
      <w:r w:rsidRPr="00FA468E">
        <w:t>HoLEP</w:t>
      </w:r>
      <w:proofErr w:type="spellEnd"/>
      <w:r w:rsidRPr="00FA468E">
        <w:t>; MBS item 37245)</w:t>
      </w:r>
      <w:r>
        <w:t>,</w:t>
      </w:r>
      <w:r w:rsidRPr="00FA468E">
        <w:t xml:space="preserve"> and visual laser ablation (VLAP; MBS item 37207). TUWA is currently </w:t>
      </w:r>
      <w:r>
        <w:t>claimed</w:t>
      </w:r>
      <w:r w:rsidRPr="00FA468E">
        <w:t xml:space="preserve"> under </w:t>
      </w:r>
      <w:r>
        <w:t xml:space="preserve">TUNA </w:t>
      </w:r>
      <w:r w:rsidRPr="00FA468E">
        <w:t xml:space="preserve">MBS </w:t>
      </w:r>
      <w:proofErr w:type="gramStart"/>
      <w:r w:rsidRPr="00FA468E">
        <w:t>item</w:t>
      </w:r>
      <w:r>
        <w:t>s</w:t>
      </w:r>
      <w:proofErr w:type="gramEnd"/>
      <w:r>
        <w:t xml:space="preserve"> but TUNA was not included in the review as it is not recommended for patients who are suitable for TURP (the comparator for the review) therefore not within scope of the review.</w:t>
      </w:r>
    </w:p>
    <w:p w14:paraId="6B4E13CD" w14:textId="2FCC7A69" w:rsidR="002811D5" w:rsidRPr="00FA468E" w:rsidRDefault="002811D5" w:rsidP="002811D5">
      <w:r w:rsidRPr="00FA468E">
        <w:t xml:space="preserve">ESC noted </w:t>
      </w:r>
      <w:r>
        <w:t>the</w:t>
      </w:r>
      <w:r w:rsidRPr="00FA468E">
        <w:t xml:space="preserve"> public consultation feedback</w:t>
      </w:r>
      <w:r>
        <w:t xml:space="preserve"> highlighted</w:t>
      </w:r>
      <w:r w:rsidRPr="00FA468E">
        <w:t xml:space="preserve"> the importance of patients being able to choose treatment</w:t>
      </w:r>
      <w:r>
        <w:t>, as</w:t>
      </w:r>
      <w:r w:rsidRPr="00FA468E">
        <w:t xml:space="preserve"> treatment for BPH </w:t>
      </w:r>
      <w:r>
        <w:t>aims to improve</w:t>
      </w:r>
      <w:r w:rsidRPr="00FA468E">
        <w:t xml:space="preserve"> quality of life. ESC noted </w:t>
      </w:r>
      <w:r>
        <w:t>personal and professional anecdotal experiences from clinicians</w:t>
      </w:r>
      <w:r w:rsidRPr="00FA468E">
        <w:t xml:space="preserve"> </w:t>
      </w:r>
      <w:r>
        <w:t xml:space="preserve">that </w:t>
      </w:r>
      <w:r w:rsidRPr="00FA468E">
        <w:t xml:space="preserve">TUWA is </w:t>
      </w:r>
      <w:r>
        <w:t>safe</w:t>
      </w:r>
      <w:r w:rsidRPr="00FA468E">
        <w:t xml:space="preserve">, preserves sexual function, is a day procedure and has </w:t>
      </w:r>
      <w:r>
        <w:t>relatively few</w:t>
      </w:r>
      <w:r w:rsidRPr="00FA468E">
        <w:t xml:space="preserve"> side effects</w:t>
      </w:r>
      <w:r>
        <w:t xml:space="preserve"> compared with alternative</w:t>
      </w:r>
      <w:r w:rsidRPr="00FA468E">
        <w:t xml:space="preserve"> treatment</w:t>
      </w:r>
      <w:r>
        <w:t xml:space="preserve">s. For example, a side effect of </w:t>
      </w:r>
      <w:r w:rsidRPr="00FA468E">
        <w:t>alpha blockers</w:t>
      </w:r>
      <w:r>
        <w:t xml:space="preserve"> (a possible treatment option for BPH)</w:t>
      </w:r>
      <w:r w:rsidRPr="00FA468E">
        <w:t xml:space="preserve">, </w:t>
      </w:r>
      <w:r>
        <w:t>is</w:t>
      </w:r>
      <w:r w:rsidRPr="00FA468E">
        <w:t xml:space="preserve"> memory loss. ESC noted that allowing patients a choice of not undergoing a treatment with known side effects would improve their quality of life. However, the feedback also noted that the data </w:t>
      </w:r>
      <w:r>
        <w:t>are</w:t>
      </w:r>
      <w:r w:rsidRPr="00FA468E">
        <w:t xml:space="preserve"> incomplete</w:t>
      </w:r>
      <w:r>
        <w:t>,</w:t>
      </w:r>
      <w:r w:rsidRPr="00FA468E">
        <w:t xml:space="preserve"> showing a lack of research and poor quality of evidence.</w:t>
      </w:r>
      <w:r>
        <w:t xml:space="preserve"> </w:t>
      </w:r>
      <w:r w:rsidRPr="00FA468E">
        <w:t>ESC noted that</w:t>
      </w:r>
      <w:r>
        <w:t xml:space="preserve"> feedback reported</w:t>
      </w:r>
      <w:r w:rsidRPr="00FA468E">
        <w:t xml:space="preserve"> there are several factors that influence the decision of which procedure to perform, including prostate size, comorbidities, invasiveness of the procedure, access to equipment, adverse events </w:t>
      </w:r>
      <w:r>
        <w:t xml:space="preserve">(including sexual dysfunction) </w:t>
      </w:r>
      <w:r w:rsidRPr="00FA468E">
        <w:t xml:space="preserve">that are important to the patient/clinician, and patient preference. </w:t>
      </w:r>
    </w:p>
    <w:p w14:paraId="2D5A7E1C" w14:textId="77777777" w:rsidR="002811D5" w:rsidRPr="00FA468E" w:rsidRDefault="002811D5" w:rsidP="002811D5">
      <w:r w:rsidRPr="00FA468E">
        <w:t xml:space="preserve">ESC noted that </w:t>
      </w:r>
      <w:r>
        <w:t>the quantity of evidence varied across the interventions but a</w:t>
      </w:r>
      <w:r w:rsidRPr="00FA468E">
        <w:t>t least one randomised control</w:t>
      </w:r>
      <w:r>
        <w:t>led</w:t>
      </w:r>
      <w:r w:rsidRPr="00FA468E">
        <w:t xml:space="preserve"> trial (RCT) was available </w:t>
      </w:r>
      <w:r>
        <w:t>comparing the</w:t>
      </w:r>
      <w:r w:rsidRPr="00FA468E">
        <w:t xml:space="preserve"> interventions </w:t>
      </w:r>
      <w:r>
        <w:t>with</w:t>
      </w:r>
      <w:r w:rsidRPr="00FA468E">
        <w:t xml:space="preserve"> TURP, except for TUWA.</w:t>
      </w:r>
      <w:r>
        <w:t xml:space="preserve"> Therefore, the review drew upon other evidence to inform the comparison of TUWA versus TURP which included the indirect comparison previously presented to MSAC (as part of MSAC application 1586) and a published network meta-analysis (not previously considered by MSAC). </w:t>
      </w:r>
    </w:p>
    <w:p w14:paraId="03A4BB89" w14:textId="77777777" w:rsidR="002811D5" w:rsidRPr="00FA468E" w:rsidRDefault="002811D5" w:rsidP="002811D5">
      <w:r>
        <w:t xml:space="preserve">Regarding comparative safety, </w:t>
      </w:r>
      <w:r w:rsidRPr="00FA468E">
        <w:t>ESC noted that there were many different safety endpoints used in the evidence, and there was no</w:t>
      </w:r>
      <w:r>
        <w:t xml:space="preserve"> one</w:t>
      </w:r>
      <w:r w:rsidRPr="00FA468E">
        <w:t xml:space="preserve"> </w:t>
      </w:r>
      <w:r>
        <w:t xml:space="preserve">consistent </w:t>
      </w:r>
      <w:r w:rsidRPr="00FA468E">
        <w:t xml:space="preserve">safety endpoint that was used in all trials. Additionally, detailed safety </w:t>
      </w:r>
      <w:r>
        <w:t>data on</w:t>
      </w:r>
      <w:r w:rsidRPr="00FA468E">
        <w:t xml:space="preserve"> TUWA versus TURP </w:t>
      </w:r>
      <w:r>
        <w:t>were</w:t>
      </w:r>
      <w:r w:rsidRPr="00FA468E">
        <w:t xml:space="preserve"> not available. However, </w:t>
      </w:r>
      <w:r>
        <w:t xml:space="preserve">ESC noted </w:t>
      </w:r>
      <w:r w:rsidRPr="00FA468E">
        <w:t>the evidence suggest</w:t>
      </w:r>
      <w:r>
        <w:t>ed</w:t>
      </w:r>
      <w:r w:rsidRPr="00FA468E">
        <w:t xml:space="preserve"> that PUL and TUMT have superior safety versus TURP (when comparing retrograde ejaculation, urinary </w:t>
      </w:r>
      <w:proofErr w:type="gramStart"/>
      <w:r w:rsidRPr="00FA468E">
        <w:t>incontinence</w:t>
      </w:r>
      <w:proofErr w:type="gramEnd"/>
      <w:r w:rsidRPr="00FA468E">
        <w:t xml:space="preserve"> and major adverse events). Both VLAP and EEP had lower transfusion requirements than TURP, and while EEP also had lower rates of urinary tract infections, it had higher urinary incontinence rates. ESC noted that none of the interventions reported a statistically significant difference in erectile dysfunction scores compared with TURP. While it appeared </w:t>
      </w:r>
      <w:r>
        <w:t xml:space="preserve">that </w:t>
      </w:r>
      <w:r w:rsidRPr="00FA468E">
        <w:t xml:space="preserve">PUL may be superior, the trial was not </w:t>
      </w:r>
      <w:r>
        <w:t xml:space="preserve">sufficiently </w:t>
      </w:r>
      <w:r w:rsidRPr="00FA468E">
        <w:t>powered.</w:t>
      </w:r>
    </w:p>
    <w:p w14:paraId="61BB358F" w14:textId="60C9A0A2" w:rsidR="002811D5" w:rsidRDefault="002811D5" w:rsidP="002811D5">
      <w:r>
        <w:t xml:space="preserve">Regarding comparative effectiveness, </w:t>
      </w:r>
      <w:r w:rsidRPr="00FA468E">
        <w:t xml:space="preserve">ESC noted that key clinical endpoints </w:t>
      </w:r>
      <w:r>
        <w:t>for</w:t>
      </w:r>
      <w:r w:rsidRPr="00FA468E">
        <w:t xml:space="preserve"> effectiveness included the International Prostate Symptom Score (IPSS) and maximal flow rate (</w:t>
      </w:r>
      <w:proofErr w:type="spellStart"/>
      <w:r w:rsidRPr="00FA468E">
        <w:t>Qmax</w:t>
      </w:r>
      <w:proofErr w:type="spellEnd"/>
      <w:r w:rsidRPr="00FA468E">
        <w:t xml:space="preserve">). In particular, the </w:t>
      </w:r>
      <w:r w:rsidRPr="003F0027">
        <w:t>IPSS is an important patient reported outcome measure consisting of 7 questions to assess disease/symptom severity</w:t>
      </w:r>
      <w:r w:rsidRPr="00FA468E">
        <w:t xml:space="preserve">. ESC noted that PUL, TUMT and TUWA were no different or had inferior effectiveness compared to TURP. PUL </w:t>
      </w:r>
      <w:r>
        <w:t xml:space="preserve">and TUWA </w:t>
      </w:r>
      <w:r w:rsidRPr="00FA468E">
        <w:t xml:space="preserve">had </w:t>
      </w:r>
      <w:r>
        <w:t xml:space="preserve">statistically and clinically </w:t>
      </w:r>
      <w:r w:rsidRPr="00FA468E">
        <w:t xml:space="preserve">worse outcomes for IPSS </w:t>
      </w:r>
      <w:r>
        <w:t xml:space="preserve">and </w:t>
      </w:r>
      <w:proofErr w:type="spellStart"/>
      <w:r>
        <w:t>Qmax</w:t>
      </w:r>
      <w:proofErr w:type="spellEnd"/>
      <w:r>
        <w:t xml:space="preserve"> </w:t>
      </w:r>
      <w:r w:rsidRPr="00FA468E">
        <w:t>at 12 months</w:t>
      </w:r>
      <w:r>
        <w:t xml:space="preserve">. </w:t>
      </w:r>
      <w:r w:rsidRPr="00FA468E">
        <w:t xml:space="preserve">TUMT also had worse outcomes for IPSS and </w:t>
      </w:r>
      <w:proofErr w:type="spellStart"/>
      <w:r w:rsidRPr="00FA468E">
        <w:t>Qmax</w:t>
      </w:r>
      <w:proofErr w:type="spellEnd"/>
      <w:r w:rsidRPr="00FA468E">
        <w:t xml:space="preserve">. Conversely, EEP techniques were found to have superior effectiveness compared to TURP for some endpoints. Overall, compared with TURP, EEP and VLAP were found to have non-inferior effectiveness, and </w:t>
      </w:r>
      <w:r>
        <w:t xml:space="preserve">for EEP </w:t>
      </w:r>
      <w:r w:rsidRPr="00FA468E">
        <w:t xml:space="preserve">possibly superior effectiveness, for IPSS and </w:t>
      </w:r>
      <w:proofErr w:type="spellStart"/>
      <w:r w:rsidRPr="00FA468E">
        <w:t>Qmax</w:t>
      </w:r>
      <w:proofErr w:type="spellEnd"/>
      <w:r w:rsidRPr="00FA468E">
        <w:t>.</w:t>
      </w:r>
    </w:p>
    <w:p w14:paraId="66029107" w14:textId="77777777" w:rsidR="002811D5" w:rsidRPr="00FA468E" w:rsidRDefault="002811D5" w:rsidP="002811D5">
      <w:r w:rsidRPr="00FA468E">
        <w:lastRenderedPageBreak/>
        <w:t>ESC noted that evidence provided to MSAC in July 2020 suggested that PUL ha</w:t>
      </w:r>
      <w:r>
        <w:t>d</w:t>
      </w:r>
      <w:r w:rsidRPr="00FA468E">
        <w:t xml:space="preserve"> inferior effectiveness versus TURP. PUL was also shown to have a different safety profile, so comparative safety was unclear. ESC noted </w:t>
      </w:r>
      <w:r>
        <w:t>the pre-ESC response from Teleflex Medical (applicant for PUL – MSAC 1612)</w:t>
      </w:r>
      <w:r w:rsidRPr="00FA468E">
        <w:t xml:space="preserve"> highlighted that although TURP is superior for IPSS change, PUL still achieves a significant change (</w:t>
      </w:r>
      <w:r>
        <w:t>change from baseline: -</w:t>
      </w:r>
      <w:r w:rsidRPr="00FA468E">
        <w:t xml:space="preserve">11.4 for PUL versus </w:t>
      </w:r>
      <w:r>
        <w:t>-</w:t>
      </w:r>
      <w:r w:rsidRPr="00FA468E">
        <w:t xml:space="preserve">15.4 for TURP, at 12 months), and the quality of life (QOL) improvement is no different between TURP and PUL. </w:t>
      </w:r>
      <w:r>
        <w:t>The</w:t>
      </w:r>
      <w:r w:rsidRPr="00FA468E">
        <w:t xml:space="preserve"> </w:t>
      </w:r>
      <w:r>
        <w:t xml:space="preserve">pre-ESC response from Teleflex Medical also suggested alternative </w:t>
      </w:r>
      <w:r w:rsidRPr="00FA468E">
        <w:t>reintervention rate</w:t>
      </w:r>
      <w:r>
        <w:t>s</w:t>
      </w:r>
      <w:r w:rsidRPr="00FA468E">
        <w:t xml:space="preserve"> for PUL</w:t>
      </w:r>
      <w:r>
        <w:t xml:space="preserve">. ESC considered the </w:t>
      </w:r>
      <w:proofErr w:type="gramStart"/>
      <w:r w:rsidRPr="00FA468E">
        <w:t>5 year</w:t>
      </w:r>
      <w:proofErr w:type="gramEnd"/>
      <w:r>
        <w:t xml:space="preserve"> re-intervention rate (</w:t>
      </w:r>
      <w:r w:rsidRPr="00FA468E">
        <w:t>13.6%</w:t>
      </w:r>
      <w:r>
        <w:t>) from the L.I.F.T study to be high and noted the review applied the re-intervention rate from a network meta-analysis</w:t>
      </w:r>
      <w:r>
        <w:rPr>
          <w:rStyle w:val="FootnoteReference"/>
        </w:rPr>
        <w:footnoteReference w:id="7"/>
      </w:r>
      <w:r>
        <w:t xml:space="preserve">. </w:t>
      </w:r>
    </w:p>
    <w:p w14:paraId="0B82B0D5" w14:textId="77777777" w:rsidR="002811D5" w:rsidRPr="00FA468E" w:rsidRDefault="002811D5" w:rsidP="002811D5">
      <w:r w:rsidRPr="00FA468E">
        <w:t>ESC noted that the evidence provided to MSAC in July 2020 suggested that TUWA had inferior effectiveness and potentially superior safety compared to TURP. In the review, TUWA was found to have inferior effectiveness and non-inferior safety. ESC noted</w:t>
      </w:r>
      <w:r>
        <w:t xml:space="preserve"> the pre-ESC response</w:t>
      </w:r>
      <w:r w:rsidRPr="00FA468E">
        <w:t xml:space="preserve"> from Boston Scientific</w:t>
      </w:r>
      <w:r>
        <w:t xml:space="preserve"> (applicant for TUWA – MSAC 1586)</w:t>
      </w:r>
      <w:r w:rsidRPr="00FA468E">
        <w:t xml:space="preserve"> </w:t>
      </w:r>
      <w:r>
        <w:t xml:space="preserve">highlighted that the review did not consider </w:t>
      </w:r>
      <w:r w:rsidRPr="00F93BB0">
        <w:t>the Male Sexual Health Questionnaire for Ejaculatory Dysfunction (MSHQ-</w:t>
      </w:r>
      <w:proofErr w:type="spellStart"/>
      <w:r w:rsidRPr="00F93BB0">
        <w:t>Edj</w:t>
      </w:r>
      <w:proofErr w:type="spellEnd"/>
      <w:r w:rsidRPr="00F93BB0">
        <w:t xml:space="preserve">) outcome for TUWA vs TURP </w:t>
      </w:r>
      <w:r>
        <w:t xml:space="preserve">and suggested </w:t>
      </w:r>
      <w:r w:rsidRPr="00FA468E">
        <w:t xml:space="preserve">that a conclusion of non-inferior effectiveness and superior safety is more appropriate. ESC noted the rejoinder </w:t>
      </w:r>
      <w:r>
        <w:t xml:space="preserve">agreed that </w:t>
      </w:r>
      <w:r w:rsidRPr="00FA468E">
        <w:t xml:space="preserve">it is likely that TUWA is superior to TURP for sexual function, and that evidence </w:t>
      </w:r>
      <w:r>
        <w:t xml:space="preserve">suggests </w:t>
      </w:r>
      <w:r w:rsidRPr="00FA468E">
        <w:t>TUWA sexual function remains stable over 5 years of follow-up</w:t>
      </w:r>
      <w:r>
        <w:t xml:space="preserve">. However, the review </w:t>
      </w:r>
      <w:r w:rsidRPr="00CD6D51">
        <w:t>more cautiously reported TUWA as being non-inferior as the safety outcomes for TUWA were not statistically significantly different from TURP, and all safety comparisons were naïve and indirect</w:t>
      </w:r>
      <w:r>
        <w:t xml:space="preserve"> treatment comparisons. ESC</w:t>
      </w:r>
      <w:r w:rsidRPr="00CD6D51">
        <w:t xml:space="preserve"> </w:t>
      </w:r>
      <w:r w:rsidRPr="00FA468E">
        <w:t>considered a conclusion of inferior effectiveness and non-inferior</w:t>
      </w:r>
      <w:r>
        <w:t xml:space="preserve"> </w:t>
      </w:r>
      <w:r w:rsidRPr="00FA468E">
        <w:t xml:space="preserve">safety </w:t>
      </w:r>
      <w:r>
        <w:t>for TUWA versus TURP was</w:t>
      </w:r>
      <w:r w:rsidRPr="00FA468E">
        <w:t xml:space="preserve"> </w:t>
      </w:r>
      <w:proofErr w:type="gramStart"/>
      <w:r w:rsidRPr="00FA468E">
        <w:t>appropriate, but</w:t>
      </w:r>
      <w:proofErr w:type="gramEnd"/>
      <w:r w:rsidRPr="00FA468E">
        <w:t xml:space="preserve"> acknowledged</w:t>
      </w:r>
      <w:r>
        <w:t xml:space="preserve"> TUWA may potentially have superior safety although </w:t>
      </w:r>
      <w:r w:rsidRPr="00FA468E">
        <w:t>these conclusions were based on low-</w:t>
      </w:r>
      <w:r>
        <w:t xml:space="preserve">level </w:t>
      </w:r>
      <w:r w:rsidRPr="00FA468E">
        <w:t>evidence</w:t>
      </w:r>
      <w:r>
        <w:t xml:space="preserve"> (naïve or indirect treatment comparison) which should be interpreted with caution</w:t>
      </w:r>
      <w:r w:rsidRPr="00FA468E">
        <w:t xml:space="preserve">. </w:t>
      </w:r>
    </w:p>
    <w:p w14:paraId="2FC69573" w14:textId="5280D793" w:rsidR="002811D5" w:rsidRPr="00FA468E" w:rsidRDefault="002811D5" w:rsidP="002811D5">
      <w:r w:rsidRPr="00FA468E">
        <w:t xml:space="preserve">ESC also noted that </w:t>
      </w:r>
      <w:r>
        <w:t xml:space="preserve">when MSAC previously considered MSAC application 1586, MSAC had also requested a comparison of TUWA versus VLAP. As there is no direct comparative evidence comparing TUWA versus VLAP, </w:t>
      </w:r>
      <w:r w:rsidRPr="00FA468E">
        <w:t xml:space="preserve">Boston Scientific provided an addendum </w:t>
      </w:r>
      <w:r>
        <w:t xml:space="preserve">to MSAC application 1586, </w:t>
      </w:r>
      <w:r w:rsidRPr="00FA468E">
        <w:t xml:space="preserve">comparing </w:t>
      </w:r>
      <w:r>
        <w:t xml:space="preserve">the clinical effectiveness of </w:t>
      </w:r>
      <w:r w:rsidRPr="00FA468E">
        <w:t>TUWA with VLAP</w:t>
      </w:r>
      <w:r>
        <w:t xml:space="preserve"> by presenting an </w:t>
      </w:r>
      <w:proofErr w:type="gramStart"/>
      <w:r w:rsidRPr="00FA468E">
        <w:t>indirect treatment comparisons (ITC)</w:t>
      </w:r>
      <w:proofErr w:type="gramEnd"/>
      <w:r>
        <w:t>: TUWA vs Sham vs PUL vs TURP vs VLAP limited to a 3 month time period. Comparisons beyond 3 months are naïve comparisons</w:t>
      </w:r>
      <w:r w:rsidRPr="00FA468E">
        <w:t>. ESC agreed with the Commentary</w:t>
      </w:r>
      <w:r>
        <w:t xml:space="preserve"> on MSAC 1586 addendum</w:t>
      </w:r>
      <w:r w:rsidRPr="00FA468E">
        <w:t xml:space="preserve"> that</w:t>
      </w:r>
      <w:r>
        <w:t xml:space="preserve"> the 3-step</w:t>
      </w:r>
      <w:r w:rsidRPr="00FA468E">
        <w:t xml:space="preserve"> ITC analys</w:t>
      </w:r>
      <w:r>
        <w:t>i</w:t>
      </w:r>
      <w:r w:rsidRPr="00FA468E">
        <w:t>s ha</w:t>
      </w:r>
      <w:r>
        <w:t>s</w:t>
      </w:r>
      <w:r w:rsidRPr="00FA468E">
        <w:t xml:space="preserve"> a significant risk of bias, especially for </w:t>
      </w:r>
      <w:r>
        <w:t xml:space="preserve">the naïve comparison of </w:t>
      </w:r>
      <w:r w:rsidRPr="00FA468E">
        <w:t>longer-term outcomes beyond 3 months</w:t>
      </w:r>
      <w:r>
        <w:t xml:space="preserve"> ESC noted that it was claimed that TUWA had superior safety compared to VLAP with respect to sexual function and adverse events. ESC noted the reported lower rates for any adverse event at 24 months (60.3% TUWAV versus 67.2% VLAP), </w:t>
      </w:r>
      <w:r w:rsidRPr="00CD72A3">
        <w:t xml:space="preserve">urinary tract infection </w:t>
      </w:r>
      <w:r>
        <w:t>(</w:t>
      </w:r>
      <w:r w:rsidRPr="00FA468E">
        <w:t xml:space="preserve">1.5% </w:t>
      </w:r>
      <w:r>
        <w:t xml:space="preserve">TUWA versus 20% VLAP) </w:t>
      </w:r>
      <w:r w:rsidRPr="00FA468E">
        <w:t xml:space="preserve">and urinary retention </w:t>
      </w:r>
      <w:r>
        <w:t>(</w:t>
      </w:r>
      <w:r w:rsidRPr="00FA468E">
        <w:t>5.1%</w:t>
      </w:r>
      <w:r>
        <w:t xml:space="preserve"> TUWA vs 12% VLAP). However, ESC noted higher rates for TUWA</w:t>
      </w:r>
      <w:r w:rsidRPr="00FA468E">
        <w:t xml:space="preserve"> </w:t>
      </w:r>
      <w:r>
        <w:t xml:space="preserve">have </w:t>
      </w:r>
      <w:r w:rsidRPr="00FA468E">
        <w:t>been reported in clinical practice</w:t>
      </w:r>
      <w:r>
        <w:t>, 14-</w:t>
      </w:r>
      <w:r w:rsidRPr="00FA468E">
        <w:t xml:space="preserve">17% </w:t>
      </w:r>
      <w:r>
        <w:t xml:space="preserve">UTI </w:t>
      </w:r>
      <w:r w:rsidRPr="00FA468E">
        <w:t>and 14%</w:t>
      </w:r>
      <w:r>
        <w:t xml:space="preserve"> urinary retention</w:t>
      </w:r>
      <w:r w:rsidRPr="00FA468E">
        <w:t>.</w:t>
      </w:r>
      <w:r>
        <w:t xml:space="preserve"> ESC noted it was claimed that TUWA has non-inferior effectiveness compared to VLAP with respect to IPSS, IPSS QoL and retreatment rate. ESC noted that it appeared IPSS favoured VLAP over TUWA and that VLAP was superior to TUWA for </w:t>
      </w:r>
      <w:proofErr w:type="spellStart"/>
      <w:r>
        <w:t>Qmax</w:t>
      </w:r>
      <w:proofErr w:type="spellEnd"/>
      <w:r>
        <w:t xml:space="preserve">. ESC noted the reported low retreatment rates for TUWA but noted this was based on the REZUM trial with 34% patient data missing at 5 years (n=77/136). Further, other data suggested the retreatment rate for TUWA was higher. </w:t>
      </w:r>
      <w:r w:rsidRPr="00FA468E">
        <w:t xml:space="preserve">Overall, ESC considered </w:t>
      </w:r>
      <w:r>
        <w:t>that the</w:t>
      </w:r>
      <w:r w:rsidRPr="00FA468E">
        <w:t xml:space="preserve"> effectiveness and safety of TUWA versus </w:t>
      </w:r>
      <w:r>
        <w:t>VLAP</w:t>
      </w:r>
      <w:r w:rsidRPr="00FA468E">
        <w:t>, should be</w:t>
      </w:r>
      <w:r>
        <w:t xml:space="preserve"> interpreted with</w:t>
      </w:r>
      <w:r w:rsidRPr="00FA468E">
        <w:t xml:space="preserve"> caution</w:t>
      </w:r>
      <w:r>
        <w:t xml:space="preserve"> due to the low-level evidence (ITC for 3 months, naïve comparisons for &gt; 3mths),</w:t>
      </w:r>
      <w:r w:rsidRPr="00FA468E">
        <w:t xml:space="preserve"> </w:t>
      </w:r>
      <w:r>
        <w:t>the</w:t>
      </w:r>
      <w:r w:rsidRPr="00FA468E">
        <w:t xml:space="preserve"> risk of within-study bias, inconsistency between studies (and na</w:t>
      </w:r>
      <w:r>
        <w:t>i</w:t>
      </w:r>
      <w:r w:rsidRPr="00FA468E">
        <w:t xml:space="preserve">ve comparisons), and uncertainty </w:t>
      </w:r>
      <w:r>
        <w:t>regarding</w:t>
      </w:r>
      <w:r w:rsidRPr="00FA468E">
        <w:t xml:space="preserve"> applicability. ESC considered </w:t>
      </w:r>
      <w:r>
        <w:t>that a robust clinical claim is not supported due to</w:t>
      </w:r>
      <w:r w:rsidRPr="00FA468E">
        <w:t xml:space="preserve"> uncertainty </w:t>
      </w:r>
      <w:r>
        <w:t>in</w:t>
      </w:r>
      <w:r w:rsidRPr="00FA468E">
        <w:t xml:space="preserve"> the evidence</w:t>
      </w:r>
      <w:r>
        <w:t>.</w:t>
      </w:r>
    </w:p>
    <w:p w14:paraId="70602DD9" w14:textId="77777777" w:rsidR="002811D5" w:rsidRPr="00FA468E" w:rsidDel="00062EBD" w:rsidRDefault="002811D5" w:rsidP="002811D5">
      <w:r w:rsidRPr="00FA468E" w:rsidDel="00062EBD">
        <w:lastRenderedPageBreak/>
        <w:t xml:space="preserve">In general, ESC noted that minimally invasive procedures have non-inferior or inferior effectiveness and superior safety compared to TURP. </w:t>
      </w:r>
      <w:r>
        <w:t>N</w:t>
      </w:r>
      <w:r w:rsidRPr="00FA468E" w:rsidDel="00062EBD">
        <w:t>one of the interventions are superior for both efficacy and safety compared to TURP</w:t>
      </w:r>
      <w:r>
        <w:t>. ESC agreed with the review that</w:t>
      </w:r>
      <w:r w:rsidDel="00062EBD">
        <w:t xml:space="preserve"> there </w:t>
      </w:r>
      <w:r>
        <w:t>is</w:t>
      </w:r>
      <w:r w:rsidDel="00062EBD">
        <w:t xml:space="preserve"> a trade-off </w:t>
      </w:r>
      <w:r>
        <w:t xml:space="preserve">in efficacy to achieve </w:t>
      </w:r>
      <w:proofErr w:type="gramStart"/>
      <w:r>
        <w:t>particular safety</w:t>
      </w:r>
      <w:proofErr w:type="gramEnd"/>
      <w:r>
        <w:t xml:space="preserve"> outcomes. </w:t>
      </w:r>
    </w:p>
    <w:p w14:paraId="34CBCC34" w14:textId="77298824" w:rsidR="002811D5" w:rsidRDefault="002811D5" w:rsidP="002811D5">
      <w:r>
        <w:t xml:space="preserve">ESC noted that during its previous consideration of MSAC application 1586 and 1612, MSAC had expressed concern that it was difficult to compare costs and determine appropriate fees, as each application used different costing approaches. Thus, verification of appropriate costs for each procedure and consistent application was an important aspect of the review to support and inform MSAC’s deliberation and advice. </w:t>
      </w:r>
    </w:p>
    <w:p w14:paraId="0965AFCD" w14:textId="77777777" w:rsidR="002811D5" w:rsidRDefault="002811D5" w:rsidP="002811D5">
      <w:r w:rsidRPr="00FA468E">
        <w:t xml:space="preserve">ESC noted that the </w:t>
      </w:r>
      <w:r>
        <w:t xml:space="preserve">review presented </w:t>
      </w:r>
      <w:r w:rsidRPr="00FA468E">
        <w:t>a cost-consequence analysis and</w:t>
      </w:r>
      <w:r>
        <w:t xml:space="preserve"> for some outcomes (IPSS and </w:t>
      </w:r>
      <w:proofErr w:type="spellStart"/>
      <w:r>
        <w:t>Qmax</w:t>
      </w:r>
      <w:proofErr w:type="spellEnd"/>
      <w:r>
        <w:t>) presented</w:t>
      </w:r>
      <w:r w:rsidRPr="00FA468E">
        <w:t xml:space="preserve"> a cost-effectiveness analysis</w:t>
      </w:r>
      <w:r>
        <w:t>. ESC</w:t>
      </w:r>
      <w:r w:rsidRPr="00FA468E">
        <w:t xml:space="preserve"> considered this </w:t>
      </w:r>
      <w:r>
        <w:t xml:space="preserve">to be </w:t>
      </w:r>
      <w:r w:rsidRPr="00FA468E">
        <w:t>appropriate</w:t>
      </w:r>
      <w:r>
        <w:t xml:space="preserve"> given there are </w:t>
      </w:r>
      <w:proofErr w:type="gramStart"/>
      <w:r>
        <w:t>a number of</w:t>
      </w:r>
      <w:proofErr w:type="gramEnd"/>
      <w:r>
        <w:t xml:space="preserve"> important health outcomes, the level of evidence available to support the clinical claims, and the trade-offs in effectiveness and safety outcomes</w:t>
      </w:r>
      <w:r w:rsidRPr="00FA468E">
        <w:t xml:space="preserve">. </w:t>
      </w:r>
      <w:r>
        <w:t>ESC considered that the review was comprehensive and thorough in its approach to costing the procedures.</w:t>
      </w:r>
    </w:p>
    <w:p w14:paraId="1D15F4D6" w14:textId="77777777" w:rsidR="002811D5" w:rsidRPr="00EE2A5C" w:rsidRDefault="002811D5" w:rsidP="00566C28">
      <w:r w:rsidRPr="006715AE">
        <w:t xml:space="preserve">ESC noted that the primary services costs were based on MBS fees. In the case of PUL, the review presented the costing for </w:t>
      </w:r>
      <w:r w:rsidRPr="00055709">
        <w:t>PUL at the current MBS fee ($337, MBS item 36811) and the costing for PUL at the proposed increased MBS fee as per MSAC application 1612 ($1,084 same as TURP and VLAP MBS fee). ESC also noted that the applicant for MSAC 1612 appeared to suggest a different fee for PUL in their pre-ESC response ($842, same as the fee proposed for TUWA).</w:t>
      </w:r>
    </w:p>
    <w:p w14:paraId="6E5E7368" w14:textId="77777777" w:rsidR="002811D5" w:rsidRPr="00FA468E" w:rsidRDefault="002811D5" w:rsidP="002811D5">
      <w:r w:rsidRPr="00FA468E">
        <w:t>ESC considered it appropriate that anaesthesia costs were included, as it is assumed that all BPH procedures are performed under general anaesthesia. ESC noted that the costs associated with anaesthesia are based on the estimated mean procedure durations for each treatment.</w:t>
      </w:r>
    </w:p>
    <w:p w14:paraId="387E496E" w14:textId="77777777" w:rsidR="002811D5" w:rsidRPr="00FA468E" w:rsidRDefault="002811D5" w:rsidP="002811D5">
      <w:r w:rsidRPr="00FA468E">
        <w:t xml:space="preserve">ESC considered the steps used to calculate hospital costs </w:t>
      </w:r>
      <w:r>
        <w:t>to be</w:t>
      </w:r>
      <w:r w:rsidRPr="00FA468E">
        <w:t xml:space="preserve"> appropriate. ESC noted that in MSAC Applications 1612 and 1586, different approaches and figures were used that affected the hospital costs. These included not adding theatre costs, using different average lengths of stay, and basing costs on private hospital fees for worker compensation (which is a flat rate). ESC noted the effect this had on the estimated hospital costs</w:t>
      </w:r>
      <w:r>
        <w:t>, which were</w:t>
      </w:r>
      <w:r w:rsidRPr="00FA468E">
        <w:t xml:space="preserve"> $3,662 (</w:t>
      </w:r>
      <w:r>
        <w:t xml:space="preserve">MSAC </w:t>
      </w:r>
      <w:r w:rsidRPr="00FA468E">
        <w:t>Application 1586</w:t>
      </w:r>
      <w:r>
        <w:t xml:space="preserve"> - TUWA</w:t>
      </w:r>
      <w:r w:rsidRPr="00FA468E">
        <w:t>), $4,500 (</w:t>
      </w:r>
      <w:r>
        <w:t xml:space="preserve">MSAC </w:t>
      </w:r>
      <w:r w:rsidRPr="00FA468E">
        <w:t>Application 1612</w:t>
      </w:r>
      <w:r>
        <w:t xml:space="preserve"> - PUL</w:t>
      </w:r>
      <w:r w:rsidRPr="00FA468E">
        <w:t>) and $4,602 (</w:t>
      </w:r>
      <w:r>
        <w:t>this review</w:t>
      </w:r>
      <w:r w:rsidRPr="00FA468E">
        <w:t>).</w:t>
      </w:r>
      <w:r>
        <w:t xml:space="preserve"> ESC considered the steps taken to derive the hospitals costs for the review were more appropriate.</w:t>
      </w:r>
    </w:p>
    <w:p w14:paraId="5FD3C31F" w14:textId="77777777" w:rsidR="002811D5" w:rsidRPr="00FA468E" w:rsidRDefault="002811D5" w:rsidP="002811D5">
      <w:r w:rsidRPr="00FA468E">
        <w:t xml:space="preserve">ESC noted that the costs associated with reintervention were another important component of the economic evaluation. ESC noted the review assumed that TURP will be selected as the method for all </w:t>
      </w:r>
      <w:proofErr w:type="gramStart"/>
      <w:r w:rsidRPr="00FA468E">
        <w:t>reinterventions, and</w:t>
      </w:r>
      <w:proofErr w:type="gramEnd"/>
      <w:r w:rsidRPr="00FA468E">
        <w:t xml:space="preserve"> used four RCTs to derive a weighted mean for the TURP reintervention rate. Risk ratios were used to estimate the reintervention for each procedure. ESC considered this approach to be appropriate. ESC noted that</w:t>
      </w:r>
      <w:r>
        <w:t>,</w:t>
      </w:r>
      <w:r w:rsidRPr="00FA468E">
        <w:t xml:space="preserve"> in MSAC Application 1612, the cost of reintervention for PUL was calculated as $83 more than TURP (using a very low rate of reintervention); however, the incremental cost in </w:t>
      </w:r>
      <w:r>
        <w:t>this review</w:t>
      </w:r>
      <w:r w:rsidRPr="00FA468E">
        <w:t xml:space="preserve"> was $6</w:t>
      </w:r>
      <w:r>
        <w:t>48</w:t>
      </w:r>
      <w:r w:rsidRPr="00FA468E">
        <w:t>.</w:t>
      </w:r>
      <w:r>
        <w:t xml:space="preserve"> ESC also discussed the different re-intervention rates suggested in the pre-ESC responses from the applicants for MSAC applications 1586 and 1612. ESC considered that the base case re-intervention rates and the ranges used in the sensitivity analysis for the review were appropriate.</w:t>
      </w:r>
    </w:p>
    <w:p w14:paraId="59F16503" w14:textId="77777777" w:rsidR="002811D5" w:rsidRPr="00FA468E" w:rsidRDefault="002811D5" w:rsidP="002811D5">
      <w:r w:rsidRPr="00FA468E">
        <w:t xml:space="preserve">ESC noted </w:t>
      </w:r>
      <w:r>
        <w:t xml:space="preserve">that </w:t>
      </w:r>
      <w:r w:rsidRPr="00FA468E">
        <w:t xml:space="preserve">the cost of PUL is sensitive to the number of prostheses. Application 1612 used four implants, but </w:t>
      </w:r>
      <w:r>
        <w:t xml:space="preserve">at that time </w:t>
      </w:r>
      <w:r w:rsidRPr="00FA468E">
        <w:t xml:space="preserve">MSAC </w:t>
      </w:r>
      <w:r>
        <w:t xml:space="preserve">had </w:t>
      </w:r>
      <w:r w:rsidRPr="00FA468E">
        <w:t xml:space="preserve">noted that the cost of PUL may be underestimated due to the number of implants required. ESC noted </w:t>
      </w:r>
      <w:r>
        <w:t xml:space="preserve">that </w:t>
      </w:r>
      <w:r w:rsidRPr="00FA468E">
        <w:t xml:space="preserve">the </w:t>
      </w:r>
      <w:r>
        <w:t>review</w:t>
      </w:r>
      <w:r w:rsidRPr="00FA468E">
        <w:t xml:space="preserve"> used results of a recent systematic review </w:t>
      </w:r>
      <w:r>
        <w:t>and applied</w:t>
      </w:r>
      <w:r w:rsidRPr="00FA468E">
        <w:t xml:space="preserve"> 4.54 </w:t>
      </w:r>
      <w:r>
        <w:t>implants in</w:t>
      </w:r>
      <w:r w:rsidRPr="00FA468E">
        <w:t xml:space="preserve"> the base case</w:t>
      </w:r>
      <w:r>
        <w:t>. ESC</w:t>
      </w:r>
      <w:r w:rsidRPr="00FA468E">
        <w:t xml:space="preserve"> considered this appropriate. The sensitivity analysis provided in the </w:t>
      </w:r>
      <w:r>
        <w:t>review</w:t>
      </w:r>
      <w:r w:rsidRPr="00FA468E">
        <w:t xml:space="preserve"> found that </w:t>
      </w:r>
      <w:r>
        <w:t xml:space="preserve">more than </w:t>
      </w:r>
      <w:r w:rsidRPr="00FA468E">
        <w:t>4.67</w:t>
      </w:r>
      <w:r>
        <w:t xml:space="preserve"> implants</w:t>
      </w:r>
      <w:r w:rsidRPr="00FA468E">
        <w:t xml:space="preserve"> resulted in no cost savings for PUL</w:t>
      </w:r>
      <w:r>
        <w:t xml:space="preserve">. </w:t>
      </w:r>
    </w:p>
    <w:p w14:paraId="1CBCFB62" w14:textId="77777777" w:rsidR="002811D5" w:rsidRPr="00FA468E" w:rsidRDefault="002811D5" w:rsidP="002811D5">
      <w:r w:rsidRPr="00FA468E">
        <w:lastRenderedPageBreak/>
        <w:t>ESC considered the capital and maintenance costs to be the most uncertain item. For example, ESC noted that assumptions were based on 100 procedures</w:t>
      </w:r>
      <w:r>
        <w:t xml:space="preserve"> per </w:t>
      </w:r>
      <w:r w:rsidRPr="00FA468E">
        <w:t>year</w:t>
      </w:r>
      <w:r>
        <w:t xml:space="preserve"> per </w:t>
      </w:r>
      <w:r w:rsidRPr="00FA468E">
        <w:t>device for VLAP, and 50 procedures</w:t>
      </w:r>
      <w:r>
        <w:t xml:space="preserve"> per </w:t>
      </w:r>
      <w:r w:rsidRPr="00FA468E">
        <w:t>year</w:t>
      </w:r>
      <w:r>
        <w:t xml:space="preserve"> per </w:t>
      </w:r>
      <w:r w:rsidRPr="00FA468E">
        <w:t>device for TUWA and PUL</w:t>
      </w:r>
      <w:r>
        <w:t xml:space="preserve">. Although these were informed by information previously supplied to support MSAC’s consideration of VLAP (MSAC 1516), TUWA (MSAC 1586) and PUL (MSAC 1612), </w:t>
      </w:r>
      <w:r w:rsidRPr="00FA468E">
        <w:t>no justification was provided for these figures.</w:t>
      </w:r>
      <w:r>
        <w:t xml:space="preserve"> </w:t>
      </w:r>
      <w:r w:rsidRPr="00FA468E">
        <w:t xml:space="preserve">The sensitivity analysis provided in the </w:t>
      </w:r>
      <w:r>
        <w:t>review</w:t>
      </w:r>
      <w:r w:rsidRPr="00FA468E">
        <w:t xml:space="preserve"> found that </w:t>
      </w:r>
      <w:r>
        <w:t xml:space="preserve">50 procedures per year per device </w:t>
      </w:r>
      <w:r w:rsidRPr="00FA468E">
        <w:t>resulted in no cost savings</w:t>
      </w:r>
      <w:r>
        <w:t xml:space="preserve"> for VLAP.</w:t>
      </w:r>
    </w:p>
    <w:p w14:paraId="1904A988" w14:textId="2A72690B" w:rsidR="002811D5" w:rsidRPr="00FA468E" w:rsidRDefault="002811D5" w:rsidP="002811D5">
      <w:r w:rsidRPr="00FA468E">
        <w:t xml:space="preserve">ESC noted that the total cost of TURP </w:t>
      </w:r>
      <w:r>
        <w:t>was</w:t>
      </w:r>
      <w:r w:rsidRPr="00FA468E">
        <w:t xml:space="preserve"> estimated to be $6,876. </w:t>
      </w:r>
      <w:proofErr w:type="gramStart"/>
      <w:r>
        <w:t>All of</w:t>
      </w:r>
      <w:proofErr w:type="gramEnd"/>
      <w:r>
        <w:t xml:space="preserve"> the minimally invasive interventions were estimated to cost less </w:t>
      </w:r>
      <w:r w:rsidRPr="00FA468E">
        <w:t>than TURP</w:t>
      </w:r>
      <w:r>
        <w:t>, with the exception of</w:t>
      </w:r>
      <w:r w:rsidRPr="00FA468E">
        <w:t xml:space="preserve"> PUL</w:t>
      </w:r>
      <w:r>
        <w:t xml:space="preserve"> if </w:t>
      </w:r>
      <w:r w:rsidRPr="00FA468E">
        <w:t xml:space="preserve">the </w:t>
      </w:r>
      <w:r>
        <w:t xml:space="preserve">MBS </w:t>
      </w:r>
      <w:r w:rsidRPr="00FA468E">
        <w:t xml:space="preserve">service costs are increased. ESC noted that prostheses costs ($3,234) are the key driver of costs for PUL, which is affected by the number of implants required. The intervention with the largest cost savings is TUWA. One of the key drivers of cost for TUWA </w:t>
      </w:r>
      <w:r>
        <w:t>is the</w:t>
      </w:r>
      <w:r w:rsidRPr="00FA468E">
        <w:t xml:space="preserve"> consumables ($</w:t>
      </w:r>
      <w:r w:rsidR="00BC6842" w:rsidRPr="00BC6842">
        <w:rPr>
          <w:color w:val="000000"/>
          <w:w w:val="67"/>
          <w:shd w:val="solid" w:color="000000" w:fill="000000"/>
          <w:fitText w:val="447" w:id="-1455745023"/>
          <w14:textFill>
            <w14:solidFill>
              <w14:srgbClr w14:val="000000">
                <w14:alpha w14:val="100000"/>
              </w14:srgbClr>
            </w14:solidFill>
          </w14:textFill>
        </w:rPr>
        <w:t>||||||</w:t>
      </w:r>
      <w:r w:rsidRPr="00FA468E">
        <w:t xml:space="preserve">), which </w:t>
      </w:r>
      <w:r>
        <w:t>is</w:t>
      </w:r>
      <w:r w:rsidRPr="00FA468E">
        <w:t xml:space="preserve"> offset by low hospital stay costs ($1,719). </w:t>
      </w:r>
    </w:p>
    <w:p w14:paraId="62E89275" w14:textId="0F58C2DE" w:rsidR="002811D5" w:rsidRPr="00FA468E" w:rsidRDefault="002811D5" w:rsidP="002811D5">
      <w:r w:rsidRPr="00FA468E">
        <w:t>ESC noted that the difference in costs between VLAP</w:t>
      </w:r>
      <w:r>
        <w:t xml:space="preserve">, </w:t>
      </w:r>
      <w:r w:rsidRPr="00FA468E">
        <w:t>PUL</w:t>
      </w:r>
      <w:r>
        <w:t xml:space="preserve"> (current MBS fee)</w:t>
      </w:r>
      <w:r w:rsidRPr="00FA468E">
        <w:t xml:space="preserve"> and TURP is small, possibly within the boundaries of uncertainty in the analysis. However, ESC considered there </w:t>
      </w:r>
      <w:r>
        <w:t>is</w:t>
      </w:r>
      <w:r w:rsidRPr="00FA468E">
        <w:t xml:space="preserve"> uncertainty around the inputs used to estimate costs associated with implants and reinterventions for VLAP.</w:t>
      </w:r>
    </w:p>
    <w:p w14:paraId="0F477A5C" w14:textId="3C4730D3" w:rsidR="002811D5" w:rsidRDefault="002811D5" w:rsidP="002811D5">
      <w:r w:rsidRPr="00FA468E">
        <w:t xml:space="preserve">ESC noted that the </w:t>
      </w:r>
      <w:r>
        <w:t xml:space="preserve">cost effectiveness analysis </w:t>
      </w:r>
      <w:r w:rsidRPr="00FA468E">
        <w:t xml:space="preserve">found that when incremental IPSS is presented as the most </w:t>
      </w:r>
      <w:r>
        <w:t xml:space="preserve">important clinical </w:t>
      </w:r>
      <w:r w:rsidRPr="00FA468E">
        <w:t>outcome, the incremental cost-effectiveness ratio (ICER) for PUL (with equivalent service costs to TURP) is dominated by TURP. ESC noted that the ICER for TUWA is in the southwest quadrant</w:t>
      </w:r>
      <w:r>
        <w:t xml:space="preserve"> of the cost-effectiveness plane</w:t>
      </w:r>
      <w:r w:rsidRPr="00FA468E">
        <w:t xml:space="preserve">, meaning </w:t>
      </w:r>
      <w:r>
        <w:t>$</w:t>
      </w:r>
      <w:r w:rsidR="00BC6842" w:rsidRPr="00BC6842">
        <w:rPr>
          <w:color w:val="000000"/>
          <w:spacing w:val="35"/>
          <w:shd w:val="solid" w:color="000000" w:fill="000000"/>
          <w:fitText w:val="255" w:id="-1455745022"/>
          <w14:textFill>
            <w14:solidFill>
              <w14:srgbClr w14:val="000000">
                <w14:alpha w14:val="100000"/>
              </w14:srgbClr>
            </w14:solidFill>
          </w14:textFill>
        </w:rPr>
        <w:t>|</w:t>
      </w:r>
      <w:r w:rsidR="00BC6842" w:rsidRPr="00BC6842">
        <w:rPr>
          <w:color w:val="000000"/>
          <w:shd w:val="solid" w:color="000000" w:fill="000000"/>
          <w:fitText w:val="255" w:id="-1455745022"/>
          <w14:textFill>
            <w14:solidFill>
              <w14:srgbClr w14:val="000000">
                <w14:alpha w14:val="100000"/>
              </w14:srgbClr>
            </w14:solidFill>
          </w14:textFill>
        </w:rPr>
        <w:t>|</w:t>
      </w:r>
      <w:r>
        <w:t xml:space="preserve"> cost savings </w:t>
      </w:r>
      <w:r w:rsidRPr="00FA468E">
        <w:t xml:space="preserve">per gain in IPSS. ESC noted that most of the cost savings are relevant to private providers and health </w:t>
      </w:r>
      <w:r>
        <w:t>insurers</w:t>
      </w:r>
      <w:r w:rsidRPr="00FA468E">
        <w:t xml:space="preserve"> (for example, capital costs and hospital costs).</w:t>
      </w:r>
    </w:p>
    <w:p w14:paraId="442DC575" w14:textId="77777777" w:rsidR="002811D5" w:rsidRPr="00FA468E" w:rsidRDefault="002811D5" w:rsidP="002811D5">
      <w:r w:rsidRPr="00FA468E">
        <w:t xml:space="preserve">ESC noted that </w:t>
      </w:r>
      <w:r>
        <w:t>the MBS Reviews Taskforce has previously recommended creating a ‘general’ ablative MBS item by repurposing the MBS item for VLAP (</w:t>
      </w:r>
      <w:r w:rsidRPr="00FA468E">
        <w:t>MBS item 37207</w:t>
      </w:r>
      <w:r>
        <w:t xml:space="preserve">) </w:t>
      </w:r>
      <w:r w:rsidRPr="00FA468E">
        <w:t>to cover all ablative procedures</w:t>
      </w:r>
      <w:r>
        <w:t xml:space="preserve"> but that this had not been implemented due to the differing fees for ablative items for treating BPH. ESC noted that MSAC may wish to discuss a general ablative item for BPH but that the MBS fee disparity issue </w:t>
      </w:r>
      <w:proofErr w:type="gramStart"/>
      <w:r>
        <w:t>still remained</w:t>
      </w:r>
      <w:proofErr w:type="gramEnd"/>
      <w:r>
        <w:t xml:space="preserve">. ESC noted that the MBS fee sought for TUWA was less than the MBS fee for VLAP, so inclusion of TUWA in a ‘general’ ablative item would increase the proposed fee for TUWA. Although whether this is appropriate based on the level of evidence available would be an important consideration. </w:t>
      </w:r>
    </w:p>
    <w:p w14:paraId="62D84A36" w14:textId="1EA3D3AF" w:rsidR="005C144C" w:rsidRPr="005C144C" w:rsidRDefault="002811D5" w:rsidP="005C144C">
      <w:r w:rsidRPr="00FA468E">
        <w:t xml:space="preserve">ESC considered that if the fee for PUL is increased, a new MBS item </w:t>
      </w:r>
      <w:r>
        <w:t xml:space="preserve">should be created for PUL instead of increasing the fee for MBS item 36811 which is a general cystoscopy item for insertion of urethral or prostatic stents. </w:t>
      </w:r>
      <w:r w:rsidRPr="00FA468E">
        <w:t xml:space="preserve">ESC considered that a separate </w:t>
      </w:r>
      <w:r>
        <w:t>MBS item for PUL</w:t>
      </w:r>
      <w:r w:rsidRPr="00FA468E">
        <w:t xml:space="preserve"> would allow for usage tracking and auditing. ESC also noted that PUL is non-ablative and easily repeated, so questioned if there should be a limit or lifetime restriction (noting there </w:t>
      </w:r>
      <w:r>
        <w:t>are</w:t>
      </w:r>
      <w:r w:rsidRPr="00FA468E">
        <w:t xml:space="preserve"> no data available on retreatment with PUL following PUL</w:t>
      </w:r>
      <w:r>
        <w:t xml:space="preserve"> –</w:t>
      </w:r>
      <w:r w:rsidRPr="00FA468E">
        <w:t xml:space="preserve"> TURP is usually used for reintervention).</w:t>
      </w:r>
      <w:r>
        <w:t xml:space="preserve"> ESC also noted there had been some suggestions to include</w:t>
      </w:r>
      <w:r w:rsidRPr="00FA468E">
        <w:t xml:space="preserve"> clinical criteria in the item descriptors for PUL</w:t>
      </w:r>
      <w:r>
        <w:t xml:space="preserve">. </w:t>
      </w:r>
      <w:r w:rsidRPr="00FA468E">
        <w:t xml:space="preserve">However, ESC considered </w:t>
      </w:r>
      <w:r>
        <w:t xml:space="preserve">that </w:t>
      </w:r>
      <w:r w:rsidRPr="00FA468E">
        <w:t xml:space="preserve">clinical criteria </w:t>
      </w:r>
      <w:r>
        <w:t xml:space="preserve">should not be included </w:t>
      </w:r>
      <w:r w:rsidRPr="00FA468E">
        <w:t>in the item descriptor</w:t>
      </w:r>
      <w:r>
        <w:t xml:space="preserve"> and that it would be more appropriate for clinicians to make these decisions.</w:t>
      </w:r>
      <w:r w:rsidRPr="00FA468E">
        <w:t xml:space="preserve"> </w:t>
      </w:r>
      <w:r>
        <w:t>T</w:t>
      </w:r>
      <w:r w:rsidRPr="00FA468E">
        <w:t>here are guidelines available</w:t>
      </w:r>
      <w:r>
        <w:t xml:space="preserve"> </w:t>
      </w:r>
      <w:r w:rsidRPr="00FA468E">
        <w:t>from the American Urological Association about prostate volume selection</w:t>
      </w:r>
      <w:r>
        <w:t xml:space="preserve">. </w:t>
      </w:r>
      <w:r w:rsidRPr="00FA468E">
        <w:t xml:space="preserve">ESC </w:t>
      </w:r>
      <w:r>
        <w:t xml:space="preserve">also </w:t>
      </w:r>
      <w:r w:rsidRPr="00FA468E">
        <w:t xml:space="preserve">noted that there </w:t>
      </w:r>
      <w:r>
        <w:t>are</w:t>
      </w:r>
      <w:r w:rsidRPr="00FA468E">
        <w:t xml:space="preserve"> new urethral stents (</w:t>
      </w:r>
      <w:proofErr w:type="gramStart"/>
      <w:r>
        <w:t>e.g.</w:t>
      </w:r>
      <w:proofErr w:type="gramEnd"/>
      <w:r>
        <w:t xml:space="preserve"> </w:t>
      </w:r>
      <w:proofErr w:type="spellStart"/>
      <w:r w:rsidRPr="00FA468E">
        <w:t>iTIND</w:t>
      </w:r>
      <w:proofErr w:type="spellEnd"/>
      <w:r w:rsidRPr="00FA468E">
        <w:t>) available for the treatment of BPH</w:t>
      </w:r>
      <w:r>
        <w:t xml:space="preserve"> that would currently be inserted under the general cystoscopy item like PUL. ESC</w:t>
      </w:r>
      <w:r w:rsidRPr="00FA468E">
        <w:t xml:space="preserve"> </w:t>
      </w:r>
      <w:r>
        <w:t xml:space="preserve">noted MSAC may wish to consider whether the new MBS item for PUL should or should not encompass other prostheses for BPH treatment. </w:t>
      </w:r>
      <w:r w:rsidR="005C144C">
        <w:rPr>
          <w:b/>
          <w:bCs/>
        </w:rPr>
        <w:br w:type="page"/>
      </w:r>
    </w:p>
    <w:p w14:paraId="447DAF3C" w14:textId="488CF679" w:rsidR="002811D5" w:rsidRDefault="002811D5" w:rsidP="002811D5">
      <w:pPr>
        <w:rPr>
          <w:b/>
          <w:bCs/>
        </w:rPr>
      </w:pPr>
      <w:r>
        <w:rPr>
          <w:b/>
          <w:bCs/>
        </w:rPr>
        <w:lastRenderedPageBreak/>
        <w:t>Other discussion</w:t>
      </w:r>
    </w:p>
    <w:p w14:paraId="24B87C8C" w14:textId="5616EE30" w:rsidR="002811D5" w:rsidRPr="00D408A4" w:rsidRDefault="002811D5" w:rsidP="002811D5">
      <w:pPr>
        <w:rPr>
          <w:b/>
          <w:bCs/>
        </w:rPr>
      </w:pPr>
      <w:r w:rsidRPr="00FA468E">
        <w:t xml:space="preserve">ESC also noted that </w:t>
      </w:r>
      <w:r>
        <w:t xml:space="preserve">the pre-ESC response from </w:t>
      </w:r>
      <w:r w:rsidRPr="00FA468E">
        <w:t>Boston Scientific</w:t>
      </w:r>
      <w:r>
        <w:t xml:space="preserve"> (applicant for MSAC 1586)</w:t>
      </w:r>
      <w:r w:rsidRPr="00FA468E">
        <w:t xml:space="preserve"> request</w:t>
      </w:r>
      <w:r>
        <w:t>ed</w:t>
      </w:r>
      <w:r w:rsidRPr="00FA468E">
        <w:t xml:space="preserve"> MSAC make a recommendation to </w:t>
      </w:r>
      <w:r>
        <w:t>the Prostheses List Advisory Committee (</w:t>
      </w:r>
      <w:r w:rsidRPr="00FA468E">
        <w:t>PLAC</w:t>
      </w:r>
      <w:r>
        <w:t>)</w:t>
      </w:r>
      <w:r w:rsidRPr="00FA468E">
        <w:t xml:space="preserve"> that </w:t>
      </w:r>
      <w:proofErr w:type="spellStart"/>
      <w:r w:rsidR="00785E24" w:rsidRPr="00151854">
        <w:t>Rezūm</w:t>
      </w:r>
      <w:proofErr w:type="spellEnd"/>
      <w:r w:rsidR="00785E24" w:rsidRPr="00151854">
        <w:t xml:space="preserve"> </w:t>
      </w:r>
      <w:r w:rsidRPr="00FA468E">
        <w:t xml:space="preserve">water vapour therapy </w:t>
      </w:r>
      <w:r>
        <w:t>should be</w:t>
      </w:r>
      <w:r w:rsidRPr="00FA468E">
        <w:t xml:space="preserve"> placed on the </w:t>
      </w:r>
      <w:r>
        <w:t>P</w:t>
      </w:r>
      <w:r w:rsidRPr="00FA468E">
        <w:t>rothes</w:t>
      </w:r>
      <w:r>
        <w:t>e</w:t>
      </w:r>
      <w:r w:rsidRPr="00FA468E">
        <w:t xml:space="preserve">s </w:t>
      </w:r>
      <w:r>
        <w:t>L</w:t>
      </w:r>
      <w:r w:rsidRPr="00FA468E">
        <w:t>ist</w:t>
      </w:r>
      <w:r>
        <w:t xml:space="preserve"> (PL)</w:t>
      </w:r>
      <w:r w:rsidRPr="00FA468E">
        <w:t xml:space="preserve">. ESC </w:t>
      </w:r>
      <w:r>
        <w:t>noted that an application has been submitted to PLAC for the c</w:t>
      </w:r>
      <w:r w:rsidRPr="00151854">
        <w:t>onsumable co</w:t>
      </w:r>
      <w:r>
        <w:t>mponents</w:t>
      </w:r>
      <w:r w:rsidRPr="00151854">
        <w:t xml:space="preserve"> associated with use of the </w:t>
      </w:r>
      <w:proofErr w:type="spellStart"/>
      <w:r w:rsidRPr="00151854">
        <w:t>Rezūm</w:t>
      </w:r>
      <w:proofErr w:type="spellEnd"/>
      <w:r w:rsidRPr="00151854">
        <w:t xml:space="preserve"> system</w:t>
      </w:r>
      <w:r>
        <w:t>. ESC noted the applicant had previously requested this of MSAC and MSAC had advised that the role of MSAC is not to advise about the PL; this is the role of PLAC (</w:t>
      </w:r>
      <w:proofErr w:type="spellStart"/>
      <w:r>
        <w:t>pg</w:t>
      </w:r>
      <w:proofErr w:type="spellEnd"/>
      <w:r>
        <w:t xml:space="preserve"> 4 of </w:t>
      </w:r>
      <w:hyperlink r:id="rId24" w:history="1">
        <w:r w:rsidRPr="00D408A4">
          <w:rPr>
            <w:rStyle w:val="Hyperlink"/>
          </w:rPr>
          <w:t>MSAC application 1586 Public Summary Document</w:t>
        </w:r>
      </w:hyperlink>
      <w:r>
        <w:t>).</w:t>
      </w:r>
    </w:p>
    <w:p w14:paraId="183ECDB2" w14:textId="77777777" w:rsidR="002811D5" w:rsidRDefault="002811D5" w:rsidP="002811D5">
      <w:pPr>
        <w:pStyle w:val="Heading2"/>
        <w:numPr>
          <w:ilvl w:val="0"/>
          <w:numId w:val="0"/>
        </w:numPr>
      </w:pPr>
      <w:r>
        <w:t>17.</w:t>
      </w:r>
      <w:r>
        <w:tab/>
        <w:t>Applicant comments on MSAC’s Public Summary Document</w:t>
      </w:r>
    </w:p>
    <w:p w14:paraId="50D1EAAB" w14:textId="3528D51B" w:rsidR="00084B06" w:rsidRDefault="00084B06" w:rsidP="00084B06">
      <w:pPr>
        <w:spacing w:after="240"/>
        <w:rPr>
          <w:rFonts w:ascii="Arial" w:hAnsi="Arial" w:cs="Arial"/>
          <w:b/>
          <w:bCs/>
        </w:rPr>
      </w:pPr>
      <w:bookmarkStart w:id="42" w:name="_Hlk112746953"/>
      <w:r w:rsidRPr="00AD2AFD">
        <w:rPr>
          <w:rFonts w:ascii="Arial" w:hAnsi="Arial" w:cs="Arial"/>
          <w:b/>
          <w:bCs/>
        </w:rPr>
        <w:t xml:space="preserve">Applicant comment – </w:t>
      </w:r>
      <w:r>
        <w:rPr>
          <w:rFonts w:ascii="Arial" w:hAnsi="Arial" w:cs="Arial"/>
          <w:b/>
          <w:bCs/>
        </w:rPr>
        <w:t>Boston Scientific Pty Ltd</w:t>
      </w:r>
    </w:p>
    <w:p w14:paraId="7A844140" w14:textId="62C0944F" w:rsidR="00084B06" w:rsidRPr="00084B06" w:rsidRDefault="00084B06" w:rsidP="00084B06">
      <w:r w:rsidRPr="00084B06">
        <w:t>The Applicant welcomes MSAC’s decision to create a new MBS item for TUWA for the treatment of BPH. In the context of the emphasis on individual care, treatment choice and relieving hospital and health system burden, this listing of TUWA on the MBS will provide patients and clinicians with an alternate treatment option that meets the clinical need for a minimally invasive, resource efficient procedure that is safe and effective without having a detrimental impact on sexual function, and that leaves no permanent medical device behind in the body. TUWA provides cost savings to the Australian health care system compared to TURP and PUL, making it a valuable addition to the already available BPH interventions listed on the MBS.</w:t>
      </w:r>
    </w:p>
    <w:bookmarkEnd w:id="42"/>
    <w:p w14:paraId="71092037" w14:textId="40C4EB64" w:rsidR="00084B06" w:rsidRDefault="00084B06" w:rsidP="00084B06">
      <w:pPr>
        <w:spacing w:after="240"/>
        <w:rPr>
          <w:rFonts w:ascii="Arial" w:hAnsi="Arial" w:cs="Arial"/>
          <w:b/>
          <w:bCs/>
        </w:rPr>
      </w:pPr>
      <w:r w:rsidRPr="00AD2AFD">
        <w:rPr>
          <w:rFonts w:ascii="Arial" w:hAnsi="Arial" w:cs="Arial"/>
          <w:b/>
          <w:bCs/>
        </w:rPr>
        <w:t xml:space="preserve">Applicant comment – </w:t>
      </w:r>
      <w:r>
        <w:rPr>
          <w:rFonts w:ascii="Arial" w:hAnsi="Arial" w:cs="Arial"/>
          <w:b/>
          <w:bCs/>
        </w:rPr>
        <w:t>Teleflex Medical</w:t>
      </w:r>
      <w:r w:rsidRPr="00084B06">
        <w:t xml:space="preserve"> </w:t>
      </w:r>
      <w:r w:rsidRPr="00084B06">
        <w:rPr>
          <w:rFonts w:ascii="Arial" w:hAnsi="Arial" w:cs="Arial"/>
          <w:b/>
          <w:bCs/>
        </w:rPr>
        <w:t>Australia Pty Ltd</w:t>
      </w:r>
    </w:p>
    <w:p w14:paraId="00046E43" w14:textId="050AA529" w:rsidR="00084B06" w:rsidRPr="002104C1" w:rsidRDefault="002104C1" w:rsidP="002811D5">
      <w:r w:rsidRPr="002104C1">
        <w:t xml:space="preserve">Teleflex supports an increased fee for PUL via a new MBS item instead of amending the existing generic MBS item that PUL is currently claimed under. Teleflex agrees that there are a wide range of factors considered by clinicians and patients when choosing a procedure and that patients have different preferences when considering the balance between side effects and long-term effectiveness. The new PUL MBS item will enable clinicians (and patients) to choose the right treatment for them without negatively impacting on overall healthcare costs.  </w:t>
      </w:r>
    </w:p>
    <w:p w14:paraId="2DE2CDBD" w14:textId="77777777" w:rsidR="002811D5" w:rsidRDefault="002811D5" w:rsidP="002811D5">
      <w:pPr>
        <w:pStyle w:val="Heading2"/>
        <w:numPr>
          <w:ilvl w:val="0"/>
          <w:numId w:val="0"/>
        </w:numPr>
      </w:pPr>
      <w:r>
        <w:t>18.</w:t>
      </w:r>
      <w:r>
        <w:tab/>
        <w:t>Further information on MSAC</w:t>
      </w:r>
    </w:p>
    <w:p w14:paraId="6AC768A1" w14:textId="0F9C914F" w:rsidR="002811D5" w:rsidRPr="002811D5" w:rsidRDefault="002811D5" w:rsidP="00BC5836">
      <w:pPr>
        <w:pStyle w:val="BodyText"/>
        <w:ind w:left="0"/>
        <w:rPr>
          <w:rFonts w:ascii="Franklin Gothic Book" w:hAnsi="Franklin Gothic Book"/>
          <w:sz w:val="22"/>
          <w:szCs w:val="22"/>
        </w:rPr>
      </w:pPr>
      <w:r w:rsidRPr="002811D5">
        <w:rPr>
          <w:rFonts w:ascii="Franklin Gothic Book" w:hAnsi="Franklin Gothic Book"/>
          <w:sz w:val="22"/>
          <w:szCs w:val="22"/>
        </w:rPr>
        <w:t xml:space="preserve">MSAC Terms of Reference and other information are available on the MSAC Website: </w:t>
      </w:r>
      <w:hyperlink r:id="rId25" w:tooltip="Link to the MSAC website" w:history="1">
        <w:r w:rsidRPr="002811D5">
          <w:rPr>
            <w:rStyle w:val="Hyperlink"/>
            <w:rFonts w:ascii="Franklin Gothic Book" w:hAnsi="Franklin Gothic Book"/>
            <w:sz w:val="22"/>
            <w:szCs w:val="22"/>
          </w:rPr>
          <w:t>visit the MSAC website</w:t>
        </w:r>
      </w:hyperlink>
    </w:p>
    <w:sectPr w:rsidR="002811D5" w:rsidRPr="002811D5" w:rsidSect="00052DD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EFFB" w14:textId="77777777" w:rsidR="00C52436" w:rsidRDefault="00C52436" w:rsidP="00B62DF2">
      <w:pPr>
        <w:spacing w:after="0" w:line="240" w:lineRule="auto"/>
      </w:pPr>
      <w:r>
        <w:separator/>
      </w:r>
    </w:p>
  </w:endnote>
  <w:endnote w:type="continuationSeparator" w:id="0">
    <w:p w14:paraId="7F006D8C" w14:textId="77777777" w:rsidR="00C52436" w:rsidRDefault="00C52436" w:rsidP="00B62DF2">
      <w:pPr>
        <w:spacing w:after="0" w:line="240" w:lineRule="auto"/>
      </w:pPr>
      <w:r>
        <w:continuationSeparator/>
      </w:r>
    </w:p>
  </w:endnote>
  <w:endnote w:type="continuationNotice" w:id="1">
    <w:p w14:paraId="592AE194" w14:textId="77777777" w:rsidR="00C52436" w:rsidRDefault="00C524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5182894B" w:rsidR="00A83247" w:rsidRDefault="00A83247" w:rsidP="002316DC">
        <w:pPr>
          <w:pStyle w:val="Footer"/>
          <w:jc w:val="right"/>
        </w:pPr>
        <w:r>
          <w:fldChar w:fldCharType="begin"/>
        </w:r>
        <w:r>
          <w:instrText xml:space="preserve"> PAGE   \* MERGEFORMAT </w:instrText>
        </w:r>
        <w:r>
          <w:fldChar w:fldCharType="separate"/>
        </w:r>
        <w:r>
          <w:rPr>
            <w:noProof/>
          </w:rPr>
          <w:t>124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1A57B07F" w:rsidR="00A83247" w:rsidRDefault="00A83247" w:rsidP="001438D7">
        <w:pPr>
          <w:pStyle w:val="Footer"/>
          <w:tabs>
            <w:tab w:val="clear" w:pos="4513"/>
            <w:tab w:val="center" w:pos="5529"/>
          </w:tabs>
          <w:jc w:val="right"/>
        </w:pPr>
        <w:r>
          <w:fldChar w:fldCharType="begin"/>
        </w:r>
        <w:r>
          <w:instrText xml:space="preserve"> PAGE   \* MERGEFORMAT </w:instrText>
        </w:r>
        <w:r>
          <w:fldChar w:fldCharType="separate"/>
        </w:r>
        <w:r>
          <w:rPr>
            <w:noProof/>
          </w:rPr>
          <w:t>123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82FC" w14:textId="77777777" w:rsidR="00CF6AD4" w:rsidRDefault="00CF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8A58" w14:textId="77777777" w:rsidR="00C52436" w:rsidRDefault="00C52436" w:rsidP="00B62DF2">
      <w:pPr>
        <w:spacing w:after="0" w:line="240" w:lineRule="auto"/>
      </w:pPr>
      <w:r>
        <w:separator/>
      </w:r>
    </w:p>
  </w:footnote>
  <w:footnote w:type="continuationSeparator" w:id="0">
    <w:p w14:paraId="1CA69E69" w14:textId="77777777" w:rsidR="00C52436" w:rsidRDefault="00C52436" w:rsidP="00B62DF2">
      <w:pPr>
        <w:spacing w:after="0" w:line="240" w:lineRule="auto"/>
      </w:pPr>
      <w:r>
        <w:continuationSeparator/>
      </w:r>
    </w:p>
  </w:footnote>
  <w:footnote w:type="continuationNotice" w:id="1">
    <w:p w14:paraId="13FA3D71" w14:textId="77777777" w:rsidR="00C52436" w:rsidRDefault="00C52436">
      <w:pPr>
        <w:spacing w:before="0" w:after="0" w:line="240" w:lineRule="auto"/>
      </w:pPr>
    </w:p>
  </w:footnote>
  <w:footnote w:id="2">
    <w:p w14:paraId="333D7A18" w14:textId="7060FAEA" w:rsidR="00A83247" w:rsidRDefault="00A83247">
      <w:pPr>
        <w:pStyle w:val="FootnoteText"/>
      </w:pPr>
      <w:r>
        <w:rPr>
          <w:rStyle w:val="FootnoteReference"/>
        </w:rPr>
        <w:footnoteRef/>
      </w:r>
      <w:r>
        <w:t xml:space="preserve"> </w:t>
      </w:r>
      <w:r w:rsidRPr="004D38C3">
        <w:t>Male Sexual Health Questionnaire for Ejaculatory Dysfunction</w:t>
      </w:r>
    </w:p>
  </w:footnote>
  <w:footnote w:id="3">
    <w:p w14:paraId="55F18F5A" w14:textId="77777777" w:rsidR="00A83247" w:rsidRDefault="00A83247" w:rsidP="00330CAB">
      <w:pPr>
        <w:pStyle w:val="FootnoteText"/>
      </w:pPr>
      <w:r>
        <w:rPr>
          <w:rStyle w:val="FootnoteReference"/>
        </w:rPr>
        <w:footnoteRef/>
      </w:r>
      <w:r>
        <w:t xml:space="preserve"> Kaplan SA &amp; Rukstalis D (2021). Urolift PUL compared to Rezum, TURP and GreenLight PVP: US Medicare and commercial claims analysis reveals lowest complications for PUL and highest retreatment for Rezum. </w:t>
      </w:r>
      <w:r>
        <w:rPr>
          <w:i/>
          <w:iCs/>
        </w:rPr>
        <w:t xml:space="preserve">Journal of Urology </w:t>
      </w:r>
      <w:r>
        <w:rPr>
          <w:b/>
          <w:bCs/>
        </w:rPr>
        <w:t>206</w:t>
      </w:r>
      <w:r>
        <w:t>(Suppl 3):e1170.</w:t>
      </w:r>
    </w:p>
  </w:footnote>
  <w:footnote w:id="4">
    <w:p w14:paraId="33F99862" w14:textId="2E784644" w:rsidR="00A83247" w:rsidRDefault="00A83247">
      <w:pPr>
        <w:pStyle w:val="FootnoteText"/>
      </w:pPr>
      <w:r>
        <w:rPr>
          <w:rStyle w:val="FootnoteReference"/>
        </w:rPr>
        <w:footnoteRef/>
      </w:r>
      <w:r>
        <w:t xml:space="preserve"> </w:t>
      </w:r>
      <w:hyperlink r:id="rId1" w:history="1">
        <w:r w:rsidRPr="008F70B0">
          <w:rPr>
            <w:rStyle w:val="Hyperlink"/>
          </w:rPr>
          <w:t>MBS Review Taskforce: Final report on the review of urology MBS items 2018: Recommendation 61</w:t>
        </w:r>
      </w:hyperlink>
    </w:p>
  </w:footnote>
  <w:footnote w:id="5">
    <w:p w14:paraId="1C59A8B1" w14:textId="7CCDBCDF" w:rsidR="00A83247" w:rsidRPr="008B0FED" w:rsidRDefault="00A83247">
      <w:pPr>
        <w:pStyle w:val="FootnoteText"/>
        <w:rPr>
          <w:lang w:val="en-US"/>
        </w:rPr>
      </w:pPr>
      <w:r>
        <w:rPr>
          <w:rStyle w:val="FootnoteReference"/>
        </w:rPr>
        <w:footnoteRef/>
      </w:r>
      <w:r>
        <w:t xml:space="preserve"> </w:t>
      </w:r>
      <w:r>
        <w:rPr>
          <w:rFonts w:ascii="Segoe UI" w:hAnsi="Segoe UI" w:cs="Segoe UI"/>
        </w:rPr>
        <w:t xml:space="preserve">EUnetHTA OTCA27 Authoring Team (2021). Comparative effectiveness of surgical techniques and devices for the treatment of benign prostatic hyperplasia. Collaborative Assessment. Diemen, the Netherlands, EUnetHTA. Available from: https://www.eunethta.eu/otca27/ </w:t>
      </w:r>
    </w:p>
  </w:footnote>
  <w:footnote w:id="6">
    <w:p w14:paraId="103871DD" w14:textId="7C391945" w:rsidR="00A83247" w:rsidRPr="00085C64" w:rsidRDefault="00A83247">
      <w:pPr>
        <w:pStyle w:val="FootnoteText"/>
        <w:rPr>
          <w:lang w:val="en-US"/>
        </w:rPr>
      </w:pPr>
      <w:r>
        <w:rPr>
          <w:rStyle w:val="FootnoteReference"/>
        </w:rPr>
        <w:footnoteRef/>
      </w:r>
      <w:r w:rsidRPr="00085C64">
        <w:rPr>
          <w:lang w:val="nl-NL"/>
        </w:rPr>
        <w:t xml:space="preserve"> </w:t>
      </w:r>
      <w:r w:rsidRPr="00085C64">
        <w:rPr>
          <w:rFonts w:ascii="Segoe UI" w:hAnsi="Segoe UI" w:cs="Segoe UI"/>
          <w:lang w:val="nl-NL"/>
        </w:rPr>
        <w:t xml:space="preserve">Huffman, P. J., et al. </w:t>
      </w:r>
      <w:r>
        <w:rPr>
          <w:rFonts w:ascii="Segoe UI" w:hAnsi="Segoe UI" w:cs="Segoe UI"/>
        </w:rPr>
        <w:t xml:space="preserve">(2022). "Evaluating Patient Preferences in Benign Prostatic Hyperplasia Treatment Using Conjoint Analysis." </w:t>
      </w:r>
      <w:r>
        <w:rPr>
          <w:rFonts w:ascii="Segoe UI" w:hAnsi="Segoe UI" w:cs="Segoe UI"/>
          <w:u w:val="single"/>
        </w:rPr>
        <w:t>Urology</w:t>
      </w:r>
      <w:r>
        <w:rPr>
          <w:rFonts w:ascii="Segoe UI" w:hAnsi="Segoe UI" w:cs="Segoe UI"/>
        </w:rPr>
        <w:t>.</w:t>
      </w:r>
    </w:p>
  </w:footnote>
  <w:footnote w:id="7">
    <w:p w14:paraId="548EC1FA" w14:textId="77777777" w:rsidR="00A83247" w:rsidRDefault="00A83247" w:rsidP="002811D5">
      <w:pPr>
        <w:pStyle w:val="FootnoteText"/>
      </w:pPr>
      <w:r>
        <w:rPr>
          <w:rStyle w:val="FootnoteReference"/>
        </w:rPr>
        <w:footnoteRef/>
      </w:r>
      <w:r>
        <w:t xml:space="preserve"> </w:t>
      </w:r>
      <w:r w:rsidRPr="00382A86">
        <w:t xml:space="preserve">Franco, JV, </w:t>
      </w:r>
      <w:r>
        <w:t>et al. (</w:t>
      </w:r>
      <w:r w:rsidRPr="00382A86">
        <w:t>2021</w:t>
      </w:r>
      <w:r>
        <w:t>)</w:t>
      </w:r>
      <w:r w:rsidRPr="00382A86">
        <w:t xml:space="preserve">, 'Minimally invasive treatments for lower urinary tract symptoms in men with benign prostatic hyperplasia: a network meta-analysis', </w:t>
      </w:r>
      <w:r w:rsidRPr="00D869B3">
        <w:rPr>
          <w:iCs/>
          <w:u w:val="single"/>
        </w:rPr>
        <w:t>Cochrane Database Syst Rev,</w:t>
      </w:r>
      <w:r w:rsidRPr="00382A86">
        <w:t xml:space="preserve"> vol. 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B3E3" w14:textId="77777777" w:rsidR="00CF6AD4" w:rsidRDefault="00CF6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877F" w14:textId="77777777" w:rsidR="00CF6AD4" w:rsidRDefault="00CF6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681D" w14:textId="77777777" w:rsidR="00CF6AD4" w:rsidRDefault="00CF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0A2CF6"/>
    <w:multiLevelType w:val="hybridMultilevel"/>
    <w:tmpl w:val="0EB0C4A0"/>
    <w:lvl w:ilvl="0" w:tplc="A8A2F89C">
      <w:numFmt w:val="bullet"/>
      <w:lvlText w:val="•"/>
      <w:lvlJc w:val="left"/>
      <w:pPr>
        <w:ind w:left="108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61F02"/>
    <w:multiLevelType w:val="hybridMultilevel"/>
    <w:tmpl w:val="8360652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3" w15:restartNumberingAfterBreak="0">
    <w:nsid w:val="0CE25AA3"/>
    <w:multiLevelType w:val="hybridMultilevel"/>
    <w:tmpl w:val="4ED00786"/>
    <w:lvl w:ilvl="0" w:tplc="B1185506">
      <w:start w:val="17"/>
      <w:numFmt w:val="bullet"/>
      <w:lvlText w:val="-"/>
      <w:lvlJc w:val="left"/>
      <w:pPr>
        <w:ind w:left="360" w:hanging="360"/>
      </w:pPr>
      <w:rPr>
        <w:rFonts w:ascii="Arial Narrow" w:eastAsiaTheme="minorHAnsi" w:hAnsi="Arial Narrow"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A5194"/>
    <w:multiLevelType w:val="hybridMultilevel"/>
    <w:tmpl w:val="DE00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668B3"/>
    <w:multiLevelType w:val="hybridMultilevel"/>
    <w:tmpl w:val="DED2DB52"/>
    <w:lvl w:ilvl="0" w:tplc="14F43CB8">
      <w:start w:val="12"/>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E1E68"/>
    <w:multiLevelType w:val="hybridMultilevel"/>
    <w:tmpl w:val="A88A2E54"/>
    <w:lvl w:ilvl="0" w:tplc="4A147570">
      <w:start w:val="16"/>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8" w15:restartNumberingAfterBreak="0">
    <w:nsid w:val="22566457"/>
    <w:multiLevelType w:val="hybridMultilevel"/>
    <w:tmpl w:val="A258B05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9"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0" w15:restartNumberingAfterBreak="0">
    <w:nsid w:val="23DC6C36"/>
    <w:multiLevelType w:val="hybridMultilevel"/>
    <w:tmpl w:val="4E4C50A2"/>
    <w:lvl w:ilvl="0" w:tplc="A400307C">
      <w:numFmt w:val="bullet"/>
      <w:lvlText w:val="•"/>
      <w:lvlJc w:val="left"/>
      <w:pPr>
        <w:ind w:left="1080" w:hanging="720"/>
      </w:pPr>
      <w:rPr>
        <w:rFonts w:ascii="Franklin Gothic Book" w:eastAsiaTheme="minorHAnsi"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192A7E"/>
    <w:multiLevelType w:val="hybridMultilevel"/>
    <w:tmpl w:val="BB7637F0"/>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2300E"/>
    <w:multiLevelType w:val="hybridMultilevel"/>
    <w:tmpl w:val="8FB8F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E246B"/>
    <w:multiLevelType w:val="hybridMultilevel"/>
    <w:tmpl w:val="7038853C"/>
    <w:lvl w:ilvl="0" w:tplc="E000DEE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B6F09B8"/>
    <w:multiLevelType w:val="hybridMultilevel"/>
    <w:tmpl w:val="578E4F1C"/>
    <w:lvl w:ilvl="0" w:tplc="867E0350">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4371DC"/>
    <w:multiLevelType w:val="multilevel"/>
    <w:tmpl w:val="856E344A"/>
    <w:lvl w:ilvl="0">
      <w:start w:val="1"/>
      <w:numFmt w:val="decimal"/>
      <w:pStyle w:val="Heading1"/>
      <w:lvlText w:val="Section %1"/>
      <w:lvlJc w:val="left"/>
      <w:pPr>
        <w:ind w:left="2061"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D151CEE"/>
    <w:multiLevelType w:val="hybridMultilevel"/>
    <w:tmpl w:val="FE246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B06055"/>
    <w:multiLevelType w:val="hybridMultilevel"/>
    <w:tmpl w:val="D4265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A668EB"/>
    <w:multiLevelType w:val="hybridMultilevel"/>
    <w:tmpl w:val="793EB6D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8377B"/>
    <w:multiLevelType w:val="hybridMultilevel"/>
    <w:tmpl w:val="3F643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9340E4D"/>
    <w:multiLevelType w:val="hybridMultilevel"/>
    <w:tmpl w:val="FB70BE30"/>
    <w:lvl w:ilvl="0" w:tplc="07B0671C">
      <w:start w:val="1"/>
      <w:numFmt w:val="bullet"/>
      <w:lvlText w:val="-"/>
      <w:lvlJc w:val="left"/>
      <w:pPr>
        <w:ind w:left="720" w:hanging="36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314651"/>
    <w:multiLevelType w:val="hybridMultilevel"/>
    <w:tmpl w:val="9F7CF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FE10D1"/>
    <w:multiLevelType w:val="hybridMultilevel"/>
    <w:tmpl w:val="B0A40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0867DE"/>
    <w:multiLevelType w:val="hybridMultilevel"/>
    <w:tmpl w:val="32AA0E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6EC7005"/>
    <w:multiLevelType w:val="hybridMultilevel"/>
    <w:tmpl w:val="37762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361E8"/>
    <w:multiLevelType w:val="hybridMultilevel"/>
    <w:tmpl w:val="8B18788A"/>
    <w:lvl w:ilvl="0" w:tplc="6D00F37C">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B83322"/>
    <w:multiLevelType w:val="hybridMultilevel"/>
    <w:tmpl w:val="1EFC046C"/>
    <w:lvl w:ilvl="0" w:tplc="BB0C3BEE">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D6346D"/>
    <w:multiLevelType w:val="hybridMultilevel"/>
    <w:tmpl w:val="8674AEC4"/>
    <w:lvl w:ilvl="0" w:tplc="CD001C78">
      <w:numFmt w:val="bullet"/>
      <w:lvlText w:val="–"/>
      <w:lvlJc w:val="left"/>
      <w:pPr>
        <w:ind w:left="720" w:hanging="360"/>
      </w:pPr>
      <w:rPr>
        <w:rFonts w:ascii="Arial Narrow" w:eastAsia="Times New Roman" w:hAnsi="Arial Narrow" w:cs="Calibri" w:hint="default"/>
        <w:color w:val="0000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0C201F"/>
    <w:multiLevelType w:val="hybridMultilevel"/>
    <w:tmpl w:val="FFCA9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6122FF"/>
    <w:multiLevelType w:val="hybridMultilevel"/>
    <w:tmpl w:val="794A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96498"/>
    <w:multiLevelType w:val="hybridMultilevel"/>
    <w:tmpl w:val="D0ACD7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7638208E"/>
    <w:multiLevelType w:val="hybridMultilevel"/>
    <w:tmpl w:val="44FA92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9" w15:restartNumberingAfterBreak="0">
    <w:nsid w:val="76CA7C5A"/>
    <w:multiLevelType w:val="hybridMultilevel"/>
    <w:tmpl w:val="B93243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7967602"/>
    <w:multiLevelType w:val="hybridMultilevel"/>
    <w:tmpl w:val="DE34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4D033C"/>
    <w:multiLevelType w:val="multilevel"/>
    <w:tmpl w:val="66F2B37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421839"/>
    <w:multiLevelType w:val="hybridMultilevel"/>
    <w:tmpl w:val="5BEA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8"/>
  </w:num>
  <w:num w:numId="2">
    <w:abstractNumId w:val="44"/>
  </w:num>
  <w:num w:numId="3">
    <w:abstractNumId w:val="4"/>
  </w:num>
  <w:num w:numId="4">
    <w:abstractNumId w:val="9"/>
  </w:num>
  <w:num w:numId="5">
    <w:abstractNumId w:val="41"/>
  </w:num>
  <w:num w:numId="6">
    <w:abstractNumId w:val="12"/>
  </w:num>
  <w:num w:numId="7">
    <w:abstractNumId w:val="25"/>
  </w:num>
  <w:num w:numId="8">
    <w:abstractNumId w:val="14"/>
  </w:num>
  <w:num w:numId="9">
    <w:abstractNumId w:val="16"/>
  </w:num>
  <w:num w:numId="10">
    <w:abstractNumId w:val="0"/>
  </w:num>
  <w:num w:numId="11">
    <w:abstractNumId w:val="17"/>
  </w:num>
  <w:num w:numId="12">
    <w:abstractNumId w:val="26"/>
  </w:num>
  <w:num w:numId="13">
    <w:abstractNumId w:val="3"/>
  </w:num>
  <w:num w:numId="14">
    <w:abstractNumId w:val="27"/>
  </w:num>
  <w:num w:numId="15">
    <w:abstractNumId w:val="37"/>
  </w:num>
  <w:num w:numId="16">
    <w:abstractNumId w:val="31"/>
  </w:num>
  <w:num w:numId="17">
    <w:abstractNumId w:val="35"/>
  </w:num>
  <w:num w:numId="18">
    <w:abstractNumId w:val="21"/>
  </w:num>
  <w:num w:numId="19">
    <w:abstractNumId w:val="36"/>
  </w:num>
  <w:num w:numId="20">
    <w:abstractNumId w:val="5"/>
  </w:num>
  <w:num w:numId="21">
    <w:abstractNumId w:val="6"/>
  </w:num>
  <w:num w:numId="22">
    <w:abstractNumId w:val="19"/>
  </w:num>
  <w:num w:numId="23">
    <w:abstractNumId w:val="30"/>
  </w:num>
  <w:num w:numId="24">
    <w:abstractNumId w:val="8"/>
  </w:num>
  <w:num w:numId="25">
    <w:abstractNumId w:val="33"/>
  </w:num>
  <w:num w:numId="26">
    <w:abstractNumId w:val="22"/>
  </w:num>
  <w:num w:numId="27">
    <w:abstractNumId w:val="2"/>
  </w:num>
  <w:num w:numId="28">
    <w:abstractNumId w:val="24"/>
  </w:num>
  <w:num w:numId="29">
    <w:abstractNumId w:val="38"/>
  </w:num>
  <w:num w:numId="30">
    <w:abstractNumId w:val="43"/>
  </w:num>
  <w:num w:numId="31">
    <w:abstractNumId w:val="13"/>
  </w:num>
  <w:num w:numId="32">
    <w:abstractNumId w:val="39"/>
  </w:num>
  <w:num w:numId="33">
    <w:abstractNumId w:val="34"/>
  </w:num>
  <w:num w:numId="34">
    <w:abstractNumId w:val="15"/>
  </w:num>
  <w:num w:numId="35">
    <w:abstractNumId w:val="32"/>
  </w:num>
  <w:num w:numId="36">
    <w:abstractNumId w:val="18"/>
    <w:lvlOverride w:ilvl="0">
      <w:startOverride w:val="5"/>
    </w:lvlOverride>
    <w:lvlOverride w:ilvl="1">
      <w:startOverride w:val="2"/>
    </w:lvlOverride>
  </w:num>
  <w:num w:numId="37">
    <w:abstractNumId w:val="18"/>
    <w:lvlOverride w:ilvl="0">
      <w:startOverride w:val="5"/>
    </w:lvlOverride>
    <w:lvlOverride w:ilvl="1">
      <w:startOverride w:val="2"/>
    </w:lvlOverride>
  </w:num>
  <w:num w:numId="38">
    <w:abstractNumId w:val="40"/>
  </w:num>
  <w:num w:numId="39">
    <w:abstractNumId w:val="23"/>
  </w:num>
  <w:num w:numId="40">
    <w:abstractNumId w:val="28"/>
  </w:num>
  <w:num w:numId="41">
    <w:abstractNumId w:val="1"/>
  </w:num>
  <w:num w:numId="42">
    <w:abstractNumId w:val="11"/>
  </w:num>
  <w:num w:numId="43">
    <w:abstractNumId w:val="7"/>
  </w:num>
  <w:num w:numId="44">
    <w:abstractNumId w:val="29"/>
  </w:num>
  <w:num w:numId="45">
    <w:abstractNumId w:val="18"/>
  </w:num>
  <w:num w:numId="46">
    <w:abstractNumId w:val="42"/>
  </w:num>
  <w:num w:numId="47">
    <w:abstractNumId w:val="20"/>
  </w:num>
  <w:num w:numId="4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sp29r05d2vslep0phvtr54w5azff0vaprt&quot;&gt;BPH library SK&lt;record-ids&gt;&lt;item&gt;2&lt;/item&gt;&lt;item&gt;3&lt;/item&gt;&lt;item&gt;5&lt;/item&gt;&lt;item&gt;8&lt;/item&gt;&lt;item&gt;9&lt;/item&gt;&lt;item&gt;10&lt;/item&gt;&lt;item&gt;12&lt;/item&gt;&lt;item&gt;13&lt;/item&gt;&lt;item&gt;14&lt;/item&gt;&lt;item&gt;15&lt;/item&gt;&lt;item&gt;16&lt;/item&gt;&lt;item&gt;17&lt;/item&gt;&lt;item&gt;18&lt;/item&gt;&lt;item&gt;21&lt;/item&gt;&lt;item&gt;27&lt;/item&gt;&lt;item&gt;29&lt;/item&gt;&lt;item&gt;32&lt;/item&gt;&lt;item&gt;33&lt;/item&gt;&lt;item&gt;35&lt;/item&gt;&lt;item&gt;36&lt;/item&gt;&lt;item&gt;41&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3&lt;/item&gt;&lt;item&gt;84&lt;/item&gt;&lt;item&gt;85&lt;/item&gt;&lt;item&gt;86&lt;/item&gt;&lt;item&gt;93&lt;/item&gt;&lt;item&gt;94&lt;/item&gt;&lt;item&gt;95&lt;/item&gt;&lt;item&gt;96&lt;/item&gt;&lt;item&gt;98&lt;/item&gt;&lt;item&gt;99&lt;/item&gt;&lt;item&gt;100&lt;/item&gt;&lt;item&gt;101&lt;/item&gt;&lt;item&gt;102&lt;/item&gt;&lt;item&gt;104&lt;/item&gt;&lt;item&gt;105&lt;/item&gt;&lt;item&gt;106&lt;/item&gt;&lt;item&gt;109&lt;/item&gt;&lt;item&gt;110&lt;/item&gt;&lt;item&gt;111&lt;/item&gt;&lt;item&gt;112&lt;/item&gt;&lt;item&gt;113&lt;/item&gt;&lt;item&gt;114&lt;/item&gt;&lt;/record-ids&gt;&lt;/item&gt;&lt;/Libraries&gt;"/>
  </w:docVars>
  <w:rsids>
    <w:rsidRoot w:val="008157F1"/>
    <w:rsid w:val="00000482"/>
    <w:rsid w:val="0000109A"/>
    <w:rsid w:val="00001AE6"/>
    <w:rsid w:val="00002BED"/>
    <w:rsid w:val="00003183"/>
    <w:rsid w:val="00003438"/>
    <w:rsid w:val="00004D69"/>
    <w:rsid w:val="00004E1E"/>
    <w:rsid w:val="00004F7F"/>
    <w:rsid w:val="0000511B"/>
    <w:rsid w:val="000054C9"/>
    <w:rsid w:val="0000645B"/>
    <w:rsid w:val="0000696B"/>
    <w:rsid w:val="000069B3"/>
    <w:rsid w:val="00007812"/>
    <w:rsid w:val="00007C6D"/>
    <w:rsid w:val="0001008A"/>
    <w:rsid w:val="0001055E"/>
    <w:rsid w:val="00010DC4"/>
    <w:rsid w:val="000110E9"/>
    <w:rsid w:val="000112B7"/>
    <w:rsid w:val="0001148C"/>
    <w:rsid w:val="00011568"/>
    <w:rsid w:val="00011817"/>
    <w:rsid w:val="00011E3F"/>
    <w:rsid w:val="00012387"/>
    <w:rsid w:val="0001240D"/>
    <w:rsid w:val="000131B6"/>
    <w:rsid w:val="00013224"/>
    <w:rsid w:val="000137CB"/>
    <w:rsid w:val="00013B34"/>
    <w:rsid w:val="00013D1C"/>
    <w:rsid w:val="00014248"/>
    <w:rsid w:val="0001450B"/>
    <w:rsid w:val="00014974"/>
    <w:rsid w:val="0001525F"/>
    <w:rsid w:val="0001546F"/>
    <w:rsid w:val="0001599C"/>
    <w:rsid w:val="000164F1"/>
    <w:rsid w:val="0001749D"/>
    <w:rsid w:val="00017E15"/>
    <w:rsid w:val="00020BBB"/>
    <w:rsid w:val="00022730"/>
    <w:rsid w:val="000228B8"/>
    <w:rsid w:val="00023333"/>
    <w:rsid w:val="0002381B"/>
    <w:rsid w:val="00024529"/>
    <w:rsid w:val="00024593"/>
    <w:rsid w:val="0002488D"/>
    <w:rsid w:val="00024D59"/>
    <w:rsid w:val="00024EA5"/>
    <w:rsid w:val="000251EB"/>
    <w:rsid w:val="00025DDD"/>
    <w:rsid w:val="00026FBA"/>
    <w:rsid w:val="00027463"/>
    <w:rsid w:val="0002755F"/>
    <w:rsid w:val="00027B8D"/>
    <w:rsid w:val="00031C35"/>
    <w:rsid w:val="00031D14"/>
    <w:rsid w:val="0003204F"/>
    <w:rsid w:val="000331B1"/>
    <w:rsid w:val="0003423A"/>
    <w:rsid w:val="0003477F"/>
    <w:rsid w:val="00035446"/>
    <w:rsid w:val="0003640C"/>
    <w:rsid w:val="00036AD8"/>
    <w:rsid w:val="00037037"/>
    <w:rsid w:val="00037302"/>
    <w:rsid w:val="00037E77"/>
    <w:rsid w:val="0004005D"/>
    <w:rsid w:val="00040446"/>
    <w:rsid w:val="00040602"/>
    <w:rsid w:val="00040ADF"/>
    <w:rsid w:val="00040FB4"/>
    <w:rsid w:val="000412FF"/>
    <w:rsid w:val="0004178C"/>
    <w:rsid w:val="00041F5D"/>
    <w:rsid w:val="00042355"/>
    <w:rsid w:val="00043934"/>
    <w:rsid w:val="000443A6"/>
    <w:rsid w:val="000449D1"/>
    <w:rsid w:val="00044D27"/>
    <w:rsid w:val="00045521"/>
    <w:rsid w:val="00045B8D"/>
    <w:rsid w:val="00045CC5"/>
    <w:rsid w:val="000469EC"/>
    <w:rsid w:val="00046B6A"/>
    <w:rsid w:val="00047196"/>
    <w:rsid w:val="000472D4"/>
    <w:rsid w:val="00047E78"/>
    <w:rsid w:val="0005061E"/>
    <w:rsid w:val="000510B4"/>
    <w:rsid w:val="00051A81"/>
    <w:rsid w:val="00051CB3"/>
    <w:rsid w:val="00052DD3"/>
    <w:rsid w:val="0005326D"/>
    <w:rsid w:val="0005336E"/>
    <w:rsid w:val="000533F9"/>
    <w:rsid w:val="00053621"/>
    <w:rsid w:val="00053F6C"/>
    <w:rsid w:val="00055538"/>
    <w:rsid w:val="00055709"/>
    <w:rsid w:val="000566BD"/>
    <w:rsid w:val="00056BD5"/>
    <w:rsid w:val="00057239"/>
    <w:rsid w:val="00057334"/>
    <w:rsid w:val="000576A8"/>
    <w:rsid w:val="0006066D"/>
    <w:rsid w:val="00060BBE"/>
    <w:rsid w:val="00061736"/>
    <w:rsid w:val="00061CB7"/>
    <w:rsid w:val="00061D1D"/>
    <w:rsid w:val="00062CD6"/>
    <w:rsid w:val="00062EBD"/>
    <w:rsid w:val="0006339C"/>
    <w:rsid w:val="0006382E"/>
    <w:rsid w:val="00063FB8"/>
    <w:rsid w:val="0006438D"/>
    <w:rsid w:val="00064783"/>
    <w:rsid w:val="000647C2"/>
    <w:rsid w:val="00065F97"/>
    <w:rsid w:val="00066023"/>
    <w:rsid w:val="00066027"/>
    <w:rsid w:val="00066C09"/>
    <w:rsid w:val="00067236"/>
    <w:rsid w:val="000672D5"/>
    <w:rsid w:val="00067E06"/>
    <w:rsid w:val="00067E2E"/>
    <w:rsid w:val="0007021F"/>
    <w:rsid w:val="000709A0"/>
    <w:rsid w:val="000717D6"/>
    <w:rsid w:val="00072300"/>
    <w:rsid w:val="00072D31"/>
    <w:rsid w:val="000730F7"/>
    <w:rsid w:val="00074199"/>
    <w:rsid w:val="0007434C"/>
    <w:rsid w:val="000747E5"/>
    <w:rsid w:val="00074804"/>
    <w:rsid w:val="000749B1"/>
    <w:rsid w:val="00074EFD"/>
    <w:rsid w:val="0007560F"/>
    <w:rsid w:val="000759BB"/>
    <w:rsid w:val="00076390"/>
    <w:rsid w:val="00076ABD"/>
    <w:rsid w:val="00077582"/>
    <w:rsid w:val="00077A15"/>
    <w:rsid w:val="00080166"/>
    <w:rsid w:val="00080241"/>
    <w:rsid w:val="00081778"/>
    <w:rsid w:val="000838C0"/>
    <w:rsid w:val="00084B06"/>
    <w:rsid w:val="00085C64"/>
    <w:rsid w:val="00086456"/>
    <w:rsid w:val="000870B6"/>
    <w:rsid w:val="00090613"/>
    <w:rsid w:val="0009063E"/>
    <w:rsid w:val="00090BD1"/>
    <w:rsid w:val="00090CED"/>
    <w:rsid w:val="00091857"/>
    <w:rsid w:val="00091C59"/>
    <w:rsid w:val="00091FFB"/>
    <w:rsid w:val="00092463"/>
    <w:rsid w:val="00092A21"/>
    <w:rsid w:val="00093D9A"/>
    <w:rsid w:val="0009421F"/>
    <w:rsid w:val="00094656"/>
    <w:rsid w:val="00094843"/>
    <w:rsid w:val="00094FD8"/>
    <w:rsid w:val="00095625"/>
    <w:rsid w:val="00096406"/>
    <w:rsid w:val="00096509"/>
    <w:rsid w:val="00096B52"/>
    <w:rsid w:val="00097142"/>
    <w:rsid w:val="0009770C"/>
    <w:rsid w:val="000A09FF"/>
    <w:rsid w:val="000A0C7C"/>
    <w:rsid w:val="000A10B9"/>
    <w:rsid w:val="000A10BF"/>
    <w:rsid w:val="000A2150"/>
    <w:rsid w:val="000A25AA"/>
    <w:rsid w:val="000A2ACD"/>
    <w:rsid w:val="000A2B65"/>
    <w:rsid w:val="000A2DA8"/>
    <w:rsid w:val="000A2EA8"/>
    <w:rsid w:val="000A331E"/>
    <w:rsid w:val="000A3815"/>
    <w:rsid w:val="000A434E"/>
    <w:rsid w:val="000A50EA"/>
    <w:rsid w:val="000A51B9"/>
    <w:rsid w:val="000A57BE"/>
    <w:rsid w:val="000A5C47"/>
    <w:rsid w:val="000A5EFC"/>
    <w:rsid w:val="000A629E"/>
    <w:rsid w:val="000A6700"/>
    <w:rsid w:val="000A6B30"/>
    <w:rsid w:val="000A7D62"/>
    <w:rsid w:val="000B0C40"/>
    <w:rsid w:val="000B1884"/>
    <w:rsid w:val="000B2096"/>
    <w:rsid w:val="000B26A9"/>
    <w:rsid w:val="000B332E"/>
    <w:rsid w:val="000B3330"/>
    <w:rsid w:val="000B35BD"/>
    <w:rsid w:val="000B36EF"/>
    <w:rsid w:val="000B3769"/>
    <w:rsid w:val="000B42C1"/>
    <w:rsid w:val="000B4DCE"/>
    <w:rsid w:val="000B4E36"/>
    <w:rsid w:val="000B694B"/>
    <w:rsid w:val="000B6CF0"/>
    <w:rsid w:val="000B720C"/>
    <w:rsid w:val="000B7248"/>
    <w:rsid w:val="000B7665"/>
    <w:rsid w:val="000C0B26"/>
    <w:rsid w:val="000C0C00"/>
    <w:rsid w:val="000C0F45"/>
    <w:rsid w:val="000C15BD"/>
    <w:rsid w:val="000C2829"/>
    <w:rsid w:val="000C29FF"/>
    <w:rsid w:val="000C4825"/>
    <w:rsid w:val="000C49FD"/>
    <w:rsid w:val="000C5105"/>
    <w:rsid w:val="000C522A"/>
    <w:rsid w:val="000C5F54"/>
    <w:rsid w:val="000C5FA9"/>
    <w:rsid w:val="000C6127"/>
    <w:rsid w:val="000C7C46"/>
    <w:rsid w:val="000D1B52"/>
    <w:rsid w:val="000D1F36"/>
    <w:rsid w:val="000D2214"/>
    <w:rsid w:val="000D2930"/>
    <w:rsid w:val="000D3B03"/>
    <w:rsid w:val="000D4C1B"/>
    <w:rsid w:val="000D5523"/>
    <w:rsid w:val="000D5A5D"/>
    <w:rsid w:val="000D5B46"/>
    <w:rsid w:val="000D5EA1"/>
    <w:rsid w:val="000D5EDD"/>
    <w:rsid w:val="000D746F"/>
    <w:rsid w:val="000E0282"/>
    <w:rsid w:val="000E03DC"/>
    <w:rsid w:val="000E09E2"/>
    <w:rsid w:val="000E0D6B"/>
    <w:rsid w:val="000E0DCE"/>
    <w:rsid w:val="000E1124"/>
    <w:rsid w:val="000E21F8"/>
    <w:rsid w:val="000E21FF"/>
    <w:rsid w:val="000E2972"/>
    <w:rsid w:val="000E4697"/>
    <w:rsid w:val="000E4936"/>
    <w:rsid w:val="000E4DA4"/>
    <w:rsid w:val="000E4FA8"/>
    <w:rsid w:val="000E5531"/>
    <w:rsid w:val="000E5FB8"/>
    <w:rsid w:val="000E6410"/>
    <w:rsid w:val="000E678B"/>
    <w:rsid w:val="000E6C4A"/>
    <w:rsid w:val="000F02AC"/>
    <w:rsid w:val="000F1505"/>
    <w:rsid w:val="000F21BC"/>
    <w:rsid w:val="000F29FD"/>
    <w:rsid w:val="000F2E01"/>
    <w:rsid w:val="000F37DB"/>
    <w:rsid w:val="000F3CE9"/>
    <w:rsid w:val="000F4C38"/>
    <w:rsid w:val="000F4CE2"/>
    <w:rsid w:val="000F5A54"/>
    <w:rsid w:val="000F5F6C"/>
    <w:rsid w:val="000F791E"/>
    <w:rsid w:val="000F7987"/>
    <w:rsid w:val="000F7D35"/>
    <w:rsid w:val="0010051C"/>
    <w:rsid w:val="001006C8"/>
    <w:rsid w:val="001014E2"/>
    <w:rsid w:val="001018AE"/>
    <w:rsid w:val="00102BA7"/>
    <w:rsid w:val="00102C1D"/>
    <w:rsid w:val="001030BC"/>
    <w:rsid w:val="00103B48"/>
    <w:rsid w:val="0010448B"/>
    <w:rsid w:val="0010521F"/>
    <w:rsid w:val="0010541F"/>
    <w:rsid w:val="00105B19"/>
    <w:rsid w:val="0010625A"/>
    <w:rsid w:val="00107524"/>
    <w:rsid w:val="00107ABA"/>
    <w:rsid w:val="00107DCD"/>
    <w:rsid w:val="00107EF0"/>
    <w:rsid w:val="00110612"/>
    <w:rsid w:val="001112FA"/>
    <w:rsid w:val="00111417"/>
    <w:rsid w:val="001121BA"/>
    <w:rsid w:val="00112924"/>
    <w:rsid w:val="00113012"/>
    <w:rsid w:val="00113C60"/>
    <w:rsid w:val="001142D8"/>
    <w:rsid w:val="001143F1"/>
    <w:rsid w:val="0011450C"/>
    <w:rsid w:val="00114644"/>
    <w:rsid w:val="00114C3B"/>
    <w:rsid w:val="00115691"/>
    <w:rsid w:val="00117039"/>
    <w:rsid w:val="00117990"/>
    <w:rsid w:val="00117F04"/>
    <w:rsid w:val="0012172D"/>
    <w:rsid w:val="0012195D"/>
    <w:rsid w:val="00121ED3"/>
    <w:rsid w:val="001226E9"/>
    <w:rsid w:val="00122872"/>
    <w:rsid w:val="00122AE3"/>
    <w:rsid w:val="00122CB1"/>
    <w:rsid w:val="00122EE1"/>
    <w:rsid w:val="00123405"/>
    <w:rsid w:val="00123658"/>
    <w:rsid w:val="001237AF"/>
    <w:rsid w:val="001242CD"/>
    <w:rsid w:val="001247EB"/>
    <w:rsid w:val="00124F3C"/>
    <w:rsid w:val="00125187"/>
    <w:rsid w:val="00125B61"/>
    <w:rsid w:val="00125BF9"/>
    <w:rsid w:val="0012607A"/>
    <w:rsid w:val="00126122"/>
    <w:rsid w:val="0012628C"/>
    <w:rsid w:val="00126ABC"/>
    <w:rsid w:val="001273B6"/>
    <w:rsid w:val="0013032A"/>
    <w:rsid w:val="00130E1A"/>
    <w:rsid w:val="0013132F"/>
    <w:rsid w:val="0013158D"/>
    <w:rsid w:val="00131892"/>
    <w:rsid w:val="00131D45"/>
    <w:rsid w:val="001320F0"/>
    <w:rsid w:val="001322A1"/>
    <w:rsid w:val="00132BC9"/>
    <w:rsid w:val="001335DE"/>
    <w:rsid w:val="001336E0"/>
    <w:rsid w:val="00133DB3"/>
    <w:rsid w:val="00133F34"/>
    <w:rsid w:val="00135273"/>
    <w:rsid w:val="00135FC9"/>
    <w:rsid w:val="00136D6D"/>
    <w:rsid w:val="001374D0"/>
    <w:rsid w:val="00140006"/>
    <w:rsid w:val="00140432"/>
    <w:rsid w:val="00142354"/>
    <w:rsid w:val="00142513"/>
    <w:rsid w:val="001426DD"/>
    <w:rsid w:val="00142A3C"/>
    <w:rsid w:val="00142E70"/>
    <w:rsid w:val="00143478"/>
    <w:rsid w:val="001438D7"/>
    <w:rsid w:val="00143F2F"/>
    <w:rsid w:val="001448E8"/>
    <w:rsid w:val="001457DE"/>
    <w:rsid w:val="00145B45"/>
    <w:rsid w:val="00146624"/>
    <w:rsid w:val="00146892"/>
    <w:rsid w:val="00146EA7"/>
    <w:rsid w:val="001475E4"/>
    <w:rsid w:val="00147ED0"/>
    <w:rsid w:val="00150376"/>
    <w:rsid w:val="00150BF6"/>
    <w:rsid w:val="00150DE2"/>
    <w:rsid w:val="001515FD"/>
    <w:rsid w:val="00151783"/>
    <w:rsid w:val="00151854"/>
    <w:rsid w:val="00151CBA"/>
    <w:rsid w:val="00151DBD"/>
    <w:rsid w:val="00152A44"/>
    <w:rsid w:val="001531D6"/>
    <w:rsid w:val="00155434"/>
    <w:rsid w:val="00155BDA"/>
    <w:rsid w:val="001565E1"/>
    <w:rsid w:val="00156FA7"/>
    <w:rsid w:val="001570B2"/>
    <w:rsid w:val="00157249"/>
    <w:rsid w:val="0015742F"/>
    <w:rsid w:val="00157E16"/>
    <w:rsid w:val="0016023A"/>
    <w:rsid w:val="0016163C"/>
    <w:rsid w:val="001621E1"/>
    <w:rsid w:val="001622DD"/>
    <w:rsid w:val="00162DBF"/>
    <w:rsid w:val="00163FEE"/>
    <w:rsid w:val="0016465F"/>
    <w:rsid w:val="00164999"/>
    <w:rsid w:val="00164CF8"/>
    <w:rsid w:val="001653AE"/>
    <w:rsid w:val="00165503"/>
    <w:rsid w:val="00165642"/>
    <w:rsid w:val="00166690"/>
    <w:rsid w:val="00166779"/>
    <w:rsid w:val="001669D2"/>
    <w:rsid w:val="001672B7"/>
    <w:rsid w:val="0016759D"/>
    <w:rsid w:val="00167C96"/>
    <w:rsid w:val="00170217"/>
    <w:rsid w:val="001702A9"/>
    <w:rsid w:val="00170D5B"/>
    <w:rsid w:val="0017107C"/>
    <w:rsid w:val="001717FE"/>
    <w:rsid w:val="00172B8F"/>
    <w:rsid w:val="00172BA2"/>
    <w:rsid w:val="0017322B"/>
    <w:rsid w:val="001736F8"/>
    <w:rsid w:val="00173D85"/>
    <w:rsid w:val="00174025"/>
    <w:rsid w:val="00174666"/>
    <w:rsid w:val="00174FD4"/>
    <w:rsid w:val="00175413"/>
    <w:rsid w:val="0017616A"/>
    <w:rsid w:val="00176AFC"/>
    <w:rsid w:val="00177F20"/>
    <w:rsid w:val="00177F99"/>
    <w:rsid w:val="00180478"/>
    <w:rsid w:val="00180E8D"/>
    <w:rsid w:val="001816BA"/>
    <w:rsid w:val="00181AAA"/>
    <w:rsid w:val="00182983"/>
    <w:rsid w:val="00183013"/>
    <w:rsid w:val="001842C7"/>
    <w:rsid w:val="00184BAE"/>
    <w:rsid w:val="00185674"/>
    <w:rsid w:val="00185FCD"/>
    <w:rsid w:val="00187353"/>
    <w:rsid w:val="00190723"/>
    <w:rsid w:val="001921F1"/>
    <w:rsid w:val="00192803"/>
    <w:rsid w:val="00192DE1"/>
    <w:rsid w:val="0019362A"/>
    <w:rsid w:val="001941FA"/>
    <w:rsid w:val="0019474E"/>
    <w:rsid w:val="0019526D"/>
    <w:rsid w:val="00195701"/>
    <w:rsid w:val="00195728"/>
    <w:rsid w:val="00195917"/>
    <w:rsid w:val="00195A12"/>
    <w:rsid w:val="001970C0"/>
    <w:rsid w:val="00197631"/>
    <w:rsid w:val="00197D6A"/>
    <w:rsid w:val="001A0DC6"/>
    <w:rsid w:val="001A1CB7"/>
    <w:rsid w:val="001A1EF0"/>
    <w:rsid w:val="001A1EFD"/>
    <w:rsid w:val="001A1F4C"/>
    <w:rsid w:val="001A2A2B"/>
    <w:rsid w:val="001A389A"/>
    <w:rsid w:val="001A3F34"/>
    <w:rsid w:val="001A420B"/>
    <w:rsid w:val="001A433E"/>
    <w:rsid w:val="001A4B97"/>
    <w:rsid w:val="001A4C1B"/>
    <w:rsid w:val="001A4E6A"/>
    <w:rsid w:val="001A4F7D"/>
    <w:rsid w:val="001A55A8"/>
    <w:rsid w:val="001A5875"/>
    <w:rsid w:val="001A64EB"/>
    <w:rsid w:val="001A6813"/>
    <w:rsid w:val="001A6917"/>
    <w:rsid w:val="001A7B42"/>
    <w:rsid w:val="001A7D8F"/>
    <w:rsid w:val="001B0708"/>
    <w:rsid w:val="001B12DE"/>
    <w:rsid w:val="001B13EA"/>
    <w:rsid w:val="001B2A97"/>
    <w:rsid w:val="001B2CD4"/>
    <w:rsid w:val="001B30D5"/>
    <w:rsid w:val="001B321D"/>
    <w:rsid w:val="001B3C96"/>
    <w:rsid w:val="001B5177"/>
    <w:rsid w:val="001B5378"/>
    <w:rsid w:val="001B564F"/>
    <w:rsid w:val="001B578F"/>
    <w:rsid w:val="001B5DCF"/>
    <w:rsid w:val="001B7329"/>
    <w:rsid w:val="001C0B3A"/>
    <w:rsid w:val="001C174A"/>
    <w:rsid w:val="001C1D05"/>
    <w:rsid w:val="001C2667"/>
    <w:rsid w:val="001C27D3"/>
    <w:rsid w:val="001C2A48"/>
    <w:rsid w:val="001C2F40"/>
    <w:rsid w:val="001C5305"/>
    <w:rsid w:val="001C55C6"/>
    <w:rsid w:val="001C5C2A"/>
    <w:rsid w:val="001C697C"/>
    <w:rsid w:val="001C69E3"/>
    <w:rsid w:val="001C6DFD"/>
    <w:rsid w:val="001C7A2B"/>
    <w:rsid w:val="001C7AF1"/>
    <w:rsid w:val="001C7C52"/>
    <w:rsid w:val="001D0007"/>
    <w:rsid w:val="001D09BF"/>
    <w:rsid w:val="001D184C"/>
    <w:rsid w:val="001D2CC3"/>
    <w:rsid w:val="001D2EAD"/>
    <w:rsid w:val="001D315C"/>
    <w:rsid w:val="001D32C0"/>
    <w:rsid w:val="001D339F"/>
    <w:rsid w:val="001D3A64"/>
    <w:rsid w:val="001D440D"/>
    <w:rsid w:val="001D54A8"/>
    <w:rsid w:val="001D5793"/>
    <w:rsid w:val="001D5853"/>
    <w:rsid w:val="001D62A5"/>
    <w:rsid w:val="001D66D9"/>
    <w:rsid w:val="001D6D85"/>
    <w:rsid w:val="001D74A7"/>
    <w:rsid w:val="001D776B"/>
    <w:rsid w:val="001D7DEF"/>
    <w:rsid w:val="001E0C33"/>
    <w:rsid w:val="001E0D7C"/>
    <w:rsid w:val="001E13F0"/>
    <w:rsid w:val="001E1543"/>
    <w:rsid w:val="001E15F2"/>
    <w:rsid w:val="001E1B59"/>
    <w:rsid w:val="001E1DBE"/>
    <w:rsid w:val="001E22F7"/>
    <w:rsid w:val="001E248F"/>
    <w:rsid w:val="001E31FA"/>
    <w:rsid w:val="001E465F"/>
    <w:rsid w:val="001E5056"/>
    <w:rsid w:val="001E5513"/>
    <w:rsid w:val="001E5ADF"/>
    <w:rsid w:val="001E7B8F"/>
    <w:rsid w:val="001F1519"/>
    <w:rsid w:val="001F2100"/>
    <w:rsid w:val="001F2902"/>
    <w:rsid w:val="001F2975"/>
    <w:rsid w:val="001F3F36"/>
    <w:rsid w:val="001F523B"/>
    <w:rsid w:val="001F658C"/>
    <w:rsid w:val="001F675C"/>
    <w:rsid w:val="001F6A6C"/>
    <w:rsid w:val="001F6F44"/>
    <w:rsid w:val="001F7563"/>
    <w:rsid w:val="001F767B"/>
    <w:rsid w:val="001F7C98"/>
    <w:rsid w:val="00200998"/>
    <w:rsid w:val="00200BE5"/>
    <w:rsid w:val="00200D9D"/>
    <w:rsid w:val="00200FB5"/>
    <w:rsid w:val="00201064"/>
    <w:rsid w:val="00201510"/>
    <w:rsid w:val="002016FA"/>
    <w:rsid w:val="00201C0E"/>
    <w:rsid w:val="00203199"/>
    <w:rsid w:val="00203937"/>
    <w:rsid w:val="00203C8E"/>
    <w:rsid w:val="00204005"/>
    <w:rsid w:val="00204527"/>
    <w:rsid w:val="00204EB4"/>
    <w:rsid w:val="00204FCF"/>
    <w:rsid w:val="002058ED"/>
    <w:rsid w:val="00205A7E"/>
    <w:rsid w:val="00207728"/>
    <w:rsid w:val="00207F59"/>
    <w:rsid w:val="002104C1"/>
    <w:rsid w:val="00210A54"/>
    <w:rsid w:val="00210E25"/>
    <w:rsid w:val="00211DC3"/>
    <w:rsid w:val="00211DCE"/>
    <w:rsid w:val="0021223E"/>
    <w:rsid w:val="00212B05"/>
    <w:rsid w:val="00213244"/>
    <w:rsid w:val="002132EF"/>
    <w:rsid w:val="002142E0"/>
    <w:rsid w:val="0021452D"/>
    <w:rsid w:val="002155B6"/>
    <w:rsid w:val="002156AD"/>
    <w:rsid w:val="002157E4"/>
    <w:rsid w:val="00215AFB"/>
    <w:rsid w:val="00215DEA"/>
    <w:rsid w:val="00215FA0"/>
    <w:rsid w:val="00216293"/>
    <w:rsid w:val="0021727D"/>
    <w:rsid w:val="002174F5"/>
    <w:rsid w:val="002200D8"/>
    <w:rsid w:val="002206DE"/>
    <w:rsid w:val="002210B1"/>
    <w:rsid w:val="00221146"/>
    <w:rsid w:val="00221293"/>
    <w:rsid w:val="00221D82"/>
    <w:rsid w:val="00222300"/>
    <w:rsid w:val="002227C9"/>
    <w:rsid w:val="00222BB4"/>
    <w:rsid w:val="0022331A"/>
    <w:rsid w:val="00223664"/>
    <w:rsid w:val="00223A56"/>
    <w:rsid w:val="00223A83"/>
    <w:rsid w:val="002245D4"/>
    <w:rsid w:val="00224A4C"/>
    <w:rsid w:val="00225833"/>
    <w:rsid w:val="00226095"/>
    <w:rsid w:val="00226EB4"/>
    <w:rsid w:val="002278E2"/>
    <w:rsid w:val="00227B89"/>
    <w:rsid w:val="00227E03"/>
    <w:rsid w:val="00227F43"/>
    <w:rsid w:val="002307E2"/>
    <w:rsid w:val="002316DC"/>
    <w:rsid w:val="00231BCF"/>
    <w:rsid w:val="002328DA"/>
    <w:rsid w:val="002330BD"/>
    <w:rsid w:val="00234640"/>
    <w:rsid w:val="002346F6"/>
    <w:rsid w:val="00234C54"/>
    <w:rsid w:val="00235F1C"/>
    <w:rsid w:val="00237C29"/>
    <w:rsid w:val="00240060"/>
    <w:rsid w:val="00240106"/>
    <w:rsid w:val="00240471"/>
    <w:rsid w:val="002411C7"/>
    <w:rsid w:val="00241278"/>
    <w:rsid w:val="0024223C"/>
    <w:rsid w:val="0024288C"/>
    <w:rsid w:val="00242F4E"/>
    <w:rsid w:val="002436F7"/>
    <w:rsid w:val="00243FC2"/>
    <w:rsid w:val="0024401F"/>
    <w:rsid w:val="0024410A"/>
    <w:rsid w:val="002452A0"/>
    <w:rsid w:val="00245733"/>
    <w:rsid w:val="002458F9"/>
    <w:rsid w:val="00245C62"/>
    <w:rsid w:val="002463A6"/>
    <w:rsid w:val="00246ADB"/>
    <w:rsid w:val="0024790A"/>
    <w:rsid w:val="00247AA9"/>
    <w:rsid w:val="00247CDE"/>
    <w:rsid w:val="002501C4"/>
    <w:rsid w:val="00250765"/>
    <w:rsid w:val="00250B54"/>
    <w:rsid w:val="00250E01"/>
    <w:rsid w:val="00250F37"/>
    <w:rsid w:val="002512F1"/>
    <w:rsid w:val="00251518"/>
    <w:rsid w:val="002517A5"/>
    <w:rsid w:val="00251EB9"/>
    <w:rsid w:val="00251F6C"/>
    <w:rsid w:val="0025249C"/>
    <w:rsid w:val="002539ED"/>
    <w:rsid w:val="0025440D"/>
    <w:rsid w:val="0025450E"/>
    <w:rsid w:val="002545C3"/>
    <w:rsid w:val="00255152"/>
    <w:rsid w:val="0025554E"/>
    <w:rsid w:val="00256133"/>
    <w:rsid w:val="0025616D"/>
    <w:rsid w:val="00256300"/>
    <w:rsid w:val="0026022A"/>
    <w:rsid w:val="00260337"/>
    <w:rsid w:val="00260676"/>
    <w:rsid w:val="00262CA6"/>
    <w:rsid w:val="002631B6"/>
    <w:rsid w:val="00263447"/>
    <w:rsid w:val="002638F4"/>
    <w:rsid w:val="00265877"/>
    <w:rsid w:val="00265C02"/>
    <w:rsid w:val="00265F4C"/>
    <w:rsid w:val="00267DC7"/>
    <w:rsid w:val="0027160C"/>
    <w:rsid w:val="0027358D"/>
    <w:rsid w:val="00273E58"/>
    <w:rsid w:val="002751D1"/>
    <w:rsid w:val="00275209"/>
    <w:rsid w:val="0027653D"/>
    <w:rsid w:val="0027714D"/>
    <w:rsid w:val="00277A2B"/>
    <w:rsid w:val="00280425"/>
    <w:rsid w:val="002805D1"/>
    <w:rsid w:val="002811D5"/>
    <w:rsid w:val="00282065"/>
    <w:rsid w:val="0028305C"/>
    <w:rsid w:val="0028343D"/>
    <w:rsid w:val="00284340"/>
    <w:rsid w:val="0028545D"/>
    <w:rsid w:val="002855F0"/>
    <w:rsid w:val="00285876"/>
    <w:rsid w:val="00285E31"/>
    <w:rsid w:val="00287E78"/>
    <w:rsid w:val="00290050"/>
    <w:rsid w:val="00290676"/>
    <w:rsid w:val="00291462"/>
    <w:rsid w:val="00291572"/>
    <w:rsid w:val="0029226E"/>
    <w:rsid w:val="002927AE"/>
    <w:rsid w:val="0029309D"/>
    <w:rsid w:val="00293E51"/>
    <w:rsid w:val="00294B75"/>
    <w:rsid w:val="002960E5"/>
    <w:rsid w:val="00297AF6"/>
    <w:rsid w:val="002A0163"/>
    <w:rsid w:val="002A04B4"/>
    <w:rsid w:val="002A110A"/>
    <w:rsid w:val="002A145B"/>
    <w:rsid w:val="002A188D"/>
    <w:rsid w:val="002A18BE"/>
    <w:rsid w:val="002A1D24"/>
    <w:rsid w:val="002A2252"/>
    <w:rsid w:val="002A28DA"/>
    <w:rsid w:val="002A36F6"/>
    <w:rsid w:val="002A3760"/>
    <w:rsid w:val="002A4084"/>
    <w:rsid w:val="002A4AD6"/>
    <w:rsid w:val="002A5208"/>
    <w:rsid w:val="002A577B"/>
    <w:rsid w:val="002A5A42"/>
    <w:rsid w:val="002A61D3"/>
    <w:rsid w:val="002A7196"/>
    <w:rsid w:val="002A76AE"/>
    <w:rsid w:val="002A7E68"/>
    <w:rsid w:val="002B020D"/>
    <w:rsid w:val="002B021F"/>
    <w:rsid w:val="002B0E54"/>
    <w:rsid w:val="002B1313"/>
    <w:rsid w:val="002B1384"/>
    <w:rsid w:val="002B35CD"/>
    <w:rsid w:val="002B3681"/>
    <w:rsid w:val="002B3F87"/>
    <w:rsid w:val="002B3FD0"/>
    <w:rsid w:val="002B45A5"/>
    <w:rsid w:val="002B4FB1"/>
    <w:rsid w:val="002B5940"/>
    <w:rsid w:val="002B667C"/>
    <w:rsid w:val="002B70A0"/>
    <w:rsid w:val="002B723C"/>
    <w:rsid w:val="002B7D37"/>
    <w:rsid w:val="002C02CA"/>
    <w:rsid w:val="002C0F7D"/>
    <w:rsid w:val="002C11CA"/>
    <w:rsid w:val="002C121D"/>
    <w:rsid w:val="002C1C61"/>
    <w:rsid w:val="002C2B73"/>
    <w:rsid w:val="002C2EFA"/>
    <w:rsid w:val="002C3051"/>
    <w:rsid w:val="002C45E8"/>
    <w:rsid w:val="002C47E3"/>
    <w:rsid w:val="002C4FD4"/>
    <w:rsid w:val="002C6E29"/>
    <w:rsid w:val="002C6FC2"/>
    <w:rsid w:val="002C70CE"/>
    <w:rsid w:val="002C740A"/>
    <w:rsid w:val="002C74EC"/>
    <w:rsid w:val="002C7555"/>
    <w:rsid w:val="002C75BD"/>
    <w:rsid w:val="002D0DED"/>
    <w:rsid w:val="002D1270"/>
    <w:rsid w:val="002D2293"/>
    <w:rsid w:val="002D327E"/>
    <w:rsid w:val="002D3C81"/>
    <w:rsid w:val="002D467C"/>
    <w:rsid w:val="002D5097"/>
    <w:rsid w:val="002D55E4"/>
    <w:rsid w:val="002D5FD0"/>
    <w:rsid w:val="002D63FA"/>
    <w:rsid w:val="002D687B"/>
    <w:rsid w:val="002D690D"/>
    <w:rsid w:val="002D6B9E"/>
    <w:rsid w:val="002D6D00"/>
    <w:rsid w:val="002D7558"/>
    <w:rsid w:val="002D7875"/>
    <w:rsid w:val="002E0401"/>
    <w:rsid w:val="002E0983"/>
    <w:rsid w:val="002E1290"/>
    <w:rsid w:val="002E1E7C"/>
    <w:rsid w:val="002E1F16"/>
    <w:rsid w:val="002E26EA"/>
    <w:rsid w:val="002E2C32"/>
    <w:rsid w:val="002E36C2"/>
    <w:rsid w:val="002E3C35"/>
    <w:rsid w:val="002E3E3A"/>
    <w:rsid w:val="002E4B04"/>
    <w:rsid w:val="002E54FD"/>
    <w:rsid w:val="002E5998"/>
    <w:rsid w:val="002E6099"/>
    <w:rsid w:val="002E647D"/>
    <w:rsid w:val="002E75D6"/>
    <w:rsid w:val="002E7686"/>
    <w:rsid w:val="002E7775"/>
    <w:rsid w:val="002E7903"/>
    <w:rsid w:val="002E7AD2"/>
    <w:rsid w:val="002E7D36"/>
    <w:rsid w:val="002E7F38"/>
    <w:rsid w:val="002F049A"/>
    <w:rsid w:val="002F098D"/>
    <w:rsid w:val="002F1289"/>
    <w:rsid w:val="002F1399"/>
    <w:rsid w:val="002F2AAC"/>
    <w:rsid w:val="002F2EC3"/>
    <w:rsid w:val="002F32FB"/>
    <w:rsid w:val="002F5611"/>
    <w:rsid w:val="002F56F5"/>
    <w:rsid w:val="002F587C"/>
    <w:rsid w:val="002F5F5E"/>
    <w:rsid w:val="002F5F85"/>
    <w:rsid w:val="002F6689"/>
    <w:rsid w:val="002F6709"/>
    <w:rsid w:val="002F693F"/>
    <w:rsid w:val="002F6CB6"/>
    <w:rsid w:val="002F7908"/>
    <w:rsid w:val="003008CC"/>
    <w:rsid w:val="00301763"/>
    <w:rsid w:val="00301C3C"/>
    <w:rsid w:val="00302252"/>
    <w:rsid w:val="003022F3"/>
    <w:rsid w:val="00302CA4"/>
    <w:rsid w:val="00303C60"/>
    <w:rsid w:val="00304FB8"/>
    <w:rsid w:val="0030645E"/>
    <w:rsid w:val="00307299"/>
    <w:rsid w:val="003078CA"/>
    <w:rsid w:val="0031064A"/>
    <w:rsid w:val="00310A75"/>
    <w:rsid w:val="00310AD4"/>
    <w:rsid w:val="00310AE5"/>
    <w:rsid w:val="00310B9B"/>
    <w:rsid w:val="00310C3F"/>
    <w:rsid w:val="00310FE1"/>
    <w:rsid w:val="00311602"/>
    <w:rsid w:val="0031336C"/>
    <w:rsid w:val="00313CEC"/>
    <w:rsid w:val="003140D2"/>
    <w:rsid w:val="00314D12"/>
    <w:rsid w:val="00316100"/>
    <w:rsid w:val="00316F17"/>
    <w:rsid w:val="00317714"/>
    <w:rsid w:val="00320A17"/>
    <w:rsid w:val="00320AB4"/>
    <w:rsid w:val="00321253"/>
    <w:rsid w:val="00321FB2"/>
    <w:rsid w:val="00322C51"/>
    <w:rsid w:val="00322DA9"/>
    <w:rsid w:val="00322DD3"/>
    <w:rsid w:val="00323592"/>
    <w:rsid w:val="00323AF6"/>
    <w:rsid w:val="0032466C"/>
    <w:rsid w:val="003251C2"/>
    <w:rsid w:val="003252AC"/>
    <w:rsid w:val="00325EA1"/>
    <w:rsid w:val="00325FA0"/>
    <w:rsid w:val="00326150"/>
    <w:rsid w:val="00326457"/>
    <w:rsid w:val="00326D37"/>
    <w:rsid w:val="00326F1C"/>
    <w:rsid w:val="00327162"/>
    <w:rsid w:val="003307E8"/>
    <w:rsid w:val="00330A0A"/>
    <w:rsid w:val="00330CAB"/>
    <w:rsid w:val="00330E07"/>
    <w:rsid w:val="00331461"/>
    <w:rsid w:val="0033197C"/>
    <w:rsid w:val="003319F8"/>
    <w:rsid w:val="003328A9"/>
    <w:rsid w:val="00332967"/>
    <w:rsid w:val="00334204"/>
    <w:rsid w:val="00334616"/>
    <w:rsid w:val="00334DC7"/>
    <w:rsid w:val="00334ECE"/>
    <w:rsid w:val="00335369"/>
    <w:rsid w:val="00335CAF"/>
    <w:rsid w:val="003363A3"/>
    <w:rsid w:val="003368B2"/>
    <w:rsid w:val="00336D5E"/>
    <w:rsid w:val="00336F8D"/>
    <w:rsid w:val="003371B5"/>
    <w:rsid w:val="00337A4D"/>
    <w:rsid w:val="00337BAF"/>
    <w:rsid w:val="00337D2C"/>
    <w:rsid w:val="00340341"/>
    <w:rsid w:val="00340AB0"/>
    <w:rsid w:val="0034134A"/>
    <w:rsid w:val="00341616"/>
    <w:rsid w:val="003417CB"/>
    <w:rsid w:val="00342757"/>
    <w:rsid w:val="00343176"/>
    <w:rsid w:val="003435A9"/>
    <w:rsid w:val="003444AF"/>
    <w:rsid w:val="00344649"/>
    <w:rsid w:val="00345496"/>
    <w:rsid w:val="0034552A"/>
    <w:rsid w:val="00345BCF"/>
    <w:rsid w:val="00346191"/>
    <w:rsid w:val="003466F9"/>
    <w:rsid w:val="0034678B"/>
    <w:rsid w:val="00346DB5"/>
    <w:rsid w:val="00347B22"/>
    <w:rsid w:val="00347EB1"/>
    <w:rsid w:val="00350092"/>
    <w:rsid w:val="00350774"/>
    <w:rsid w:val="00350853"/>
    <w:rsid w:val="003519AD"/>
    <w:rsid w:val="00351E0E"/>
    <w:rsid w:val="00351E13"/>
    <w:rsid w:val="003529C9"/>
    <w:rsid w:val="00352AD1"/>
    <w:rsid w:val="00352CC8"/>
    <w:rsid w:val="00353C05"/>
    <w:rsid w:val="00353F0E"/>
    <w:rsid w:val="0035458A"/>
    <w:rsid w:val="003546A5"/>
    <w:rsid w:val="003549F9"/>
    <w:rsid w:val="00354EB4"/>
    <w:rsid w:val="0035574F"/>
    <w:rsid w:val="00355EE5"/>
    <w:rsid w:val="003568B4"/>
    <w:rsid w:val="00356D29"/>
    <w:rsid w:val="003571C2"/>
    <w:rsid w:val="003602D4"/>
    <w:rsid w:val="003616D3"/>
    <w:rsid w:val="0036240A"/>
    <w:rsid w:val="0036299C"/>
    <w:rsid w:val="00362DC8"/>
    <w:rsid w:val="003639AF"/>
    <w:rsid w:val="003640A7"/>
    <w:rsid w:val="003642EB"/>
    <w:rsid w:val="003648FE"/>
    <w:rsid w:val="00364EC4"/>
    <w:rsid w:val="00364EEE"/>
    <w:rsid w:val="00365447"/>
    <w:rsid w:val="00365863"/>
    <w:rsid w:val="0036638D"/>
    <w:rsid w:val="00366B92"/>
    <w:rsid w:val="0036767F"/>
    <w:rsid w:val="0036794E"/>
    <w:rsid w:val="003708C8"/>
    <w:rsid w:val="00370B2A"/>
    <w:rsid w:val="003731D3"/>
    <w:rsid w:val="003739D7"/>
    <w:rsid w:val="003761AA"/>
    <w:rsid w:val="00377715"/>
    <w:rsid w:val="0038093A"/>
    <w:rsid w:val="0038146C"/>
    <w:rsid w:val="00381A1C"/>
    <w:rsid w:val="00381F00"/>
    <w:rsid w:val="00382500"/>
    <w:rsid w:val="00382609"/>
    <w:rsid w:val="00382A86"/>
    <w:rsid w:val="00383020"/>
    <w:rsid w:val="00383C5D"/>
    <w:rsid w:val="00384723"/>
    <w:rsid w:val="00386124"/>
    <w:rsid w:val="003864D5"/>
    <w:rsid w:val="003879C5"/>
    <w:rsid w:val="00390567"/>
    <w:rsid w:val="00390BB4"/>
    <w:rsid w:val="00390FDB"/>
    <w:rsid w:val="00390FF5"/>
    <w:rsid w:val="00391393"/>
    <w:rsid w:val="0039160E"/>
    <w:rsid w:val="003919E9"/>
    <w:rsid w:val="003928AA"/>
    <w:rsid w:val="003935DE"/>
    <w:rsid w:val="00393EDB"/>
    <w:rsid w:val="00394B85"/>
    <w:rsid w:val="00394EA5"/>
    <w:rsid w:val="0039612C"/>
    <w:rsid w:val="0039657C"/>
    <w:rsid w:val="003966F6"/>
    <w:rsid w:val="0039677D"/>
    <w:rsid w:val="00396A29"/>
    <w:rsid w:val="00396F68"/>
    <w:rsid w:val="003974A2"/>
    <w:rsid w:val="00397652"/>
    <w:rsid w:val="0039768F"/>
    <w:rsid w:val="00397A56"/>
    <w:rsid w:val="003A0306"/>
    <w:rsid w:val="003A038D"/>
    <w:rsid w:val="003A0660"/>
    <w:rsid w:val="003A0897"/>
    <w:rsid w:val="003A08B4"/>
    <w:rsid w:val="003A0D52"/>
    <w:rsid w:val="003A21A7"/>
    <w:rsid w:val="003A2E52"/>
    <w:rsid w:val="003A2ED1"/>
    <w:rsid w:val="003A2F7B"/>
    <w:rsid w:val="003A3740"/>
    <w:rsid w:val="003A40D1"/>
    <w:rsid w:val="003A4366"/>
    <w:rsid w:val="003A47DE"/>
    <w:rsid w:val="003A4C47"/>
    <w:rsid w:val="003A5657"/>
    <w:rsid w:val="003A65B4"/>
    <w:rsid w:val="003A667A"/>
    <w:rsid w:val="003A6724"/>
    <w:rsid w:val="003A6E1A"/>
    <w:rsid w:val="003B0BA1"/>
    <w:rsid w:val="003B173D"/>
    <w:rsid w:val="003B1D8F"/>
    <w:rsid w:val="003B3522"/>
    <w:rsid w:val="003B4599"/>
    <w:rsid w:val="003B50E7"/>
    <w:rsid w:val="003B5AA0"/>
    <w:rsid w:val="003B5C63"/>
    <w:rsid w:val="003B61B7"/>
    <w:rsid w:val="003B6832"/>
    <w:rsid w:val="003B689B"/>
    <w:rsid w:val="003B68D6"/>
    <w:rsid w:val="003B7393"/>
    <w:rsid w:val="003C14E4"/>
    <w:rsid w:val="003C19D6"/>
    <w:rsid w:val="003C1AE2"/>
    <w:rsid w:val="003C1E37"/>
    <w:rsid w:val="003C1F45"/>
    <w:rsid w:val="003C25D7"/>
    <w:rsid w:val="003C284F"/>
    <w:rsid w:val="003C370C"/>
    <w:rsid w:val="003C4A84"/>
    <w:rsid w:val="003C4F8F"/>
    <w:rsid w:val="003C58D9"/>
    <w:rsid w:val="003C6B07"/>
    <w:rsid w:val="003C6B59"/>
    <w:rsid w:val="003D01A6"/>
    <w:rsid w:val="003D06E7"/>
    <w:rsid w:val="003D1235"/>
    <w:rsid w:val="003D1264"/>
    <w:rsid w:val="003D1315"/>
    <w:rsid w:val="003D1942"/>
    <w:rsid w:val="003D299E"/>
    <w:rsid w:val="003D345D"/>
    <w:rsid w:val="003D3DC3"/>
    <w:rsid w:val="003D46A2"/>
    <w:rsid w:val="003D4803"/>
    <w:rsid w:val="003D55E1"/>
    <w:rsid w:val="003D641A"/>
    <w:rsid w:val="003D71EB"/>
    <w:rsid w:val="003D7BBE"/>
    <w:rsid w:val="003E0600"/>
    <w:rsid w:val="003E06CC"/>
    <w:rsid w:val="003E090E"/>
    <w:rsid w:val="003E0D83"/>
    <w:rsid w:val="003E0EFD"/>
    <w:rsid w:val="003E21E7"/>
    <w:rsid w:val="003E22CB"/>
    <w:rsid w:val="003E2343"/>
    <w:rsid w:val="003E3624"/>
    <w:rsid w:val="003E4020"/>
    <w:rsid w:val="003E406B"/>
    <w:rsid w:val="003E45BE"/>
    <w:rsid w:val="003E4DC4"/>
    <w:rsid w:val="003E4F96"/>
    <w:rsid w:val="003E5CCA"/>
    <w:rsid w:val="003E707F"/>
    <w:rsid w:val="003E7773"/>
    <w:rsid w:val="003F0027"/>
    <w:rsid w:val="003F1156"/>
    <w:rsid w:val="003F115E"/>
    <w:rsid w:val="003F14C2"/>
    <w:rsid w:val="003F1795"/>
    <w:rsid w:val="003F2210"/>
    <w:rsid w:val="003F2FB6"/>
    <w:rsid w:val="003F3C6D"/>
    <w:rsid w:val="003F4069"/>
    <w:rsid w:val="003F413B"/>
    <w:rsid w:val="003F4269"/>
    <w:rsid w:val="003F4804"/>
    <w:rsid w:val="003F5156"/>
    <w:rsid w:val="003F535C"/>
    <w:rsid w:val="003F58E6"/>
    <w:rsid w:val="003F5CCF"/>
    <w:rsid w:val="003F5FBC"/>
    <w:rsid w:val="003F6137"/>
    <w:rsid w:val="003F6365"/>
    <w:rsid w:val="003F6926"/>
    <w:rsid w:val="003F6A09"/>
    <w:rsid w:val="003F7196"/>
    <w:rsid w:val="003F7952"/>
    <w:rsid w:val="003F7EA3"/>
    <w:rsid w:val="00400830"/>
    <w:rsid w:val="004008AF"/>
    <w:rsid w:val="00400B5F"/>
    <w:rsid w:val="00400E23"/>
    <w:rsid w:val="00401063"/>
    <w:rsid w:val="00401155"/>
    <w:rsid w:val="0040154A"/>
    <w:rsid w:val="004015AE"/>
    <w:rsid w:val="004017A2"/>
    <w:rsid w:val="00401901"/>
    <w:rsid w:val="00401DBF"/>
    <w:rsid w:val="00401DE9"/>
    <w:rsid w:val="00402433"/>
    <w:rsid w:val="004026F1"/>
    <w:rsid w:val="004033D9"/>
    <w:rsid w:val="00403722"/>
    <w:rsid w:val="0040390A"/>
    <w:rsid w:val="004049C9"/>
    <w:rsid w:val="00404A94"/>
    <w:rsid w:val="0040551F"/>
    <w:rsid w:val="00405835"/>
    <w:rsid w:val="00405D59"/>
    <w:rsid w:val="004066F6"/>
    <w:rsid w:val="0040703A"/>
    <w:rsid w:val="0040771F"/>
    <w:rsid w:val="00410B93"/>
    <w:rsid w:val="00410EDA"/>
    <w:rsid w:val="004111F7"/>
    <w:rsid w:val="0041168B"/>
    <w:rsid w:val="004119E5"/>
    <w:rsid w:val="0041217D"/>
    <w:rsid w:val="004125C6"/>
    <w:rsid w:val="00412647"/>
    <w:rsid w:val="0041275F"/>
    <w:rsid w:val="00412957"/>
    <w:rsid w:val="00412BB9"/>
    <w:rsid w:val="00413B3A"/>
    <w:rsid w:val="00415024"/>
    <w:rsid w:val="004151E9"/>
    <w:rsid w:val="0041571A"/>
    <w:rsid w:val="00415E51"/>
    <w:rsid w:val="004163AE"/>
    <w:rsid w:val="0041711E"/>
    <w:rsid w:val="00417BFA"/>
    <w:rsid w:val="00420E5D"/>
    <w:rsid w:val="00420E70"/>
    <w:rsid w:val="00421A89"/>
    <w:rsid w:val="00421BA8"/>
    <w:rsid w:val="00421E49"/>
    <w:rsid w:val="00421EBC"/>
    <w:rsid w:val="00421F7C"/>
    <w:rsid w:val="0042261B"/>
    <w:rsid w:val="004226E3"/>
    <w:rsid w:val="00422B30"/>
    <w:rsid w:val="00422EBD"/>
    <w:rsid w:val="0042304B"/>
    <w:rsid w:val="004236C5"/>
    <w:rsid w:val="00423972"/>
    <w:rsid w:val="00423BD1"/>
    <w:rsid w:val="00423E36"/>
    <w:rsid w:val="00424084"/>
    <w:rsid w:val="00425191"/>
    <w:rsid w:val="00425203"/>
    <w:rsid w:val="004255E9"/>
    <w:rsid w:val="00426EDC"/>
    <w:rsid w:val="00427158"/>
    <w:rsid w:val="0042738F"/>
    <w:rsid w:val="004273AD"/>
    <w:rsid w:val="00427691"/>
    <w:rsid w:val="00427F8D"/>
    <w:rsid w:val="00427FEE"/>
    <w:rsid w:val="00430055"/>
    <w:rsid w:val="00430104"/>
    <w:rsid w:val="004305AE"/>
    <w:rsid w:val="00430DFD"/>
    <w:rsid w:val="00431800"/>
    <w:rsid w:val="0043317F"/>
    <w:rsid w:val="0043352F"/>
    <w:rsid w:val="00433541"/>
    <w:rsid w:val="0043380F"/>
    <w:rsid w:val="00433982"/>
    <w:rsid w:val="004347FF"/>
    <w:rsid w:val="00435B2C"/>
    <w:rsid w:val="00435BAD"/>
    <w:rsid w:val="004362B2"/>
    <w:rsid w:val="00436339"/>
    <w:rsid w:val="0043648A"/>
    <w:rsid w:val="00436514"/>
    <w:rsid w:val="0043722C"/>
    <w:rsid w:val="00440821"/>
    <w:rsid w:val="00440AF0"/>
    <w:rsid w:val="00440C18"/>
    <w:rsid w:val="004423F7"/>
    <w:rsid w:val="00442856"/>
    <w:rsid w:val="00442A49"/>
    <w:rsid w:val="00442EC0"/>
    <w:rsid w:val="00443964"/>
    <w:rsid w:val="00444B7D"/>
    <w:rsid w:val="00444E11"/>
    <w:rsid w:val="00445E61"/>
    <w:rsid w:val="0044690B"/>
    <w:rsid w:val="00446BBE"/>
    <w:rsid w:val="0044782C"/>
    <w:rsid w:val="00447BB8"/>
    <w:rsid w:val="00447D0C"/>
    <w:rsid w:val="00447FA5"/>
    <w:rsid w:val="004501BC"/>
    <w:rsid w:val="00450393"/>
    <w:rsid w:val="0045084A"/>
    <w:rsid w:val="0045093D"/>
    <w:rsid w:val="00451645"/>
    <w:rsid w:val="004532E5"/>
    <w:rsid w:val="00453C02"/>
    <w:rsid w:val="00453E06"/>
    <w:rsid w:val="00453E9E"/>
    <w:rsid w:val="00454789"/>
    <w:rsid w:val="00454F1A"/>
    <w:rsid w:val="00454F8E"/>
    <w:rsid w:val="00455CD9"/>
    <w:rsid w:val="00455F31"/>
    <w:rsid w:val="0045755A"/>
    <w:rsid w:val="004576B4"/>
    <w:rsid w:val="0045780E"/>
    <w:rsid w:val="00460243"/>
    <w:rsid w:val="004606EA"/>
    <w:rsid w:val="00460EC0"/>
    <w:rsid w:val="00461870"/>
    <w:rsid w:val="0046189D"/>
    <w:rsid w:val="00461BD4"/>
    <w:rsid w:val="00462455"/>
    <w:rsid w:val="0046251E"/>
    <w:rsid w:val="00462778"/>
    <w:rsid w:val="00462D7B"/>
    <w:rsid w:val="00463078"/>
    <w:rsid w:val="00463EF5"/>
    <w:rsid w:val="00464B1A"/>
    <w:rsid w:val="00464ED7"/>
    <w:rsid w:val="00464F6C"/>
    <w:rsid w:val="00465F3F"/>
    <w:rsid w:val="00466308"/>
    <w:rsid w:val="00467356"/>
    <w:rsid w:val="00467668"/>
    <w:rsid w:val="00467B57"/>
    <w:rsid w:val="00470A85"/>
    <w:rsid w:val="00471D0D"/>
    <w:rsid w:val="00472509"/>
    <w:rsid w:val="00473776"/>
    <w:rsid w:val="00473B95"/>
    <w:rsid w:val="00473FDC"/>
    <w:rsid w:val="004741A5"/>
    <w:rsid w:val="00474D03"/>
    <w:rsid w:val="00474E01"/>
    <w:rsid w:val="004750EC"/>
    <w:rsid w:val="0047593E"/>
    <w:rsid w:val="00476A78"/>
    <w:rsid w:val="0047735A"/>
    <w:rsid w:val="00477D64"/>
    <w:rsid w:val="00480179"/>
    <w:rsid w:val="004803B8"/>
    <w:rsid w:val="00480673"/>
    <w:rsid w:val="00480FD1"/>
    <w:rsid w:val="0048113B"/>
    <w:rsid w:val="00481A10"/>
    <w:rsid w:val="00481DC8"/>
    <w:rsid w:val="004822CF"/>
    <w:rsid w:val="00482804"/>
    <w:rsid w:val="00482945"/>
    <w:rsid w:val="00482B47"/>
    <w:rsid w:val="0048323E"/>
    <w:rsid w:val="0048426F"/>
    <w:rsid w:val="004842E7"/>
    <w:rsid w:val="004846DB"/>
    <w:rsid w:val="004847E9"/>
    <w:rsid w:val="00484DC5"/>
    <w:rsid w:val="00485252"/>
    <w:rsid w:val="00485675"/>
    <w:rsid w:val="00487C62"/>
    <w:rsid w:val="00487C85"/>
    <w:rsid w:val="00490DC4"/>
    <w:rsid w:val="0049159B"/>
    <w:rsid w:val="00493D07"/>
    <w:rsid w:val="00494647"/>
    <w:rsid w:val="00494F64"/>
    <w:rsid w:val="00495842"/>
    <w:rsid w:val="00495C25"/>
    <w:rsid w:val="004968B0"/>
    <w:rsid w:val="00496FCA"/>
    <w:rsid w:val="004975DD"/>
    <w:rsid w:val="00497B9F"/>
    <w:rsid w:val="004A045D"/>
    <w:rsid w:val="004A1869"/>
    <w:rsid w:val="004A2084"/>
    <w:rsid w:val="004A2A94"/>
    <w:rsid w:val="004A31E6"/>
    <w:rsid w:val="004A32E3"/>
    <w:rsid w:val="004A3E2B"/>
    <w:rsid w:val="004A4430"/>
    <w:rsid w:val="004A456F"/>
    <w:rsid w:val="004A49BB"/>
    <w:rsid w:val="004A4FDF"/>
    <w:rsid w:val="004A5489"/>
    <w:rsid w:val="004A5E73"/>
    <w:rsid w:val="004A5FF8"/>
    <w:rsid w:val="004A643F"/>
    <w:rsid w:val="004A7A52"/>
    <w:rsid w:val="004B0658"/>
    <w:rsid w:val="004B152D"/>
    <w:rsid w:val="004B19FE"/>
    <w:rsid w:val="004B2177"/>
    <w:rsid w:val="004B2A4D"/>
    <w:rsid w:val="004B2F45"/>
    <w:rsid w:val="004B3202"/>
    <w:rsid w:val="004B33C2"/>
    <w:rsid w:val="004B369D"/>
    <w:rsid w:val="004B3991"/>
    <w:rsid w:val="004B3F52"/>
    <w:rsid w:val="004B4214"/>
    <w:rsid w:val="004B5060"/>
    <w:rsid w:val="004B512B"/>
    <w:rsid w:val="004B5248"/>
    <w:rsid w:val="004B54C8"/>
    <w:rsid w:val="004B55F9"/>
    <w:rsid w:val="004B689D"/>
    <w:rsid w:val="004B68F3"/>
    <w:rsid w:val="004B6ABF"/>
    <w:rsid w:val="004B702D"/>
    <w:rsid w:val="004B7B5B"/>
    <w:rsid w:val="004B7E73"/>
    <w:rsid w:val="004C0057"/>
    <w:rsid w:val="004C08EA"/>
    <w:rsid w:val="004C0C5B"/>
    <w:rsid w:val="004C0E97"/>
    <w:rsid w:val="004C1F86"/>
    <w:rsid w:val="004C23CE"/>
    <w:rsid w:val="004C2E4A"/>
    <w:rsid w:val="004C3769"/>
    <w:rsid w:val="004C3938"/>
    <w:rsid w:val="004C48C8"/>
    <w:rsid w:val="004C53D1"/>
    <w:rsid w:val="004C598D"/>
    <w:rsid w:val="004C5EEC"/>
    <w:rsid w:val="004C621E"/>
    <w:rsid w:val="004D0032"/>
    <w:rsid w:val="004D00DC"/>
    <w:rsid w:val="004D1593"/>
    <w:rsid w:val="004D29E3"/>
    <w:rsid w:val="004D3897"/>
    <w:rsid w:val="004D38C3"/>
    <w:rsid w:val="004D4425"/>
    <w:rsid w:val="004D5689"/>
    <w:rsid w:val="004D5BB0"/>
    <w:rsid w:val="004D61A8"/>
    <w:rsid w:val="004D7079"/>
    <w:rsid w:val="004E2BD6"/>
    <w:rsid w:val="004E2DB9"/>
    <w:rsid w:val="004E340B"/>
    <w:rsid w:val="004E3575"/>
    <w:rsid w:val="004E386E"/>
    <w:rsid w:val="004E3ADE"/>
    <w:rsid w:val="004E3B6E"/>
    <w:rsid w:val="004E5301"/>
    <w:rsid w:val="004E567C"/>
    <w:rsid w:val="004E5856"/>
    <w:rsid w:val="004E585A"/>
    <w:rsid w:val="004E6435"/>
    <w:rsid w:val="004E6527"/>
    <w:rsid w:val="004F0561"/>
    <w:rsid w:val="004F34AF"/>
    <w:rsid w:val="004F377E"/>
    <w:rsid w:val="004F42AE"/>
    <w:rsid w:val="004F55BC"/>
    <w:rsid w:val="004F5C4F"/>
    <w:rsid w:val="004F6AD3"/>
    <w:rsid w:val="004F6FFA"/>
    <w:rsid w:val="004F727D"/>
    <w:rsid w:val="004F75EC"/>
    <w:rsid w:val="004F7827"/>
    <w:rsid w:val="004F78C8"/>
    <w:rsid w:val="004F7F94"/>
    <w:rsid w:val="005008A4"/>
    <w:rsid w:val="00500D09"/>
    <w:rsid w:val="00501386"/>
    <w:rsid w:val="00501BD9"/>
    <w:rsid w:val="00501C25"/>
    <w:rsid w:val="00501CFA"/>
    <w:rsid w:val="0050204A"/>
    <w:rsid w:val="00502108"/>
    <w:rsid w:val="005027A6"/>
    <w:rsid w:val="00502DAE"/>
    <w:rsid w:val="00502E3A"/>
    <w:rsid w:val="00502FFB"/>
    <w:rsid w:val="0050313B"/>
    <w:rsid w:val="005032FC"/>
    <w:rsid w:val="00503387"/>
    <w:rsid w:val="005038A0"/>
    <w:rsid w:val="0050403F"/>
    <w:rsid w:val="00504A82"/>
    <w:rsid w:val="0050586E"/>
    <w:rsid w:val="00505A24"/>
    <w:rsid w:val="00505E19"/>
    <w:rsid w:val="0050602A"/>
    <w:rsid w:val="00507D13"/>
    <w:rsid w:val="005103C5"/>
    <w:rsid w:val="0051075F"/>
    <w:rsid w:val="00512674"/>
    <w:rsid w:val="005131D3"/>
    <w:rsid w:val="0051352C"/>
    <w:rsid w:val="00513BEC"/>
    <w:rsid w:val="00514768"/>
    <w:rsid w:val="00514FC2"/>
    <w:rsid w:val="00515829"/>
    <w:rsid w:val="00515BFA"/>
    <w:rsid w:val="00517A86"/>
    <w:rsid w:val="00517B20"/>
    <w:rsid w:val="00517ECE"/>
    <w:rsid w:val="00520361"/>
    <w:rsid w:val="00520815"/>
    <w:rsid w:val="005209A6"/>
    <w:rsid w:val="005213F5"/>
    <w:rsid w:val="00521789"/>
    <w:rsid w:val="00521838"/>
    <w:rsid w:val="00521ACA"/>
    <w:rsid w:val="00522E87"/>
    <w:rsid w:val="0052349D"/>
    <w:rsid w:val="00524805"/>
    <w:rsid w:val="00524BE8"/>
    <w:rsid w:val="0052575D"/>
    <w:rsid w:val="00525D5F"/>
    <w:rsid w:val="00526436"/>
    <w:rsid w:val="005264CC"/>
    <w:rsid w:val="00526729"/>
    <w:rsid w:val="00526C92"/>
    <w:rsid w:val="00527136"/>
    <w:rsid w:val="005275FC"/>
    <w:rsid w:val="0052768C"/>
    <w:rsid w:val="00527943"/>
    <w:rsid w:val="0053039F"/>
    <w:rsid w:val="00530434"/>
    <w:rsid w:val="00530896"/>
    <w:rsid w:val="00530F70"/>
    <w:rsid w:val="005310AF"/>
    <w:rsid w:val="005315EC"/>
    <w:rsid w:val="00531923"/>
    <w:rsid w:val="00533142"/>
    <w:rsid w:val="005342C3"/>
    <w:rsid w:val="005347D8"/>
    <w:rsid w:val="0053528A"/>
    <w:rsid w:val="005362F5"/>
    <w:rsid w:val="0053725B"/>
    <w:rsid w:val="00540ABA"/>
    <w:rsid w:val="00540C57"/>
    <w:rsid w:val="00540CD3"/>
    <w:rsid w:val="005411C8"/>
    <w:rsid w:val="00541749"/>
    <w:rsid w:val="00542903"/>
    <w:rsid w:val="00543104"/>
    <w:rsid w:val="00545B66"/>
    <w:rsid w:val="0054621C"/>
    <w:rsid w:val="005463BE"/>
    <w:rsid w:val="00546559"/>
    <w:rsid w:val="0054657B"/>
    <w:rsid w:val="00546F9E"/>
    <w:rsid w:val="00547751"/>
    <w:rsid w:val="005477AB"/>
    <w:rsid w:val="005500ED"/>
    <w:rsid w:val="00550294"/>
    <w:rsid w:val="00550BA9"/>
    <w:rsid w:val="00550E82"/>
    <w:rsid w:val="00551FB1"/>
    <w:rsid w:val="00552735"/>
    <w:rsid w:val="005531BD"/>
    <w:rsid w:val="005551D7"/>
    <w:rsid w:val="00555312"/>
    <w:rsid w:val="00555B0E"/>
    <w:rsid w:val="005567B2"/>
    <w:rsid w:val="00556990"/>
    <w:rsid w:val="00557505"/>
    <w:rsid w:val="00557870"/>
    <w:rsid w:val="005578DE"/>
    <w:rsid w:val="00560277"/>
    <w:rsid w:val="00560938"/>
    <w:rsid w:val="00560AF1"/>
    <w:rsid w:val="00561562"/>
    <w:rsid w:val="00561987"/>
    <w:rsid w:val="0056201D"/>
    <w:rsid w:val="00562390"/>
    <w:rsid w:val="0056249C"/>
    <w:rsid w:val="00562984"/>
    <w:rsid w:val="00563DE6"/>
    <w:rsid w:val="00564895"/>
    <w:rsid w:val="00564E8F"/>
    <w:rsid w:val="00564F19"/>
    <w:rsid w:val="0056528D"/>
    <w:rsid w:val="0056628B"/>
    <w:rsid w:val="00566298"/>
    <w:rsid w:val="00566A64"/>
    <w:rsid w:val="00566C28"/>
    <w:rsid w:val="005702C2"/>
    <w:rsid w:val="00570658"/>
    <w:rsid w:val="0057091E"/>
    <w:rsid w:val="00570DFF"/>
    <w:rsid w:val="005723D6"/>
    <w:rsid w:val="0057264A"/>
    <w:rsid w:val="00572AD0"/>
    <w:rsid w:val="00573848"/>
    <w:rsid w:val="005738E1"/>
    <w:rsid w:val="00573A9B"/>
    <w:rsid w:val="00574353"/>
    <w:rsid w:val="00574A6E"/>
    <w:rsid w:val="00576758"/>
    <w:rsid w:val="00576D38"/>
    <w:rsid w:val="00577001"/>
    <w:rsid w:val="00577145"/>
    <w:rsid w:val="00577171"/>
    <w:rsid w:val="005773BE"/>
    <w:rsid w:val="00580488"/>
    <w:rsid w:val="005806A5"/>
    <w:rsid w:val="00580945"/>
    <w:rsid w:val="00580A82"/>
    <w:rsid w:val="00580DAC"/>
    <w:rsid w:val="00580FD0"/>
    <w:rsid w:val="00581535"/>
    <w:rsid w:val="005821DB"/>
    <w:rsid w:val="00582365"/>
    <w:rsid w:val="005824BC"/>
    <w:rsid w:val="00584C88"/>
    <w:rsid w:val="0058517D"/>
    <w:rsid w:val="005853B1"/>
    <w:rsid w:val="00585C1B"/>
    <w:rsid w:val="005863A8"/>
    <w:rsid w:val="0058664D"/>
    <w:rsid w:val="00587639"/>
    <w:rsid w:val="00587665"/>
    <w:rsid w:val="00587B2E"/>
    <w:rsid w:val="00592638"/>
    <w:rsid w:val="005928F2"/>
    <w:rsid w:val="00592E18"/>
    <w:rsid w:val="00592F18"/>
    <w:rsid w:val="00593138"/>
    <w:rsid w:val="0059369C"/>
    <w:rsid w:val="00593A33"/>
    <w:rsid w:val="00593CAC"/>
    <w:rsid w:val="00594152"/>
    <w:rsid w:val="005947B5"/>
    <w:rsid w:val="0059528C"/>
    <w:rsid w:val="005960BB"/>
    <w:rsid w:val="00596BB7"/>
    <w:rsid w:val="00597407"/>
    <w:rsid w:val="00597E5F"/>
    <w:rsid w:val="005A0496"/>
    <w:rsid w:val="005A0685"/>
    <w:rsid w:val="005A0C6D"/>
    <w:rsid w:val="005A1206"/>
    <w:rsid w:val="005A175C"/>
    <w:rsid w:val="005A1F7D"/>
    <w:rsid w:val="005A22E2"/>
    <w:rsid w:val="005A3149"/>
    <w:rsid w:val="005A4047"/>
    <w:rsid w:val="005A4384"/>
    <w:rsid w:val="005A481A"/>
    <w:rsid w:val="005A54B0"/>
    <w:rsid w:val="005A5C8F"/>
    <w:rsid w:val="005A7012"/>
    <w:rsid w:val="005A70A0"/>
    <w:rsid w:val="005A7845"/>
    <w:rsid w:val="005A7A5E"/>
    <w:rsid w:val="005B0758"/>
    <w:rsid w:val="005B0CB6"/>
    <w:rsid w:val="005B1AB2"/>
    <w:rsid w:val="005B1C07"/>
    <w:rsid w:val="005B2008"/>
    <w:rsid w:val="005B201F"/>
    <w:rsid w:val="005B2638"/>
    <w:rsid w:val="005B2F75"/>
    <w:rsid w:val="005B3432"/>
    <w:rsid w:val="005B375A"/>
    <w:rsid w:val="005B3BD6"/>
    <w:rsid w:val="005B46EC"/>
    <w:rsid w:val="005B5703"/>
    <w:rsid w:val="005B5B59"/>
    <w:rsid w:val="005B5D39"/>
    <w:rsid w:val="005B7D6C"/>
    <w:rsid w:val="005C144C"/>
    <w:rsid w:val="005C2549"/>
    <w:rsid w:val="005C28AA"/>
    <w:rsid w:val="005C3A46"/>
    <w:rsid w:val="005C40AC"/>
    <w:rsid w:val="005C4171"/>
    <w:rsid w:val="005C45F4"/>
    <w:rsid w:val="005C5063"/>
    <w:rsid w:val="005C695F"/>
    <w:rsid w:val="005C6E09"/>
    <w:rsid w:val="005C7215"/>
    <w:rsid w:val="005C73C4"/>
    <w:rsid w:val="005C74BF"/>
    <w:rsid w:val="005C7F2C"/>
    <w:rsid w:val="005D00EA"/>
    <w:rsid w:val="005D023B"/>
    <w:rsid w:val="005D2304"/>
    <w:rsid w:val="005D379C"/>
    <w:rsid w:val="005D3A04"/>
    <w:rsid w:val="005D3EE3"/>
    <w:rsid w:val="005D3F69"/>
    <w:rsid w:val="005D42CB"/>
    <w:rsid w:val="005D4627"/>
    <w:rsid w:val="005D47F1"/>
    <w:rsid w:val="005D48FE"/>
    <w:rsid w:val="005D570A"/>
    <w:rsid w:val="005D6B20"/>
    <w:rsid w:val="005D741D"/>
    <w:rsid w:val="005D7471"/>
    <w:rsid w:val="005D749D"/>
    <w:rsid w:val="005D7A1A"/>
    <w:rsid w:val="005D7DE8"/>
    <w:rsid w:val="005E08F6"/>
    <w:rsid w:val="005E0A6A"/>
    <w:rsid w:val="005E0C6C"/>
    <w:rsid w:val="005E2702"/>
    <w:rsid w:val="005E3FD4"/>
    <w:rsid w:val="005E4309"/>
    <w:rsid w:val="005E521F"/>
    <w:rsid w:val="005E57C9"/>
    <w:rsid w:val="005E5874"/>
    <w:rsid w:val="005E623E"/>
    <w:rsid w:val="005E68EC"/>
    <w:rsid w:val="005E75D5"/>
    <w:rsid w:val="005E7FB4"/>
    <w:rsid w:val="005F06DB"/>
    <w:rsid w:val="005F1555"/>
    <w:rsid w:val="005F1CA1"/>
    <w:rsid w:val="005F1CD2"/>
    <w:rsid w:val="005F2978"/>
    <w:rsid w:val="005F32E0"/>
    <w:rsid w:val="005F4721"/>
    <w:rsid w:val="005F6018"/>
    <w:rsid w:val="005F688E"/>
    <w:rsid w:val="005F720A"/>
    <w:rsid w:val="005F7B34"/>
    <w:rsid w:val="005F7D81"/>
    <w:rsid w:val="00600315"/>
    <w:rsid w:val="006007DD"/>
    <w:rsid w:val="00600869"/>
    <w:rsid w:val="0060193F"/>
    <w:rsid w:val="00602340"/>
    <w:rsid w:val="006024F8"/>
    <w:rsid w:val="00602F43"/>
    <w:rsid w:val="00603B08"/>
    <w:rsid w:val="00604849"/>
    <w:rsid w:val="00605776"/>
    <w:rsid w:val="00605BE4"/>
    <w:rsid w:val="006060C5"/>
    <w:rsid w:val="00606255"/>
    <w:rsid w:val="0060656B"/>
    <w:rsid w:val="006067B9"/>
    <w:rsid w:val="00606B2D"/>
    <w:rsid w:val="006073DB"/>
    <w:rsid w:val="00607748"/>
    <w:rsid w:val="00610162"/>
    <w:rsid w:val="00610ABA"/>
    <w:rsid w:val="00610D48"/>
    <w:rsid w:val="00611A76"/>
    <w:rsid w:val="00612144"/>
    <w:rsid w:val="006122D9"/>
    <w:rsid w:val="00612D8A"/>
    <w:rsid w:val="00613037"/>
    <w:rsid w:val="006135AB"/>
    <w:rsid w:val="006135CB"/>
    <w:rsid w:val="006138E4"/>
    <w:rsid w:val="006144F6"/>
    <w:rsid w:val="006149E0"/>
    <w:rsid w:val="00614E82"/>
    <w:rsid w:val="0061536F"/>
    <w:rsid w:val="00615D62"/>
    <w:rsid w:val="00616152"/>
    <w:rsid w:val="00616283"/>
    <w:rsid w:val="00616407"/>
    <w:rsid w:val="00616554"/>
    <w:rsid w:val="006173A4"/>
    <w:rsid w:val="00617874"/>
    <w:rsid w:val="00617993"/>
    <w:rsid w:val="00617FB6"/>
    <w:rsid w:val="00620DDA"/>
    <w:rsid w:val="00620E5A"/>
    <w:rsid w:val="00622A6B"/>
    <w:rsid w:val="00622D25"/>
    <w:rsid w:val="006239C3"/>
    <w:rsid w:val="00623C35"/>
    <w:rsid w:val="00623DAB"/>
    <w:rsid w:val="006241BA"/>
    <w:rsid w:val="006246BC"/>
    <w:rsid w:val="006250E9"/>
    <w:rsid w:val="00626CEC"/>
    <w:rsid w:val="006274A9"/>
    <w:rsid w:val="00627916"/>
    <w:rsid w:val="00627985"/>
    <w:rsid w:val="006306A0"/>
    <w:rsid w:val="006307EC"/>
    <w:rsid w:val="006310F7"/>
    <w:rsid w:val="00632396"/>
    <w:rsid w:val="00633690"/>
    <w:rsid w:val="00633B2F"/>
    <w:rsid w:val="0063439A"/>
    <w:rsid w:val="00635039"/>
    <w:rsid w:val="006351A3"/>
    <w:rsid w:val="00635D78"/>
    <w:rsid w:val="00636A27"/>
    <w:rsid w:val="00637924"/>
    <w:rsid w:val="006379F2"/>
    <w:rsid w:val="00637C22"/>
    <w:rsid w:val="00640115"/>
    <w:rsid w:val="00640829"/>
    <w:rsid w:val="00640C31"/>
    <w:rsid w:val="00640CB8"/>
    <w:rsid w:val="006413A3"/>
    <w:rsid w:val="00641A9A"/>
    <w:rsid w:val="00641ACC"/>
    <w:rsid w:val="00642AB9"/>
    <w:rsid w:val="00642E2E"/>
    <w:rsid w:val="00643226"/>
    <w:rsid w:val="006444F7"/>
    <w:rsid w:val="006459EF"/>
    <w:rsid w:val="00645AD5"/>
    <w:rsid w:val="00645DCD"/>
    <w:rsid w:val="006465F3"/>
    <w:rsid w:val="00646B44"/>
    <w:rsid w:val="00646D53"/>
    <w:rsid w:val="00647A84"/>
    <w:rsid w:val="00647C50"/>
    <w:rsid w:val="00647D91"/>
    <w:rsid w:val="00647E2C"/>
    <w:rsid w:val="00650283"/>
    <w:rsid w:val="006504BD"/>
    <w:rsid w:val="00652561"/>
    <w:rsid w:val="00652E24"/>
    <w:rsid w:val="006534BF"/>
    <w:rsid w:val="006537D7"/>
    <w:rsid w:val="006538DD"/>
    <w:rsid w:val="0065444A"/>
    <w:rsid w:val="00654546"/>
    <w:rsid w:val="00654F68"/>
    <w:rsid w:val="0065568D"/>
    <w:rsid w:val="00655CF9"/>
    <w:rsid w:val="00655D45"/>
    <w:rsid w:val="00655F64"/>
    <w:rsid w:val="00656354"/>
    <w:rsid w:val="006567F6"/>
    <w:rsid w:val="0065714C"/>
    <w:rsid w:val="0065752F"/>
    <w:rsid w:val="00660195"/>
    <w:rsid w:val="00660A74"/>
    <w:rsid w:val="006621D4"/>
    <w:rsid w:val="00662E5F"/>
    <w:rsid w:val="00663A08"/>
    <w:rsid w:val="00664434"/>
    <w:rsid w:val="00664C0F"/>
    <w:rsid w:val="00665323"/>
    <w:rsid w:val="0066561F"/>
    <w:rsid w:val="006664D1"/>
    <w:rsid w:val="00666A58"/>
    <w:rsid w:val="006672FA"/>
    <w:rsid w:val="00667978"/>
    <w:rsid w:val="00667C58"/>
    <w:rsid w:val="00667CCA"/>
    <w:rsid w:val="00670650"/>
    <w:rsid w:val="006708D0"/>
    <w:rsid w:val="00670CC8"/>
    <w:rsid w:val="006712C0"/>
    <w:rsid w:val="006715AE"/>
    <w:rsid w:val="00671C09"/>
    <w:rsid w:val="0067279F"/>
    <w:rsid w:val="00673040"/>
    <w:rsid w:val="006733E7"/>
    <w:rsid w:val="00673400"/>
    <w:rsid w:val="006744AC"/>
    <w:rsid w:val="00674C7D"/>
    <w:rsid w:val="0067643C"/>
    <w:rsid w:val="00676F4E"/>
    <w:rsid w:val="00677F8D"/>
    <w:rsid w:val="00680B40"/>
    <w:rsid w:val="00680DD4"/>
    <w:rsid w:val="00681EC9"/>
    <w:rsid w:val="006822FA"/>
    <w:rsid w:val="0068288C"/>
    <w:rsid w:val="00683F36"/>
    <w:rsid w:val="0068413A"/>
    <w:rsid w:val="006843CB"/>
    <w:rsid w:val="006852CA"/>
    <w:rsid w:val="00685589"/>
    <w:rsid w:val="00685D8E"/>
    <w:rsid w:val="006864B5"/>
    <w:rsid w:val="0068682C"/>
    <w:rsid w:val="0068772F"/>
    <w:rsid w:val="00687C98"/>
    <w:rsid w:val="00690390"/>
    <w:rsid w:val="006928CF"/>
    <w:rsid w:val="006928FF"/>
    <w:rsid w:val="00693565"/>
    <w:rsid w:val="00693693"/>
    <w:rsid w:val="006938AA"/>
    <w:rsid w:val="00693FED"/>
    <w:rsid w:val="006946C6"/>
    <w:rsid w:val="0069474B"/>
    <w:rsid w:val="0069475D"/>
    <w:rsid w:val="00695668"/>
    <w:rsid w:val="00695F4F"/>
    <w:rsid w:val="00697027"/>
    <w:rsid w:val="00697966"/>
    <w:rsid w:val="006A170E"/>
    <w:rsid w:val="006A1730"/>
    <w:rsid w:val="006A1F29"/>
    <w:rsid w:val="006A2258"/>
    <w:rsid w:val="006A2433"/>
    <w:rsid w:val="006A2489"/>
    <w:rsid w:val="006A2753"/>
    <w:rsid w:val="006A2AB9"/>
    <w:rsid w:val="006A2F38"/>
    <w:rsid w:val="006A2FA9"/>
    <w:rsid w:val="006A3A2B"/>
    <w:rsid w:val="006A3C55"/>
    <w:rsid w:val="006A4528"/>
    <w:rsid w:val="006A4BB9"/>
    <w:rsid w:val="006A5BD4"/>
    <w:rsid w:val="006A60BB"/>
    <w:rsid w:val="006A640E"/>
    <w:rsid w:val="006A653A"/>
    <w:rsid w:val="006A6706"/>
    <w:rsid w:val="006A690E"/>
    <w:rsid w:val="006A6BF1"/>
    <w:rsid w:val="006A6D2C"/>
    <w:rsid w:val="006A737B"/>
    <w:rsid w:val="006A7974"/>
    <w:rsid w:val="006B05AE"/>
    <w:rsid w:val="006B0902"/>
    <w:rsid w:val="006B2740"/>
    <w:rsid w:val="006B2D84"/>
    <w:rsid w:val="006B3032"/>
    <w:rsid w:val="006B3323"/>
    <w:rsid w:val="006B4B4A"/>
    <w:rsid w:val="006B4CD9"/>
    <w:rsid w:val="006B5727"/>
    <w:rsid w:val="006B6C69"/>
    <w:rsid w:val="006B748F"/>
    <w:rsid w:val="006B75C6"/>
    <w:rsid w:val="006C0891"/>
    <w:rsid w:val="006C1357"/>
    <w:rsid w:val="006C3054"/>
    <w:rsid w:val="006C354C"/>
    <w:rsid w:val="006C3B76"/>
    <w:rsid w:val="006C4572"/>
    <w:rsid w:val="006C4F95"/>
    <w:rsid w:val="006C5571"/>
    <w:rsid w:val="006C6434"/>
    <w:rsid w:val="006C7568"/>
    <w:rsid w:val="006C7B03"/>
    <w:rsid w:val="006D003A"/>
    <w:rsid w:val="006D0EC2"/>
    <w:rsid w:val="006D2F6C"/>
    <w:rsid w:val="006D3051"/>
    <w:rsid w:val="006D3F62"/>
    <w:rsid w:val="006D4B50"/>
    <w:rsid w:val="006D4C72"/>
    <w:rsid w:val="006D4E4C"/>
    <w:rsid w:val="006D5585"/>
    <w:rsid w:val="006D59EF"/>
    <w:rsid w:val="006D5B75"/>
    <w:rsid w:val="006D5F76"/>
    <w:rsid w:val="006D6D96"/>
    <w:rsid w:val="006D7211"/>
    <w:rsid w:val="006D75C8"/>
    <w:rsid w:val="006D7A57"/>
    <w:rsid w:val="006E09F1"/>
    <w:rsid w:val="006E0B62"/>
    <w:rsid w:val="006E1850"/>
    <w:rsid w:val="006E1F56"/>
    <w:rsid w:val="006E3B87"/>
    <w:rsid w:val="006E4498"/>
    <w:rsid w:val="006E4C27"/>
    <w:rsid w:val="006E4E87"/>
    <w:rsid w:val="006E4FF6"/>
    <w:rsid w:val="006E5AA5"/>
    <w:rsid w:val="006E5B9F"/>
    <w:rsid w:val="006E6F28"/>
    <w:rsid w:val="006E7320"/>
    <w:rsid w:val="006E7A62"/>
    <w:rsid w:val="006F057B"/>
    <w:rsid w:val="006F0D46"/>
    <w:rsid w:val="006F23DD"/>
    <w:rsid w:val="006F3035"/>
    <w:rsid w:val="006F31DF"/>
    <w:rsid w:val="006F4CF4"/>
    <w:rsid w:val="006F5158"/>
    <w:rsid w:val="006F5C47"/>
    <w:rsid w:val="006F5C84"/>
    <w:rsid w:val="006F5CD6"/>
    <w:rsid w:val="006F5D5C"/>
    <w:rsid w:val="006F6A4F"/>
    <w:rsid w:val="006F6F27"/>
    <w:rsid w:val="006F7D93"/>
    <w:rsid w:val="007000FA"/>
    <w:rsid w:val="00700515"/>
    <w:rsid w:val="00700950"/>
    <w:rsid w:val="00701136"/>
    <w:rsid w:val="00701154"/>
    <w:rsid w:val="00701B62"/>
    <w:rsid w:val="0070319A"/>
    <w:rsid w:val="00703202"/>
    <w:rsid w:val="00703A7A"/>
    <w:rsid w:val="00703CB4"/>
    <w:rsid w:val="0070743F"/>
    <w:rsid w:val="007075A5"/>
    <w:rsid w:val="007078F4"/>
    <w:rsid w:val="00707C18"/>
    <w:rsid w:val="007103A9"/>
    <w:rsid w:val="00710582"/>
    <w:rsid w:val="0071189F"/>
    <w:rsid w:val="00712D6B"/>
    <w:rsid w:val="00713CF2"/>
    <w:rsid w:val="007143B6"/>
    <w:rsid w:val="00714ABC"/>
    <w:rsid w:val="00716A2F"/>
    <w:rsid w:val="00716AD2"/>
    <w:rsid w:val="00716E48"/>
    <w:rsid w:val="00717661"/>
    <w:rsid w:val="00717664"/>
    <w:rsid w:val="007176C2"/>
    <w:rsid w:val="00717A56"/>
    <w:rsid w:val="00720115"/>
    <w:rsid w:val="007203CA"/>
    <w:rsid w:val="007215D4"/>
    <w:rsid w:val="0072228B"/>
    <w:rsid w:val="007226F5"/>
    <w:rsid w:val="00722EBF"/>
    <w:rsid w:val="00723B2C"/>
    <w:rsid w:val="00724ED0"/>
    <w:rsid w:val="00724F92"/>
    <w:rsid w:val="007253D6"/>
    <w:rsid w:val="007254D8"/>
    <w:rsid w:val="00725563"/>
    <w:rsid w:val="0072578A"/>
    <w:rsid w:val="0072597A"/>
    <w:rsid w:val="00725BB5"/>
    <w:rsid w:val="00725FE4"/>
    <w:rsid w:val="00726C29"/>
    <w:rsid w:val="00731C91"/>
    <w:rsid w:val="00732524"/>
    <w:rsid w:val="0073292B"/>
    <w:rsid w:val="0073361B"/>
    <w:rsid w:val="00733625"/>
    <w:rsid w:val="00733A3F"/>
    <w:rsid w:val="00733DC2"/>
    <w:rsid w:val="00734395"/>
    <w:rsid w:val="00735C61"/>
    <w:rsid w:val="007378D4"/>
    <w:rsid w:val="0073792C"/>
    <w:rsid w:val="007410E9"/>
    <w:rsid w:val="00741619"/>
    <w:rsid w:val="007417A8"/>
    <w:rsid w:val="0074257A"/>
    <w:rsid w:val="0074347C"/>
    <w:rsid w:val="007435AB"/>
    <w:rsid w:val="00743E6F"/>
    <w:rsid w:val="00743E9F"/>
    <w:rsid w:val="00744FD8"/>
    <w:rsid w:val="00745DC1"/>
    <w:rsid w:val="00746EA0"/>
    <w:rsid w:val="00747434"/>
    <w:rsid w:val="00747744"/>
    <w:rsid w:val="0074788B"/>
    <w:rsid w:val="0074788D"/>
    <w:rsid w:val="00747A06"/>
    <w:rsid w:val="00747DAD"/>
    <w:rsid w:val="00747F01"/>
    <w:rsid w:val="00750DAA"/>
    <w:rsid w:val="0075137C"/>
    <w:rsid w:val="00751CDD"/>
    <w:rsid w:val="00751E1C"/>
    <w:rsid w:val="00751E63"/>
    <w:rsid w:val="0075390B"/>
    <w:rsid w:val="0075418A"/>
    <w:rsid w:val="00755456"/>
    <w:rsid w:val="00755D58"/>
    <w:rsid w:val="00755F6D"/>
    <w:rsid w:val="007574B9"/>
    <w:rsid w:val="007605A4"/>
    <w:rsid w:val="007606A4"/>
    <w:rsid w:val="00761164"/>
    <w:rsid w:val="007612AA"/>
    <w:rsid w:val="00761A9C"/>
    <w:rsid w:val="0076241A"/>
    <w:rsid w:val="0076260D"/>
    <w:rsid w:val="00762B2A"/>
    <w:rsid w:val="00762D04"/>
    <w:rsid w:val="00762EAF"/>
    <w:rsid w:val="00763486"/>
    <w:rsid w:val="00763609"/>
    <w:rsid w:val="00763B77"/>
    <w:rsid w:val="00764F25"/>
    <w:rsid w:val="00766242"/>
    <w:rsid w:val="00766570"/>
    <w:rsid w:val="00766D1A"/>
    <w:rsid w:val="00766E1E"/>
    <w:rsid w:val="00766EF4"/>
    <w:rsid w:val="0076702C"/>
    <w:rsid w:val="0076782D"/>
    <w:rsid w:val="00767EBE"/>
    <w:rsid w:val="00767F6C"/>
    <w:rsid w:val="007706BE"/>
    <w:rsid w:val="007709AD"/>
    <w:rsid w:val="00771FE4"/>
    <w:rsid w:val="00772829"/>
    <w:rsid w:val="0077325A"/>
    <w:rsid w:val="0077363A"/>
    <w:rsid w:val="00774883"/>
    <w:rsid w:val="00775CFE"/>
    <w:rsid w:val="00777350"/>
    <w:rsid w:val="00777848"/>
    <w:rsid w:val="00777893"/>
    <w:rsid w:val="00777951"/>
    <w:rsid w:val="00780326"/>
    <w:rsid w:val="007803E6"/>
    <w:rsid w:val="007809D5"/>
    <w:rsid w:val="00780A9B"/>
    <w:rsid w:val="00782864"/>
    <w:rsid w:val="00782DFB"/>
    <w:rsid w:val="00783CD1"/>
    <w:rsid w:val="0078418F"/>
    <w:rsid w:val="00784999"/>
    <w:rsid w:val="00784DDA"/>
    <w:rsid w:val="007850D6"/>
    <w:rsid w:val="007852E9"/>
    <w:rsid w:val="007854E3"/>
    <w:rsid w:val="00785C38"/>
    <w:rsid w:val="00785DAE"/>
    <w:rsid w:val="00785E24"/>
    <w:rsid w:val="007866AE"/>
    <w:rsid w:val="007872F1"/>
    <w:rsid w:val="00787759"/>
    <w:rsid w:val="00790157"/>
    <w:rsid w:val="007905C8"/>
    <w:rsid w:val="00790B15"/>
    <w:rsid w:val="00790C80"/>
    <w:rsid w:val="00790F49"/>
    <w:rsid w:val="0079222B"/>
    <w:rsid w:val="00792251"/>
    <w:rsid w:val="00792279"/>
    <w:rsid w:val="00792894"/>
    <w:rsid w:val="00792F94"/>
    <w:rsid w:val="007931CB"/>
    <w:rsid w:val="00793626"/>
    <w:rsid w:val="00793A55"/>
    <w:rsid w:val="007951D4"/>
    <w:rsid w:val="00795405"/>
    <w:rsid w:val="00795D6F"/>
    <w:rsid w:val="00795DFC"/>
    <w:rsid w:val="00796BB0"/>
    <w:rsid w:val="00797115"/>
    <w:rsid w:val="00797654"/>
    <w:rsid w:val="00797C46"/>
    <w:rsid w:val="007A076B"/>
    <w:rsid w:val="007A19F6"/>
    <w:rsid w:val="007A2486"/>
    <w:rsid w:val="007A2B65"/>
    <w:rsid w:val="007A371F"/>
    <w:rsid w:val="007A3AAD"/>
    <w:rsid w:val="007A423F"/>
    <w:rsid w:val="007A4BCB"/>
    <w:rsid w:val="007A4C0E"/>
    <w:rsid w:val="007A5526"/>
    <w:rsid w:val="007A5617"/>
    <w:rsid w:val="007A61D6"/>
    <w:rsid w:val="007A698B"/>
    <w:rsid w:val="007A70C0"/>
    <w:rsid w:val="007A7F13"/>
    <w:rsid w:val="007B0245"/>
    <w:rsid w:val="007B083F"/>
    <w:rsid w:val="007B0880"/>
    <w:rsid w:val="007B0D01"/>
    <w:rsid w:val="007B0F09"/>
    <w:rsid w:val="007B2085"/>
    <w:rsid w:val="007B27CE"/>
    <w:rsid w:val="007B2B83"/>
    <w:rsid w:val="007B2FDC"/>
    <w:rsid w:val="007B38A0"/>
    <w:rsid w:val="007B38B7"/>
    <w:rsid w:val="007B416D"/>
    <w:rsid w:val="007B4C00"/>
    <w:rsid w:val="007B4F7B"/>
    <w:rsid w:val="007B583D"/>
    <w:rsid w:val="007B612F"/>
    <w:rsid w:val="007B6684"/>
    <w:rsid w:val="007B6AE6"/>
    <w:rsid w:val="007B6B21"/>
    <w:rsid w:val="007B7024"/>
    <w:rsid w:val="007B784C"/>
    <w:rsid w:val="007C0390"/>
    <w:rsid w:val="007C0ADA"/>
    <w:rsid w:val="007C14A2"/>
    <w:rsid w:val="007C1501"/>
    <w:rsid w:val="007C1963"/>
    <w:rsid w:val="007C1DA5"/>
    <w:rsid w:val="007C224A"/>
    <w:rsid w:val="007C2FA1"/>
    <w:rsid w:val="007C300E"/>
    <w:rsid w:val="007C328D"/>
    <w:rsid w:val="007C336F"/>
    <w:rsid w:val="007C387F"/>
    <w:rsid w:val="007C3951"/>
    <w:rsid w:val="007C3A8A"/>
    <w:rsid w:val="007C41B1"/>
    <w:rsid w:val="007C4EAA"/>
    <w:rsid w:val="007C60BB"/>
    <w:rsid w:val="007C7BF1"/>
    <w:rsid w:val="007D041F"/>
    <w:rsid w:val="007D08C3"/>
    <w:rsid w:val="007D1AFC"/>
    <w:rsid w:val="007D261D"/>
    <w:rsid w:val="007D2C89"/>
    <w:rsid w:val="007D2CD4"/>
    <w:rsid w:val="007D2D68"/>
    <w:rsid w:val="007D30B7"/>
    <w:rsid w:val="007D3396"/>
    <w:rsid w:val="007D39DA"/>
    <w:rsid w:val="007D3B13"/>
    <w:rsid w:val="007D40BD"/>
    <w:rsid w:val="007D5144"/>
    <w:rsid w:val="007D5A22"/>
    <w:rsid w:val="007D61D4"/>
    <w:rsid w:val="007D64B0"/>
    <w:rsid w:val="007E0AA0"/>
    <w:rsid w:val="007E15AD"/>
    <w:rsid w:val="007E1E84"/>
    <w:rsid w:val="007E236F"/>
    <w:rsid w:val="007E25ED"/>
    <w:rsid w:val="007E29F1"/>
    <w:rsid w:val="007E2BC0"/>
    <w:rsid w:val="007E2C13"/>
    <w:rsid w:val="007E3A3B"/>
    <w:rsid w:val="007E6048"/>
    <w:rsid w:val="007E6DB5"/>
    <w:rsid w:val="007E7C53"/>
    <w:rsid w:val="007F239B"/>
    <w:rsid w:val="007F2541"/>
    <w:rsid w:val="007F2FA6"/>
    <w:rsid w:val="007F3420"/>
    <w:rsid w:val="007F394A"/>
    <w:rsid w:val="007F4BD5"/>
    <w:rsid w:val="007F501B"/>
    <w:rsid w:val="007F67E9"/>
    <w:rsid w:val="007F6867"/>
    <w:rsid w:val="007F6875"/>
    <w:rsid w:val="007F6899"/>
    <w:rsid w:val="007F6ED4"/>
    <w:rsid w:val="007F70AC"/>
    <w:rsid w:val="007F75DA"/>
    <w:rsid w:val="007F785D"/>
    <w:rsid w:val="007F79E5"/>
    <w:rsid w:val="007F7C7B"/>
    <w:rsid w:val="008003A2"/>
    <w:rsid w:val="00800567"/>
    <w:rsid w:val="008017DE"/>
    <w:rsid w:val="008026DA"/>
    <w:rsid w:val="00802ECF"/>
    <w:rsid w:val="00802ED2"/>
    <w:rsid w:val="0080387A"/>
    <w:rsid w:val="008040A2"/>
    <w:rsid w:val="0080435B"/>
    <w:rsid w:val="00804632"/>
    <w:rsid w:val="00804BDA"/>
    <w:rsid w:val="008054D9"/>
    <w:rsid w:val="00806471"/>
    <w:rsid w:val="00806688"/>
    <w:rsid w:val="0080693B"/>
    <w:rsid w:val="00807A3E"/>
    <w:rsid w:val="00810338"/>
    <w:rsid w:val="00810E1B"/>
    <w:rsid w:val="00811135"/>
    <w:rsid w:val="00812282"/>
    <w:rsid w:val="00812A5C"/>
    <w:rsid w:val="00813BC9"/>
    <w:rsid w:val="00813F58"/>
    <w:rsid w:val="00814287"/>
    <w:rsid w:val="00814767"/>
    <w:rsid w:val="008148E4"/>
    <w:rsid w:val="00814BA6"/>
    <w:rsid w:val="00814CE4"/>
    <w:rsid w:val="008155F1"/>
    <w:rsid w:val="008157F1"/>
    <w:rsid w:val="00816B8F"/>
    <w:rsid w:val="00816EC2"/>
    <w:rsid w:val="00820135"/>
    <w:rsid w:val="0082026F"/>
    <w:rsid w:val="00821DB6"/>
    <w:rsid w:val="00821F4D"/>
    <w:rsid w:val="008236E1"/>
    <w:rsid w:val="00823C64"/>
    <w:rsid w:val="00824458"/>
    <w:rsid w:val="008244E3"/>
    <w:rsid w:val="008249F7"/>
    <w:rsid w:val="00824B74"/>
    <w:rsid w:val="00824C99"/>
    <w:rsid w:val="00824D17"/>
    <w:rsid w:val="00824FF8"/>
    <w:rsid w:val="00825C8A"/>
    <w:rsid w:val="008266D5"/>
    <w:rsid w:val="008269B0"/>
    <w:rsid w:val="00827027"/>
    <w:rsid w:val="0082732D"/>
    <w:rsid w:val="00830C44"/>
    <w:rsid w:val="00831457"/>
    <w:rsid w:val="0083231B"/>
    <w:rsid w:val="00832904"/>
    <w:rsid w:val="00832F32"/>
    <w:rsid w:val="00834B8F"/>
    <w:rsid w:val="00835EC9"/>
    <w:rsid w:val="00835FD8"/>
    <w:rsid w:val="0083701F"/>
    <w:rsid w:val="00837C07"/>
    <w:rsid w:val="00840276"/>
    <w:rsid w:val="008409A5"/>
    <w:rsid w:val="00841388"/>
    <w:rsid w:val="00841BFF"/>
    <w:rsid w:val="00841EFB"/>
    <w:rsid w:val="00841F44"/>
    <w:rsid w:val="008424AD"/>
    <w:rsid w:val="00842C82"/>
    <w:rsid w:val="008436D7"/>
    <w:rsid w:val="008440FE"/>
    <w:rsid w:val="00844736"/>
    <w:rsid w:val="00844B59"/>
    <w:rsid w:val="00844E4C"/>
    <w:rsid w:val="008456D8"/>
    <w:rsid w:val="00845AC8"/>
    <w:rsid w:val="00845C39"/>
    <w:rsid w:val="00846119"/>
    <w:rsid w:val="00846A3B"/>
    <w:rsid w:val="00846E05"/>
    <w:rsid w:val="0084705A"/>
    <w:rsid w:val="00847435"/>
    <w:rsid w:val="008474E3"/>
    <w:rsid w:val="00847933"/>
    <w:rsid w:val="008501C7"/>
    <w:rsid w:val="0085185F"/>
    <w:rsid w:val="008521E0"/>
    <w:rsid w:val="008527ED"/>
    <w:rsid w:val="008537F7"/>
    <w:rsid w:val="008546BE"/>
    <w:rsid w:val="008549E8"/>
    <w:rsid w:val="00855A95"/>
    <w:rsid w:val="00855AAA"/>
    <w:rsid w:val="00856074"/>
    <w:rsid w:val="00856A60"/>
    <w:rsid w:val="00856AFA"/>
    <w:rsid w:val="0085768C"/>
    <w:rsid w:val="00857949"/>
    <w:rsid w:val="00860B04"/>
    <w:rsid w:val="008616DB"/>
    <w:rsid w:val="00861983"/>
    <w:rsid w:val="008620EA"/>
    <w:rsid w:val="00862E12"/>
    <w:rsid w:val="00864B64"/>
    <w:rsid w:val="00864F3D"/>
    <w:rsid w:val="00865F43"/>
    <w:rsid w:val="0086610C"/>
    <w:rsid w:val="0086644D"/>
    <w:rsid w:val="00866D53"/>
    <w:rsid w:val="008673F6"/>
    <w:rsid w:val="008709F8"/>
    <w:rsid w:val="00870B54"/>
    <w:rsid w:val="0087180C"/>
    <w:rsid w:val="00871977"/>
    <w:rsid w:val="0087277A"/>
    <w:rsid w:val="00872A47"/>
    <w:rsid w:val="00872B23"/>
    <w:rsid w:val="008736E2"/>
    <w:rsid w:val="008739C0"/>
    <w:rsid w:val="00873DAA"/>
    <w:rsid w:val="00873E3A"/>
    <w:rsid w:val="0087414C"/>
    <w:rsid w:val="00874565"/>
    <w:rsid w:val="00874E0D"/>
    <w:rsid w:val="008756CC"/>
    <w:rsid w:val="00875746"/>
    <w:rsid w:val="00875A0F"/>
    <w:rsid w:val="00875BB1"/>
    <w:rsid w:val="00877247"/>
    <w:rsid w:val="008778F7"/>
    <w:rsid w:val="008801AE"/>
    <w:rsid w:val="00880AA3"/>
    <w:rsid w:val="008813D2"/>
    <w:rsid w:val="008829FC"/>
    <w:rsid w:val="00883A9D"/>
    <w:rsid w:val="0088421C"/>
    <w:rsid w:val="0088445B"/>
    <w:rsid w:val="008844B3"/>
    <w:rsid w:val="00885C08"/>
    <w:rsid w:val="00885D44"/>
    <w:rsid w:val="0088688B"/>
    <w:rsid w:val="00891AF6"/>
    <w:rsid w:val="00891BC3"/>
    <w:rsid w:val="008923F2"/>
    <w:rsid w:val="00892A5A"/>
    <w:rsid w:val="0089301D"/>
    <w:rsid w:val="00893451"/>
    <w:rsid w:val="008937C8"/>
    <w:rsid w:val="0089393C"/>
    <w:rsid w:val="00894CDA"/>
    <w:rsid w:val="00895620"/>
    <w:rsid w:val="00895F54"/>
    <w:rsid w:val="0089633F"/>
    <w:rsid w:val="008967C4"/>
    <w:rsid w:val="00896DFB"/>
    <w:rsid w:val="008A031F"/>
    <w:rsid w:val="008A0D2A"/>
    <w:rsid w:val="008A137B"/>
    <w:rsid w:val="008A1693"/>
    <w:rsid w:val="008A1D53"/>
    <w:rsid w:val="008A254F"/>
    <w:rsid w:val="008A25F9"/>
    <w:rsid w:val="008A2630"/>
    <w:rsid w:val="008A271F"/>
    <w:rsid w:val="008A2AE7"/>
    <w:rsid w:val="008A37F4"/>
    <w:rsid w:val="008A3B64"/>
    <w:rsid w:val="008A4F44"/>
    <w:rsid w:val="008A53F6"/>
    <w:rsid w:val="008A5633"/>
    <w:rsid w:val="008A5833"/>
    <w:rsid w:val="008A5D91"/>
    <w:rsid w:val="008A66E9"/>
    <w:rsid w:val="008A7268"/>
    <w:rsid w:val="008A7BF5"/>
    <w:rsid w:val="008A7E66"/>
    <w:rsid w:val="008B0502"/>
    <w:rsid w:val="008B0CBF"/>
    <w:rsid w:val="008B0F8F"/>
    <w:rsid w:val="008B0FED"/>
    <w:rsid w:val="008B21B8"/>
    <w:rsid w:val="008B3794"/>
    <w:rsid w:val="008B3A88"/>
    <w:rsid w:val="008B4067"/>
    <w:rsid w:val="008B45A6"/>
    <w:rsid w:val="008B4BFC"/>
    <w:rsid w:val="008B4F85"/>
    <w:rsid w:val="008B5119"/>
    <w:rsid w:val="008B51B4"/>
    <w:rsid w:val="008B5B67"/>
    <w:rsid w:val="008B5D7A"/>
    <w:rsid w:val="008B66E3"/>
    <w:rsid w:val="008B7848"/>
    <w:rsid w:val="008C0018"/>
    <w:rsid w:val="008C160F"/>
    <w:rsid w:val="008C1645"/>
    <w:rsid w:val="008C1E05"/>
    <w:rsid w:val="008C263A"/>
    <w:rsid w:val="008C2B4C"/>
    <w:rsid w:val="008C34BB"/>
    <w:rsid w:val="008C43C8"/>
    <w:rsid w:val="008C45E2"/>
    <w:rsid w:val="008C4F45"/>
    <w:rsid w:val="008C5D5C"/>
    <w:rsid w:val="008C7F02"/>
    <w:rsid w:val="008D0D9B"/>
    <w:rsid w:val="008D1276"/>
    <w:rsid w:val="008D2BE5"/>
    <w:rsid w:val="008D3726"/>
    <w:rsid w:val="008D40A0"/>
    <w:rsid w:val="008D44D0"/>
    <w:rsid w:val="008D4B68"/>
    <w:rsid w:val="008D4CB0"/>
    <w:rsid w:val="008D52B9"/>
    <w:rsid w:val="008D5DD3"/>
    <w:rsid w:val="008D6397"/>
    <w:rsid w:val="008D73C9"/>
    <w:rsid w:val="008D7BDA"/>
    <w:rsid w:val="008D7C95"/>
    <w:rsid w:val="008E06E5"/>
    <w:rsid w:val="008E06E7"/>
    <w:rsid w:val="008E16BF"/>
    <w:rsid w:val="008E1E6B"/>
    <w:rsid w:val="008E20C6"/>
    <w:rsid w:val="008E3049"/>
    <w:rsid w:val="008E320C"/>
    <w:rsid w:val="008E35A3"/>
    <w:rsid w:val="008E3A9A"/>
    <w:rsid w:val="008E3B57"/>
    <w:rsid w:val="008E466C"/>
    <w:rsid w:val="008E5031"/>
    <w:rsid w:val="008E609E"/>
    <w:rsid w:val="008E7274"/>
    <w:rsid w:val="008E798C"/>
    <w:rsid w:val="008F0562"/>
    <w:rsid w:val="008F2580"/>
    <w:rsid w:val="008F260B"/>
    <w:rsid w:val="008F2E24"/>
    <w:rsid w:val="008F3D0D"/>
    <w:rsid w:val="008F41C7"/>
    <w:rsid w:val="008F5766"/>
    <w:rsid w:val="008F5BD2"/>
    <w:rsid w:val="008F6183"/>
    <w:rsid w:val="008F62AB"/>
    <w:rsid w:val="008F6A2A"/>
    <w:rsid w:val="008F70B0"/>
    <w:rsid w:val="00900385"/>
    <w:rsid w:val="00900D5B"/>
    <w:rsid w:val="0090137C"/>
    <w:rsid w:val="0090160D"/>
    <w:rsid w:val="0090190E"/>
    <w:rsid w:val="009019C7"/>
    <w:rsid w:val="00901D5C"/>
    <w:rsid w:val="00901DB7"/>
    <w:rsid w:val="009061C6"/>
    <w:rsid w:val="00906E65"/>
    <w:rsid w:val="00907C0A"/>
    <w:rsid w:val="00907F0B"/>
    <w:rsid w:val="00910EB8"/>
    <w:rsid w:val="00911EC4"/>
    <w:rsid w:val="00913794"/>
    <w:rsid w:val="009144D5"/>
    <w:rsid w:val="00915DD4"/>
    <w:rsid w:val="00915F98"/>
    <w:rsid w:val="00915FA3"/>
    <w:rsid w:val="0091622E"/>
    <w:rsid w:val="00920155"/>
    <w:rsid w:val="009217F2"/>
    <w:rsid w:val="009217F8"/>
    <w:rsid w:val="00921C17"/>
    <w:rsid w:val="0092240A"/>
    <w:rsid w:val="00922E1F"/>
    <w:rsid w:val="00923A3D"/>
    <w:rsid w:val="00924235"/>
    <w:rsid w:val="009243B1"/>
    <w:rsid w:val="0092468D"/>
    <w:rsid w:val="0092470E"/>
    <w:rsid w:val="00925187"/>
    <w:rsid w:val="00925CB4"/>
    <w:rsid w:val="00926DAE"/>
    <w:rsid w:val="0092709C"/>
    <w:rsid w:val="0092717F"/>
    <w:rsid w:val="00927744"/>
    <w:rsid w:val="00927B05"/>
    <w:rsid w:val="00930B37"/>
    <w:rsid w:val="00930C4D"/>
    <w:rsid w:val="00930F4E"/>
    <w:rsid w:val="009312BC"/>
    <w:rsid w:val="00931E3E"/>
    <w:rsid w:val="00933298"/>
    <w:rsid w:val="00933718"/>
    <w:rsid w:val="00934C41"/>
    <w:rsid w:val="00934D7A"/>
    <w:rsid w:val="00935931"/>
    <w:rsid w:val="00936062"/>
    <w:rsid w:val="00936C21"/>
    <w:rsid w:val="00936E07"/>
    <w:rsid w:val="0093714D"/>
    <w:rsid w:val="0093792D"/>
    <w:rsid w:val="00937CBE"/>
    <w:rsid w:val="00940E08"/>
    <w:rsid w:val="00941325"/>
    <w:rsid w:val="009424AD"/>
    <w:rsid w:val="00943866"/>
    <w:rsid w:val="00943B3F"/>
    <w:rsid w:val="00944087"/>
    <w:rsid w:val="00944337"/>
    <w:rsid w:val="00944E74"/>
    <w:rsid w:val="00945008"/>
    <w:rsid w:val="00945D98"/>
    <w:rsid w:val="00946F26"/>
    <w:rsid w:val="009473BC"/>
    <w:rsid w:val="00947415"/>
    <w:rsid w:val="0095012E"/>
    <w:rsid w:val="0095055C"/>
    <w:rsid w:val="00950836"/>
    <w:rsid w:val="00950AAF"/>
    <w:rsid w:val="00950E72"/>
    <w:rsid w:val="009511FF"/>
    <w:rsid w:val="00951934"/>
    <w:rsid w:val="00951BD4"/>
    <w:rsid w:val="0095207B"/>
    <w:rsid w:val="009521E7"/>
    <w:rsid w:val="00952B49"/>
    <w:rsid w:val="009531E2"/>
    <w:rsid w:val="00953FC1"/>
    <w:rsid w:val="00954C8C"/>
    <w:rsid w:val="00955CE9"/>
    <w:rsid w:val="009561DD"/>
    <w:rsid w:val="00956611"/>
    <w:rsid w:val="00956761"/>
    <w:rsid w:val="00956ACE"/>
    <w:rsid w:val="009572A0"/>
    <w:rsid w:val="0095748E"/>
    <w:rsid w:val="009578EF"/>
    <w:rsid w:val="00957D24"/>
    <w:rsid w:val="009602B3"/>
    <w:rsid w:val="0096037B"/>
    <w:rsid w:val="0096071E"/>
    <w:rsid w:val="00960DCF"/>
    <w:rsid w:val="009615CB"/>
    <w:rsid w:val="00961A79"/>
    <w:rsid w:val="00961B53"/>
    <w:rsid w:val="00961DAB"/>
    <w:rsid w:val="00963264"/>
    <w:rsid w:val="009636CF"/>
    <w:rsid w:val="0096389D"/>
    <w:rsid w:val="00964481"/>
    <w:rsid w:val="00965038"/>
    <w:rsid w:val="009655C8"/>
    <w:rsid w:val="00965630"/>
    <w:rsid w:val="00966418"/>
    <w:rsid w:val="00966A4C"/>
    <w:rsid w:val="00967549"/>
    <w:rsid w:val="009676C0"/>
    <w:rsid w:val="00967856"/>
    <w:rsid w:val="00967DC2"/>
    <w:rsid w:val="0097032C"/>
    <w:rsid w:val="00970BB1"/>
    <w:rsid w:val="009711DB"/>
    <w:rsid w:val="0097234A"/>
    <w:rsid w:val="00972B8A"/>
    <w:rsid w:val="009733CC"/>
    <w:rsid w:val="00973A64"/>
    <w:rsid w:val="00974ED4"/>
    <w:rsid w:val="009756C0"/>
    <w:rsid w:val="00975865"/>
    <w:rsid w:val="009758DF"/>
    <w:rsid w:val="00976501"/>
    <w:rsid w:val="009765FB"/>
    <w:rsid w:val="009803A9"/>
    <w:rsid w:val="009803CB"/>
    <w:rsid w:val="009803D4"/>
    <w:rsid w:val="009807A2"/>
    <w:rsid w:val="00980FA4"/>
    <w:rsid w:val="00981997"/>
    <w:rsid w:val="0098199C"/>
    <w:rsid w:val="0098268D"/>
    <w:rsid w:val="0098384D"/>
    <w:rsid w:val="009839C4"/>
    <w:rsid w:val="00984F4F"/>
    <w:rsid w:val="00985722"/>
    <w:rsid w:val="009868CD"/>
    <w:rsid w:val="00986B5D"/>
    <w:rsid w:val="00986F3D"/>
    <w:rsid w:val="009873F3"/>
    <w:rsid w:val="00987CC2"/>
    <w:rsid w:val="00990DBF"/>
    <w:rsid w:val="009922B9"/>
    <w:rsid w:val="009929B1"/>
    <w:rsid w:val="00992FC1"/>
    <w:rsid w:val="009932EA"/>
    <w:rsid w:val="009937C7"/>
    <w:rsid w:val="00993ADE"/>
    <w:rsid w:val="00994452"/>
    <w:rsid w:val="0099451C"/>
    <w:rsid w:val="00994805"/>
    <w:rsid w:val="0099546D"/>
    <w:rsid w:val="00995E98"/>
    <w:rsid w:val="0099607D"/>
    <w:rsid w:val="00996354"/>
    <w:rsid w:val="009969DD"/>
    <w:rsid w:val="00996F15"/>
    <w:rsid w:val="00997AAB"/>
    <w:rsid w:val="00997AEA"/>
    <w:rsid w:val="00997BA8"/>
    <w:rsid w:val="009A0607"/>
    <w:rsid w:val="009A06F4"/>
    <w:rsid w:val="009A0D1B"/>
    <w:rsid w:val="009A1D2D"/>
    <w:rsid w:val="009A2BB3"/>
    <w:rsid w:val="009A30E1"/>
    <w:rsid w:val="009A33A9"/>
    <w:rsid w:val="009A3778"/>
    <w:rsid w:val="009A3B1A"/>
    <w:rsid w:val="009A3E2E"/>
    <w:rsid w:val="009A46D5"/>
    <w:rsid w:val="009A48E2"/>
    <w:rsid w:val="009A5894"/>
    <w:rsid w:val="009A5C5B"/>
    <w:rsid w:val="009A704C"/>
    <w:rsid w:val="009A72D8"/>
    <w:rsid w:val="009A74C3"/>
    <w:rsid w:val="009A7514"/>
    <w:rsid w:val="009A7DD8"/>
    <w:rsid w:val="009A7E8B"/>
    <w:rsid w:val="009A7F34"/>
    <w:rsid w:val="009B1852"/>
    <w:rsid w:val="009B1BCA"/>
    <w:rsid w:val="009B2245"/>
    <w:rsid w:val="009B2365"/>
    <w:rsid w:val="009B258E"/>
    <w:rsid w:val="009B2990"/>
    <w:rsid w:val="009B2A56"/>
    <w:rsid w:val="009B37B3"/>
    <w:rsid w:val="009B384A"/>
    <w:rsid w:val="009B3A82"/>
    <w:rsid w:val="009B3B5D"/>
    <w:rsid w:val="009B42A2"/>
    <w:rsid w:val="009B4AAB"/>
    <w:rsid w:val="009B5997"/>
    <w:rsid w:val="009B5E43"/>
    <w:rsid w:val="009B6461"/>
    <w:rsid w:val="009B6B23"/>
    <w:rsid w:val="009B7170"/>
    <w:rsid w:val="009B749F"/>
    <w:rsid w:val="009B7ABD"/>
    <w:rsid w:val="009C0008"/>
    <w:rsid w:val="009C0872"/>
    <w:rsid w:val="009C0C08"/>
    <w:rsid w:val="009C1D27"/>
    <w:rsid w:val="009C29EC"/>
    <w:rsid w:val="009C3025"/>
    <w:rsid w:val="009C3639"/>
    <w:rsid w:val="009C3BD9"/>
    <w:rsid w:val="009C3BFD"/>
    <w:rsid w:val="009C4067"/>
    <w:rsid w:val="009C5B11"/>
    <w:rsid w:val="009C5B82"/>
    <w:rsid w:val="009C681A"/>
    <w:rsid w:val="009C6936"/>
    <w:rsid w:val="009C698B"/>
    <w:rsid w:val="009C6A00"/>
    <w:rsid w:val="009C756E"/>
    <w:rsid w:val="009C76FD"/>
    <w:rsid w:val="009D02D1"/>
    <w:rsid w:val="009D08C2"/>
    <w:rsid w:val="009D0D03"/>
    <w:rsid w:val="009D1845"/>
    <w:rsid w:val="009D21BE"/>
    <w:rsid w:val="009D34E9"/>
    <w:rsid w:val="009D358F"/>
    <w:rsid w:val="009D39CF"/>
    <w:rsid w:val="009D3AF9"/>
    <w:rsid w:val="009D3C3D"/>
    <w:rsid w:val="009D478D"/>
    <w:rsid w:val="009D4E46"/>
    <w:rsid w:val="009D511B"/>
    <w:rsid w:val="009D5288"/>
    <w:rsid w:val="009D6C79"/>
    <w:rsid w:val="009D719D"/>
    <w:rsid w:val="009E01C4"/>
    <w:rsid w:val="009E21AF"/>
    <w:rsid w:val="009E278F"/>
    <w:rsid w:val="009E2AD3"/>
    <w:rsid w:val="009E2D22"/>
    <w:rsid w:val="009E3A8B"/>
    <w:rsid w:val="009E47E5"/>
    <w:rsid w:val="009E4929"/>
    <w:rsid w:val="009E50D6"/>
    <w:rsid w:val="009E54AF"/>
    <w:rsid w:val="009E6637"/>
    <w:rsid w:val="009E67A1"/>
    <w:rsid w:val="009E6D2D"/>
    <w:rsid w:val="009E7971"/>
    <w:rsid w:val="009E7B15"/>
    <w:rsid w:val="009F0321"/>
    <w:rsid w:val="009F04B7"/>
    <w:rsid w:val="009F146F"/>
    <w:rsid w:val="009F150E"/>
    <w:rsid w:val="009F20B8"/>
    <w:rsid w:val="009F29B4"/>
    <w:rsid w:val="009F2E7A"/>
    <w:rsid w:val="009F304E"/>
    <w:rsid w:val="009F3540"/>
    <w:rsid w:val="009F3C75"/>
    <w:rsid w:val="009F43F5"/>
    <w:rsid w:val="009F4C5E"/>
    <w:rsid w:val="009F6C79"/>
    <w:rsid w:val="009F7219"/>
    <w:rsid w:val="009F7EC1"/>
    <w:rsid w:val="00A0037E"/>
    <w:rsid w:val="00A01303"/>
    <w:rsid w:val="00A01675"/>
    <w:rsid w:val="00A01707"/>
    <w:rsid w:val="00A026A2"/>
    <w:rsid w:val="00A02C4F"/>
    <w:rsid w:val="00A033EB"/>
    <w:rsid w:val="00A04A09"/>
    <w:rsid w:val="00A052D0"/>
    <w:rsid w:val="00A05821"/>
    <w:rsid w:val="00A05D1D"/>
    <w:rsid w:val="00A05EA2"/>
    <w:rsid w:val="00A06F82"/>
    <w:rsid w:val="00A0747C"/>
    <w:rsid w:val="00A076CC"/>
    <w:rsid w:val="00A079F6"/>
    <w:rsid w:val="00A100BE"/>
    <w:rsid w:val="00A10440"/>
    <w:rsid w:val="00A104E9"/>
    <w:rsid w:val="00A10C48"/>
    <w:rsid w:val="00A114A6"/>
    <w:rsid w:val="00A1165C"/>
    <w:rsid w:val="00A11ACE"/>
    <w:rsid w:val="00A11F94"/>
    <w:rsid w:val="00A125D6"/>
    <w:rsid w:val="00A1326A"/>
    <w:rsid w:val="00A14E53"/>
    <w:rsid w:val="00A15251"/>
    <w:rsid w:val="00A15580"/>
    <w:rsid w:val="00A15C5B"/>
    <w:rsid w:val="00A16449"/>
    <w:rsid w:val="00A16A6E"/>
    <w:rsid w:val="00A176B3"/>
    <w:rsid w:val="00A17A16"/>
    <w:rsid w:val="00A17AC7"/>
    <w:rsid w:val="00A17E44"/>
    <w:rsid w:val="00A2067A"/>
    <w:rsid w:val="00A20EFA"/>
    <w:rsid w:val="00A211A9"/>
    <w:rsid w:val="00A219AE"/>
    <w:rsid w:val="00A228EB"/>
    <w:rsid w:val="00A22A97"/>
    <w:rsid w:val="00A22AEF"/>
    <w:rsid w:val="00A22C9C"/>
    <w:rsid w:val="00A22EFC"/>
    <w:rsid w:val="00A2493F"/>
    <w:rsid w:val="00A26389"/>
    <w:rsid w:val="00A27710"/>
    <w:rsid w:val="00A302EF"/>
    <w:rsid w:val="00A303B8"/>
    <w:rsid w:val="00A30E8B"/>
    <w:rsid w:val="00A313F0"/>
    <w:rsid w:val="00A314A1"/>
    <w:rsid w:val="00A33D4B"/>
    <w:rsid w:val="00A33F3D"/>
    <w:rsid w:val="00A345CB"/>
    <w:rsid w:val="00A3563E"/>
    <w:rsid w:val="00A35B44"/>
    <w:rsid w:val="00A361C3"/>
    <w:rsid w:val="00A364A9"/>
    <w:rsid w:val="00A36ADB"/>
    <w:rsid w:val="00A36CA4"/>
    <w:rsid w:val="00A37470"/>
    <w:rsid w:val="00A37685"/>
    <w:rsid w:val="00A37D71"/>
    <w:rsid w:val="00A4022F"/>
    <w:rsid w:val="00A40728"/>
    <w:rsid w:val="00A40F5E"/>
    <w:rsid w:val="00A411FA"/>
    <w:rsid w:val="00A41783"/>
    <w:rsid w:val="00A428FC"/>
    <w:rsid w:val="00A42BA2"/>
    <w:rsid w:val="00A4313D"/>
    <w:rsid w:val="00A43BC2"/>
    <w:rsid w:val="00A44EC1"/>
    <w:rsid w:val="00A44EE8"/>
    <w:rsid w:val="00A454B3"/>
    <w:rsid w:val="00A45E52"/>
    <w:rsid w:val="00A46652"/>
    <w:rsid w:val="00A46C67"/>
    <w:rsid w:val="00A46D15"/>
    <w:rsid w:val="00A47108"/>
    <w:rsid w:val="00A4713D"/>
    <w:rsid w:val="00A51136"/>
    <w:rsid w:val="00A53109"/>
    <w:rsid w:val="00A5323B"/>
    <w:rsid w:val="00A53E15"/>
    <w:rsid w:val="00A54FB4"/>
    <w:rsid w:val="00A553A1"/>
    <w:rsid w:val="00A5546A"/>
    <w:rsid w:val="00A5576F"/>
    <w:rsid w:val="00A55E4E"/>
    <w:rsid w:val="00A56302"/>
    <w:rsid w:val="00A56DE0"/>
    <w:rsid w:val="00A570CD"/>
    <w:rsid w:val="00A5768A"/>
    <w:rsid w:val="00A577FB"/>
    <w:rsid w:val="00A57805"/>
    <w:rsid w:val="00A57A6D"/>
    <w:rsid w:val="00A57BD0"/>
    <w:rsid w:val="00A57C5F"/>
    <w:rsid w:val="00A57E07"/>
    <w:rsid w:val="00A607F6"/>
    <w:rsid w:val="00A60E6B"/>
    <w:rsid w:val="00A6188F"/>
    <w:rsid w:val="00A61B56"/>
    <w:rsid w:val="00A628EB"/>
    <w:rsid w:val="00A62D4E"/>
    <w:rsid w:val="00A62F4B"/>
    <w:rsid w:val="00A6310E"/>
    <w:rsid w:val="00A63C18"/>
    <w:rsid w:val="00A64B04"/>
    <w:rsid w:val="00A64DB8"/>
    <w:rsid w:val="00A64F58"/>
    <w:rsid w:val="00A6573A"/>
    <w:rsid w:val="00A65AFE"/>
    <w:rsid w:val="00A662DC"/>
    <w:rsid w:val="00A664DE"/>
    <w:rsid w:val="00A66BF9"/>
    <w:rsid w:val="00A6741B"/>
    <w:rsid w:val="00A703EE"/>
    <w:rsid w:val="00A70696"/>
    <w:rsid w:val="00A70F18"/>
    <w:rsid w:val="00A71133"/>
    <w:rsid w:val="00A71183"/>
    <w:rsid w:val="00A716D6"/>
    <w:rsid w:val="00A71925"/>
    <w:rsid w:val="00A72D38"/>
    <w:rsid w:val="00A72DDB"/>
    <w:rsid w:val="00A73795"/>
    <w:rsid w:val="00A73D22"/>
    <w:rsid w:val="00A74226"/>
    <w:rsid w:val="00A7506A"/>
    <w:rsid w:val="00A757B0"/>
    <w:rsid w:val="00A75D5C"/>
    <w:rsid w:val="00A75ED6"/>
    <w:rsid w:val="00A76723"/>
    <w:rsid w:val="00A776A4"/>
    <w:rsid w:val="00A77E2E"/>
    <w:rsid w:val="00A77F0A"/>
    <w:rsid w:val="00A77F5B"/>
    <w:rsid w:val="00A8049D"/>
    <w:rsid w:val="00A80776"/>
    <w:rsid w:val="00A80A18"/>
    <w:rsid w:val="00A80B3B"/>
    <w:rsid w:val="00A8170A"/>
    <w:rsid w:val="00A822C2"/>
    <w:rsid w:val="00A82990"/>
    <w:rsid w:val="00A82CAD"/>
    <w:rsid w:val="00A82CD2"/>
    <w:rsid w:val="00A82E7F"/>
    <w:rsid w:val="00A83247"/>
    <w:rsid w:val="00A84155"/>
    <w:rsid w:val="00A84F43"/>
    <w:rsid w:val="00A8565D"/>
    <w:rsid w:val="00A85EFB"/>
    <w:rsid w:val="00A86065"/>
    <w:rsid w:val="00A86A81"/>
    <w:rsid w:val="00A877EC"/>
    <w:rsid w:val="00A901F0"/>
    <w:rsid w:val="00A90275"/>
    <w:rsid w:val="00A90401"/>
    <w:rsid w:val="00A90A94"/>
    <w:rsid w:val="00A91FF2"/>
    <w:rsid w:val="00A921E3"/>
    <w:rsid w:val="00A92B17"/>
    <w:rsid w:val="00A92F66"/>
    <w:rsid w:val="00A93974"/>
    <w:rsid w:val="00A93A75"/>
    <w:rsid w:val="00A93DC1"/>
    <w:rsid w:val="00A94529"/>
    <w:rsid w:val="00A94D20"/>
    <w:rsid w:val="00A95764"/>
    <w:rsid w:val="00A95C16"/>
    <w:rsid w:val="00A96595"/>
    <w:rsid w:val="00A96BB8"/>
    <w:rsid w:val="00A9752B"/>
    <w:rsid w:val="00A978DC"/>
    <w:rsid w:val="00A97AD2"/>
    <w:rsid w:val="00A97BC6"/>
    <w:rsid w:val="00A97D20"/>
    <w:rsid w:val="00AA0285"/>
    <w:rsid w:val="00AA1E0E"/>
    <w:rsid w:val="00AA1EEC"/>
    <w:rsid w:val="00AA2461"/>
    <w:rsid w:val="00AA2865"/>
    <w:rsid w:val="00AA2D9A"/>
    <w:rsid w:val="00AA307D"/>
    <w:rsid w:val="00AA33A5"/>
    <w:rsid w:val="00AA3A9B"/>
    <w:rsid w:val="00AA3BF1"/>
    <w:rsid w:val="00AA3FCA"/>
    <w:rsid w:val="00AA48E5"/>
    <w:rsid w:val="00AA4FCD"/>
    <w:rsid w:val="00AA5410"/>
    <w:rsid w:val="00AA57BC"/>
    <w:rsid w:val="00AA639C"/>
    <w:rsid w:val="00AA65C8"/>
    <w:rsid w:val="00AA68F7"/>
    <w:rsid w:val="00AA6A92"/>
    <w:rsid w:val="00AA7630"/>
    <w:rsid w:val="00AA79A1"/>
    <w:rsid w:val="00AB072C"/>
    <w:rsid w:val="00AB075A"/>
    <w:rsid w:val="00AB0E6F"/>
    <w:rsid w:val="00AB159A"/>
    <w:rsid w:val="00AB1BA4"/>
    <w:rsid w:val="00AB1DB5"/>
    <w:rsid w:val="00AB1FF9"/>
    <w:rsid w:val="00AB21C6"/>
    <w:rsid w:val="00AB2841"/>
    <w:rsid w:val="00AB2E2A"/>
    <w:rsid w:val="00AB3008"/>
    <w:rsid w:val="00AB371A"/>
    <w:rsid w:val="00AB3E7D"/>
    <w:rsid w:val="00AB41D3"/>
    <w:rsid w:val="00AB50B8"/>
    <w:rsid w:val="00AB56C6"/>
    <w:rsid w:val="00AB5F4B"/>
    <w:rsid w:val="00AB6D0C"/>
    <w:rsid w:val="00AB7034"/>
    <w:rsid w:val="00AB7F20"/>
    <w:rsid w:val="00ABA4B8"/>
    <w:rsid w:val="00AC0818"/>
    <w:rsid w:val="00AC0885"/>
    <w:rsid w:val="00AC1891"/>
    <w:rsid w:val="00AC19E5"/>
    <w:rsid w:val="00AC1AF9"/>
    <w:rsid w:val="00AC31B6"/>
    <w:rsid w:val="00AC373F"/>
    <w:rsid w:val="00AC3847"/>
    <w:rsid w:val="00AC428A"/>
    <w:rsid w:val="00AC45D0"/>
    <w:rsid w:val="00AC4F55"/>
    <w:rsid w:val="00AC543D"/>
    <w:rsid w:val="00AC60C2"/>
    <w:rsid w:val="00AC64B9"/>
    <w:rsid w:val="00AC6F7D"/>
    <w:rsid w:val="00AC720A"/>
    <w:rsid w:val="00AC7AEE"/>
    <w:rsid w:val="00AC7B29"/>
    <w:rsid w:val="00AD08DB"/>
    <w:rsid w:val="00AD0D3A"/>
    <w:rsid w:val="00AD1CAF"/>
    <w:rsid w:val="00AD2112"/>
    <w:rsid w:val="00AD2A8E"/>
    <w:rsid w:val="00AD2D73"/>
    <w:rsid w:val="00AD3B94"/>
    <w:rsid w:val="00AD53B2"/>
    <w:rsid w:val="00AD5551"/>
    <w:rsid w:val="00AD60EA"/>
    <w:rsid w:val="00AD67D4"/>
    <w:rsid w:val="00AD72BE"/>
    <w:rsid w:val="00AD76FD"/>
    <w:rsid w:val="00AD7E94"/>
    <w:rsid w:val="00AE1837"/>
    <w:rsid w:val="00AE1BA7"/>
    <w:rsid w:val="00AE2D03"/>
    <w:rsid w:val="00AE34D0"/>
    <w:rsid w:val="00AE4331"/>
    <w:rsid w:val="00AE4C1D"/>
    <w:rsid w:val="00AE503C"/>
    <w:rsid w:val="00AE5764"/>
    <w:rsid w:val="00AE5C81"/>
    <w:rsid w:val="00AE614D"/>
    <w:rsid w:val="00AE69E0"/>
    <w:rsid w:val="00AE6ABF"/>
    <w:rsid w:val="00AE6BDF"/>
    <w:rsid w:val="00AE7849"/>
    <w:rsid w:val="00AE7977"/>
    <w:rsid w:val="00AE7B47"/>
    <w:rsid w:val="00AF0835"/>
    <w:rsid w:val="00AF0AD7"/>
    <w:rsid w:val="00AF0F9A"/>
    <w:rsid w:val="00AF1A8C"/>
    <w:rsid w:val="00AF1F10"/>
    <w:rsid w:val="00AF29D3"/>
    <w:rsid w:val="00AF2C33"/>
    <w:rsid w:val="00AF2F11"/>
    <w:rsid w:val="00AF31E9"/>
    <w:rsid w:val="00AF3D39"/>
    <w:rsid w:val="00AF43B7"/>
    <w:rsid w:val="00AF497B"/>
    <w:rsid w:val="00AF4C6C"/>
    <w:rsid w:val="00AF5562"/>
    <w:rsid w:val="00AF584C"/>
    <w:rsid w:val="00AF5FB5"/>
    <w:rsid w:val="00AF6A4C"/>
    <w:rsid w:val="00AF6C76"/>
    <w:rsid w:val="00AF76FF"/>
    <w:rsid w:val="00AF7A49"/>
    <w:rsid w:val="00B00850"/>
    <w:rsid w:val="00B02183"/>
    <w:rsid w:val="00B024F2"/>
    <w:rsid w:val="00B02A0F"/>
    <w:rsid w:val="00B04459"/>
    <w:rsid w:val="00B047C2"/>
    <w:rsid w:val="00B0487F"/>
    <w:rsid w:val="00B04CB1"/>
    <w:rsid w:val="00B053D6"/>
    <w:rsid w:val="00B05635"/>
    <w:rsid w:val="00B0571E"/>
    <w:rsid w:val="00B06BDB"/>
    <w:rsid w:val="00B07620"/>
    <w:rsid w:val="00B079A0"/>
    <w:rsid w:val="00B10395"/>
    <w:rsid w:val="00B10BB8"/>
    <w:rsid w:val="00B10BC7"/>
    <w:rsid w:val="00B10E7F"/>
    <w:rsid w:val="00B1314F"/>
    <w:rsid w:val="00B13497"/>
    <w:rsid w:val="00B13E01"/>
    <w:rsid w:val="00B14726"/>
    <w:rsid w:val="00B151CF"/>
    <w:rsid w:val="00B15665"/>
    <w:rsid w:val="00B15A4D"/>
    <w:rsid w:val="00B1621B"/>
    <w:rsid w:val="00B16D4A"/>
    <w:rsid w:val="00B17014"/>
    <w:rsid w:val="00B17F51"/>
    <w:rsid w:val="00B21024"/>
    <w:rsid w:val="00B210B6"/>
    <w:rsid w:val="00B210FD"/>
    <w:rsid w:val="00B21D7B"/>
    <w:rsid w:val="00B225D2"/>
    <w:rsid w:val="00B247AD"/>
    <w:rsid w:val="00B24998"/>
    <w:rsid w:val="00B24ADC"/>
    <w:rsid w:val="00B24BDE"/>
    <w:rsid w:val="00B24D16"/>
    <w:rsid w:val="00B24D9A"/>
    <w:rsid w:val="00B2557A"/>
    <w:rsid w:val="00B2572E"/>
    <w:rsid w:val="00B25D05"/>
    <w:rsid w:val="00B26622"/>
    <w:rsid w:val="00B26669"/>
    <w:rsid w:val="00B271E7"/>
    <w:rsid w:val="00B276B4"/>
    <w:rsid w:val="00B278AE"/>
    <w:rsid w:val="00B278E8"/>
    <w:rsid w:val="00B303F6"/>
    <w:rsid w:val="00B30677"/>
    <w:rsid w:val="00B307B7"/>
    <w:rsid w:val="00B310A8"/>
    <w:rsid w:val="00B31139"/>
    <w:rsid w:val="00B312FE"/>
    <w:rsid w:val="00B313CE"/>
    <w:rsid w:val="00B3168B"/>
    <w:rsid w:val="00B33191"/>
    <w:rsid w:val="00B331A0"/>
    <w:rsid w:val="00B3384E"/>
    <w:rsid w:val="00B3453E"/>
    <w:rsid w:val="00B347C8"/>
    <w:rsid w:val="00B34BA9"/>
    <w:rsid w:val="00B3519E"/>
    <w:rsid w:val="00B353A9"/>
    <w:rsid w:val="00B36028"/>
    <w:rsid w:val="00B36418"/>
    <w:rsid w:val="00B37A7B"/>
    <w:rsid w:val="00B40064"/>
    <w:rsid w:val="00B406BA"/>
    <w:rsid w:val="00B40C03"/>
    <w:rsid w:val="00B40C51"/>
    <w:rsid w:val="00B40D48"/>
    <w:rsid w:val="00B41B10"/>
    <w:rsid w:val="00B427EA"/>
    <w:rsid w:val="00B42EC8"/>
    <w:rsid w:val="00B435A0"/>
    <w:rsid w:val="00B4368F"/>
    <w:rsid w:val="00B44155"/>
    <w:rsid w:val="00B44810"/>
    <w:rsid w:val="00B44C51"/>
    <w:rsid w:val="00B469B3"/>
    <w:rsid w:val="00B4743B"/>
    <w:rsid w:val="00B47C10"/>
    <w:rsid w:val="00B505A9"/>
    <w:rsid w:val="00B50828"/>
    <w:rsid w:val="00B50A44"/>
    <w:rsid w:val="00B50FCD"/>
    <w:rsid w:val="00B51E61"/>
    <w:rsid w:val="00B523DD"/>
    <w:rsid w:val="00B52572"/>
    <w:rsid w:val="00B52B38"/>
    <w:rsid w:val="00B52B9A"/>
    <w:rsid w:val="00B52C52"/>
    <w:rsid w:val="00B53274"/>
    <w:rsid w:val="00B53443"/>
    <w:rsid w:val="00B541CC"/>
    <w:rsid w:val="00B54898"/>
    <w:rsid w:val="00B54AF2"/>
    <w:rsid w:val="00B55188"/>
    <w:rsid w:val="00B5550B"/>
    <w:rsid w:val="00B55524"/>
    <w:rsid w:val="00B562FA"/>
    <w:rsid w:val="00B570A2"/>
    <w:rsid w:val="00B575BF"/>
    <w:rsid w:val="00B5779D"/>
    <w:rsid w:val="00B607E0"/>
    <w:rsid w:val="00B60B68"/>
    <w:rsid w:val="00B61213"/>
    <w:rsid w:val="00B612EA"/>
    <w:rsid w:val="00B61C66"/>
    <w:rsid w:val="00B62604"/>
    <w:rsid w:val="00B62D04"/>
    <w:rsid w:val="00B62DF2"/>
    <w:rsid w:val="00B633F7"/>
    <w:rsid w:val="00B63844"/>
    <w:rsid w:val="00B64A4F"/>
    <w:rsid w:val="00B65329"/>
    <w:rsid w:val="00B65B40"/>
    <w:rsid w:val="00B65B5C"/>
    <w:rsid w:val="00B6697C"/>
    <w:rsid w:val="00B66A87"/>
    <w:rsid w:val="00B66D02"/>
    <w:rsid w:val="00B7066F"/>
    <w:rsid w:val="00B712D0"/>
    <w:rsid w:val="00B71BD7"/>
    <w:rsid w:val="00B729CB"/>
    <w:rsid w:val="00B745EC"/>
    <w:rsid w:val="00B753F8"/>
    <w:rsid w:val="00B756AB"/>
    <w:rsid w:val="00B757E5"/>
    <w:rsid w:val="00B767B0"/>
    <w:rsid w:val="00B77A53"/>
    <w:rsid w:val="00B80CFC"/>
    <w:rsid w:val="00B81F38"/>
    <w:rsid w:val="00B82463"/>
    <w:rsid w:val="00B835B0"/>
    <w:rsid w:val="00B83B62"/>
    <w:rsid w:val="00B83BC1"/>
    <w:rsid w:val="00B8535F"/>
    <w:rsid w:val="00B85FC1"/>
    <w:rsid w:val="00B862B9"/>
    <w:rsid w:val="00B87324"/>
    <w:rsid w:val="00B878CD"/>
    <w:rsid w:val="00B9033B"/>
    <w:rsid w:val="00B905A4"/>
    <w:rsid w:val="00B905FA"/>
    <w:rsid w:val="00B91CB1"/>
    <w:rsid w:val="00B9249B"/>
    <w:rsid w:val="00B92BC4"/>
    <w:rsid w:val="00B92DE1"/>
    <w:rsid w:val="00B931CA"/>
    <w:rsid w:val="00B9322D"/>
    <w:rsid w:val="00B938F3"/>
    <w:rsid w:val="00B942ED"/>
    <w:rsid w:val="00B94861"/>
    <w:rsid w:val="00B9536C"/>
    <w:rsid w:val="00B956BC"/>
    <w:rsid w:val="00B9570B"/>
    <w:rsid w:val="00B95B13"/>
    <w:rsid w:val="00B961D0"/>
    <w:rsid w:val="00B97200"/>
    <w:rsid w:val="00BA131B"/>
    <w:rsid w:val="00BA1628"/>
    <w:rsid w:val="00BA1C92"/>
    <w:rsid w:val="00BA1FFB"/>
    <w:rsid w:val="00BA24C2"/>
    <w:rsid w:val="00BA2B3F"/>
    <w:rsid w:val="00BA2F76"/>
    <w:rsid w:val="00BA319D"/>
    <w:rsid w:val="00BA3F95"/>
    <w:rsid w:val="00BA47F3"/>
    <w:rsid w:val="00BA4859"/>
    <w:rsid w:val="00BA4970"/>
    <w:rsid w:val="00BA4C83"/>
    <w:rsid w:val="00BA4E45"/>
    <w:rsid w:val="00BA59FB"/>
    <w:rsid w:val="00BA5B63"/>
    <w:rsid w:val="00BA6188"/>
    <w:rsid w:val="00BB018A"/>
    <w:rsid w:val="00BB04C7"/>
    <w:rsid w:val="00BB04E8"/>
    <w:rsid w:val="00BB0663"/>
    <w:rsid w:val="00BB0771"/>
    <w:rsid w:val="00BB103E"/>
    <w:rsid w:val="00BB1494"/>
    <w:rsid w:val="00BB14A3"/>
    <w:rsid w:val="00BB1AD8"/>
    <w:rsid w:val="00BB1F43"/>
    <w:rsid w:val="00BB2FD5"/>
    <w:rsid w:val="00BB2FF6"/>
    <w:rsid w:val="00BB35C2"/>
    <w:rsid w:val="00BB3758"/>
    <w:rsid w:val="00BB383D"/>
    <w:rsid w:val="00BB3886"/>
    <w:rsid w:val="00BB45B9"/>
    <w:rsid w:val="00BB4E02"/>
    <w:rsid w:val="00BB554A"/>
    <w:rsid w:val="00BB5716"/>
    <w:rsid w:val="00BB64E0"/>
    <w:rsid w:val="00BB77F5"/>
    <w:rsid w:val="00BC022A"/>
    <w:rsid w:val="00BC15DE"/>
    <w:rsid w:val="00BC17C8"/>
    <w:rsid w:val="00BC369C"/>
    <w:rsid w:val="00BC3976"/>
    <w:rsid w:val="00BC42F6"/>
    <w:rsid w:val="00BC42FF"/>
    <w:rsid w:val="00BC4972"/>
    <w:rsid w:val="00BC49F2"/>
    <w:rsid w:val="00BC5198"/>
    <w:rsid w:val="00BC51A7"/>
    <w:rsid w:val="00BC541C"/>
    <w:rsid w:val="00BC5836"/>
    <w:rsid w:val="00BC59CF"/>
    <w:rsid w:val="00BC64FA"/>
    <w:rsid w:val="00BC6842"/>
    <w:rsid w:val="00BC6897"/>
    <w:rsid w:val="00BD22DF"/>
    <w:rsid w:val="00BD249B"/>
    <w:rsid w:val="00BD25A4"/>
    <w:rsid w:val="00BD2605"/>
    <w:rsid w:val="00BD267E"/>
    <w:rsid w:val="00BD2829"/>
    <w:rsid w:val="00BD2B4E"/>
    <w:rsid w:val="00BD2C48"/>
    <w:rsid w:val="00BD30C6"/>
    <w:rsid w:val="00BD33D4"/>
    <w:rsid w:val="00BD33FE"/>
    <w:rsid w:val="00BD3899"/>
    <w:rsid w:val="00BD3920"/>
    <w:rsid w:val="00BD392D"/>
    <w:rsid w:val="00BD40B1"/>
    <w:rsid w:val="00BD4300"/>
    <w:rsid w:val="00BD5D62"/>
    <w:rsid w:val="00BD5E9B"/>
    <w:rsid w:val="00BD7AD9"/>
    <w:rsid w:val="00BE00A4"/>
    <w:rsid w:val="00BE059D"/>
    <w:rsid w:val="00BE0D73"/>
    <w:rsid w:val="00BE13FE"/>
    <w:rsid w:val="00BE293C"/>
    <w:rsid w:val="00BE3773"/>
    <w:rsid w:val="00BE47BF"/>
    <w:rsid w:val="00BE4C74"/>
    <w:rsid w:val="00BE503A"/>
    <w:rsid w:val="00BE5374"/>
    <w:rsid w:val="00BE582D"/>
    <w:rsid w:val="00BE5ED0"/>
    <w:rsid w:val="00BE611E"/>
    <w:rsid w:val="00BE627A"/>
    <w:rsid w:val="00BE63FC"/>
    <w:rsid w:val="00BE6CE8"/>
    <w:rsid w:val="00BE709E"/>
    <w:rsid w:val="00BE75EF"/>
    <w:rsid w:val="00BF02F4"/>
    <w:rsid w:val="00BF0B3D"/>
    <w:rsid w:val="00BF1C85"/>
    <w:rsid w:val="00BF27C6"/>
    <w:rsid w:val="00BF3B4A"/>
    <w:rsid w:val="00BF52EC"/>
    <w:rsid w:val="00BF5775"/>
    <w:rsid w:val="00BF7C51"/>
    <w:rsid w:val="00BF7C54"/>
    <w:rsid w:val="00C00005"/>
    <w:rsid w:val="00C01D5F"/>
    <w:rsid w:val="00C0345A"/>
    <w:rsid w:val="00C03511"/>
    <w:rsid w:val="00C03EF9"/>
    <w:rsid w:val="00C04155"/>
    <w:rsid w:val="00C048DC"/>
    <w:rsid w:val="00C04C3A"/>
    <w:rsid w:val="00C04EB8"/>
    <w:rsid w:val="00C05198"/>
    <w:rsid w:val="00C05700"/>
    <w:rsid w:val="00C05E01"/>
    <w:rsid w:val="00C074CD"/>
    <w:rsid w:val="00C107C3"/>
    <w:rsid w:val="00C1088D"/>
    <w:rsid w:val="00C1177C"/>
    <w:rsid w:val="00C134BC"/>
    <w:rsid w:val="00C13520"/>
    <w:rsid w:val="00C13598"/>
    <w:rsid w:val="00C14478"/>
    <w:rsid w:val="00C14F9B"/>
    <w:rsid w:val="00C14FA5"/>
    <w:rsid w:val="00C14FAB"/>
    <w:rsid w:val="00C15F42"/>
    <w:rsid w:val="00C1610B"/>
    <w:rsid w:val="00C1611D"/>
    <w:rsid w:val="00C161AF"/>
    <w:rsid w:val="00C16C9A"/>
    <w:rsid w:val="00C16CCD"/>
    <w:rsid w:val="00C175E4"/>
    <w:rsid w:val="00C17785"/>
    <w:rsid w:val="00C20801"/>
    <w:rsid w:val="00C209D0"/>
    <w:rsid w:val="00C20F6C"/>
    <w:rsid w:val="00C213CF"/>
    <w:rsid w:val="00C22368"/>
    <w:rsid w:val="00C227EF"/>
    <w:rsid w:val="00C22938"/>
    <w:rsid w:val="00C232E0"/>
    <w:rsid w:val="00C243CF"/>
    <w:rsid w:val="00C24B5E"/>
    <w:rsid w:val="00C25108"/>
    <w:rsid w:val="00C2534F"/>
    <w:rsid w:val="00C26158"/>
    <w:rsid w:val="00C26B9F"/>
    <w:rsid w:val="00C27759"/>
    <w:rsid w:val="00C30058"/>
    <w:rsid w:val="00C305E9"/>
    <w:rsid w:val="00C30B44"/>
    <w:rsid w:val="00C30EA9"/>
    <w:rsid w:val="00C317A2"/>
    <w:rsid w:val="00C319B0"/>
    <w:rsid w:val="00C31C80"/>
    <w:rsid w:val="00C3268C"/>
    <w:rsid w:val="00C32F92"/>
    <w:rsid w:val="00C3326A"/>
    <w:rsid w:val="00C336ED"/>
    <w:rsid w:val="00C3401C"/>
    <w:rsid w:val="00C343FC"/>
    <w:rsid w:val="00C3651F"/>
    <w:rsid w:val="00C36633"/>
    <w:rsid w:val="00C36E9D"/>
    <w:rsid w:val="00C37236"/>
    <w:rsid w:val="00C37C86"/>
    <w:rsid w:val="00C37D22"/>
    <w:rsid w:val="00C41126"/>
    <w:rsid w:val="00C412B1"/>
    <w:rsid w:val="00C414C8"/>
    <w:rsid w:val="00C416EF"/>
    <w:rsid w:val="00C41CD3"/>
    <w:rsid w:val="00C4232B"/>
    <w:rsid w:val="00C424C2"/>
    <w:rsid w:val="00C42CBC"/>
    <w:rsid w:val="00C42E37"/>
    <w:rsid w:val="00C4436C"/>
    <w:rsid w:val="00C449F1"/>
    <w:rsid w:val="00C45323"/>
    <w:rsid w:val="00C461B2"/>
    <w:rsid w:val="00C465FB"/>
    <w:rsid w:val="00C479A5"/>
    <w:rsid w:val="00C47C8E"/>
    <w:rsid w:val="00C5064C"/>
    <w:rsid w:val="00C506E3"/>
    <w:rsid w:val="00C507E2"/>
    <w:rsid w:val="00C514F7"/>
    <w:rsid w:val="00C519AF"/>
    <w:rsid w:val="00C5222D"/>
    <w:rsid w:val="00C52436"/>
    <w:rsid w:val="00C52CED"/>
    <w:rsid w:val="00C52FD1"/>
    <w:rsid w:val="00C532C1"/>
    <w:rsid w:val="00C5359B"/>
    <w:rsid w:val="00C536BF"/>
    <w:rsid w:val="00C53AF7"/>
    <w:rsid w:val="00C554B5"/>
    <w:rsid w:val="00C55FB0"/>
    <w:rsid w:val="00C56694"/>
    <w:rsid w:val="00C56EF2"/>
    <w:rsid w:val="00C570A6"/>
    <w:rsid w:val="00C579F3"/>
    <w:rsid w:val="00C57ACE"/>
    <w:rsid w:val="00C57C13"/>
    <w:rsid w:val="00C600B3"/>
    <w:rsid w:val="00C60194"/>
    <w:rsid w:val="00C60315"/>
    <w:rsid w:val="00C60CB4"/>
    <w:rsid w:val="00C613FE"/>
    <w:rsid w:val="00C61464"/>
    <w:rsid w:val="00C6152B"/>
    <w:rsid w:val="00C616CC"/>
    <w:rsid w:val="00C628CA"/>
    <w:rsid w:val="00C62C49"/>
    <w:rsid w:val="00C62CC9"/>
    <w:rsid w:val="00C63EBC"/>
    <w:rsid w:val="00C649D6"/>
    <w:rsid w:val="00C65752"/>
    <w:rsid w:val="00C678C6"/>
    <w:rsid w:val="00C67D03"/>
    <w:rsid w:val="00C67E8E"/>
    <w:rsid w:val="00C70453"/>
    <w:rsid w:val="00C70926"/>
    <w:rsid w:val="00C70A2D"/>
    <w:rsid w:val="00C70E9B"/>
    <w:rsid w:val="00C713A9"/>
    <w:rsid w:val="00C715C2"/>
    <w:rsid w:val="00C71990"/>
    <w:rsid w:val="00C72177"/>
    <w:rsid w:val="00C733C7"/>
    <w:rsid w:val="00C73624"/>
    <w:rsid w:val="00C74B8C"/>
    <w:rsid w:val="00C74CF8"/>
    <w:rsid w:val="00C75D0D"/>
    <w:rsid w:val="00C75F04"/>
    <w:rsid w:val="00C769BC"/>
    <w:rsid w:val="00C7786F"/>
    <w:rsid w:val="00C77CDA"/>
    <w:rsid w:val="00C804CA"/>
    <w:rsid w:val="00C808FE"/>
    <w:rsid w:val="00C80BF4"/>
    <w:rsid w:val="00C80F82"/>
    <w:rsid w:val="00C81E05"/>
    <w:rsid w:val="00C8214D"/>
    <w:rsid w:val="00C8268F"/>
    <w:rsid w:val="00C82C59"/>
    <w:rsid w:val="00C83535"/>
    <w:rsid w:val="00C838DC"/>
    <w:rsid w:val="00C83D84"/>
    <w:rsid w:val="00C84293"/>
    <w:rsid w:val="00C84F44"/>
    <w:rsid w:val="00C85C7B"/>
    <w:rsid w:val="00C8605C"/>
    <w:rsid w:val="00C87436"/>
    <w:rsid w:val="00C87EFA"/>
    <w:rsid w:val="00C909D7"/>
    <w:rsid w:val="00C912A5"/>
    <w:rsid w:val="00C91651"/>
    <w:rsid w:val="00C917A4"/>
    <w:rsid w:val="00C9194C"/>
    <w:rsid w:val="00C91C8D"/>
    <w:rsid w:val="00C922A2"/>
    <w:rsid w:val="00C9236B"/>
    <w:rsid w:val="00C925C7"/>
    <w:rsid w:val="00C926DA"/>
    <w:rsid w:val="00C92720"/>
    <w:rsid w:val="00C928ED"/>
    <w:rsid w:val="00C94ED2"/>
    <w:rsid w:val="00C96357"/>
    <w:rsid w:val="00C96669"/>
    <w:rsid w:val="00C9778D"/>
    <w:rsid w:val="00C97CEE"/>
    <w:rsid w:val="00CA118E"/>
    <w:rsid w:val="00CA13A9"/>
    <w:rsid w:val="00CA155F"/>
    <w:rsid w:val="00CA1AC2"/>
    <w:rsid w:val="00CA1BA6"/>
    <w:rsid w:val="00CA2105"/>
    <w:rsid w:val="00CA26EA"/>
    <w:rsid w:val="00CA26FB"/>
    <w:rsid w:val="00CA2DC9"/>
    <w:rsid w:val="00CA2FB2"/>
    <w:rsid w:val="00CA3D3A"/>
    <w:rsid w:val="00CA4067"/>
    <w:rsid w:val="00CA42D6"/>
    <w:rsid w:val="00CA51FB"/>
    <w:rsid w:val="00CA528A"/>
    <w:rsid w:val="00CA571C"/>
    <w:rsid w:val="00CA5E98"/>
    <w:rsid w:val="00CA5EB9"/>
    <w:rsid w:val="00CA6721"/>
    <w:rsid w:val="00CA7B37"/>
    <w:rsid w:val="00CA7BCD"/>
    <w:rsid w:val="00CB15E9"/>
    <w:rsid w:val="00CB249E"/>
    <w:rsid w:val="00CB26C8"/>
    <w:rsid w:val="00CB2948"/>
    <w:rsid w:val="00CB2BD5"/>
    <w:rsid w:val="00CB341E"/>
    <w:rsid w:val="00CB3E91"/>
    <w:rsid w:val="00CB3EA5"/>
    <w:rsid w:val="00CB40F0"/>
    <w:rsid w:val="00CB49F3"/>
    <w:rsid w:val="00CB5111"/>
    <w:rsid w:val="00CB5504"/>
    <w:rsid w:val="00CB5C55"/>
    <w:rsid w:val="00CB62D0"/>
    <w:rsid w:val="00CB6AA9"/>
    <w:rsid w:val="00CB7972"/>
    <w:rsid w:val="00CB7C25"/>
    <w:rsid w:val="00CC1822"/>
    <w:rsid w:val="00CC1A20"/>
    <w:rsid w:val="00CC1D1A"/>
    <w:rsid w:val="00CC22DC"/>
    <w:rsid w:val="00CC25A1"/>
    <w:rsid w:val="00CC4C7E"/>
    <w:rsid w:val="00CC53CF"/>
    <w:rsid w:val="00CC6260"/>
    <w:rsid w:val="00CC6F76"/>
    <w:rsid w:val="00CC7759"/>
    <w:rsid w:val="00CD0165"/>
    <w:rsid w:val="00CD06DD"/>
    <w:rsid w:val="00CD115C"/>
    <w:rsid w:val="00CD1404"/>
    <w:rsid w:val="00CD2618"/>
    <w:rsid w:val="00CD32EF"/>
    <w:rsid w:val="00CD3793"/>
    <w:rsid w:val="00CD4292"/>
    <w:rsid w:val="00CD4643"/>
    <w:rsid w:val="00CD46B1"/>
    <w:rsid w:val="00CD4A7D"/>
    <w:rsid w:val="00CD603C"/>
    <w:rsid w:val="00CD6347"/>
    <w:rsid w:val="00CD656B"/>
    <w:rsid w:val="00CD67C9"/>
    <w:rsid w:val="00CD6BA7"/>
    <w:rsid w:val="00CD6D51"/>
    <w:rsid w:val="00CD72A3"/>
    <w:rsid w:val="00CD7A44"/>
    <w:rsid w:val="00CE01CD"/>
    <w:rsid w:val="00CE0C68"/>
    <w:rsid w:val="00CE1532"/>
    <w:rsid w:val="00CE1F5E"/>
    <w:rsid w:val="00CE28E3"/>
    <w:rsid w:val="00CE29A7"/>
    <w:rsid w:val="00CE34F4"/>
    <w:rsid w:val="00CE36A5"/>
    <w:rsid w:val="00CE3A79"/>
    <w:rsid w:val="00CE4E53"/>
    <w:rsid w:val="00CE638F"/>
    <w:rsid w:val="00CE7E79"/>
    <w:rsid w:val="00CF03F6"/>
    <w:rsid w:val="00CF04F7"/>
    <w:rsid w:val="00CF1A2D"/>
    <w:rsid w:val="00CF1BDB"/>
    <w:rsid w:val="00CF1F71"/>
    <w:rsid w:val="00CF23B5"/>
    <w:rsid w:val="00CF2704"/>
    <w:rsid w:val="00CF2913"/>
    <w:rsid w:val="00CF3AB7"/>
    <w:rsid w:val="00CF439F"/>
    <w:rsid w:val="00CF49E6"/>
    <w:rsid w:val="00CF4E22"/>
    <w:rsid w:val="00CF5A2D"/>
    <w:rsid w:val="00CF674E"/>
    <w:rsid w:val="00CF6AD4"/>
    <w:rsid w:val="00CF7120"/>
    <w:rsid w:val="00CF7124"/>
    <w:rsid w:val="00CF724C"/>
    <w:rsid w:val="00CF73FF"/>
    <w:rsid w:val="00D001B4"/>
    <w:rsid w:val="00D003B7"/>
    <w:rsid w:val="00D008E7"/>
    <w:rsid w:val="00D00B2D"/>
    <w:rsid w:val="00D00E36"/>
    <w:rsid w:val="00D01010"/>
    <w:rsid w:val="00D01C70"/>
    <w:rsid w:val="00D02092"/>
    <w:rsid w:val="00D02A22"/>
    <w:rsid w:val="00D02F4F"/>
    <w:rsid w:val="00D03740"/>
    <w:rsid w:val="00D0392F"/>
    <w:rsid w:val="00D03B13"/>
    <w:rsid w:val="00D03EAD"/>
    <w:rsid w:val="00D04054"/>
    <w:rsid w:val="00D04064"/>
    <w:rsid w:val="00D0484B"/>
    <w:rsid w:val="00D04A4A"/>
    <w:rsid w:val="00D04CB3"/>
    <w:rsid w:val="00D04DA1"/>
    <w:rsid w:val="00D050B0"/>
    <w:rsid w:val="00D050FD"/>
    <w:rsid w:val="00D05D75"/>
    <w:rsid w:val="00D06628"/>
    <w:rsid w:val="00D06DDF"/>
    <w:rsid w:val="00D07849"/>
    <w:rsid w:val="00D0790E"/>
    <w:rsid w:val="00D0796C"/>
    <w:rsid w:val="00D104DE"/>
    <w:rsid w:val="00D11113"/>
    <w:rsid w:val="00D11541"/>
    <w:rsid w:val="00D12740"/>
    <w:rsid w:val="00D13865"/>
    <w:rsid w:val="00D13FF7"/>
    <w:rsid w:val="00D14084"/>
    <w:rsid w:val="00D14769"/>
    <w:rsid w:val="00D147B8"/>
    <w:rsid w:val="00D14CEB"/>
    <w:rsid w:val="00D14E59"/>
    <w:rsid w:val="00D15430"/>
    <w:rsid w:val="00D156CA"/>
    <w:rsid w:val="00D158B5"/>
    <w:rsid w:val="00D15AFD"/>
    <w:rsid w:val="00D162AA"/>
    <w:rsid w:val="00D169A2"/>
    <w:rsid w:val="00D16E08"/>
    <w:rsid w:val="00D175DA"/>
    <w:rsid w:val="00D20031"/>
    <w:rsid w:val="00D2019C"/>
    <w:rsid w:val="00D20A6F"/>
    <w:rsid w:val="00D20AF4"/>
    <w:rsid w:val="00D218BD"/>
    <w:rsid w:val="00D21DA3"/>
    <w:rsid w:val="00D2312A"/>
    <w:rsid w:val="00D23764"/>
    <w:rsid w:val="00D255B2"/>
    <w:rsid w:val="00D25D30"/>
    <w:rsid w:val="00D26BC7"/>
    <w:rsid w:val="00D26F05"/>
    <w:rsid w:val="00D2794F"/>
    <w:rsid w:val="00D306AD"/>
    <w:rsid w:val="00D31145"/>
    <w:rsid w:val="00D313B3"/>
    <w:rsid w:val="00D31A00"/>
    <w:rsid w:val="00D31CD2"/>
    <w:rsid w:val="00D3292B"/>
    <w:rsid w:val="00D339C8"/>
    <w:rsid w:val="00D33DFA"/>
    <w:rsid w:val="00D33F02"/>
    <w:rsid w:val="00D358F7"/>
    <w:rsid w:val="00D359AC"/>
    <w:rsid w:val="00D3603E"/>
    <w:rsid w:val="00D36376"/>
    <w:rsid w:val="00D366AB"/>
    <w:rsid w:val="00D36A11"/>
    <w:rsid w:val="00D36CE1"/>
    <w:rsid w:val="00D36E67"/>
    <w:rsid w:val="00D37ADD"/>
    <w:rsid w:val="00D37EBB"/>
    <w:rsid w:val="00D37EF5"/>
    <w:rsid w:val="00D408A4"/>
    <w:rsid w:val="00D40D2A"/>
    <w:rsid w:val="00D40EA6"/>
    <w:rsid w:val="00D419C9"/>
    <w:rsid w:val="00D41DCF"/>
    <w:rsid w:val="00D428B9"/>
    <w:rsid w:val="00D43246"/>
    <w:rsid w:val="00D433EE"/>
    <w:rsid w:val="00D44361"/>
    <w:rsid w:val="00D444C1"/>
    <w:rsid w:val="00D4484B"/>
    <w:rsid w:val="00D45750"/>
    <w:rsid w:val="00D457DA"/>
    <w:rsid w:val="00D457EA"/>
    <w:rsid w:val="00D45C42"/>
    <w:rsid w:val="00D45E1B"/>
    <w:rsid w:val="00D4719D"/>
    <w:rsid w:val="00D47C0D"/>
    <w:rsid w:val="00D50C57"/>
    <w:rsid w:val="00D50DD6"/>
    <w:rsid w:val="00D51316"/>
    <w:rsid w:val="00D51A4E"/>
    <w:rsid w:val="00D52360"/>
    <w:rsid w:val="00D529AD"/>
    <w:rsid w:val="00D52DDC"/>
    <w:rsid w:val="00D52E54"/>
    <w:rsid w:val="00D52FF5"/>
    <w:rsid w:val="00D53AC7"/>
    <w:rsid w:val="00D53D41"/>
    <w:rsid w:val="00D53E49"/>
    <w:rsid w:val="00D5430D"/>
    <w:rsid w:val="00D54A58"/>
    <w:rsid w:val="00D54D47"/>
    <w:rsid w:val="00D54EA6"/>
    <w:rsid w:val="00D55303"/>
    <w:rsid w:val="00D5550E"/>
    <w:rsid w:val="00D55530"/>
    <w:rsid w:val="00D56942"/>
    <w:rsid w:val="00D56B21"/>
    <w:rsid w:val="00D56DFA"/>
    <w:rsid w:val="00D572C1"/>
    <w:rsid w:val="00D6032E"/>
    <w:rsid w:val="00D606DA"/>
    <w:rsid w:val="00D60B1E"/>
    <w:rsid w:val="00D60E22"/>
    <w:rsid w:val="00D61302"/>
    <w:rsid w:val="00D62F4D"/>
    <w:rsid w:val="00D6361A"/>
    <w:rsid w:val="00D63867"/>
    <w:rsid w:val="00D64C6D"/>
    <w:rsid w:val="00D652D9"/>
    <w:rsid w:val="00D658B3"/>
    <w:rsid w:val="00D65A2B"/>
    <w:rsid w:val="00D707B8"/>
    <w:rsid w:val="00D70BED"/>
    <w:rsid w:val="00D70DDA"/>
    <w:rsid w:val="00D71EF5"/>
    <w:rsid w:val="00D72D32"/>
    <w:rsid w:val="00D73AD9"/>
    <w:rsid w:val="00D743DD"/>
    <w:rsid w:val="00D74F55"/>
    <w:rsid w:val="00D754C2"/>
    <w:rsid w:val="00D75C1D"/>
    <w:rsid w:val="00D77184"/>
    <w:rsid w:val="00D77F44"/>
    <w:rsid w:val="00D80101"/>
    <w:rsid w:val="00D80AD0"/>
    <w:rsid w:val="00D80C29"/>
    <w:rsid w:val="00D8170C"/>
    <w:rsid w:val="00D81901"/>
    <w:rsid w:val="00D81CC5"/>
    <w:rsid w:val="00D81DEC"/>
    <w:rsid w:val="00D82916"/>
    <w:rsid w:val="00D8316D"/>
    <w:rsid w:val="00D832C8"/>
    <w:rsid w:val="00D83B51"/>
    <w:rsid w:val="00D84252"/>
    <w:rsid w:val="00D84BAF"/>
    <w:rsid w:val="00D84ECA"/>
    <w:rsid w:val="00D8525E"/>
    <w:rsid w:val="00D85F57"/>
    <w:rsid w:val="00D86294"/>
    <w:rsid w:val="00D8676A"/>
    <w:rsid w:val="00D86934"/>
    <w:rsid w:val="00D869B3"/>
    <w:rsid w:val="00D869E7"/>
    <w:rsid w:val="00D8758D"/>
    <w:rsid w:val="00D87A61"/>
    <w:rsid w:val="00D87F21"/>
    <w:rsid w:val="00D90225"/>
    <w:rsid w:val="00D90300"/>
    <w:rsid w:val="00D9041B"/>
    <w:rsid w:val="00D90B2D"/>
    <w:rsid w:val="00D90DBB"/>
    <w:rsid w:val="00D9104E"/>
    <w:rsid w:val="00D9141D"/>
    <w:rsid w:val="00D92006"/>
    <w:rsid w:val="00D92019"/>
    <w:rsid w:val="00D9269B"/>
    <w:rsid w:val="00D92B78"/>
    <w:rsid w:val="00D92BB8"/>
    <w:rsid w:val="00D94410"/>
    <w:rsid w:val="00D946C9"/>
    <w:rsid w:val="00D9491D"/>
    <w:rsid w:val="00D94C9B"/>
    <w:rsid w:val="00D94CF3"/>
    <w:rsid w:val="00D9532D"/>
    <w:rsid w:val="00D95842"/>
    <w:rsid w:val="00D95EF9"/>
    <w:rsid w:val="00D967A8"/>
    <w:rsid w:val="00D96E2A"/>
    <w:rsid w:val="00DA058E"/>
    <w:rsid w:val="00DA0DAA"/>
    <w:rsid w:val="00DA2B92"/>
    <w:rsid w:val="00DA32B2"/>
    <w:rsid w:val="00DA512C"/>
    <w:rsid w:val="00DA5963"/>
    <w:rsid w:val="00DA5A25"/>
    <w:rsid w:val="00DA6765"/>
    <w:rsid w:val="00DA67A0"/>
    <w:rsid w:val="00DA724F"/>
    <w:rsid w:val="00DB003C"/>
    <w:rsid w:val="00DB061B"/>
    <w:rsid w:val="00DB07DC"/>
    <w:rsid w:val="00DB1E91"/>
    <w:rsid w:val="00DB2A5D"/>
    <w:rsid w:val="00DB2BEF"/>
    <w:rsid w:val="00DB3079"/>
    <w:rsid w:val="00DB3676"/>
    <w:rsid w:val="00DB3EE9"/>
    <w:rsid w:val="00DB4379"/>
    <w:rsid w:val="00DB4410"/>
    <w:rsid w:val="00DB481B"/>
    <w:rsid w:val="00DB4AB4"/>
    <w:rsid w:val="00DB4AEC"/>
    <w:rsid w:val="00DB4D19"/>
    <w:rsid w:val="00DB4FA7"/>
    <w:rsid w:val="00DB5117"/>
    <w:rsid w:val="00DB6031"/>
    <w:rsid w:val="00DB664A"/>
    <w:rsid w:val="00DB6ED3"/>
    <w:rsid w:val="00DB7463"/>
    <w:rsid w:val="00DB781E"/>
    <w:rsid w:val="00DB7D37"/>
    <w:rsid w:val="00DC14AF"/>
    <w:rsid w:val="00DC1720"/>
    <w:rsid w:val="00DC3633"/>
    <w:rsid w:val="00DC3DD3"/>
    <w:rsid w:val="00DC4108"/>
    <w:rsid w:val="00DC4EC7"/>
    <w:rsid w:val="00DC4F64"/>
    <w:rsid w:val="00DC50C5"/>
    <w:rsid w:val="00DC64A7"/>
    <w:rsid w:val="00DC7317"/>
    <w:rsid w:val="00DD0870"/>
    <w:rsid w:val="00DD0953"/>
    <w:rsid w:val="00DD151A"/>
    <w:rsid w:val="00DD1A95"/>
    <w:rsid w:val="00DD2C81"/>
    <w:rsid w:val="00DD321E"/>
    <w:rsid w:val="00DD38A5"/>
    <w:rsid w:val="00DD52DC"/>
    <w:rsid w:val="00DD7DBB"/>
    <w:rsid w:val="00DE02D0"/>
    <w:rsid w:val="00DE0615"/>
    <w:rsid w:val="00DE1E40"/>
    <w:rsid w:val="00DE1F02"/>
    <w:rsid w:val="00DE2496"/>
    <w:rsid w:val="00DE328A"/>
    <w:rsid w:val="00DE3CF3"/>
    <w:rsid w:val="00DE4F3C"/>
    <w:rsid w:val="00DE5BBD"/>
    <w:rsid w:val="00DE7099"/>
    <w:rsid w:val="00DE7F52"/>
    <w:rsid w:val="00DF0CE8"/>
    <w:rsid w:val="00DF0FAA"/>
    <w:rsid w:val="00DF1E11"/>
    <w:rsid w:val="00DF20A8"/>
    <w:rsid w:val="00DF3386"/>
    <w:rsid w:val="00DF341B"/>
    <w:rsid w:val="00DF39E9"/>
    <w:rsid w:val="00DF431B"/>
    <w:rsid w:val="00DF454C"/>
    <w:rsid w:val="00DF5E88"/>
    <w:rsid w:val="00DF74D9"/>
    <w:rsid w:val="00E019CD"/>
    <w:rsid w:val="00E01FED"/>
    <w:rsid w:val="00E02041"/>
    <w:rsid w:val="00E02705"/>
    <w:rsid w:val="00E0287B"/>
    <w:rsid w:val="00E02B55"/>
    <w:rsid w:val="00E0360B"/>
    <w:rsid w:val="00E03A96"/>
    <w:rsid w:val="00E03B78"/>
    <w:rsid w:val="00E04C49"/>
    <w:rsid w:val="00E053E0"/>
    <w:rsid w:val="00E05A2B"/>
    <w:rsid w:val="00E05C76"/>
    <w:rsid w:val="00E05D56"/>
    <w:rsid w:val="00E0607D"/>
    <w:rsid w:val="00E060AA"/>
    <w:rsid w:val="00E06A9D"/>
    <w:rsid w:val="00E079B8"/>
    <w:rsid w:val="00E10378"/>
    <w:rsid w:val="00E105A9"/>
    <w:rsid w:val="00E10D91"/>
    <w:rsid w:val="00E11656"/>
    <w:rsid w:val="00E124DE"/>
    <w:rsid w:val="00E14C6C"/>
    <w:rsid w:val="00E15056"/>
    <w:rsid w:val="00E1583F"/>
    <w:rsid w:val="00E15CC6"/>
    <w:rsid w:val="00E15DB1"/>
    <w:rsid w:val="00E17552"/>
    <w:rsid w:val="00E1776F"/>
    <w:rsid w:val="00E17776"/>
    <w:rsid w:val="00E20F06"/>
    <w:rsid w:val="00E21B03"/>
    <w:rsid w:val="00E22445"/>
    <w:rsid w:val="00E22BB3"/>
    <w:rsid w:val="00E232ED"/>
    <w:rsid w:val="00E24179"/>
    <w:rsid w:val="00E24387"/>
    <w:rsid w:val="00E246D6"/>
    <w:rsid w:val="00E24A0A"/>
    <w:rsid w:val="00E24DBF"/>
    <w:rsid w:val="00E253BF"/>
    <w:rsid w:val="00E25A98"/>
    <w:rsid w:val="00E260A3"/>
    <w:rsid w:val="00E26549"/>
    <w:rsid w:val="00E265B7"/>
    <w:rsid w:val="00E26D15"/>
    <w:rsid w:val="00E26ECC"/>
    <w:rsid w:val="00E273E6"/>
    <w:rsid w:val="00E27DDB"/>
    <w:rsid w:val="00E31422"/>
    <w:rsid w:val="00E31702"/>
    <w:rsid w:val="00E31B75"/>
    <w:rsid w:val="00E3242E"/>
    <w:rsid w:val="00E32745"/>
    <w:rsid w:val="00E330C9"/>
    <w:rsid w:val="00E3330E"/>
    <w:rsid w:val="00E3351F"/>
    <w:rsid w:val="00E33992"/>
    <w:rsid w:val="00E3495F"/>
    <w:rsid w:val="00E34D21"/>
    <w:rsid w:val="00E36267"/>
    <w:rsid w:val="00E371B0"/>
    <w:rsid w:val="00E37B59"/>
    <w:rsid w:val="00E40009"/>
    <w:rsid w:val="00E401EC"/>
    <w:rsid w:val="00E40DAE"/>
    <w:rsid w:val="00E40F62"/>
    <w:rsid w:val="00E418EB"/>
    <w:rsid w:val="00E41E6D"/>
    <w:rsid w:val="00E42301"/>
    <w:rsid w:val="00E43203"/>
    <w:rsid w:val="00E43249"/>
    <w:rsid w:val="00E43650"/>
    <w:rsid w:val="00E436A2"/>
    <w:rsid w:val="00E45382"/>
    <w:rsid w:val="00E458D8"/>
    <w:rsid w:val="00E46286"/>
    <w:rsid w:val="00E47A6C"/>
    <w:rsid w:val="00E5076D"/>
    <w:rsid w:val="00E51006"/>
    <w:rsid w:val="00E518A7"/>
    <w:rsid w:val="00E529F5"/>
    <w:rsid w:val="00E53091"/>
    <w:rsid w:val="00E5356B"/>
    <w:rsid w:val="00E53709"/>
    <w:rsid w:val="00E53E00"/>
    <w:rsid w:val="00E54221"/>
    <w:rsid w:val="00E547DF"/>
    <w:rsid w:val="00E548ED"/>
    <w:rsid w:val="00E558C9"/>
    <w:rsid w:val="00E55D2D"/>
    <w:rsid w:val="00E56357"/>
    <w:rsid w:val="00E5650A"/>
    <w:rsid w:val="00E56A69"/>
    <w:rsid w:val="00E574EC"/>
    <w:rsid w:val="00E57F9C"/>
    <w:rsid w:val="00E60007"/>
    <w:rsid w:val="00E600EF"/>
    <w:rsid w:val="00E601D9"/>
    <w:rsid w:val="00E61557"/>
    <w:rsid w:val="00E615F9"/>
    <w:rsid w:val="00E6193C"/>
    <w:rsid w:val="00E62BC2"/>
    <w:rsid w:val="00E63DAA"/>
    <w:rsid w:val="00E64CE0"/>
    <w:rsid w:val="00E66341"/>
    <w:rsid w:val="00E66B60"/>
    <w:rsid w:val="00E67E9B"/>
    <w:rsid w:val="00E67EEA"/>
    <w:rsid w:val="00E71CAD"/>
    <w:rsid w:val="00E71DD6"/>
    <w:rsid w:val="00E720BB"/>
    <w:rsid w:val="00E721EE"/>
    <w:rsid w:val="00E7221D"/>
    <w:rsid w:val="00E72859"/>
    <w:rsid w:val="00E729E0"/>
    <w:rsid w:val="00E74079"/>
    <w:rsid w:val="00E740A3"/>
    <w:rsid w:val="00E74F7D"/>
    <w:rsid w:val="00E7615F"/>
    <w:rsid w:val="00E76AE0"/>
    <w:rsid w:val="00E76D67"/>
    <w:rsid w:val="00E80B90"/>
    <w:rsid w:val="00E81689"/>
    <w:rsid w:val="00E81A87"/>
    <w:rsid w:val="00E81A98"/>
    <w:rsid w:val="00E828AD"/>
    <w:rsid w:val="00E8386B"/>
    <w:rsid w:val="00E83948"/>
    <w:rsid w:val="00E83B2D"/>
    <w:rsid w:val="00E83CF9"/>
    <w:rsid w:val="00E84E7C"/>
    <w:rsid w:val="00E85319"/>
    <w:rsid w:val="00E866ED"/>
    <w:rsid w:val="00E870F0"/>
    <w:rsid w:val="00E87203"/>
    <w:rsid w:val="00E90314"/>
    <w:rsid w:val="00E9034D"/>
    <w:rsid w:val="00E91F1A"/>
    <w:rsid w:val="00E92681"/>
    <w:rsid w:val="00E92974"/>
    <w:rsid w:val="00E92F98"/>
    <w:rsid w:val="00E9331D"/>
    <w:rsid w:val="00E93400"/>
    <w:rsid w:val="00E948AC"/>
    <w:rsid w:val="00E94EBF"/>
    <w:rsid w:val="00E95322"/>
    <w:rsid w:val="00E95490"/>
    <w:rsid w:val="00E956AD"/>
    <w:rsid w:val="00E9615B"/>
    <w:rsid w:val="00E961A6"/>
    <w:rsid w:val="00E96865"/>
    <w:rsid w:val="00E968C1"/>
    <w:rsid w:val="00E96B02"/>
    <w:rsid w:val="00E971F6"/>
    <w:rsid w:val="00E977AF"/>
    <w:rsid w:val="00E97E26"/>
    <w:rsid w:val="00E97FF4"/>
    <w:rsid w:val="00EA0E54"/>
    <w:rsid w:val="00EA13EB"/>
    <w:rsid w:val="00EA1769"/>
    <w:rsid w:val="00EA1E6A"/>
    <w:rsid w:val="00EA23BA"/>
    <w:rsid w:val="00EA27DF"/>
    <w:rsid w:val="00EA333F"/>
    <w:rsid w:val="00EA3671"/>
    <w:rsid w:val="00EA36CA"/>
    <w:rsid w:val="00EA473E"/>
    <w:rsid w:val="00EA4851"/>
    <w:rsid w:val="00EA5121"/>
    <w:rsid w:val="00EA576A"/>
    <w:rsid w:val="00EA5B7D"/>
    <w:rsid w:val="00EA5BBE"/>
    <w:rsid w:val="00EA75CD"/>
    <w:rsid w:val="00EB0DEA"/>
    <w:rsid w:val="00EB0F26"/>
    <w:rsid w:val="00EB1DB5"/>
    <w:rsid w:val="00EB1F63"/>
    <w:rsid w:val="00EB27BC"/>
    <w:rsid w:val="00EB2B12"/>
    <w:rsid w:val="00EB34AE"/>
    <w:rsid w:val="00EB3AB0"/>
    <w:rsid w:val="00EB432C"/>
    <w:rsid w:val="00EB44A8"/>
    <w:rsid w:val="00EB46AD"/>
    <w:rsid w:val="00EB6A32"/>
    <w:rsid w:val="00EC0022"/>
    <w:rsid w:val="00EC0270"/>
    <w:rsid w:val="00EC117C"/>
    <w:rsid w:val="00EC1923"/>
    <w:rsid w:val="00EC1984"/>
    <w:rsid w:val="00EC1B79"/>
    <w:rsid w:val="00EC2944"/>
    <w:rsid w:val="00EC2AD9"/>
    <w:rsid w:val="00EC33A0"/>
    <w:rsid w:val="00EC3652"/>
    <w:rsid w:val="00EC3653"/>
    <w:rsid w:val="00EC4455"/>
    <w:rsid w:val="00EC4537"/>
    <w:rsid w:val="00EC4836"/>
    <w:rsid w:val="00EC4904"/>
    <w:rsid w:val="00EC5088"/>
    <w:rsid w:val="00EC5430"/>
    <w:rsid w:val="00EC5909"/>
    <w:rsid w:val="00EC64B3"/>
    <w:rsid w:val="00EC7041"/>
    <w:rsid w:val="00EC70C4"/>
    <w:rsid w:val="00ED0549"/>
    <w:rsid w:val="00ED133B"/>
    <w:rsid w:val="00ED2ADC"/>
    <w:rsid w:val="00ED2C09"/>
    <w:rsid w:val="00ED2FC5"/>
    <w:rsid w:val="00ED5E38"/>
    <w:rsid w:val="00ED622C"/>
    <w:rsid w:val="00ED65F0"/>
    <w:rsid w:val="00ED69A6"/>
    <w:rsid w:val="00ED6D35"/>
    <w:rsid w:val="00ED7396"/>
    <w:rsid w:val="00EE0683"/>
    <w:rsid w:val="00EE09D8"/>
    <w:rsid w:val="00EE0F57"/>
    <w:rsid w:val="00EE2208"/>
    <w:rsid w:val="00EE24D7"/>
    <w:rsid w:val="00EE2A28"/>
    <w:rsid w:val="00EE2A5C"/>
    <w:rsid w:val="00EE4490"/>
    <w:rsid w:val="00EE4AD4"/>
    <w:rsid w:val="00EE4B37"/>
    <w:rsid w:val="00EE4EEF"/>
    <w:rsid w:val="00EE4FB5"/>
    <w:rsid w:val="00EE6832"/>
    <w:rsid w:val="00EE6ACC"/>
    <w:rsid w:val="00EE6E5F"/>
    <w:rsid w:val="00EE7297"/>
    <w:rsid w:val="00EE739D"/>
    <w:rsid w:val="00EF1755"/>
    <w:rsid w:val="00EF2D3F"/>
    <w:rsid w:val="00EF3278"/>
    <w:rsid w:val="00EF337E"/>
    <w:rsid w:val="00EF3889"/>
    <w:rsid w:val="00EF3D58"/>
    <w:rsid w:val="00EF5272"/>
    <w:rsid w:val="00EF6621"/>
    <w:rsid w:val="00EF6C0F"/>
    <w:rsid w:val="00EF7063"/>
    <w:rsid w:val="00EF7084"/>
    <w:rsid w:val="00EF754B"/>
    <w:rsid w:val="00F00DE9"/>
    <w:rsid w:val="00F01165"/>
    <w:rsid w:val="00F0292B"/>
    <w:rsid w:val="00F02FEF"/>
    <w:rsid w:val="00F03B39"/>
    <w:rsid w:val="00F04052"/>
    <w:rsid w:val="00F042C1"/>
    <w:rsid w:val="00F043AA"/>
    <w:rsid w:val="00F04833"/>
    <w:rsid w:val="00F049DD"/>
    <w:rsid w:val="00F04A34"/>
    <w:rsid w:val="00F04FED"/>
    <w:rsid w:val="00F05B4A"/>
    <w:rsid w:val="00F05B4D"/>
    <w:rsid w:val="00F05E73"/>
    <w:rsid w:val="00F05FE5"/>
    <w:rsid w:val="00F06048"/>
    <w:rsid w:val="00F06673"/>
    <w:rsid w:val="00F06961"/>
    <w:rsid w:val="00F06EE0"/>
    <w:rsid w:val="00F07273"/>
    <w:rsid w:val="00F07742"/>
    <w:rsid w:val="00F07944"/>
    <w:rsid w:val="00F07E3E"/>
    <w:rsid w:val="00F07F9E"/>
    <w:rsid w:val="00F10040"/>
    <w:rsid w:val="00F100C5"/>
    <w:rsid w:val="00F1052F"/>
    <w:rsid w:val="00F1066F"/>
    <w:rsid w:val="00F12F1F"/>
    <w:rsid w:val="00F13A21"/>
    <w:rsid w:val="00F14026"/>
    <w:rsid w:val="00F1415F"/>
    <w:rsid w:val="00F14201"/>
    <w:rsid w:val="00F14A95"/>
    <w:rsid w:val="00F14C95"/>
    <w:rsid w:val="00F14E0A"/>
    <w:rsid w:val="00F1508C"/>
    <w:rsid w:val="00F15484"/>
    <w:rsid w:val="00F1578E"/>
    <w:rsid w:val="00F162BD"/>
    <w:rsid w:val="00F16379"/>
    <w:rsid w:val="00F20326"/>
    <w:rsid w:val="00F2051C"/>
    <w:rsid w:val="00F20763"/>
    <w:rsid w:val="00F20B02"/>
    <w:rsid w:val="00F21C61"/>
    <w:rsid w:val="00F227C8"/>
    <w:rsid w:val="00F22F11"/>
    <w:rsid w:val="00F23B41"/>
    <w:rsid w:val="00F23CB7"/>
    <w:rsid w:val="00F2428E"/>
    <w:rsid w:val="00F257B5"/>
    <w:rsid w:val="00F26A66"/>
    <w:rsid w:val="00F26F56"/>
    <w:rsid w:val="00F2720E"/>
    <w:rsid w:val="00F2776D"/>
    <w:rsid w:val="00F309C7"/>
    <w:rsid w:val="00F33895"/>
    <w:rsid w:val="00F346E6"/>
    <w:rsid w:val="00F34C81"/>
    <w:rsid w:val="00F353FB"/>
    <w:rsid w:val="00F35403"/>
    <w:rsid w:val="00F35F46"/>
    <w:rsid w:val="00F3636F"/>
    <w:rsid w:val="00F36923"/>
    <w:rsid w:val="00F3696D"/>
    <w:rsid w:val="00F36D8B"/>
    <w:rsid w:val="00F37E37"/>
    <w:rsid w:val="00F4027C"/>
    <w:rsid w:val="00F402B7"/>
    <w:rsid w:val="00F4067E"/>
    <w:rsid w:val="00F40864"/>
    <w:rsid w:val="00F4146D"/>
    <w:rsid w:val="00F42460"/>
    <w:rsid w:val="00F427AB"/>
    <w:rsid w:val="00F427DA"/>
    <w:rsid w:val="00F430AC"/>
    <w:rsid w:val="00F432B5"/>
    <w:rsid w:val="00F4427D"/>
    <w:rsid w:val="00F44895"/>
    <w:rsid w:val="00F45826"/>
    <w:rsid w:val="00F4680A"/>
    <w:rsid w:val="00F50585"/>
    <w:rsid w:val="00F51204"/>
    <w:rsid w:val="00F51509"/>
    <w:rsid w:val="00F516E3"/>
    <w:rsid w:val="00F51D55"/>
    <w:rsid w:val="00F51EFB"/>
    <w:rsid w:val="00F52965"/>
    <w:rsid w:val="00F545C7"/>
    <w:rsid w:val="00F54832"/>
    <w:rsid w:val="00F550E7"/>
    <w:rsid w:val="00F55253"/>
    <w:rsid w:val="00F5526E"/>
    <w:rsid w:val="00F55436"/>
    <w:rsid w:val="00F55510"/>
    <w:rsid w:val="00F55DE6"/>
    <w:rsid w:val="00F56229"/>
    <w:rsid w:val="00F56B94"/>
    <w:rsid w:val="00F56E2A"/>
    <w:rsid w:val="00F56EDA"/>
    <w:rsid w:val="00F57885"/>
    <w:rsid w:val="00F60810"/>
    <w:rsid w:val="00F61F39"/>
    <w:rsid w:val="00F62AE5"/>
    <w:rsid w:val="00F640DC"/>
    <w:rsid w:val="00F64354"/>
    <w:rsid w:val="00F64514"/>
    <w:rsid w:val="00F64DFA"/>
    <w:rsid w:val="00F651D0"/>
    <w:rsid w:val="00F65B71"/>
    <w:rsid w:val="00F66144"/>
    <w:rsid w:val="00F66630"/>
    <w:rsid w:val="00F6713F"/>
    <w:rsid w:val="00F706C1"/>
    <w:rsid w:val="00F71198"/>
    <w:rsid w:val="00F716A4"/>
    <w:rsid w:val="00F72032"/>
    <w:rsid w:val="00F73B61"/>
    <w:rsid w:val="00F73F6A"/>
    <w:rsid w:val="00F74B51"/>
    <w:rsid w:val="00F755FA"/>
    <w:rsid w:val="00F75DF8"/>
    <w:rsid w:val="00F76949"/>
    <w:rsid w:val="00F76D86"/>
    <w:rsid w:val="00F80FAE"/>
    <w:rsid w:val="00F81362"/>
    <w:rsid w:val="00F82B1C"/>
    <w:rsid w:val="00F82EC8"/>
    <w:rsid w:val="00F834F2"/>
    <w:rsid w:val="00F8364B"/>
    <w:rsid w:val="00F84531"/>
    <w:rsid w:val="00F8485F"/>
    <w:rsid w:val="00F854EE"/>
    <w:rsid w:val="00F86824"/>
    <w:rsid w:val="00F8734B"/>
    <w:rsid w:val="00F877D3"/>
    <w:rsid w:val="00F87FEC"/>
    <w:rsid w:val="00F91353"/>
    <w:rsid w:val="00F91712"/>
    <w:rsid w:val="00F91B74"/>
    <w:rsid w:val="00F9350C"/>
    <w:rsid w:val="00F93BB0"/>
    <w:rsid w:val="00F93DF7"/>
    <w:rsid w:val="00F960F8"/>
    <w:rsid w:val="00F9612C"/>
    <w:rsid w:val="00F9620F"/>
    <w:rsid w:val="00F9684A"/>
    <w:rsid w:val="00F96A42"/>
    <w:rsid w:val="00F979C1"/>
    <w:rsid w:val="00F97A3B"/>
    <w:rsid w:val="00F97FF2"/>
    <w:rsid w:val="00FA0825"/>
    <w:rsid w:val="00FA08AD"/>
    <w:rsid w:val="00FA2212"/>
    <w:rsid w:val="00FA28B4"/>
    <w:rsid w:val="00FA2CEB"/>
    <w:rsid w:val="00FA2E9F"/>
    <w:rsid w:val="00FA2F27"/>
    <w:rsid w:val="00FA33E7"/>
    <w:rsid w:val="00FA368A"/>
    <w:rsid w:val="00FA4150"/>
    <w:rsid w:val="00FA4950"/>
    <w:rsid w:val="00FA50B7"/>
    <w:rsid w:val="00FA5766"/>
    <w:rsid w:val="00FA6764"/>
    <w:rsid w:val="00FA6D7E"/>
    <w:rsid w:val="00FA730C"/>
    <w:rsid w:val="00FA77EA"/>
    <w:rsid w:val="00FA7D7D"/>
    <w:rsid w:val="00FA7F93"/>
    <w:rsid w:val="00FB09EA"/>
    <w:rsid w:val="00FB1430"/>
    <w:rsid w:val="00FB15C5"/>
    <w:rsid w:val="00FB1C27"/>
    <w:rsid w:val="00FB345A"/>
    <w:rsid w:val="00FB3511"/>
    <w:rsid w:val="00FB5653"/>
    <w:rsid w:val="00FB58A9"/>
    <w:rsid w:val="00FB5B6E"/>
    <w:rsid w:val="00FB5E95"/>
    <w:rsid w:val="00FB620D"/>
    <w:rsid w:val="00FB6F67"/>
    <w:rsid w:val="00FB77D8"/>
    <w:rsid w:val="00FC015B"/>
    <w:rsid w:val="00FC0AD7"/>
    <w:rsid w:val="00FC0FF6"/>
    <w:rsid w:val="00FC10DE"/>
    <w:rsid w:val="00FC1415"/>
    <w:rsid w:val="00FC1686"/>
    <w:rsid w:val="00FC2D5F"/>
    <w:rsid w:val="00FC2ED0"/>
    <w:rsid w:val="00FC3E34"/>
    <w:rsid w:val="00FC4C30"/>
    <w:rsid w:val="00FC4F9A"/>
    <w:rsid w:val="00FC5603"/>
    <w:rsid w:val="00FC5D73"/>
    <w:rsid w:val="00FC61AD"/>
    <w:rsid w:val="00FC6BCE"/>
    <w:rsid w:val="00FC6E71"/>
    <w:rsid w:val="00FC72C2"/>
    <w:rsid w:val="00FC73EC"/>
    <w:rsid w:val="00FD0317"/>
    <w:rsid w:val="00FD0937"/>
    <w:rsid w:val="00FD0B28"/>
    <w:rsid w:val="00FD1770"/>
    <w:rsid w:val="00FD17BA"/>
    <w:rsid w:val="00FD1CE8"/>
    <w:rsid w:val="00FD2A21"/>
    <w:rsid w:val="00FD2C9D"/>
    <w:rsid w:val="00FD2F74"/>
    <w:rsid w:val="00FD3438"/>
    <w:rsid w:val="00FD355F"/>
    <w:rsid w:val="00FD3603"/>
    <w:rsid w:val="00FD3B94"/>
    <w:rsid w:val="00FD3E79"/>
    <w:rsid w:val="00FD40DD"/>
    <w:rsid w:val="00FD43B3"/>
    <w:rsid w:val="00FD47A2"/>
    <w:rsid w:val="00FD4B38"/>
    <w:rsid w:val="00FD5155"/>
    <w:rsid w:val="00FD52EF"/>
    <w:rsid w:val="00FD6295"/>
    <w:rsid w:val="00FD74B0"/>
    <w:rsid w:val="00FD77F1"/>
    <w:rsid w:val="00FD7B34"/>
    <w:rsid w:val="00FE0693"/>
    <w:rsid w:val="00FE0F00"/>
    <w:rsid w:val="00FE1118"/>
    <w:rsid w:val="00FE162E"/>
    <w:rsid w:val="00FE1CA3"/>
    <w:rsid w:val="00FE2A28"/>
    <w:rsid w:val="00FE34BA"/>
    <w:rsid w:val="00FE3BCA"/>
    <w:rsid w:val="00FE40E5"/>
    <w:rsid w:val="00FE4739"/>
    <w:rsid w:val="00FE4DB2"/>
    <w:rsid w:val="00FE52AB"/>
    <w:rsid w:val="00FE5E8A"/>
    <w:rsid w:val="00FE67D4"/>
    <w:rsid w:val="00FE681D"/>
    <w:rsid w:val="00FE6D80"/>
    <w:rsid w:val="00FE7090"/>
    <w:rsid w:val="00FE74DF"/>
    <w:rsid w:val="00FF0009"/>
    <w:rsid w:val="00FF0DBD"/>
    <w:rsid w:val="00FF1436"/>
    <w:rsid w:val="00FF160F"/>
    <w:rsid w:val="00FF164B"/>
    <w:rsid w:val="00FF2100"/>
    <w:rsid w:val="00FF28C1"/>
    <w:rsid w:val="00FF3A07"/>
    <w:rsid w:val="00FF3D7C"/>
    <w:rsid w:val="00FF3FEA"/>
    <w:rsid w:val="00FF4C68"/>
    <w:rsid w:val="00FF4D96"/>
    <w:rsid w:val="00FF5005"/>
    <w:rsid w:val="00FF5F75"/>
    <w:rsid w:val="00FF6678"/>
    <w:rsid w:val="00FF7CCC"/>
    <w:rsid w:val="015A4994"/>
    <w:rsid w:val="01B1266C"/>
    <w:rsid w:val="0252EF80"/>
    <w:rsid w:val="025ACD40"/>
    <w:rsid w:val="026765A5"/>
    <w:rsid w:val="03002E52"/>
    <w:rsid w:val="036F38FE"/>
    <w:rsid w:val="03C79D07"/>
    <w:rsid w:val="04216C48"/>
    <w:rsid w:val="043E8D90"/>
    <w:rsid w:val="04E9EB18"/>
    <w:rsid w:val="05817CD7"/>
    <w:rsid w:val="06175402"/>
    <w:rsid w:val="061B93F8"/>
    <w:rsid w:val="069566AE"/>
    <w:rsid w:val="06D27873"/>
    <w:rsid w:val="06E57115"/>
    <w:rsid w:val="06F77F6D"/>
    <w:rsid w:val="06F9F56E"/>
    <w:rsid w:val="076FAE0F"/>
    <w:rsid w:val="08486D48"/>
    <w:rsid w:val="08B932C9"/>
    <w:rsid w:val="09356145"/>
    <w:rsid w:val="09523C45"/>
    <w:rsid w:val="09817925"/>
    <w:rsid w:val="0981CA09"/>
    <w:rsid w:val="0A075E80"/>
    <w:rsid w:val="0A361945"/>
    <w:rsid w:val="0A9A2CEA"/>
    <w:rsid w:val="0B099080"/>
    <w:rsid w:val="0B1CD94D"/>
    <w:rsid w:val="0B597117"/>
    <w:rsid w:val="0B6B084A"/>
    <w:rsid w:val="0BD9769E"/>
    <w:rsid w:val="0C5D0680"/>
    <w:rsid w:val="0C743A8A"/>
    <w:rsid w:val="0C79431A"/>
    <w:rsid w:val="0CC4B651"/>
    <w:rsid w:val="0D07169A"/>
    <w:rsid w:val="0D7B2F0C"/>
    <w:rsid w:val="0EBA8BC5"/>
    <w:rsid w:val="0EDE183A"/>
    <w:rsid w:val="0FCC5B6F"/>
    <w:rsid w:val="0FD56EA1"/>
    <w:rsid w:val="103BDBDB"/>
    <w:rsid w:val="106B32E3"/>
    <w:rsid w:val="1070CB8A"/>
    <w:rsid w:val="11418991"/>
    <w:rsid w:val="117C7D2A"/>
    <w:rsid w:val="11864587"/>
    <w:rsid w:val="11B5231C"/>
    <w:rsid w:val="11FEECE9"/>
    <w:rsid w:val="120D53B6"/>
    <w:rsid w:val="1210F4C5"/>
    <w:rsid w:val="12808473"/>
    <w:rsid w:val="12A77F6F"/>
    <w:rsid w:val="12B31FA7"/>
    <w:rsid w:val="12E3A095"/>
    <w:rsid w:val="138E7ED4"/>
    <w:rsid w:val="139ABD4A"/>
    <w:rsid w:val="14567D2D"/>
    <w:rsid w:val="151EC710"/>
    <w:rsid w:val="1578A935"/>
    <w:rsid w:val="157D7DAE"/>
    <w:rsid w:val="15B7669F"/>
    <w:rsid w:val="16033724"/>
    <w:rsid w:val="16243B0E"/>
    <w:rsid w:val="1671188D"/>
    <w:rsid w:val="16AF5AA1"/>
    <w:rsid w:val="178BAF10"/>
    <w:rsid w:val="179FCE2D"/>
    <w:rsid w:val="17C8A758"/>
    <w:rsid w:val="17DE8445"/>
    <w:rsid w:val="17EACC54"/>
    <w:rsid w:val="19316EA1"/>
    <w:rsid w:val="1997A3D1"/>
    <w:rsid w:val="1A2CDE3B"/>
    <w:rsid w:val="1A4235E4"/>
    <w:rsid w:val="1A708512"/>
    <w:rsid w:val="1B5BABAF"/>
    <w:rsid w:val="1B73ABC6"/>
    <w:rsid w:val="1BC468F3"/>
    <w:rsid w:val="1BF43980"/>
    <w:rsid w:val="1BF62D41"/>
    <w:rsid w:val="1C019F8D"/>
    <w:rsid w:val="1C1AD58F"/>
    <w:rsid w:val="1C1BB2B9"/>
    <w:rsid w:val="1C34C324"/>
    <w:rsid w:val="1D5A595D"/>
    <w:rsid w:val="1E15F67E"/>
    <w:rsid w:val="1E43D131"/>
    <w:rsid w:val="1EC5FE90"/>
    <w:rsid w:val="1ED273E8"/>
    <w:rsid w:val="1F0DFB20"/>
    <w:rsid w:val="1FFED276"/>
    <w:rsid w:val="20B2B5A8"/>
    <w:rsid w:val="20EB1E81"/>
    <w:rsid w:val="20F2D621"/>
    <w:rsid w:val="21169EAE"/>
    <w:rsid w:val="21392F9F"/>
    <w:rsid w:val="217F109F"/>
    <w:rsid w:val="21A0ACDF"/>
    <w:rsid w:val="223822F1"/>
    <w:rsid w:val="24136F9C"/>
    <w:rsid w:val="2488013D"/>
    <w:rsid w:val="24A531DD"/>
    <w:rsid w:val="258698DE"/>
    <w:rsid w:val="25C3491D"/>
    <w:rsid w:val="25C8C913"/>
    <w:rsid w:val="2649948E"/>
    <w:rsid w:val="26DC5975"/>
    <w:rsid w:val="26E6256C"/>
    <w:rsid w:val="26E9A11F"/>
    <w:rsid w:val="26F1B1A4"/>
    <w:rsid w:val="2716C29B"/>
    <w:rsid w:val="27356E85"/>
    <w:rsid w:val="27E5293D"/>
    <w:rsid w:val="28773017"/>
    <w:rsid w:val="288AD67B"/>
    <w:rsid w:val="28B62A6A"/>
    <w:rsid w:val="28CFA416"/>
    <w:rsid w:val="2908B9A4"/>
    <w:rsid w:val="29BED047"/>
    <w:rsid w:val="2A2A1CD9"/>
    <w:rsid w:val="2B342ECB"/>
    <w:rsid w:val="2B3E2A6B"/>
    <w:rsid w:val="2B4999E1"/>
    <w:rsid w:val="2B91A5C6"/>
    <w:rsid w:val="2C6F8430"/>
    <w:rsid w:val="2D17FFA4"/>
    <w:rsid w:val="2D2A77A6"/>
    <w:rsid w:val="2D9AE736"/>
    <w:rsid w:val="2E3CE5C4"/>
    <w:rsid w:val="2ED903D7"/>
    <w:rsid w:val="2EF0C792"/>
    <w:rsid w:val="2F1284D1"/>
    <w:rsid w:val="2FBB6416"/>
    <w:rsid w:val="2FEB8493"/>
    <w:rsid w:val="305A7B05"/>
    <w:rsid w:val="30699E2A"/>
    <w:rsid w:val="30EC3574"/>
    <w:rsid w:val="31366BA7"/>
    <w:rsid w:val="31D25B3F"/>
    <w:rsid w:val="32085086"/>
    <w:rsid w:val="3238E41D"/>
    <w:rsid w:val="3281C382"/>
    <w:rsid w:val="32B035EA"/>
    <w:rsid w:val="34BC1045"/>
    <w:rsid w:val="35091494"/>
    <w:rsid w:val="354761AF"/>
    <w:rsid w:val="3576CD4C"/>
    <w:rsid w:val="35A2F6D6"/>
    <w:rsid w:val="35C185B0"/>
    <w:rsid w:val="35F5EDEA"/>
    <w:rsid w:val="35F6CDC1"/>
    <w:rsid w:val="36E37E8A"/>
    <w:rsid w:val="3753EA12"/>
    <w:rsid w:val="3774A005"/>
    <w:rsid w:val="379D65BD"/>
    <w:rsid w:val="38A5E776"/>
    <w:rsid w:val="38C8DF7F"/>
    <w:rsid w:val="393CA96A"/>
    <w:rsid w:val="394F1160"/>
    <w:rsid w:val="39B8F684"/>
    <w:rsid w:val="39F206F3"/>
    <w:rsid w:val="3A25B5A0"/>
    <w:rsid w:val="3AF7B48A"/>
    <w:rsid w:val="3BC46578"/>
    <w:rsid w:val="3BD2542C"/>
    <w:rsid w:val="3BE8E52D"/>
    <w:rsid w:val="3C5BEDCE"/>
    <w:rsid w:val="3C7164B6"/>
    <w:rsid w:val="3C74A9E4"/>
    <w:rsid w:val="3C9E34E4"/>
    <w:rsid w:val="3CDA5CA5"/>
    <w:rsid w:val="3D28C8F7"/>
    <w:rsid w:val="3E0373B8"/>
    <w:rsid w:val="3E0CB5AD"/>
    <w:rsid w:val="3E4E965A"/>
    <w:rsid w:val="3EAD2A2E"/>
    <w:rsid w:val="3ECE593D"/>
    <w:rsid w:val="3F08E628"/>
    <w:rsid w:val="3F386C04"/>
    <w:rsid w:val="3F8487AA"/>
    <w:rsid w:val="4099DA57"/>
    <w:rsid w:val="40A0FAA7"/>
    <w:rsid w:val="410D523F"/>
    <w:rsid w:val="41388BD5"/>
    <w:rsid w:val="4199C9C8"/>
    <w:rsid w:val="42164111"/>
    <w:rsid w:val="42CBBF7B"/>
    <w:rsid w:val="4340730B"/>
    <w:rsid w:val="435DAE13"/>
    <w:rsid w:val="444986A4"/>
    <w:rsid w:val="44D5223B"/>
    <w:rsid w:val="45D80282"/>
    <w:rsid w:val="46392270"/>
    <w:rsid w:val="46651012"/>
    <w:rsid w:val="46F117D3"/>
    <w:rsid w:val="47A3BC9B"/>
    <w:rsid w:val="48382F5B"/>
    <w:rsid w:val="485EFF0A"/>
    <w:rsid w:val="4A92D3DD"/>
    <w:rsid w:val="4ADD958F"/>
    <w:rsid w:val="4BA2477F"/>
    <w:rsid w:val="4CFB75F0"/>
    <w:rsid w:val="4D38CBD8"/>
    <w:rsid w:val="4D9E9DF8"/>
    <w:rsid w:val="4E1F0AB8"/>
    <w:rsid w:val="4E368804"/>
    <w:rsid w:val="4EA3B4CC"/>
    <w:rsid w:val="4EA8D157"/>
    <w:rsid w:val="4F3E9D1D"/>
    <w:rsid w:val="4F615728"/>
    <w:rsid w:val="5019ACC0"/>
    <w:rsid w:val="515D6EC7"/>
    <w:rsid w:val="5165A816"/>
    <w:rsid w:val="51BC535C"/>
    <w:rsid w:val="51CD687B"/>
    <w:rsid w:val="52867F10"/>
    <w:rsid w:val="528C8D72"/>
    <w:rsid w:val="529D4166"/>
    <w:rsid w:val="52ABF774"/>
    <w:rsid w:val="5348402B"/>
    <w:rsid w:val="53B01BEB"/>
    <w:rsid w:val="54C58451"/>
    <w:rsid w:val="54F26087"/>
    <w:rsid w:val="55BED5F1"/>
    <w:rsid w:val="563F5963"/>
    <w:rsid w:val="56AE4DCE"/>
    <w:rsid w:val="56CAF0ED"/>
    <w:rsid w:val="56F41D16"/>
    <w:rsid w:val="574367D2"/>
    <w:rsid w:val="57A69E80"/>
    <w:rsid w:val="57EFCE47"/>
    <w:rsid w:val="5890861A"/>
    <w:rsid w:val="590C1240"/>
    <w:rsid w:val="59C2ECFD"/>
    <w:rsid w:val="5A42FCBC"/>
    <w:rsid w:val="5A6C9358"/>
    <w:rsid w:val="5B4E36A4"/>
    <w:rsid w:val="5B64F424"/>
    <w:rsid w:val="5D04A327"/>
    <w:rsid w:val="5D0F6D6E"/>
    <w:rsid w:val="5D417441"/>
    <w:rsid w:val="5DC714AC"/>
    <w:rsid w:val="5DD26D21"/>
    <w:rsid w:val="5DFEEE46"/>
    <w:rsid w:val="5E062FCE"/>
    <w:rsid w:val="5EC2C7CB"/>
    <w:rsid w:val="5F329ADC"/>
    <w:rsid w:val="5F690B30"/>
    <w:rsid w:val="5FB4C664"/>
    <w:rsid w:val="5FC4D4B7"/>
    <w:rsid w:val="60C3A975"/>
    <w:rsid w:val="610BE3D3"/>
    <w:rsid w:val="610DF18D"/>
    <w:rsid w:val="613BE62B"/>
    <w:rsid w:val="61C3CB52"/>
    <w:rsid w:val="62AB9E78"/>
    <w:rsid w:val="62B1D199"/>
    <w:rsid w:val="62FDC886"/>
    <w:rsid w:val="63162768"/>
    <w:rsid w:val="636C30CB"/>
    <w:rsid w:val="63903812"/>
    <w:rsid w:val="63BB6707"/>
    <w:rsid w:val="63F31FDE"/>
    <w:rsid w:val="64A86DC2"/>
    <w:rsid w:val="652A452E"/>
    <w:rsid w:val="6545FE7C"/>
    <w:rsid w:val="65577E0A"/>
    <w:rsid w:val="6582FD02"/>
    <w:rsid w:val="65B7F265"/>
    <w:rsid w:val="65D7F1CA"/>
    <w:rsid w:val="66101B06"/>
    <w:rsid w:val="67119843"/>
    <w:rsid w:val="6721F892"/>
    <w:rsid w:val="677EA94F"/>
    <w:rsid w:val="67A9BD75"/>
    <w:rsid w:val="6889FCA2"/>
    <w:rsid w:val="68ED9F1C"/>
    <w:rsid w:val="697669A7"/>
    <w:rsid w:val="697738E0"/>
    <w:rsid w:val="697A015C"/>
    <w:rsid w:val="69A70F61"/>
    <w:rsid w:val="69B23373"/>
    <w:rsid w:val="6A493905"/>
    <w:rsid w:val="6A91422E"/>
    <w:rsid w:val="6AB624E8"/>
    <w:rsid w:val="6ACE4636"/>
    <w:rsid w:val="6AECA076"/>
    <w:rsid w:val="6B0A64EB"/>
    <w:rsid w:val="6BA428AC"/>
    <w:rsid w:val="6C168E2C"/>
    <w:rsid w:val="6D41B502"/>
    <w:rsid w:val="6DEED179"/>
    <w:rsid w:val="6E505ADC"/>
    <w:rsid w:val="6E58C688"/>
    <w:rsid w:val="6EA218BC"/>
    <w:rsid w:val="6EF42A02"/>
    <w:rsid w:val="6F0470BA"/>
    <w:rsid w:val="6F269C00"/>
    <w:rsid w:val="6F4CAF2A"/>
    <w:rsid w:val="6F6D0EDF"/>
    <w:rsid w:val="709F4423"/>
    <w:rsid w:val="7116EA68"/>
    <w:rsid w:val="71267499"/>
    <w:rsid w:val="721440E1"/>
    <w:rsid w:val="727FC2DE"/>
    <w:rsid w:val="72C3464D"/>
    <w:rsid w:val="731E6B0D"/>
    <w:rsid w:val="736E3BC1"/>
    <w:rsid w:val="738E397F"/>
    <w:rsid w:val="73E7B9B5"/>
    <w:rsid w:val="744E7673"/>
    <w:rsid w:val="74C1E06A"/>
    <w:rsid w:val="75375C8D"/>
    <w:rsid w:val="75B31B6F"/>
    <w:rsid w:val="75D44180"/>
    <w:rsid w:val="764DADE0"/>
    <w:rsid w:val="764DEC73"/>
    <w:rsid w:val="76EBE194"/>
    <w:rsid w:val="76FC6206"/>
    <w:rsid w:val="770B67B5"/>
    <w:rsid w:val="77AFCF44"/>
    <w:rsid w:val="78281BB8"/>
    <w:rsid w:val="783ED4B0"/>
    <w:rsid w:val="7853AF85"/>
    <w:rsid w:val="7891BC9B"/>
    <w:rsid w:val="78B56865"/>
    <w:rsid w:val="78D4FFE1"/>
    <w:rsid w:val="78DFA798"/>
    <w:rsid w:val="79046E85"/>
    <w:rsid w:val="797C40E9"/>
    <w:rsid w:val="79995D82"/>
    <w:rsid w:val="79ABDBD1"/>
    <w:rsid w:val="7A07CF5B"/>
    <w:rsid w:val="7A8F3C22"/>
    <w:rsid w:val="7B08836E"/>
    <w:rsid w:val="7B4B5F12"/>
    <w:rsid w:val="7BBA31A0"/>
    <w:rsid w:val="7C50C6CE"/>
    <w:rsid w:val="7C65601F"/>
    <w:rsid w:val="7CCAD424"/>
    <w:rsid w:val="7D23043E"/>
    <w:rsid w:val="7D49B570"/>
    <w:rsid w:val="7DCF67A9"/>
    <w:rsid w:val="7EC518C4"/>
    <w:rsid w:val="7F33E636"/>
    <w:rsid w:val="7F3801A6"/>
    <w:rsid w:val="7F75C305"/>
    <w:rsid w:val="7FC7DFE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80"/>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564F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6E5B9F"/>
    <w:pPr>
      <w:keepNext/>
      <w:spacing w:before="360" w:after="120" w:line="240" w:lineRule="auto"/>
      <w:outlineLvl w:val="4"/>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MT" w:hAnsi="ArialMT"/>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rsid w:val="006E5B9F"/>
    <w:rPr>
      <w:rFonts w:ascii="Arial Narrow" w:eastAsia="Times New Roman" w:hAnsi="Arial Narrow" w:cs="Times New Roman"/>
      <w:b/>
      <w:bCs/>
      <w:sz w:val="20"/>
      <w:szCs w:val="20"/>
    </w:rPr>
  </w:style>
  <w:style w:type="table" w:styleId="TableGrid">
    <w:name w:val="Table Grid"/>
    <w:aliases w:val="Summary box,Table Gridbeth,RTI AMCP Table,new style,ASD Table,Centered text"/>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03EF9"/>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qFormat/>
    <w:rsid w:val="00DA5A25"/>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B21024"/>
    <w:pPr>
      <w:keepNext/>
      <w:spacing w:after="0" w:line="240" w:lineRule="auto"/>
      <w:outlineLvl w:val="4"/>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B21024"/>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MT" w:hAnsi="ArialMT"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MT" w:hAnsi="ArialMT"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MT" w:hAnsi="ArialMT"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8"/>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9"/>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2"/>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semiHidden/>
    <w:unhideWhenUsed/>
    <w:rsid w:val="00D13865"/>
    <w:rPr>
      <w:color w:val="605E5C"/>
      <w:shd w:val="clear" w:color="auto" w:fill="E1DFDD"/>
    </w:rPr>
  </w:style>
  <w:style w:type="paragraph" w:styleId="NormalWeb">
    <w:name w:val="Normal (Web)"/>
    <w:basedOn w:val="Normal"/>
    <w:uiPriority w:val="99"/>
    <w:unhideWhenUsed/>
    <w:rsid w:val="00A64F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ghlight">
    <w:name w:val="highlight"/>
    <w:basedOn w:val="DefaultParagraphFont"/>
    <w:rsid w:val="00A64F58"/>
  </w:style>
  <w:style w:type="paragraph" w:customStyle="1" w:styleId="TableParagraph">
    <w:name w:val="Table Paragraph"/>
    <w:basedOn w:val="Normal"/>
    <w:uiPriority w:val="1"/>
    <w:qFormat/>
    <w:rsid w:val="0095748E"/>
    <w:pPr>
      <w:widowControl w:val="0"/>
      <w:spacing w:before="0" w:after="0" w:line="240" w:lineRule="auto"/>
    </w:pPr>
    <w:rPr>
      <w:rFonts w:asciiTheme="minorHAnsi" w:hAnsiTheme="minorHAnsi"/>
      <w:lang w:val="en-US"/>
    </w:rPr>
  </w:style>
  <w:style w:type="paragraph" w:styleId="BodyText">
    <w:name w:val="Body Text"/>
    <w:basedOn w:val="Normal"/>
    <w:link w:val="BodyTextChar"/>
    <w:uiPriority w:val="1"/>
    <w:qFormat/>
    <w:rsid w:val="00F14A95"/>
    <w:pPr>
      <w:widowControl w:val="0"/>
      <w:spacing w:before="0" w:after="0" w:line="240" w:lineRule="auto"/>
      <w:ind w:left="190"/>
    </w:pPr>
    <w:rPr>
      <w:rFonts w:ascii="Arial" w:eastAsia="Arial" w:hAnsi="Arial"/>
      <w:sz w:val="20"/>
      <w:szCs w:val="20"/>
      <w:lang w:val="en-US"/>
    </w:rPr>
  </w:style>
  <w:style w:type="character" w:customStyle="1" w:styleId="BodyTextChar">
    <w:name w:val="Body Text Char"/>
    <w:basedOn w:val="DefaultParagraphFont"/>
    <w:link w:val="BodyText"/>
    <w:uiPriority w:val="1"/>
    <w:rsid w:val="00F14A95"/>
    <w:rPr>
      <w:rFonts w:ascii="Arial" w:eastAsia="Arial" w:hAnsi="Arial"/>
      <w:sz w:val="20"/>
      <w:szCs w:val="20"/>
      <w:lang w:val="en-US"/>
    </w:rPr>
  </w:style>
  <w:style w:type="character" w:customStyle="1" w:styleId="Heading5Char">
    <w:name w:val="Heading 5 Char"/>
    <w:basedOn w:val="DefaultParagraphFont"/>
    <w:link w:val="Heading5"/>
    <w:uiPriority w:val="9"/>
    <w:rsid w:val="00564F19"/>
    <w:rPr>
      <w:rFonts w:asciiTheme="majorHAnsi" w:eastAsiaTheme="majorEastAsia" w:hAnsiTheme="majorHAnsi" w:cstheme="majorBidi"/>
      <w:color w:val="2E74B5" w:themeColor="accent1" w:themeShade="BF"/>
    </w:rPr>
  </w:style>
  <w:style w:type="paragraph" w:customStyle="1" w:styleId="Tablenotes1">
    <w:name w:val="Tablenotes 1"/>
    <w:basedOn w:val="Normal"/>
    <w:link w:val="Tablenotes1Char"/>
    <w:qFormat/>
    <w:rsid w:val="00370B2A"/>
    <w:pPr>
      <w:widowControl w:val="0"/>
      <w:spacing w:before="0" w:after="240" w:line="240" w:lineRule="auto"/>
      <w:contextualSpacing/>
      <w:jc w:val="both"/>
    </w:pPr>
    <w:rPr>
      <w:rFonts w:ascii="Arial Narrow" w:eastAsia="Times New Roman" w:hAnsi="Arial Narrow" w:cs="Arial"/>
      <w:snapToGrid w:val="0"/>
      <w:sz w:val="18"/>
      <w:szCs w:val="20"/>
    </w:rPr>
  </w:style>
  <w:style w:type="character" w:customStyle="1" w:styleId="Tablenotes1Char">
    <w:name w:val="Tablenotes 1 Char"/>
    <w:basedOn w:val="DefaultParagraphFont"/>
    <w:link w:val="Tablenotes1"/>
    <w:rsid w:val="00370B2A"/>
    <w:rPr>
      <w:rFonts w:ascii="Arial Narrow" w:eastAsia="Times New Roman" w:hAnsi="Arial Narrow" w:cs="Arial"/>
      <w:snapToGrid w:val="0"/>
      <w:sz w:val="18"/>
      <w:szCs w:val="20"/>
    </w:rPr>
  </w:style>
  <w:style w:type="paragraph" w:customStyle="1" w:styleId="TableHeader1">
    <w:name w:val="Table Header1"/>
    <w:basedOn w:val="Normal"/>
    <w:link w:val="TableHeader1Char"/>
    <w:qFormat/>
    <w:rsid w:val="00370B2A"/>
    <w:pPr>
      <w:spacing w:before="40" w:after="40" w:line="240" w:lineRule="auto"/>
    </w:pPr>
    <w:rPr>
      <w:rFonts w:ascii="Arial Narrow" w:eastAsia="Times New Roman" w:hAnsi="Arial Narrow" w:cs="Tahoma"/>
      <w:b/>
      <w:sz w:val="20"/>
      <w:lang w:eastAsia="en-AU"/>
    </w:rPr>
  </w:style>
  <w:style w:type="character" w:customStyle="1" w:styleId="TableHeader1Char">
    <w:name w:val="Table Header1 Char"/>
    <w:basedOn w:val="DefaultParagraphFont"/>
    <w:link w:val="TableHeader1"/>
    <w:rsid w:val="00370B2A"/>
    <w:rPr>
      <w:rFonts w:ascii="Arial Narrow" w:eastAsia="Times New Roman" w:hAnsi="Arial Narrow" w:cs="Tahoma"/>
      <w:b/>
      <w:sz w:val="20"/>
      <w:lang w:eastAsia="en-AU"/>
    </w:rPr>
  </w:style>
  <w:style w:type="table" w:customStyle="1" w:styleId="ASDTable1">
    <w:name w:val="ASD Table1"/>
    <w:basedOn w:val="TableNormal"/>
    <w:next w:val="TableGrid"/>
    <w:uiPriority w:val="39"/>
    <w:rsid w:val="00370B2A"/>
    <w:pPr>
      <w:spacing w:after="0" w:line="240" w:lineRule="auto"/>
      <w:jc w:val="both"/>
    </w:pPr>
    <w:rPr>
      <w:rFonts w:eastAsiaTheme="minorEastAs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Abbrevs0">
    <w:name w:val="TFAbbrevs+0"/>
    <w:basedOn w:val="Normal"/>
    <w:qFormat/>
    <w:rsid w:val="00370B2A"/>
    <w:pPr>
      <w:keepNext/>
      <w:keepLines/>
      <w:spacing w:before="0" w:after="0" w:line="240" w:lineRule="auto"/>
    </w:pPr>
    <w:rPr>
      <w:rFonts w:ascii="Arial Narrow" w:eastAsia="Times New Roman" w:hAnsi="Arial Narrow" w:cs="Times New Roman"/>
      <w:color w:val="000000"/>
      <w:sz w:val="18"/>
      <w:szCs w:val="18"/>
      <w:lang w:eastAsia="en-AU"/>
    </w:rPr>
  </w:style>
  <w:style w:type="paragraph" w:customStyle="1" w:styleId="Comment">
    <w:name w:val="Comment"/>
    <w:basedOn w:val="Normal"/>
    <w:link w:val="CommentChar"/>
    <w:qFormat/>
    <w:rsid w:val="00370B2A"/>
    <w:pPr>
      <w:tabs>
        <w:tab w:val="num" w:pos="720"/>
      </w:tabs>
      <w:spacing w:before="0" w:after="240" w:line="312" w:lineRule="auto"/>
      <w:jc w:val="both"/>
    </w:pPr>
    <w:rPr>
      <w:rFonts w:ascii="Calibri" w:eastAsia="Times New Roman" w:hAnsi="Calibri" w:cs="Tahoma"/>
      <w:i/>
      <w:color w:val="000000" w:themeColor="text1"/>
      <w:lang w:eastAsia="en-AU"/>
    </w:rPr>
  </w:style>
  <w:style w:type="character" w:customStyle="1" w:styleId="CommentChar">
    <w:name w:val="Comment Char"/>
    <w:basedOn w:val="DefaultParagraphFont"/>
    <w:link w:val="Comment"/>
    <w:rsid w:val="00370B2A"/>
    <w:rPr>
      <w:rFonts w:ascii="Calibri" w:eastAsia="Times New Roman" w:hAnsi="Calibri" w:cs="Tahoma"/>
      <w:i/>
      <w:color w:val="000000" w:themeColor="text1"/>
      <w:lang w:eastAsia="en-AU"/>
    </w:rPr>
  </w:style>
  <w:style w:type="paragraph" w:customStyle="1" w:styleId="EndNoteBibliographyTitle">
    <w:name w:val="EndNote Bibliography Title"/>
    <w:basedOn w:val="Normal"/>
    <w:link w:val="EndNoteBibliographyTitleChar"/>
    <w:rsid w:val="00F07742"/>
    <w:pPr>
      <w:spacing w:after="0"/>
      <w:jc w:val="center"/>
    </w:pPr>
    <w:rPr>
      <w:noProof/>
      <w:lang w:val="en-US"/>
    </w:rPr>
  </w:style>
  <w:style w:type="character" w:customStyle="1" w:styleId="EndNoteBibliographyTitleChar">
    <w:name w:val="EndNote Bibliography Title Char"/>
    <w:basedOn w:val="TableTextChar"/>
    <w:link w:val="EndNoteBibliographyTitle"/>
    <w:rsid w:val="00F07742"/>
    <w:rPr>
      <w:rFonts w:ascii="Franklin Gothic Book" w:hAnsi="Franklin Gothic Book"/>
      <w:noProof/>
      <w:sz w:val="20"/>
      <w:lang w:val="en-US"/>
    </w:rPr>
  </w:style>
  <w:style w:type="paragraph" w:customStyle="1" w:styleId="EndNoteBibliography">
    <w:name w:val="EndNote Bibliography"/>
    <w:basedOn w:val="Normal"/>
    <w:link w:val="EndNoteBibliographyChar"/>
    <w:rsid w:val="00F07742"/>
    <w:pPr>
      <w:spacing w:line="240" w:lineRule="auto"/>
    </w:pPr>
    <w:rPr>
      <w:noProof/>
      <w:lang w:val="en-US"/>
    </w:rPr>
  </w:style>
  <w:style w:type="character" w:customStyle="1" w:styleId="EndNoteBibliographyChar">
    <w:name w:val="EndNote Bibliography Char"/>
    <w:basedOn w:val="TableTextChar"/>
    <w:link w:val="EndNoteBibliography"/>
    <w:rsid w:val="00F07742"/>
    <w:rPr>
      <w:rFonts w:ascii="Franklin Gothic Book" w:hAnsi="Franklin Gothic Book"/>
      <w:noProof/>
      <w:sz w:val="20"/>
      <w:lang w:val="en-US"/>
    </w:rPr>
  </w:style>
  <w:style w:type="paragraph" w:styleId="PlainText">
    <w:name w:val="Plain Text"/>
    <w:basedOn w:val="Normal"/>
    <w:link w:val="PlainTextChar"/>
    <w:rsid w:val="003E4DC4"/>
    <w:pPr>
      <w:spacing w:before="0" w:after="0" w:line="312" w:lineRule="auto"/>
    </w:pPr>
    <w:rPr>
      <w:rFonts w:ascii="Courier New" w:eastAsia="Times New Roman" w:hAnsi="Courier New" w:cs="Courier New"/>
      <w:sz w:val="20"/>
    </w:rPr>
  </w:style>
  <w:style w:type="character" w:customStyle="1" w:styleId="PlainTextChar">
    <w:name w:val="Plain Text Char"/>
    <w:basedOn w:val="DefaultParagraphFont"/>
    <w:link w:val="PlainText"/>
    <w:rsid w:val="003E4DC4"/>
    <w:rPr>
      <w:rFonts w:ascii="Courier New" w:eastAsia="Times New Roman" w:hAnsi="Courier New" w:cs="Courier New"/>
      <w:sz w:val="20"/>
    </w:rPr>
  </w:style>
  <w:style w:type="paragraph" w:customStyle="1" w:styleId="Default">
    <w:name w:val="Default"/>
    <w:rsid w:val="00E20F06"/>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05198"/>
    <w:rPr>
      <w:color w:val="808080"/>
    </w:rPr>
  </w:style>
  <w:style w:type="table" w:customStyle="1" w:styleId="TableGrid9">
    <w:name w:val="Table Grid9"/>
    <w:basedOn w:val="TableNormal"/>
    <w:next w:val="TableGrid"/>
    <w:uiPriority w:val="59"/>
    <w:rsid w:val="0088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D44D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D44D0"/>
  </w:style>
  <w:style w:type="character" w:customStyle="1" w:styleId="tabchar">
    <w:name w:val="tabchar"/>
    <w:basedOn w:val="DefaultParagraphFont"/>
    <w:rsid w:val="008D44D0"/>
  </w:style>
  <w:style w:type="character" w:customStyle="1" w:styleId="eop">
    <w:name w:val="eop"/>
    <w:basedOn w:val="DefaultParagraphFont"/>
    <w:rsid w:val="008D44D0"/>
  </w:style>
  <w:style w:type="character" w:customStyle="1" w:styleId="UnresolvedMention4">
    <w:name w:val="Unresolved Mention4"/>
    <w:basedOn w:val="DefaultParagraphFont"/>
    <w:uiPriority w:val="99"/>
    <w:unhideWhenUsed/>
    <w:rsid w:val="009B749F"/>
    <w:rPr>
      <w:color w:val="605E5C"/>
      <w:shd w:val="clear" w:color="auto" w:fill="E1DFDD"/>
    </w:rPr>
  </w:style>
  <w:style w:type="character" w:customStyle="1" w:styleId="Mention1">
    <w:name w:val="Mention1"/>
    <w:basedOn w:val="DefaultParagraphFont"/>
    <w:uiPriority w:val="99"/>
    <w:unhideWhenUsed/>
    <w:rsid w:val="00B607E0"/>
    <w:rPr>
      <w:color w:val="2B579A"/>
      <w:shd w:val="clear" w:color="auto" w:fill="E1DFDD"/>
    </w:rPr>
  </w:style>
  <w:style w:type="paragraph" w:customStyle="1" w:styleId="TableBullet">
    <w:name w:val="TableBullet"/>
    <w:basedOn w:val="TableText1"/>
    <w:rsid w:val="002316DC"/>
    <w:pPr>
      <w:numPr>
        <w:numId w:val="39"/>
      </w:numPr>
      <w:tabs>
        <w:tab w:val="left" w:pos="216"/>
      </w:tabs>
      <w:spacing w:before="60" w:after="60" w:line="240" w:lineRule="auto"/>
      <w:ind w:left="216" w:hanging="216"/>
      <w:jc w:val="left"/>
    </w:pPr>
    <w:rPr>
      <w:rFonts w:ascii="Times New Roman" w:hAnsi="Times New Roman" w:cs="Times New Roman"/>
      <w:color w:val="000000"/>
      <w:sz w:val="21"/>
      <w:szCs w:val="21"/>
    </w:rPr>
  </w:style>
  <w:style w:type="table" w:customStyle="1" w:styleId="HTAtableplain1">
    <w:name w:val="HTAtableplain1"/>
    <w:basedOn w:val="TableNormal"/>
    <w:uiPriority w:val="59"/>
    <w:rsid w:val="002316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08A4"/>
    <w:rPr>
      <w:color w:val="605E5C"/>
      <w:shd w:val="clear" w:color="auto" w:fill="E1DFDD"/>
    </w:rPr>
  </w:style>
  <w:style w:type="paragraph" w:customStyle="1" w:styleId="BulletBeforeDash">
    <w:name w:val="BulletBeforeDash"/>
    <w:basedOn w:val="Normal"/>
    <w:rsid w:val="00AB159A"/>
    <w:pPr>
      <w:numPr>
        <w:numId w:val="46"/>
      </w:numPr>
      <w:spacing w:before="0" w:after="0" w:line="240" w:lineRule="auto"/>
      <w:ind w:left="720"/>
    </w:pPr>
    <w:rPr>
      <w:rFonts w:ascii="Times New Roman" w:eastAsia="Times New Roman" w:hAnsi="Times New Roman" w:cs="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34624724">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19348192">
      <w:bodyDiv w:val="1"/>
      <w:marLeft w:val="0"/>
      <w:marRight w:val="0"/>
      <w:marTop w:val="0"/>
      <w:marBottom w:val="0"/>
      <w:divBdr>
        <w:top w:val="none" w:sz="0" w:space="0" w:color="auto"/>
        <w:left w:val="none" w:sz="0" w:space="0" w:color="auto"/>
        <w:bottom w:val="none" w:sz="0" w:space="0" w:color="auto"/>
        <w:right w:val="none" w:sz="0" w:space="0" w:color="auto"/>
      </w:divBdr>
    </w:div>
    <w:div w:id="139075980">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1409111">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73237768">
      <w:bodyDiv w:val="1"/>
      <w:marLeft w:val="0"/>
      <w:marRight w:val="0"/>
      <w:marTop w:val="0"/>
      <w:marBottom w:val="0"/>
      <w:divBdr>
        <w:top w:val="none" w:sz="0" w:space="0" w:color="auto"/>
        <w:left w:val="none" w:sz="0" w:space="0" w:color="auto"/>
        <w:bottom w:val="none" w:sz="0" w:space="0" w:color="auto"/>
        <w:right w:val="none" w:sz="0" w:space="0" w:color="auto"/>
      </w:divBdr>
    </w:div>
    <w:div w:id="378823263">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393702664">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1246897">
      <w:bodyDiv w:val="1"/>
      <w:marLeft w:val="0"/>
      <w:marRight w:val="0"/>
      <w:marTop w:val="0"/>
      <w:marBottom w:val="0"/>
      <w:divBdr>
        <w:top w:val="none" w:sz="0" w:space="0" w:color="auto"/>
        <w:left w:val="none" w:sz="0" w:space="0" w:color="auto"/>
        <w:bottom w:val="none" w:sz="0" w:space="0" w:color="auto"/>
        <w:right w:val="none" w:sz="0" w:space="0" w:color="auto"/>
      </w:divBdr>
    </w:div>
    <w:div w:id="480998204">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34729994">
      <w:bodyDiv w:val="1"/>
      <w:marLeft w:val="0"/>
      <w:marRight w:val="0"/>
      <w:marTop w:val="0"/>
      <w:marBottom w:val="0"/>
      <w:divBdr>
        <w:top w:val="none" w:sz="0" w:space="0" w:color="auto"/>
        <w:left w:val="none" w:sz="0" w:space="0" w:color="auto"/>
        <w:bottom w:val="none" w:sz="0" w:space="0" w:color="auto"/>
        <w:right w:val="none" w:sz="0" w:space="0" w:color="auto"/>
      </w:divBdr>
    </w:div>
    <w:div w:id="543978783">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41754010">
      <w:bodyDiv w:val="1"/>
      <w:marLeft w:val="0"/>
      <w:marRight w:val="0"/>
      <w:marTop w:val="0"/>
      <w:marBottom w:val="0"/>
      <w:divBdr>
        <w:top w:val="none" w:sz="0" w:space="0" w:color="auto"/>
        <w:left w:val="none" w:sz="0" w:space="0" w:color="auto"/>
        <w:bottom w:val="none" w:sz="0" w:space="0" w:color="auto"/>
        <w:right w:val="none" w:sz="0" w:space="0" w:color="auto"/>
      </w:divBdr>
    </w:div>
    <w:div w:id="807090659">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52570875">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87032188">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51400348">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1160848">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33461962">
      <w:bodyDiv w:val="1"/>
      <w:marLeft w:val="0"/>
      <w:marRight w:val="0"/>
      <w:marTop w:val="0"/>
      <w:marBottom w:val="0"/>
      <w:divBdr>
        <w:top w:val="none" w:sz="0" w:space="0" w:color="auto"/>
        <w:left w:val="none" w:sz="0" w:space="0" w:color="auto"/>
        <w:bottom w:val="none" w:sz="0" w:space="0" w:color="auto"/>
        <w:right w:val="none" w:sz="0" w:space="0" w:color="auto"/>
      </w:divBdr>
    </w:div>
    <w:div w:id="1056125615">
      <w:bodyDiv w:val="1"/>
      <w:marLeft w:val="0"/>
      <w:marRight w:val="0"/>
      <w:marTop w:val="0"/>
      <w:marBottom w:val="0"/>
      <w:divBdr>
        <w:top w:val="none" w:sz="0" w:space="0" w:color="auto"/>
        <w:left w:val="none" w:sz="0" w:space="0" w:color="auto"/>
        <w:bottom w:val="none" w:sz="0" w:space="0" w:color="auto"/>
        <w:right w:val="none" w:sz="0" w:space="0" w:color="auto"/>
      </w:divBdr>
      <w:divsChild>
        <w:div w:id="46032198">
          <w:marLeft w:val="0"/>
          <w:marRight w:val="0"/>
          <w:marTop w:val="0"/>
          <w:marBottom w:val="0"/>
          <w:divBdr>
            <w:top w:val="none" w:sz="0" w:space="0" w:color="auto"/>
            <w:left w:val="none" w:sz="0" w:space="0" w:color="auto"/>
            <w:bottom w:val="none" w:sz="0" w:space="0" w:color="auto"/>
            <w:right w:val="none" w:sz="0" w:space="0" w:color="auto"/>
          </w:divBdr>
        </w:div>
        <w:div w:id="93788858">
          <w:marLeft w:val="0"/>
          <w:marRight w:val="0"/>
          <w:marTop w:val="0"/>
          <w:marBottom w:val="0"/>
          <w:divBdr>
            <w:top w:val="none" w:sz="0" w:space="0" w:color="auto"/>
            <w:left w:val="none" w:sz="0" w:space="0" w:color="auto"/>
            <w:bottom w:val="none" w:sz="0" w:space="0" w:color="auto"/>
            <w:right w:val="none" w:sz="0" w:space="0" w:color="auto"/>
          </w:divBdr>
        </w:div>
        <w:div w:id="251547977">
          <w:marLeft w:val="0"/>
          <w:marRight w:val="0"/>
          <w:marTop w:val="0"/>
          <w:marBottom w:val="0"/>
          <w:divBdr>
            <w:top w:val="none" w:sz="0" w:space="0" w:color="auto"/>
            <w:left w:val="none" w:sz="0" w:space="0" w:color="auto"/>
            <w:bottom w:val="none" w:sz="0" w:space="0" w:color="auto"/>
            <w:right w:val="none" w:sz="0" w:space="0" w:color="auto"/>
          </w:divBdr>
        </w:div>
        <w:div w:id="331565771">
          <w:marLeft w:val="0"/>
          <w:marRight w:val="0"/>
          <w:marTop w:val="0"/>
          <w:marBottom w:val="0"/>
          <w:divBdr>
            <w:top w:val="none" w:sz="0" w:space="0" w:color="auto"/>
            <w:left w:val="none" w:sz="0" w:space="0" w:color="auto"/>
            <w:bottom w:val="none" w:sz="0" w:space="0" w:color="auto"/>
            <w:right w:val="none" w:sz="0" w:space="0" w:color="auto"/>
          </w:divBdr>
        </w:div>
        <w:div w:id="370811419">
          <w:marLeft w:val="0"/>
          <w:marRight w:val="0"/>
          <w:marTop w:val="0"/>
          <w:marBottom w:val="0"/>
          <w:divBdr>
            <w:top w:val="none" w:sz="0" w:space="0" w:color="auto"/>
            <w:left w:val="none" w:sz="0" w:space="0" w:color="auto"/>
            <w:bottom w:val="none" w:sz="0" w:space="0" w:color="auto"/>
            <w:right w:val="none" w:sz="0" w:space="0" w:color="auto"/>
          </w:divBdr>
        </w:div>
        <w:div w:id="531580204">
          <w:marLeft w:val="0"/>
          <w:marRight w:val="0"/>
          <w:marTop w:val="0"/>
          <w:marBottom w:val="0"/>
          <w:divBdr>
            <w:top w:val="none" w:sz="0" w:space="0" w:color="auto"/>
            <w:left w:val="none" w:sz="0" w:space="0" w:color="auto"/>
            <w:bottom w:val="none" w:sz="0" w:space="0" w:color="auto"/>
            <w:right w:val="none" w:sz="0" w:space="0" w:color="auto"/>
          </w:divBdr>
        </w:div>
        <w:div w:id="719552139">
          <w:marLeft w:val="0"/>
          <w:marRight w:val="0"/>
          <w:marTop w:val="0"/>
          <w:marBottom w:val="0"/>
          <w:divBdr>
            <w:top w:val="none" w:sz="0" w:space="0" w:color="auto"/>
            <w:left w:val="none" w:sz="0" w:space="0" w:color="auto"/>
            <w:bottom w:val="none" w:sz="0" w:space="0" w:color="auto"/>
            <w:right w:val="none" w:sz="0" w:space="0" w:color="auto"/>
          </w:divBdr>
        </w:div>
        <w:div w:id="875120500">
          <w:marLeft w:val="0"/>
          <w:marRight w:val="0"/>
          <w:marTop w:val="0"/>
          <w:marBottom w:val="0"/>
          <w:divBdr>
            <w:top w:val="none" w:sz="0" w:space="0" w:color="auto"/>
            <w:left w:val="none" w:sz="0" w:space="0" w:color="auto"/>
            <w:bottom w:val="none" w:sz="0" w:space="0" w:color="auto"/>
            <w:right w:val="none" w:sz="0" w:space="0" w:color="auto"/>
          </w:divBdr>
        </w:div>
        <w:div w:id="1119376376">
          <w:marLeft w:val="0"/>
          <w:marRight w:val="0"/>
          <w:marTop w:val="0"/>
          <w:marBottom w:val="0"/>
          <w:divBdr>
            <w:top w:val="none" w:sz="0" w:space="0" w:color="auto"/>
            <w:left w:val="none" w:sz="0" w:space="0" w:color="auto"/>
            <w:bottom w:val="none" w:sz="0" w:space="0" w:color="auto"/>
            <w:right w:val="none" w:sz="0" w:space="0" w:color="auto"/>
          </w:divBdr>
        </w:div>
        <w:div w:id="1314220597">
          <w:marLeft w:val="0"/>
          <w:marRight w:val="0"/>
          <w:marTop w:val="0"/>
          <w:marBottom w:val="0"/>
          <w:divBdr>
            <w:top w:val="none" w:sz="0" w:space="0" w:color="auto"/>
            <w:left w:val="none" w:sz="0" w:space="0" w:color="auto"/>
            <w:bottom w:val="none" w:sz="0" w:space="0" w:color="auto"/>
            <w:right w:val="none" w:sz="0" w:space="0" w:color="auto"/>
          </w:divBdr>
        </w:div>
        <w:div w:id="1344236633">
          <w:marLeft w:val="0"/>
          <w:marRight w:val="0"/>
          <w:marTop w:val="0"/>
          <w:marBottom w:val="0"/>
          <w:divBdr>
            <w:top w:val="none" w:sz="0" w:space="0" w:color="auto"/>
            <w:left w:val="none" w:sz="0" w:space="0" w:color="auto"/>
            <w:bottom w:val="none" w:sz="0" w:space="0" w:color="auto"/>
            <w:right w:val="none" w:sz="0" w:space="0" w:color="auto"/>
          </w:divBdr>
        </w:div>
        <w:div w:id="1433668849">
          <w:marLeft w:val="0"/>
          <w:marRight w:val="0"/>
          <w:marTop w:val="0"/>
          <w:marBottom w:val="0"/>
          <w:divBdr>
            <w:top w:val="none" w:sz="0" w:space="0" w:color="auto"/>
            <w:left w:val="none" w:sz="0" w:space="0" w:color="auto"/>
            <w:bottom w:val="none" w:sz="0" w:space="0" w:color="auto"/>
            <w:right w:val="none" w:sz="0" w:space="0" w:color="auto"/>
          </w:divBdr>
        </w:div>
        <w:div w:id="1497458105">
          <w:marLeft w:val="0"/>
          <w:marRight w:val="0"/>
          <w:marTop w:val="0"/>
          <w:marBottom w:val="0"/>
          <w:divBdr>
            <w:top w:val="none" w:sz="0" w:space="0" w:color="auto"/>
            <w:left w:val="none" w:sz="0" w:space="0" w:color="auto"/>
            <w:bottom w:val="none" w:sz="0" w:space="0" w:color="auto"/>
            <w:right w:val="none" w:sz="0" w:space="0" w:color="auto"/>
          </w:divBdr>
          <w:divsChild>
            <w:div w:id="486940700">
              <w:marLeft w:val="-75"/>
              <w:marRight w:val="0"/>
              <w:marTop w:val="30"/>
              <w:marBottom w:val="30"/>
              <w:divBdr>
                <w:top w:val="none" w:sz="0" w:space="0" w:color="auto"/>
                <w:left w:val="none" w:sz="0" w:space="0" w:color="auto"/>
                <w:bottom w:val="none" w:sz="0" w:space="0" w:color="auto"/>
                <w:right w:val="none" w:sz="0" w:space="0" w:color="auto"/>
              </w:divBdr>
              <w:divsChild>
                <w:div w:id="179442217">
                  <w:marLeft w:val="0"/>
                  <w:marRight w:val="0"/>
                  <w:marTop w:val="0"/>
                  <w:marBottom w:val="0"/>
                  <w:divBdr>
                    <w:top w:val="none" w:sz="0" w:space="0" w:color="auto"/>
                    <w:left w:val="none" w:sz="0" w:space="0" w:color="auto"/>
                    <w:bottom w:val="none" w:sz="0" w:space="0" w:color="auto"/>
                    <w:right w:val="none" w:sz="0" w:space="0" w:color="auto"/>
                  </w:divBdr>
                  <w:divsChild>
                    <w:div w:id="977879721">
                      <w:marLeft w:val="0"/>
                      <w:marRight w:val="0"/>
                      <w:marTop w:val="0"/>
                      <w:marBottom w:val="0"/>
                      <w:divBdr>
                        <w:top w:val="none" w:sz="0" w:space="0" w:color="auto"/>
                        <w:left w:val="none" w:sz="0" w:space="0" w:color="auto"/>
                        <w:bottom w:val="none" w:sz="0" w:space="0" w:color="auto"/>
                        <w:right w:val="none" w:sz="0" w:space="0" w:color="auto"/>
                      </w:divBdr>
                    </w:div>
                    <w:div w:id="1489708245">
                      <w:marLeft w:val="0"/>
                      <w:marRight w:val="0"/>
                      <w:marTop w:val="0"/>
                      <w:marBottom w:val="0"/>
                      <w:divBdr>
                        <w:top w:val="none" w:sz="0" w:space="0" w:color="auto"/>
                        <w:left w:val="none" w:sz="0" w:space="0" w:color="auto"/>
                        <w:bottom w:val="none" w:sz="0" w:space="0" w:color="auto"/>
                        <w:right w:val="none" w:sz="0" w:space="0" w:color="auto"/>
                      </w:divBdr>
                    </w:div>
                  </w:divsChild>
                </w:div>
                <w:div w:id="217087992">
                  <w:marLeft w:val="0"/>
                  <w:marRight w:val="0"/>
                  <w:marTop w:val="0"/>
                  <w:marBottom w:val="0"/>
                  <w:divBdr>
                    <w:top w:val="none" w:sz="0" w:space="0" w:color="auto"/>
                    <w:left w:val="none" w:sz="0" w:space="0" w:color="auto"/>
                    <w:bottom w:val="none" w:sz="0" w:space="0" w:color="auto"/>
                    <w:right w:val="none" w:sz="0" w:space="0" w:color="auto"/>
                  </w:divBdr>
                  <w:divsChild>
                    <w:div w:id="1619294740">
                      <w:marLeft w:val="0"/>
                      <w:marRight w:val="0"/>
                      <w:marTop w:val="0"/>
                      <w:marBottom w:val="0"/>
                      <w:divBdr>
                        <w:top w:val="none" w:sz="0" w:space="0" w:color="auto"/>
                        <w:left w:val="none" w:sz="0" w:space="0" w:color="auto"/>
                        <w:bottom w:val="none" w:sz="0" w:space="0" w:color="auto"/>
                        <w:right w:val="none" w:sz="0" w:space="0" w:color="auto"/>
                      </w:divBdr>
                    </w:div>
                  </w:divsChild>
                </w:div>
                <w:div w:id="562713612">
                  <w:marLeft w:val="0"/>
                  <w:marRight w:val="0"/>
                  <w:marTop w:val="0"/>
                  <w:marBottom w:val="0"/>
                  <w:divBdr>
                    <w:top w:val="none" w:sz="0" w:space="0" w:color="auto"/>
                    <w:left w:val="none" w:sz="0" w:space="0" w:color="auto"/>
                    <w:bottom w:val="none" w:sz="0" w:space="0" w:color="auto"/>
                    <w:right w:val="none" w:sz="0" w:space="0" w:color="auto"/>
                  </w:divBdr>
                  <w:divsChild>
                    <w:div w:id="629015910">
                      <w:marLeft w:val="0"/>
                      <w:marRight w:val="0"/>
                      <w:marTop w:val="0"/>
                      <w:marBottom w:val="0"/>
                      <w:divBdr>
                        <w:top w:val="none" w:sz="0" w:space="0" w:color="auto"/>
                        <w:left w:val="none" w:sz="0" w:space="0" w:color="auto"/>
                        <w:bottom w:val="none" w:sz="0" w:space="0" w:color="auto"/>
                        <w:right w:val="none" w:sz="0" w:space="0" w:color="auto"/>
                      </w:divBdr>
                    </w:div>
                  </w:divsChild>
                </w:div>
                <w:div w:id="665329875">
                  <w:marLeft w:val="0"/>
                  <w:marRight w:val="0"/>
                  <w:marTop w:val="0"/>
                  <w:marBottom w:val="0"/>
                  <w:divBdr>
                    <w:top w:val="none" w:sz="0" w:space="0" w:color="auto"/>
                    <w:left w:val="none" w:sz="0" w:space="0" w:color="auto"/>
                    <w:bottom w:val="none" w:sz="0" w:space="0" w:color="auto"/>
                    <w:right w:val="none" w:sz="0" w:space="0" w:color="auto"/>
                  </w:divBdr>
                  <w:divsChild>
                    <w:div w:id="901521745">
                      <w:marLeft w:val="0"/>
                      <w:marRight w:val="0"/>
                      <w:marTop w:val="0"/>
                      <w:marBottom w:val="0"/>
                      <w:divBdr>
                        <w:top w:val="none" w:sz="0" w:space="0" w:color="auto"/>
                        <w:left w:val="none" w:sz="0" w:space="0" w:color="auto"/>
                        <w:bottom w:val="none" w:sz="0" w:space="0" w:color="auto"/>
                        <w:right w:val="none" w:sz="0" w:space="0" w:color="auto"/>
                      </w:divBdr>
                    </w:div>
                  </w:divsChild>
                </w:div>
                <w:div w:id="1060321422">
                  <w:marLeft w:val="0"/>
                  <w:marRight w:val="0"/>
                  <w:marTop w:val="0"/>
                  <w:marBottom w:val="0"/>
                  <w:divBdr>
                    <w:top w:val="none" w:sz="0" w:space="0" w:color="auto"/>
                    <w:left w:val="none" w:sz="0" w:space="0" w:color="auto"/>
                    <w:bottom w:val="none" w:sz="0" w:space="0" w:color="auto"/>
                    <w:right w:val="none" w:sz="0" w:space="0" w:color="auto"/>
                  </w:divBdr>
                  <w:divsChild>
                    <w:div w:id="1712530636">
                      <w:marLeft w:val="0"/>
                      <w:marRight w:val="0"/>
                      <w:marTop w:val="0"/>
                      <w:marBottom w:val="0"/>
                      <w:divBdr>
                        <w:top w:val="none" w:sz="0" w:space="0" w:color="auto"/>
                        <w:left w:val="none" w:sz="0" w:space="0" w:color="auto"/>
                        <w:bottom w:val="none" w:sz="0" w:space="0" w:color="auto"/>
                        <w:right w:val="none" w:sz="0" w:space="0" w:color="auto"/>
                      </w:divBdr>
                    </w:div>
                  </w:divsChild>
                </w:div>
                <w:div w:id="1097559027">
                  <w:marLeft w:val="0"/>
                  <w:marRight w:val="0"/>
                  <w:marTop w:val="0"/>
                  <w:marBottom w:val="0"/>
                  <w:divBdr>
                    <w:top w:val="none" w:sz="0" w:space="0" w:color="auto"/>
                    <w:left w:val="none" w:sz="0" w:space="0" w:color="auto"/>
                    <w:bottom w:val="none" w:sz="0" w:space="0" w:color="auto"/>
                    <w:right w:val="none" w:sz="0" w:space="0" w:color="auto"/>
                  </w:divBdr>
                  <w:divsChild>
                    <w:div w:id="1437798096">
                      <w:marLeft w:val="0"/>
                      <w:marRight w:val="0"/>
                      <w:marTop w:val="0"/>
                      <w:marBottom w:val="0"/>
                      <w:divBdr>
                        <w:top w:val="none" w:sz="0" w:space="0" w:color="auto"/>
                        <w:left w:val="none" w:sz="0" w:space="0" w:color="auto"/>
                        <w:bottom w:val="none" w:sz="0" w:space="0" w:color="auto"/>
                        <w:right w:val="none" w:sz="0" w:space="0" w:color="auto"/>
                      </w:divBdr>
                    </w:div>
                  </w:divsChild>
                </w:div>
                <w:div w:id="1154293074">
                  <w:marLeft w:val="0"/>
                  <w:marRight w:val="0"/>
                  <w:marTop w:val="0"/>
                  <w:marBottom w:val="0"/>
                  <w:divBdr>
                    <w:top w:val="none" w:sz="0" w:space="0" w:color="auto"/>
                    <w:left w:val="none" w:sz="0" w:space="0" w:color="auto"/>
                    <w:bottom w:val="none" w:sz="0" w:space="0" w:color="auto"/>
                    <w:right w:val="none" w:sz="0" w:space="0" w:color="auto"/>
                  </w:divBdr>
                  <w:divsChild>
                    <w:div w:id="904222177">
                      <w:marLeft w:val="0"/>
                      <w:marRight w:val="0"/>
                      <w:marTop w:val="0"/>
                      <w:marBottom w:val="0"/>
                      <w:divBdr>
                        <w:top w:val="none" w:sz="0" w:space="0" w:color="auto"/>
                        <w:left w:val="none" w:sz="0" w:space="0" w:color="auto"/>
                        <w:bottom w:val="none" w:sz="0" w:space="0" w:color="auto"/>
                        <w:right w:val="none" w:sz="0" w:space="0" w:color="auto"/>
                      </w:divBdr>
                    </w:div>
                  </w:divsChild>
                </w:div>
                <w:div w:id="1363898338">
                  <w:marLeft w:val="0"/>
                  <w:marRight w:val="0"/>
                  <w:marTop w:val="0"/>
                  <w:marBottom w:val="0"/>
                  <w:divBdr>
                    <w:top w:val="none" w:sz="0" w:space="0" w:color="auto"/>
                    <w:left w:val="none" w:sz="0" w:space="0" w:color="auto"/>
                    <w:bottom w:val="none" w:sz="0" w:space="0" w:color="auto"/>
                    <w:right w:val="none" w:sz="0" w:space="0" w:color="auto"/>
                  </w:divBdr>
                  <w:divsChild>
                    <w:div w:id="1588686097">
                      <w:marLeft w:val="0"/>
                      <w:marRight w:val="0"/>
                      <w:marTop w:val="0"/>
                      <w:marBottom w:val="0"/>
                      <w:divBdr>
                        <w:top w:val="none" w:sz="0" w:space="0" w:color="auto"/>
                        <w:left w:val="none" w:sz="0" w:space="0" w:color="auto"/>
                        <w:bottom w:val="none" w:sz="0" w:space="0" w:color="auto"/>
                        <w:right w:val="none" w:sz="0" w:space="0" w:color="auto"/>
                      </w:divBdr>
                    </w:div>
                  </w:divsChild>
                </w:div>
                <w:div w:id="1584299899">
                  <w:marLeft w:val="0"/>
                  <w:marRight w:val="0"/>
                  <w:marTop w:val="0"/>
                  <w:marBottom w:val="0"/>
                  <w:divBdr>
                    <w:top w:val="none" w:sz="0" w:space="0" w:color="auto"/>
                    <w:left w:val="none" w:sz="0" w:space="0" w:color="auto"/>
                    <w:bottom w:val="none" w:sz="0" w:space="0" w:color="auto"/>
                    <w:right w:val="none" w:sz="0" w:space="0" w:color="auto"/>
                  </w:divBdr>
                  <w:divsChild>
                    <w:div w:id="1405254073">
                      <w:marLeft w:val="0"/>
                      <w:marRight w:val="0"/>
                      <w:marTop w:val="0"/>
                      <w:marBottom w:val="0"/>
                      <w:divBdr>
                        <w:top w:val="none" w:sz="0" w:space="0" w:color="auto"/>
                        <w:left w:val="none" w:sz="0" w:space="0" w:color="auto"/>
                        <w:bottom w:val="none" w:sz="0" w:space="0" w:color="auto"/>
                        <w:right w:val="none" w:sz="0" w:space="0" w:color="auto"/>
                      </w:divBdr>
                    </w:div>
                  </w:divsChild>
                </w:div>
                <w:div w:id="1714888501">
                  <w:marLeft w:val="0"/>
                  <w:marRight w:val="0"/>
                  <w:marTop w:val="0"/>
                  <w:marBottom w:val="0"/>
                  <w:divBdr>
                    <w:top w:val="none" w:sz="0" w:space="0" w:color="auto"/>
                    <w:left w:val="none" w:sz="0" w:space="0" w:color="auto"/>
                    <w:bottom w:val="none" w:sz="0" w:space="0" w:color="auto"/>
                    <w:right w:val="none" w:sz="0" w:space="0" w:color="auto"/>
                  </w:divBdr>
                  <w:divsChild>
                    <w:div w:id="2043091045">
                      <w:marLeft w:val="0"/>
                      <w:marRight w:val="0"/>
                      <w:marTop w:val="0"/>
                      <w:marBottom w:val="0"/>
                      <w:divBdr>
                        <w:top w:val="none" w:sz="0" w:space="0" w:color="auto"/>
                        <w:left w:val="none" w:sz="0" w:space="0" w:color="auto"/>
                        <w:bottom w:val="none" w:sz="0" w:space="0" w:color="auto"/>
                        <w:right w:val="none" w:sz="0" w:space="0" w:color="auto"/>
                      </w:divBdr>
                    </w:div>
                  </w:divsChild>
                </w:div>
                <w:div w:id="1870484488">
                  <w:marLeft w:val="0"/>
                  <w:marRight w:val="0"/>
                  <w:marTop w:val="0"/>
                  <w:marBottom w:val="0"/>
                  <w:divBdr>
                    <w:top w:val="none" w:sz="0" w:space="0" w:color="auto"/>
                    <w:left w:val="none" w:sz="0" w:space="0" w:color="auto"/>
                    <w:bottom w:val="none" w:sz="0" w:space="0" w:color="auto"/>
                    <w:right w:val="none" w:sz="0" w:space="0" w:color="auto"/>
                  </w:divBdr>
                  <w:divsChild>
                    <w:div w:id="54670105">
                      <w:marLeft w:val="0"/>
                      <w:marRight w:val="0"/>
                      <w:marTop w:val="0"/>
                      <w:marBottom w:val="0"/>
                      <w:divBdr>
                        <w:top w:val="none" w:sz="0" w:space="0" w:color="auto"/>
                        <w:left w:val="none" w:sz="0" w:space="0" w:color="auto"/>
                        <w:bottom w:val="none" w:sz="0" w:space="0" w:color="auto"/>
                        <w:right w:val="none" w:sz="0" w:space="0" w:color="auto"/>
                      </w:divBdr>
                    </w:div>
                  </w:divsChild>
                </w:div>
                <w:div w:id="1983386471">
                  <w:marLeft w:val="0"/>
                  <w:marRight w:val="0"/>
                  <w:marTop w:val="0"/>
                  <w:marBottom w:val="0"/>
                  <w:divBdr>
                    <w:top w:val="none" w:sz="0" w:space="0" w:color="auto"/>
                    <w:left w:val="none" w:sz="0" w:space="0" w:color="auto"/>
                    <w:bottom w:val="none" w:sz="0" w:space="0" w:color="auto"/>
                    <w:right w:val="none" w:sz="0" w:space="0" w:color="auto"/>
                  </w:divBdr>
                  <w:divsChild>
                    <w:div w:id="19264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90858">
          <w:marLeft w:val="0"/>
          <w:marRight w:val="0"/>
          <w:marTop w:val="0"/>
          <w:marBottom w:val="0"/>
          <w:divBdr>
            <w:top w:val="none" w:sz="0" w:space="0" w:color="auto"/>
            <w:left w:val="none" w:sz="0" w:space="0" w:color="auto"/>
            <w:bottom w:val="none" w:sz="0" w:space="0" w:color="auto"/>
            <w:right w:val="none" w:sz="0" w:space="0" w:color="auto"/>
          </w:divBdr>
          <w:divsChild>
            <w:div w:id="1791438520">
              <w:marLeft w:val="-75"/>
              <w:marRight w:val="0"/>
              <w:marTop w:val="30"/>
              <w:marBottom w:val="30"/>
              <w:divBdr>
                <w:top w:val="none" w:sz="0" w:space="0" w:color="auto"/>
                <w:left w:val="none" w:sz="0" w:space="0" w:color="auto"/>
                <w:bottom w:val="none" w:sz="0" w:space="0" w:color="auto"/>
                <w:right w:val="none" w:sz="0" w:space="0" w:color="auto"/>
              </w:divBdr>
              <w:divsChild>
                <w:div w:id="4864888">
                  <w:marLeft w:val="0"/>
                  <w:marRight w:val="0"/>
                  <w:marTop w:val="0"/>
                  <w:marBottom w:val="0"/>
                  <w:divBdr>
                    <w:top w:val="none" w:sz="0" w:space="0" w:color="auto"/>
                    <w:left w:val="none" w:sz="0" w:space="0" w:color="auto"/>
                    <w:bottom w:val="none" w:sz="0" w:space="0" w:color="auto"/>
                    <w:right w:val="none" w:sz="0" w:space="0" w:color="auto"/>
                  </w:divBdr>
                  <w:divsChild>
                    <w:div w:id="1047874228">
                      <w:marLeft w:val="0"/>
                      <w:marRight w:val="0"/>
                      <w:marTop w:val="0"/>
                      <w:marBottom w:val="0"/>
                      <w:divBdr>
                        <w:top w:val="none" w:sz="0" w:space="0" w:color="auto"/>
                        <w:left w:val="none" w:sz="0" w:space="0" w:color="auto"/>
                        <w:bottom w:val="none" w:sz="0" w:space="0" w:color="auto"/>
                        <w:right w:val="none" w:sz="0" w:space="0" w:color="auto"/>
                      </w:divBdr>
                    </w:div>
                  </w:divsChild>
                </w:div>
                <w:div w:id="9916683">
                  <w:marLeft w:val="0"/>
                  <w:marRight w:val="0"/>
                  <w:marTop w:val="0"/>
                  <w:marBottom w:val="0"/>
                  <w:divBdr>
                    <w:top w:val="none" w:sz="0" w:space="0" w:color="auto"/>
                    <w:left w:val="none" w:sz="0" w:space="0" w:color="auto"/>
                    <w:bottom w:val="none" w:sz="0" w:space="0" w:color="auto"/>
                    <w:right w:val="none" w:sz="0" w:space="0" w:color="auto"/>
                  </w:divBdr>
                  <w:divsChild>
                    <w:div w:id="903030583">
                      <w:marLeft w:val="0"/>
                      <w:marRight w:val="0"/>
                      <w:marTop w:val="0"/>
                      <w:marBottom w:val="0"/>
                      <w:divBdr>
                        <w:top w:val="none" w:sz="0" w:space="0" w:color="auto"/>
                        <w:left w:val="none" w:sz="0" w:space="0" w:color="auto"/>
                        <w:bottom w:val="none" w:sz="0" w:space="0" w:color="auto"/>
                        <w:right w:val="none" w:sz="0" w:space="0" w:color="auto"/>
                      </w:divBdr>
                    </w:div>
                  </w:divsChild>
                </w:div>
                <w:div w:id="12614610">
                  <w:marLeft w:val="0"/>
                  <w:marRight w:val="0"/>
                  <w:marTop w:val="0"/>
                  <w:marBottom w:val="0"/>
                  <w:divBdr>
                    <w:top w:val="none" w:sz="0" w:space="0" w:color="auto"/>
                    <w:left w:val="none" w:sz="0" w:space="0" w:color="auto"/>
                    <w:bottom w:val="none" w:sz="0" w:space="0" w:color="auto"/>
                    <w:right w:val="none" w:sz="0" w:space="0" w:color="auto"/>
                  </w:divBdr>
                  <w:divsChild>
                    <w:div w:id="1539126969">
                      <w:marLeft w:val="0"/>
                      <w:marRight w:val="0"/>
                      <w:marTop w:val="0"/>
                      <w:marBottom w:val="0"/>
                      <w:divBdr>
                        <w:top w:val="none" w:sz="0" w:space="0" w:color="auto"/>
                        <w:left w:val="none" w:sz="0" w:space="0" w:color="auto"/>
                        <w:bottom w:val="none" w:sz="0" w:space="0" w:color="auto"/>
                        <w:right w:val="none" w:sz="0" w:space="0" w:color="auto"/>
                      </w:divBdr>
                    </w:div>
                  </w:divsChild>
                </w:div>
                <w:div w:id="58528951">
                  <w:marLeft w:val="0"/>
                  <w:marRight w:val="0"/>
                  <w:marTop w:val="0"/>
                  <w:marBottom w:val="0"/>
                  <w:divBdr>
                    <w:top w:val="none" w:sz="0" w:space="0" w:color="auto"/>
                    <w:left w:val="none" w:sz="0" w:space="0" w:color="auto"/>
                    <w:bottom w:val="none" w:sz="0" w:space="0" w:color="auto"/>
                    <w:right w:val="none" w:sz="0" w:space="0" w:color="auto"/>
                  </w:divBdr>
                  <w:divsChild>
                    <w:div w:id="128280563">
                      <w:marLeft w:val="0"/>
                      <w:marRight w:val="0"/>
                      <w:marTop w:val="0"/>
                      <w:marBottom w:val="0"/>
                      <w:divBdr>
                        <w:top w:val="none" w:sz="0" w:space="0" w:color="auto"/>
                        <w:left w:val="none" w:sz="0" w:space="0" w:color="auto"/>
                        <w:bottom w:val="none" w:sz="0" w:space="0" w:color="auto"/>
                        <w:right w:val="none" w:sz="0" w:space="0" w:color="auto"/>
                      </w:divBdr>
                    </w:div>
                  </w:divsChild>
                </w:div>
                <w:div w:id="78717344">
                  <w:marLeft w:val="0"/>
                  <w:marRight w:val="0"/>
                  <w:marTop w:val="0"/>
                  <w:marBottom w:val="0"/>
                  <w:divBdr>
                    <w:top w:val="none" w:sz="0" w:space="0" w:color="auto"/>
                    <w:left w:val="none" w:sz="0" w:space="0" w:color="auto"/>
                    <w:bottom w:val="none" w:sz="0" w:space="0" w:color="auto"/>
                    <w:right w:val="none" w:sz="0" w:space="0" w:color="auto"/>
                  </w:divBdr>
                  <w:divsChild>
                    <w:div w:id="785583462">
                      <w:marLeft w:val="0"/>
                      <w:marRight w:val="0"/>
                      <w:marTop w:val="0"/>
                      <w:marBottom w:val="0"/>
                      <w:divBdr>
                        <w:top w:val="none" w:sz="0" w:space="0" w:color="auto"/>
                        <w:left w:val="none" w:sz="0" w:space="0" w:color="auto"/>
                        <w:bottom w:val="none" w:sz="0" w:space="0" w:color="auto"/>
                        <w:right w:val="none" w:sz="0" w:space="0" w:color="auto"/>
                      </w:divBdr>
                    </w:div>
                  </w:divsChild>
                </w:div>
                <w:div w:id="116724613">
                  <w:marLeft w:val="0"/>
                  <w:marRight w:val="0"/>
                  <w:marTop w:val="0"/>
                  <w:marBottom w:val="0"/>
                  <w:divBdr>
                    <w:top w:val="none" w:sz="0" w:space="0" w:color="auto"/>
                    <w:left w:val="none" w:sz="0" w:space="0" w:color="auto"/>
                    <w:bottom w:val="none" w:sz="0" w:space="0" w:color="auto"/>
                    <w:right w:val="none" w:sz="0" w:space="0" w:color="auto"/>
                  </w:divBdr>
                  <w:divsChild>
                    <w:div w:id="1022705138">
                      <w:marLeft w:val="0"/>
                      <w:marRight w:val="0"/>
                      <w:marTop w:val="0"/>
                      <w:marBottom w:val="0"/>
                      <w:divBdr>
                        <w:top w:val="none" w:sz="0" w:space="0" w:color="auto"/>
                        <w:left w:val="none" w:sz="0" w:space="0" w:color="auto"/>
                        <w:bottom w:val="none" w:sz="0" w:space="0" w:color="auto"/>
                        <w:right w:val="none" w:sz="0" w:space="0" w:color="auto"/>
                      </w:divBdr>
                    </w:div>
                  </w:divsChild>
                </w:div>
                <w:div w:id="133839271">
                  <w:marLeft w:val="0"/>
                  <w:marRight w:val="0"/>
                  <w:marTop w:val="0"/>
                  <w:marBottom w:val="0"/>
                  <w:divBdr>
                    <w:top w:val="none" w:sz="0" w:space="0" w:color="auto"/>
                    <w:left w:val="none" w:sz="0" w:space="0" w:color="auto"/>
                    <w:bottom w:val="none" w:sz="0" w:space="0" w:color="auto"/>
                    <w:right w:val="none" w:sz="0" w:space="0" w:color="auto"/>
                  </w:divBdr>
                  <w:divsChild>
                    <w:div w:id="1650867668">
                      <w:marLeft w:val="0"/>
                      <w:marRight w:val="0"/>
                      <w:marTop w:val="0"/>
                      <w:marBottom w:val="0"/>
                      <w:divBdr>
                        <w:top w:val="none" w:sz="0" w:space="0" w:color="auto"/>
                        <w:left w:val="none" w:sz="0" w:space="0" w:color="auto"/>
                        <w:bottom w:val="none" w:sz="0" w:space="0" w:color="auto"/>
                        <w:right w:val="none" w:sz="0" w:space="0" w:color="auto"/>
                      </w:divBdr>
                    </w:div>
                  </w:divsChild>
                </w:div>
                <w:div w:id="202325553">
                  <w:marLeft w:val="0"/>
                  <w:marRight w:val="0"/>
                  <w:marTop w:val="0"/>
                  <w:marBottom w:val="0"/>
                  <w:divBdr>
                    <w:top w:val="none" w:sz="0" w:space="0" w:color="auto"/>
                    <w:left w:val="none" w:sz="0" w:space="0" w:color="auto"/>
                    <w:bottom w:val="none" w:sz="0" w:space="0" w:color="auto"/>
                    <w:right w:val="none" w:sz="0" w:space="0" w:color="auto"/>
                  </w:divBdr>
                  <w:divsChild>
                    <w:div w:id="814613748">
                      <w:marLeft w:val="0"/>
                      <w:marRight w:val="0"/>
                      <w:marTop w:val="0"/>
                      <w:marBottom w:val="0"/>
                      <w:divBdr>
                        <w:top w:val="none" w:sz="0" w:space="0" w:color="auto"/>
                        <w:left w:val="none" w:sz="0" w:space="0" w:color="auto"/>
                        <w:bottom w:val="none" w:sz="0" w:space="0" w:color="auto"/>
                        <w:right w:val="none" w:sz="0" w:space="0" w:color="auto"/>
                      </w:divBdr>
                    </w:div>
                  </w:divsChild>
                </w:div>
                <w:div w:id="212277568">
                  <w:marLeft w:val="0"/>
                  <w:marRight w:val="0"/>
                  <w:marTop w:val="0"/>
                  <w:marBottom w:val="0"/>
                  <w:divBdr>
                    <w:top w:val="none" w:sz="0" w:space="0" w:color="auto"/>
                    <w:left w:val="none" w:sz="0" w:space="0" w:color="auto"/>
                    <w:bottom w:val="none" w:sz="0" w:space="0" w:color="auto"/>
                    <w:right w:val="none" w:sz="0" w:space="0" w:color="auto"/>
                  </w:divBdr>
                  <w:divsChild>
                    <w:div w:id="1646660726">
                      <w:marLeft w:val="0"/>
                      <w:marRight w:val="0"/>
                      <w:marTop w:val="0"/>
                      <w:marBottom w:val="0"/>
                      <w:divBdr>
                        <w:top w:val="none" w:sz="0" w:space="0" w:color="auto"/>
                        <w:left w:val="none" w:sz="0" w:space="0" w:color="auto"/>
                        <w:bottom w:val="none" w:sz="0" w:space="0" w:color="auto"/>
                        <w:right w:val="none" w:sz="0" w:space="0" w:color="auto"/>
                      </w:divBdr>
                    </w:div>
                  </w:divsChild>
                </w:div>
                <w:div w:id="321592765">
                  <w:marLeft w:val="0"/>
                  <w:marRight w:val="0"/>
                  <w:marTop w:val="0"/>
                  <w:marBottom w:val="0"/>
                  <w:divBdr>
                    <w:top w:val="none" w:sz="0" w:space="0" w:color="auto"/>
                    <w:left w:val="none" w:sz="0" w:space="0" w:color="auto"/>
                    <w:bottom w:val="none" w:sz="0" w:space="0" w:color="auto"/>
                    <w:right w:val="none" w:sz="0" w:space="0" w:color="auto"/>
                  </w:divBdr>
                  <w:divsChild>
                    <w:div w:id="1777555900">
                      <w:marLeft w:val="0"/>
                      <w:marRight w:val="0"/>
                      <w:marTop w:val="0"/>
                      <w:marBottom w:val="0"/>
                      <w:divBdr>
                        <w:top w:val="none" w:sz="0" w:space="0" w:color="auto"/>
                        <w:left w:val="none" w:sz="0" w:space="0" w:color="auto"/>
                        <w:bottom w:val="none" w:sz="0" w:space="0" w:color="auto"/>
                        <w:right w:val="none" w:sz="0" w:space="0" w:color="auto"/>
                      </w:divBdr>
                    </w:div>
                  </w:divsChild>
                </w:div>
                <w:div w:id="354502744">
                  <w:marLeft w:val="0"/>
                  <w:marRight w:val="0"/>
                  <w:marTop w:val="0"/>
                  <w:marBottom w:val="0"/>
                  <w:divBdr>
                    <w:top w:val="none" w:sz="0" w:space="0" w:color="auto"/>
                    <w:left w:val="none" w:sz="0" w:space="0" w:color="auto"/>
                    <w:bottom w:val="none" w:sz="0" w:space="0" w:color="auto"/>
                    <w:right w:val="none" w:sz="0" w:space="0" w:color="auto"/>
                  </w:divBdr>
                  <w:divsChild>
                    <w:div w:id="760416150">
                      <w:marLeft w:val="0"/>
                      <w:marRight w:val="0"/>
                      <w:marTop w:val="0"/>
                      <w:marBottom w:val="0"/>
                      <w:divBdr>
                        <w:top w:val="none" w:sz="0" w:space="0" w:color="auto"/>
                        <w:left w:val="none" w:sz="0" w:space="0" w:color="auto"/>
                        <w:bottom w:val="none" w:sz="0" w:space="0" w:color="auto"/>
                        <w:right w:val="none" w:sz="0" w:space="0" w:color="auto"/>
                      </w:divBdr>
                    </w:div>
                  </w:divsChild>
                </w:div>
                <w:div w:id="356857905">
                  <w:marLeft w:val="0"/>
                  <w:marRight w:val="0"/>
                  <w:marTop w:val="0"/>
                  <w:marBottom w:val="0"/>
                  <w:divBdr>
                    <w:top w:val="none" w:sz="0" w:space="0" w:color="auto"/>
                    <w:left w:val="none" w:sz="0" w:space="0" w:color="auto"/>
                    <w:bottom w:val="none" w:sz="0" w:space="0" w:color="auto"/>
                    <w:right w:val="none" w:sz="0" w:space="0" w:color="auto"/>
                  </w:divBdr>
                  <w:divsChild>
                    <w:div w:id="980114008">
                      <w:marLeft w:val="0"/>
                      <w:marRight w:val="0"/>
                      <w:marTop w:val="0"/>
                      <w:marBottom w:val="0"/>
                      <w:divBdr>
                        <w:top w:val="none" w:sz="0" w:space="0" w:color="auto"/>
                        <w:left w:val="none" w:sz="0" w:space="0" w:color="auto"/>
                        <w:bottom w:val="none" w:sz="0" w:space="0" w:color="auto"/>
                        <w:right w:val="none" w:sz="0" w:space="0" w:color="auto"/>
                      </w:divBdr>
                    </w:div>
                  </w:divsChild>
                </w:div>
                <w:div w:id="431323919">
                  <w:marLeft w:val="0"/>
                  <w:marRight w:val="0"/>
                  <w:marTop w:val="0"/>
                  <w:marBottom w:val="0"/>
                  <w:divBdr>
                    <w:top w:val="none" w:sz="0" w:space="0" w:color="auto"/>
                    <w:left w:val="none" w:sz="0" w:space="0" w:color="auto"/>
                    <w:bottom w:val="none" w:sz="0" w:space="0" w:color="auto"/>
                    <w:right w:val="none" w:sz="0" w:space="0" w:color="auto"/>
                  </w:divBdr>
                  <w:divsChild>
                    <w:div w:id="1072969529">
                      <w:marLeft w:val="0"/>
                      <w:marRight w:val="0"/>
                      <w:marTop w:val="0"/>
                      <w:marBottom w:val="0"/>
                      <w:divBdr>
                        <w:top w:val="none" w:sz="0" w:space="0" w:color="auto"/>
                        <w:left w:val="none" w:sz="0" w:space="0" w:color="auto"/>
                        <w:bottom w:val="none" w:sz="0" w:space="0" w:color="auto"/>
                        <w:right w:val="none" w:sz="0" w:space="0" w:color="auto"/>
                      </w:divBdr>
                    </w:div>
                  </w:divsChild>
                </w:div>
                <w:div w:id="479620718">
                  <w:marLeft w:val="0"/>
                  <w:marRight w:val="0"/>
                  <w:marTop w:val="0"/>
                  <w:marBottom w:val="0"/>
                  <w:divBdr>
                    <w:top w:val="none" w:sz="0" w:space="0" w:color="auto"/>
                    <w:left w:val="none" w:sz="0" w:space="0" w:color="auto"/>
                    <w:bottom w:val="none" w:sz="0" w:space="0" w:color="auto"/>
                    <w:right w:val="none" w:sz="0" w:space="0" w:color="auto"/>
                  </w:divBdr>
                  <w:divsChild>
                    <w:div w:id="1989936606">
                      <w:marLeft w:val="0"/>
                      <w:marRight w:val="0"/>
                      <w:marTop w:val="0"/>
                      <w:marBottom w:val="0"/>
                      <w:divBdr>
                        <w:top w:val="none" w:sz="0" w:space="0" w:color="auto"/>
                        <w:left w:val="none" w:sz="0" w:space="0" w:color="auto"/>
                        <w:bottom w:val="none" w:sz="0" w:space="0" w:color="auto"/>
                        <w:right w:val="none" w:sz="0" w:space="0" w:color="auto"/>
                      </w:divBdr>
                    </w:div>
                  </w:divsChild>
                </w:div>
                <w:div w:id="496382331">
                  <w:marLeft w:val="0"/>
                  <w:marRight w:val="0"/>
                  <w:marTop w:val="0"/>
                  <w:marBottom w:val="0"/>
                  <w:divBdr>
                    <w:top w:val="none" w:sz="0" w:space="0" w:color="auto"/>
                    <w:left w:val="none" w:sz="0" w:space="0" w:color="auto"/>
                    <w:bottom w:val="none" w:sz="0" w:space="0" w:color="auto"/>
                    <w:right w:val="none" w:sz="0" w:space="0" w:color="auto"/>
                  </w:divBdr>
                  <w:divsChild>
                    <w:div w:id="268702262">
                      <w:marLeft w:val="0"/>
                      <w:marRight w:val="0"/>
                      <w:marTop w:val="0"/>
                      <w:marBottom w:val="0"/>
                      <w:divBdr>
                        <w:top w:val="none" w:sz="0" w:space="0" w:color="auto"/>
                        <w:left w:val="none" w:sz="0" w:space="0" w:color="auto"/>
                        <w:bottom w:val="none" w:sz="0" w:space="0" w:color="auto"/>
                        <w:right w:val="none" w:sz="0" w:space="0" w:color="auto"/>
                      </w:divBdr>
                    </w:div>
                  </w:divsChild>
                </w:div>
                <w:div w:id="497884870">
                  <w:marLeft w:val="0"/>
                  <w:marRight w:val="0"/>
                  <w:marTop w:val="0"/>
                  <w:marBottom w:val="0"/>
                  <w:divBdr>
                    <w:top w:val="none" w:sz="0" w:space="0" w:color="auto"/>
                    <w:left w:val="none" w:sz="0" w:space="0" w:color="auto"/>
                    <w:bottom w:val="none" w:sz="0" w:space="0" w:color="auto"/>
                    <w:right w:val="none" w:sz="0" w:space="0" w:color="auto"/>
                  </w:divBdr>
                  <w:divsChild>
                    <w:div w:id="1759516534">
                      <w:marLeft w:val="0"/>
                      <w:marRight w:val="0"/>
                      <w:marTop w:val="0"/>
                      <w:marBottom w:val="0"/>
                      <w:divBdr>
                        <w:top w:val="none" w:sz="0" w:space="0" w:color="auto"/>
                        <w:left w:val="none" w:sz="0" w:space="0" w:color="auto"/>
                        <w:bottom w:val="none" w:sz="0" w:space="0" w:color="auto"/>
                        <w:right w:val="none" w:sz="0" w:space="0" w:color="auto"/>
                      </w:divBdr>
                    </w:div>
                  </w:divsChild>
                </w:div>
                <w:div w:id="508178567">
                  <w:marLeft w:val="0"/>
                  <w:marRight w:val="0"/>
                  <w:marTop w:val="0"/>
                  <w:marBottom w:val="0"/>
                  <w:divBdr>
                    <w:top w:val="none" w:sz="0" w:space="0" w:color="auto"/>
                    <w:left w:val="none" w:sz="0" w:space="0" w:color="auto"/>
                    <w:bottom w:val="none" w:sz="0" w:space="0" w:color="auto"/>
                    <w:right w:val="none" w:sz="0" w:space="0" w:color="auto"/>
                  </w:divBdr>
                  <w:divsChild>
                    <w:div w:id="1499150801">
                      <w:marLeft w:val="0"/>
                      <w:marRight w:val="0"/>
                      <w:marTop w:val="0"/>
                      <w:marBottom w:val="0"/>
                      <w:divBdr>
                        <w:top w:val="none" w:sz="0" w:space="0" w:color="auto"/>
                        <w:left w:val="none" w:sz="0" w:space="0" w:color="auto"/>
                        <w:bottom w:val="none" w:sz="0" w:space="0" w:color="auto"/>
                        <w:right w:val="none" w:sz="0" w:space="0" w:color="auto"/>
                      </w:divBdr>
                    </w:div>
                  </w:divsChild>
                </w:div>
                <w:div w:id="508451365">
                  <w:marLeft w:val="0"/>
                  <w:marRight w:val="0"/>
                  <w:marTop w:val="0"/>
                  <w:marBottom w:val="0"/>
                  <w:divBdr>
                    <w:top w:val="none" w:sz="0" w:space="0" w:color="auto"/>
                    <w:left w:val="none" w:sz="0" w:space="0" w:color="auto"/>
                    <w:bottom w:val="none" w:sz="0" w:space="0" w:color="auto"/>
                    <w:right w:val="none" w:sz="0" w:space="0" w:color="auto"/>
                  </w:divBdr>
                  <w:divsChild>
                    <w:div w:id="304939119">
                      <w:marLeft w:val="0"/>
                      <w:marRight w:val="0"/>
                      <w:marTop w:val="0"/>
                      <w:marBottom w:val="0"/>
                      <w:divBdr>
                        <w:top w:val="none" w:sz="0" w:space="0" w:color="auto"/>
                        <w:left w:val="none" w:sz="0" w:space="0" w:color="auto"/>
                        <w:bottom w:val="none" w:sz="0" w:space="0" w:color="auto"/>
                        <w:right w:val="none" w:sz="0" w:space="0" w:color="auto"/>
                      </w:divBdr>
                    </w:div>
                  </w:divsChild>
                </w:div>
                <w:div w:id="564680741">
                  <w:marLeft w:val="0"/>
                  <w:marRight w:val="0"/>
                  <w:marTop w:val="0"/>
                  <w:marBottom w:val="0"/>
                  <w:divBdr>
                    <w:top w:val="none" w:sz="0" w:space="0" w:color="auto"/>
                    <w:left w:val="none" w:sz="0" w:space="0" w:color="auto"/>
                    <w:bottom w:val="none" w:sz="0" w:space="0" w:color="auto"/>
                    <w:right w:val="none" w:sz="0" w:space="0" w:color="auto"/>
                  </w:divBdr>
                  <w:divsChild>
                    <w:div w:id="1569874581">
                      <w:marLeft w:val="0"/>
                      <w:marRight w:val="0"/>
                      <w:marTop w:val="0"/>
                      <w:marBottom w:val="0"/>
                      <w:divBdr>
                        <w:top w:val="none" w:sz="0" w:space="0" w:color="auto"/>
                        <w:left w:val="none" w:sz="0" w:space="0" w:color="auto"/>
                        <w:bottom w:val="none" w:sz="0" w:space="0" w:color="auto"/>
                        <w:right w:val="none" w:sz="0" w:space="0" w:color="auto"/>
                      </w:divBdr>
                    </w:div>
                  </w:divsChild>
                </w:div>
                <w:div w:id="598637204">
                  <w:marLeft w:val="0"/>
                  <w:marRight w:val="0"/>
                  <w:marTop w:val="0"/>
                  <w:marBottom w:val="0"/>
                  <w:divBdr>
                    <w:top w:val="none" w:sz="0" w:space="0" w:color="auto"/>
                    <w:left w:val="none" w:sz="0" w:space="0" w:color="auto"/>
                    <w:bottom w:val="none" w:sz="0" w:space="0" w:color="auto"/>
                    <w:right w:val="none" w:sz="0" w:space="0" w:color="auto"/>
                  </w:divBdr>
                  <w:divsChild>
                    <w:div w:id="2056813617">
                      <w:marLeft w:val="0"/>
                      <w:marRight w:val="0"/>
                      <w:marTop w:val="0"/>
                      <w:marBottom w:val="0"/>
                      <w:divBdr>
                        <w:top w:val="none" w:sz="0" w:space="0" w:color="auto"/>
                        <w:left w:val="none" w:sz="0" w:space="0" w:color="auto"/>
                        <w:bottom w:val="none" w:sz="0" w:space="0" w:color="auto"/>
                        <w:right w:val="none" w:sz="0" w:space="0" w:color="auto"/>
                      </w:divBdr>
                    </w:div>
                  </w:divsChild>
                </w:div>
                <w:div w:id="655229956">
                  <w:marLeft w:val="0"/>
                  <w:marRight w:val="0"/>
                  <w:marTop w:val="0"/>
                  <w:marBottom w:val="0"/>
                  <w:divBdr>
                    <w:top w:val="none" w:sz="0" w:space="0" w:color="auto"/>
                    <w:left w:val="none" w:sz="0" w:space="0" w:color="auto"/>
                    <w:bottom w:val="none" w:sz="0" w:space="0" w:color="auto"/>
                    <w:right w:val="none" w:sz="0" w:space="0" w:color="auto"/>
                  </w:divBdr>
                  <w:divsChild>
                    <w:div w:id="610165538">
                      <w:marLeft w:val="0"/>
                      <w:marRight w:val="0"/>
                      <w:marTop w:val="0"/>
                      <w:marBottom w:val="0"/>
                      <w:divBdr>
                        <w:top w:val="none" w:sz="0" w:space="0" w:color="auto"/>
                        <w:left w:val="none" w:sz="0" w:space="0" w:color="auto"/>
                        <w:bottom w:val="none" w:sz="0" w:space="0" w:color="auto"/>
                        <w:right w:val="none" w:sz="0" w:space="0" w:color="auto"/>
                      </w:divBdr>
                    </w:div>
                  </w:divsChild>
                </w:div>
                <w:div w:id="669405046">
                  <w:marLeft w:val="0"/>
                  <w:marRight w:val="0"/>
                  <w:marTop w:val="0"/>
                  <w:marBottom w:val="0"/>
                  <w:divBdr>
                    <w:top w:val="none" w:sz="0" w:space="0" w:color="auto"/>
                    <w:left w:val="none" w:sz="0" w:space="0" w:color="auto"/>
                    <w:bottom w:val="none" w:sz="0" w:space="0" w:color="auto"/>
                    <w:right w:val="none" w:sz="0" w:space="0" w:color="auto"/>
                  </w:divBdr>
                  <w:divsChild>
                    <w:div w:id="1922907645">
                      <w:marLeft w:val="0"/>
                      <w:marRight w:val="0"/>
                      <w:marTop w:val="0"/>
                      <w:marBottom w:val="0"/>
                      <w:divBdr>
                        <w:top w:val="none" w:sz="0" w:space="0" w:color="auto"/>
                        <w:left w:val="none" w:sz="0" w:space="0" w:color="auto"/>
                        <w:bottom w:val="none" w:sz="0" w:space="0" w:color="auto"/>
                        <w:right w:val="none" w:sz="0" w:space="0" w:color="auto"/>
                      </w:divBdr>
                    </w:div>
                  </w:divsChild>
                </w:div>
                <w:div w:id="669454200">
                  <w:marLeft w:val="0"/>
                  <w:marRight w:val="0"/>
                  <w:marTop w:val="0"/>
                  <w:marBottom w:val="0"/>
                  <w:divBdr>
                    <w:top w:val="none" w:sz="0" w:space="0" w:color="auto"/>
                    <w:left w:val="none" w:sz="0" w:space="0" w:color="auto"/>
                    <w:bottom w:val="none" w:sz="0" w:space="0" w:color="auto"/>
                    <w:right w:val="none" w:sz="0" w:space="0" w:color="auto"/>
                  </w:divBdr>
                  <w:divsChild>
                    <w:div w:id="1047534355">
                      <w:marLeft w:val="0"/>
                      <w:marRight w:val="0"/>
                      <w:marTop w:val="0"/>
                      <w:marBottom w:val="0"/>
                      <w:divBdr>
                        <w:top w:val="none" w:sz="0" w:space="0" w:color="auto"/>
                        <w:left w:val="none" w:sz="0" w:space="0" w:color="auto"/>
                        <w:bottom w:val="none" w:sz="0" w:space="0" w:color="auto"/>
                        <w:right w:val="none" w:sz="0" w:space="0" w:color="auto"/>
                      </w:divBdr>
                    </w:div>
                  </w:divsChild>
                </w:div>
                <w:div w:id="672340535">
                  <w:marLeft w:val="0"/>
                  <w:marRight w:val="0"/>
                  <w:marTop w:val="0"/>
                  <w:marBottom w:val="0"/>
                  <w:divBdr>
                    <w:top w:val="none" w:sz="0" w:space="0" w:color="auto"/>
                    <w:left w:val="none" w:sz="0" w:space="0" w:color="auto"/>
                    <w:bottom w:val="none" w:sz="0" w:space="0" w:color="auto"/>
                    <w:right w:val="none" w:sz="0" w:space="0" w:color="auto"/>
                  </w:divBdr>
                  <w:divsChild>
                    <w:div w:id="112481070">
                      <w:marLeft w:val="0"/>
                      <w:marRight w:val="0"/>
                      <w:marTop w:val="0"/>
                      <w:marBottom w:val="0"/>
                      <w:divBdr>
                        <w:top w:val="none" w:sz="0" w:space="0" w:color="auto"/>
                        <w:left w:val="none" w:sz="0" w:space="0" w:color="auto"/>
                        <w:bottom w:val="none" w:sz="0" w:space="0" w:color="auto"/>
                        <w:right w:val="none" w:sz="0" w:space="0" w:color="auto"/>
                      </w:divBdr>
                    </w:div>
                  </w:divsChild>
                </w:div>
                <w:div w:id="691613657">
                  <w:marLeft w:val="0"/>
                  <w:marRight w:val="0"/>
                  <w:marTop w:val="0"/>
                  <w:marBottom w:val="0"/>
                  <w:divBdr>
                    <w:top w:val="none" w:sz="0" w:space="0" w:color="auto"/>
                    <w:left w:val="none" w:sz="0" w:space="0" w:color="auto"/>
                    <w:bottom w:val="none" w:sz="0" w:space="0" w:color="auto"/>
                    <w:right w:val="none" w:sz="0" w:space="0" w:color="auto"/>
                  </w:divBdr>
                  <w:divsChild>
                    <w:div w:id="1435127474">
                      <w:marLeft w:val="0"/>
                      <w:marRight w:val="0"/>
                      <w:marTop w:val="0"/>
                      <w:marBottom w:val="0"/>
                      <w:divBdr>
                        <w:top w:val="none" w:sz="0" w:space="0" w:color="auto"/>
                        <w:left w:val="none" w:sz="0" w:space="0" w:color="auto"/>
                        <w:bottom w:val="none" w:sz="0" w:space="0" w:color="auto"/>
                        <w:right w:val="none" w:sz="0" w:space="0" w:color="auto"/>
                      </w:divBdr>
                    </w:div>
                  </w:divsChild>
                </w:div>
                <w:div w:id="694504193">
                  <w:marLeft w:val="0"/>
                  <w:marRight w:val="0"/>
                  <w:marTop w:val="0"/>
                  <w:marBottom w:val="0"/>
                  <w:divBdr>
                    <w:top w:val="none" w:sz="0" w:space="0" w:color="auto"/>
                    <w:left w:val="none" w:sz="0" w:space="0" w:color="auto"/>
                    <w:bottom w:val="none" w:sz="0" w:space="0" w:color="auto"/>
                    <w:right w:val="none" w:sz="0" w:space="0" w:color="auto"/>
                  </w:divBdr>
                  <w:divsChild>
                    <w:div w:id="377095710">
                      <w:marLeft w:val="0"/>
                      <w:marRight w:val="0"/>
                      <w:marTop w:val="0"/>
                      <w:marBottom w:val="0"/>
                      <w:divBdr>
                        <w:top w:val="none" w:sz="0" w:space="0" w:color="auto"/>
                        <w:left w:val="none" w:sz="0" w:space="0" w:color="auto"/>
                        <w:bottom w:val="none" w:sz="0" w:space="0" w:color="auto"/>
                        <w:right w:val="none" w:sz="0" w:space="0" w:color="auto"/>
                      </w:divBdr>
                    </w:div>
                  </w:divsChild>
                </w:div>
                <w:div w:id="753287738">
                  <w:marLeft w:val="0"/>
                  <w:marRight w:val="0"/>
                  <w:marTop w:val="0"/>
                  <w:marBottom w:val="0"/>
                  <w:divBdr>
                    <w:top w:val="none" w:sz="0" w:space="0" w:color="auto"/>
                    <w:left w:val="none" w:sz="0" w:space="0" w:color="auto"/>
                    <w:bottom w:val="none" w:sz="0" w:space="0" w:color="auto"/>
                    <w:right w:val="none" w:sz="0" w:space="0" w:color="auto"/>
                  </w:divBdr>
                  <w:divsChild>
                    <w:div w:id="819273297">
                      <w:marLeft w:val="0"/>
                      <w:marRight w:val="0"/>
                      <w:marTop w:val="0"/>
                      <w:marBottom w:val="0"/>
                      <w:divBdr>
                        <w:top w:val="none" w:sz="0" w:space="0" w:color="auto"/>
                        <w:left w:val="none" w:sz="0" w:space="0" w:color="auto"/>
                        <w:bottom w:val="none" w:sz="0" w:space="0" w:color="auto"/>
                        <w:right w:val="none" w:sz="0" w:space="0" w:color="auto"/>
                      </w:divBdr>
                    </w:div>
                  </w:divsChild>
                </w:div>
                <w:div w:id="755982409">
                  <w:marLeft w:val="0"/>
                  <w:marRight w:val="0"/>
                  <w:marTop w:val="0"/>
                  <w:marBottom w:val="0"/>
                  <w:divBdr>
                    <w:top w:val="none" w:sz="0" w:space="0" w:color="auto"/>
                    <w:left w:val="none" w:sz="0" w:space="0" w:color="auto"/>
                    <w:bottom w:val="none" w:sz="0" w:space="0" w:color="auto"/>
                    <w:right w:val="none" w:sz="0" w:space="0" w:color="auto"/>
                  </w:divBdr>
                  <w:divsChild>
                    <w:div w:id="658920148">
                      <w:marLeft w:val="0"/>
                      <w:marRight w:val="0"/>
                      <w:marTop w:val="0"/>
                      <w:marBottom w:val="0"/>
                      <w:divBdr>
                        <w:top w:val="none" w:sz="0" w:space="0" w:color="auto"/>
                        <w:left w:val="none" w:sz="0" w:space="0" w:color="auto"/>
                        <w:bottom w:val="none" w:sz="0" w:space="0" w:color="auto"/>
                        <w:right w:val="none" w:sz="0" w:space="0" w:color="auto"/>
                      </w:divBdr>
                    </w:div>
                  </w:divsChild>
                </w:div>
                <w:div w:id="777523910">
                  <w:marLeft w:val="0"/>
                  <w:marRight w:val="0"/>
                  <w:marTop w:val="0"/>
                  <w:marBottom w:val="0"/>
                  <w:divBdr>
                    <w:top w:val="none" w:sz="0" w:space="0" w:color="auto"/>
                    <w:left w:val="none" w:sz="0" w:space="0" w:color="auto"/>
                    <w:bottom w:val="none" w:sz="0" w:space="0" w:color="auto"/>
                    <w:right w:val="none" w:sz="0" w:space="0" w:color="auto"/>
                  </w:divBdr>
                  <w:divsChild>
                    <w:div w:id="744299309">
                      <w:marLeft w:val="0"/>
                      <w:marRight w:val="0"/>
                      <w:marTop w:val="0"/>
                      <w:marBottom w:val="0"/>
                      <w:divBdr>
                        <w:top w:val="none" w:sz="0" w:space="0" w:color="auto"/>
                        <w:left w:val="none" w:sz="0" w:space="0" w:color="auto"/>
                        <w:bottom w:val="none" w:sz="0" w:space="0" w:color="auto"/>
                        <w:right w:val="none" w:sz="0" w:space="0" w:color="auto"/>
                      </w:divBdr>
                    </w:div>
                  </w:divsChild>
                </w:div>
                <w:div w:id="786312120">
                  <w:marLeft w:val="0"/>
                  <w:marRight w:val="0"/>
                  <w:marTop w:val="0"/>
                  <w:marBottom w:val="0"/>
                  <w:divBdr>
                    <w:top w:val="none" w:sz="0" w:space="0" w:color="auto"/>
                    <w:left w:val="none" w:sz="0" w:space="0" w:color="auto"/>
                    <w:bottom w:val="none" w:sz="0" w:space="0" w:color="auto"/>
                    <w:right w:val="none" w:sz="0" w:space="0" w:color="auto"/>
                  </w:divBdr>
                  <w:divsChild>
                    <w:div w:id="1090589602">
                      <w:marLeft w:val="0"/>
                      <w:marRight w:val="0"/>
                      <w:marTop w:val="0"/>
                      <w:marBottom w:val="0"/>
                      <w:divBdr>
                        <w:top w:val="none" w:sz="0" w:space="0" w:color="auto"/>
                        <w:left w:val="none" w:sz="0" w:space="0" w:color="auto"/>
                        <w:bottom w:val="none" w:sz="0" w:space="0" w:color="auto"/>
                        <w:right w:val="none" w:sz="0" w:space="0" w:color="auto"/>
                      </w:divBdr>
                    </w:div>
                  </w:divsChild>
                </w:div>
                <w:div w:id="788477704">
                  <w:marLeft w:val="0"/>
                  <w:marRight w:val="0"/>
                  <w:marTop w:val="0"/>
                  <w:marBottom w:val="0"/>
                  <w:divBdr>
                    <w:top w:val="none" w:sz="0" w:space="0" w:color="auto"/>
                    <w:left w:val="none" w:sz="0" w:space="0" w:color="auto"/>
                    <w:bottom w:val="none" w:sz="0" w:space="0" w:color="auto"/>
                    <w:right w:val="none" w:sz="0" w:space="0" w:color="auto"/>
                  </w:divBdr>
                  <w:divsChild>
                    <w:div w:id="2023849777">
                      <w:marLeft w:val="0"/>
                      <w:marRight w:val="0"/>
                      <w:marTop w:val="0"/>
                      <w:marBottom w:val="0"/>
                      <w:divBdr>
                        <w:top w:val="none" w:sz="0" w:space="0" w:color="auto"/>
                        <w:left w:val="none" w:sz="0" w:space="0" w:color="auto"/>
                        <w:bottom w:val="none" w:sz="0" w:space="0" w:color="auto"/>
                        <w:right w:val="none" w:sz="0" w:space="0" w:color="auto"/>
                      </w:divBdr>
                    </w:div>
                  </w:divsChild>
                </w:div>
                <w:div w:id="789125800">
                  <w:marLeft w:val="0"/>
                  <w:marRight w:val="0"/>
                  <w:marTop w:val="0"/>
                  <w:marBottom w:val="0"/>
                  <w:divBdr>
                    <w:top w:val="none" w:sz="0" w:space="0" w:color="auto"/>
                    <w:left w:val="none" w:sz="0" w:space="0" w:color="auto"/>
                    <w:bottom w:val="none" w:sz="0" w:space="0" w:color="auto"/>
                    <w:right w:val="none" w:sz="0" w:space="0" w:color="auto"/>
                  </w:divBdr>
                  <w:divsChild>
                    <w:div w:id="1936746651">
                      <w:marLeft w:val="0"/>
                      <w:marRight w:val="0"/>
                      <w:marTop w:val="0"/>
                      <w:marBottom w:val="0"/>
                      <w:divBdr>
                        <w:top w:val="none" w:sz="0" w:space="0" w:color="auto"/>
                        <w:left w:val="none" w:sz="0" w:space="0" w:color="auto"/>
                        <w:bottom w:val="none" w:sz="0" w:space="0" w:color="auto"/>
                        <w:right w:val="none" w:sz="0" w:space="0" w:color="auto"/>
                      </w:divBdr>
                    </w:div>
                  </w:divsChild>
                </w:div>
                <w:div w:id="846559279">
                  <w:marLeft w:val="0"/>
                  <w:marRight w:val="0"/>
                  <w:marTop w:val="0"/>
                  <w:marBottom w:val="0"/>
                  <w:divBdr>
                    <w:top w:val="none" w:sz="0" w:space="0" w:color="auto"/>
                    <w:left w:val="none" w:sz="0" w:space="0" w:color="auto"/>
                    <w:bottom w:val="none" w:sz="0" w:space="0" w:color="auto"/>
                    <w:right w:val="none" w:sz="0" w:space="0" w:color="auto"/>
                  </w:divBdr>
                  <w:divsChild>
                    <w:div w:id="1913392130">
                      <w:marLeft w:val="0"/>
                      <w:marRight w:val="0"/>
                      <w:marTop w:val="0"/>
                      <w:marBottom w:val="0"/>
                      <w:divBdr>
                        <w:top w:val="none" w:sz="0" w:space="0" w:color="auto"/>
                        <w:left w:val="none" w:sz="0" w:space="0" w:color="auto"/>
                        <w:bottom w:val="none" w:sz="0" w:space="0" w:color="auto"/>
                        <w:right w:val="none" w:sz="0" w:space="0" w:color="auto"/>
                      </w:divBdr>
                    </w:div>
                  </w:divsChild>
                </w:div>
                <w:div w:id="908461557">
                  <w:marLeft w:val="0"/>
                  <w:marRight w:val="0"/>
                  <w:marTop w:val="0"/>
                  <w:marBottom w:val="0"/>
                  <w:divBdr>
                    <w:top w:val="none" w:sz="0" w:space="0" w:color="auto"/>
                    <w:left w:val="none" w:sz="0" w:space="0" w:color="auto"/>
                    <w:bottom w:val="none" w:sz="0" w:space="0" w:color="auto"/>
                    <w:right w:val="none" w:sz="0" w:space="0" w:color="auto"/>
                  </w:divBdr>
                  <w:divsChild>
                    <w:div w:id="1490054350">
                      <w:marLeft w:val="0"/>
                      <w:marRight w:val="0"/>
                      <w:marTop w:val="0"/>
                      <w:marBottom w:val="0"/>
                      <w:divBdr>
                        <w:top w:val="none" w:sz="0" w:space="0" w:color="auto"/>
                        <w:left w:val="none" w:sz="0" w:space="0" w:color="auto"/>
                        <w:bottom w:val="none" w:sz="0" w:space="0" w:color="auto"/>
                        <w:right w:val="none" w:sz="0" w:space="0" w:color="auto"/>
                      </w:divBdr>
                    </w:div>
                  </w:divsChild>
                </w:div>
                <w:div w:id="909148116">
                  <w:marLeft w:val="0"/>
                  <w:marRight w:val="0"/>
                  <w:marTop w:val="0"/>
                  <w:marBottom w:val="0"/>
                  <w:divBdr>
                    <w:top w:val="none" w:sz="0" w:space="0" w:color="auto"/>
                    <w:left w:val="none" w:sz="0" w:space="0" w:color="auto"/>
                    <w:bottom w:val="none" w:sz="0" w:space="0" w:color="auto"/>
                    <w:right w:val="none" w:sz="0" w:space="0" w:color="auto"/>
                  </w:divBdr>
                  <w:divsChild>
                    <w:div w:id="130562273">
                      <w:marLeft w:val="0"/>
                      <w:marRight w:val="0"/>
                      <w:marTop w:val="0"/>
                      <w:marBottom w:val="0"/>
                      <w:divBdr>
                        <w:top w:val="none" w:sz="0" w:space="0" w:color="auto"/>
                        <w:left w:val="none" w:sz="0" w:space="0" w:color="auto"/>
                        <w:bottom w:val="none" w:sz="0" w:space="0" w:color="auto"/>
                        <w:right w:val="none" w:sz="0" w:space="0" w:color="auto"/>
                      </w:divBdr>
                    </w:div>
                  </w:divsChild>
                </w:div>
                <w:div w:id="926378415">
                  <w:marLeft w:val="0"/>
                  <w:marRight w:val="0"/>
                  <w:marTop w:val="0"/>
                  <w:marBottom w:val="0"/>
                  <w:divBdr>
                    <w:top w:val="none" w:sz="0" w:space="0" w:color="auto"/>
                    <w:left w:val="none" w:sz="0" w:space="0" w:color="auto"/>
                    <w:bottom w:val="none" w:sz="0" w:space="0" w:color="auto"/>
                    <w:right w:val="none" w:sz="0" w:space="0" w:color="auto"/>
                  </w:divBdr>
                  <w:divsChild>
                    <w:div w:id="1318145257">
                      <w:marLeft w:val="0"/>
                      <w:marRight w:val="0"/>
                      <w:marTop w:val="0"/>
                      <w:marBottom w:val="0"/>
                      <w:divBdr>
                        <w:top w:val="none" w:sz="0" w:space="0" w:color="auto"/>
                        <w:left w:val="none" w:sz="0" w:space="0" w:color="auto"/>
                        <w:bottom w:val="none" w:sz="0" w:space="0" w:color="auto"/>
                        <w:right w:val="none" w:sz="0" w:space="0" w:color="auto"/>
                      </w:divBdr>
                    </w:div>
                  </w:divsChild>
                </w:div>
                <w:div w:id="963661665">
                  <w:marLeft w:val="0"/>
                  <w:marRight w:val="0"/>
                  <w:marTop w:val="0"/>
                  <w:marBottom w:val="0"/>
                  <w:divBdr>
                    <w:top w:val="none" w:sz="0" w:space="0" w:color="auto"/>
                    <w:left w:val="none" w:sz="0" w:space="0" w:color="auto"/>
                    <w:bottom w:val="none" w:sz="0" w:space="0" w:color="auto"/>
                    <w:right w:val="none" w:sz="0" w:space="0" w:color="auto"/>
                  </w:divBdr>
                  <w:divsChild>
                    <w:div w:id="1385445812">
                      <w:marLeft w:val="0"/>
                      <w:marRight w:val="0"/>
                      <w:marTop w:val="0"/>
                      <w:marBottom w:val="0"/>
                      <w:divBdr>
                        <w:top w:val="none" w:sz="0" w:space="0" w:color="auto"/>
                        <w:left w:val="none" w:sz="0" w:space="0" w:color="auto"/>
                        <w:bottom w:val="none" w:sz="0" w:space="0" w:color="auto"/>
                        <w:right w:val="none" w:sz="0" w:space="0" w:color="auto"/>
                      </w:divBdr>
                    </w:div>
                  </w:divsChild>
                </w:div>
                <w:div w:id="985746488">
                  <w:marLeft w:val="0"/>
                  <w:marRight w:val="0"/>
                  <w:marTop w:val="0"/>
                  <w:marBottom w:val="0"/>
                  <w:divBdr>
                    <w:top w:val="none" w:sz="0" w:space="0" w:color="auto"/>
                    <w:left w:val="none" w:sz="0" w:space="0" w:color="auto"/>
                    <w:bottom w:val="none" w:sz="0" w:space="0" w:color="auto"/>
                    <w:right w:val="none" w:sz="0" w:space="0" w:color="auto"/>
                  </w:divBdr>
                  <w:divsChild>
                    <w:div w:id="80419273">
                      <w:marLeft w:val="0"/>
                      <w:marRight w:val="0"/>
                      <w:marTop w:val="0"/>
                      <w:marBottom w:val="0"/>
                      <w:divBdr>
                        <w:top w:val="none" w:sz="0" w:space="0" w:color="auto"/>
                        <w:left w:val="none" w:sz="0" w:space="0" w:color="auto"/>
                        <w:bottom w:val="none" w:sz="0" w:space="0" w:color="auto"/>
                        <w:right w:val="none" w:sz="0" w:space="0" w:color="auto"/>
                      </w:divBdr>
                    </w:div>
                  </w:divsChild>
                </w:div>
                <w:div w:id="1007562161">
                  <w:marLeft w:val="0"/>
                  <w:marRight w:val="0"/>
                  <w:marTop w:val="0"/>
                  <w:marBottom w:val="0"/>
                  <w:divBdr>
                    <w:top w:val="none" w:sz="0" w:space="0" w:color="auto"/>
                    <w:left w:val="none" w:sz="0" w:space="0" w:color="auto"/>
                    <w:bottom w:val="none" w:sz="0" w:space="0" w:color="auto"/>
                    <w:right w:val="none" w:sz="0" w:space="0" w:color="auto"/>
                  </w:divBdr>
                  <w:divsChild>
                    <w:div w:id="1501313903">
                      <w:marLeft w:val="0"/>
                      <w:marRight w:val="0"/>
                      <w:marTop w:val="0"/>
                      <w:marBottom w:val="0"/>
                      <w:divBdr>
                        <w:top w:val="none" w:sz="0" w:space="0" w:color="auto"/>
                        <w:left w:val="none" w:sz="0" w:space="0" w:color="auto"/>
                        <w:bottom w:val="none" w:sz="0" w:space="0" w:color="auto"/>
                        <w:right w:val="none" w:sz="0" w:space="0" w:color="auto"/>
                      </w:divBdr>
                    </w:div>
                  </w:divsChild>
                </w:div>
                <w:div w:id="1023359072">
                  <w:marLeft w:val="0"/>
                  <w:marRight w:val="0"/>
                  <w:marTop w:val="0"/>
                  <w:marBottom w:val="0"/>
                  <w:divBdr>
                    <w:top w:val="none" w:sz="0" w:space="0" w:color="auto"/>
                    <w:left w:val="none" w:sz="0" w:space="0" w:color="auto"/>
                    <w:bottom w:val="none" w:sz="0" w:space="0" w:color="auto"/>
                    <w:right w:val="none" w:sz="0" w:space="0" w:color="auto"/>
                  </w:divBdr>
                  <w:divsChild>
                    <w:div w:id="844395580">
                      <w:marLeft w:val="0"/>
                      <w:marRight w:val="0"/>
                      <w:marTop w:val="0"/>
                      <w:marBottom w:val="0"/>
                      <w:divBdr>
                        <w:top w:val="none" w:sz="0" w:space="0" w:color="auto"/>
                        <w:left w:val="none" w:sz="0" w:space="0" w:color="auto"/>
                        <w:bottom w:val="none" w:sz="0" w:space="0" w:color="auto"/>
                        <w:right w:val="none" w:sz="0" w:space="0" w:color="auto"/>
                      </w:divBdr>
                    </w:div>
                  </w:divsChild>
                </w:div>
                <w:div w:id="1040206209">
                  <w:marLeft w:val="0"/>
                  <w:marRight w:val="0"/>
                  <w:marTop w:val="0"/>
                  <w:marBottom w:val="0"/>
                  <w:divBdr>
                    <w:top w:val="none" w:sz="0" w:space="0" w:color="auto"/>
                    <w:left w:val="none" w:sz="0" w:space="0" w:color="auto"/>
                    <w:bottom w:val="none" w:sz="0" w:space="0" w:color="auto"/>
                    <w:right w:val="none" w:sz="0" w:space="0" w:color="auto"/>
                  </w:divBdr>
                  <w:divsChild>
                    <w:div w:id="146626681">
                      <w:marLeft w:val="0"/>
                      <w:marRight w:val="0"/>
                      <w:marTop w:val="0"/>
                      <w:marBottom w:val="0"/>
                      <w:divBdr>
                        <w:top w:val="none" w:sz="0" w:space="0" w:color="auto"/>
                        <w:left w:val="none" w:sz="0" w:space="0" w:color="auto"/>
                        <w:bottom w:val="none" w:sz="0" w:space="0" w:color="auto"/>
                        <w:right w:val="none" w:sz="0" w:space="0" w:color="auto"/>
                      </w:divBdr>
                    </w:div>
                  </w:divsChild>
                </w:div>
                <w:div w:id="1082065109">
                  <w:marLeft w:val="0"/>
                  <w:marRight w:val="0"/>
                  <w:marTop w:val="0"/>
                  <w:marBottom w:val="0"/>
                  <w:divBdr>
                    <w:top w:val="none" w:sz="0" w:space="0" w:color="auto"/>
                    <w:left w:val="none" w:sz="0" w:space="0" w:color="auto"/>
                    <w:bottom w:val="none" w:sz="0" w:space="0" w:color="auto"/>
                    <w:right w:val="none" w:sz="0" w:space="0" w:color="auto"/>
                  </w:divBdr>
                  <w:divsChild>
                    <w:div w:id="1792631613">
                      <w:marLeft w:val="0"/>
                      <w:marRight w:val="0"/>
                      <w:marTop w:val="0"/>
                      <w:marBottom w:val="0"/>
                      <w:divBdr>
                        <w:top w:val="none" w:sz="0" w:space="0" w:color="auto"/>
                        <w:left w:val="none" w:sz="0" w:space="0" w:color="auto"/>
                        <w:bottom w:val="none" w:sz="0" w:space="0" w:color="auto"/>
                        <w:right w:val="none" w:sz="0" w:space="0" w:color="auto"/>
                      </w:divBdr>
                    </w:div>
                  </w:divsChild>
                </w:div>
                <w:div w:id="1083648059">
                  <w:marLeft w:val="0"/>
                  <w:marRight w:val="0"/>
                  <w:marTop w:val="0"/>
                  <w:marBottom w:val="0"/>
                  <w:divBdr>
                    <w:top w:val="none" w:sz="0" w:space="0" w:color="auto"/>
                    <w:left w:val="none" w:sz="0" w:space="0" w:color="auto"/>
                    <w:bottom w:val="none" w:sz="0" w:space="0" w:color="auto"/>
                    <w:right w:val="none" w:sz="0" w:space="0" w:color="auto"/>
                  </w:divBdr>
                  <w:divsChild>
                    <w:div w:id="555701199">
                      <w:marLeft w:val="0"/>
                      <w:marRight w:val="0"/>
                      <w:marTop w:val="0"/>
                      <w:marBottom w:val="0"/>
                      <w:divBdr>
                        <w:top w:val="none" w:sz="0" w:space="0" w:color="auto"/>
                        <w:left w:val="none" w:sz="0" w:space="0" w:color="auto"/>
                        <w:bottom w:val="none" w:sz="0" w:space="0" w:color="auto"/>
                        <w:right w:val="none" w:sz="0" w:space="0" w:color="auto"/>
                      </w:divBdr>
                    </w:div>
                  </w:divsChild>
                </w:div>
                <w:div w:id="1091781445">
                  <w:marLeft w:val="0"/>
                  <w:marRight w:val="0"/>
                  <w:marTop w:val="0"/>
                  <w:marBottom w:val="0"/>
                  <w:divBdr>
                    <w:top w:val="none" w:sz="0" w:space="0" w:color="auto"/>
                    <w:left w:val="none" w:sz="0" w:space="0" w:color="auto"/>
                    <w:bottom w:val="none" w:sz="0" w:space="0" w:color="auto"/>
                    <w:right w:val="none" w:sz="0" w:space="0" w:color="auto"/>
                  </w:divBdr>
                  <w:divsChild>
                    <w:div w:id="1901743037">
                      <w:marLeft w:val="0"/>
                      <w:marRight w:val="0"/>
                      <w:marTop w:val="0"/>
                      <w:marBottom w:val="0"/>
                      <w:divBdr>
                        <w:top w:val="none" w:sz="0" w:space="0" w:color="auto"/>
                        <w:left w:val="none" w:sz="0" w:space="0" w:color="auto"/>
                        <w:bottom w:val="none" w:sz="0" w:space="0" w:color="auto"/>
                        <w:right w:val="none" w:sz="0" w:space="0" w:color="auto"/>
                      </w:divBdr>
                    </w:div>
                  </w:divsChild>
                </w:div>
                <w:div w:id="1096025511">
                  <w:marLeft w:val="0"/>
                  <w:marRight w:val="0"/>
                  <w:marTop w:val="0"/>
                  <w:marBottom w:val="0"/>
                  <w:divBdr>
                    <w:top w:val="none" w:sz="0" w:space="0" w:color="auto"/>
                    <w:left w:val="none" w:sz="0" w:space="0" w:color="auto"/>
                    <w:bottom w:val="none" w:sz="0" w:space="0" w:color="auto"/>
                    <w:right w:val="none" w:sz="0" w:space="0" w:color="auto"/>
                  </w:divBdr>
                  <w:divsChild>
                    <w:div w:id="1705791352">
                      <w:marLeft w:val="0"/>
                      <w:marRight w:val="0"/>
                      <w:marTop w:val="0"/>
                      <w:marBottom w:val="0"/>
                      <w:divBdr>
                        <w:top w:val="none" w:sz="0" w:space="0" w:color="auto"/>
                        <w:left w:val="none" w:sz="0" w:space="0" w:color="auto"/>
                        <w:bottom w:val="none" w:sz="0" w:space="0" w:color="auto"/>
                        <w:right w:val="none" w:sz="0" w:space="0" w:color="auto"/>
                      </w:divBdr>
                    </w:div>
                  </w:divsChild>
                </w:div>
                <w:div w:id="1110592629">
                  <w:marLeft w:val="0"/>
                  <w:marRight w:val="0"/>
                  <w:marTop w:val="0"/>
                  <w:marBottom w:val="0"/>
                  <w:divBdr>
                    <w:top w:val="none" w:sz="0" w:space="0" w:color="auto"/>
                    <w:left w:val="none" w:sz="0" w:space="0" w:color="auto"/>
                    <w:bottom w:val="none" w:sz="0" w:space="0" w:color="auto"/>
                    <w:right w:val="none" w:sz="0" w:space="0" w:color="auto"/>
                  </w:divBdr>
                  <w:divsChild>
                    <w:div w:id="1164201818">
                      <w:marLeft w:val="0"/>
                      <w:marRight w:val="0"/>
                      <w:marTop w:val="0"/>
                      <w:marBottom w:val="0"/>
                      <w:divBdr>
                        <w:top w:val="none" w:sz="0" w:space="0" w:color="auto"/>
                        <w:left w:val="none" w:sz="0" w:space="0" w:color="auto"/>
                        <w:bottom w:val="none" w:sz="0" w:space="0" w:color="auto"/>
                        <w:right w:val="none" w:sz="0" w:space="0" w:color="auto"/>
                      </w:divBdr>
                    </w:div>
                  </w:divsChild>
                </w:div>
                <w:div w:id="1116756321">
                  <w:marLeft w:val="0"/>
                  <w:marRight w:val="0"/>
                  <w:marTop w:val="0"/>
                  <w:marBottom w:val="0"/>
                  <w:divBdr>
                    <w:top w:val="none" w:sz="0" w:space="0" w:color="auto"/>
                    <w:left w:val="none" w:sz="0" w:space="0" w:color="auto"/>
                    <w:bottom w:val="none" w:sz="0" w:space="0" w:color="auto"/>
                    <w:right w:val="none" w:sz="0" w:space="0" w:color="auto"/>
                  </w:divBdr>
                  <w:divsChild>
                    <w:div w:id="62334223">
                      <w:marLeft w:val="0"/>
                      <w:marRight w:val="0"/>
                      <w:marTop w:val="0"/>
                      <w:marBottom w:val="0"/>
                      <w:divBdr>
                        <w:top w:val="none" w:sz="0" w:space="0" w:color="auto"/>
                        <w:left w:val="none" w:sz="0" w:space="0" w:color="auto"/>
                        <w:bottom w:val="none" w:sz="0" w:space="0" w:color="auto"/>
                        <w:right w:val="none" w:sz="0" w:space="0" w:color="auto"/>
                      </w:divBdr>
                    </w:div>
                  </w:divsChild>
                </w:div>
                <w:div w:id="1196382957">
                  <w:marLeft w:val="0"/>
                  <w:marRight w:val="0"/>
                  <w:marTop w:val="0"/>
                  <w:marBottom w:val="0"/>
                  <w:divBdr>
                    <w:top w:val="none" w:sz="0" w:space="0" w:color="auto"/>
                    <w:left w:val="none" w:sz="0" w:space="0" w:color="auto"/>
                    <w:bottom w:val="none" w:sz="0" w:space="0" w:color="auto"/>
                    <w:right w:val="none" w:sz="0" w:space="0" w:color="auto"/>
                  </w:divBdr>
                  <w:divsChild>
                    <w:div w:id="752511572">
                      <w:marLeft w:val="0"/>
                      <w:marRight w:val="0"/>
                      <w:marTop w:val="0"/>
                      <w:marBottom w:val="0"/>
                      <w:divBdr>
                        <w:top w:val="none" w:sz="0" w:space="0" w:color="auto"/>
                        <w:left w:val="none" w:sz="0" w:space="0" w:color="auto"/>
                        <w:bottom w:val="none" w:sz="0" w:space="0" w:color="auto"/>
                        <w:right w:val="none" w:sz="0" w:space="0" w:color="auto"/>
                      </w:divBdr>
                    </w:div>
                  </w:divsChild>
                </w:div>
                <w:div w:id="1199588906">
                  <w:marLeft w:val="0"/>
                  <w:marRight w:val="0"/>
                  <w:marTop w:val="0"/>
                  <w:marBottom w:val="0"/>
                  <w:divBdr>
                    <w:top w:val="none" w:sz="0" w:space="0" w:color="auto"/>
                    <w:left w:val="none" w:sz="0" w:space="0" w:color="auto"/>
                    <w:bottom w:val="none" w:sz="0" w:space="0" w:color="auto"/>
                    <w:right w:val="none" w:sz="0" w:space="0" w:color="auto"/>
                  </w:divBdr>
                  <w:divsChild>
                    <w:div w:id="861358854">
                      <w:marLeft w:val="0"/>
                      <w:marRight w:val="0"/>
                      <w:marTop w:val="0"/>
                      <w:marBottom w:val="0"/>
                      <w:divBdr>
                        <w:top w:val="none" w:sz="0" w:space="0" w:color="auto"/>
                        <w:left w:val="none" w:sz="0" w:space="0" w:color="auto"/>
                        <w:bottom w:val="none" w:sz="0" w:space="0" w:color="auto"/>
                        <w:right w:val="none" w:sz="0" w:space="0" w:color="auto"/>
                      </w:divBdr>
                    </w:div>
                  </w:divsChild>
                </w:div>
                <w:div w:id="1202746299">
                  <w:marLeft w:val="0"/>
                  <w:marRight w:val="0"/>
                  <w:marTop w:val="0"/>
                  <w:marBottom w:val="0"/>
                  <w:divBdr>
                    <w:top w:val="none" w:sz="0" w:space="0" w:color="auto"/>
                    <w:left w:val="none" w:sz="0" w:space="0" w:color="auto"/>
                    <w:bottom w:val="none" w:sz="0" w:space="0" w:color="auto"/>
                    <w:right w:val="none" w:sz="0" w:space="0" w:color="auto"/>
                  </w:divBdr>
                  <w:divsChild>
                    <w:div w:id="939801346">
                      <w:marLeft w:val="0"/>
                      <w:marRight w:val="0"/>
                      <w:marTop w:val="0"/>
                      <w:marBottom w:val="0"/>
                      <w:divBdr>
                        <w:top w:val="none" w:sz="0" w:space="0" w:color="auto"/>
                        <w:left w:val="none" w:sz="0" w:space="0" w:color="auto"/>
                        <w:bottom w:val="none" w:sz="0" w:space="0" w:color="auto"/>
                        <w:right w:val="none" w:sz="0" w:space="0" w:color="auto"/>
                      </w:divBdr>
                    </w:div>
                  </w:divsChild>
                </w:div>
                <w:div w:id="1207377272">
                  <w:marLeft w:val="0"/>
                  <w:marRight w:val="0"/>
                  <w:marTop w:val="0"/>
                  <w:marBottom w:val="0"/>
                  <w:divBdr>
                    <w:top w:val="none" w:sz="0" w:space="0" w:color="auto"/>
                    <w:left w:val="none" w:sz="0" w:space="0" w:color="auto"/>
                    <w:bottom w:val="none" w:sz="0" w:space="0" w:color="auto"/>
                    <w:right w:val="none" w:sz="0" w:space="0" w:color="auto"/>
                  </w:divBdr>
                  <w:divsChild>
                    <w:div w:id="905993815">
                      <w:marLeft w:val="0"/>
                      <w:marRight w:val="0"/>
                      <w:marTop w:val="0"/>
                      <w:marBottom w:val="0"/>
                      <w:divBdr>
                        <w:top w:val="none" w:sz="0" w:space="0" w:color="auto"/>
                        <w:left w:val="none" w:sz="0" w:space="0" w:color="auto"/>
                        <w:bottom w:val="none" w:sz="0" w:space="0" w:color="auto"/>
                        <w:right w:val="none" w:sz="0" w:space="0" w:color="auto"/>
                      </w:divBdr>
                    </w:div>
                  </w:divsChild>
                </w:div>
                <w:div w:id="1296763216">
                  <w:marLeft w:val="0"/>
                  <w:marRight w:val="0"/>
                  <w:marTop w:val="0"/>
                  <w:marBottom w:val="0"/>
                  <w:divBdr>
                    <w:top w:val="none" w:sz="0" w:space="0" w:color="auto"/>
                    <w:left w:val="none" w:sz="0" w:space="0" w:color="auto"/>
                    <w:bottom w:val="none" w:sz="0" w:space="0" w:color="auto"/>
                    <w:right w:val="none" w:sz="0" w:space="0" w:color="auto"/>
                  </w:divBdr>
                  <w:divsChild>
                    <w:div w:id="1133018520">
                      <w:marLeft w:val="0"/>
                      <w:marRight w:val="0"/>
                      <w:marTop w:val="0"/>
                      <w:marBottom w:val="0"/>
                      <w:divBdr>
                        <w:top w:val="none" w:sz="0" w:space="0" w:color="auto"/>
                        <w:left w:val="none" w:sz="0" w:space="0" w:color="auto"/>
                        <w:bottom w:val="none" w:sz="0" w:space="0" w:color="auto"/>
                        <w:right w:val="none" w:sz="0" w:space="0" w:color="auto"/>
                      </w:divBdr>
                    </w:div>
                  </w:divsChild>
                </w:div>
                <w:div w:id="1405295618">
                  <w:marLeft w:val="0"/>
                  <w:marRight w:val="0"/>
                  <w:marTop w:val="0"/>
                  <w:marBottom w:val="0"/>
                  <w:divBdr>
                    <w:top w:val="none" w:sz="0" w:space="0" w:color="auto"/>
                    <w:left w:val="none" w:sz="0" w:space="0" w:color="auto"/>
                    <w:bottom w:val="none" w:sz="0" w:space="0" w:color="auto"/>
                    <w:right w:val="none" w:sz="0" w:space="0" w:color="auto"/>
                  </w:divBdr>
                  <w:divsChild>
                    <w:div w:id="896352736">
                      <w:marLeft w:val="0"/>
                      <w:marRight w:val="0"/>
                      <w:marTop w:val="0"/>
                      <w:marBottom w:val="0"/>
                      <w:divBdr>
                        <w:top w:val="none" w:sz="0" w:space="0" w:color="auto"/>
                        <w:left w:val="none" w:sz="0" w:space="0" w:color="auto"/>
                        <w:bottom w:val="none" w:sz="0" w:space="0" w:color="auto"/>
                        <w:right w:val="none" w:sz="0" w:space="0" w:color="auto"/>
                      </w:divBdr>
                    </w:div>
                  </w:divsChild>
                </w:div>
                <w:div w:id="1415006917">
                  <w:marLeft w:val="0"/>
                  <w:marRight w:val="0"/>
                  <w:marTop w:val="0"/>
                  <w:marBottom w:val="0"/>
                  <w:divBdr>
                    <w:top w:val="none" w:sz="0" w:space="0" w:color="auto"/>
                    <w:left w:val="none" w:sz="0" w:space="0" w:color="auto"/>
                    <w:bottom w:val="none" w:sz="0" w:space="0" w:color="auto"/>
                    <w:right w:val="none" w:sz="0" w:space="0" w:color="auto"/>
                  </w:divBdr>
                  <w:divsChild>
                    <w:div w:id="267852157">
                      <w:marLeft w:val="0"/>
                      <w:marRight w:val="0"/>
                      <w:marTop w:val="0"/>
                      <w:marBottom w:val="0"/>
                      <w:divBdr>
                        <w:top w:val="none" w:sz="0" w:space="0" w:color="auto"/>
                        <w:left w:val="none" w:sz="0" w:space="0" w:color="auto"/>
                        <w:bottom w:val="none" w:sz="0" w:space="0" w:color="auto"/>
                        <w:right w:val="none" w:sz="0" w:space="0" w:color="auto"/>
                      </w:divBdr>
                    </w:div>
                  </w:divsChild>
                </w:div>
                <w:div w:id="1434864281">
                  <w:marLeft w:val="0"/>
                  <w:marRight w:val="0"/>
                  <w:marTop w:val="0"/>
                  <w:marBottom w:val="0"/>
                  <w:divBdr>
                    <w:top w:val="none" w:sz="0" w:space="0" w:color="auto"/>
                    <w:left w:val="none" w:sz="0" w:space="0" w:color="auto"/>
                    <w:bottom w:val="none" w:sz="0" w:space="0" w:color="auto"/>
                    <w:right w:val="none" w:sz="0" w:space="0" w:color="auto"/>
                  </w:divBdr>
                  <w:divsChild>
                    <w:div w:id="2044014994">
                      <w:marLeft w:val="0"/>
                      <w:marRight w:val="0"/>
                      <w:marTop w:val="0"/>
                      <w:marBottom w:val="0"/>
                      <w:divBdr>
                        <w:top w:val="none" w:sz="0" w:space="0" w:color="auto"/>
                        <w:left w:val="none" w:sz="0" w:space="0" w:color="auto"/>
                        <w:bottom w:val="none" w:sz="0" w:space="0" w:color="auto"/>
                        <w:right w:val="none" w:sz="0" w:space="0" w:color="auto"/>
                      </w:divBdr>
                    </w:div>
                  </w:divsChild>
                </w:div>
                <w:div w:id="1441031470">
                  <w:marLeft w:val="0"/>
                  <w:marRight w:val="0"/>
                  <w:marTop w:val="0"/>
                  <w:marBottom w:val="0"/>
                  <w:divBdr>
                    <w:top w:val="none" w:sz="0" w:space="0" w:color="auto"/>
                    <w:left w:val="none" w:sz="0" w:space="0" w:color="auto"/>
                    <w:bottom w:val="none" w:sz="0" w:space="0" w:color="auto"/>
                    <w:right w:val="none" w:sz="0" w:space="0" w:color="auto"/>
                  </w:divBdr>
                  <w:divsChild>
                    <w:div w:id="187523401">
                      <w:marLeft w:val="0"/>
                      <w:marRight w:val="0"/>
                      <w:marTop w:val="0"/>
                      <w:marBottom w:val="0"/>
                      <w:divBdr>
                        <w:top w:val="none" w:sz="0" w:space="0" w:color="auto"/>
                        <w:left w:val="none" w:sz="0" w:space="0" w:color="auto"/>
                        <w:bottom w:val="none" w:sz="0" w:space="0" w:color="auto"/>
                        <w:right w:val="none" w:sz="0" w:space="0" w:color="auto"/>
                      </w:divBdr>
                    </w:div>
                  </w:divsChild>
                </w:div>
                <w:div w:id="1447040733">
                  <w:marLeft w:val="0"/>
                  <w:marRight w:val="0"/>
                  <w:marTop w:val="0"/>
                  <w:marBottom w:val="0"/>
                  <w:divBdr>
                    <w:top w:val="none" w:sz="0" w:space="0" w:color="auto"/>
                    <w:left w:val="none" w:sz="0" w:space="0" w:color="auto"/>
                    <w:bottom w:val="none" w:sz="0" w:space="0" w:color="auto"/>
                    <w:right w:val="none" w:sz="0" w:space="0" w:color="auto"/>
                  </w:divBdr>
                  <w:divsChild>
                    <w:div w:id="661742751">
                      <w:marLeft w:val="0"/>
                      <w:marRight w:val="0"/>
                      <w:marTop w:val="0"/>
                      <w:marBottom w:val="0"/>
                      <w:divBdr>
                        <w:top w:val="none" w:sz="0" w:space="0" w:color="auto"/>
                        <w:left w:val="none" w:sz="0" w:space="0" w:color="auto"/>
                        <w:bottom w:val="none" w:sz="0" w:space="0" w:color="auto"/>
                        <w:right w:val="none" w:sz="0" w:space="0" w:color="auto"/>
                      </w:divBdr>
                    </w:div>
                  </w:divsChild>
                </w:div>
                <w:div w:id="1463841808">
                  <w:marLeft w:val="0"/>
                  <w:marRight w:val="0"/>
                  <w:marTop w:val="0"/>
                  <w:marBottom w:val="0"/>
                  <w:divBdr>
                    <w:top w:val="none" w:sz="0" w:space="0" w:color="auto"/>
                    <w:left w:val="none" w:sz="0" w:space="0" w:color="auto"/>
                    <w:bottom w:val="none" w:sz="0" w:space="0" w:color="auto"/>
                    <w:right w:val="none" w:sz="0" w:space="0" w:color="auto"/>
                  </w:divBdr>
                  <w:divsChild>
                    <w:div w:id="1291204517">
                      <w:marLeft w:val="0"/>
                      <w:marRight w:val="0"/>
                      <w:marTop w:val="0"/>
                      <w:marBottom w:val="0"/>
                      <w:divBdr>
                        <w:top w:val="none" w:sz="0" w:space="0" w:color="auto"/>
                        <w:left w:val="none" w:sz="0" w:space="0" w:color="auto"/>
                        <w:bottom w:val="none" w:sz="0" w:space="0" w:color="auto"/>
                        <w:right w:val="none" w:sz="0" w:space="0" w:color="auto"/>
                      </w:divBdr>
                    </w:div>
                  </w:divsChild>
                </w:div>
                <w:div w:id="1471053766">
                  <w:marLeft w:val="0"/>
                  <w:marRight w:val="0"/>
                  <w:marTop w:val="0"/>
                  <w:marBottom w:val="0"/>
                  <w:divBdr>
                    <w:top w:val="none" w:sz="0" w:space="0" w:color="auto"/>
                    <w:left w:val="none" w:sz="0" w:space="0" w:color="auto"/>
                    <w:bottom w:val="none" w:sz="0" w:space="0" w:color="auto"/>
                    <w:right w:val="none" w:sz="0" w:space="0" w:color="auto"/>
                  </w:divBdr>
                  <w:divsChild>
                    <w:div w:id="1833792666">
                      <w:marLeft w:val="0"/>
                      <w:marRight w:val="0"/>
                      <w:marTop w:val="0"/>
                      <w:marBottom w:val="0"/>
                      <w:divBdr>
                        <w:top w:val="none" w:sz="0" w:space="0" w:color="auto"/>
                        <w:left w:val="none" w:sz="0" w:space="0" w:color="auto"/>
                        <w:bottom w:val="none" w:sz="0" w:space="0" w:color="auto"/>
                        <w:right w:val="none" w:sz="0" w:space="0" w:color="auto"/>
                      </w:divBdr>
                    </w:div>
                  </w:divsChild>
                </w:div>
                <w:div w:id="1524630106">
                  <w:marLeft w:val="0"/>
                  <w:marRight w:val="0"/>
                  <w:marTop w:val="0"/>
                  <w:marBottom w:val="0"/>
                  <w:divBdr>
                    <w:top w:val="none" w:sz="0" w:space="0" w:color="auto"/>
                    <w:left w:val="none" w:sz="0" w:space="0" w:color="auto"/>
                    <w:bottom w:val="none" w:sz="0" w:space="0" w:color="auto"/>
                    <w:right w:val="none" w:sz="0" w:space="0" w:color="auto"/>
                  </w:divBdr>
                  <w:divsChild>
                    <w:div w:id="696582964">
                      <w:marLeft w:val="0"/>
                      <w:marRight w:val="0"/>
                      <w:marTop w:val="0"/>
                      <w:marBottom w:val="0"/>
                      <w:divBdr>
                        <w:top w:val="none" w:sz="0" w:space="0" w:color="auto"/>
                        <w:left w:val="none" w:sz="0" w:space="0" w:color="auto"/>
                        <w:bottom w:val="none" w:sz="0" w:space="0" w:color="auto"/>
                        <w:right w:val="none" w:sz="0" w:space="0" w:color="auto"/>
                      </w:divBdr>
                    </w:div>
                  </w:divsChild>
                </w:div>
                <w:div w:id="1528518457">
                  <w:marLeft w:val="0"/>
                  <w:marRight w:val="0"/>
                  <w:marTop w:val="0"/>
                  <w:marBottom w:val="0"/>
                  <w:divBdr>
                    <w:top w:val="none" w:sz="0" w:space="0" w:color="auto"/>
                    <w:left w:val="none" w:sz="0" w:space="0" w:color="auto"/>
                    <w:bottom w:val="none" w:sz="0" w:space="0" w:color="auto"/>
                    <w:right w:val="none" w:sz="0" w:space="0" w:color="auto"/>
                  </w:divBdr>
                  <w:divsChild>
                    <w:div w:id="1056470837">
                      <w:marLeft w:val="0"/>
                      <w:marRight w:val="0"/>
                      <w:marTop w:val="0"/>
                      <w:marBottom w:val="0"/>
                      <w:divBdr>
                        <w:top w:val="none" w:sz="0" w:space="0" w:color="auto"/>
                        <w:left w:val="none" w:sz="0" w:space="0" w:color="auto"/>
                        <w:bottom w:val="none" w:sz="0" w:space="0" w:color="auto"/>
                        <w:right w:val="none" w:sz="0" w:space="0" w:color="auto"/>
                      </w:divBdr>
                    </w:div>
                  </w:divsChild>
                </w:div>
                <w:div w:id="1529173211">
                  <w:marLeft w:val="0"/>
                  <w:marRight w:val="0"/>
                  <w:marTop w:val="0"/>
                  <w:marBottom w:val="0"/>
                  <w:divBdr>
                    <w:top w:val="none" w:sz="0" w:space="0" w:color="auto"/>
                    <w:left w:val="none" w:sz="0" w:space="0" w:color="auto"/>
                    <w:bottom w:val="none" w:sz="0" w:space="0" w:color="auto"/>
                    <w:right w:val="none" w:sz="0" w:space="0" w:color="auto"/>
                  </w:divBdr>
                  <w:divsChild>
                    <w:div w:id="840268948">
                      <w:marLeft w:val="0"/>
                      <w:marRight w:val="0"/>
                      <w:marTop w:val="0"/>
                      <w:marBottom w:val="0"/>
                      <w:divBdr>
                        <w:top w:val="none" w:sz="0" w:space="0" w:color="auto"/>
                        <w:left w:val="none" w:sz="0" w:space="0" w:color="auto"/>
                        <w:bottom w:val="none" w:sz="0" w:space="0" w:color="auto"/>
                        <w:right w:val="none" w:sz="0" w:space="0" w:color="auto"/>
                      </w:divBdr>
                    </w:div>
                  </w:divsChild>
                </w:div>
                <w:div w:id="1598560066">
                  <w:marLeft w:val="0"/>
                  <w:marRight w:val="0"/>
                  <w:marTop w:val="0"/>
                  <w:marBottom w:val="0"/>
                  <w:divBdr>
                    <w:top w:val="none" w:sz="0" w:space="0" w:color="auto"/>
                    <w:left w:val="none" w:sz="0" w:space="0" w:color="auto"/>
                    <w:bottom w:val="none" w:sz="0" w:space="0" w:color="auto"/>
                    <w:right w:val="none" w:sz="0" w:space="0" w:color="auto"/>
                  </w:divBdr>
                  <w:divsChild>
                    <w:div w:id="1678195769">
                      <w:marLeft w:val="0"/>
                      <w:marRight w:val="0"/>
                      <w:marTop w:val="0"/>
                      <w:marBottom w:val="0"/>
                      <w:divBdr>
                        <w:top w:val="none" w:sz="0" w:space="0" w:color="auto"/>
                        <w:left w:val="none" w:sz="0" w:space="0" w:color="auto"/>
                        <w:bottom w:val="none" w:sz="0" w:space="0" w:color="auto"/>
                        <w:right w:val="none" w:sz="0" w:space="0" w:color="auto"/>
                      </w:divBdr>
                    </w:div>
                  </w:divsChild>
                </w:div>
                <w:div w:id="1609964628">
                  <w:marLeft w:val="0"/>
                  <w:marRight w:val="0"/>
                  <w:marTop w:val="0"/>
                  <w:marBottom w:val="0"/>
                  <w:divBdr>
                    <w:top w:val="none" w:sz="0" w:space="0" w:color="auto"/>
                    <w:left w:val="none" w:sz="0" w:space="0" w:color="auto"/>
                    <w:bottom w:val="none" w:sz="0" w:space="0" w:color="auto"/>
                    <w:right w:val="none" w:sz="0" w:space="0" w:color="auto"/>
                  </w:divBdr>
                  <w:divsChild>
                    <w:div w:id="1341615094">
                      <w:marLeft w:val="0"/>
                      <w:marRight w:val="0"/>
                      <w:marTop w:val="0"/>
                      <w:marBottom w:val="0"/>
                      <w:divBdr>
                        <w:top w:val="none" w:sz="0" w:space="0" w:color="auto"/>
                        <w:left w:val="none" w:sz="0" w:space="0" w:color="auto"/>
                        <w:bottom w:val="none" w:sz="0" w:space="0" w:color="auto"/>
                        <w:right w:val="none" w:sz="0" w:space="0" w:color="auto"/>
                      </w:divBdr>
                    </w:div>
                  </w:divsChild>
                </w:div>
                <w:div w:id="1613784284">
                  <w:marLeft w:val="0"/>
                  <w:marRight w:val="0"/>
                  <w:marTop w:val="0"/>
                  <w:marBottom w:val="0"/>
                  <w:divBdr>
                    <w:top w:val="none" w:sz="0" w:space="0" w:color="auto"/>
                    <w:left w:val="none" w:sz="0" w:space="0" w:color="auto"/>
                    <w:bottom w:val="none" w:sz="0" w:space="0" w:color="auto"/>
                    <w:right w:val="none" w:sz="0" w:space="0" w:color="auto"/>
                  </w:divBdr>
                  <w:divsChild>
                    <w:div w:id="1522355705">
                      <w:marLeft w:val="0"/>
                      <w:marRight w:val="0"/>
                      <w:marTop w:val="0"/>
                      <w:marBottom w:val="0"/>
                      <w:divBdr>
                        <w:top w:val="none" w:sz="0" w:space="0" w:color="auto"/>
                        <w:left w:val="none" w:sz="0" w:space="0" w:color="auto"/>
                        <w:bottom w:val="none" w:sz="0" w:space="0" w:color="auto"/>
                        <w:right w:val="none" w:sz="0" w:space="0" w:color="auto"/>
                      </w:divBdr>
                    </w:div>
                  </w:divsChild>
                </w:div>
                <w:div w:id="1684815642">
                  <w:marLeft w:val="0"/>
                  <w:marRight w:val="0"/>
                  <w:marTop w:val="0"/>
                  <w:marBottom w:val="0"/>
                  <w:divBdr>
                    <w:top w:val="none" w:sz="0" w:space="0" w:color="auto"/>
                    <w:left w:val="none" w:sz="0" w:space="0" w:color="auto"/>
                    <w:bottom w:val="none" w:sz="0" w:space="0" w:color="auto"/>
                    <w:right w:val="none" w:sz="0" w:space="0" w:color="auto"/>
                  </w:divBdr>
                  <w:divsChild>
                    <w:div w:id="1628976071">
                      <w:marLeft w:val="0"/>
                      <w:marRight w:val="0"/>
                      <w:marTop w:val="0"/>
                      <w:marBottom w:val="0"/>
                      <w:divBdr>
                        <w:top w:val="none" w:sz="0" w:space="0" w:color="auto"/>
                        <w:left w:val="none" w:sz="0" w:space="0" w:color="auto"/>
                        <w:bottom w:val="none" w:sz="0" w:space="0" w:color="auto"/>
                        <w:right w:val="none" w:sz="0" w:space="0" w:color="auto"/>
                      </w:divBdr>
                    </w:div>
                  </w:divsChild>
                </w:div>
                <w:div w:id="1706178336">
                  <w:marLeft w:val="0"/>
                  <w:marRight w:val="0"/>
                  <w:marTop w:val="0"/>
                  <w:marBottom w:val="0"/>
                  <w:divBdr>
                    <w:top w:val="none" w:sz="0" w:space="0" w:color="auto"/>
                    <w:left w:val="none" w:sz="0" w:space="0" w:color="auto"/>
                    <w:bottom w:val="none" w:sz="0" w:space="0" w:color="auto"/>
                    <w:right w:val="none" w:sz="0" w:space="0" w:color="auto"/>
                  </w:divBdr>
                  <w:divsChild>
                    <w:div w:id="40255458">
                      <w:marLeft w:val="0"/>
                      <w:marRight w:val="0"/>
                      <w:marTop w:val="0"/>
                      <w:marBottom w:val="0"/>
                      <w:divBdr>
                        <w:top w:val="none" w:sz="0" w:space="0" w:color="auto"/>
                        <w:left w:val="none" w:sz="0" w:space="0" w:color="auto"/>
                        <w:bottom w:val="none" w:sz="0" w:space="0" w:color="auto"/>
                        <w:right w:val="none" w:sz="0" w:space="0" w:color="auto"/>
                      </w:divBdr>
                    </w:div>
                  </w:divsChild>
                </w:div>
                <w:div w:id="1751997376">
                  <w:marLeft w:val="0"/>
                  <w:marRight w:val="0"/>
                  <w:marTop w:val="0"/>
                  <w:marBottom w:val="0"/>
                  <w:divBdr>
                    <w:top w:val="none" w:sz="0" w:space="0" w:color="auto"/>
                    <w:left w:val="none" w:sz="0" w:space="0" w:color="auto"/>
                    <w:bottom w:val="none" w:sz="0" w:space="0" w:color="auto"/>
                    <w:right w:val="none" w:sz="0" w:space="0" w:color="auto"/>
                  </w:divBdr>
                  <w:divsChild>
                    <w:div w:id="1324965997">
                      <w:marLeft w:val="0"/>
                      <w:marRight w:val="0"/>
                      <w:marTop w:val="0"/>
                      <w:marBottom w:val="0"/>
                      <w:divBdr>
                        <w:top w:val="none" w:sz="0" w:space="0" w:color="auto"/>
                        <w:left w:val="none" w:sz="0" w:space="0" w:color="auto"/>
                        <w:bottom w:val="none" w:sz="0" w:space="0" w:color="auto"/>
                        <w:right w:val="none" w:sz="0" w:space="0" w:color="auto"/>
                      </w:divBdr>
                    </w:div>
                  </w:divsChild>
                </w:div>
                <w:div w:id="1761098789">
                  <w:marLeft w:val="0"/>
                  <w:marRight w:val="0"/>
                  <w:marTop w:val="0"/>
                  <w:marBottom w:val="0"/>
                  <w:divBdr>
                    <w:top w:val="none" w:sz="0" w:space="0" w:color="auto"/>
                    <w:left w:val="none" w:sz="0" w:space="0" w:color="auto"/>
                    <w:bottom w:val="none" w:sz="0" w:space="0" w:color="auto"/>
                    <w:right w:val="none" w:sz="0" w:space="0" w:color="auto"/>
                  </w:divBdr>
                  <w:divsChild>
                    <w:div w:id="1208378107">
                      <w:marLeft w:val="0"/>
                      <w:marRight w:val="0"/>
                      <w:marTop w:val="0"/>
                      <w:marBottom w:val="0"/>
                      <w:divBdr>
                        <w:top w:val="none" w:sz="0" w:space="0" w:color="auto"/>
                        <w:left w:val="none" w:sz="0" w:space="0" w:color="auto"/>
                        <w:bottom w:val="none" w:sz="0" w:space="0" w:color="auto"/>
                        <w:right w:val="none" w:sz="0" w:space="0" w:color="auto"/>
                      </w:divBdr>
                    </w:div>
                  </w:divsChild>
                </w:div>
                <w:div w:id="1782146121">
                  <w:marLeft w:val="0"/>
                  <w:marRight w:val="0"/>
                  <w:marTop w:val="0"/>
                  <w:marBottom w:val="0"/>
                  <w:divBdr>
                    <w:top w:val="none" w:sz="0" w:space="0" w:color="auto"/>
                    <w:left w:val="none" w:sz="0" w:space="0" w:color="auto"/>
                    <w:bottom w:val="none" w:sz="0" w:space="0" w:color="auto"/>
                    <w:right w:val="none" w:sz="0" w:space="0" w:color="auto"/>
                  </w:divBdr>
                  <w:divsChild>
                    <w:div w:id="1614552149">
                      <w:marLeft w:val="0"/>
                      <w:marRight w:val="0"/>
                      <w:marTop w:val="0"/>
                      <w:marBottom w:val="0"/>
                      <w:divBdr>
                        <w:top w:val="none" w:sz="0" w:space="0" w:color="auto"/>
                        <w:left w:val="none" w:sz="0" w:space="0" w:color="auto"/>
                        <w:bottom w:val="none" w:sz="0" w:space="0" w:color="auto"/>
                        <w:right w:val="none" w:sz="0" w:space="0" w:color="auto"/>
                      </w:divBdr>
                    </w:div>
                  </w:divsChild>
                </w:div>
                <w:div w:id="1837070042">
                  <w:marLeft w:val="0"/>
                  <w:marRight w:val="0"/>
                  <w:marTop w:val="0"/>
                  <w:marBottom w:val="0"/>
                  <w:divBdr>
                    <w:top w:val="none" w:sz="0" w:space="0" w:color="auto"/>
                    <w:left w:val="none" w:sz="0" w:space="0" w:color="auto"/>
                    <w:bottom w:val="none" w:sz="0" w:space="0" w:color="auto"/>
                    <w:right w:val="none" w:sz="0" w:space="0" w:color="auto"/>
                  </w:divBdr>
                  <w:divsChild>
                    <w:div w:id="2110155646">
                      <w:marLeft w:val="0"/>
                      <w:marRight w:val="0"/>
                      <w:marTop w:val="0"/>
                      <w:marBottom w:val="0"/>
                      <w:divBdr>
                        <w:top w:val="none" w:sz="0" w:space="0" w:color="auto"/>
                        <w:left w:val="none" w:sz="0" w:space="0" w:color="auto"/>
                        <w:bottom w:val="none" w:sz="0" w:space="0" w:color="auto"/>
                        <w:right w:val="none" w:sz="0" w:space="0" w:color="auto"/>
                      </w:divBdr>
                    </w:div>
                  </w:divsChild>
                </w:div>
                <w:div w:id="1858612506">
                  <w:marLeft w:val="0"/>
                  <w:marRight w:val="0"/>
                  <w:marTop w:val="0"/>
                  <w:marBottom w:val="0"/>
                  <w:divBdr>
                    <w:top w:val="none" w:sz="0" w:space="0" w:color="auto"/>
                    <w:left w:val="none" w:sz="0" w:space="0" w:color="auto"/>
                    <w:bottom w:val="none" w:sz="0" w:space="0" w:color="auto"/>
                    <w:right w:val="none" w:sz="0" w:space="0" w:color="auto"/>
                  </w:divBdr>
                  <w:divsChild>
                    <w:div w:id="1207522623">
                      <w:marLeft w:val="0"/>
                      <w:marRight w:val="0"/>
                      <w:marTop w:val="0"/>
                      <w:marBottom w:val="0"/>
                      <w:divBdr>
                        <w:top w:val="none" w:sz="0" w:space="0" w:color="auto"/>
                        <w:left w:val="none" w:sz="0" w:space="0" w:color="auto"/>
                        <w:bottom w:val="none" w:sz="0" w:space="0" w:color="auto"/>
                        <w:right w:val="none" w:sz="0" w:space="0" w:color="auto"/>
                      </w:divBdr>
                    </w:div>
                  </w:divsChild>
                </w:div>
                <w:div w:id="1893685303">
                  <w:marLeft w:val="0"/>
                  <w:marRight w:val="0"/>
                  <w:marTop w:val="0"/>
                  <w:marBottom w:val="0"/>
                  <w:divBdr>
                    <w:top w:val="none" w:sz="0" w:space="0" w:color="auto"/>
                    <w:left w:val="none" w:sz="0" w:space="0" w:color="auto"/>
                    <w:bottom w:val="none" w:sz="0" w:space="0" w:color="auto"/>
                    <w:right w:val="none" w:sz="0" w:space="0" w:color="auto"/>
                  </w:divBdr>
                  <w:divsChild>
                    <w:div w:id="201141054">
                      <w:marLeft w:val="0"/>
                      <w:marRight w:val="0"/>
                      <w:marTop w:val="0"/>
                      <w:marBottom w:val="0"/>
                      <w:divBdr>
                        <w:top w:val="none" w:sz="0" w:space="0" w:color="auto"/>
                        <w:left w:val="none" w:sz="0" w:space="0" w:color="auto"/>
                        <w:bottom w:val="none" w:sz="0" w:space="0" w:color="auto"/>
                        <w:right w:val="none" w:sz="0" w:space="0" w:color="auto"/>
                      </w:divBdr>
                    </w:div>
                  </w:divsChild>
                </w:div>
                <w:div w:id="1958217406">
                  <w:marLeft w:val="0"/>
                  <w:marRight w:val="0"/>
                  <w:marTop w:val="0"/>
                  <w:marBottom w:val="0"/>
                  <w:divBdr>
                    <w:top w:val="none" w:sz="0" w:space="0" w:color="auto"/>
                    <w:left w:val="none" w:sz="0" w:space="0" w:color="auto"/>
                    <w:bottom w:val="none" w:sz="0" w:space="0" w:color="auto"/>
                    <w:right w:val="none" w:sz="0" w:space="0" w:color="auto"/>
                  </w:divBdr>
                  <w:divsChild>
                    <w:div w:id="1480687321">
                      <w:marLeft w:val="0"/>
                      <w:marRight w:val="0"/>
                      <w:marTop w:val="0"/>
                      <w:marBottom w:val="0"/>
                      <w:divBdr>
                        <w:top w:val="none" w:sz="0" w:space="0" w:color="auto"/>
                        <w:left w:val="none" w:sz="0" w:space="0" w:color="auto"/>
                        <w:bottom w:val="none" w:sz="0" w:space="0" w:color="auto"/>
                        <w:right w:val="none" w:sz="0" w:space="0" w:color="auto"/>
                      </w:divBdr>
                    </w:div>
                  </w:divsChild>
                </w:div>
                <w:div w:id="1972704905">
                  <w:marLeft w:val="0"/>
                  <w:marRight w:val="0"/>
                  <w:marTop w:val="0"/>
                  <w:marBottom w:val="0"/>
                  <w:divBdr>
                    <w:top w:val="none" w:sz="0" w:space="0" w:color="auto"/>
                    <w:left w:val="none" w:sz="0" w:space="0" w:color="auto"/>
                    <w:bottom w:val="none" w:sz="0" w:space="0" w:color="auto"/>
                    <w:right w:val="none" w:sz="0" w:space="0" w:color="auto"/>
                  </w:divBdr>
                  <w:divsChild>
                    <w:div w:id="2054040632">
                      <w:marLeft w:val="0"/>
                      <w:marRight w:val="0"/>
                      <w:marTop w:val="0"/>
                      <w:marBottom w:val="0"/>
                      <w:divBdr>
                        <w:top w:val="none" w:sz="0" w:space="0" w:color="auto"/>
                        <w:left w:val="none" w:sz="0" w:space="0" w:color="auto"/>
                        <w:bottom w:val="none" w:sz="0" w:space="0" w:color="auto"/>
                        <w:right w:val="none" w:sz="0" w:space="0" w:color="auto"/>
                      </w:divBdr>
                    </w:div>
                  </w:divsChild>
                </w:div>
                <w:div w:id="2005277661">
                  <w:marLeft w:val="0"/>
                  <w:marRight w:val="0"/>
                  <w:marTop w:val="0"/>
                  <w:marBottom w:val="0"/>
                  <w:divBdr>
                    <w:top w:val="none" w:sz="0" w:space="0" w:color="auto"/>
                    <w:left w:val="none" w:sz="0" w:space="0" w:color="auto"/>
                    <w:bottom w:val="none" w:sz="0" w:space="0" w:color="auto"/>
                    <w:right w:val="none" w:sz="0" w:space="0" w:color="auto"/>
                  </w:divBdr>
                  <w:divsChild>
                    <w:div w:id="1124614328">
                      <w:marLeft w:val="0"/>
                      <w:marRight w:val="0"/>
                      <w:marTop w:val="0"/>
                      <w:marBottom w:val="0"/>
                      <w:divBdr>
                        <w:top w:val="none" w:sz="0" w:space="0" w:color="auto"/>
                        <w:left w:val="none" w:sz="0" w:space="0" w:color="auto"/>
                        <w:bottom w:val="none" w:sz="0" w:space="0" w:color="auto"/>
                        <w:right w:val="none" w:sz="0" w:space="0" w:color="auto"/>
                      </w:divBdr>
                    </w:div>
                  </w:divsChild>
                </w:div>
                <w:div w:id="2061905265">
                  <w:marLeft w:val="0"/>
                  <w:marRight w:val="0"/>
                  <w:marTop w:val="0"/>
                  <w:marBottom w:val="0"/>
                  <w:divBdr>
                    <w:top w:val="none" w:sz="0" w:space="0" w:color="auto"/>
                    <w:left w:val="none" w:sz="0" w:space="0" w:color="auto"/>
                    <w:bottom w:val="none" w:sz="0" w:space="0" w:color="auto"/>
                    <w:right w:val="none" w:sz="0" w:space="0" w:color="auto"/>
                  </w:divBdr>
                  <w:divsChild>
                    <w:div w:id="20058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69679">
          <w:marLeft w:val="0"/>
          <w:marRight w:val="0"/>
          <w:marTop w:val="0"/>
          <w:marBottom w:val="0"/>
          <w:divBdr>
            <w:top w:val="none" w:sz="0" w:space="0" w:color="auto"/>
            <w:left w:val="none" w:sz="0" w:space="0" w:color="auto"/>
            <w:bottom w:val="none" w:sz="0" w:space="0" w:color="auto"/>
            <w:right w:val="none" w:sz="0" w:space="0" w:color="auto"/>
          </w:divBdr>
        </w:div>
        <w:div w:id="1755081970">
          <w:marLeft w:val="0"/>
          <w:marRight w:val="0"/>
          <w:marTop w:val="0"/>
          <w:marBottom w:val="0"/>
          <w:divBdr>
            <w:top w:val="none" w:sz="0" w:space="0" w:color="auto"/>
            <w:left w:val="none" w:sz="0" w:space="0" w:color="auto"/>
            <w:bottom w:val="none" w:sz="0" w:space="0" w:color="auto"/>
            <w:right w:val="none" w:sz="0" w:space="0" w:color="auto"/>
          </w:divBdr>
        </w:div>
        <w:div w:id="1769228245">
          <w:marLeft w:val="0"/>
          <w:marRight w:val="0"/>
          <w:marTop w:val="0"/>
          <w:marBottom w:val="0"/>
          <w:divBdr>
            <w:top w:val="none" w:sz="0" w:space="0" w:color="auto"/>
            <w:left w:val="none" w:sz="0" w:space="0" w:color="auto"/>
            <w:bottom w:val="none" w:sz="0" w:space="0" w:color="auto"/>
            <w:right w:val="none" w:sz="0" w:space="0" w:color="auto"/>
          </w:divBdr>
          <w:divsChild>
            <w:div w:id="692339983">
              <w:marLeft w:val="-75"/>
              <w:marRight w:val="0"/>
              <w:marTop w:val="30"/>
              <w:marBottom w:val="30"/>
              <w:divBdr>
                <w:top w:val="none" w:sz="0" w:space="0" w:color="auto"/>
                <w:left w:val="none" w:sz="0" w:space="0" w:color="auto"/>
                <w:bottom w:val="none" w:sz="0" w:space="0" w:color="auto"/>
                <w:right w:val="none" w:sz="0" w:space="0" w:color="auto"/>
              </w:divBdr>
              <w:divsChild>
                <w:div w:id="5136604">
                  <w:marLeft w:val="0"/>
                  <w:marRight w:val="0"/>
                  <w:marTop w:val="0"/>
                  <w:marBottom w:val="0"/>
                  <w:divBdr>
                    <w:top w:val="none" w:sz="0" w:space="0" w:color="auto"/>
                    <w:left w:val="none" w:sz="0" w:space="0" w:color="auto"/>
                    <w:bottom w:val="none" w:sz="0" w:space="0" w:color="auto"/>
                    <w:right w:val="none" w:sz="0" w:space="0" w:color="auto"/>
                  </w:divBdr>
                  <w:divsChild>
                    <w:div w:id="374351648">
                      <w:marLeft w:val="0"/>
                      <w:marRight w:val="0"/>
                      <w:marTop w:val="0"/>
                      <w:marBottom w:val="0"/>
                      <w:divBdr>
                        <w:top w:val="none" w:sz="0" w:space="0" w:color="auto"/>
                        <w:left w:val="none" w:sz="0" w:space="0" w:color="auto"/>
                        <w:bottom w:val="none" w:sz="0" w:space="0" w:color="auto"/>
                        <w:right w:val="none" w:sz="0" w:space="0" w:color="auto"/>
                      </w:divBdr>
                    </w:div>
                  </w:divsChild>
                </w:div>
                <w:div w:id="31922486">
                  <w:marLeft w:val="0"/>
                  <w:marRight w:val="0"/>
                  <w:marTop w:val="0"/>
                  <w:marBottom w:val="0"/>
                  <w:divBdr>
                    <w:top w:val="none" w:sz="0" w:space="0" w:color="auto"/>
                    <w:left w:val="none" w:sz="0" w:space="0" w:color="auto"/>
                    <w:bottom w:val="none" w:sz="0" w:space="0" w:color="auto"/>
                    <w:right w:val="none" w:sz="0" w:space="0" w:color="auto"/>
                  </w:divBdr>
                  <w:divsChild>
                    <w:div w:id="1857378250">
                      <w:marLeft w:val="0"/>
                      <w:marRight w:val="0"/>
                      <w:marTop w:val="0"/>
                      <w:marBottom w:val="0"/>
                      <w:divBdr>
                        <w:top w:val="none" w:sz="0" w:space="0" w:color="auto"/>
                        <w:left w:val="none" w:sz="0" w:space="0" w:color="auto"/>
                        <w:bottom w:val="none" w:sz="0" w:space="0" w:color="auto"/>
                        <w:right w:val="none" w:sz="0" w:space="0" w:color="auto"/>
                      </w:divBdr>
                    </w:div>
                  </w:divsChild>
                </w:div>
                <w:div w:id="41222811">
                  <w:marLeft w:val="0"/>
                  <w:marRight w:val="0"/>
                  <w:marTop w:val="0"/>
                  <w:marBottom w:val="0"/>
                  <w:divBdr>
                    <w:top w:val="none" w:sz="0" w:space="0" w:color="auto"/>
                    <w:left w:val="none" w:sz="0" w:space="0" w:color="auto"/>
                    <w:bottom w:val="none" w:sz="0" w:space="0" w:color="auto"/>
                    <w:right w:val="none" w:sz="0" w:space="0" w:color="auto"/>
                  </w:divBdr>
                  <w:divsChild>
                    <w:div w:id="148790879">
                      <w:marLeft w:val="0"/>
                      <w:marRight w:val="0"/>
                      <w:marTop w:val="0"/>
                      <w:marBottom w:val="0"/>
                      <w:divBdr>
                        <w:top w:val="none" w:sz="0" w:space="0" w:color="auto"/>
                        <w:left w:val="none" w:sz="0" w:space="0" w:color="auto"/>
                        <w:bottom w:val="none" w:sz="0" w:space="0" w:color="auto"/>
                        <w:right w:val="none" w:sz="0" w:space="0" w:color="auto"/>
                      </w:divBdr>
                    </w:div>
                  </w:divsChild>
                </w:div>
                <w:div w:id="80957471">
                  <w:marLeft w:val="0"/>
                  <w:marRight w:val="0"/>
                  <w:marTop w:val="0"/>
                  <w:marBottom w:val="0"/>
                  <w:divBdr>
                    <w:top w:val="none" w:sz="0" w:space="0" w:color="auto"/>
                    <w:left w:val="none" w:sz="0" w:space="0" w:color="auto"/>
                    <w:bottom w:val="none" w:sz="0" w:space="0" w:color="auto"/>
                    <w:right w:val="none" w:sz="0" w:space="0" w:color="auto"/>
                  </w:divBdr>
                  <w:divsChild>
                    <w:div w:id="1239900927">
                      <w:marLeft w:val="0"/>
                      <w:marRight w:val="0"/>
                      <w:marTop w:val="0"/>
                      <w:marBottom w:val="0"/>
                      <w:divBdr>
                        <w:top w:val="none" w:sz="0" w:space="0" w:color="auto"/>
                        <w:left w:val="none" w:sz="0" w:space="0" w:color="auto"/>
                        <w:bottom w:val="none" w:sz="0" w:space="0" w:color="auto"/>
                        <w:right w:val="none" w:sz="0" w:space="0" w:color="auto"/>
                      </w:divBdr>
                    </w:div>
                  </w:divsChild>
                </w:div>
                <w:div w:id="140117351">
                  <w:marLeft w:val="0"/>
                  <w:marRight w:val="0"/>
                  <w:marTop w:val="0"/>
                  <w:marBottom w:val="0"/>
                  <w:divBdr>
                    <w:top w:val="none" w:sz="0" w:space="0" w:color="auto"/>
                    <w:left w:val="none" w:sz="0" w:space="0" w:color="auto"/>
                    <w:bottom w:val="none" w:sz="0" w:space="0" w:color="auto"/>
                    <w:right w:val="none" w:sz="0" w:space="0" w:color="auto"/>
                  </w:divBdr>
                  <w:divsChild>
                    <w:div w:id="686832571">
                      <w:marLeft w:val="0"/>
                      <w:marRight w:val="0"/>
                      <w:marTop w:val="0"/>
                      <w:marBottom w:val="0"/>
                      <w:divBdr>
                        <w:top w:val="none" w:sz="0" w:space="0" w:color="auto"/>
                        <w:left w:val="none" w:sz="0" w:space="0" w:color="auto"/>
                        <w:bottom w:val="none" w:sz="0" w:space="0" w:color="auto"/>
                        <w:right w:val="none" w:sz="0" w:space="0" w:color="auto"/>
                      </w:divBdr>
                    </w:div>
                  </w:divsChild>
                </w:div>
                <w:div w:id="226376310">
                  <w:marLeft w:val="0"/>
                  <w:marRight w:val="0"/>
                  <w:marTop w:val="0"/>
                  <w:marBottom w:val="0"/>
                  <w:divBdr>
                    <w:top w:val="none" w:sz="0" w:space="0" w:color="auto"/>
                    <w:left w:val="none" w:sz="0" w:space="0" w:color="auto"/>
                    <w:bottom w:val="none" w:sz="0" w:space="0" w:color="auto"/>
                    <w:right w:val="none" w:sz="0" w:space="0" w:color="auto"/>
                  </w:divBdr>
                  <w:divsChild>
                    <w:div w:id="1853103049">
                      <w:marLeft w:val="0"/>
                      <w:marRight w:val="0"/>
                      <w:marTop w:val="0"/>
                      <w:marBottom w:val="0"/>
                      <w:divBdr>
                        <w:top w:val="none" w:sz="0" w:space="0" w:color="auto"/>
                        <w:left w:val="none" w:sz="0" w:space="0" w:color="auto"/>
                        <w:bottom w:val="none" w:sz="0" w:space="0" w:color="auto"/>
                        <w:right w:val="none" w:sz="0" w:space="0" w:color="auto"/>
                      </w:divBdr>
                    </w:div>
                  </w:divsChild>
                </w:div>
                <w:div w:id="266932365">
                  <w:marLeft w:val="0"/>
                  <w:marRight w:val="0"/>
                  <w:marTop w:val="0"/>
                  <w:marBottom w:val="0"/>
                  <w:divBdr>
                    <w:top w:val="none" w:sz="0" w:space="0" w:color="auto"/>
                    <w:left w:val="none" w:sz="0" w:space="0" w:color="auto"/>
                    <w:bottom w:val="none" w:sz="0" w:space="0" w:color="auto"/>
                    <w:right w:val="none" w:sz="0" w:space="0" w:color="auto"/>
                  </w:divBdr>
                  <w:divsChild>
                    <w:div w:id="878514511">
                      <w:marLeft w:val="0"/>
                      <w:marRight w:val="0"/>
                      <w:marTop w:val="0"/>
                      <w:marBottom w:val="0"/>
                      <w:divBdr>
                        <w:top w:val="none" w:sz="0" w:space="0" w:color="auto"/>
                        <w:left w:val="none" w:sz="0" w:space="0" w:color="auto"/>
                        <w:bottom w:val="none" w:sz="0" w:space="0" w:color="auto"/>
                        <w:right w:val="none" w:sz="0" w:space="0" w:color="auto"/>
                      </w:divBdr>
                    </w:div>
                  </w:divsChild>
                </w:div>
                <w:div w:id="299462964">
                  <w:marLeft w:val="0"/>
                  <w:marRight w:val="0"/>
                  <w:marTop w:val="0"/>
                  <w:marBottom w:val="0"/>
                  <w:divBdr>
                    <w:top w:val="none" w:sz="0" w:space="0" w:color="auto"/>
                    <w:left w:val="none" w:sz="0" w:space="0" w:color="auto"/>
                    <w:bottom w:val="none" w:sz="0" w:space="0" w:color="auto"/>
                    <w:right w:val="none" w:sz="0" w:space="0" w:color="auto"/>
                  </w:divBdr>
                  <w:divsChild>
                    <w:div w:id="1536694311">
                      <w:marLeft w:val="0"/>
                      <w:marRight w:val="0"/>
                      <w:marTop w:val="0"/>
                      <w:marBottom w:val="0"/>
                      <w:divBdr>
                        <w:top w:val="none" w:sz="0" w:space="0" w:color="auto"/>
                        <w:left w:val="none" w:sz="0" w:space="0" w:color="auto"/>
                        <w:bottom w:val="none" w:sz="0" w:space="0" w:color="auto"/>
                        <w:right w:val="none" w:sz="0" w:space="0" w:color="auto"/>
                      </w:divBdr>
                    </w:div>
                  </w:divsChild>
                </w:div>
                <w:div w:id="320693230">
                  <w:marLeft w:val="0"/>
                  <w:marRight w:val="0"/>
                  <w:marTop w:val="0"/>
                  <w:marBottom w:val="0"/>
                  <w:divBdr>
                    <w:top w:val="none" w:sz="0" w:space="0" w:color="auto"/>
                    <w:left w:val="none" w:sz="0" w:space="0" w:color="auto"/>
                    <w:bottom w:val="none" w:sz="0" w:space="0" w:color="auto"/>
                    <w:right w:val="none" w:sz="0" w:space="0" w:color="auto"/>
                  </w:divBdr>
                  <w:divsChild>
                    <w:div w:id="430127659">
                      <w:marLeft w:val="0"/>
                      <w:marRight w:val="0"/>
                      <w:marTop w:val="0"/>
                      <w:marBottom w:val="0"/>
                      <w:divBdr>
                        <w:top w:val="none" w:sz="0" w:space="0" w:color="auto"/>
                        <w:left w:val="none" w:sz="0" w:space="0" w:color="auto"/>
                        <w:bottom w:val="none" w:sz="0" w:space="0" w:color="auto"/>
                        <w:right w:val="none" w:sz="0" w:space="0" w:color="auto"/>
                      </w:divBdr>
                    </w:div>
                  </w:divsChild>
                </w:div>
                <w:div w:id="388461683">
                  <w:marLeft w:val="0"/>
                  <w:marRight w:val="0"/>
                  <w:marTop w:val="0"/>
                  <w:marBottom w:val="0"/>
                  <w:divBdr>
                    <w:top w:val="none" w:sz="0" w:space="0" w:color="auto"/>
                    <w:left w:val="none" w:sz="0" w:space="0" w:color="auto"/>
                    <w:bottom w:val="none" w:sz="0" w:space="0" w:color="auto"/>
                    <w:right w:val="none" w:sz="0" w:space="0" w:color="auto"/>
                  </w:divBdr>
                  <w:divsChild>
                    <w:div w:id="1752853322">
                      <w:marLeft w:val="0"/>
                      <w:marRight w:val="0"/>
                      <w:marTop w:val="0"/>
                      <w:marBottom w:val="0"/>
                      <w:divBdr>
                        <w:top w:val="none" w:sz="0" w:space="0" w:color="auto"/>
                        <w:left w:val="none" w:sz="0" w:space="0" w:color="auto"/>
                        <w:bottom w:val="none" w:sz="0" w:space="0" w:color="auto"/>
                        <w:right w:val="none" w:sz="0" w:space="0" w:color="auto"/>
                      </w:divBdr>
                    </w:div>
                  </w:divsChild>
                </w:div>
                <w:div w:id="463893692">
                  <w:marLeft w:val="0"/>
                  <w:marRight w:val="0"/>
                  <w:marTop w:val="0"/>
                  <w:marBottom w:val="0"/>
                  <w:divBdr>
                    <w:top w:val="none" w:sz="0" w:space="0" w:color="auto"/>
                    <w:left w:val="none" w:sz="0" w:space="0" w:color="auto"/>
                    <w:bottom w:val="none" w:sz="0" w:space="0" w:color="auto"/>
                    <w:right w:val="none" w:sz="0" w:space="0" w:color="auto"/>
                  </w:divBdr>
                  <w:divsChild>
                    <w:div w:id="756556993">
                      <w:marLeft w:val="0"/>
                      <w:marRight w:val="0"/>
                      <w:marTop w:val="0"/>
                      <w:marBottom w:val="0"/>
                      <w:divBdr>
                        <w:top w:val="none" w:sz="0" w:space="0" w:color="auto"/>
                        <w:left w:val="none" w:sz="0" w:space="0" w:color="auto"/>
                        <w:bottom w:val="none" w:sz="0" w:space="0" w:color="auto"/>
                        <w:right w:val="none" w:sz="0" w:space="0" w:color="auto"/>
                      </w:divBdr>
                    </w:div>
                  </w:divsChild>
                </w:div>
                <w:div w:id="480003461">
                  <w:marLeft w:val="0"/>
                  <w:marRight w:val="0"/>
                  <w:marTop w:val="0"/>
                  <w:marBottom w:val="0"/>
                  <w:divBdr>
                    <w:top w:val="none" w:sz="0" w:space="0" w:color="auto"/>
                    <w:left w:val="none" w:sz="0" w:space="0" w:color="auto"/>
                    <w:bottom w:val="none" w:sz="0" w:space="0" w:color="auto"/>
                    <w:right w:val="none" w:sz="0" w:space="0" w:color="auto"/>
                  </w:divBdr>
                  <w:divsChild>
                    <w:div w:id="1757705058">
                      <w:marLeft w:val="0"/>
                      <w:marRight w:val="0"/>
                      <w:marTop w:val="0"/>
                      <w:marBottom w:val="0"/>
                      <w:divBdr>
                        <w:top w:val="none" w:sz="0" w:space="0" w:color="auto"/>
                        <w:left w:val="none" w:sz="0" w:space="0" w:color="auto"/>
                        <w:bottom w:val="none" w:sz="0" w:space="0" w:color="auto"/>
                        <w:right w:val="none" w:sz="0" w:space="0" w:color="auto"/>
                      </w:divBdr>
                    </w:div>
                  </w:divsChild>
                </w:div>
                <w:div w:id="491137805">
                  <w:marLeft w:val="0"/>
                  <w:marRight w:val="0"/>
                  <w:marTop w:val="0"/>
                  <w:marBottom w:val="0"/>
                  <w:divBdr>
                    <w:top w:val="none" w:sz="0" w:space="0" w:color="auto"/>
                    <w:left w:val="none" w:sz="0" w:space="0" w:color="auto"/>
                    <w:bottom w:val="none" w:sz="0" w:space="0" w:color="auto"/>
                    <w:right w:val="none" w:sz="0" w:space="0" w:color="auto"/>
                  </w:divBdr>
                  <w:divsChild>
                    <w:div w:id="699627986">
                      <w:marLeft w:val="0"/>
                      <w:marRight w:val="0"/>
                      <w:marTop w:val="0"/>
                      <w:marBottom w:val="0"/>
                      <w:divBdr>
                        <w:top w:val="none" w:sz="0" w:space="0" w:color="auto"/>
                        <w:left w:val="none" w:sz="0" w:space="0" w:color="auto"/>
                        <w:bottom w:val="none" w:sz="0" w:space="0" w:color="auto"/>
                        <w:right w:val="none" w:sz="0" w:space="0" w:color="auto"/>
                      </w:divBdr>
                    </w:div>
                  </w:divsChild>
                </w:div>
                <w:div w:id="533470219">
                  <w:marLeft w:val="0"/>
                  <w:marRight w:val="0"/>
                  <w:marTop w:val="0"/>
                  <w:marBottom w:val="0"/>
                  <w:divBdr>
                    <w:top w:val="none" w:sz="0" w:space="0" w:color="auto"/>
                    <w:left w:val="none" w:sz="0" w:space="0" w:color="auto"/>
                    <w:bottom w:val="none" w:sz="0" w:space="0" w:color="auto"/>
                    <w:right w:val="none" w:sz="0" w:space="0" w:color="auto"/>
                  </w:divBdr>
                  <w:divsChild>
                    <w:div w:id="1251543615">
                      <w:marLeft w:val="0"/>
                      <w:marRight w:val="0"/>
                      <w:marTop w:val="0"/>
                      <w:marBottom w:val="0"/>
                      <w:divBdr>
                        <w:top w:val="none" w:sz="0" w:space="0" w:color="auto"/>
                        <w:left w:val="none" w:sz="0" w:space="0" w:color="auto"/>
                        <w:bottom w:val="none" w:sz="0" w:space="0" w:color="auto"/>
                        <w:right w:val="none" w:sz="0" w:space="0" w:color="auto"/>
                      </w:divBdr>
                    </w:div>
                  </w:divsChild>
                </w:div>
                <w:div w:id="553083066">
                  <w:marLeft w:val="0"/>
                  <w:marRight w:val="0"/>
                  <w:marTop w:val="0"/>
                  <w:marBottom w:val="0"/>
                  <w:divBdr>
                    <w:top w:val="none" w:sz="0" w:space="0" w:color="auto"/>
                    <w:left w:val="none" w:sz="0" w:space="0" w:color="auto"/>
                    <w:bottom w:val="none" w:sz="0" w:space="0" w:color="auto"/>
                    <w:right w:val="none" w:sz="0" w:space="0" w:color="auto"/>
                  </w:divBdr>
                  <w:divsChild>
                    <w:div w:id="711198628">
                      <w:marLeft w:val="0"/>
                      <w:marRight w:val="0"/>
                      <w:marTop w:val="0"/>
                      <w:marBottom w:val="0"/>
                      <w:divBdr>
                        <w:top w:val="none" w:sz="0" w:space="0" w:color="auto"/>
                        <w:left w:val="none" w:sz="0" w:space="0" w:color="auto"/>
                        <w:bottom w:val="none" w:sz="0" w:space="0" w:color="auto"/>
                        <w:right w:val="none" w:sz="0" w:space="0" w:color="auto"/>
                      </w:divBdr>
                    </w:div>
                  </w:divsChild>
                </w:div>
                <w:div w:id="574049312">
                  <w:marLeft w:val="0"/>
                  <w:marRight w:val="0"/>
                  <w:marTop w:val="0"/>
                  <w:marBottom w:val="0"/>
                  <w:divBdr>
                    <w:top w:val="none" w:sz="0" w:space="0" w:color="auto"/>
                    <w:left w:val="none" w:sz="0" w:space="0" w:color="auto"/>
                    <w:bottom w:val="none" w:sz="0" w:space="0" w:color="auto"/>
                    <w:right w:val="none" w:sz="0" w:space="0" w:color="auto"/>
                  </w:divBdr>
                  <w:divsChild>
                    <w:div w:id="1239293948">
                      <w:marLeft w:val="0"/>
                      <w:marRight w:val="0"/>
                      <w:marTop w:val="0"/>
                      <w:marBottom w:val="0"/>
                      <w:divBdr>
                        <w:top w:val="none" w:sz="0" w:space="0" w:color="auto"/>
                        <w:left w:val="none" w:sz="0" w:space="0" w:color="auto"/>
                        <w:bottom w:val="none" w:sz="0" w:space="0" w:color="auto"/>
                        <w:right w:val="none" w:sz="0" w:space="0" w:color="auto"/>
                      </w:divBdr>
                    </w:div>
                  </w:divsChild>
                </w:div>
                <w:div w:id="593441279">
                  <w:marLeft w:val="0"/>
                  <w:marRight w:val="0"/>
                  <w:marTop w:val="0"/>
                  <w:marBottom w:val="0"/>
                  <w:divBdr>
                    <w:top w:val="none" w:sz="0" w:space="0" w:color="auto"/>
                    <w:left w:val="none" w:sz="0" w:space="0" w:color="auto"/>
                    <w:bottom w:val="none" w:sz="0" w:space="0" w:color="auto"/>
                    <w:right w:val="none" w:sz="0" w:space="0" w:color="auto"/>
                  </w:divBdr>
                  <w:divsChild>
                    <w:div w:id="227111755">
                      <w:marLeft w:val="0"/>
                      <w:marRight w:val="0"/>
                      <w:marTop w:val="0"/>
                      <w:marBottom w:val="0"/>
                      <w:divBdr>
                        <w:top w:val="none" w:sz="0" w:space="0" w:color="auto"/>
                        <w:left w:val="none" w:sz="0" w:space="0" w:color="auto"/>
                        <w:bottom w:val="none" w:sz="0" w:space="0" w:color="auto"/>
                        <w:right w:val="none" w:sz="0" w:space="0" w:color="auto"/>
                      </w:divBdr>
                    </w:div>
                  </w:divsChild>
                </w:div>
                <w:div w:id="649599049">
                  <w:marLeft w:val="0"/>
                  <w:marRight w:val="0"/>
                  <w:marTop w:val="0"/>
                  <w:marBottom w:val="0"/>
                  <w:divBdr>
                    <w:top w:val="none" w:sz="0" w:space="0" w:color="auto"/>
                    <w:left w:val="none" w:sz="0" w:space="0" w:color="auto"/>
                    <w:bottom w:val="none" w:sz="0" w:space="0" w:color="auto"/>
                    <w:right w:val="none" w:sz="0" w:space="0" w:color="auto"/>
                  </w:divBdr>
                  <w:divsChild>
                    <w:div w:id="1928297915">
                      <w:marLeft w:val="0"/>
                      <w:marRight w:val="0"/>
                      <w:marTop w:val="0"/>
                      <w:marBottom w:val="0"/>
                      <w:divBdr>
                        <w:top w:val="none" w:sz="0" w:space="0" w:color="auto"/>
                        <w:left w:val="none" w:sz="0" w:space="0" w:color="auto"/>
                        <w:bottom w:val="none" w:sz="0" w:space="0" w:color="auto"/>
                        <w:right w:val="none" w:sz="0" w:space="0" w:color="auto"/>
                      </w:divBdr>
                    </w:div>
                  </w:divsChild>
                </w:div>
                <w:div w:id="677390365">
                  <w:marLeft w:val="0"/>
                  <w:marRight w:val="0"/>
                  <w:marTop w:val="0"/>
                  <w:marBottom w:val="0"/>
                  <w:divBdr>
                    <w:top w:val="none" w:sz="0" w:space="0" w:color="auto"/>
                    <w:left w:val="none" w:sz="0" w:space="0" w:color="auto"/>
                    <w:bottom w:val="none" w:sz="0" w:space="0" w:color="auto"/>
                    <w:right w:val="none" w:sz="0" w:space="0" w:color="auto"/>
                  </w:divBdr>
                  <w:divsChild>
                    <w:div w:id="507453723">
                      <w:marLeft w:val="0"/>
                      <w:marRight w:val="0"/>
                      <w:marTop w:val="0"/>
                      <w:marBottom w:val="0"/>
                      <w:divBdr>
                        <w:top w:val="none" w:sz="0" w:space="0" w:color="auto"/>
                        <w:left w:val="none" w:sz="0" w:space="0" w:color="auto"/>
                        <w:bottom w:val="none" w:sz="0" w:space="0" w:color="auto"/>
                        <w:right w:val="none" w:sz="0" w:space="0" w:color="auto"/>
                      </w:divBdr>
                    </w:div>
                  </w:divsChild>
                </w:div>
                <w:div w:id="699549316">
                  <w:marLeft w:val="0"/>
                  <w:marRight w:val="0"/>
                  <w:marTop w:val="0"/>
                  <w:marBottom w:val="0"/>
                  <w:divBdr>
                    <w:top w:val="none" w:sz="0" w:space="0" w:color="auto"/>
                    <w:left w:val="none" w:sz="0" w:space="0" w:color="auto"/>
                    <w:bottom w:val="none" w:sz="0" w:space="0" w:color="auto"/>
                    <w:right w:val="none" w:sz="0" w:space="0" w:color="auto"/>
                  </w:divBdr>
                  <w:divsChild>
                    <w:div w:id="1632789408">
                      <w:marLeft w:val="0"/>
                      <w:marRight w:val="0"/>
                      <w:marTop w:val="0"/>
                      <w:marBottom w:val="0"/>
                      <w:divBdr>
                        <w:top w:val="none" w:sz="0" w:space="0" w:color="auto"/>
                        <w:left w:val="none" w:sz="0" w:space="0" w:color="auto"/>
                        <w:bottom w:val="none" w:sz="0" w:space="0" w:color="auto"/>
                        <w:right w:val="none" w:sz="0" w:space="0" w:color="auto"/>
                      </w:divBdr>
                    </w:div>
                  </w:divsChild>
                </w:div>
                <w:div w:id="711418530">
                  <w:marLeft w:val="0"/>
                  <w:marRight w:val="0"/>
                  <w:marTop w:val="0"/>
                  <w:marBottom w:val="0"/>
                  <w:divBdr>
                    <w:top w:val="none" w:sz="0" w:space="0" w:color="auto"/>
                    <w:left w:val="none" w:sz="0" w:space="0" w:color="auto"/>
                    <w:bottom w:val="none" w:sz="0" w:space="0" w:color="auto"/>
                    <w:right w:val="none" w:sz="0" w:space="0" w:color="auto"/>
                  </w:divBdr>
                  <w:divsChild>
                    <w:div w:id="881869990">
                      <w:marLeft w:val="0"/>
                      <w:marRight w:val="0"/>
                      <w:marTop w:val="0"/>
                      <w:marBottom w:val="0"/>
                      <w:divBdr>
                        <w:top w:val="none" w:sz="0" w:space="0" w:color="auto"/>
                        <w:left w:val="none" w:sz="0" w:space="0" w:color="auto"/>
                        <w:bottom w:val="none" w:sz="0" w:space="0" w:color="auto"/>
                        <w:right w:val="none" w:sz="0" w:space="0" w:color="auto"/>
                      </w:divBdr>
                    </w:div>
                  </w:divsChild>
                </w:div>
                <w:div w:id="723142650">
                  <w:marLeft w:val="0"/>
                  <w:marRight w:val="0"/>
                  <w:marTop w:val="0"/>
                  <w:marBottom w:val="0"/>
                  <w:divBdr>
                    <w:top w:val="none" w:sz="0" w:space="0" w:color="auto"/>
                    <w:left w:val="none" w:sz="0" w:space="0" w:color="auto"/>
                    <w:bottom w:val="none" w:sz="0" w:space="0" w:color="auto"/>
                    <w:right w:val="none" w:sz="0" w:space="0" w:color="auto"/>
                  </w:divBdr>
                  <w:divsChild>
                    <w:div w:id="807628308">
                      <w:marLeft w:val="0"/>
                      <w:marRight w:val="0"/>
                      <w:marTop w:val="0"/>
                      <w:marBottom w:val="0"/>
                      <w:divBdr>
                        <w:top w:val="none" w:sz="0" w:space="0" w:color="auto"/>
                        <w:left w:val="none" w:sz="0" w:space="0" w:color="auto"/>
                        <w:bottom w:val="none" w:sz="0" w:space="0" w:color="auto"/>
                        <w:right w:val="none" w:sz="0" w:space="0" w:color="auto"/>
                      </w:divBdr>
                    </w:div>
                  </w:divsChild>
                </w:div>
                <w:div w:id="800415618">
                  <w:marLeft w:val="0"/>
                  <w:marRight w:val="0"/>
                  <w:marTop w:val="0"/>
                  <w:marBottom w:val="0"/>
                  <w:divBdr>
                    <w:top w:val="none" w:sz="0" w:space="0" w:color="auto"/>
                    <w:left w:val="none" w:sz="0" w:space="0" w:color="auto"/>
                    <w:bottom w:val="none" w:sz="0" w:space="0" w:color="auto"/>
                    <w:right w:val="none" w:sz="0" w:space="0" w:color="auto"/>
                  </w:divBdr>
                  <w:divsChild>
                    <w:div w:id="1062756844">
                      <w:marLeft w:val="0"/>
                      <w:marRight w:val="0"/>
                      <w:marTop w:val="0"/>
                      <w:marBottom w:val="0"/>
                      <w:divBdr>
                        <w:top w:val="none" w:sz="0" w:space="0" w:color="auto"/>
                        <w:left w:val="none" w:sz="0" w:space="0" w:color="auto"/>
                        <w:bottom w:val="none" w:sz="0" w:space="0" w:color="auto"/>
                        <w:right w:val="none" w:sz="0" w:space="0" w:color="auto"/>
                      </w:divBdr>
                    </w:div>
                  </w:divsChild>
                </w:div>
                <w:div w:id="865874917">
                  <w:marLeft w:val="0"/>
                  <w:marRight w:val="0"/>
                  <w:marTop w:val="0"/>
                  <w:marBottom w:val="0"/>
                  <w:divBdr>
                    <w:top w:val="none" w:sz="0" w:space="0" w:color="auto"/>
                    <w:left w:val="none" w:sz="0" w:space="0" w:color="auto"/>
                    <w:bottom w:val="none" w:sz="0" w:space="0" w:color="auto"/>
                    <w:right w:val="none" w:sz="0" w:space="0" w:color="auto"/>
                  </w:divBdr>
                  <w:divsChild>
                    <w:div w:id="723337615">
                      <w:marLeft w:val="0"/>
                      <w:marRight w:val="0"/>
                      <w:marTop w:val="0"/>
                      <w:marBottom w:val="0"/>
                      <w:divBdr>
                        <w:top w:val="none" w:sz="0" w:space="0" w:color="auto"/>
                        <w:left w:val="none" w:sz="0" w:space="0" w:color="auto"/>
                        <w:bottom w:val="none" w:sz="0" w:space="0" w:color="auto"/>
                        <w:right w:val="none" w:sz="0" w:space="0" w:color="auto"/>
                      </w:divBdr>
                    </w:div>
                  </w:divsChild>
                </w:div>
                <w:div w:id="941571186">
                  <w:marLeft w:val="0"/>
                  <w:marRight w:val="0"/>
                  <w:marTop w:val="0"/>
                  <w:marBottom w:val="0"/>
                  <w:divBdr>
                    <w:top w:val="none" w:sz="0" w:space="0" w:color="auto"/>
                    <w:left w:val="none" w:sz="0" w:space="0" w:color="auto"/>
                    <w:bottom w:val="none" w:sz="0" w:space="0" w:color="auto"/>
                    <w:right w:val="none" w:sz="0" w:space="0" w:color="auto"/>
                  </w:divBdr>
                  <w:divsChild>
                    <w:div w:id="1232034934">
                      <w:marLeft w:val="0"/>
                      <w:marRight w:val="0"/>
                      <w:marTop w:val="0"/>
                      <w:marBottom w:val="0"/>
                      <w:divBdr>
                        <w:top w:val="none" w:sz="0" w:space="0" w:color="auto"/>
                        <w:left w:val="none" w:sz="0" w:space="0" w:color="auto"/>
                        <w:bottom w:val="none" w:sz="0" w:space="0" w:color="auto"/>
                        <w:right w:val="none" w:sz="0" w:space="0" w:color="auto"/>
                      </w:divBdr>
                    </w:div>
                  </w:divsChild>
                </w:div>
                <w:div w:id="975528206">
                  <w:marLeft w:val="0"/>
                  <w:marRight w:val="0"/>
                  <w:marTop w:val="0"/>
                  <w:marBottom w:val="0"/>
                  <w:divBdr>
                    <w:top w:val="none" w:sz="0" w:space="0" w:color="auto"/>
                    <w:left w:val="none" w:sz="0" w:space="0" w:color="auto"/>
                    <w:bottom w:val="none" w:sz="0" w:space="0" w:color="auto"/>
                    <w:right w:val="none" w:sz="0" w:space="0" w:color="auto"/>
                  </w:divBdr>
                  <w:divsChild>
                    <w:div w:id="1199319778">
                      <w:marLeft w:val="0"/>
                      <w:marRight w:val="0"/>
                      <w:marTop w:val="0"/>
                      <w:marBottom w:val="0"/>
                      <w:divBdr>
                        <w:top w:val="none" w:sz="0" w:space="0" w:color="auto"/>
                        <w:left w:val="none" w:sz="0" w:space="0" w:color="auto"/>
                        <w:bottom w:val="none" w:sz="0" w:space="0" w:color="auto"/>
                        <w:right w:val="none" w:sz="0" w:space="0" w:color="auto"/>
                      </w:divBdr>
                    </w:div>
                  </w:divsChild>
                </w:div>
                <w:div w:id="979725443">
                  <w:marLeft w:val="0"/>
                  <w:marRight w:val="0"/>
                  <w:marTop w:val="0"/>
                  <w:marBottom w:val="0"/>
                  <w:divBdr>
                    <w:top w:val="none" w:sz="0" w:space="0" w:color="auto"/>
                    <w:left w:val="none" w:sz="0" w:space="0" w:color="auto"/>
                    <w:bottom w:val="none" w:sz="0" w:space="0" w:color="auto"/>
                    <w:right w:val="none" w:sz="0" w:space="0" w:color="auto"/>
                  </w:divBdr>
                  <w:divsChild>
                    <w:div w:id="1997145623">
                      <w:marLeft w:val="0"/>
                      <w:marRight w:val="0"/>
                      <w:marTop w:val="0"/>
                      <w:marBottom w:val="0"/>
                      <w:divBdr>
                        <w:top w:val="none" w:sz="0" w:space="0" w:color="auto"/>
                        <w:left w:val="none" w:sz="0" w:space="0" w:color="auto"/>
                        <w:bottom w:val="none" w:sz="0" w:space="0" w:color="auto"/>
                        <w:right w:val="none" w:sz="0" w:space="0" w:color="auto"/>
                      </w:divBdr>
                    </w:div>
                  </w:divsChild>
                </w:div>
                <w:div w:id="1044328204">
                  <w:marLeft w:val="0"/>
                  <w:marRight w:val="0"/>
                  <w:marTop w:val="0"/>
                  <w:marBottom w:val="0"/>
                  <w:divBdr>
                    <w:top w:val="none" w:sz="0" w:space="0" w:color="auto"/>
                    <w:left w:val="none" w:sz="0" w:space="0" w:color="auto"/>
                    <w:bottom w:val="none" w:sz="0" w:space="0" w:color="auto"/>
                    <w:right w:val="none" w:sz="0" w:space="0" w:color="auto"/>
                  </w:divBdr>
                  <w:divsChild>
                    <w:div w:id="1694109935">
                      <w:marLeft w:val="0"/>
                      <w:marRight w:val="0"/>
                      <w:marTop w:val="0"/>
                      <w:marBottom w:val="0"/>
                      <w:divBdr>
                        <w:top w:val="none" w:sz="0" w:space="0" w:color="auto"/>
                        <w:left w:val="none" w:sz="0" w:space="0" w:color="auto"/>
                        <w:bottom w:val="none" w:sz="0" w:space="0" w:color="auto"/>
                        <w:right w:val="none" w:sz="0" w:space="0" w:color="auto"/>
                      </w:divBdr>
                    </w:div>
                  </w:divsChild>
                </w:div>
                <w:div w:id="1053503145">
                  <w:marLeft w:val="0"/>
                  <w:marRight w:val="0"/>
                  <w:marTop w:val="0"/>
                  <w:marBottom w:val="0"/>
                  <w:divBdr>
                    <w:top w:val="none" w:sz="0" w:space="0" w:color="auto"/>
                    <w:left w:val="none" w:sz="0" w:space="0" w:color="auto"/>
                    <w:bottom w:val="none" w:sz="0" w:space="0" w:color="auto"/>
                    <w:right w:val="none" w:sz="0" w:space="0" w:color="auto"/>
                  </w:divBdr>
                  <w:divsChild>
                    <w:div w:id="324093838">
                      <w:marLeft w:val="0"/>
                      <w:marRight w:val="0"/>
                      <w:marTop w:val="0"/>
                      <w:marBottom w:val="0"/>
                      <w:divBdr>
                        <w:top w:val="none" w:sz="0" w:space="0" w:color="auto"/>
                        <w:left w:val="none" w:sz="0" w:space="0" w:color="auto"/>
                        <w:bottom w:val="none" w:sz="0" w:space="0" w:color="auto"/>
                        <w:right w:val="none" w:sz="0" w:space="0" w:color="auto"/>
                      </w:divBdr>
                    </w:div>
                  </w:divsChild>
                </w:div>
                <w:div w:id="1106000988">
                  <w:marLeft w:val="0"/>
                  <w:marRight w:val="0"/>
                  <w:marTop w:val="0"/>
                  <w:marBottom w:val="0"/>
                  <w:divBdr>
                    <w:top w:val="none" w:sz="0" w:space="0" w:color="auto"/>
                    <w:left w:val="none" w:sz="0" w:space="0" w:color="auto"/>
                    <w:bottom w:val="none" w:sz="0" w:space="0" w:color="auto"/>
                    <w:right w:val="none" w:sz="0" w:space="0" w:color="auto"/>
                  </w:divBdr>
                  <w:divsChild>
                    <w:div w:id="1659308144">
                      <w:marLeft w:val="0"/>
                      <w:marRight w:val="0"/>
                      <w:marTop w:val="0"/>
                      <w:marBottom w:val="0"/>
                      <w:divBdr>
                        <w:top w:val="none" w:sz="0" w:space="0" w:color="auto"/>
                        <w:left w:val="none" w:sz="0" w:space="0" w:color="auto"/>
                        <w:bottom w:val="none" w:sz="0" w:space="0" w:color="auto"/>
                        <w:right w:val="none" w:sz="0" w:space="0" w:color="auto"/>
                      </w:divBdr>
                    </w:div>
                  </w:divsChild>
                </w:div>
                <w:div w:id="1144544663">
                  <w:marLeft w:val="0"/>
                  <w:marRight w:val="0"/>
                  <w:marTop w:val="0"/>
                  <w:marBottom w:val="0"/>
                  <w:divBdr>
                    <w:top w:val="none" w:sz="0" w:space="0" w:color="auto"/>
                    <w:left w:val="none" w:sz="0" w:space="0" w:color="auto"/>
                    <w:bottom w:val="none" w:sz="0" w:space="0" w:color="auto"/>
                    <w:right w:val="none" w:sz="0" w:space="0" w:color="auto"/>
                  </w:divBdr>
                  <w:divsChild>
                    <w:div w:id="935358113">
                      <w:marLeft w:val="0"/>
                      <w:marRight w:val="0"/>
                      <w:marTop w:val="0"/>
                      <w:marBottom w:val="0"/>
                      <w:divBdr>
                        <w:top w:val="none" w:sz="0" w:space="0" w:color="auto"/>
                        <w:left w:val="none" w:sz="0" w:space="0" w:color="auto"/>
                        <w:bottom w:val="none" w:sz="0" w:space="0" w:color="auto"/>
                        <w:right w:val="none" w:sz="0" w:space="0" w:color="auto"/>
                      </w:divBdr>
                    </w:div>
                  </w:divsChild>
                </w:div>
                <w:div w:id="1144809903">
                  <w:marLeft w:val="0"/>
                  <w:marRight w:val="0"/>
                  <w:marTop w:val="0"/>
                  <w:marBottom w:val="0"/>
                  <w:divBdr>
                    <w:top w:val="none" w:sz="0" w:space="0" w:color="auto"/>
                    <w:left w:val="none" w:sz="0" w:space="0" w:color="auto"/>
                    <w:bottom w:val="none" w:sz="0" w:space="0" w:color="auto"/>
                    <w:right w:val="none" w:sz="0" w:space="0" w:color="auto"/>
                  </w:divBdr>
                  <w:divsChild>
                    <w:div w:id="2024086145">
                      <w:marLeft w:val="0"/>
                      <w:marRight w:val="0"/>
                      <w:marTop w:val="0"/>
                      <w:marBottom w:val="0"/>
                      <w:divBdr>
                        <w:top w:val="none" w:sz="0" w:space="0" w:color="auto"/>
                        <w:left w:val="none" w:sz="0" w:space="0" w:color="auto"/>
                        <w:bottom w:val="none" w:sz="0" w:space="0" w:color="auto"/>
                        <w:right w:val="none" w:sz="0" w:space="0" w:color="auto"/>
                      </w:divBdr>
                    </w:div>
                  </w:divsChild>
                </w:div>
                <w:div w:id="1167212520">
                  <w:marLeft w:val="0"/>
                  <w:marRight w:val="0"/>
                  <w:marTop w:val="0"/>
                  <w:marBottom w:val="0"/>
                  <w:divBdr>
                    <w:top w:val="none" w:sz="0" w:space="0" w:color="auto"/>
                    <w:left w:val="none" w:sz="0" w:space="0" w:color="auto"/>
                    <w:bottom w:val="none" w:sz="0" w:space="0" w:color="auto"/>
                    <w:right w:val="none" w:sz="0" w:space="0" w:color="auto"/>
                  </w:divBdr>
                  <w:divsChild>
                    <w:div w:id="2012760061">
                      <w:marLeft w:val="0"/>
                      <w:marRight w:val="0"/>
                      <w:marTop w:val="0"/>
                      <w:marBottom w:val="0"/>
                      <w:divBdr>
                        <w:top w:val="none" w:sz="0" w:space="0" w:color="auto"/>
                        <w:left w:val="none" w:sz="0" w:space="0" w:color="auto"/>
                        <w:bottom w:val="none" w:sz="0" w:space="0" w:color="auto"/>
                        <w:right w:val="none" w:sz="0" w:space="0" w:color="auto"/>
                      </w:divBdr>
                    </w:div>
                  </w:divsChild>
                </w:div>
                <w:div w:id="1309092389">
                  <w:marLeft w:val="0"/>
                  <w:marRight w:val="0"/>
                  <w:marTop w:val="0"/>
                  <w:marBottom w:val="0"/>
                  <w:divBdr>
                    <w:top w:val="none" w:sz="0" w:space="0" w:color="auto"/>
                    <w:left w:val="none" w:sz="0" w:space="0" w:color="auto"/>
                    <w:bottom w:val="none" w:sz="0" w:space="0" w:color="auto"/>
                    <w:right w:val="none" w:sz="0" w:space="0" w:color="auto"/>
                  </w:divBdr>
                  <w:divsChild>
                    <w:div w:id="1504468957">
                      <w:marLeft w:val="0"/>
                      <w:marRight w:val="0"/>
                      <w:marTop w:val="0"/>
                      <w:marBottom w:val="0"/>
                      <w:divBdr>
                        <w:top w:val="none" w:sz="0" w:space="0" w:color="auto"/>
                        <w:left w:val="none" w:sz="0" w:space="0" w:color="auto"/>
                        <w:bottom w:val="none" w:sz="0" w:space="0" w:color="auto"/>
                        <w:right w:val="none" w:sz="0" w:space="0" w:color="auto"/>
                      </w:divBdr>
                    </w:div>
                  </w:divsChild>
                </w:div>
                <w:div w:id="1309095187">
                  <w:marLeft w:val="0"/>
                  <w:marRight w:val="0"/>
                  <w:marTop w:val="0"/>
                  <w:marBottom w:val="0"/>
                  <w:divBdr>
                    <w:top w:val="none" w:sz="0" w:space="0" w:color="auto"/>
                    <w:left w:val="none" w:sz="0" w:space="0" w:color="auto"/>
                    <w:bottom w:val="none" w:sz="0" w:space="0" w:color="auto"/>
                    <w:right w:val="none" w:sz="0" w:space="0" w:color="auto"/>
                  </w:divBdr>
                  <w:divsChild>
                    <w:div w:id="144009112">
                      <w:marLeft w:val="0"/>
                      <w:marRight w:val="0"/>
                      <w:marTop w:val="0"/>
                      <w:marBottom w:val="0"/>
                      <w:divBdr>
                        <w:top w:val="none" w:sz="0" w:space="0" w:color="auto"/>
                        <w:left w:val="none" w:sz="0" w:space="0" w:color="auto"/>
                        <w:bottom w:val="none" w:sz="0" w:space="0" w:color="auto"/>
                        <w:right w:val="none" w:sz="0" w:space="0" w:color="auto"/>
                      </w:divBdr>
                    </w:div>
                  </w:divsChild>
                </w:div>
                <w:div w:id="1328435465">
                  <w:marLeft w:val="0"/>
                  <w:marRight w:val="0"/>
                  <w:marTop w:val="0"/>
                  <w:marBottom w:val="0"/>
                  <w:divBdr>
                    <w:top w:val="none" w:sz="0" w:space="0" w:color="auto"/>
                    <w:left w:val="none" w:sz="0" w:space="0" w:color="auto"/>
                    <w:bottom w:val="none" w:sz="0" w:space="0" w:color="auto"/>
                    <w:right w:val="none" w:sz="0" w:space="0" w:color="auto"/>
                  </w:divBdr>
                  <w:divsChild>
                    <w:div w:id="457988428">
                      <w:marLeft w:val="0"/>
                      <w:marRight w:val="0"/>
                      <w:marTop w:val="0"/>
                      <w:marBottom w:val="0"/>
                      <w:divBdr>
                        <w:top w:val="none" w:sz="0" w:space="0" w:color="auto"/>
                        <w:left w:val="none" w:sz="0" w:space="0" w:color="auto"/>
                        <w:bottom w:val="none" w:sz="0" w:space="0" w:color="auto"/>
                        <w:right w:val="none" w:sz="0" w:space="0" w:color="auto"/>
                      </w:divBdr>
                    </w:div>
                  </w:divsChild>
                </w:div>
                <w:div w:id="1346976037">
                  <w:marLeft w:val="0"/>
                  <w:marRight w:val="0"/>
                  <w:marTop w:val="0"/>
                  <w:marBottom w:val="0"/>
                  <w:divBdr>
                    <w:top w:val="none" w:sz="0" w:space="0" w:color="auto"/>
                    <w:left w:val="none" w:sz="0" w:space="0" w:color="auto"/>
                    <w:bottom w:val="none" w:sz="0" w:space="0" w:color="auto"/>
                    <w:right w:val="none" w:sz="0" w:space="0" w:color="auto"/>
                  </w:divBdr>
                  <w:divsChild>
                    <w:div w:id="1341394256">
                      <w:marLeft w:val="0"/>
                      <w:marRight w:val="0"/>
                      <w:marTop w:val="0"/>
                      <w:marBottom w:val="0"/>
                      <w:divBdr>
                        <w:top w:val="none" w:sz="0" w:space="0" w:color="auto"/>
                        <w:left w:val="none" w:sz="0" w:space="0" w:color="auto"/>
                        <w:bottom w:val="none" w:sz="0" w:space="0" w:color="auto"/>
                        <w:right w:val="none" w:sz="0" w:space="0" w:color="auto"/>
                      </w:divBdr>
                    </w:div>
                  </w:divsChild>
                </w:div>
                <w:div w:id="1420061683">
                  <w:marLeft w:val="0"/>
                  <w:marRight w:val="0"/>
                  <w:marTop w:val="0"/>
                  <w:marBottom w:val="0"/>
                  <w:divBdr>
                    <w:top w:val="none" w:sz="0" w:space="0" w:color="auto"/>
                    <w:left w:val="none" w:sz="0" w:space="0" w:color="auto"/>
                    <w:bottom w:val="none" w:sz="0" w:space="0" w:color="auto"/>
                    <w:right w:val="none" w:sz="0" w:space="0" w:color="auto"/>
                  </w:divBdr>
                  <w:divsChild>
                    <w:div w:id="1212694685">
                      <w:marLeft w:val="0"/>
                      <w:marRight w:val="0"/>
                      <w:marTop w:val="0"/>
                      <w:marBottom w:val="0"/>
                      <w:divBdr>
                        <w:top w:val="none" w:sz="0" w:space="0" w:color="auto"/>
                        <w:left w:val="none" w:sz="0" w:space="0" w:color="auto"/>
                        <w:bottom w:val="none" w:sz="0" w:space="0" w:color="auto"/>
                        <w:right w:val="none" w:sz="0" w:space="0" w:color="auto"/>
                      </w:divBdr>
                    </w:div>
                  </w:divsChild>
                </w:div>
                <w:div w:id="1484933831">
                  <w:marLeft w:val="0"/>
                  <w:marRight w:val="0"/>
                  <w:marTop w:val="0"/>
                  <w:marBottom w:val="0"/>
                  <w:divBdr>
                    <w:top w:val="none" w:sz="0" w:space="0" w:color="auto"/>
                    <w:left w:val="none" w:sz="0" w:space="0" w:color="auto"/>
                    <w:bottom w:val="none" w:sz="0" w:space="0" w:color="auto"/>
                    <w:right w:val="none" w:sz="0" w:space="0" w:color="auto"/>
                  </w:divBdr>
                  <w:divsChild>
                    <w:div w:id="1994065572">
                      <w:marLeft w:val="0"/>
                      <w:marRight w:val="0"/>
                      <w:marTop w:val="0"/>
                      <w:marBottom w:val="0"/>
                      <w:divBdr>
                        <w:top w:val="none" w:sz="0" w:space="0" w:color="auto"/>
                        <w:left w:val="none" w:sz="0" w:space="0" w:color="auto"/>
                        <w:bottom w:val="none" w:sz="0" w:space="0" w:color="auto"/>
                        <w:right w:val="none" w:sz="0" w:space="0" w:color="auto"/>
                      </w:divBdr>
                    </w:div>
                  </w:divsChild>
                </w:div>
                <w:div w:id="1496609781">
                  <w:marLeft w:val="0"/>
                  <w:marRight w:val="0"/>
                  <w:marTop w:val="0"/>
                  <w:marBottom w:val="0"/>
                  <w:divBdr>
                    <w:top w:val="none" w:sz="0" w:space="0" w:color="auto"/>
                    <w:left w:val="none" w:sz="0" w:space="0" w:color="auto"/>
                    <w:bottom w:val="none" w:sz="0" w:space="0" w:color="auto"/>
                    <w:right w:val="none" w:sz="0" w:space="0" w:color="auto"/>
                  </w:divBdr>
                  <w:divsChild>
                    <w:div w:id="1563786538">
                      <w:marLeft w:val="0"/>
                      <w:marRight w:val="0"/>
                      <w:marTop w:val="0"/>
                      <w:marBottom w:val="0"/>
                      <w:divBdr>
                        <w:top w:val="none" w:sz="0" w:space="0" w:color="auto"/>
                        <w:left w:val="none" w:sz="0" w:space="0" w:color="auto"/>
                        <w:bottom w:val="none" w:sz="0" w:space="0" w:color="auto"/>
                        <w:right w:val="none" w:sz="0" w:space="0" w:color="auto"/>
                      </w:divBdr>
                    </w:div>
                  </w:divsChild>
                </w:div>
                <w:div w:id="1557162340">
                  <w:marLeft w:val="0"/>
                  <w:marRight w:val="0"/>
                  <w:marTop w:val="0"/>
                  <w:marBottom w:val="0"/>
                  <w:divBdr>
                    <w:top w:val="none" w:sz="0" w:space="0" w:color="auto"/>
                    <w:left w:val="none" w:sz="0" w:space="0" w:color="auto"/>
                    <w:bottom w:val="none" w:sz="0" w:space="0" w:color="auto"/>
                    <w:right w:val="none" w:sz="0" w:space="0" w:color="auto"/>
                  </w:divBdr>
                  <w:divsChild>
                    <w:div w:id="1946888487">
                      <w:marLeft w:val="0"/>
                      <w:marRight w:val="0"/>
                      <w:marTop w:val="0"/>
                      <w:marBottom w:val="0"/>
                      <w:divBdr>
                        <w:top w:val="none" w:sz="0" w:space="0" w:color="auto"/>
                        <w:left w:val="none" w:sz="0" w:space="0" w:color="auto"/>
                        <w:bottom w:val="none" w:sz="0" w:space="0" w:color="auto"/>
                        <w:right w:val="none" w:sz="0" w:space="0" w:color="auto"/>
                      </w:divBdr>
                    </w:div>
                  </w:divsChild>
                </w:div>
                <w:div w:id="1569223664">
                  <w:marLeft w:val="0"/>
                  <w:marRight w:val="0"/>
                  <w:marTop w:val="0"/>
                  <w:marBottom w:val="0"/>
                  <w:divBdr>
                    <w:top w:val="none" w:sz="0" w:space="0" w:color="auto"/>
                    <w:left w:val="none" w:sz="0" w:space="0" w:color="auto"/>
                    <w:bottom w:val="none" w:sz="0" w:space="0" w:color="auto"/>
                    <w:right w:val="none" w:sz="0" w:space="0" w:color="auto"/>
                  </w:divBdr>
                  <w:divsChild>
                    <w:div w:id="2129004577">
                      <w:marLeft w:val="0"/>
                      <w:marRight w:val="0"/>
                      <w:marTop w:val="0"/>
                      <w:marBottom w:val="0"/>
                      <w:divBdr>
                        <w:top w:val="none" w:sz="0" w:space="0" w:color="auto"/>
                        <w:left w:val="none" w:sz="0" w:space="0" w:color="auto"/>
                        <w:bottom w:val="none" w:sz="0" w:space="0" w:color="auto"/>
                        <w:right w:val="none" w:sz="0" w:space="0" w:color="auto"/>
                      </w:divBdr>
                    </w:div>
                  </w:divsChild>
                </w:div>
                <w:div w:id="1571689753">
                  <w:marLeft w:val="0"/>
                  <w:marRight w:val="0"/>
                  <w:marTop w:val="0"/>
                  <w:marBottom w:val="0"/>
                  <w:divBdr>
                    <w:top w:val="none" w:sz="0" w:space="0" w:color="auto"/>
                    <w:left w:val="none" w:sz="0" w:space="0" w:color="auto"/>
                    <w:bottom w:val="none" w:sz="0" w:space="0" w:color="auto"/>
                    <w:right w:val="none" w:sz="0" w:space="0" w:color="auto"/>
                  </w:divBdr>
                  <w:divsChild>
                    <w:div w:id="1801729263">
                      <w:marLeft w:val="0"/>
                      <w:marRight w:val="0"/>
                      <w:marTop w:val="0"/>
                      <w:marBottom w:val="0"/>
                      <w:divBdr>
                        <w:top w:val="none" w:sz="0" w:space="0" w:color="auto"/>
                        <w:left w:val="none" w:sz="0" w:space="0" w:color="auto"/>
                        <w:bottom w:val="none" w:sz="0" w:space="0" w:color="auto"/>
                        <w:right w:val="none" w:sz="0" w:space="0" w:color="auto"/>
                      </w:divBdr>
                    </w:div>
                  </w:divsChild>
                </w:div>
                <w:div w:id="1595479360">
                  <w:marLeft w:val="0"/>
                  <w:marRight w:val="0"/>
                  <w:marTop w:val="0"/>
                  <w:marBottom w:val="0"/>
                  <w:divBdr>
                    <w:top w:val="none" w:sz="0" w:space="0" w:color="auto"/>
                    <w:left w:val="none" w:sz="0" w:space="0" w:color="auto"/>
                    <w:bottom w:val="none" w:sz="0" w:space="0" w:color="auto"/>
                    <w:right w:val="none" w:sz="0" w:space="0" w:color="auto"/>
                  </w:divBdr>
                  <w:divsChild>
                    <w:div w:id="118256774">
                      <w:marLeft w:val="0"/>
                      <w:marRight w:val="0"/>
                      <w:marTop w:val="0"/>
                      <w:marBottom w:val="0"/>
                      <w:divBdr>
                        <w:top w:val="none" w:sz="0" w:space="0" w:color="auto"/>
                        <w:left w:val="none" w:sz="0" w:space="0" w:color="auto"/>
                        <w:bottom w:val="none" w:sz="0" w:space="0" w:color="auto"/>
                        <w:right w:val="none" w:sz="0" w:space="0" w:color="auto"/>
                      </w:divBdr>
                    </w:div>
                  </w:divsChild>
                </w:div>
                <w:div w:id="1596208343">
                  <w:marLeft w:val="0"/>
                  <w:marRight w:val="0"/>
                  <w:marTop w:val="0"/>
                  <w:marBottom w:val="0"/>
                  <w:divBdr>
                    <w:top w:val="none" w:sz="0" w:space="0" w:color="auto"/>
                    <w:left w:val="none" w:sz="0" w:space="0" w:color="auto"/>
                    <w:bottom w:val="none" w:sz="0" w:space="0" w:color="auto"/>
                    <w:right w:val="none" w:sz="0" w:space="0" w:color="auto"/>
                  </w:divBdr>
                  <w:divsChild>
                    <w:div w:id="2072188218">
                      <w:marLeft w:val="0"/>
                      <w:marRight w:val="0"/>
                      <w:marTop w:val="0"/>
                      <w:marBottom w:val="0"/>
                      <w:divBdr>
                        <w:top w:val="none" w:sz="0" w:space="0" w:color="auto"/>
                        <w:left w:val="none" w:sz="0" w:space="0" w:color="auto"/>
                        <w:bottom w:val="none" w:sz="0" w:space="0" w:color="auto"/>
                        <w:right w:val="none" w:sz="0" w:space="0" w:color="auto"/>
                      </w:divBdr>
                    </w:div>
                  </w:divsChild>
                </w:div>
                <w:div w:id="1796020143">
                  <w:marLeft w:val="0"/>
                  <w:marRight w:val="0"/>
                  <w:marTop w:val="0"/>
                  <w:marBottom w:val="0"/>
                  <w:divBdr>
                    <w:top w:val="none" w:sz="0" w:space="0" w:color="auto"/>
                    <w:left w:val="none" w:sz="0" w:space="0" w:color="auto"/>
                    <w:bottom w:val="none" w:sz="0" w:space="0" w:color="auto"/>
                    <w:right w:val="none" w:sz="0" w:space="0" w:color="auto"/>
                  </w:divBdr>
                  <w:divsChild>
                    <w:div w:id="1144928946">
                      <w:marLeft w:val="0"/>
                      <w:marRight w:val="0"/>
                      <w:marTop w:val="0"/>
                      <w:marBottom w:val="0"/>
                      <w:divBdr>
                        <w:top w:val="none" w:sz="0" w:space="0" w:color="auto"/>
                        <w:left w:val="none" w:sz="0" w:space="0" w:color="auto"/>
                        <w:bottom w:val="none" w:sz="0" w:space="0" w:color="auto"/>
                        <w:right w:val="none" w:sz="0" w:space="0" w:color="auto"/>
                      </w:divBdr>
                    </w:div>
                  </w:divsChild>
                </w:div>
                <w:div w:id="1834761815">
                  <w:marLeft w:val="0"/>
                  <w:marRight w:val="0"/>
                  <w:marTop w:val="0"/>
                  <w:marBottom w:val="0"/>
                  <w:divBdr>
                    <w:top w:val="none" w:sz="0" w:space="0" w:color="auto"/>
                    <w:left w:val="none" w:sz="0" w:space="0" w:color="auto"/>
                    <w:bottom w:val="none" w:sz="0" w:space="0" w:color="auto"/>
                    <w:right w:val="none" w:sz="0" w:space="0" w:color="auto"/>
                  </w:divBdr>
                  <w:divsChild>
                    <w:div w:id="879171568">
                      <w:marLeft w:val="0"/>
                      <w:marRight w:val="0"/>
                      <w:marTop w:val="0"/>
                      <w:marBottom w:val="0"/>
                      <w:divBdr>
                        <w:top w:val="none" w:sz="0" w:space="0" w:color="auto"/>
                        <w:left w:val="none" w:sz="0" w:space="0" w:color="auto"/>
                        <w:bottom w:val="none" w:sz="0" w:space="0" w:color="auto"/>
                        <w:right w:val="none" w:sz="0" w:space="0" w:color="auto"/>
                      </w:divBdr>
                    </w:div>
                  </w:divsChild>
                </w:div>
                <w:div w:id="1868565810">
                  <w:marLeft w:val="0"/>
                  <w:marRight w:val="0"/>
                  <w:marTop w:val="0"/>
                  <w:marBottom w:val="0"/>
                  <w:divBdr>
                    <w:top w:val="none" w:sz="0" w:space="0" w:color="auto"/>
                    <w:left w:val="none" w:sz="0" w:space="0" w:color="auto"/>
                    <w:bottom w:val="none" w:sz="0" w:space="0" w:color="auto"/>
                    <w:right w:val="none" w:sz="0" w:space="0" w:color="auto"/>
                  </w:divBdr>
                  <w:divsChild>
                    <w:div w:id="1417046920">
                      <w:marLeft w:val="0"/>
                      <w:marRight w:val="0"/>
                      <w:marTop w:val="0"/>
                      <w:marBottom w:val="0"/>
                      <w:divBdr>
                        <w:top w:val="none" w:sz="0" w:space="0" w:color="auto"/>
                        <w:left w:val="none" w:sz="0" w:space="0" w:color="auto"/>
                        <w:bottom w:val="none" w:sz="0" w:space="0" w:color="auto"/>
                        <w:right w:val="none" w:sz="0" w:space="0" w:color="auto"/>
                      </w:divBdr>
                    </w:div>
                  </w:divsChild>
                </w:div>
                <w:div w:id="1911691520">
                  <w:marLeft w:val="0"/>
                  <w:marRight w:val="0"/>
                  <w:marTop w:val="0"/>
                  <w:marBottom w:val="0"/>
                  <w:divBdr>
                    <w:top w:val="none" w:sz="0" w:space="0" w:color="auto"/>
                    <w:left w:val="none" w:sz="0" w:space="0" w:color="auto"/>
                    <w:bottom w:val="none" w:sz="0" w:space="0" w:color="auto"/>
                    <w:right w:val="none" w:sz="0" w:space="0" w:color="auto"/>
                  </w:divBdr>
                  <w:divsChild>
                    <w:div w:id="783811931">
                      <w:marLeft w:val="0"/>
                      <w:marRight w:val="0"/>
                      <w:marTop w:val="0"/>
                      <w:marBottom w:val="0"/>
                      <w:divBdr>
                        <w:top w:val="none" w:sz="0" w:space="0" w:color="auto"/>
                        <w:left w:val="none" w:sz="0" w:space="0" w:color="auto"/>
                        <w:bottom w:val="none" w:sz="0" w:space="0" w:color="auto"/>
                        <w:right w:val="none" w:sz="0" w:space="0" w:color="auto"/>
                      </w:divBdr>
                    </w:div>
                  </w:divsChild>
                </w:div>
                <w:div w:id="1925411905">
                  <w:marLeft w:val="0"/>
                  <w:marRight w:val="0"/>
                  <w:marTop w:val="0"/>
                  <w:marBottom w:val="0"/>
                  <w:divBdr>
                    <w:top w:val="none" w:sz="0" w:space="0" w:color="auto"/>
                    <w:left w:val="none" w:sz="0" w:space="0" w:color="auto"/>
                    <w:bottom w:val="none" w:sz="0" w:space="0" w:color="auto"/>
                    <w:right w:val="none" w:sz="0" w:space="0" w:color="auto"/>
                  </w:divBdr>
                  <w:divsChild>
                    <w:div w:id="1691367961">
                      <w:marLeft w:val="0"/>
                      <w:marRight w:val="0"/>
                      <w:marTop w:val="0"/>
                      <w:marBottom w:val="0"/>
                      <w:divBdr>
                        <w:top w:val="none" w:sz="0" w:space="0" w:color="auto"/>
                        <w:left w:val="none" w:sz="0" w:space="0" w:color="auto"/>
                        <w:bottom w:val="none" w:sz="0" w:space="0" w:color="auto"/>
                        <w:right w:val="none" w:sz="0" w:space="0" w:color="auto"/>
                      </w:divBdr>
                    </w:div>
                  </w:divsChild>
                </w:div>
                <w:div w:id="1932591672">
                  <w:marLeft w:val="0"/>
                  <w:marRight w:val="0"/>
                  <w:marTop w:val="0"/>
                  <w:marBottom w:val="0"/>
                  <w:divBdr>
                    <w:top w:val="none" w:sz="0" w:space="0" w:color="auto"/>
                    <w:left w:val="none" w:sz="0" w:space="0" w:color="auto"/>
                    <w:bottom w:val="none" w:sz="0" w:space="0" w:color="auto"/>
                    <w:right w:val="none" w:sz="0" w:space="0" w:color="auto"/>
                  </w:divBdr>
                  <w:divsChild>
                    <w:div w:id="2039431442">
                      <w:marLeft w:val="0"/>
                      <w:marRight w:val="0"/>
                      <w:marTop w:val="0"/>
                      <w:marBottom w:val="0"/>
                      <w:divBdr>
                        <w:top w:val="none" w:sz="0" w:space="0" w:color="auto"/>
                        <w:left w:val="none" w:sz="0" w:space="0" w:color="auto"/>
                        <w:bottom w:val="none" w:sz="0" w:space="0" w:color="auto"/>
                        <w:right w:val="none" w:sz="0" w:space="0" w:color="auto"/>
                      </w:divBdr>
                    </w:div>
                  </w:divsChild>
                </w:div>
                <w:div w:id="1945065376">
                  <w:marLeft w:val="0"/>
                  <w:marRight w:val="0"/>
                  <w:marTop w:val="0"/>
                  <w:marBottom w:val="0"/>
                  <w:divBdr>
                    <w:top w:val="none" w:sz="0" w:space="0" w:color="auto"/>
                    <w:left w:val="none" w:sz="0" w:space="0" w:color="auto"/>
                    <w:bottom w:val="none" w:sz="0" w:space="0" w:color="auto"/>
                    <w:right w:val="none" w:sz="0" w:space="0" w:color="auto"/>
                  </w:divBdr>
                  <w:divsChild>
                    <w:div w:id="1960185686">
                      <w:marLeft w:val="0"/>
                      <w:marRight w:val="0"/>
                      <w:marTop w:val="0"/>
                      <w:marBottom w:val="0"/>
                      <w:divBdr>
                        <w:top w:val="none" w:sz="0" w:space="0" w:color="auto"/>
                        <w:left w:val="none" w:sz="0" w:space="0" w:color="auto"/>
                        <w:bottom w:val="none" w:sz="0" w:space="0" w:color="auto"/>
                        <w:right w:val="none" w:sz="0" w:space="0" w:color="auto"/>
                      </w:divBdr>
                    </w:div>
                  </w:divsChild>
                </w:div>
                <w:div w:id="1949314663">
                  <w:marLeft w:val="0"/>
                  <w:marRight w:val="0"/>
                  <w:marTop w:val="0"/>
                  <w:marBottom w:val="0"/>
                  <w:divBdr>
                    <w:top w:val="none" w:sz="0" w:space="0" w:color="auto"/>
                    <w:left w:val="none" w:sz="0" w:space="0" w:color="auto"/>
                    <w:bottom w:val="none" w:sz="0" w:space="0" w:color="auto"/>
                    <w:right w:val="none" w:sz="0" w:space="0" w:color="auto"/>
                  </w:divBdr>
                  <w:divsChild>
                    <w:div w:id="1824855234">
                      <w:marLeft w:val="0"/>
                      <w:marRight w:val="0"/>
                      <w:marTop w:val="0"/>
                      <w:marBottom w:val="0"/>
                      <w:divBdr>
                        <w:top w:val="none" w:sz="0" w:space="0" w:color="auto"/>
                        <w:left w:val="none" w:sz="0" w:space="0" w:color="auto"/>
                        <w:bottom w:val="none" w:sz="0" w:space="0" w:color="auto"/>
                        <w:right w:val="none" w:sz="0" w:space="0" w:color="auto"/>
                      </w:divBdr>
                    </w:div>
                  </w:divsChild>
                </w:div>
                <w:div w:id="1955013598">
                  <w:marLeft w:val="0"/>
                  <w:marRight w:val="0"/>
                  <w:marTop w:val="0"/>
                  <w:marBottom w:val="0"/>
                  <w:divBdr>
                    <w:top w:val="none" w:sz="0" w:space="0" w:color="auto"/>
                    <w:left w:val="none" w:sz="0" w:space="0" w:color="auto"/>
                    <w:bottom w:val="none" w:sz="0" w:space="0" w:color="auto"/>
                    <w:right w:val="none" w:sz="0" w:space="0" w:color="auto"/>
                  </w:divBdr>
                  <w:divsChild>
                    <w:div w:id="525098634">
                      <w:marLeft w:val="0"/>
                      <w:marRight w:val="0"/>
                      <w:marTop w:val="0"/>
                      <w:marBottom w:val="0"/>
                      <w:divBdr>
                        <w:top w:val="none" w:sz="0" w:space="0" w:color="auto"/>
                        <w:left w:val="none" w:sz="0" w:space="0" w:color="auto"/>
                        <w:bottom w:val="none" w:sz="0" w:space="0" w:color="auto"/>
                        <w:right w:val="none" w:sz="0" w:space="0" w:color="auto"/>
                      </w:divBdr>
                    </w:div>
                  </w:divsChild>
                </w:div>
                <w:div w:id="1962691111">
                  <w:marLeft w:val="0"/>
                  <w:marRight w:val="0"/>
                  <w:marTop w:val="0"/>
                  <w:marBottom w:val="0"/>
                  <w:divBdr>
                    <w:top w:val="none" w:sz="0" w:space="0" w:color="auto"/>
                    <w:left w:val="none" w:sz="0" w:space="0" w:color="auto"/>
                    <w:bottom w:val="none" w:sz="0" w:space="0" w:color="auto"/>
                    <w:right w:val="none" w:sz="0" w:space="0" w:color="auto"/>
                  </w:divBdr>
                  <w:divsChild>
                    <w:div w:id="2032148815">
                      <w:marLeft w:val="0"/>
                      <w:marRight w:val="0"/>
                      <w:marTop w:val="0"/>
                      <w:marBottom w:val="0"/>
                      <w:divBdr>
                        <w:top w:val="none" w:sz="0" w:space="0" w:color="auto"/>
                        <w:left w:val="none" w:sz="0" w:space="0" w:color="auto"/>
                        <w:bottom w:val="none" w:sz="0" w:space="0" w:color="auto"/>
                        <w:right w:val="none" w:sz="0" w:space="0" w:color="auto"/>
                      </w:divBdr>
                    </w:div>
                  </w:divsChild>
                </w:div>
                <w:div w:id="1977370889">
                  <w:marLeft w:val="0"/>
                  <w:marRight w:val="0"/>
                  <w:marTop w:val="0"/>
                  <w:marBottom w:val="0"/>
                  <w:divBdr>
                    <w:top w:val="none" w:sz="0" w:space="0" w:color="auto"/>
                    <w:left w:val="none" w:sz="0" w:space="0" w:color="auto"/>
                    <w:bottom w:val="none" w:sz="0" w:space="0" w:color="auto"/>
                    <w:right w:val="none" w:sz="0" w:space="0" w:color="auto"/>
                  </w:divBdr>
                  <w:divsChild>
                    <w:div w:id="1650860694">
                      <w:marLeft w:val="0"/>
                      <w:marRight w:val="0"/>
                      <w:marTop w:val="0"/>
                      <w:marBottom w:val="0"/>
                      <w:divBdr>
                        <w:top w:val="none" w:sz="0" w:space="0" w:color="auto"/>
                        <w:left w:val="none" w:sz="0" w:space="0" w:color="auto"/>
                        <w:bottom w:val="none" w:sz="0" w:space="0" w:color="auto"/>
                        <w:right w:val="none" w:sz="0" w:space="0" w:color="auto"/>
                      </w:divBdr>
                    </w:div>
                  </w:divsChild>
                </w:div>
                <w:div w:id="1983270773">
                  <w:marLeft w:val="0"/>
                  <w:marRight w:val="0"/>
                  <w:marTop w:val="0"/>
                  <w:marBottom w:val="0"/>
                  <w:divBdr>
                    <w:top w:val="none" w:sz="0" w:space="0" w:color="auto"/>
                    <w:left w:val="none" w:sz="0" w:space="0" w:color="auto"/>
                    <w:bottom w:val="none" w:sz="0" w:space="0" w:color="auto"/>
                    <w:right w:val="none" w:sz="0" w:space="0" w:color="auto"/>
                  </w:divBdr>
                  <w:divsChild>
                    <w:div w:id="1426876743">
                      <w:marLeft w:val="0"/>
                      <w:marRight w:val="0"/>
                      <w:marTop w:val="0"/>
                      <w:marBottom w:val="0"/>
                      <w:divBdr>
                        <w:top w:val="none" w:sz="0" w:space="0" w:color="auto"/>
                        <w:left w:val="none" w:sz="0" w:space="0" w:color="auto"/>
                        <w:bottom w:val="none" w:sz="0" w:space="0" w:color="auto"/>
                        <w:right w:val="none" w:sz="0" w:space="0" w:color="auto"/>
                      </w:divBdr>
                    </w:div>
                  </w:divsChild>
                </w:div>
                <w:div w:id="1996034572">
                  <w:marLeft w:val="0"/>
                  <w:marRight w:val="0"/>
                  <w:marTop w:val="0"/>
                  <w:marBottom w:val="0"/>
                  <w:divBdr>
                    <w:top w:val="none" w:sz="0" w:space="0" w:color="auto"/>
                    <w:left w:val="none" w:sz="0" w:space="0" w:color="auto"/>
                    <w:bottom w:val="none" w:sz="0" w:space="0" w:color="auto"/>
                    <w:right w:val="none" w:sz="0" w:space="0" w:color="auto"/>
                  </w:divBdr>
                  <w:divsChild>
                    <w:div w:id="606548481">
                      <w:marLeft w:val="0"/>
                      <w:marRight w:val="0"/>
                      <w:marTop w:val="0"/>
                      <w:marBottom w:val="0"/>
                      <w:divBdr>
                        <w:top w:val="none" w:sz="0" w:space="0" w:color="auto"/>
                        <w:left w:val="none" w:sz="0" w:space="0" w:color="auto"/>
                        <w:bottom w:val="none" w:sz="0" w:space="0" w:color="auto"/>
                        <w:right w:val="none" w:sz="0" w:space="0" w:color="auto"/>
                      </w:divBdr>
                    </w:div>
                  </w:divsChild>
                </w:div>
                <w:div w:id="2043480705">
                  <w:marLeft w:val="0"/>
                  <w:marRight w:val="0"/>
                  <w:marTop w:val="0"/>
                  <w:marBottom w:val="0"/>
                  <w:divBdr>
                    <w:top w:val="none" w:sz="0" w:space="0" w:color="auto"/>
                    <w:left w:val="none" w:sz="0" w:space="0" w:color="auto"/>
                    <w:bottom w:val="none" w:sz="0" w:space="0" w:color="auto"/>
                    <w:right w:val="none" w:sz="0" w:space="0" w:color="auto"/>
                  </w:divBdr>
                  <w:divsChild>
                    <w:div w:id="1810324453">
                      <w:marLeft w:val="0"/>
                      <w:marRight w:val="0"/>
                      <w:marTop w:val="0"/>
                      <w:marBottom w:val="0"/>
                      <w:divBdr>
                        <w:top w:val="none" w:sz="0" w:space="0" w:color="auto"/>
                        <w:left w:val="none" w:sz="0" w:space="0" w:color="auto"/>
                        <w:bottom w:val="none" w:sz="0" w:space="0" w:color="auto"/>
                        <w:right w:val="none" w:sz="0" w:space="0" w:color="auto"/>
                      </w:divBdr>
                    </w:div>
                  </w:divsChild>
                </w:div>
                <w:div w:id="2069646184">
                  <w:marLeft w:val="0"/>
                  <w:marRight w:val="0"/>
                  <w:marTop w:val="0"/>
                  <w:marBottom w:val="0"/>
                  <w:divBdr>
                    <w:top w:val="none" w:sz="0" w:space="0" w:color="auto"/>
                    <w:left w:val="none" w:sz="0" w:space="0" w:color="auto"/>
                    <w:bottom w:val="none" w:sz="0" w:space="0" w:color="auto"/>
                    <w:right w:val="none" w:sz="0" w:space="0" w:color="auto"/>
                  </w:divBdr>
                  <w:divsChild>
                    <w:div w:id="14083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6243">
          <w:marLeft w:val="0"/>
          <w:marRight w:val="0"/>
          <w:marTop w:val="0"/>
          <w:marBottom w:val="0"/>
          <w:divBdr>
            <w:top w:val="none" w:sz="0" w:space="0" w:color="auto"/>
            <w:left w:val="none" w:sz="0" w:space="0" w:color="auto"/>
            <w:bottom w:val="none" w:sz="0" w:space="0" w:color="auto"/>
            <w:right w:val="none" w:sz="0" w:space="0" w:color="auto"/>
          </w:divBdr>
        </w:div>
        <w:div w:id="2000499021">
          <w:marLeft w:val="0"/>
          <w:marRight w:val="0"/>
          <w:marTop w:val="0"/>
          <w:marBottom w:val="0"/>
          <w:divBdr>
            <w:top w:val="none" w:sz="0" w:space="0" w:color="auto"/>
            <w:left w:val="none" w:sz="0" w:space="0" w:color="auto"/>
            <w:bottom w:val="none" w:sz="0" w:space="0" w:color="auto"/>
            <w:right w:val="none" w:sz="0" w:space="0" w:color="auto"/>
          </w:divBdr>
        </w:div>
      </w:divsChild>
    </w:div>
    <w:div w:id="1079137372">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47792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72665479">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19189867">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62591222">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85320371">
      <w:bodyDiv w:val="1"/>
      <w:marLeft w:val="0"/>
      <w:marRight w:val="0"/>
      <w:marTop w:val="0"/>
      <w:marBottom w:val="0"/>
      <w:divBdr>
        <w:top w:val="none" w:sz="0" w:space="0" w:color="auto"/>
        <w:left w:val="none" w:sz="0" w:space="0" w:color="auto"/>
        <w:bottom w:val="none" w:sz="0" w:space="0" w:color="auto"/>
        <w:right w:val="none" w:sz="0" w:space="0" w:color="auto"/>
      </w:divBdr>
    </w:div>
    <w:div w:id="1570269976">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15020622">
      <w:bodyDiv w:val="1"/>
      <w:marLeft w:val="0"/>
      <w:marRight w:val="0"/>
      <w:marTop w:val="0"/>
      <w:marBottom w:val="0"/>
      <w:divBdr>
        <w:top w:val="none" w:sz="0" w:space="0" w:color="auto"/>
        <w:left w:val="none" w:sz="0" w:space="0" w:color="auto"/>
        <w:bottom w:val="none" w:sz="0" w:space="0" w:color="auto"/>
        <w:right w:val="none" w:sz="0" w:space="0" w:color="auto"/>
      </w:divBdr>
    </w:div>
    <w:div w:id="1654022788">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71836027">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03620743">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8305908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38251512">
      <w:bodyDiv w:val="1"/>
      <w:marLeft w:val="0"/>
      <w:marRight w:val="0"/>
      <w:marTop w:val="0"/>
      <w:marBottom w:val="0"/>
      <w:divBdr>
        <w:top w:val="none" w:sz="0" w:space="0" w:color="auto"/>
        <w:left w:val="none" w:sz="0" w:space="0" w:color="auto"/>
        <w:bottom w:val="none" w:sz="0" w:space="0" w:color="auto"/>
        <w:right w:val="none" w:sz="0" w:space="0" w:color="auto"/>
      </w:divBdr>
    </w:div>
    <w:div w:id="1945115055">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12440895">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70110450">
      <w:bodyDiv w:val="1"/>
      <w:marLeft w:val="0"/>
      <w:marRight w:val="0"/>
      <w:marTop w:val="0"/>
      <w:marBottom w:val="0"/>
      <w:divBdr>
        <w:top w:val="none" w:sz="0" w:space="0" w:color="auto"/>
        <w:left w:val="none" w:sz="0" w:space="0" w:color="auto"/>
        <w:bottom w:val="none" w:sz="0" w:space="0" w:color="auto"/>
        <w:right w:val="none" w:sz="0" w:space="0" w:color="auto"/>
      </w:divBdr>
    </w:div>
    <w:div w:id="2088380543">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0007930">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1014-public"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sac.gov.au/internet/msac/publishing.nsf/Content/1076-public" TargetMode="External"/><Relationship Id="rId17" Type="http://schemas.openxmlformats.org/officeDocument/2006/relationships/hyperlink" Target="http://www.msac.gov.au/internet/msac/publishing.nsf/Content/1586-public" TargetMode="External"/><Relationship Id="rId25" Type="http://schemas.openxmlformats.org/officeDocument/2006/relationships/hyperlink" Target="http://msac.gov.au/internet/msac/publishing.nsf/Content/Home-1" TargetMode="External"/><Relationship Id="rId2" Type="http://schemas.openxmlformats.org/officeDocument/2006/relationships/numbering" Target="numbering.xml"/><Relationship Id="rId16" Type="http://schemas.openxmlformats.org/officeDocument/2006/relationships/hyperlink" Target="http://www.msac.gov.au/internet/msac/publishing.nsf/Content/1612-publi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612-public" TargetMode="External"/><Relationship Id="rId24" Type="http://schemas.openxmlformats.org/officeDocument/2006/relationships/hyperlink" Target="http://www.msac.gov.au/internet/msac/publishing.nsf/Content/0D5F02EB0A2BE383CA25855D0044BCEB/$File/1586%20-%20Final%20PSD_Jul2020_redacted.pdf" TargetMode="External"/><Relationship Id="rId5" Type="http://schemas.openxmlformats.org/officeDocument/2006/relationships/webSettings" Target="webSettings.xml"/><Relationship Id="rId15" Type="http://schemas.openxmlformats.org/officeDocument/2006/relationships/hyperlink" Target="http://www.msac.gov.au/internet/msac/publishing.nsf/Content/1518-public" TargetMode="External"/><Relationship Id="rId23" Type="http://schemas.openxmlformats.org/officeDocument/2006/relationships/footer" Target="footer3.xml"/><Relationship Id="rId10" Type="http://schemas.openxmlformats.org/officeDocument/2006/relationships/hyperlink" Target="http://www.msac.gov.au/internet/msac/publishing.nsf/Content/1149-publi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1586-public"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sites/default/files/documents/2021/05/taskforce-final-report-urology-clinical-committee-final-report-on-the-review-of-urology-mbs-i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85884-A765-45C5-8E63-5AF12DAC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13606</Words>
  <Characters>77557</Characters>
  <Application>Microsoft Office Word</Application>
  <DocSecurity>0</DocSecurity>
  <Lines>646</Lines>
  <Paragraphs>181</Paragraphs>
  <ScaleCrop>false</ScaleCrop>
  <Company/>
  <LinksUpToDate>false</LinksUpToDate>
  <CharactersWithSpaces>90982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2022-10-11T03:23:00Z</dcterms:created>
  <dcterms:modified xsi:type="dcterms:W3CDTF">2022-10-11T03:48:00Z</dcterms:modified>
</cp:coreProperties>
</file>