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E7B4" w14:textId="77777777" w:rsidR="007114F6" w:rsidRDefault="001B3166" w:rsidP="00115CD1">
      <w:pPr>
        <w:pStyle w:val="Subtitle"/>
        <w:spacing w:before="120" w:after="240" w:afterAutospacing="0" w:line="240" w:lineRule="auto"/>
        <w:ind w:left="0" w:right="0"/>
        <w:jc w:val="center"/>
        <w:rPr>
          <w:rFonts w:eastAsiaTheme="majorEastAsia" w:cs="Arial"/>
          <w:bCs/>
          <w:color w:val="000080"/>
          <w:spacing w:val="0"/>
          <w:sz w:val="36"/>
          <w:szCs w:val="36"/>
        </w:rPr>
      </w:pPr>
      <w:r>
        <w:rPr>
          <w:rFonts w:cs="Arial"/>
          <w:b w:val="0"/>
          <w:noProof/>
          <w:color w:val="000080"/>
          <w:sz w:val="28"/>
          <w:szCs w:val="28"/>
        </w:rPr>
        <w:drawing>
          <wp:inline distT="0" distB="0" distL="0" distR="0" wp14:anchorId="5AF266EF" wp14:editId="2063D0F1">
            <wp:extent cx="2627630" cy="1078865"/>
            <wp:effectExtent l="0" t="0" r="1270" b="6985"/>
            <wp:docPr id="1" name="Picture 1"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2D8EDFD0" w14:textId="654578CB" w:rsidR="001B3166" w:rsidRDefault="001B3166" w:rsidP="00115CD1">
      <w:pPr>
        <w:pStyle w:val="Subtitle"/>
        <w:spacing w:before="120" w:after="240" w:afterAutospacing="0" w:line="240" w:lineRule="auto"/>
        <w:ind w:left="0" w:right="0"/>
        <w:jc w:val="center"/>
        <w:rPr>
          <w:rFonts w:eastAsiaTheme="majorEastAsia" w:cs="Arial"/>
          <w:bCs/>
          <w:color w:val="000080"/>
          <w:spacing w:val="0"/>
          <w:sz w:val="36"/>
          <w:szCs w:val="36"/>
        </w:rPr>
      </w:pPr>
      <w:r w:rsidRPr="001B3166">
        <w:rPr>
          <w:rFonts w:eastAsiaTheme="majorEastAsia" w:cs="Arial"/>
          <w:bCs/>
          <w:color w:val="000080"/>
          <w:spacing w:val="0"/>
          <w:sz w:val="36"/>
          <w:szCs w:val="36"/>
        </w:rPr>
        <w:t xml:space="preserve">Public Summary Document </w:t>
      </w:r>
    </w:p>
    <w:p w14:paraId="074A4262" w14:textId="513B52A7" w:rsidR="002056CD" w:rsidRPr="00115CD1" w:rsidRDefault="002056CD" w:rsidP="00115CD1">
      <w:pPr>
        <w:pStyle w:val="Subtitle"/>
        <w:spacing w:before="120" w:after="240" w:afterAutospacing="0" w:line="240" w:lineRule="auto"/>
        <w:ind w:left="0" w:right="0"/>
        <w:jc w:val="center"/>
        <w:rPr>
          <w:rFonts w:eastAsia="Times New Roman" w:cs="Arial"/>
          <w:bCs/>
          <w:i/>
          <w:color w:val="000080"/>
          <w:spacing w:val="0"/>
          <w:sz w:val="28"/>
          <w:szCs w:val="28"/>
          <w:lang w:eastAsia="en-AU"/>
        </w:rPr>
      </w:pPr>
      <w:r w:rsidRPr="00115CD1">
        <w:rPr>
          <w:rFonts w:eastAsia="Times New Roman" w:cs="Arial"/>
          <w:bCs/>
          <w:i/>
          <w:color w:val="000080"/>
          <w:spacing w:val="0"/>
          <w:sz w:val="28"/>
          <w:szCs w:val="28"/>
          <w:lang w:eastAsia="en-AU"/>
        </w:rPr>
        <w:t xml:space="preserve">Application No. 1408.1 – </w:t>
      </w:r>
      <w:r w:rsidR="00906480" w:rsidRPr="00906480">
        <w:rPr>
          <w:rFonts w:eastAsia="Times New Roman" w:cs="Arial"/>
          <w:bCs/>
          <w:i/>
          <w:color w:val="000080"/>
          <w:spacing w:val="0"/>
          <w:sz w:val="28"/>
          <w:szCs w:val="28"/>
          <w:lang w:eastAsia="en-AU"/>
        </w:rPr>
        <w:t>A prognostic RT-qPCR test for prediction of risk of distant recurrence of breast cancer under endocrine treatment</w:t>
      </w:r>
    </w:p>
    <w:p w14:paraId="46E163E5" w14:textId="4DE2102F" w:rsidR="002056CD" w:rsidRPr="00CE28E3" w:rsidRDefault="002056CD" w:rsidP="002056CD">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Pr>
          <w:rFonts w:ascii="Arial" w:hAnsi="Arial" w:cs="Arial"/>
          <w:b/>
          <w:szCs w:val="24"/>
        </w:rPr>
        <w:t xml:space="preserve">Myriad Genetics Australia </w:t>
      </w:r>
      <w:r w:rsidR="006B0BCC">
        <w:rPr>
          <w:rFonts w:ascii="Arial" w:hAnsi="Arial" w:cs="Arial"/>
          <w:b/>
          <w:szCs w:val="24"/>
        </w:rPr>
        <w:t>P</w:t>
      </w:r>
      <w:r>
        <w:rPr>
          <w:rFonts w:ascii="Arial" w:hAnsi="Arial" w:cs="Arial"/>
          <w:b/>
          <w:szCs w:val="24"/>
        </w:rPr>
        <w:t>ty Ltd</w:t>
      </w:r>
    </w:p>
    <w:p w14:paraId="255ED020" w14:textId="5B4821BA" w:rsidR="006B0BCC" w:rsidRDefault="002056CD" w:rsidP="002056CD">
      <w:pPr>
        <w:tabs>
          <w:tab w:val="left" w:pos="3686"/>
        </w:tabs>
        <w:spacing w:after="360"/>
        <w:rPr>
          <w:rFonts w:ascii="Arial" w:hAnsi="Arial" w:cs="Arial"/>
          <w:b/>
          <w:szCs w:val="24"/>
        </w:rPr>
      </w:pPr>
      <w:r w:rsidRPr="00CE28E3">
        <w:rPr>
          <w:rFonts w:ascii="Arial" w:hAnsi="Arial" w:cs="Arial"/>
          <w:b/>
          <w:szCs w:val="24"/>
        </w:rPr>
        <w:t xml:space="preserve">Date of </w:t>
      </w:r>
      <w:r w:rsidR="001B3166">
        <w:rPr>
          <w:rFonts w:ascii="Arial" w:hAnsi="Arial" w:cs="Arial"/>
          <w:b/>
          <w:szCs w:val="24"/>
        </w:rPr>
        <w:t>MSAC</w:t>
      </w:r>
      <w:r w:rsidRPr="00CE28E3">
        <w:rPr>
          <w:rFonts w:ascii="Arial" w:hAnsi="Arial" w:cs="Arial"/>
          <w:b/>
          <w:szCs w:val="24"/>
        </w:rPr>
        <w:t xml:space="preserve"> consideration:</w:t>
      </w:r>
      <w:r w:rsidRPr="00CE28E3">
        <w:rPr>
          <w:rFonts w:ascii="Arial" w:hAnsi="Arial" w:cs="Arial"/>
          <w:b/>
          <w:szCs w:val="24"/>
        </w:rPr>
        <w:tab/>
      </w:r>
      <w:r w:rsidR="001B3166">
        <w:rPr>
          <w:rFonts w:ascii="Arial" w:hAnsi="Arial" w:cs="Arial"/>
          <w:b/>
          <w:szCs w:val="24"/>
        </w:rPr>
        <w:t>28-29 July</w:t>
      </w:r>
      <w:r w:rsidR="000E64A9">
        <w:rPr>
          <w:rFonts w:ascii="Arial" w:hAnsi="Arial" w:cs="Arial"/>
          <w:b/>
          <w:szCs w:val="24"/>
        </w:rPr>
        <w:t xml:space="preserve"> 2022</w:t>
      </w:r>
    </w:p>
    <w:p w14:paraId="1067FFCB" w14:textId="7988FD33" w:rsidR="00282834" w:rsidRPr="009253AA" w:rsidRDefault="00282834" w:rsidP="00282834">
      <w:pPr>
        <w:spacing w:before="240" w:after="360"/>
        <w:rPr>
          <w:rFonts w:ascii="Franklin Gothic Book" w:hAnsi="Franklin Gothic Book"/>
          <w:szCs w:val="24"/>
          <w:u w:val="single"/>
        </w:rPr>
      </w:pPr>
      <w:r w:rsidRPr="00637339">
        <w:rPr>
          <w:rFonts w:ascii="Franklin Gothic Book" w:hAnsi="Franklin Gothic Book"/>
          <w:szCs w:val="24"/>
        </w:rPr>
        <w:t xml:space="preserve">Context for decision: MSAC makes its advice in accordance with its Terms of Reference, </w:t>
      </w:r>
      <w:hyperlink r:id="rId9" w:tooltip="Link to Medical Services Advisory Committee website" w:history="1">
        <w:r w:rsidRPr="00637339">
          <w:rPr>
            <w:rStyle w:val="Hyperlink"/>
            <w:rFonts w:ascii="Franklin Gothic Book" w:hAnsi="Franklin Gothic Book"/>
            <w:szCs w:val="24"/>
          </w:rPr>
          <w:t>visit the MSAC website</w:t>
        </w:r>
      </w:hyperlink>
    </w:p>
    <w:p w14:paraId="31DD32BB" w14:textId="77777777" w:rsidR="002056CD" w:rsidRPr="00056090" w:rsidRDefault="002056CD" w:rsidP="002056CD">
      <w:pPr>
        <w:pStyle w:val="Heading2"/>
        <w:rPr>
          <w:rFonts w:ascii="Franklin Gothic Medium" w:hAnsi="Franklin Gothic Medium" w:cstheme="majorBidi"/>
        </w:rPr>
      </w:pPr>
      <w:bookmarkStart w:id="0" w:name="_Toc69491415"/>
      <w:bookmarkStart w:id="1" w:name="_Toc102569849"/>
      <w:r w:rsidRPr="00056090">
        <w:rPr>
          <w:rFonts w:ascii="Franklin Gothic Medium" w:hAnsi="Franklin Gothic Medium" w:cstheme="majorBidi"/>
        </w:rPr>
        <w:t>1.</w:t>
      </w:r>
      <w:r w:rsidRPr="00056090">
        <w:rPr>
          <w:rFonts w:ascii="Franklin Gothic Medium" w:hAnsi="Franklin Gothic Medium" w:cstheme="majorBidi"/>
        </w:rPr>
        <w:tab/>
        <w:t>Purpose of application</w:t>
      </w:r>
      <w:bookmarkEnd w:id="0"/>
      <w:bookmarkEnd w:id="1"/>
    </w:p>
    <w:p w14:paraId="0DF000C9" w14:textId="43E3136C" w:rsidR="002056CD" w:rsidRPr="00056090" w:rsidRDefault="002056CD" w:rsidP="002056CD">
      <w:pPr>
        <w:spacing w:after="240"/>
        <w:rPr>
          <w:rFonts w:ascii="Franklin Gothic Book" w:hAnsi="Franklin Gothic Book"/>
          <w:iCs/>
        </w:rPr>
      </w:pPr>
      <w:bookmarkStart w:id="2" w:name="_Hlk69734469"/>
      <w:r w:rsidRPr="00056090">
        <w:rPr>
          <w:rFonts w:ascii="Franklin Gothic Book" w:hAnsi="Franklin Gothic Book"/>
          <w:iCs/>
        </w:rPr>
        <w:t>A</w:t>
      </w:r>
      <w:r w:rsidR="00EC5F63">
        <w:rPr>
          <w:rFonts w:ascii="Franklin Gothic Book" w:hAnsi="Franklin Gothic Book"/>
          <w:iCs/>
        </w:rPr>
        <w:t>n application</w:t>
      </w:r>
      <w:r w:rsidRPr="00056090">
        <w:rPr>
          <w:rFonts w:ascii="Franklin Gothic Book" w:hAnsi="Franklin Gothic Book"/>
          <w:iCs/>
        </w:rPr>
        <w:t xml:space="preserve"> requesting Medicare Benefits Schedule (MBS) listing of a gene</w:t>
      </w:r>
      <w:r w:rsidR="00517D31">
        <w:rPr>
          <w:rFonts w:ascii="Franklin Gothic Book" w:hAnsi="Franklin Gothic Book"/>
          <w:iCs/>
        </w:rPr>
        <w:t xml:space="preserve"> expression</w:t>
      </w:r>
      <w:r w:rsidRPr="00056090">
        <w:rPr>
          <w:rFonts w:ascii="Franklin Gothic Book" w:hAnsi="Franklin Gothic Book"/>
          <w:iCs/>
        </w:rPr>
        <w:t xml:space="preserve"> profiling test</w:t>
      </w:r>
      <w:r w:rsidR="00517D31">
        <w:rPr>
          <w:rFonts w:ascii="Franklin Gothic Book" w:hAnsi="Franklin Gothic Book"/>
          <w:iCs/>
        </w:rPr>
        <w:t>,</w:t>
      </w:r>
      <w:r w:rsidRPr="00056090">
        <w:rPr>
          <w:rFonts w:ascii="Franklin Gothic Book" w:hAnsi="Franklin Gothic Book"/>
          <w:iCs/>
        </w:rPr>
        <w:t xml:space="preserve"> EndoPredict</w:t>
      </w:r>
      <w:r w:rsidR="005F1260" w:rsidRPr="005F1260">
        <w:rPr>
          <w:rFonts w:ascii="Franklin Gothic Book" w:hAnsi="Franklin Gothic Book"/>
          <w:iCs/>
          <w:vertAlign w:val="superscript"/>
        </w:rPr>
        <w:t>®</w:t>
      </w:r>
      <w:r w:rsidR="00517D31">
        <w:rPr>
          <w:rFonts w:ascii="Franklin Gothic Book" w:hAnsi="Franklin Gothic Book"/>
          <w:iCs/>
        </w:rPr>
        <w:t>,</w:t>
      </w:r>
      <w:r w:rsidRPr="00056090">
        <w:rPr>
          <w:rFonts w:ascii="Franklin Gothic Book" w:hAnsi="Franklin Gothic Book"/>
          <w:iCs/>
        </w:rPr>
        <w:t xml:space="preserve"> for </w:t>
      </w:r>
      <w:r w:rsidR="00BC1FA0" w:rsidRPr="00056090">
        <w:rPr>
          <w:rFonts w:ascii="Franklin Gothic Book" w:hAnsi="Franklin Gothic Book"/>
          <w:iCs/>
        </w:rPr>
        <w:t xml:space="preserve">determining </w:t>
      </w:r>
      <w:r w:rsidRPr="00056090">
        <w:rPr>
          <w:rFonts w:ascii="Franklin Gothic Book" w:hAnsi="Franklin Gothic Book"/>
          <w:iCs/>
        </w:rPr>
        <w:t xml:space="preserve">the </w:t>
      </w:r>
      <w:r w:rsidR="00927EEA" w:rsidRPr="00056090">
        <w:rPr>
          <w:rFonts w:ascii="Franklin Gothic Book" w:hAnsi="Franklin Gothic Book"/>
          <w:iCs/>
        </w:rPr>
        <w:t xml:space="preserve">prognosis </w:t>
      </w:r>
      <w:r w:rsidR="00BC1FA0" w:rsidRPr="00056090">
        <w:rPr>
          <w:rFonts w:ascii="Franklin Gothic Book" w:hAnsi="Franklin Gothic Book"/>
          <w:iCs/>
        </w:rPr>
        <w:t xml:space="preserve">(risk </w:t>
      </w:r>
      <w:r w:rsidRPr="00056090">
        <w:rPr>
          <w:rFonts w:ascii="Franklin Gothic Book" w:hAnsi="Franklin Gothic Book"/>
          <w:iCs/>
        </w:rPr>
        <w:t>of distant recurrence</w:t>
      </w:r>
      <w:r w:rsidR="00BC1FA0" w:rsidRPr="00056090">
        <w:rPr>
          <w:rFonts w:ascii="Franklin Gothic Book" w:hAnsi="Franklin Gothic Book"/>
          <w:iCs/>
        </w:rPr>
        <w:t>)</w:t>
      </w:r>
      <w:r w:rsidR="00927EEA" w:rsidRPr="00056090">
        <w:rPr>
          <w:rFonts w:ascii="Franklin Gothic Book" w:hAnsi="Franklin Gothic Book"/>
          <w:iCs/>
        </w:rPr>
        <w:t xml:space="preserve">, and for the prediction of </w:t>
      </w:r>
      <w:r w:rsidR="00BC1FA0" w:rsidRPr="00056090">
        <w:rPr>
          <w:rFonts w:ascii="Franklin Gothic Book" w:hAnsi="Franklin Gothic Book"/>
          <w:iCs/>
        </w:rPr>
        <w:t>absolute benefit of chemotherapy (in addition to endocrine therapy)</w:t>
      </w:r>
      <w:r w:rsidRPr="00056090">
        <w:rPr>
          <w:rFonts w:ascii="Franklin Gothic Book" w:hAnsi="Franklin Gothic Book"/>
          <w:iCs/>
        </w:rPr>
        <w:t xml:space="preserve"> for </w:t>
      </w:r>
      <w:r w:rsidR="00AC7DC0">
        <w:rPr>
          <w:rFonts w:ascii="Franklin Gothic Book" w:hAnsi="Franklin Gothic Book"/>
          <w:iCs/>
        </w:rPr>
        <w:t>patients</w:t>
      </w:r>
      <w:r w:rsidRPr="00056090">
        <w:rPr>
          <w:rFonts w:ascii="Franklin Gothic Book" w:hAnsi="Franklin Gothic Book"/>
          <w:iCs/>
        </w:rPr>
        <w:t xml:space="preserve"> with primary oestrogen receptor positive (ER+), human epidermal growth factor receptor 2 negative (HER2–) early stage breast cancer, was received from Myriad Genetics Australia Pty. Ltd. by the Department of Health</w:t>
      </w:r>
      <w:r w:rsidR="005F1260">
        <w:rPr>
          <w:rFonts w:ascii="Franklin Gothic Book" w:hAnsi="Franklin Gothic Book"/>
          <w:iCs/>
        </w:rPr>
        <w:t xml:space="preserve"> and Aged Care</w:t>
      </w:r>
      <w:r w:rsidRPr="00056090">
        <w:rPr>
          <w:rFonts w:ascii="Franklin Gothic Book" w:hAnsi="Franklin Gothic Book"/>
          <w:iCs/>
        </w:rPr>
        <w:t>.</w:t>
      </w:r>
    </w:p>
    <w:p w14:paraId="096995DF" w14:textId="77777777" w:rsidR="006A153F" w:rsidRPr="006A153F" w:rsidRDefault="006A153F" w:rsidP="006A153F">
      <w:pPr>
        <w:pStyle w:val="Heading2"/>
        <w:rPr>
          <w:rFonts w:ascii="Franklin Gothic Medium" w:hAnsi="Franklin Gothic Medium" w:cstheme="majorBidi"/>
        </w:rPr>
      </w:pPr>
      <w:r w:rsidRPr="006A153F">
        <w:rPr>
          <w:rFonts w:ascii="Franklin Gothic Medium" w:hAnsi="Franklin Gothic Medium" w:cstheme="majorBidi"/>
        </w:rPr>
        <w:t>2.</w:t>
      </w:r>
      <w:r w:rsidRPr="006A153F">
        <w:rPr>
          <w:rFonts w:ascii="Franklin Gothic Medium" w:hAnsi="Franklin Gothic Medium" w:cstheme="majorBidi"/>
        </w:rPr>
        <w:tab/>
        <w:t>MSAC’s advice to the Minister</w:t>
      </w:r>
    </w:p>
    <w:p w14:paraId="4167CFBF" w14:textId="4A524021" w:rsidR="002F43A6" w:rsidRDefault="002F43A6" w:rsidP="002F43A6">
      <w:pPr>
        <w:rPr>
          <w:rFonts w:ascii="Franklin Gothic Book" w:hAnsi="Franklin Gothic Book"/>
        </w:rPr>
      </w:pPr>
      <w:r w:rsidRPr="007165C8">
        <w:rPr>
          <w:rFonts w:ascii="Franklin Gothic Book" w:hAnsi="Franklin Gothic Book"/>
        </w:rPr>
        <w:t>After considering the strength of the available evidence in relation to comparative safety, clinical effectiveness</w:t>
      </w:r>
      <w:r w:rsidR="00145D2F">
        <w:rPr>
          <w:rFonts w:ascii="Franklin Gothic Book" w:hAnsi="Franklin Gothic Book"/>
        </w:rPr>
        <w:t>,</w:t>
      </w:r>
      <w:r w:rsidRPr="007165C8">
        <w:rPr>
          <w:rFonts w:ascii="Franklin Gothic Book" w:hAnsi="Franklin Gothic Book"/>
        </w:rPr>
        <w:t xml:space="preserve"> </w:t>
      </w:r>
      <w:proofErr w:type="gramStart"/>
      <w:r w:rsidRPr="007165C8">
        <w:rPr>
          <w:rFonts w:ascii="Franklin Gothic Book" w:hAnsi="Franklin Gothic Book"/>
        </w:rPr>
        <w:t>cost-effectiveness</w:t>
      </w:r>
      <w:proofErr w:type="gramEnd"/>
      <w:r w:rsidR="00145D2F">
        <w:rPr>
          <w:rFonts w:ascii="Franklin Gothic Book" w:hAnsi="Franklin Gothic Book"/>
        </w:rPr>
        <w:t xml:space="preserve"> and total cost</w:t>
      </w:r>
      <w:r w:rsidRPr="007165C8">
        <w:rPr>
          <w:rFonts w:ascii="Franklin Gothic Book" w:hAnsi="Franklin Gothic Book"/>
        </w:rPr>
        <w:t>, MSAC supported the creation of a new Medicare Benefits Schedule (MBS) item for the EndoPredict</w:t>
      </w:r>
      <w:r w:rsidR="005F1260" w:rsidRPr="005F1260">
        <w:rPr>
          <w:rFonts w:ascii="Franklin Gothic Book" w:hAnsi="Franklin Gothic Book"/>
          <w:vertAlign w:val="superscript"/>
        </w:rPr>
        <w:t>®</w:t>
      </w:r>
      <w:r w:rsidRPr="007165C8">
        <w:rPr>
          <w:rFonts w:ascii="Franklin Gothic Book" w:hAnsi="Franklin Gothic Book"/>
        </w:rPr>
        <w:t xml:space="preserve"> brand gene expression profiling (GEP) test. MSAC advised the test had modest incremental prognostic value in establishing the risk of distant recurrence of breast cancer in patients at intermediate risk of recurrence. MSAC did not accept predictive value had been demonstrated, and so could not conclude that using the test would improve health outcomes by affecting treatment decisions</w:t>
      </w:r>
      <w:r w:rsidRPr="00A268A4">
        <w:rPr>
          <w:rFonts w:ascii="Franklin Gothic Book" w:hAnsi="Franklin Gothic Book"/>
        </w:rPr>
        <w:t xml:space="preserve">. MSAC supported a fee per service of $1,200 benchmarked against the fees of other genomic tests it has supported </w:t>
      </w:r>
      <w:proofErr w:type="gramStart"/>
      <w:r w:rsidRPr="00A268A4">
        <w:rPr>
          <w:rFonts w:ascii="Franklin Gothic Book" w:hAnsi="Franklin Gothic Book"/>
        </w:rPr>
        <w:t>on the basis of</w:t>
      </w:r>
      <w:proofErr w:type="gramEnd"/>
      <w:r w:rsidRPr="00A268A4">
        <w:rPr>
          <w:rFonts w:ascii="Franklin Gothic Book" w:hAnsi="Franklin Gothic Book"/>
        </w:rPr>
        <w:t xml:space="preserve"> having incremental prognostic value.</w:t>
      </w:r>
      <w:r w:rsidR="007033BD" w:rsidRPr="00A268A4">
        <w:rPr>
          <w:rFonts w:ascii="Franklin Gothic Book" w:hAnsi="Franklin Gothic Book"/>
        </w:rPr>
        <w:t xml:space="preserve"> M</w:t>
      </w:r>
      <w:r w:rsidR="007033BD">
        <w:rPr>
          <w:rFonts w:ascii="Franklin Gothic Book" w:hAnsi="Franklin Gothic Book"/>
        </w:rPr>
        <w:t>SAC supported the following MBS item (</w:t>
      </w:r>
      <w:r w:rsidR="007033BD">
        <w:rPr>
          <w:rFonts w:ascii="Franklin Gothic Book" w:hAnsi="Franklin Gothic Book"/>
        </w:rPr>
        <w:fldChar w:fldCharType="begin"/>
      </w:r>
      <w:r w:rsidR="007033BD">
        <w:rPr>
          <w:rFonts w:ascii="Franklin Gothic Book" w:hAnsi="Franklin Gothic Book"/>
        </w:rPr>
        <w:instrText xml:space="preserve"> REF _Ref111015036  \* MERGEFORMAT </w:instrText>
      </w:r>
      <w:r w:rsidR="007033BD">
        <w:rPr>
          <w:rFonts w:ascii="Franklin Gothic Book" w:hAnsi="Franklin Gothic Book"/>
        </w:rPr>
        <w:fldChar w:fldCharType="separate"/>
      </w:r>
      <w:r w:rsidR="00943826" w:rsidRPr="00943826">
        <w:rPr>
          <w:rFonts w:ascii="Franklin Gothic Book" w:hAnsi="Franklin Gothic Book"/>
        </w:rPr>
        <w:t>Table 1</w:t>
      </w:r>
      <w:r w:rsidR="007033BD">
        <w:rPr>
          <w:rFonts w:ascii="Franklin Gothic Book" w:hAnsi="Franklin Gothic Book"/>
        </w:rPr>
        <w:fldChar w:fldCharType="end"/>
      </w:r>
      <w:r w:rsidR="007033BD">
        <w:rPr>
          <w:rFonts w:ascii="Franklin Gothic Book" w:hAnsi="Franklin Gothic Book"/>
        </w:rPr>
        <w:t>).</w:t>
      </w:r>
    </w:p>
    <w:p w14:paraId="2ADFAABB" w14:textId="2AC30044" w:rsidR="007033BD" w:rsidRDefault="007033BD" w:rsidP="007033BD">
      <w:pPr>
        <w:pStyle w:val="Caption"/>
      </w:pPr>
      <w:bookmarkStart w:id="3" w:name="_Ref111015036"/>
      <w:r>
        <w:lastRenderedPageBreak/>
        <w:t xml:space="preserve">Table </w:t>
      </w:r>
      <w:fldSimple w:instr=" SEQ Table \* ARABIC ">
        <w:r w:rsidR="00943826">
          <w:rPr>
            <w:noProof/>
          </w:rPr>
          <w:t>1</w:t>
        </w:r>
      </w:fldSimple>
      <w:bookmarkEnd w:id="3"/>
      <w:r>
        <w:tab/>
        <w:t>MSAC’s supported MBS item</w:t>
      </w:r>
    </w:p>
    <w:tbl>
      <w:tblPr>
        <w:tblStyle w:val="TableGrid10"/>
        <w:tblpPr w:leftFromText="180" w:rightFromText="180" w:vertAnchor="text" w:horzAnchor="margin" w:tblpY="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9016"/>
      </w:tblGrid>
      <w:tr w:rsidR="00BA60D6" w:rsidRPr="00CD42E8" w14:paraId="4F29AC06" w14:textId="77777777" w:rsidTr="00BA60D6">
        <w:trPr>
          <w:cnfStyle w:val="100000000000" w:firstRow="1" w:lastRow="0" w:firstColumn="0" w:lastColumn="0" w:oddVBand="0" w:evenVBand="0" w:oddHBand="0" w:evenHBand="0" w:firstRowFirstColumn="0" w:firstRowLastColumn="0" w:lastRowFirstColumn="0" w:lastRowLastColumn="0"/>
          <w:trHeight w:val="416"/>
          <w:tblHeader/>
        </w:trPr>
        <w:tc>
          <w:tcPr>
            <w:tcW w:w="5000" w:type="pct"/>
            <w:tcBorders>
              <w:top w:val="single" w:sz="4" w:space="0" w:color="000000"/>
              <w:left w:val="single" w:sz="4" w:space="0" w:color="000000"/>
              <w:bottom w:val="single" w:sz="4" w:space="0" w:color="000000"/>
              <w:right w:val="single" w:sz="4" w:space="0" w:color="000000"/>
            </w:tcBorders>
          </w:tcPr>
          <w:p w14:paraId="10A5B6D2" w14:textId="4866233D" w:rsidR="00BA60D6" w:rsidRDefault="00BA60D6" w:rsidP="00BA60D6">
            <w:pPr>
              <w:pStyle w:val="TableText0"/>
              <w:keepLines/>
              <w:jc w:val="right"/>
              <w:rPr>
                <w:iCs/>
              </w:rPr>
            </w:pPr>
            <w:r>
              <w:rPr>
                <w:iCs/>
              </w:rPr>
              <w:t>Category 6 – PATHOLOGY SERVICES</w:t>
            </w:r>
          </w:p>
          <w:p w14:paraId="1A6C7DFA" w14:textId="256EE301" w:rsidR="00BA60D6" w:rsidRPr="003C42AD" w:rsidRDefault="00BA60D6" w:rsidP="00BA60D6">
            <w:pPr>
              <w:pStyle w:val="TableText0"/>
              <w:keepLines/>
              <w:jc w:val="right"/>
              <w:rPr>
                <w:iCs/>
              </w:rPr>
            </w:pPr>
            <w:r>
              <w:rPr>
                <w:iCs/>
              </w:rPr>
              <w:t>Group P7 – GENETICS</w:t>
            </w:r>
          </w:p>
        </w:tc>
      </w:tr>
      <w:tr w:rsidR="007033BD" w:rsidRPr="00CD42E8" w14:paraId="02B29009" w14:textId="77777777" w:rsidTr="00517D31">
        <w:trPr>
          <w:cnfStyle w:val="100000000000" w:firstRow="1" w:lastRow="0" w:firstColumn="0" w:lastColumn="0" w:oddVBand="0" w:evenVBand="0" w:oddHBand="0" w:evenHBand="0" w:firstRowFirstColumn="0" w:firstRowLastColumn="0" w:lastRowFirstColumn="0" w:lastRowLastColumn="0"/>
          <w:trHeight w:val="4237"/>
          <w:tblHeader/>
        </w:trPr>
        <w:tc>
          <w:tcPr>
            <w:tcW w:w="5000" w:type="pct"/>
            <w:tcBorders>
              <w:top w:val="single" w:sz="4" w:space="0" w:color="000000"/>
              <w:left w:val="single" w:sz="4" w:space="0" w:color="000000"/>
              <w:bottom w:val="single" w:sz="4" w:space="0" w:color="000000"/>
              <w:right w:val="single" w:sz="4" w:space="0" w:color="000000"/>
            </w:tcBorders>
            <w:hideMark/>
          </w:tcPr>
          <w:p w14:paraId="61A58813" w14:textId="60EE4EEA" w:rsidR="007033BD" w:rsidRPr="003C42AD" w:rsidRDefault="007033BD" w:rsidP="00F80877">
            <w:pPr>
              <w:pStyle w:val="TableText0"/>
              <w:keepLines/>
              <w:rPr>
                <w:iCs/>
              </w:rPr>
            </w:pPr>
            <w:r w:rsidRPr="003C42AD">
              <w:rPr>
                <w:iCs/>
              </w:rPr>
              <w:t>MBS XXX</w:t>
            </w:r>
          </w:p>
          <w:p w14:paraId="26621DF7" w14:textId="0465C9AF" w:rsidR="007033BD" w:rsidRPr="003C42AD" w:rsidRDefault="007033BD" w:rsidP="00F80877">
            <w:pPr>
              <w:pStyle w:val="TableText0"/>
              <w:keepLines/>
              <w:rPr>
                <w:iCs/>
              </w:rPr>
            </w:pPr>
            <w:r w:rsidRPr="003C42AD">
              <w:rPr>
                <w:iCs/>
              </w:rPr>
              <w:t>EndoPredict</w:t>
            </w:r>
            <w:r w:rsidRPr="003C42AD">
              <w:rPr>
                <w:iCs/>
                <w:vertAlign w:val="superscript"/>
              </w:rPr>
              <w:t>®</w:t>
            </w:r>
            <w:r w:rsidRPr="003C42AD">
              <w:rPr>
                <w:iCs/>
              </w:rPr>
              <w:t>,</w:t>
            </w:r>
            <w:r w:rsidRPr="003C42AD">
              <w:rPr>
                <w:iCs/>
                <w:color w:val="FF0000"/>
              </w:rPr>
              <w:t xml:space="preserve"> </w:t>
            </w:r>
            <w:r w:rsidRPr="003C42AD">
              <w:rPr>
                <w:iCs/>
              </w:rPr>
              <w:t>a gene expression profiling test that algorithmically combines tumour size</w:t>
            </w:r>
            <w:r w:rsidR="003C42AD">
              <w:rPr>
                <w:iCs/>
              </w:rPr>
              <w:t xml:space="preserve"> and</w:t>
            </w:r>
            <w:r w:rsidRPr="003C42AD">
              <w:rPr>
                <w:iCs/>
              </w:rPr>
              <w:t xml:space="preserve"> lymph node status with gene expression </w:t>
            </w:r>
            <w:r w:rsidR="000C6CD0">
              <w:rPr>
                <w:iCs/>
              </w:rPr>
              <w:t>in formalin-fixed, paraffin-embedded primary breast cancer tissue f</w:t>
            </w:r>
            <w:r w:rsidRPr="003C42AD">
              <w:rPr>
                <w:iCs/>
              </w:rPr>
              <w:t xml:space="preserve">rom core needle biopsy or surgical tumour sample to </w:t>
            </w:r>
            <w:r w:rsidR="0078610A" w:rsidRPr="003C42AD">
              <w:rPr>
                <w:iCs/>
              </w:rPr>
              <w:t xml:space="preserve">generate a result to </w:t>
            </w:r>
            <w:r w:rsidR="002D50BC">
              <w:rPr>
                <w:iCs/>
              </w:rPr>
              <w:t>estimate</w:t>
            </w:r>
            <w:r w:rsidR="00BA38E5">
              <w:rPr>
                <w:iCs/>
              </w:rPr>
              <w:t xml:space="preserve"> </w:t>
            </w:r>
            <w:r w:rsidR="00151DCF">
              <w:rPr>
                <w:iCs/>
              </w:rPr>
              <w:t xml:space="preserve">the </w:t>
            </w:r>
            <w:r w:rsidR="00BA38E5">
              <w:rPr>
                <w:iCs/>
              </w:rPr>
              <w:t>risk of distant recurrence within</w:t>
            </w:r>
            <w:r w:rsidRPr="003C42AD">
              <w:rPr>
                <w:iCs/>
              </w:rPr>
              <w:t xml:space="preserve"> 10</w:t>
            </w:r>
            <w:r w:rsidR="00BA38E5">
              <w:rPr>
                <w:iCs/>
              </w:rPr>
              <w:t xml:space="preserve"> </w:t>
            </w:r>
            <w:r w:rsidRPr="003C42AD">
              <w:rPr>
                <w:iCs/>
              </w:rPr>
              <w:t>years.</w:t>
            </w:r>
          </w:p>
          <w:p w14:paraId="1D245723" w14:textId="77777777" w:rsidR="007033BD" w:rsidRPr="003C42AD" w:rsidRDefault="007033BD" w:rsidP="00F80877">
            <w:pPr>
              <w:pStyle w:val="TableText0"/>
              <w:keepLines/>
              <w:rPr>
                <w:iCs/>
              </w:rPr>
            </w:pPr>
            <w:r w:rsidRPr="003C42AD">
              <w:rPr>
                <w:iCs/>
              </w:rPr>
              <w:t>The test may be used when all the following criteria are met:</w:t>
            </w:r>
          </w:p>
          <w:p w14:paraId="162F9B5B" w14:textId="03B3AF6E" w:rsidR="007033BD" w:rsidRPr="003C42AD" w:rsidRDefault="007033BD" w:rsidP="00F80877">
            <w:pPr>
              <w:pStyle w:val="TableText0"/>
              <w:keepLines/>
              <w:ind w:left="447" w:hanging="280"/>
              <w:rPr>
                <w:iCs/>
              </w:rPr>
            </w:pPr>
            <w:r w:rsidRPr="003C42AD">
              <w:rPr>
                <w:iCs/>
              </w:rPr>
              <w:t>(a) New primary breast cancer, suitable for adjuvant chemotherapy.</w:t>
            </w:r>
          </w:p>
          <w:p w14:paraId="3B67AA08" w14:textId="77777777" w:rsidR="007033BD" w:rsidRPr="003C42AD" w:rsidRDefault="007033BD" w:rsidP="00F80877">
            <w:pPr>
              <w:pStyle w:val="TableText0"/>
              <w:keepLines/>
              <w:ind w:left="447" w:hanging="280"/>
              <w:rPr>
                <w:iCs/>
              </w:rPr>
            </w:pPr>
            <w:r w:rsidRPr="003C42AD">
              <w:rPr>
                <w:iCs/>
              </w:rPr>
              <w:t>(b) Oestrogen receptor positive and HER2 negative as determined by IHC and ISH respectively on surgically removed tumour.</w:t>
            </w:r>
          </w:p>
          <w:p w14:paraId="12F2C2AF" w14:textId="77777777" w:rsidR="007033BD" w:rsidRPr="003C42AD" w:rsidRDefault="007033BD" w:rsidP="00F80877">
            <w:pPr>
              <w:pStyle w:val="TableText0"/>
              <w:keepLines/>
              <w:ind w:left="447" w:hanging="280"/>
              <w:rPr>
                <w:iCs/>
              </w:rPr>
            </w:pPr>
            <w:r w:rsidRPr="003C42AD">
              <w:rPr>
                <w:iCs/>
              </w:rPr>
              <w:t>(c) Axillary node negative or positive (up to 3 nodes) and tumour size 1-5 cm determined by histopathology on surgically removed tumour.</w:t>
            </w:r>
          </w:p>
          <w:p w14:paraId="06237BE2" w14:textId="77777777" w:rsidR="007033BD" w:rsidRPr="003C42AD" w:rsidRDefault="007033BD" w:rsidP="00F80877">
            <w:pPr>
              <w:pStyle w:val="TableText0"/>
              <w:keepLines/>
              <w:ind w:left="447" w:hanging="280"/>
              <w:rPr>
                <w:iCs/>
              </w:rPr>
            </w:pPr>
            <w:r w:rsidRPr="003C42AD">
              <w:rPr>
                <w:iCs/>
              </w:rPr>
              <w:t>(d) No evidence of distal metastasis.</w:t>
            </w:r>
          </w:p>
          <w:p w14:paraId="1A544B72" w14:textId="1F5DC510" w:rsidR="007033BD" w:rsidRPr="003C42AD" w:rsidRDefault="007033BD" w:rsidP="00F80877">
            <w:pPr>
              <w:pStyle w:val="TableText0"/>
              <w:keepLines/>
              <w:ind w:left="447" w:hanging="280"/>
              <w:rPr>
                <w:iCs/>
              </w:rPr>
            </w:pPr>
            <w:r w:rsidRPr="003C42AD">
              <w:rPr>
                <w:iCs/>
              </w:rPr>
              <w:t>(e) Pre-test intermediate risk of distant metastases defined by at least one of the following characteristics: Grade 2; or Grade 3; or one to three lymph nodes involved in metastatic disease (nodes include micrometastases but not isolated tumour cells).</w:t>
            </w:r>
          </w:p>
          <w:p w14:paraId="2EDF0CB0" w14:textId="77777777" w:rsidR="007033BD" w:rsidRPr="003C42AD" w:rsidRDefault="007033BD" w:rsidP="00F80877">
            <w:pPr>
              <w:pStyle w:val="TableText0"/>
              <w:keepLines/>
              <w:rPr>
                <w:iCs/>
              </w:rPr>
            </w:pPr>
          </w:p>
          <w:p w14:paraId="347B8BE5" w14:textId="2FA10759" w:rsidR="007033BD" w:rsidRPr="003C42AD" w:rsidRDefault="00831046" w:rsidP="00F80877">
            <w:pPr>
              <w:pStyle w:val="TableText0"/>
              <w:keepLines/>
              <w:rPr>
                <w:iCs/>
              </w:rPr>
            </w:pPr>
            <w:bookmarkStart w:id="4" w:name="_Hlk111998753"/>
            <w:r w:rsidRPr="00831046">
              <w:rPr>
                <w:iCs/>
              </w:rPr>
              <w:t xml:space="preserve">For any </w:t>
            </w:r>
            <w:proofErr w:type="gramStart"/>
            <w:r w:rsidRPr="00831046">
              <w:rPr>
                <w:iCs/>
              </w:rPr>
              <w:t>particular patient</w:t>
            </w:r>
            <w:proofErr w:type="gramEnd"/>
            <w:r w:rsidRPr="00831046">
              <w:rPr>
                <w:iCs/>
              </w:rPr>
              <w:t xml:space="preserve">, </w:t>
            </w:r>
            <w:r>
              <w:rPr>
                <w:iCs/>
              </w:rPr>
              <w:t xml:space="preserve">applicable </w:t>
            </w:r>
            <w:r w:rsidR="007033BD" w:rsidRPr="003C42AD">
              <w:rPr>
                <w:iCs/>
              </w:rPr>
              <w:t>once per new primary breast cancer diagnosis.</w:t>
            </w:r>
            <w:bookmarkEnd w:id="4"/>
            <w:r w:rsidR="007033BD" w:rsidRPr="003C42AD">
              <w:rPr>
                <w:iCs/>
              </w:rPr>
              <w:t xml:space="preserve"> Not to be used as a predictive test to change treatment decisions.</w:t>
            </w:r>
          </w:p>
        </w:tc>
      </w:tr>
      <w:tr w:rsidR="007033BD" w:rsidRPr="00A268A4" w14:paraId="662A6D18" w14:textId="77777777" w:rsidTr="002014DE">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Borders>
              <w:top w:val="single" w:sz="4" w:space="0" w:color="000000"/>
              <w:left w:val="single" w:sz="4" w:space="0" w:color="000000"/>
              <w:bottom w:val="single" w:sz="4" w:space="0" w:color="000000"/>
              <w:right w:val="single" w:sz="4" w:space="0" w:color="000000"/>
            </w:tcBorders>
          </w:tcPr>
          <w:p w14:paraId="174C5375" w14:textId="042F60FD" w:rsidR="007033BD" w:rsidRPr="00A268A4" w:rsidRDefault="007033BD" w:rsidP="00F80877">
            <w:pPr>
              <w:pStyle w:val="TableText0"/>
              <w:keepLines/>
              <w:rPr>
                <w:iCs/>
              </w:rPr>
            </w:pPr>
            <w:r w:rsidRPr="00A268A4">
              <w:rPr>
                <w:iCs/>
              </w:rPr>
              <w:t xml:space="preserve">Fee: $1,200.00 </w:t>
            </w:r>
            <w:r w:rsidR="00517D31" w:rsidRPr="00A268A4">
              <w:rPr>
                <w:iCs/>
              </w:rPr>
              <w:t xml:space="preserve">  </w:t>
            </w:r>
            <w:r w:rsidRPr="00A268A4">
              <w:rPr>
                <w:iCs/>
              </w:rPr>
              <w:t xml:space="preserve">Benefit: 75% = $900.00 </w:t>
            </w:r>
            <w:r w:rsidR="00517D31" w:rsidRPr="00A268A4">
              <w:rPr>
                <w:iCs/>
              </w:rPr>
              <w:t xml:space="preserve">  </w:t>
            </w:r>
            <w:r w:rsidRPr="00A268A4">
              <w:rPr>
                <w:iCs/>
              </w:rPr>
              <w:t>85% = $1</w:t>
            </w:r>
            <w:r w:rsidR="006D422C" w:rsidRPr="00A268A4">
              <w:rPr>
                <w:iCs/>
              </w:rPr>
              <w:t>,</w:t>
            </w:r>
            <w:r w:rsidRPr="00A268A4">
              <w:rPr>
                <w:iCs/>
              </w:rPr>
              <w:t>112.10</w:t>
            </w:r>
          </w:p>
        </w:tc>
      </w:tr>
    </w:tbl>
    <w:p w14:paraId="4308E27C" w14:textId="16F4F6E0" w:rsidR="007033BD" w:rsidRPr="00D9550E" w:rsidRDefault="007033BD" w:rsidP="00F80877">
      <w:pPr>
        <w:pStyle w:val="TableFigureFooter"/>
        <w:keepLines/>
        <w:spacing w:before="0" w:after="0"/>
      </w:pPr>
      <w:r>
        <w:t xml:space="preserve">FFPE = </w:t>
      </w:r>
      <w:r w:rsidR="0017008B">
        <w:t>f</w:t>
      </w:r>
      <w:r>
        <w:t xml:space="preserve">ormalin-fixed paraffin-embedded; HER2 = human epidermal growth factor receptor 2; IHC = immunohistochemistry test; ISH = </w:t>
      </w:r>
      <w:r w:rsidRPr="006C5D61">
        <w:rPr>
          <w:i/>
          <w:iCs/>
        </w:rPr>
        <w:t>in situ</w:t>
      </w:r>
      <w:r>
        <w:t xml:space="preserve"> hybridisation test.</w:t>
      </w:r>
    </w:p>
    <w:p w14:paraId="46E58A4F" w14:textId="77777777" w:rsidR="007033BD" w:rsidRPr="00D9550E" w:rsidRDefault="007033BD" w:rsidP="007033BD">
      <w:pPr>
        <w:pStyle w:val="TableFigureFooter"/>
        <w:spacing w:before="0" w:after="0"/>
      </w:pPr>
      <w:r w:rsidRPr="00D9550E">
        <w:t>85% benefit r</w:t>
      </w:r>
      <w:r w:rsidRPr="006F253B">
        <w:t>eflects the 1 November 2021 Greatest Permissible Gap (GPG) of $87.90. All out-of-hospital Medicare services that have an MBS fee of $586.20 or more will attract a benefit that is greater than 85% of the MBS fee – being the schedule fee less the GPG amount. The GPG amount is indexed annually on 1 November in line with the Consumer Price Index (CPI) (June quarter).</w:t>
      </w:r>
    </w:p>
    <w:p w14:paraId="1BDAC260" w14:textId="77777777" w:rsidR="007033BD" w:rsidRPr="007165C8" w:rsidRDefault="007033BD" w:rsidP="002F43A6">
      <w:pPr>
        <w:rPr>
          <w:rFonts w:ascii="Franklin Gothic Book" w:hAnsi="Franklin Gothic Book"/>
        </w:rPr>
      </w:pPr>
    </w:p>
    <w:tbl>
      <w:tblPr>
        <w:tblStyle w:val="TableGrid"/>
        <w:tblW w:w="0" w:type="auto"/>
        <w:tblLook w:val="04A0" w:firstRow="1" w:lastRow="0" w:firstColumn="1" w:lastColumn="0" w:noHBand="0" w:noVBand="1"/>
        <w:tblDescription w:val="Consumer summary of MSAC consideration"/>
      </w:tblPr>
      <w:tblGrid>
        <w:gridCol w:w="9016"/>
      </w:tblGrid>
      <w:tr w:rsidR="006A153F" w14:paraId="300C3DEE" w14:textId="77777777" w:rsidTr="005F1260">
        <w:trPr>
          <w:cnfStyle w:val="100000000000" w:firstRow="1" w:lastRow="0" w:firstColumn="0" w:lastColumn="0" w:oddVBand="0" w:evenVBand="0" w:oddHBand="0" w:evenHBand="0" w:firstRowFirstColumn="0" w:firstRowLastColumn="0" w:lastRowFirstColumn="0" w:lastRowLastColumn="0"/>
        </w:trPr>
        <w:tc>
          <w:tcPr>
            <w:tcW w:w="9016" w:type="dxa"/>
          </w:tcPr>
          <w:p w14:paraId="2AB2FFCE" w14:textId="77777777" w:rsidR="006A153F" w:rsidRPr="006A153F" w:rsidRDefault="006A153F" w:rsidP="005F1260">
            <w:pPr>
              <w:pStyle w:val="Default"/>
              <w:spacing w:before="120" w:after="120"/>
              <w:rPr>
                <w:rFonts w:ascii="Franklin Gothic Book" w:hAnsi="Franklin Gothic Book"/>
                <w:b w:val="0"/>
                <w:color w:val="auto"/>
                <w:sz w:val="22"/>
                <w:szCs w:val="22"/>
              </w:rPr>
            </w:pPr>
            <w:r w:rsidRPr="006A153F">
              <w:rPr>
                <w:rFonts w:ascii="Franklin Gothic Book" w:hAnsi="Franklin Gothic Book"/>
                <w:color w:val="auto"/>
                <w:sz w:val="22"/>
                <w:szCs w:val="22"/>
              </w:rPr>
              <w:t>Consumer summary</w:t>
            </w:r>
          </w:p>
        </w:tc>
      </w:tr>
      <w:tr w:rsidR="006A153F" w14:paraId="0FFFC486" w14:textId="77777777" w:rsidTr="005F1260">
        <w:tc>
          <w:tcPr>
            <w:tcW w:w="9016" w:type="dxa"/>
          </w:tcPr>
          <w:p w14:paraId="10E5564C" w14:textId="4D25F73B" w:rsidR="002F43A6" w:rsidRPr="002F43A6" w:rsidRDefault="002F43A6" w:rsidP="002F43A6">
            <w:pPr>
              <w:pStyle w:val="Default"/>
              <w:spacing w:after="240"/>
              <w:rPr>
                <w:rFonts w:ascii="Franklin Gothic Book" w:hAnsi="Franklin Gothic Book"/>
                <w:iCs/>
                <w:color w:val="auto"/>
                <w:sz w:val="22"/>
                <w:szCs w:val="22"/>
              </w:rPr>
            </w:pPr>
            <w:r w:rsidRPr="002F43A6">
              <w:rPr>
                <w:rFonts w:ascii="Franklin Gothic Book" w:hAnsi="Franklin Gothic Book"/>
                <w:iCs/>
                <w:color w:val="auto"/>
                <w:sz w:val="22"/>
                <w:szCs w:val="22"/>
              </w:rPr>
              <w:t xml:space="preserve">Myriad Genetics </w:t>
            </w:r>
            <w:r w:rsidR="002E7350" w:rsidRPr="002E7350">
              <w:rPr>
                <w:rFonts w:ascii="Franklin Gothic Book" w:hAnsi="Franklin Gothic Book"/>
                <w:iCs/>
                <w:color w:val="auto"/>
                <w:sz w:val="22"/>
                <w:szCs w:val="22"/>
              </w:rPr>
              <w:t xml:space="preserve">Australia </w:t>
            </w:r>
            <w:r w:rsidRPr="002F43A6">
              <w:rPr>
                <w:rFonts w:ascii="Franklin Gothic Book" w:hAnsi="Franklin Gothic Book"/>
                <w:iCs/>
                <w:color w:val="auto"/>
                <w:sz w:val="22"/>
                <w:szCs w:val="22"/>
              </w:rPr>
              <w:t xml:space="preserve">Pty. Ltd. </w:t>
            </w:r>
            <w:r w:rsidR="005F1260">
              <w:rPr>
                <w:rFonts w:ascii="Franklin Gothic Book" w:hAnsi="Franklin Gothic Book"/>
                <w:iCs/>
                <w:color w:val="auto"/>
                <w:sz w:val="22"/>
                <w:szCs w:val="22"/>
              </w:rPr>
              <w:t xml:space="preserve">lodged this application </w:t>
            </w:r>
            <w:r w:rsidRPr="002F43A6">
              <w:rPr>
                <w:rFonts w:ascii="Franklin Gothic Book" w:hAnsi="Franklin Gothic Book"/>
                <w:iCs/>
                <w:color w:val="auto"/>
                <w:sz w:val="22"/>
                <w:szCs w:val="22"/>
              </w:rPr>
              <w:t>requesting Medicare Benefits Schedule (MBS) listing for a gene expression profiling (GEP) test called EndoPredict</w:t>
            </w:r>
            <w:r w:rsidR="005F1260" w:rsidRPr="005F1260">
              <w:rPr>
                <w:rFonts w:ascii="Franklin Gothic Book" w:hAnsi="Franklin Gothic Book"/>
                <w:iCs/>
                <w:color w:val="auto"/>
                <w:sz w:val="22"/>
                <w:szCs w:val="22"/>
                <w:vertAlign w:val="superscript"/>
              </w:rPr>
              <w:t>®</w:t>
            </w:r>
            <w:r w:rsidRPr="002F43A6">
              <w:rPr>
                <w:rFonts w:ascii="Franklin Gothic Book" w:hAnsi="Franklin Gothic Book"/>
                <w:iCs/>
                <w:color w:val="auto"/>
                <w:sz w:val="22"/>
                <w:szCs w:val="22"/>
              </w:rPr>
              <w:t>. EndoPredict</w:t>
            </w:r>
            <w:r w:rsidR="005F1260" w:rsidRPr="005F1260">
              <w:rPr>
                <w:rFonts w:ascii="Franklin Gothic Book" w:hAnsi="Franklin Gothic Book"/>
                <w:iCs/>
                <w:color w:val="auto"/>
                <w:sz w:val="22"/>
                <w:szCs w:val="22"/>
                <w:vertAlign w:val="superscript"/>
              </w:rPr>
              <w:t>®</w:t>
            </w:r>
            <w:r w:rsidRPr="002F43A6">
              <w:rPr>
                <w:rFonts w:ascii="Franklin Gothic Book" w:hAnsi="Franklin Gothic Book"/>
                <w:iCs/>
                <w:color w:val="auto"/>
                <w:sz w:val="22"/>
                <w:szCs w:val="22"/>
              </w:rPr>
              <w:t xml:space="preserve"> is a gene</w:t>
            </w:r>
            <w:r w:rsidR="00517D31">
              <w:rPr>
                <w:rFonts w:ascii="Franklin Gothic Book" w:hAnsi="Franklin Gothic Book"/>
                <w:iCs/>
                <w:color w:val="auto"/>
                <w:sz w:val="22"/>
                <w:szCs w:val="22"/>
              </w:rPr>
              <w:t>tic test</w:t>
            </w:r>
            <w:r w:rsidRPr="002F43A6">
              <w:rPr>
                <w:rFonts w:ascii="Franklin Gothic Book" w:hAnsi="Franklin Gothic Book"/>
                <w:iCs/>
                <w:color w:val="auto"/>
                <w:sz w:val="22"/>
                <w:szCs w:val="22"/>
              </w:rPr>
              <w:t xml:space="preserve"> that looks at </w:t>
            </w:r>
            <w:r w:rsidR="005F1260">
              <w:rPr>
                <w:rFonts w:ascii="Franklin Gothic Book" w:hAnsi="Franklin Gothic Book"/>
                <w:iCs/>
                <w:color w:val="auto"/>
                <w:sz w:val="22"/>
                <w:szCs w:val="22"/>
              </w:rPr>
              <w:t xml:space="preserve">the expression levels of </w:t>
            </w:r>
            <w:r w:rsidRPr="002F43A6">
              <w:rPr>
                <w:rFonts w:ascii="Franklin Gothic Book" w:hAnsi="Franklin Gothic Book"/>
                <w:iCs/>
                <w:color w:val="auto"/>
                <w:sz w:val="22"/>
                <w:szCs w:val="22"/>
              </w:rPr>
              <w:t xml:space="preserve">several genes </w:t>
            </w:r>
            <w:r w:rsidR="005F1260">
              <w:rPr>
                <w:rFonts w:ascii="Franklin Gothic Book" w:hAnsi="Franklin Gothic Book"/>
                <w:iCs/>
                <w:color w:val="auto"/>
                <w:sz w:val="22"/>
                <w:szCs w:val="22"/>
              </w:rPr>
              <w:t xml:space="preserve">that can be </w:t>
            </w:r>
            <w:r w:rsidRPr="002F43A6">
              <w:rPr>
                <w:rFonts w:ascii="Franklin Gothic Book" w:hAnsi="Franklin Gothic Book"/>
                <w:iCs/>
                <w:color w:val="auto"/>
                <w:sz w:val="22"/>
                <w:szCs w:val="22"/>
              </w:rPr>
              <w:t>involved in breast cancer</w:t>
            </w:r>
            <w:r w:rsidR="00740D1F">
              <w:rPr>
                <w:rFonts w:ascii="Franklin Gothic Book" w:hAnsi="Franklin Gothic Book"/>
                <w:iCs/>
                <w:color w:val="auto"/>
                <w:sz w:val="22"/>
                <w:szCs w:val="22"/>
              </w:rPr>
              <w:t>.</w:t>
            </w:r>
            <w:r w:rsidRPr="002F43A6">
              <w:rPr>
                <w:rFonts w:ascii="Franklin Gothic Book" w:hAnsi="Franklin Gothic Book"/>
                <w:iCs/>
                <w:color w:val="auto"/>
                <w:sz w:val="22"/>
                <w:szCs w:val="22"/>
              </w:rPr>
              <w:t xml:space="preserve"> </w:t>
            </w:r>
            <w:r w:rsidR="00740D1F">
              <w:rPr>
                <w:rFonts w:ascii="Franklin Gothic Book" w:hAnsi="Franklin Gothic Book"/>
                <w:iCs/>
                <w:color w:val="auto"/>
                <w:sz w:val="22"/>
                <w:szCs w:val="22"/>
              </w:rPr>
              <w:t>It</w:t>
            </w:r>
            <w:r w:rsidR="00740D1F" w:rsidRPr="002F43A6">
              <w:rPr>
                <w:rFonts w:ascii="Franklin Gothic Book" w:hAnsi="Franklin Gothic Book"/>
                <w:iCs/>
                <w:color w:val="auto"/>
                <w:sz w:val="22"/>
                <w:szCs w:val="22"/>
              </w:rPr>
              <w:t xml:space="preserve"> </w:t>
            </w:r>
            <w:r w:rsidRPr="002F43A6">
              <w:rPr>
                <w:rFonts w:ascii="Franklin Gothic Book" w:hAnsi="Franklin Gothic Book"/>
                <w:iCs/>
                <w:color w:val="auto"/>
                <w:sz w:val="22"/>
                <w:szCs w:val="22"/>
              </w:rPr>
              <w:t xml:space="preserve">then </w:t>
            </w:r>
            <w:r w:rsidR="00E7748B">
              <w:rPr>
                <w:rFonts w:ascii="Franklin Gothic Book" w:hAnsi="Franklin Gothic Book"/>
                <w:iCs/>
                <w:color w:val="auto"/>
                <w:sz w:val="22"/>
                <w:szCs w:val="22"/>
              </w:rPr>
              <w:t xml:space="preserve">combines their results </w:t>
            </w:r>
            <w:r w:rsidR="00740D1F" w:rsidRPr="00740D1F">
              <w:rPr>
                <w:rFonts w:ascii="Franklin Gothic Book" w:hAnsi="Franklin Gothic Book"/>
                <w:iCs/>
                <w:color w:val="auto"/>
                <w:sz w:val="22"/>
                <w:szCs w:val="22"/>
              </w:rPr>
              <w:t xml:space="preserve">with other clinical information </w:t>
            </w:r>
            <w:r w:rsidRPr="002F43A6">
              <w:rPr>
                <w:rFonts w:ascii="Franklin Gothic Book" w:hAnsi="Franklin Gothic Book"/>
                <w:iCs/>
                <w:color w:val="auto"/>
                <w:sz w:val="22"/>
                <w:szCs w:val="22"/>
              </w:rPr>
              <w:t>us</w:t>
            </w:r>
            <w:r w:rsidR="00E7748B">
              <w:rPr>
                <w:rFonts w:ascii="Franklin Gothic Book" w:hAnsi="Franklin Gothic Book"/>
                <w:iCs/>
                <w:color w:val="auto"/>
                <w:sz w:val="22"/>
                <w:szCs w:val="22"/>
              </w:rPr>
              <w:t>ing</w:t>
            </w:r>
            <w:r w:rsidRPr="002F43A6">
              <w:rPr>
                <w:rFonts w:ascii="Franklin Gothic Book" w:hAnsi="Franklin Gothic Book"/>
                <w:iCs/>
                <w:color w:val="auto"/>
                <w:sz w:val="22"/>
                <w:szCs w:val="22"/>
              </w:rPr>
              <w:t xml:space="preserve"> an algorithm to </w:t>
            </w:r>
            <w:r w:rsidR="005F1260">
              <w:rPr>
                <w:rFonts w:ascii="Franklin Gothic Book" w:hAnsi="Franklin Gothic Book"/>
                <w:iCs/>
                <w:color w:val="auto"/>
                <w:sz w:val="22"/>
                <w:szCs w:val="22"/>
              </w:rPr>
              <w:t>calculate</w:t>
            </w:r>
            <w:r w:rsidR="005F1260" w:rsidRPr="002F43A6">
              <w:rPr>
                <w:rFonts w:ascii="Franklin Gothic Book" w:hAnsi="Franklin Gothic Book"/>
                <w:iCs/>
                <w:color w:val="auto"/>
                <w:sz w:val="22"/>
                <w:szCs w:val="22"/>
              </w:rPr>
              <w:t xml:space="preserve"> </w:t>
            </w:r>
            <w:r w:rsidRPr="002F43A6">
              <w:rPr>
                <w:rFonts w:ascii="Franklin Gothic Book" w:hAnsi="Franklin Gothic Book"/>
                <w:iCs/>
                <w:color w:val="auto"/>
                <w:sz w:val="22"/>
                <w:szCs w:val="22"/>
              </w:rPr>
              <w:t>a score. The score provides a patient’s risk of getting breast cancer again, called recurrent breast cancer.</w:t>
            </w:r>
          </w:p>
          <w:p w14:paraId="24DA3900" w14:textId="15FC6308" w:rsidR="005F1260" w:rsidRPr="002F43A6" w:rsidRDefault="007B7345" w:rsidP="005F1260">
            <w:pPr>
              <w:pStyle w:val="Default"/>
              <w:spacing w:after="240"/>
              <w:rPr>
                <w:rFonts w:ascii="Franklin Gothic Book" w:hAnsi="Franklin Gothic Book"/>
                <w:iCs/>
                <w:color w:val="auto"/>
                <w:sz w:val="22"/>
                <w:szCs w:val="22"/>
              </w:rPr>
            </w:pPr>
            <w:r>
              <w:rPr>
                <w:rFonts w:ascii="Franklin Gothic Book" w:hAnsi="Franklin Gothic Book"/>
                <w:iCs/>
                <w:color w:val="auto"/>
                <w:sz w:val="22"/>
                <w:szCs w:val="22"/>
              </w:rPr>
              <w:t>P</w:t>
            </w:r>
            <w:r w:rsidR="002F43A6" w:rsidRPr="002F43A6">
              <w:rPr>
                <w:rFonts w:ascii="Franklin Gothic Book" w:hAnsi="Franklin Gothic Book"/>
                <w:iCs/>
                <w:color w:val="auto"/>
                <w:sz w:val="22"/>
                <w:szCs w:val="22"/>
              </w:rPr>
              <w:t xml:space="preserve">atients who have </w:t>
            </w:r>
            <w:r>
              <w:rPr>
                <w:rFonts w:ascii="Franklin Gothic Book" w:hAnsi="Franklin Gothic Book"/>
                <w:iCs/>
                <w:color w:val="auto"/>
                <w:sz w:val="22"/>
                <w:szCs w:val="22"/>
              </w:rPr>
              <w:t xml:space="preserve">certain types of </w:t>
            </w:r>
            <w:r w:rsidR="002F43A6" w:rsidRPr="002F43A6">
              <w:rPr>
                <w:rFonts w:ascii="Franklin Gothic Book" w:hAnsi="Franklin Gothic Book"/>
                <w:iCs/>
                <w:color w:val="auto"/>
                <w:sz w:val="22"/>
                <w:szCs w:val="22"/>
              </w:rPr>
              <w:t xml:space="preserve">early breast cancer </w:t>
            </w:r>
            <w:r w:rsidR="001A2537">
              <w:rPr>
                <w:rFonts w:ascii="Franklin Gothic Book" w:hAnsi="Franklin Gothic Book"/>
                <w:iCs/>
                <w:color w:val="auto"/>
                <w:sz w:val="22"/>
                <w:szCs w:val="22"/>
              </w:rPr>
              <w:t xml:space="preserve">and are at intermediate risk of recurrence </w:t>
            </w:r>
            <w:r w:rsidR="002F43A6" w:rsidRPr="002F43A6">
              <w:rPr>
                <w:rFonts w:ascii="Franklin Gothic Book" w:hAnsi="Franklin Gothic Book"/>
                <w:iCs/>
                <w:color w:val="auto"/>
                <w:sz w:val="22"/>
                <w:szCs w:val="22"/>
              </w:rPr>
              <w:t xml:space="preserve">can use the score to estimate </w:t>
            </w:r>
            <w:r>
              <w:rPr>
                <w:rFonts w:ascii="Franklin Gothic Book" w:hAnsi="Franklin Gothic Book"/>
                <w:iCs/>
                <w:color w:val="auto"/>
                <w:sz w:val="22"/>
                <w:szCs w:val="22"/>
              </w:rPr>
              <w:t>their</w:t>
            </w:r>
            <w:r w:rsidR="002F43A6" w:rsidRPr="002F43A6">
              <w:rPr>
                <w:rFonts w:ascii="Franklin Gothic Book" w:hAnsi="Franklin Gothic Book"/>
                <w:iCs/>
                <w:color w:val="auto"/>
                <w:sz w:val="22"/>
                <w:szCs w:val="22"/>
              </w:rPr>
              <w:t xml:space="preserve"> likely future risk of cancer recurrence after surgery (prognostic value). </w:t>
            </w:r>
            <w:r w:rsidR="002A4B24">
              <w:rPr>
                <w:rFonts w:ascii="Franklin Gothic Book" w:hAnsi="Franklin Gothic Book"/>
                <w:iCs/>
                <w:color w:val="auto"/>
                <w:sz w:val="22"/>
                <w:szCs w:val="22"/>
              </w:rPr>
              <w:t>K</w:t>
            </w:r>
            <w:r w:rsidR="006D422C" w:rsidRPr="007B7345">
              <w:rPr>
                <w:rFonts w:ascii="Franklin Gothic Book" w:hAnsi="Franklin Gothic Book"/>
                <w:iCs/>
                <w:color w:val="auto"/>
                <w:sz w:val="22"/>
                <w:szCs w:val="22"/>
              </w:rPr>
              <w:t>nowing their prognosis</w:t>
            </w:r>
            <w:r w:rsidR="002A4B24">
              <w:rPr>
                <w:rFonts w:ascii="Franklin Gothic Book" w:hAnsi="Franklin Gothic Book"/>
                <w:iCs/>
                <w:color w:val="auto"/>
                <w:sz w:val="22"/>
                <w:szCs w:val="22"/>
              </w:rPr>
              <w:t xml:space="preserve"> is valuable for patients and their clinicians</w:t>
            </w:r>
            <w:r w:rsidR="006D422C">
              <w:rPr>
                <w:rFonts w:ascii="Franklin Gothic Book" w:hAnsi="Franklin Gothic Book"/>
                <w:iCs/>
                <w:color w:val="auto"/>
                <w:sz w:val="22"/>
                <w:szCs w:val="22"/>
              </w:rPr>
              <w:t>.</w:t>
            </w:r>
            <w:r w:rsidR="006D422C" w:rsidRPr="002F43A6">
              <w:rPr>
                <w:rFonts w:ascii="Franklin Gothic Book" w:hAnsi="Franklin Gothic Book"/>
                <w:iCs/>
                <w:color w:val="auto"/>
                <w:sz w:val="22"/>
                <w:szCs w:val="22"/>
              </w:rPr>
              <w:t xml:space="preserve"> </w:t>
            </w:r>
            <w:r w:rsidR="005F1260" w:rsidRPr="002F43A6">
              <w:rPr>
                <w:rFonts w:ascii="Franklin Gothic Book" w:hAnsi="Franklin Gothic Book"/>
                <w:iCs/>
                <w:color w:val="auto"/>
                <w:sz w:val="22"/>
                <w:szCs w:val="22"/>
              </w:rPr>
              <w:t xml:space="preserve">MSAC accepted that </w:t>
            </w:r>
            <w:r w:rsidR="001A2537">
              <w:rPr>
                <w:rFonts w:ascii="Franklin Gothic Book" w:hAnsi="Franklin Gothic Book"/>
                <w:iCs/>
                <w:color w:val="auto"/>
                <w:sz w:val="22"/>
                <w:szCs w:val="22"/>
              </w:rPr>
              <w:t xml:space="preserve">for patients who are at intermediate risk of recurrence, </w:t>
            </w:r>
            <w:r w:rsidR="005F1260" w:rsidRPr="002F43A6">
              <w:rPr>
                <w:rFonts w:ascii="Franklin Gothic Book" w:hAnsi="Franklin Gothic Book"/>
                <w:iCs/>
                <w:color w:val="auto"/>
                <w:sz w:val="22"/>
                <w:szCs w:val="22"/>
              </w:rPr>
              <w:t>EndoPredict</w:t>
            </w:r>
            <w:r w:rsidR="005F1260" w:rsidRPr="005F1260">
              <w:rPr>
                <w:rFonts w:ascii="Franklin Gothic Book" w:hAnsi="Franklin Gothic Book"/>
                <w:iCs/>
                <w:color w:val="auto"/>
                <w:sz w:val="22"/>
                <w:szCs w:val="22"/>
                <w:vertAlign w:val="superscript"/>
              </w:rPr>
              <w:t>®</w:t>
            </w:r>
            <w:r w:rsidR="005F1260" w:rsidRPr="002F43A6">
              <w:rPr>
                <w:rFonts w:ascii="Franklin Gothic Book" w:hAnsi="Franklin Gothic Book"/>
                <w:iCs/>
                <w:color w:val="auto"/>
                <w:sz w:val="22"/>
                <w:szCs w:val="22"/>
              </w:rPr>
              <w:t xml:space="preserve"> ha</w:t>
            </w:r>
            <w:r w:rsidR="002A4B24">
              <w:rPr>
                <w:rFonts w:ascii="Franklin Gothic Book" w:hAnsi="Franklin Gothic Book"/>
                <w:iCs/>
                <w:color w:val="auto"/>
                <w:sz w:val="22"/>
                <w:szCs w:val="22"/>
              </w:rPr>
              <w:t>s</w:t>
            </w:r>
            <w:r w:rsidR="005F1260" w:rsidRPr="002F43A6">
              <w:rPr>
                <w:rFonts w:ascii="Franklin Gothic Book" w:hAnsi="Franklin Gothic Book"/>
                <w:iCs/>
                <w:color w:val="auto"/>
                <w:sz w:val="22"/>
                <w:szCs w:val="22"/>
              </w:rPr>
              <w:t xml:space="preserve"> </w:t>
            </w:r>
            <w:r w:rsidR="00ED2AEB">
              <w:rPr>
                <w:rFonts w:ascii="Franklin Gothic Book" w:hAnsi="Franklin Gothic Book"/>
                <w:iCs/>
                <w:color w:val="auto"/>
                <w:sz w:val="22"/>
                <w:szCs w:val="22"/>
              </w:rPr>
              <w:t xml:space="preserve">some </w:t>
            </w:r>
            <w:r w:rsidR="005F1260" w:rsidRPr="002F43A6">
              <w:rPr>
                <w:rFonts w:ascii="Franklin Gothic Book" w:hAnsi="Franklin Gothic Book"/>
                <w:iCs/>
                <w:color w:val="auto"/>
                <w:sz w:val="22"/>
                <w:szCs w:val="22"/>
              </w:rPr>
              <w:t xml:space="preserve">prognostic value </w:t>
            </w:r>
            <w:r w:rsidR="00310B62">
              <w:rPr>
                <w:rFonts w:ascii="Franklin Gothic Book" w:hAnsi="Franklin Gothic Book"/>
                <w:iCs/>
                <w:color w:val="auto"/>
                <w:sz w:val="22"/>
                <w:szCs w:val="22"/>
              </w:rPr>
              <w:t>beyond the</w:t>
            </w:r>
            <w:r w:rsidR="005F1260" w:rsidRPr="002F43A6">
              <w:rPr>
                <w:rFonts w:ascii="Franklin Gothic Book" w:hAnsi="Franklin Gothic Book"/>
                <w:iCs/>
                <w:color w:val="auto"/>
                <w:sz w:val="22"/>
                <w:szCs w:val="22"/>
              </w:rPr>
              <w:t xml:space="preserve"> other information that clinicians and patients </w:t>
            </w:r>
            <w:r w:rsidR="00145924">
              <w:rPr>
                <w:rFonts w:ascii="Franklin Gothic Book" w:hAnsi="Franklin Gothic Book"/>
                <w:iCs/>
                <w:color w:val="auto"/>
                <w:sz w:val="22"/>
                <w:szCs w:val="22"/>
              </w:rPr>
              <w:t>already</w:t>
            </w:r>
            <w:r w:rsidR="005F1260" w:rsidRPr="002F43A6">
              <w:rPr>
                <w:rFonts w:ascii="Franklin Gothic Book" w:hAnsi="Franklin Gothic Book"/>
                <w:iCs/>
                <w:color w:val="auto"/>
                <w:sz w:val="22"/>
                <w:szCs w:val="22"/>
              </w:rPr>
              <w:t xml:space="preserve"> use to estimate the risk of cancer recurrence.</w:t>
            </w:r>
          </w:p>
          <w:p w14:paraId="1CBB1DC0" w14:textId="53217BDE" w:rsidR="002F43A6" w:rsidRPr="002F43A6" w:rsidRDefault="002F43A6" w:rsidP="002F43A6">
            <w:pPr>
              <w:pStyle w:val="Default"/>
              <w:spacing w:after="240"/>
              <w:rPr>
                <w:rFonts w:ascii="Franklin Gothic Book" w:hAnsi="Franklin Gothic Book"/>
                <w:iCs/>
                <w:color w:val="auto"/>
                <w:sz w:val="22"/>
                <w:szCs w:val="22"/>
              </w:rPr>
            </w:pPr>
            <w:r w:rsidRPr="002F43A6">
              <w:rPr>
                <w:rFonts w:ascii="Franklin Gothic Book" w:hAnsi="Franklin Gothic Book"/>
                <w:iCs/>
                <w:color w:val="auto"/>
                <w:sz w:val="22"/>
                <w:szCs w:val="22"/>
              </w:rPr>
              <w:t xml:space="preserve">Myriad Genetics also claimed that </w:t>
            </w:r>
            <w:r w:rsidR="00270944" w:rsidRPr="002F43A6">
              <w:rPr>
                <w:rFonts w:ascii="Franklin Gothic Book" w:hAnsi="Franklin Gothic Book"/>
                <w:iCs/>
                <w:color w:val="auto"/>
                <w:sz w:val="22"/>
                <w:szCs w:val="22"/>
              </w:rPr>
              <w:t>EndoPredict</w:t>
            </w:r>
            <w:r w:rsidR="00270944" w:rsidRPr="005F1260">
              <w:rPr>
                <w:rFonts w:ascii="Franklin Gothic Book" w:hAnsi="Franklin Gothic Book"/>
                <w:iCs/>
                <w:color w:val="auto"/>
                <w:sz w:val="22"/>
                <w:szCs w:val="22"/>
                <w:vertAlign w:val="superscript"/>
              </w:rPr>
              <w:t>®</w:t>
            </w:r>
            <w:r w:rsidR="00270944" w:rsidRPr="002F43A6">
              <w:rPr>
                <w:rFonts w:ascii="Franklin Gothic Book" w:hAnsi="Franklin Gothic Book"/>
                <w:iCs/>
                <w:color w:val="auto"/>
                <w:sz w:val="22"/>
                <w:szCs w:val="22"/>
              </w:rPr>
              <w:t xml:space="preserve"> </w:t>
            </w:r>
            <w:r w:rsidRPr="002F43A6">
              <w:rPr>
                <w:rFonts w:ascii="Franklin Gothic Book" w:hAnsi="Franklin Gothic Book"/>
                <w:iCs/>
                <w:color w:val="auto"/>
                <w:sz w:val="22"/>
                <w:szCs w:val="22"/>
              </w:rPr>
              <w:t xml:space="preserve">test </w:t>
            </w:r>
            <w:r w:rsidR="00145924">
              <w:rPr>
                <w:rFonts w:ascii="Franklin Gothic Book" w:hAnsi="Franklin Gothic Book"/>
                <w:iCs/>
                <w:color w:val="auto"/>
                <w:sz w:val="22"/>
                <w:szCs w:val="22"/>
              </w:rPr>
              <w:t xml:space="preserve">results </w:t>
            </w:r>
            <w:r w:rsidRPr="002F43A6">
              <w:rPr>
                <w:rFonts w:ascii="Franklin Gothic Book" w:hAnsi="Franklin Gothic Book"/>
                <w:iCs/>
                <w:color w:val="auto"/>
                <w:sz w:val="22"/>
                <w:szCs w:val="22"/>
              </w:rPr>
              <w:t>can be used to predict which patients can safely avoid chemotherapy after surgery</w:t>
            </w:r>
            <w:r w:rsidR="00145924">
              <w:rPr>
                <w:rFonts w:ascii="Franklin Gothic Book" w:hAnsi="Franklin Gothic Book"/>
                <w:iCs/>
                <w:color w:val="auto"/>
                <w:sz w:val="22"/>
                <w:szCs w:val="22"/>
              </w:rPr>
              <w:t xml:space="preserve"> or </w:t>
            </w:r>
            <w:r w:rsidR="009771F2">
              <w:rPr>
                <w:rFonts w:ascii="Franklin Gothic Book" w:hAnsi="Franklin Gothic Book"/>
                <w:iCs/>
                <w:color w:val="auto"/>
                <w:sz w:val="22"/>
                <w:szCs w:val="22"/>
              </w:rPr>
              <w:t>would benefit from</w:t>
            </w:r>
            <w:r w:rsidR="00145924">
              <w:rPr>
                <w:rFonts w:ascii="Franklin Gothic Book" w:hAnsi="Franklin Gothic Book"/>
                <w:iCs/>
                <w:color w:val="auto"/>
                <w:sz w:val="22"/>
                <w:szCs w:val="22"/>
              </w:rPr>
              <w:t xml:space="preserve"> add</w:t>
            </w:r>
            <w:r w:rsidR="009771F2">
              <w:rPr>
                <w:rFonts w:ascii="Franklin Gothic Book" w:hAnsi="Franklin Gothic Book"/>
                <w:iCs/>
                <w:color w:val="auto"/>
                <w:sz w:val="22"/>
                <w:szCs w:val="22"/>
              </w:rPr>
              <w:t>ing</w:t>
            </w:r>
            <w:r w:rsidR="00145924">
              <w:rPr>
                <w:rFonts w:ascii="Franklin Gothic Book" w:hAnsi="Franklin Gothic Book"/>
                <w:iCs/>
                <w:color w:val="auto"/>
                <w:sz w:val="22"/>
                <w:szCs w:val="22"/>
              </w:rPr>
              <w:t xml:space="preserve"> chemotherapy</w:t>
            </w:r>
            <w:r w:rsidR="006D422C">
              <w:rPr>
                <w:rFonts w:ascii="Franklin Gothic Book" w:hAnsi="Franklin Gothic Book"/>
                <w:iCs/>
                <w:color w:val="auto"/>
                <w:sz w:val="22"/>
                <w:szCs w:val="22"/>
              </w:rPr>
              <w:t>, and that this can</w:t>
            </w:r>
            <w:r w:rsidR="00145924">
              <w:rPr>
                <w:rFonts w:ascii="Franklin Gothic Book" w:hAnsi="Franklin Gothic Book"/>
                <w:iCs/>
                <w:color w:val="auto"/>
                <w:sz w:val="22"/>
                <w:szCs w:val="22"/>
              </w:rPr>
              <w:t xml:space="preserve"> result in improved health outcomes</w:t>
            </w:r>
            <w:r w:rsidRPr="002F43A6">
              <w:rPr>
                <w:rFonts w:ascii="Franklin Gothic Book" w:hAnsi="Franklin Gothic Book"/>
                <w:iCs/>
                <w:color w:val="auto"/>
                <w:sz w:val="22"/>
                <w:szCs w:val="22"/>
              </w:rPr>
              <w:t xml:space="preserve"> (predictive value).</w:t>
            </w:r>
            <w:r w:rsidR="005F1260">
              <w:rPr>
                <w:rFonts w:ascii="Franklin Gothic Book" w:hAnsi="Franklin Gothic Book"/>
                <w:iCs/>
                <w:color w:val="auto"/>
                <w:sz w:val="22"/>
                <w:szCs w:val="22"/>
              </w:rPr>
              <w:t xml:space="preserve"> </w:t>
            </w:r>
            <w:r w:rsidR="006D422C">
              <w:rPr>
                <w:rFonts w:ascii="Franklin Gothic Book" w:hAnsi="Franklin Gothic Book"/>
                <w:iCs/>
                <w:color w:val="auto"/>
                <w:sz w:val="22"/>
                <w:szCs w:val="22"/>
              </w:rPr>
              <w:t xml:space="preserve">However, </w:t>
            </w:r>
            <w:r w:rsidRPr="002F43A6">
              <w:rPr>
                <w:rFonts w:ascii="Franklin Gothic Book" w:hAnsi="Franklin Gothic Book"/>
                <w:iCs/>
                <w:color w:val="auto"/>
                <w:sz w:val="22"/>
                <w:szCs w:val="22"/>
              </w:rPr>
              <w:t xml:space="preserve">MSAC </w:t>
            </w:r>
            <w:r w:rsidR="002A4B24">
              <w:rPr>
                <w:rFonts w:ascii="Franklin Gothic Book" w:hAnsi="Franklin Gothic Book"/>
                <w:iCs/>
                <w:color w:val="auto"/>
                <w:sz w:val="22"/>
                <w:szCs w:val="22"/>
              </w:rPr>
              <w:t>found</w:t>
            </w:r>
            <w:r w:rsidR="005F1260" w:rsidRPr="002F43A6">
              <w:rPr>
                <w:rFonts w:ascii="Franklin Gothic Book" w:hAnsi="Franklin Gothic Book"/>
                <w:iCs/>
                <w:color w:val="auto"/>
                <w:sz w:val="22"/>
                <w:szCs w:val="22"/>
              </w:rPr>
              <w:t xml:space="preserve"> </w:t>
            </w:r>
            <w:r w:rsidRPr="002F43A6">
              <w:rPr>
                <w:rFonts w:ascii="Franklin Gothic Book" w:hAnsi="Franklin Gothic Book"/>
                <w:iCs/>
                <w:color w:val="auto"/>
                <w:sz w:val="22"/>
                <w:szCs w:val="22"/>
              </w:rPr>
              <w:t xml:space="preserve">that </w:t>
            </w:r>
            <w:r w:rsidR="002E7350">
              <w:rPr>
                <w:rFonts w:ascii="Franklin Gothic Book" w:hAnsi="Franklin Gothic Book"/>
                <w:iCs/>
                <w:color w:val="auto"/>
                <w:sz w:val="22"/>
                <w:szCs w:val="22"/>
              </w:rPr>
              <w:t xml:space="preserve">the </w:t>
            </w:r>
            <w:r w:rsidRPr="002F43A6">
              <w:rPr>
                <w:rFonts w:ascii="Franklin Gothic Book" w:hAnsi="Franklin Gothic Book"/>
                <w:iCs/>
                <w:color w:val="auto"/>
                <w:sz w:val="22"/>
                <w:szCs w:val="22"/>
              </w:rPr>
              <w:t xml:space="preserve">evidence </w:t>
            </w:r>
            <w:r w:rsidR="006D422C">
              <w:rPr>
                <w:rFonts w:ascii="Franklin Gothic Book" w:hAnsi="Franklin Gothic Book"/>
                <w:iCs/>
                <w:color w:val="auto"/>
                <w:sz w:val="22"/>
                <w:szCs w:val="22"/>
              </w:rPr>
              <w:t xml:space="preserve">provided </w:t>
            </w:r>
            <w:r w:rsidR="002E7350">
              <w:rPr>
                <w:rFonts w:ascii="Franklin Gothic Book" w:hAnsi="Franklin Gothic Book"/>
                <w:iCs/>
                <w:color w:val="auto"/>
                <w:sz w:val="22"/>
                <w:szCs w:val="22"/>
              </w:rPr>
              <w:t xml:space="preserve">did not </w:t>
            </w:r>
            <w:r w:rsidRPr="002F43A6">
              <w:rPr>
                <w:rFonts w:ascii="Franklin Gothic Book" w:hAnsi="Franklin Gothic Book"/>
                <w:iCs/>
                <w:color w:val="auto"/>
                <w:sz w:val="22"/>
                <w:szCs w:val="22"/>
              </w:rPr>
              <w:t xml:space="preserve">show that </w:t>
            </w:r>
            <w:r w:rsidR="00145924">
              <w:rPr>
                <w:rFonts w:ascii="Franklin Gothic Book" w:hAnsi="Franklin Gothic Book"/>
                <w:iCs/>
                <w:color w:val="auto"/>
                <w:sz w:val="22"/>
                <w:szCs w:val="22"/>
              </w:rPr>
              <w:t>using EndoPredict</w:t>
            </w:r>
            <w:r w:rsidR="00145924" w:rsidRPr="005F1260">
              <w:rPr>
                <w:rFonts w:ascii="Franklin Gothic Book" w:hAnsi="Franklin Gothic Book"/>
                <w:iCs/>
                <w:color w:val="auto"/>
                <w:sz w:val="22"/>
                <w:szCs w:val="22"/>
                <w:vertAlign w:val="superscript"/>
              </w:rPr>
              <w:t>®</w:t>
            </w:r>
            <w:r w:rsidR="00145924">
              <w:rPr>
                <w:rFonts w:ascii="Franklin Gothic Book" w:hAnsi="Franklin Gothic Book"/>
                <w:iCs/>
                <w:color w:val="auto"/>
                <w:sz w:val="22"/>
                <w:szCs w:val="22"/>
              </w:rPr>
              <w:t xml:space="preserve"> to change treatment decisions will improve health outcomes</w:t>
            </w:r>
            <w:r w:rsidRPr="002F43A6">
              <w:rPr>
                <w:rFonts w:ascii="Franklin Gothic Book" w:hAnsi="Franklin Gothic Book"/>
                <w:iCs/>
                <w:color w:val="auto"/>
                <w:sz w:val="22"/>
                <w:szCs w:val="22"/>
              </w:rPr>
              <w:t>.</w:t>
            </w:r>
          </w:p>
          <w:p w14:paraId="5171206C" w14:textId="45656C8C" w:rsidR="002F43A6" w:rsidRPr="002F43A6" w:rsidRDefault="002F43A6" w:rsidP="002F43A6">
            <w:pPr>
              <w:pStyle w:val="Default"/>
              <w:spacing w:after="240"/>
              <w:rPr>
                <w:rFonts w:ascii="Franklin Gothic Book" w:hAnsi="Franklin Gothic Book"/>
                <w:iCs/>
                <w:color w:val="auto"/>
                <w:sz w:val="22"/>
                <w:szCs w:val="22"/>
              </w:rPr>
            </w:pPr>
            <w:r w:rsidRPr="002F43A6">
              <w:rPr>
                <w:rFonts w:ascii="Franklin Gothic Book" w:hAnsi="Franklin Gothic Book"/>
                <w:iCs/>
                <w:color w:val="auto"/>
                <w:sz w:val="22"/>
                <w:szCs w:val="22"/>
              </w:rPr>
              <w:t>MSAC</w:t>
            </w:r>
            <w:r w:rsidR="007B7345" w:rsidRPr="002F43A6">
              <w:rPr>
                <w:rFonts w:ascii="Franklin Gothic Book" w:hAnsi="Franklin Gothic Book"/>
                <w:iCs/>
                <w:color w:val="auto"/>
                <w:sz w:val="22"/>
                <w:szCs w:val="22"/>
              </w:rPr>
              <w:t xml:space="preserve"> </w:t>
            </w:r>
            <w:r w:rsidRPr="002F43A6">
              <w:rPr>
                <w:rFonts w:ascii="Franklin Gothic Book" w:hAnsi="Franklin Gothic Book"/>
                <w:iCs/>
                <w:color w:val="auto"/>
                <w:sz w:val="22"/>
                <w:szCs w:val="22"/>
              </w:rPr>
              <w:t>accepted that EndoPredict</w:t>
            </w:r>
            <w:r w:rsidR="005F1260" w:rsidRPr="005F1260">
              <w:rPr>
                <w:rFonts w:ascii="Franklin Gothic Book" w:hAnsi="Franklin Gothic Book"/>
                <w:iCs/>
                <w:color w:val="auto"/>
                <w:sz w:val="22"/>
                <w:szCs w:val="22"/>
                <w:vertAlign w:val="superscript"/>
              </w:rPr>
              <w:t>®</w:t>
            </w:r>
            <w:r w:rsidRPr="002F43A6">
              <w:rPr>
                <w:rFonts w:ascii="Franklin Gothic Book" w:hAnsi="Franklin Gothic Book"/>
                <w:iCs/>
                <w:color w:val="auto"/>
                <w:sz w:val="22"/>
                <w:szCs w:val="22"/>
              </w:rPr>
              <w:t xml:space="preserve"> is </w:t>
            </w:r>
            <w:r w:rsidR="00316984">
              <w:rPr>
                <w:rFonts w:ascii="Franklin Gothic Book" w:hAnsi="Franklin Gothic Book"/>
                <w:iCs/>
                <w:color w:val="auto"/>
                <w:sz w:val="22"/>
                <w:szCs w:val="22"/>
              </w:rPr>
              <w:t xml:space="preserve">comparatively </w:t>
            </w:r>
            <w:r w:rsidRPr="002F43A6">
              <w:rPr>
                <w:rFonts w:ascii="Franklin Gothic Book" w:hAnsi="Franklin Gothic Book"/>
                <w:iCs/>
                <w:color w:val="auto"/>
                <w:sz w:val="22"/>
                <w:szCs w:val="22"/>
              </w:rPr>
              <w:t xml:space="preserve">effective and safe when used as a prognostic test only. </w:t>
            </w:r>
            <w:r w:rsidR="00D53457" w:rsidRPr="00A268A4">
              <w:rPr>
                <w:rFonts w:ascii="Franklin Gothic Book" w:hAnsi="Franklin Gothic Book"/>
                <w:iCs/>
                <w:color w:val="auto"/>
                <w:sz w:val="22"/>
                <w:szCs w:val="22"/>
              </w:rPr>
              <w:t>MSAC considered the test to be good value for money and a reasonable cos</w:t>
            </w:r>
            <w:r w:rsidR="001A2537" w:rsidRPr="00A268A4">
              <w:rPr>
                <w:rFonts w:ascii="Franklin Gothic Book" w:hAnsi="Franklin Gothic Book"/>
                <w:iCs/>
                <w:color w:val="auto"/>
                <w:sz w:val="22"/>
                <w:szCs w:val="22"/>
              </w:rPr>
              <w:t>t</w:t>
            </w:r>
            <w:r w:rsidR="00D53457" w:rsidRPr="00A268A4">
              <w:rPr>
                <w:rFonts w:ascii="Franklin Gothic Book" w:hAnsi="Franklin Gothic Book"/>
                <w:iCs/>
                <w:color w:val="auto"/>
                <w:sz w:val="22"/>
                <w:szCs w:val="22"/>
              </w:rPr>
              <w:t xml:space="preserve"> to the MBS at </w:t>
            </w:r>
            <w:r w:rsidR="001A2537" w:rsidRPr="00A268A4">
              <w:rPr>
                <w:rFonts w:ascii="Franklin Gothic Book" w:hAnsi="Franklin Gothic Book"/>
                <w:iCs/>
                <w:color w:val="auto"/>
                <w:sz w:val="22"/>
                <w:szCs w:val="22"/>
              </w:rPr>
              <w:t>the same</w:t>
            </w:r>
            <w:r w:rsidR="00D53457" w:rsidRPr="00A268A4">
              <w:rPr>
                <w:rFonts w:ascii="Franklin Gothic Book" w:hAnsi="Franklin Gothic Book"/>
                <w:iCs/>
                <w:color w:val="auto"/>
                <w:sz w:val="22"/>
                <w:szCs w:val="22"/>
              </w:rPr>
              <w:t xml:space="preserve"> fee </w:t>
            </w:r>
            <w:r w:rsidR="001A2537" w:rsidRPr="00A268A4">
              <w:rPr>
                <w:rFonts w:ascii="Franklin Gothic Book" w:hAnsi="Franklin Gothic Book"/>
                <w:iCs/>
                <w:color w:val="auto"/>
                <w:sz w:val="22"/>
                <w:szCs w:val="22"/>
              </w:rPr>
              <w:t>as</w:t>
            </w:r>
            <w:r w:rsidR="00D53457" w:rsidRPr="00A268A4">
              <w:rPr>
                <w:rFonts w:ascii="Franklin Gothic Book" w:hAnsi="Franklin Gothic Book"/>
                <w:iCs/>
                <w:color w:val="auto"/>
                <w:sz w:val="22"/>
                <w:szCs w:val="22"/>
              </w:rPr>
              <w:t xml:space="preserve"> other prognostic tests</w:t>
            </w:r>
            <w:r w:rsidR="00D53457">
              <w:rPr>
                <w:rFonts w:ascii="Franklin Gothic Book" w:hAnsi="Franklin Gothic Book"/>
                <w:iCs/>
                <w:color w:val="auto"/>
                <w:sz w:val="22"/>
                <w:szCs w:val="22"/>
              </w:rPr>
              <w:t xml:space="preserve">. </w:t>
            </w:r>
            <w:r w:rsidRPr="002F43A6">
              <w:rPr>
                <w:rFonts w:ascii="Franklin Gothic Book" w:hAnsi="Franklin Gothic Book"/>
                <w:iCs/>
                <w:color w:val="auto"/>
                <w:sz w:val="22"/>
                <w:szCs w:val="22"/>
              </w:rPr>
              <w:t xml:space="preserve">MSAC emphasised that </w:t>
            </w:r>
            <w:r w:rsidR="00145924">
              <w:rPr>
                <w:rFonts w:ascii="Franklin Gothic Book" w:hAnsi="Franklin Gothic Book"/>
                <w:iCs/>
                <w:color w:val="auto"/>
                <w:sz w:val="22"/>
                <w:szCs w:val="22"/>
              </w:rPr>
              <w:t>there was not enough evidence to show that</w:t>
            </w:r>
            <w:r w:rsidRPr="002F43A6">
              <w:rPr>
                <w:rFonts w:ascii="Franklin Gothic Book" w:hAnsi="Franklin Gothic Book"/>
                <w:iCs/>
                <w:color w:val="auto"/>
                <w:sz w:val="22"/>
                <w:szCs w:val="22"/>
              </w:rPr>
              <w:t xml:space="preserve"> it </w:t>
            </w:r>
            <w:r w:rsidR="00145924">
              <w:rPr>
                <w:rFonts w:ascii="Franklin Gothic Book" w:hAnsi="Franklin Gothic Book"/>
                <w:iCs/>
                <w:color w:val="auto"/>
                <w:sz w:val="22"/>
                <w:szCs w:val="22"/>
              </w:rPr>
              <w:t xml:space="preserve">would be </w:t>
            </w:r>
            <w:r w:rsidRPr="002F43A6">
              <w:rPr>
                <w:rFonts w:ascii="Franklin Gothic Book" w:hAnsi="Franklin Gothic Book"/>
                <w:iCs/>
                <w:color w:val="auto"/>
                <w:sz w:val="22"/>
                <w:szCs w:val="22"/>
              </w:rPr>
              <w:t xml:space="preserve">effective or safe to use EndoPredict’s results to </w:t>
            </w:r>
            <w:r w:rsidR="007B7345">
              <w:rPr>
                <w:rFonts w:ascii="Franklin Gothic Book" w:hAnsi="Franklin Gothic Book"/>
                <w:iCs/>
                <w:color w:val="auto"/>
                <w:sz w:val="22"/>
                <w:szCs w:val="22"/>
              </w:rPr>
              <w:t>change</w:t>
            </w:r>
            <w:r w:rsidR="00D53457">
              <w:rPr>
                <w:rFonts w:ascii="Franklin Gothic Book" w:hAnsi="Franklin Gothic Book"/>
                <w:iCs/>
                <w:color w:val="auto"/>
                <w:sz w:val="22"/>
                <w:szCs w:val="22"/>
              </w:rPr>
              <w:t xml:space="preserve"> treatment decisions, such as to </w:t>
            </w:r>
            <w:r w:rsidRPr="002F43A6">
              <w:rPr>
                <w:rFonts w:ascii="Franklin Gothic Book" w:hAnsi="Franklin Gothic Book"/>
                <w:iCs/>
                <w:color w:val="auto"/>
                <w:sz w:val="22"/>
                <w:szCs w:val="22"/>
              </w:rPr>
              <w:t>decide whether to have chemotherapy or not.</w:t>
            </w:r>
          </w:p>
          <w:p w14:paraId="7BF5A89F" w14:textId="39A5A45A" w:rsidR="002F43A6" w:rsidRPr="002F43A6" w:rsidRDefault="002F43A6" w:rsidP="002F43A6">
            <w:pPr>
              <w:pStyle w:val="Default"/>
              <w:spacing w:after="240"/>
              <w:rPr>
                <w:rFonts w:ascii="Franklin Gothic Book" w:hAnsi="Franklin Gothic Book"/>
                <w:b/>
                <w:bCs/>
                <w:iCs/>
                <w:color w:val="auto"/>
                <w:sz w:val="22"/>
                <w:szCs w:val="22"/>
              </w:rPr>
            </w:pPr>
            <w:r w:rsidRPr="002F43A6">
              <w:rPr>
                <w:rFonts w:ascii="Franklin Gothic Book" w:hAnsi="Franklin Gothic Book"/>
                <w:b/>
                <w:bCs/>
                <w:iCs/>
                <w:color w:val="auto"/>
                <w:sz w:val="22"/>
                <w:szCs w:val="22"/>
              </w:rPr>
              <w:lastRenderedPageBreak/>
              <w:t>MSAC’s advice to the Commonwealth Minister of Health</w:t>
            </w:r>
            <w:r w:rsidR="00307AB3">
              <w:rPr>
                <w:rFonts w:ascii="Franklin Gothic Book" w:hAnsi="Franklin Gothic Book"/>
                <w:b/>
                <w:bCs/>
                <w:iCs/>
                <w:color w:val="auto"/>
                <w:sz w:val="22"/>
                <w:szCs w:val="22"/>
              </w:rPr>
              <w:t xml:space="preserve"> and Aged Care</w:t>
            </w:r>
          </w:p>
          <w:p w14:paraId="7C48CD7A" w14:textId="51BC1EE1" w:rsidR="006A153F" w:rsidRDefault="002F43A6" w:rsidP="002F43A6">
            <w:pPr>
              <w:pStyle w:val="Default"/>
              <w:spacing w:after="240"/>
              <w:rPr>
                <w:i/>
                <w:color w:val="auto"/>
              </w:rPr>
            </w:pPr>
            <w:r w:rsidRPr="002F43A6">
              <w:rPr>
                <w:rFonts w:ascii="Franklin Gothic Book" w:hAnsi="Franklin Gothic Book"/>
                <w:iCs/>
                <w:color w:val="auto"/>
                <w:sz w:val="22"/>
                <w:szCs w:val="22"/>
              </w:rPr>
              <w:t xml:space="preserve">MSAC supported </w:t>
            </w:r>
            <w:r w:rsidR="002E7350">
              <w:rPr>
                <w:rFonts w:ascii="Franklin Gothic Book" w:hAnsi="Franklin Gothic Book"/>
                <w:iCs/>
                <w:color w:val="auto"/>
                <w:sz w:val="22"/>
                <w:szCs w:val="22"/>
              </w:rPr>
              <w:t>MBS</w:t>
            </w:r>
            <w:r w:rsidR="00D53457">
              <w:rPr>
                <w:rFonts w:ascii="Franklin Gothic Book" w:hAnsi="Franklin Gothic Book"/>
                <w:iCs/>
                <w:color w:val="auto"/>
                <w:sz w:val="22"/>
                <w:szCs w:val="22"/>
              </w:rPr>
              <w:t xml:space="preserve"> </w:t>
            </w:r>
            <w:r w:rsidRPr="002F43A6">
              <w:rPr>
                <w:rFonts w:ascii="Franklin Gothic Book" w:hAnsi="Franklin Gothic Book"/>
                <w:iCs/>
                <w:color w:val="auto"/>
                <w:sz w:val="22"/>
                <w:szCs w:val="22"/>
              </w:rPr>
              <w:t xml:space="preserve">funding </w:t>
            </w:r>
            <w:r w:rsidR="002E7350">
              <w:rPr>
                <w:rFonts w:ascii="Franklin Gothic Book" w:hAnsi="Franklin Gothic Book"/>
                <w:iCs/>
                <w:color w:val="auto"/>
                <w:sz w:val="22"/>
                <w:szCs w:val="22"/>
              </w:rPr>
              <w:t>of</w:t>
            </w:r>
            <w:r w:rsidR="001A2537">
              <w:rPr>
                <w:rFonts w:ascii="Franklin Gothic Book" w:hAnsi="Franklin Gothic Book"/>
                <w:iCs/>
                <w:color w:val="auto"/>
                <w:sz w:val="22"/>
                <w:szCs w:val="22"/>
              </w:rPr>
              <w:t xml:space="preserve"> </w:t>
            </w:r>
            <w:r w:rsidRPr="002F43A6">
              <w:rPr>
                <w:rFonts w:ascii="Franklin Gothic Book" w:hAnsi="Franklin Gothic Book"/>
                <w:iCs/>
                <w:color w:val="auto"/>
                <w:sz w:val="22"/>
                <w:szCs w:val="22"/>
              </w:rPr>
              <w:t>EndoPredict</w:t>
            </w:r>
            <w:r w:rsidR="005F1260" w:rsidRPr="005F1260">
              <w:rPr>
                <w:rFonts w:ascii="Franklin Gothic Book" w:hAnsi="Franklin Gothic Book"/>
                <w:iCs/>
                <w:color w:val="auto"/>
                <w:sz w:val="22"/>
                <w:szCs w:val="22"/>
                <w:vertAlign w:val="superscript"/>
              </w:rPr>
              <w:t>®</w:t>
            </w:r>
            <w:r w:rsidRPr="002F43A6">
              <w:rPr>
                <w:rFonts w:ascii="Franklin Gothic Book" w:hAnsi="Franklin Gothic Book"/>
                <w:iCs/>
                <w:color w:val="auto"/>
                <w:sz w:val="22"/>
                <w:szCs w:val="22"/>
              </w:rPr>
              <w:t xml:space="preserve"> because it considered it to be comparatively safe, </w:t>
            </w:r>
            <w:proofErr w:type="gramStart"/>
            <w:r w:rsidRPr="002F43A6">
              <w:rPr>
                <w:rFonts w:ascii="Franklin Gothic Book" w:hAnsi="Franklin Gothic Book"/>
                <w:iCs/>
                <w:color w:val="auto"/>
                <w:sz w:val="22"/>
                <w:szCs w:val="22"/>
              </w:rPr>
              <w:t>effective</w:t>
            </w:r>
            <w:proofErr w:type="gramEnd"/>
            <w:r w:rsidRPr="002F43A6">
              <w:rPr>
                <w:rFonts w:ascii="Franklin Gothic Book" w:hAnsi="Franklin Gothic Book"/>
                <w:iCs/>
                <w:color w:val="auto"/>
                <w:sz w:val="22"/>
                <w:szCs w:val="22"/>
              </w:rPr>
              <w:t xml:space="preserve"> and good value for money when used as a prognostic test.</w:t>
            </w:r>
          </w:p>
        </w:tc>
      </w:tr>
    </w:tbl>
    <w:p w14:paraId="0A31B815" w14:textId="77777777" w:rsidR="006A153F" w:rsidRPr="006A153F" w:rsidRDefault="006A153F" w:rsidP="006A153F">
      <w:pPr>
        <w:pStyle w:val="Heading2"/>
        <w:rPr>
          <w:rFonts w:ascii="Franklin Gothic Medium" w:hAnsi="Franklin Gothic Medium" w:cstheme="majorBidi"/>
        </w:rPr>
      </w:pPr>
      <w:bookmarkStart w:id="5" w:name="_Toc69491416"/>
      <w:bookmarkStart w:id="6" w:name="_Toc102569850"/>
      <w:bookmarkEnd w:id="2"/>
      <w:r w:rsidRPr="006A153F">
        <w:rPr>
          <w:rFonts w:ascii="Franklin Gothic Medium" w:hAnsi="Franklin Gothic Medium" w:cstheme="majorBidi"/>
        </w:rPr>
        <w:lastRenderedPageBreak/>
        <w:t>3.</w:t>
      </w:r>
      <w:r w:rsidRPr="006A153F">
        <w:rPr>
          <w:rFonts w:ascii="Franklin Gothic Medium" w:hAnsi="Franklin Gothic Medium" w:cstheme="majorBidi"/>
        </w:rPr>
        <w:tab/>
        <w:t>Summary of consideration and rationale for MSAC’s advice</w:t>
      </w:r>
    </w:p>
    <w:p w14:paraId="5A68754F" w14:textId="028529A8" w:rsidR="002F43A6" w:rsidRPr="002F43A6" w:rsidRDefault="002F43A6" w:rsidP="002F43A6">
      <w:pPr>
        <w:rPr>
          <w:rFonts w:ascii="Franklin Gothic Book" w:hAnsi="Franklin Gothic Book"/>
        </w:rPr>
      </w:pPr>
      <w:r w:rsidRPr="002F43A6">
        <w:rPr>
          <w:rFonts w:ascii="Franklin Gothic Book" w:hAnsi="Franklin Gothic Book"/>
        </w:rPr>
        <w:t>MSAC noted that this was a re</w:t>
      </w:r>
      <w:r w:rsidR="007D5F5F">
        <w:rPr>
          <w:rFonts w:ascii="Franklin Gothic Book" w:hAnsi="Franklin Gothic Book"/>
        </w:rPr>
        <w:t>-applicat</w:t>
      </w:r>
      <w:r w:rsidRPr="002F43A6">
        <w:rPr>
          <w:rFonts w:ascii="Franklin Gothic Book" w:hAnsi="Franklin Gothic Book"/>
        </w:rPr>
        <w:t xml:space="preserve">ion </w:t>
      </w:r>
      <w:r w:rsidR="007D5F5F">
        <w:rPr>
          <w:rFonts w:ascii="Franklin Gothic Book" w:hAnsi="Franklin Gothic Book"/>
        </w:rPr>
        <w:t>requesting</w:t>
      </w:r>
      <w:r w:rsidR="007D5F5F" w:rsidRPr="002F43A6">
        <w:rPr>
          <w:rFonts w:ascii="Franklin Gothic Book" w:hAnsi="Franklin Gothic Book"/>
        </w:rPr>
        <w:t xml:space="preserve"> </w:t>
      </w:r>
      <w:r w:rsidRPr="002F43A6">
        <w:rPr>
          <w:rFonts w:ascii="Franklin Gothic Book" w:hAnsi="Franklin Gothic Book"/>
        </w:rPr>
        <w:t xml:space="preserve">listing </w:t>
      </w:r>
      <w:r w:rsidR="007D5F5F">
        <w:rPr>
          <w:rFonts w:ascii="Franklin Gothic Book" w:hAnsi="Franklin Gothic Book"/>
        </w:rPr>
        <w:t xml:space="preserve">of </w:t>
      </w:r>
      <w:r w:rsidRPr="002F43A6">
        <w:rPr>
          <w:rFonts w:ascii="Franklin Gothic Book" w:hAnsi="Franklin Gothic Book"/>
        </w:rPr>
        <w:t>EndoPredict</w:t>
      </w:r>
      <w:r w:rsidR="005F1260" w:rsidRPr="005F1260">
        <w:rPr>
          <w:rFonts w:ascii="Franklin Gothic Book" w:hAnsi="Franklin Gothic Book"/>
          <w:vertAlign w:val="superscript"/>
        </w:rPr>
        <w:t>®</w:t>
      </w:r>
      <w:r w:rsidRPr="002F43A6">
        <w:rPr>
          <w:rFonts w:ascii="Franklin Gothic Book" w:hAnsi="Franklin Gothic Book"/>
        </w:rPr>
        <w:t xml:space="preserve"> on the MBS. EndoPredict</w:t>
      </w:r>
      <w:r w:rsidR="005F1260" w:rsidRPr="005F1260">
        <w:rPr>
          <w:rFonts w:ascii="Franklin Gothic Book" w:hAnsi="Franklin Gothic Book"/>
          <w:vertAlign w:val="superscript"/>
        </w:rPr>
        <w:t>®</w:t>
      </w:r>
      <w:r w:rsidRPr="002F43A6">
        <w:rPr>
          <w:rFonts w:ascii="Franklin Gothic Book" w:hAnsi="Franklin Gothic Book"/>
        </w:rPr>
        <w:t xml:space="preserve"> is a GEP test for </w:t>
      </w:r>
      <w:r w:rsidR="007D5F5F">
        <w:rPr>
          <w:rFonts w:ascii="Franklin Gothic Book" w:hAnsi="Franklin Gothic Book"/>
        </w:rPr>
        <w:t xml:space="preserve">patients with </w:t>
      </w:r>
      <w:r w:rsidRPr="002F43A6">
        <w:rPr>
          <w:rFonts w:ascii="Franklin Gothic Book" w:hAnsi="Franklin Gothic Book"/>
        </w:rPr>
        <w:t xml:space="preserve">breast cancer, specifically a reverse transcription </w:t>
      </w:r>
      <w:r w:rsidR="00D53457" w:rsidRPr="002F43A6">
        <w:rPr>
          <w:rFonts w:ascii="Franklin Gothic Book" w:hAnsi="Franklin Gothic Book"/>
        </w:rPr>
        <w:t xml:space="preserve">quantitative </w:t>
      </w:r>
      <w:r w:rsidRPr="002F43A6">
        <w:rPr>
          <w:rFonts w:ascii="Franklin Gothic Book" w:hAnsi="Franklin Gothic Book"/>
        </w:rPr>
        <w:t xml:space="preserve">polymerase chain reaction (RT-qPCR) test that measures the expression of </w:t>
      </w:r>
      <w:r w:rsidR="00637339">
        <w:rPr>
          <w:rFonts w:ascii="Franklin Gothic Book" w:hAnsi="Franklin Gothic Book"/>
        </w:rPr>
        <w:t xml:space="preserve">12 </w:t>
      </w:r>
      <w:r w:rsidRPr="002F43A6">
        <w:rPr>
          <w:rFonts w:ascii="Franklin Gothic Book" w:hAnsi="Franklin Gothic Book"/>
        </w:rPr>
        <w:t xml:space="preserve">genes </w:t>
      </w:r>
      <w:r w:rsidR="002001FB">
        <w:rPr>
          <w:rFonts w:ascii="Franklin Gothic Book" w:hAnsi="Franklin Gothic Book"/>
        </w:rPr>
        <w:t xml:space="preserve">of interest </w:t>
      </w:r>
      <w:r w:rsidRPr="002F43A6">
        <w:rPr>
          <w:rFonts w:ascii="Franklin Gothic Book" w:hAnsi="Franklin Gothic Book"/>
        </w:rPr>
        <w:t xml:space="preserve">in breast cancer tissue. The </w:t>
      </w:r>
      <w:r w:rsidR="00817A9E">
        <w:rPr>
          <w:rFonts w:ascii="Franklin Gothic Book" w:hAnsi="Franklin Gothic Book"/>
        </w:rPr>
        <w:t xml:space="preserve">applicant claimed the </w:t>
      </w:r>
      <w:r w:rsidRPr="002F43A6">
        <w:rPr>
          <w:rFonts w:ascii="Franklin Gothic Book" w:hAnsi="Franklin Gothic Book"/>
        </w:rPr>
        <w:t xml:space="preserve">test </w:t>
      </w:r>
      <w:r w:rsidR="00817A9E">
        <w:rPr>
          <w:rFonts w:ascii="Franklin Gothic Book" w:hAnsi="Franklin Gothic Book"/>
        </w:rPr>
        <w:t>can</w:t>
      </w:r>
      <w:r w:rsidRPr="002F43A6">
        <w:rPr>
          <w:rFonts w:ascii="Franklin Gothic Book" w:hAnsi="Franklin Gothic Book"/>
        </w:rPr>
        <w:t xml:space="preserve"> determine the prognosis (of late cancer recurrence) in patients with estrogen receptor positive</w:t>
      </w:r>
      <w:r w:rsidR="00D53457">
        <w:rPr>
          <w:rFonts w:ascii="Franklin Gothic Book" w:hAnsi="Franklin Gothic Book"/>
        </w:rPr>
        <w:t xml:space="preserve"> </w:t>
      </w:r>
      <w:r w:rsidR="00D53457" w:rsidRPr="002F43A6">
        <w:rPr>
          <w:rFonts w:ascii="Franklin Gothic Book" w:hAnsi="Franklin Gothic Book"/>
        </w:rPr>
        <w:t>(ER</w:t>
      </w:r>
      <w:r w:rsidR="00D53457">
        <w:rPr>
          <w:rFonts w:ascii="Franklin Gothic Book" w:hAnsi="Franklin Gothic Book"/>
        </w:rPr>
        <w:t>+</w:t>
      </w:r>
      <w:r w:rsidR="00D53457" w:rsidRPr="002F43A6">
        <w:rPr>
          <w:rFonts w:ascii="Franklin Gothic Book" w:hAnsi="Franklin Gothic Book"/>
        </w:rPr>
        <w:t>)</w:t>
      </w:r>
      <w:r w:rsidR="00D53457">
        <w:rPr>
          <w:rFonts w:ascii="Franklin Gothic Book" w:hAnsi="Franklin Gothic Book"/>
        </w:rPr>
        <w:t xml:space="preserve"> and</w:t>
      </w:r>
      <w:r w:rsidRPr="002F43A6">
        <w:rPr>
          <w:rFonts w:ascii="Franklin Gothic Book" w:hAnsi="Franklin Gothic Book"/>
        </w:rPr>
        <w:t xml:space="preserve"> </w:t>
      </w:r>
      <w:r w:rsidR="00D53457" w:rsidRPr="002F43A6">
        <w:rPr>
          <w:rFonts w:ascii="Franklin Gothic Book" w:hAnsi="Franklin Gothic Book"/>
          <w:iCs/>
        </w:rPr>
        <w:t>human epidermal growth factor receptor 2 negative (</w:t>
      </w:r>
      <w:r w:rsidRPr="002F43A6">
        <w:rPr>
          <w:rFonts w:ascii="Franklin Gothic Book" w:hAnsi="Franklin Gothic Book"/>
        </w:rPr>
        <w:t>HER2</w:t>
      </w:r>
      <w:r w:rsidR="00D53457" w:rsidRPr="00056090">
        <w:rPr>
          <w:rFonts w:ascii="Franklin Gothic Book" w:hAnsi="Franklin Gothic Book"/>
          <w:iCs/>
        </w:rPr>
        <w:t>–</w:t>
      </w:r>
      <w:r w:rsidR="00D53457">
        <w:rPr>
          <w:rFonts w:ascii="Franklin Gothic Book" w:hAnsi="Franklin Gothic Book"/>
          <w:iCs/>
        </w:rPr>
        <w:t>)</w:t>
      </w:r>
      <w:r w:rsidRPr="002F43A6">
        <w:rPr>
          <w:rFonts w:ascii="Franklin Gothic Book" w:hAnsi="Franklin Gothic Book"/>
        </w:rPr>
        <w:t xml:space="preserve"> early breast cancer, and additionally predict the benefit of chemotherapy (in addition to endocrine therapy) in this population.</w:t>
      </w:r>
    </w:p>
    <w:p w14:paraId="746948C3" w14:textId="7C28396D" w:rsidR="002F43A6" w:rsidRPr="002F43A6" w:rsidRDefault="002F43A6" w:rsidP="002F43A6">
      <w:pPr>
        <w:rPr>
          <w:rFonts w:ascii="Franklin Gothic Book" w:hAnsi="Franklin Gothic Book"/>
        </w:rPr>
      </w:pPr>
      <w:r w:rsidRPr="002F43A6">
        <w:rPr>
          <w:rFonts w:ascii="Franklin Gothic Book" w:hAnsi="Franklin Gothic Book"/>
        </w:rPr>
        <w:t>MSAC noted that EndoPredict</w:t>
      </w:r>
      <w:r w:rsidR="005F1260" w:rsidRPr="005F1260">
        <w:rPr>
          <w:rFonts w:ascii="Franklin Gothic Book" w:hAnsi="Franklin Gothic Book"/>
          <w:vertAlign w:val="superscript"/>
        </w:rPr>
        <w:t>®</w:t>
      </w:r>
      <w:r w:rsidRPr="002F43A6">
        <w:rPr>
          <w:rFonts w:ascii="Franklin Gothic Book" w:hAnsi="Franklin Gothic Book"/>
        </w:rPr>
        <w:t xml:space="preserve"> i</w:t>
      </w:r>
      <w:r w:rsidR="002001FB">
        <w:rPr>
          <w:rFonts w:ascii="Franklin Gothic Book" w:hAnsi="Franklin Gothic Book"/>
        </w:rPr>
        <w:t>ncludes not only the RT-qPCR test but also</w:t>
      </w:r>
      <w:r w:rsidRPr="002F43A6">
        <w:rPr>
          <w:rFonts w:ascii="Franklin Gothic Book" w:hAnsi="Franklin Gothic Book"/>
        </w:rPr>
        <w:t xml:space="preserve"> an algorithmic tool that </w:t>
      </w:r>
      <w:r w:rsidR="0078610A">
        <w:rPr>
          <w:rFonts w:ascii="Franklin Gothic Book" w:hAnsi="Franklin Gothic Book"/>
        </w:rPr>
        <w:t xml:space="preserve">outputs a score </w:t>
      </w:r>
      <w:r w:rsidRPr="002F43A6">
        <w:rPr>
          <w:rFonts w:ascii="Franklin Gothic Book" w:hAnsi="Franklin Gothic Book"/>
        </w:rPr>
        <w:t>categoris</w:t>
      </w:r>
      <w:r w:rsidR="0078610A">
        <w:rPr>
          <w:rFonts w:ascii="Franklin Gothic Book" w:hAnsi="Franklin Gothic Book"/>
        </w:rPr>
        <w:t>ing</w:t>
      </w:r>
      <w:r w:rsidRPr="002F43A6">
        <w:rPr>
          <w:rFonts w:ascii="Franklin Gothic Book" w:hAnsi="Franklin Gothic Book"/>
        </w:rPr>
        <w:t xml:space="preserve"> patients as high or low risk of distant recurrence (DR) based on the expression of </w:t>
      </w:r>
      <w:r w:rsidR="0078610A">
        <w:rPr>
          <w:rFonts w:ascii="Franklin Gothic Book" w:hAnsi="Franklin Gothic Book"/>
        </w:rPr>
        <w:t xml:space="preserve">the </w:t>
      </w:r>
      <w:r w:rsidR="002001FB">
        <w:rPr>
          <w:rFonts w:ascii="Franklin Gothic Book" w:hAnsi="Franklin Gothic Book"/>
        </w:rPr>
        <w:t>12</w:t>
      </w:r>
      <w:r w:rsidR="002001FB" w:rsidRPr="002F43A6">
        <w:rPr>
          <w:rFonts w:ascii="Franklin Gothic Book" w:hAnsi="Franklin Gothic Book"/>
        </w:rPr>
        <w:t xml:space="preserve"> </w:t>
      </w:r>
      <w:r w:rsidRPr="002F43A6">
        <w:rPr>
          <w:rFonts w:ascii="Franklin Gothic Book" w:hAnsi="Franklin Gothic Book"/>
        </w:rPr>
        <w:t>genes</w:t>
      </w:r>
      <w:r w:rsidR="002001FB">
        <w:rPr>
          <w:rFonts w:ascii="Franklin Gothic Book" w:hAnsi="Franklin Gothic Book"/>
        </w:rPr>
        <w:t xml:space="preserve"> of interest</w:t>
      </w:r>
      <w:r w:rsidRPr="002F43A6">
        <w:rPr>
          <w:rFonts w:ascii="Franklin Gothic Book" w:hAnsi="Franklin Gothic Book"/>
        </w:rPr>
        <w:t>. Although not specified in the proposed MBS item descriptor, th</w:t>
      </w:r>
      <w:r w:rsidR="00E7748B">
        <w:rPr>
          <w:rFonts w:ascii="Franklin Gothic Book" w:hAnsi="Franklin Gothic Book"/>
        </w:rPr>
        <w:t>e</w:t>
      </w:r>
      <w:r w:rsidRPr="002F43A6">
        <w:rPr>
          <w:rFonts w:ascii="Franklin Gothic Book" w:hAnsi="Franklin Gothic Book"/>
        </w:rPr>
        <w:t xml:space="preserve"> application </w:t>
      </w:r>
      <w:r w:rsidR="00E7748B">
        <w:rPr>
          <w:rFonts w:ascii="Franklin Gothic Book" w:hAnsi="Franklin Gothic Book"/>
        </w:rPr>
        <w:t xml:space="preserve">referred </w:t>
      </w:r>
      <w:r w:rsidRPr="002F43A6">
        <w:rPr>
          <w:rFonts w:ascii="Franklin Gothic Book" w:hAnsi="Franklin Gothic Book"/>
        </w:rPr>
        <w:t xml:space="preserve">to the “EPclin score”, rather than the “EP score”. The EP score ranges from 0 to 15 and is algorithmically calculated based on the expression levels of eight cancer-related genes and three reference genes, with a low/high threshold score of 5. The EPclin score ranges from 1 to 6 and is calculated by combining the EP score with the clinical factors </w:t>
      </w:r>
      <w:r w:rsidR="00E7748B">
        <w:rPr>
          <w:rFonts w:ascii="Franklin Gothic Book" w:hAnsi="Franklin Gothic Book"/>
        </w:rPr>
        <w:t xml:space="preserve">of </w:t>
      </w:r>
      <w:r w:rsidRPr="002F43A6">
        <w:rPr>
          <w:rFonts w:ascii="Franklin Gothic Book" w:hAnsi="Franklin Gothic Book"/>
        </w:rPr>
        <w:t>nodal status and tumour size, with a low/high threshold score of 3.3.</w:t>
      </w:r>
    </w:p>
    <w:p w14:paraId="061964B8" w14:textId="318623FD" w:rsidR="002F43A6" w:rsidRPr="002F43A6" w:rsidRDefault="002F43A6" w:rsidP="002F43A6">
      <w:pPr>
        <w:rPr>
          <w:rFonts w:ascii="Franklin Gothic Book" w:hAnsi="Franklin Gothic Book"/>
        </w:rPr>
      </w:pPr>
      <w:r w:rsidRPr="002F43A6">
        <w:rPr>
          <w:rFonts w:ascii="Franklin Gothic Book" w:hAnsi="Franklin Gothic Book"/>
        </w:rPr>
        <w:t xml:space="preserve">MSAC recalled that it </w:t>
      </w:r>
      <w:r w:rsidR="00817A9E">
        <w:rPr>
          <w:rFonts w:ascii="Franklin Gothic Book" w:hAnsi="Franklin Gothic Book"/>
        </w:rPr>
        <w:t xml:space="preserve">had previously </w:t>
      </w:r>
      <w:r w:rsidRPr="002F43A6">
        <w:rPr>
          <w:rFonts w:ascii="Franklin Gothic Book" w:hAnsi="Franklin Gothic Book"/>
        </w:rPr>
        <w:t xml:space="preserve">considered </w:t>
      </w:r>
      <w:r w:rsidR="00817A9E">
        <w:rPr>
          <w:rFonts w:ascii="Franklin Gothic Book" w:hAnsi="Franklin Gothic Book"/>
        </w:rPr>
        <w:t xml:space="preserve">public funding </w:t>
      </w:r>
      <w:r w:rsidR="003C42AD">
        <w:rPr>
          <w:rFonts w:ascii="Franklin Gothic Book" w:hAnsi="Franklin Gothic Book"/>
        </w:rPr>
        <w:t>o</w:t>
      </w:r>
      <w:r w:rsidR="00817A9E">
        <w:rPr>
          <w:rFonts w:ascii="Franklin Gothic Book" w:hAnsi="Franklin Gothic Book"/>
        </w:rPr>
        <w:t>f EndoPredict</w:t>
      </w:r>
      <w:r w:rsidR="00817A9E" w:rsidRPr="005F1260">
        <w:rPr>
          <w:rFonts w:ascii="Franklin Gothic Book" w:hAnsi="Franklin Gothic Book"/>
          <w:iCs/>
          <w:vertAlign w:val="superscript"/>
        </w:rPr>
        <w:t>®</w:t>
      </w:r>
      <w:r w:rsidRPr="002F43A6">
        <w:rPr>
          <w:rFonts w:ascii="Franklin Gothic Book" w:hAnsi="Franklin Gothic Book"/>
        </w:rPr>
        <w:t xml:space="preserve"> at its November 2019 and July 2021 meetings, and </w:t>
      </w:r>
      <w:r w:rsidR="00817A9E">
        <w:rPr>
          <w:rFonts w:ascii="Franklin Gothic Book" w:hAnsi="Franklin Gothic Book"/>
        </w:rPr>
        <w:t xml:space="preserve">that </w:t>
      </w:r>
      <w:r w:rsidR="00716278">
        <w:rPr>
          <w:rFonts w:ascii="Franklin Gothic Book" w:hAnsi="Franklin Gothic Book"/>
        </w:rPr>
        <w:t>there had been insufficient evidence to</w:t>
      </w:r>
      <w:r w:rsidRPr="002F43A6">
        <w:rPr>
          <w:rFonts w:ascii="Franklin Gothic Book" w:hAnsi="Franklin Gothic Book"/>
        </w:rPr>
        <w:t xml:space="preserve"> support </w:t>
      </w:r>
      <w:r w:rsidR="00716278">
        <w:rPr>
          <w:rFonts w:ascii="Franklin Gothic Book" w:hAnsi="Franklin Gothic Book"/>
        </w:rPr>
        <w:t xml:space="preserve">it </w:t>
      </w:r>
      <w:r w:rsidRPr="002F43A6">
        <w:rPr>
          <w:rFonts w:ascii="Franklin Gothic Book" w:hAnsi="Franklin Gothic Book"/>
        </w:rPr>
        <w:t xml:space="preserve">for public funding in both instances. At its November 2019 meeting, MSAC </w:t>
      </w:r>
      <w:r w:rsidR="00716278">
        <w:rPr>
          <w:rFonts w:ascii="Franklin Gothic Book" w:hAnsi="Franklin Gothic Book"/>
        </w:rPr>
        <w:t xml:space="preserve">considered the item descriptor was orientated to predictive </w:t>
      </w:r>
      <w:proofErr w:type="gramStart"/>
      <w:r w:rsidR="00716278">
        <w:rPr>
          <w:rFonts w:ascii="Franklin Gothic Book" w:hAnsi="Franklin Gothic Book"/>
        </w:rPr>
        <w:t>use, but</w:t>
      </w:r>
      <w:proofErr w:type="gramEnd"/>
      <w:r w:rsidR="00716278">
        <w:rPr>
          <w:rFonts w:ascii="Franklin Gothic Book" w:hAnsi="Franklin Gothic Book"/>
        </w:rPr>
        <w:t xml:space="preserve"> </w:t>
      </w:r>
      <w:r w:rsidRPr="002F43A6">
        <w:rPr>
          <w:rFonts w:ascii="Franklin Gothic Book" w:hAnsi="Franklin Gothic Book"/>
        </w:rPr>
        <w:t xml:space="preserve">concluded that there was insufficient evidence to demonstrate the predictive value of the test – to identify those patients who could safely avoid chemotherapy or those patients who would benefit from adding chemotherapy. At its July 2021 meeting, MSAC </w:t>
      </w:r>
      <w:r w:rsidR="00C828F7">
        <w:rPr>
          <w:rFonts w:ascii="Franklin Gothic Book" w:hAnsi="Franklin Gothic Book"/>
        </w:rPr>
        <w:t>recalled it had “</w:t>
      </w:r>
      <w:r w:rsidR="00817A9E" w:rsidRPr="000468BF">
        <w:rPr>
          <w:rFonts w:ascii="Franklin Gothic Book" w:hAnsi="Franklin Gothic Book"/>
          <w:i/>
          <w:iCs/>
        </w:rPr>
        <w:t xml:space="preserve">accepted that GEP tests provided </w:t>
      </w:r>
      <w:r w:rsidR="00C828F7" w:rsidRPr="000468BF">
        <w:rPr>
          <w:rFonts w:ascii="Franklin Gothic Book" w:hAnsi="Franklin Gothic Book"/>
          <w:i/>
          <w:iCs/>
        </w:rPr>
        <w:t xml:space="preserve">some </w:t>
      </w:r>
      <w:r w:rsidR="00817A9E" w:rsidRPr="000468BF">
        <w:rPr>
          <w:rFonts w:ascii="Franklin Gothic Book" w:hAnsi="Franklin Gothic Book"/>
          <w:i/>
          <w:iCs/>
        </w:rPr>
        <w:t xml:space="preserve">modest prognostic information, however </w:t>
      </w:r>
      <w:r w:rsidR="00C828F7" w:rsidRPr="000468BF">
        <w:rPr>
          <w:rFonts w:ascii="Franklin Gothic Book" w:hAnsi="Franklin Gothic Book"/>
          <w:i/>
          <w:iCs/>
        </w:rPr>
        <w:t>no applicant provided sufficient evidence for additional prognostic value beyond current standard of care</w:t>
      </w:r>
      <w:r w:rsidR="00C828F7">
        <w:rPr>
          <w:rFonts w:ascii="Franklin Gothic Book" w:hAnsi="Franklin Gothic Book"/>
        </w:rPr>
        <w:t>”</w:t>
      </w:r>
      <w:r w:rsidRPr="002F43A6">
        <w:rPr>
          <w:rFonts w:ascii="Franklin Gothic Book" w:hAnsi="Franklin Gothic Book"/>
        </w:rPr>
        <w:t xml:space="preserve">. </w:t>
      </w:r>
      <w:r w:rsidR="00716278" w:rsidRPr="00A268A4">
        <w:rPr>
          <w:rFonts w:ascii="Franklin Gothic Book" w:hAnsi="Franklin Gothic Book"/>
        </w:rPr>
        <w:t>MSAC also noted the applicant proposed a reduced fee</w:t>
      </w:r>
      <w:r w:rsidR="00AE7EDB" w:rsidRPr="00A268A4">
        <w:rPr>
          <w:rFonts w:ascii="Franklin Gothic Book" w:hAnsi="Franklin Gothic Book"/>
        </w:rPr>
        <w:t xml:space="preserve"> in its July 2021 application</w:t>
      </w:r>
      <w:r w:rsidR="003E7DEE" w:rsidRPr="00A268A4">
        <w:rPr>
          <w:rFonts w:ascii="Franklin Gothic Book" w:hAnsi="Franklin Gothic Book"/>
        </w:rPr>
        <w:t>, and that the item descriptor remained orientated to predictive use</w:t>
      </w:r>
      <w:r w:rsidR="00716278">
        <w:rPr>
          <w:rFonts w:ascii="Franklin Gothic Book" w:hAnsi="Franklin Gothic Book"/>
        </w:rPr>
        <w:t>.</w:t>
      </w:r>
    </w:p>
    <w:p w14:paraId="6A2912C0" w14:textId="07162FBE" w:rsidR="002F43A6" w:rsidRPr="002F43A6" w:rsidRDefault="002F43A6" w:rsidP="002F43A6">
      <w:pPr>
        <w:rPr>
          <w:rFonts w:ascii="Franklin Gothic Book" w:hAnsi="Franklin Gothic Book"/>
        </w:rPr>
      </w:pPr>
      <w:r w:rsidRPr="002F43A6">
        <w:rPr>
          <w:rFonts w:ascii="Franklin Gothic Book" w:hAnsi="Franklin Gothic Book"/>
        </w:rPr>
        <w:t xml:space="preserve">MSAC </w:t>
      </w:r>
      <w:r w:rsidR="003E7DEE">
        <w:rPr>
          <w:rFonts w:ascii="Franklin Gothic Book" w:hAnsi="Franklin Gothic Book"/>
        </w:rPr>
        <w:t>considered</w:t>
      </w:r>
      <w:r w:rsidR="003E7DEE" w:rsidRPr="002F43A6">
        <w:rPr>
          <w:rFonts w:ascii="Franklin Gothic Book" w:hAnsi="Franklin Gothic Book"/>
        </w:rPr>
        <w:t xml:space="preserve"> </w:t>
      </w:r>
      <w:r w:rsidRPr="002F43A6">
        <w:rPr>
          <w:rFonts w:ascii="Franklin Gothic Book" w:hAnsi="Franklin Gothic Book"/>
        </w:rPr>
        <w:t>that th</w:t>
      </w:r>
      <w:r w:rsidR="001A2537">
        <w:rPr>
          <w:rFonts w:ascii="Franklin Gothic Book" w:hAnsi="Franklin Gothic Book"/>
        </w:rPr>
        <w:t>e 1408.1</w:t>
      </w:r>
      <w:r w:rsidRPr="002F43A6">
        <w:rPr>
          <w:rFonts w:ascii="Franklin Gothic Book" w:hAnsi="Franklin Gothic Book"/>
        </w:rPr>
        <w:t xml:space="preserve"> </w:t>
      </w:r>
      <w:r w:rsidR="00716278" w:rsidRPr="002F43A6">
        <w:rPr>
          <w:rFonts w:ascii="Franklin Gothic Book" w:hAnsi="Franklin Gothic Book"/>
        </w:rPr>
        <w:t>re</w:t>
      </w:r>
      <w:r w:rsidR="00716278">
        <w:rPr>
          <w:rFonts w:ascii="Franklin Gothic Book" w:hAnsi="Franklin Gothic Book"/>
        </w:rPr>
        <w:t>-applicat</w:t>
      </w:r>
      <w:r w:rsidR="00716278" w:rsidRPr="002F43A6">
        <w:rPr>
          <w:rFonts w:ascii="Franklin Gothic Book" w:hAnsi="Franklin Gothic Book"/>
        </w:rPr>
        <w:t>ion</w:t>
      </w:r>
      <w:r w:rsidR="003E7DEE">
        <w:rPr>
          <w:rFonts w:ascii="Franklin Gothic Book" w:hAnsi="Franklin Gothic Book"/>
        </w:rPr>
        <w:t xml:space="preserve"> differ</w:t>
      </w:r>
      <w:r w:rsidR="00BF490A">
        <w:rPr>
          <w:rFonts w:ascii="Franklin Gothic Book" w:hAnsi="Franklin Gothic Book"/>
        </w:rPr>
        <w:t>ed</w:t>
      </w:r>
      <w:r w:rsidR="003E7DEE">
        <w:rPr>
          <w:rFonts w:ascii="Franklin Gothic Book" w:hAnsi="Franklin Gothic Book"/>
        </w:rPr>
        <w:t xml:space="preserve"> from both previous applications in that</w:t>
      </w:r>
      <w:r w:rsidR="00716278" w:rsidRPr="002F43A6">
        <w:rPr>
          <w:rFonts w:ascii="Franklin Gothic Book" w:hAnsi="Franklin Gothic Book"/>
        </w:rPr>
        <w:t xml:space="preserve"> </w:t>
      </w:r>
      <w:r w:rsidR="00BF490A">
        <w:rPr>
          <w:rFonts w:ascii="Franklin Gothic Book" w:hAnsi="Franklin Gothic Book"/>
        </w:rPr>
        <w:t xml:space="preserve">its </w:t>
      </w:r>
      <w:r w:rsidRPr="002F43A6">
        <w:rPr>
          <w:rFonts w:ascii="Franklin Gothic Book" w:hAnsi="Franklin Gothic Book"/>
        </w:rPr>
        <w:t xml:space="preserve">clinical claim </w:t>
      </w:r>
      <w:r w:rsidR="00BF490A">
        <w:rPr>
          <w:rFonts w:ascii="Franklin Gothic Book" w:hAnsi="Franklin Gothic Book"/>
        </w:rPr>
        <w:t>wa</w:t>
      </w:r>
      <w:r w:rsidRPr="002F43A6">
        <w:rPr>
          <w:rFonts w:ascii="Franklin Gothic Book" w:hAnsi="Franklin Gothic Book"/>
        </w:rPr>
        <w:t xml:space="preserve">s for incremental prognostic information, and that the proposed </w:t>
      </w:r>
      <w:r w:rsidR="00BF490A">
        <w:rPr>
          <w:rFonts w:ascii="Franklin Gothic Book" w:hAnsi="Franklin Gothic Book"/>
        </w:rPr>
        <w:t>item descriptor</w:t>
      </w:r>
      <w:r w:rsidR="001A2537">
        <w:rPr>
          <w:rFonts w:ascii="Franklin Gothic Book" w:hAnsi="Franklin Gothic Book"/>
        </w:rPr>
        <w:t xml:space="preserve"> </w:t>
      </w:r>
      <w:r w:rsidRPr="002F43A6">
        <w:rPr>
          <w:rFonts w:ascii="Franklin Gothic Book" w:hAnsi="Franklin Gothic Book"/>
        </w:rPr>
        <w:t>align</w:t>
      </w:r>
      <w:r w:rsidR="00BF490A">
        <w:rPr>
          <w:rFonts w:ascii="Franklin Gothic Book" w:hAnsi="Franklin Gothic Book"/>
        </w:rPr>
        <w:t>ed</w:t>
      </w:r>
      <w:r w:rsidRPr="002F43A6">
        <w:rPr>
          <w:rFonts w:ascii="Franklin Gothic Book" w:hAnsi="Franklin Gothic Book"/>
        </w:rPr>
        <w:t xml:space="preserve"> with </w:t>
      </w:r>
      <w:r w:rsidR="00BF490A">
        <w:rPr>
          <w:rFonts w:ascii="Franklin Gothic Book" w:hAnsi="Franklin Gothic Book"/>
        </w:rPr>
        <w:t xml:space="preserve">use for </w:t>
      </w:r>
      <w:r w:rsidRPr="002F43A6">
        <w:rPr>
          <w:rFonts w:ascii="Franklin Gothic Book" w:hAnsi="Franklin Gothic Book"/>
        </w:rPr>
        <w:t xml:space="preserve">prognosis </w:t>
      </w:r>
      <w:r w:rsidR="00AE7EDB">
        <w:rPr>
          <w:rFonts w:ascii="Franklin Gothic Book" w:hAnsi="Franklin Gothic Book"/>
        </w:rPr>
        <w:t>rather than</w:t>
      </w:r>
      <w:r w:rsidRPr="002F43A6">
        <w:rPr>
          <w:rFonts w:ascii="Franklin Gothic Book" w:hAnsi="Franklin Gothic Book"/>
        </w:rPr>
        <w:t xml:space="preserve"> </w:t>
      </w:r>
      <w:r w:rsidR="00BF490A">
        <w:rPr>
          <w:rFonts w:ascii="Franklin Gothic Book" w:hAnsi="Franklin Gothic Book"/>
        </w:rPr>
        <w:t xml:space="preserve">for </w:t>
      </w:r>
      <w:r w:rsidRPr="002F43A6">
        <w:rPr>
          <w:rFonts w:ascii="Franklin Gothic Book" w:hAnsi="Franklin Gothic Book"/>
        </w:rPr>
        <w:t xml:space="preserve">prediction. </w:t>
      </w:r>
      <w:r w:rsidR="00AE7EDB">
        <w:rPr>
          <w:rFonts w:ascii="Franklin Gothic Book" w:hAnsi="Franklin Gothic Book"/>
        </w:rPr>
        <w:t xml:space="preserve">MSAC </w:t>
      </w:r>
      <w:r w:rsidR="00A76296">
        <w:rPr>
          <w:rFonts w:ascii="Franklin Gothic Book" w:hAnsi="Franklin Gothic Book"/>
        </w:rPr>
        <w:t xml:space="preserve">also </w:t>
      </w:r>
      <w:r w:rsidR="00AE7EDB">
        <w:rPr>
          <w:rFonts w:ascii="Franklin Gothic Book" w:hAnsi="Franklin Gothic Book"/>
        </w:rPr>
        <w:t xml:space="preserve">noted that the 1408.1 ADAR </w:t>
      </w:r>
      <w:r w:rsidR="002014DE">
        <w:rPr>
          <w:rFonts w:ascii="Franklin Gothic Book" w:hAnsi="Franklin Gothic Book"/>
        </w:rPr>
        <w:t>presented</w:t>
      </w:r>
      <w:r w:rsidR="00AE7EDB">
        <w:rPr>
          <w:rFonts w:ascii="Franklin Gothic Book" w:hAnsi="Franklin Gothic Book"/>
        </w:rPr>
        <w:t xml:space="preserve"> new evidence </w:t>
      </w:r>
      <w:r w:rsidR="00784BAA">
        <w:rPr>
          <w:rFonts w:ascii="Franklin Gothic Book" w:hAnsi="Franklin Gothic Book"/>
        </w:rPr>
        <w:t xml:space="preserve">supporting claims </w:t>
      </w:r>
      <w:r w:rsidR="00AE7EDB">
        <w:rPr>
          <w:rFonts w:ascii="Franklin Gothic Book" w:hAnsi="Franklin Gothic Book"/>
        </w:rPr>
        <w:t>of incremental prognostic value</w:t>
      </w:r>
      <w:r w:rsidR="002014DE">
        <w:rPr>
          <w:rFonts w:ascii="Franklin Gothic Book" w:hAnsi="Franklin Gothic Book"/>
        </w:rPr>
        <w:t xml:space="preserve">, </w:t>
      </w:r>
      <w:r w:rsidR="009F2FA8">
        <w:rPr>
          <w:rFonts w:ascii="Franklin Gothic Book" w:hAnsi="Franklin Gothic Book"/>
        </w:rPr>
        <w:t>from</w:t>
      </w:r>
      <w:r w:rsidR="002014DE">
        <w:rPr>
          <w:rFonts w:ascii="Franklin Gothic Book" w:hAnsi="Franklin Gothic Book"/>
        </w:rPr>
        <w:t xml:space="preserve"> Ettl 2020 and Penault-Llorca</w:t>
      </w:r>
      <w:r w:rsidR="0009070E">
        <w:rPr>
          <w:rFonts w:ascii="Franklin Gothic Book" w:hAnsi="Franklin Gothic Book"/>
        </w:rPr>
        <w:t xml:space="preserve"> </w:t>
      </w:r>
      <w:r w:rsidR="002014DE">
        <w:rPr>
          <w:rFonts w:ascii="Franklin Gothic Book" w:hAnsi="Franklin Gothic Book"/>
        </w:rPr>
        <w:t>2021</w:t>
      </w:r>
      <w:r w:rsidR="0073546A">
        <w:rPr>
          <w:rFonts w:ascii="Franklin Gothic Book" w:hAnsi="Franklin Gothic Book"/>
        </w:rPr>
        <w:t xml:space="preserve"> (</w:t>
      </w:r>
      <w:r w:rsidR="0073546A">
        <w:rPr>
          <w:rFonts w:ascii="Franklin Gothic Book" w:hAnsi="Franklin Gothic Book"/>
        </w:rPr>
        <w:fldChar w:fldCharType="begin"/>
      </w:r>
      <w:r w:rsidR="0073546A">
        <w:rPr>
          <w:rFonts w:ascii="Franklin Gothic Book" w:hAnsi="Franklin Gothic Book"/>
        </w:rPr>
        <w:instrText xml:space="preserve"> REF _Ref111038575 </w:instrText>
      </w:r>
      <w:r w:rsidR="007B7345">
        <w:rPr>
          <w:rFonts w:ascii="Franklin Gothic Book" w:hAnsi="Franklin Gothic Book"/>
        </w:rPr>
        <w:instrText xml:space="preserve"> \* MERGEFORMAT </w:instrText>
      </w:r>
      <w:r w:rsidR="0073546A">
        <w:rPr>
          <w:rFonts w:ascii="Franklin Gothic Book" w:hAnsi="Franklin Gothic Book"/>
        </w:rPr>
        <w:fldChar w:fldCharType="separate"/>
      </w:r>
      <w:r w:rsidR="00943826" w:rsidRPr="00943826">
        <w:rPr>
          <w:rFonts w:ascii="Franklin Gothic Book" w:hAnsi="Franklin Gothic Book"/>
        </w:rPr>
        <w:t>Table 8</w:t>
      </w:r>
      <w:r w:rsidR="0073546A">
        <w:rPr>
          <w:rFonts w:ascii="Franklin Gothic Book" w:hAnsi="Franklin Gothic Book"/>
        </w:rPr>
        <w:fldChar w:fldCharType="end"/>
      </w:r>
      <w:r w:rsidR="0073546A">
        <w:rPr>
          <w:rFonts w:ascii="Franklin Gothic Book" w:hAnsi="Franklin Gothic Book"/>
        </w:rPr>
        <w:t>)</w:t>
      </w:r>
      <w:r w:rsidR="00AE7EDB">
        <w:rPr>
          <w:rFonts w:ascii="Franklin Gothic Book" w:hAnsi="Franklin Gothic Book"/>
        </w:rPr>
        <w:t>.</w:t>
      </w:r>
    </w:p>
    <w:p w14:paraId="44C12EC2" w14:textId="50E7311F" w:rsidR="002F43A6" w:rsidRPr="002F43A6" w:rsidRDefault="002F43A6" w:rsidP="002F43A6">
      <w:pPr>
        <w:rPr>
          <w:rFonts w:ascii="Franklin Gothic Book" w:hAnsi="Franklin Gothic Book"/>
        </w:rPr>
      </w:pPr>
      <w:r w:rsidRPr="002F43A6">
        <w:rPr>
          <w:rFonts w:ascii="Franklin Gothic Book" w:hAnsi="Franklin Gothic Book"/>
        </w:rPr>
        <w:t xml:space="preserve">MSAC agreed with ESC’s </w:t>
      </w:r>
      <w:r w:rsidR="00716278">
        <w:rPr>
          <w:rFonts w:ascii="Franklin Gothic Book" w:hAnsi="Franklin Gothic Book"/>
        </w:rPr>
        <w:t xml:space="preserve">proposed revisions to the </w:t>
      </w:r>
      <w:r w:rsidRPr="002F43A6">
        <w:rPr>
          <w:rFonts w:ascii="Franklin Gothic Book" w:hAnsi="Franklin Gothic Book"/>
        </w:rPr>
        <w:t>proposed item descriptor</w:t>
      </w:r>
      <w:r w:rsidR="00716278">
        <w:rPr>
          <w:rFonts w:ascii="Franklin Gothic Book" w:hAnsi="Franklin Gothic Book"/>
        </w:rPr>
        <w:t xml:space="preserve"> to better define patients at intermediate risk of recurrence</w:t>
      </w:r>
      <w:r w:rsidR="00BF490A">
        <w:rPr>
          <w:rFonts w:ascii="Franklin Gothic Book" w:hAnsi="Franklin Gothic Book"/>
        </w:rPr>
        <w:t>, including with reference to the populations defined in the supportive studies</w:t>
      </w:r>
      <w:r w:rsidRPr="002F43A6">
        <w:rPr>
          <w:rFonts w:ascii="Franklin Gothic Book" w:hAnsi="Franklin Gothic Book"/>
        </w:rPr>
        <w:t>. MSAC noted the applicant’s suggest</w:t>
      </w:r>
      <w:r w:rsidR="00716278">
        <w:rPr>
          <w:rFonts w:ascii="Franklin Gothic Book" w:hAnsi="Franklin Gothic Book"/>
        </w:rPr>
        <w:t>ed rev</w:t>
      </w:r>
      <w:r w:rsidR="00BF490A">
        <w:rPr>
          <w:rFonts w:ascii="Franklin Gothic Book" w:hAnsi="Franklin Gothic Book"/>
        </w:rPr>
        <w:t>i</w:t>
      </w:r>
      <w:r w:rsidR="00716278">
        <w:rPr>
          <w:rFonts w:ascii="Franklin Gothic Book" w:hAnsi="Franklin Gothic Book"/>
        </w:rPr>
        <w:t>sions</w:t>
      </w:r>
      <w:r w:rsidRPr="002F43A6">
        <w:rPr>
          <w:rFonts w:ascii="Franklin Gothic Book" w:hAnsi="Franklin Gothic Book"/>
        </w:rPr>
        <w:t xml:space="preserve"> in </w:t>
      </w:r>
      <w:r w:rsidR="00C828F7">
        <w:rPr>
          <w:rFonts w:ascii="Franklin Gothic Book" w:hAnsi="Franklin Gothic Book"/>
        </w:rPr>
        <w:t>its</w:t>
      </w:r>
      <w:r w:rsidR="00C828F7" w:rsidRPr="002F43A6">
        <w:rPr>
          <w:rFonts w:ascii="Franklin Gothic Book" w:hAnsi="Franklin Gothic Book"/>
        </w:rPr>
        <w:t xml:space="preserve"> </w:t>
      </w:r>
      <w:r w:rsidRPr="002F43A6">
        <w:rPr>
          <w:rFonts w:ascii="Franklin Gothic Book" w:hAnsi="Franklin Gothic Book"/>
        </w:rPr>
        <w:t xml:space="preserve">pre-MSAC </w:t>
      </w:r>
      <w:proofErr w:type="gramStart"/>
      <w:r w:rsidRPr="002F43A6">
        <w:rPr>
          <w:rFonts w:ascii="Franklin Gothic Book" w:hAnsi="Franklin Gothic Book"/>
        </w:rPr>
        <w:t>response, but</w:t>
      </w:r>
      <w:proofErr w:type="gramEnd"/>
      <w:r w:rsidRPr="002F43A6">
        <w:rPr>
          <w:rFonts w:ascii="Franklin Gothic Book" w:hAnsi="Franklin Gothic Book"/>
        </w:rPr>
        <w:t xml:space="preserve"> considered that </w:t>
      </w:r>
      <w:r w:rsidR="00C828F7">
        <w:rPr>
          <w:rFonts w:ascii="Franklin Gothic Book" w:hAnsi="Franklin Gothic Book"/>
        </w:rPr>
        <w:t>they</w:t>
      </w:r>
      <w:r w:rsidRPr="002F43A6">
        <w:rPr>
          <w:rFonts w:ascii="Franklin Gothic Book" w:hAnsi="Franklin Gothic Book"/>
        </w:rPr>
        <w:t xml:space="preserve"> would allow leakage to </w:t>
      </w:r>
      <w:r w:rsidR="001A2537">
        <w:rPr>
          <w:rFonts w:ascii="Franklin Gothic Book" w:hAnsi="Franklin Gothic Book"/>
        </w:rPr>
        <w:t xml:space="preserve">testing in </w:t>
      </w:r>
      <w:r w:rsidR="00716278">
        <w:rPr>
          <w:rFonts w:ascii="Franklin Gothic Book" w:hAnsi="Franklin Gothic Book"/>
        </w:rPr>
        <w:t xml:space="preserve">patients at </w:t>
      </w:r>
      <w:r w:rsidRPr="002F43A6">
        <w:rPr>
          <w:rFonts w:ascii="Franklin Gothic Book" w:hAnsi="Franklin Gothic Book"/>
        </w:rPr>
        <w:t xml:space="preserve">low </w:t>
      </w:r>
      <w:r w:rsidR="00716278">
        <w:rPr>
          <w:rFonts w:ascii="Franklin Gothic Book" w:hAnsi="Franklin Gothic Book"/>
        </w:rPr>
        <w:t>or</w:t>
      </w:r>
      <w:r w:rsidR="00716278" w:rsidRPr="002F43A6">
        <w:rPr>
          <w:rFonts w:ascii="Franklin Gothic Book" w:hAnsi="Franklin Gothic Book"/>
        </w:rPr>
        <w:t xml:space="preserve"> </w:t>
      </w:r>
      <w:r w:rsidRPr="002F43A6">
        <w:rPr>
          <w:rFonts w:ascii="Franklin Gothic Book" w:hAnsi="Franklin Gothic Book"/>
        </w:rPr>
        <w:t>high risk</w:t>
      </w:r>
      <w:r w:rsidR="00C828F7">
        <w:rPr>
          <w:rFonts w:ascii="Franklin Gothic Book" w:hAnsi="Franklin Gothic Book"/>
        </w:rPr>
        <w:t xml:space="preserve"> of recurrence</w:t>
      </w:r>
      <w:r w:rsidRPr="002F43A6">
        <w:rPr>
          <w:rFonts w:ascii="Franklin Gothic Book" w:hAnsi="Franklin Gothic Book"/>
        </w:rPr>
        <w:t>.</w:t>
      </w:r>
    </w:p>
    <w:p w14:paraId="4BA0AAA5" w14:textId="7FCB5A4F" w:rsidR="002F43A6" w:rsidRPr="002F43A6" w:rsidRDefault="002F43A6" w:rsidP="00012E80">
      <w:pPr>
        <w:rPr>
          <w:rFonts w:ascii="Franklin Gothic Book" w:hAnsi="Franklin Gothic Book"/>
        </w:rPr>
      </w:pPr>
      <w:r w:rsidRPr="002F43A6">
        <w:rPr>
          <w:rFonts w:ascii="Franklin Gothic Book" w:hAnsi="Franklin Gothic Book"/>
        </w:rPr>
        <w:t>MSAC</w:t>
      </w:r>
      <w:r w:rsidR="00D606C9">
        <w:rPr>
          <w:rFonts w:ascii="Franklin Gothic Book" w:hAnsi="Franklin Gothic Book"/>
        </w:rPr>
        <w:t xml:space="preserve"> noted that </w:t>
      </w:r>
      <w:r w:rsidR="00E7748B">
        <w:rPr>
          <w:rFonts w:ascii="Franklin Gothic Book" w:hAnsi="Franklin Gothic Book"/>
        </w:rPr>
        <w:t>brand-agnostic</w:t>
      </w:r>
      <w:r w:rsidR="00D606C9">
        <w:rPr>
          <w:rFonts w:ascii="Franklin Gothic Book" w:hAnsi="Franklin Gothic Book"/>
        </w:rPr>
        <w:t xml:space="preserve"> MBS item descriptors are generally preferred where possible, however it</w:t>
      </w:r>
      <w:r w:rsidRPr="002F43A6">
        <w:rPr>
          <w:rFonts w:ascii="Franklin Gothic Book" w:hAnsi="Franklin Gothic Book"/>
        </w:rPr>
        <w:t xml:space="preserve"> considered that the evidence base presented was specific </w:t>
      </w:r>
      <w:r w:rsidR="00716278">
        <w:rPr>
          <w:rFonts w:ascii="Franklin Gothic Book" w:hAnsi="Franklin Gothic Book"/>
        </w:rPr>
        <w:t>to the</w:t>
      </w:r>
      <w:r w:rsidR="00716278" w:rsidRPr="002F43A6">
        <w:rPr>
          <w:rFonts w:ascii="Franklin Gothic Book" w:hAnsi="Franklin Gothic Book"/>
        </w:rPr>
        <w:t xml:space="preserve"> </w:t>
      </w:r>
      <w:r w:rsidRPr="002F43A6">
        <w:rPr>
          <w:rFonts w:ascii="Franklin Gothic Book" w:hAnsi="Franklin Gothic Book"/>
        </w:rPr>
        <w:t>EndoPredict</w:t>
      </w:r>
      <w:r w:rsidR="005F1260" w:rsidRPr="0078610A">
        <w:rPr>
          <w:rFonts w:ascii="Franklin Gothic Book" w:hAnsi="Franklin Gothic Book"/>
          <w:vertAlign w:val="superscript"/>
        </w:rPr>
        <w:t>®</w:t>
      </w:r>
      <w:r w:rsidR="00716278">
        <w:rPr>
          <w:rFonts w:ascii="Franklin Gothic Book" w:hAnsi="Franklin Gothic Book"/>
        </w:rPr>
        <w:t xml:space="preserve"> brand GEP test</w:t>
      </w:r>
      <w:r w:rsidR="00044C74">
        <w:rPr>
          <w:rFonts w:ascii="Franklin Gothic Book" w:hAnsi="Franklin Gothic Book"/>
        </w:rPr>
        <w:t>.</w:t>
      </w:r>
      <w:r w:rsidRPr="002F43A6">
        <w:rPr>
          <w:rFonts w:ascii="Franklin Gothic Book" w:hAnsi="Franklin Gothic Book"/>
        </w:rPr>
        <w:t xml:space="preserve"> </w:t>
      </w:r>
      <w:r w:rsidR="00044C74">
        <w:rPr>
          <w:rFonts w:ascii="Franklin Gothic Book" w:hAnsi="Franklin Gothic Book"/>
        </w:rPr>
        <w:t xml:space="preserve">MSAC considered that </w:t>
      </w:r>
      <w:r w:rsidR="000468BF">
        <w:rPr>
          <w:rFonts w:ascii="Franklin Gothic Book" w:hAnsi="Franklin Gothic Book"/>
        </w:rPr>
        <w:t xml:space="preserve">different brands of </w:t>
      </w:r>
      <w:r w:rsidR="00044C74">
        <w:rPr>
          <w:rFonts w:ascii="Franklin Gothic Book" w:hAnsi="Franklin Gothic Book"/>
        </w:rPr>
        <w:t xml:space="preserve">GEP tests are not equivalent, so advised it </w:t>
      </w:r>
      <w:r w:rsidR="00044C74">
        <w:rPr>
          <w:rFonts w:ascii="Franklin Gothic Book" w:hAnsi="Franklin Gothic Book"/>
        </w:rPr>
        <w:lastRenderedPageBreak/>
        <w:t>was appropriate to restrict public funding as supported under this re-application to EndoPredict</w:t>
      </w:r>
      <w:r w:rsidR="00044C74" w:rsidRPr="005F1260">
        <w:rPr>
          <w:rFonts w:ascii="Franklin Gothic Book" w:hAnsi="Franklin Gothic Book"/>
          <w:vertAlign w:val="superscript"/>
        </w:rPr>
        <w:t>®</w:t>
      </w:r>
      <w:r w:rsidR="00044C74">
        <w:rPr>
          <w:rFonts w:ascii="Franklin Gothic Book" w:hAnsi="Franklin Gothic Book"/>
        </w:rPr>
        <w:t>. MSAC advised</w:t>
      </w:r>
      <w:r w:rsidRPr="002F43A6">
        <w:rPr>
          <w:rFonts w:ascii="Franklin Gothic Book" w:hAnsi="Franklin Gothic Book"/>
        </w:rPr>
        <w:t xml:space="preserve"> the item </w:t>
      </w:r>
      <w:r w:rsidR="008E3EFF">
        <w:rPr>
          <w:rFonts w:ascii="Franklin Gothic Book" w:hAnsi="Franklin Gothic Book"/>
        </w:rPr>
        <w:t xml:space="preserve">descriptor </w:t>
      </w:r>
      <w:r w:rsidRPr="002F43A6">
        <w:rPr>
          <w:rFonts w:ascii="Franklin Gothic Book" w:hAnsi="Franklin Gothic Book"/>
        </w:rPr>
        <w:t xml:space="preserve">should specify </w:t>
      </w:r>
      <w:r w:rsidR="008E3EFF">
        <w:rPr>
          <w:rFonts w:ascii="Franklin Gothic Book" w:hAnsi="Franklin Gothic Book"/>
        </w:rPr>
        <w:t xml:space="preserve">the brand </w:t>
      </w:r>
      <w:r w:rsidRPr="002F43A6">
        <w:rPr>
          <w:rFonts w:ascii="Franklin Gothic Book" w:hAnsi="Franklin Gothic Book"/>
        </w:rPr>
        <w:t>EndoPredict</w:t>
      </w:r>
      <w:r w:rsidR="005F1260" w:rsidRPr="005F1260">
        <w:rPr>
          <w:rFonts w:ascii="Franklin Gothic Book" w:hAnsi="Franklin Gothic Book"/>
          <w:vertAlign w:val="superscript"/>
        </w:rPr>
        <w:t>®</w:t>
      </w:r>
      <w:r w:rsidRPr="002F43A6">
        <w:rPr>
          <w:rFonts w:ascii="Franklin Gothic Book" w:hAnsi="Franklin Gothic Book"/>
        </w:rPr>
        <w:t xml:space="preserve"> to avoid leakage to other </w:t>
      </w:r>
      <w:r w:rsidR="00D53457">
        <w:rPr>
          <w:rFonts w:ascii="Franklin Gothic Book" w:hAnsi="Franklin Gothic Book"/>
        </w:rPr>
        <w:t xml:space="preserve">brands of </w:t>
      </w:r>
      <w:r w:rsidRPr="002F43A6">
        <w:rPr>
          <w:rFonts w:ascii="Franklin Gothic Book" w:hAnsi="Franklin Gothic Book"/>
        </w:rPr>
        <w:t>GEP test</w:t>
      </w:r>
      <w:r w:rsidR="00D53457">
        <w:rPr>
          <w:rFonts w:ascii="Franklin Gothic Book" w:hAnsi="Franklin Gothic Book"/>
        </w:rPr>
        <w:t xml:space="preserve"> not supported </w:t>
      </w:r>
      <w:r w:rsidR="00D606C9">
        <w:rPr>
          <w:rFonts w:ascii="Franklin Gothic Book" w:hAnsi="Franklin Gothic Book"/>
        </w:rPr>
        <w:t xml:space="preserve">by MSAC </w:t>
      </w:r>
      <w:r w:rsidR="00D53457">
        <w:rPr>
          <w:rFonts w:ascii="Franklin Gothic Book" w:hAnsi="Franklin Gothic Book"/>
        </w:rPr>
        <w:t>for public funding</w:t>
      </w:r>
      <w:r w:rsidR="00C828F7">
        <w:rPr>
          <w:rFonts w:ascii="Franklin Gothic Book" w:hAnsi="Franklin Gothic Book"/>
        </w:rPr>
        <w:t xml:space="preserve"> in Australia</w:t>
      </w:r>
      <w:r w:rsidRPr="002F43A6">
        <w:rPr>
          <w:rFonts w:ascii="Franklin Gothic Book" w:hAnsi="Franklin Gothic Book"/>
        </w:rPr>
        <w:t>.</w:t>
      </w:r>
      <w:r w:rsidR="006B1614">
        <w:rPr>
          <w:rFonts w:ascii="Franklin Gothic Book" w:hAnsi="Franklin Gothic Book"/>
        </w:rPr>
        <w:t xml:space="preserve"> MSAC noted that EndoPredict</w:t>
      </w:r>
      <w:r w:rsidR="00C828F7" w:rsidRPr="005F1260">
        <w:rPr>
          <w:rFonts w:ascii="Franklin Gothic Book" w:hAnsi="Franklin Gothic Book"/>
          <w:vertAlign w:val="superscript"/>
        </w:rPr>
        <w:t>®</w:t>
      </w:r>
      <w:r w:rsidR="006B1614">
        <w:rPr>
          <w:rFonts w:ascii="Franklin Gothic Book" w:hAnsi="Franklin Gothic Book"/>
        </w:rPr>
        <w:t xml:space="preserve"> is currently offered by only one private provider in </w:t>
      </w:r>
      <w:proofErr w:type="gramStart"/>
      <w:r w:rsidR="006B1614">
        <w:rPr>
          <w:rFonts w:ascii="Franklin Gothic Book" w:hAnsi="Franklin Gothic Book"/>
        </w:rPr>
        <w:t>Australia, and</w:t>
      </w:r>
      <w:proofErr w:type="gramEnd"/>
      <w:r w:rsidR="006B1614">
        <w:rPr>
          <w:rFonts w:ascii="Franklin Gothic Book" w:hAnsi="Franklin Gothic Book"/>
        </w:rPr>
        <w:t xml:space="preserve"> acknowledged that </w:t>
      </w:r>
      <w:r w:rsidR="00C828F7">
        <w:rPr>
          <w:rFonts w:ascii="Franklin Gothic Book" w:hAnsi="Franklin Gothic Book"/>
        </w:rPr>
        <w:t>only supporting</w:t>
      </w:r>
      <w:r w:rsidR="006B1614">
        <w:rPr>
          <w:rFonts w:ascii="Franklin Gothic Book" w:hAnsi="Franklin Gothic Book"/>
        </w:rPr>
        <w:t xml:space="preserve"> public funding </w:t>
      </w:r>
      <w:r w:rsidR="00C828F7">
        <w:rPr>
          <w:rFonts w:ascii="Franklin Gothic Book" w:hAnsi="Franklin Gothic Book"/>
        </w:rPr>
        <w:t>for</w:t>
      </w:r>
      <w:r w:rsidR="006B1614">
        <w:rPr>
          <w:rFonts w:ascii="Franklin Gothic Book" w:hAnsi="Franklin Gothic Book"/>
        </w:rPr>
        <w:t xml:space="preserve"> EndoPredict</w:t>
      </w:r>
      <w:r w:rsidR="006B1614" w:rsidRPr="005F1260">
        <w:rPr>
          <w:rFonts w:ascii="Franklin Gothic Book" w:hAnsi="Franklin Gothic Book"/>
          <w:vertAlign w:val="superscript"/>
        </w:rPr>
        <w:t>®</w:t>
      </w:r>
      <w:r w:rsidR="006B1614">
        <w:rPr>
          <w:rFonts w:ascii="Franklin Gothic Book" w:hAnsi="Franklin Gothic Book"/>
        </w:rPr>
        <w:t xml:space="preserve"> may </w:t>
      </w:r>
      <w:r w:rsidR="00C828F7">
        <w:rPr>
          <w:rFonts w:ascii="Franklin Gothic Book" w:hAnsi="Franklin Gothic Book"/>
        </w:rPr>
        <w:t xml:space="preserve">risk geographically </w:t>
      </w:r>
      <w:r w:rsidR="006B1614">
        <w:rPr>
          <w:rFonts w:ascii="Franklin Gothic Book" w:hAnsi="Franklin Gothic Book"/>
        </w:rPr>
        <w:t>restrict</w:t>
      </w:r>
      <w:r w:rsidR="00C828F7">
        <w:rPr>
          <w:rFonts w:ascii="Franklin Gothic Book" w:hAnsi="Franklin Gothic Book"/>
        </w:rPr>
        <w:t>ing</w:t>
      </w:r>
      <w:r w:rsidR="006B1614">
        <w:rPr>
          <w:rFonts w:ascii="Franklin Gothic Book" w:hAnsi="Franklin Gothic Book"/>
        </w:rPr>
        <w:t xml:space="preserve"> equitable patient access to testing</w:t>
      </w:r>
      <w:r w:rsidR="00515E40">
        <w:rPr>
          <w:rFonts w:ascii="Franklin Gothic Book" w:hAnsi="Franklin Gothic Book"/>
        </w:rPr>
        <w:t xml:space="preserve"> if this remains the case in the future</w:t>
      </w:r>
      <w:r w:rsidR="006B1614">
        <w:rPr>
          <w:rFonts w:ascii="Franklin Gothic Book" w:hAnsi="Franklin Gothic Book"/>
        </w:rPr>
        <w:t>.</w:t>
      </w:r>
    </w:p>
    <w:p w14:paraId="1B15257A" w14:textId="56F5830D" w:rsidR="0078610A" w:rsidRPr="002F43A6" w:rsidRDefault="0078610A" w:rsidP="002F43A6">
      <w:pPr>
        <w:rPr>
          <w:rFonts w:ascii="Franklin Gothic Book" w:hAnsi="Franklin Gothic Book"/>
        </w:rPr>
      </w:pPr>
      <w:r>
        <w:rPr>
          <w:rFonts w:ascii="Franklin Gothic Book" w:hAnsi="Franklin Gothic Book"/>
        </w:rPr>
        <w:t xml:space="preserve">MSAC considered that the decision to use </w:t>
      </w:r>
      <w:r w:rsidR="00012E80">
        <w:rPr>
          <w:rFonts w:ascii="Franklin Gothic Book" w:hAnsi="Franklin Gothic Book"/>
        </w:rPr>
        <w:t>EndoPredict</w:t>
      </w:r>
      <w:r w:rsidR="00012E80" w:rsidRPr="005F1260">
        <w:rPr>
          <w:rFonts w:ascii="Franklin Gothic Book" w:hAnsi="Franklin Gothic Book"/>
          <w:vertAlign w:val="superscript"/>
        </w:rPr>
        <w:t>®</w:t>
      </w:r>
      <w:r>
        <w:rPr>
          <w:rFonts w:ascii="Franklin Gothic Book" w:hAnsi="Franklin Gothic Book"/>
        </w:rPr>
        <w:t xml:space="preserve"> would typically be undertaken by a </w:t>
      </w:r>
      <w:r w:rsidR="00696590">
        <w:rPr>
          <w:rFonts w:ascii="Franklin Gothic Book" w:hAnsi="Franklin Gothic Book"/>
        </w:rPr>
        <w:t xml:space="preserve">requester operating as part of a </w:t>
      </w:r>
      <w:r>
        <w:rPr>
          <w:rFonts w:ascii="Franklin Gothic Book" w:hAnsi="Franklin Gothic Book"/>
        </w:rPr>
        <w:t xml:space="preserve">multidisciplinary team (MDT), so advised it was not appropriate to make the test </w:t>
      </w:r>
      <w:proofErr w:type="gramStart"/>
      <w:r>
        <w:rPr>
          <w:rFonts w:ascii="Franklin Gothic Book" w:hAnsi="Franklin Gothic Book"/>
        </w:rPr>
        <w:t>pathologist-determinable</w:t>
      </w:r>
      <w:proofErr w:type="gramEnd"/>
      <w:r>
        <w:rPr>
          <w:rFonts w:ascii="Franklin Gothic Book" w:hAnsi="Franklin Gothic Book"/>
        </w:rPr>
        <w:t>.</w:t>
      </w:r>
    </w:p>
    <w:p w14:paraId="0D4CC49A" w14:textId="77777777" w:rsidR="002F43A6" w:rsidRPr="002F43A6" w:rsidRDefault="002F43A6" w:rsidP="002F43A6">
      <w:pPr>
        <w:rPr>
          <w:rFonts w:ascii="Franklin Gothic Book" w:hAnsi="Franklin Gothic Book"/>
        </w:rPr>
      </w:pPr>
      <w:r w:rsidRPr="002F43A6">
        <w:rPr>
          <w:rFonts w:ascii="Franklin Gothic Book" w:hAnsi="Franklin Gothic Book"/>
        </w:rPr>
        <w:t>MSAC noted and accepted the clinical management algorithm.</w:t>
      </w:r>
    </w:p>
    <w:p w14:paraId="551F1319" w14:textId="5FE333E4" w:rsidR="002F43A6" w:rsidRPr="002F43A6" w:rsidRDefault="002F43A6" w:rsidP="002F43A6">
      <w:pPr>
        <w:rPr>
          <w:rFonts w:ascii="Franklin Gothic Book" w:hAnsi="Franklin Gothic Book"/>
        </w:rPr>
      </w:pPr>
      <w:r w:rsidRPr="002F43A6">
        <w:rPr>
          <w:rFonts w:ascii="Franklin Gothic Book" w:hAnsi="Franklin Gothic Book"/>
        </w:rPr>
        <w:t xml:space="preserve">MSAC noted that the </w:t>
      </w:r>
      <w:r w:rsidR="008240B6">
        <w:rPr>
          <w:rFonts w:ascii="Franklin Gothic Book" w:hAnsi="Franklin Gothic Book"/>
        </w:rPr>
        <w:t>re-application</w:t>
      </w:r>
      <w:r w:rsidR="008240B6" w:rsidRPr="002F43A6">
        <w:rPr>
          <w:rFonts w:ascii="Franklin Gothic Book" w:hAnsi="Franklin Gothic Book"/>
        </w:rPr>
        <w:t xml:space="preserve"> </w:t>
      </w:r>
      <w:r w:rsidRPr="002F43A6">
        <w:rPr>
          <w:rFonts w:ascii="Franklin Gothic Book" w:hAnsi="Franklin Gothic Book"/>
        </w:rPr>
        <w:t xml:space="preserve">included no </w:t>
      </w:r>
      <w:r w:rsidR="00C828F7">
        <w:rPr>
          <w:rFonts w:ascii="Franklin Gothic Book" w:hAnsi="Franklin Gothic Book"/>
        </w:rPr>
        <w:t>new</w:t>
      </w:r>
      <w:r w:rsidR="00C828F7" w:rsidRPr="002F43A6">
        <w:rPr>
          <w:rFonts w:ascii="Franklin Gothic Book" w:hAnsi="Franklin Gothic Book"/>
        </w:rPr>
        <w:t xml:space="preserve"> </w:t>
      </w:r>
      <w:r w:rsidRPr="002F43A6">
        <w:rPr>
          <w:rFonts w:ascii="Franklin Gothic Book" w:hAnsi="Franklin Gothic Book"/>
        </w:rPr>
        <w:t>evidence on the safety of EndoPredict</w:t>
      </w:r>
      <w:r w:rsidR="005F1260" w:rsidRPr="005F1260">
        <w:rPr>
          <w:rFonts w:ascii="Franklin Gothic Book" w:hAnsi="Franklin Gothic Book"/>
          <w:vertAlign w:val="superscript"/>
        </w:rPr>
        <w:t>®</w:t>
      </w:r>
      <w:r w:rsidRPr="002F43A6">
        <w:rPr>
          <w:rFonts w:ascii="Franklin Gothic Book" w:hAnsi="Franklin Gothic Book"/>
        </w:rPr>
        <w:t>.</w:t>
      </w:r>
    </w:p>
    <w:p w14:paraId="5B45661E" w14:textId="411C2F34" w:rsidR="002F43A6" w:rsidRPr="002F43A6" w:rsidRDefault="002F43A6" w:rsidP="002F43A6">
      <w:pPr>
        <w:rPr>
          <w:rFonts w:ascii="Franklin Gothic Book" w:hAnsi="Franklin Gothic Book"/>
        </w:rPr>
      </w:pPr>
      <w:r w:rsidRPr="002F43A6">
        <w:rPr>
          <w:rFonts w:ascii="Franklin Gothic Book" w:hAnsi="Franklin Gothic Book"/>
        </w:rPr>
        <w:t xml:space="preserve">MSAC </w:t>
      </w:r>
      <w:r w:rsidR="00762C22">
        <w:rPr>
          <w:rFonts w:ascii="Franklin Gothic Book" w:hAnsi="Franklin Gothic Book"/>
        </w:rPr>
        <w:t>considered</w:t>
      </w:r>
      <w:r w:rsidR="00762C22" w:rsidRPr="002F43A6">
        <w:rPr>
          <w:rFonts w:ascii="Franklin Gothic Book" w:hAnsi="Franklin Gothic Book"/>
        </w:rPr>
        <w:t xml:space="preserve"> </w:t>
      </w:r>
      <w:r w:rsidRPr="002F43A6">
        <w:rPr>
          <w:rFonts w:ascii="Franklin Gothic Book" w:hAnsi="Franklin Gothic Book"/>
        </w:rPr>
        <w:t xml:space="preserve">that </w:t>
      </w:r>
      <w:r w:rsidR="00762C22">
        <w:rPr>
          <w:rFonts w:ascii="Franklin Gothic Book" w:hAnsi="Franklin Gothic Book"/>
        </w:rPr>
        <w:t xml:space="preserve">incremental prognostic value was demonstrated through the independent prognostic value of EP score in </w:t>
      </w:r>
      <w:r w:rsidRPr="002F43A6">
        <w:rPr>
          <w:rFonts w:ascii="Franklin Gothic Book" w:hAnsi="Franklin Gothic Book"/>
        </w:rPr>
        <w:t xml:space="preserve">multivariate </w:t>
      </w:r>
      <w:r w:rsidR="00762C22">
        <w:rPr>
          <w:rFonts w:ascii="Franklin Gothic Book" w:hAnsi="Franklin Gothic Book"/>
        </w:rPr>
        <w:t xml:space="preserve">and bivariate </w:t>
      </w:r>
      <w:r w:rsidRPr="002F43A6">
        <w:rPr>
          <w:rFonts w:ascii="Franklin Gothic Book" w:hAnsi="Franklin Gothic Book"/>
        </w:rPr>
        <w:t>Cox analys</w:t>
      </w:r>
      <w:r w:rsidR="00762C22">
        <w:rPr>
          <w:rFonts w:ascii="Franklin Gothic Book" w:hAnsi="Franklin Gothic Book"/>
        </w:rPr>
        <w:t>e</w:t>
      </w:r>
      <w:r w:rsidRPr="002F43A6">
        <w:rPr>
          <w:rFonts w:ascii="Franklin Gothic Book" w:hAnsi="Franklin Gothic Book"/>
        </w:rPr>
        <w:t xml:space="preserve">s, </w:t>
      </w:r>
      <w:r w:rsidR="00762C22">
        <w:rPr>
          <w:rFonts w:ascii="Franklin Gothic Book" w:hAnsi="Franklin Gothic Book"/>
        </w:rPr>
        <w:t>beyond that of</w:t>
      </w:r>
      <w:r w:rsidRPr="002F43A6">
        <w:rPr>
          <w:rFonts w:ascii="Franklin Gothic Book" w:hAnsi="Franklin Gothic Book"/>
        </w:rPr>
        <w:t xml:space="preserve"> standard clinical markers (tumour size, nodal status, tumour grade, quantitative ER, quantitative progesterone receptor (PR), Ki67 and age).</w:t>
      </w:r>
      <w:r w:rsidR="0034569B">
        <w:rPr>
          <w:rFonts w:ascii="Franklin Gothic Book" w:hAnsi="Franklin Gothic Book"/>
        </w:rPr>
        <w:t xml:space="preserve"> MSAC noted the prognostic value of nodal status was an order of magnitude greater than the prognostic value of EndoPredict</w:t>
      </w:r>
      <w:r w:rsidR="0034569B" w:rsidRPr="005F1260">
        <w:rPr>
          <w:rFonts w:ascii="Franklin Gothic Book" w:hAnsi="Franklin Gothic Book"/>
          <w:vertAlign w:val="superscript"/>
        </w:rPr>
        <w:t>®</w:t>
      </w:r>
      <w:r w:rsidR="0034569B">
        <w:rPr>
          <w:rFonts w:ascii="Franklin Gothic Book" w:hAnsi="Franklin Gothic Book"/>
        </w:rPr>
        <w:t>.</w:t>
      </w:r>
      <w:r w:rsidRPr="002F43A6">
        <w:rPr>
          <w:rFonts w:ascii="Franklin Gothic Book" w:hAnsi="Franklin Gothic Book"/>
        </w:rPr>
        <w:t xml:space="preserve"> MSAC </w:t>
      </w:r>
      <w:r w:rsidR="00762C22">
        <w:rPr>
          <w:rFonts w:ascii="Franklin Gothic Book" w:hAnsi="Franklin Gothic Book"/>
        </w:rPr>
        <w:t>considered that incremental prognostic value was also evidenced by</w:t>
      </w:r>
      <w:r w:rsidRPr="002F43A6">
        <w:rPr>
          <w:rFonts w:ascii="Franklin Gothic Book" w:hAnsi="Franklin Gothic Book"/>
        </w:rPr>
        <w:t xml:space="preserve"> the c-statistic </w:t>
      </w:r>
      <w:r w:rsidR="00762C22">
        <w:rPr>
          <w:rFonts w:ascii="Franklin Gothic Book" w:hAnsi="Franklin Gothic Book"/>
        </w:rPr>
        <w:t>showing a</w:t>
      </w:r>
      <w:r w:rsidR="0034569B">
        <w:rPr>
          <w:rFonts w:ascii="Franklin Gothic Book" w:hAnsi="Franklin Gothic Book"/>
        </w:rPr>
        <w:t xml:space="preserve"> modest 0.03-0.04 </w:t>
      </w:r>
      <w:r w:rsidR="00762C22">
        <w:rPr>
          <w:rFonts w:ascii="Franklin Gothic Book" w:hAnsi="Franklin Gothic Book"/>
        </w:rPr>
        <w:t xml:space="preserve">gain in discrimination </w:t>
      </w:r>
      <w:r w:rsidRPr="002F43A6">
        <w:rPr>
          <w:rFonts w:ascii="Franklin Gothic Book" w:hAnsi="Franklin Gothic Book"/>
        </w:rPr>
        <w:t xml:space="preserve">for predicting distant recurrence at 0 to </w:t>
      </w:r>
      <w:r w:rsidR="00AE7EDB">
        <w:rPr>
          <w:rFonts w:ascii="Franklin Gothic Book" w:hAnsi="Franklin Gothic Book"/>
        </w:rPr>
        <w:t xml:space="preserve">5 or </w:t>
      </w:r>
      <w:r w:rsidRPr="002F43A6">
        <w:rPr>
          <w:rFonts w:ascii="Franklin Gothic Book" w:hAnsi="Franklin Gothic Book"/>
        </w:rPr>
        <w:t xml:space="preserve">10 years </w:t>
      </w:r>
      <w:r w:rsidR="00AE7EDB">
        <w:rPr>
          <w:rFonts w:ascii="Franklin Gothic Book" w:hAnsi="Franklin Gothic Book"/>
        </w:rPr>
        <w:t>with the addition of the EPclin score</w:t>
      </w:r>
      <w:r w:rsidR="00A76296">
        <w:rPr>
          <w:rFonts w:ascii="Franklin Gothic Book" w:hAnsi="Franklin Gothic Book"/>
        </w:rPr>
        <w:t xml:space="preserve">. </w:t>
      </w:r>
      <w:proofErr w:type="gramStart"/>
      <w:r w:rsidR="00A76296">
        <w:rPr>
          <w:rFonts w:ascii="Franklin Gothic Book" w:hAnsi="Franklin Gothic Book"/>
        </w:rPr>
        <w:t>H</w:t>
      </w:r>
      <w:r w:rsidR="001C4831">
        <w:rPr>
          <w:rFonts w:ascii="Franklin Gothic Book" w:hAnsi="Franklin Gothic Book"/>
        </w:rPr>
        <w:t>owever</w:t>
      </w:r>
      <w:proofErr w:type="gramEnd"/>
      <w:r w:rsidR="001C4831">
        <w:rPr>
          <w:rFonts w:ascii="Franklin Gothic Book" w:hAnsi="Franklin Gothic Book"/>
        </w:rPr>
        <w:t xml:space="preserve"> </w:t>
      </w:r>
      <w:r w:rsidR="00A76296">
        <w:rPr>
          <w:rFonts w:ascii="Franklin Gothic Book" w:hAnsi="Franklin Gothic Book"/>
        </w:rPr>
        <w:t xml:space="preserve">MSAC also considered </w:t>
      </w:r>
      <w:r w:rsidR="001C4831">
        <w:rPr>
          <w:rFonts w:ascii="Franklin Gothic Book" w:hAnsi="Franklin Gothic Book"/>
        </w:rPr>
        <w:t xml:space="preserve">that the </w:t>
      </w:r>
      <w:r w:rsidR="00A76296">
        <w:rPr>
          <w:rFonts w:ascii="Franklin Gothic Book" w:hAnsi="Franklin Gothic Book"/>
        </w:rPr>
        <w:t xml:space="preserve">way these two sources of </w:t>
      </w:r>
      <w:r w:rsidR="001C4831">
        <w:rPr>
          <w:rFonts w:ascii="Franklin Gothic Book" w:hAnsi="Franklin Gothic Book"/>
        </w:rPr>
        <w:t xml:space="preserve">data had been </w:t>
      </w:r>
      <w:r w:rsidR="00A76296">
        <w:rPr>
          <w:rFonts w:ascii="Franklin Gothic Book" w:hAnsi="Franklin Gothic Book"/>
        </w:rPr>
        <w:t>analyse</w:t>
      </w:r>
      <w:r w:rsidR="000A1E23">
        <w:rPr>
          <w:rFonts w:ascii="Franklin Gothic Book" w:hAnsi="Franklin Gothic Book"/>
        </w:rPr>
        <w:t>d</w:t>
      </w:r>
      <w:r w:rsidR="00A76296">
        <w:rPr>
          <w:rFonts w:ascii="Franklin Gothic Book" w:hAnsi="Franklin Gothic Book"/>
        </w:rPr>
        <w:t xml:space="preserve"> and </w:t>
      </w:r>
      <w:r w:rsidR="001C4831">
        <w:rPr>
          <w:rFonts w:ascii="Franklin Gothic Book" w:hAnsi="Franklin Gothic Book"/>
        </w:rPr>
        <w:t xml:space="preserve">presented </w:t>
      </w:r>
      <w:r w:rsidR="00A76296">
        <w:rPr>
          <w:rFonts w:ascii="Franklin Gothic Book" w:hAnsi="Franklin Gothic Book"/>
        </w:rPr>
        <w:t xml:space="preserve">did not </w:t>
      </w:r>
      <w:r w:rsidR="001C4831">
        <w:rPr>
          <w:rFonts w:ascii="Franklin Gothic Book" w:hAnsi="Franklin Gothic Book"/>
        </w:rPr>
        <w:t xml:space="preserve">inform </w:t>
      </w:r>
      <w:r w:rsidR="00846F1A">
        <w:rPr>
          <w:rFonts w:ascii="Franklin Gothic Book" w:hAnsi="Franklin Gothic Book"/>
        </w:rPr>
        <w:t xml:space="preserve">a </w:t>
      </w:r>
      <w:r w:rsidR="001C4831">
        <w:rPr>
          <w:rFonts w:ascii="Franklin Gothic Book" w:hAnsi="Franklin Gothic Book"/>
        </w:rPr>
        <w:t xml:space="preserve">judgement of </w:t>
      </w:r>
      <w:r w:rsidR="00846F1A">
        <w:rPr>
          <w:rFonts w:ascii="Franklin Gothic Book" w:hAnsi="Franklin Gothic Book"/>
        </w:rPr>
        <w:t xml:space="preserve">the extent of </w:t>
      </w:r>
      <w:r w:rsidR="001C4831">
        <w:rPr>
          <w:rFonts w:ascii="Franklin Gothic Book" w:hAnsi="Franklin Gothic Book"/>
        </w:rPr>
        <w:t xml:space="preserve">the </w:t>
      </w:r>
      <w:r w:rsidR="00846F1A">
        <w:rPr>
          <w:rFonts w:ascii="Franklin Gothic Book" w:hAnsi="Franklin Gothic Book"/>
        </w:rPr>
        <w:t xml:space="preserve">incremental </w:t>
      </w:r>
      <w:r w:rsidR="001C4831">
        <w:rPr>
          <w:rFonts w:ascii="Franklin Gothic Book" w:hAnsi="Franklin Gothic Book"/>
        </w:rPr>
        <w:t>prognostic value</w:t>
      </w:r>
      <w:r w:rsidRPr="002F43A6">
        <w:rPr>
          <w:rFonts w:ascii="Franklin Gothic Book" w:hAnsi="Franklin Gothic Book"/>
        </w:rPr>
        <w:t>.</w:t>
      </w:r>
      <w:r w:rsidR="0009070E">
        <w:rPr>
          <w:rFonts w:ascii="Franklin Gothic Book" w:hAnsi="Franklin Gothic Book"/>
        </w:rPr>
        <w:t xml:space="preserve"> MSAC </w:t>
      </w:r>
      <w:r w:rsidR="00A76296">
        <w:rPr>
          <w:rFonts w:ascii="Franklin Gothic Book" w:hAnsi="Franklin Gothic Book"/>
        </w:rPr>
        <w:t xml:space="preserve">concluded overall that they </w:t>
      </w:r>
      <w:r w:rsidR="0034569B">
        <w:rPr>
          <w:rFonts w:ascii="Franklin Gothic Book" w:hAnsi="Franklin Gothic Book"/>
        </w:rPr>
        <w:t xml:space="preserve">provided evidence of modest incremental prognostic value, and </w:t>
      </w:r>
      <w:r w:rsidR="00A76296">
        <w:rPr>
          <w:rFonts w:ascii="Franklin Gothic Book" w:hAnsi="Franklin Gothic Book"/>
        </w:rPr>
        <w:t>again</w:t>
      </w:r>
      <w:r w:rsidR="0009070E">
        <w:rPr>
          <w:rFonts w:ascii="Franklin Gothic Book" w:hAnsi="Franklin Gothic Book"/>
        </w:rPr>
        <w:t xml:space="preserve"> noted the 1408.1 ADAR </w:t>
      </w:r>
      <w:r w:rsidR="00A76296">
        <w:rPr>
          <w:rFonts w:ascii="Franklin Gothic Book" w:hAnsi="Franklin Gothic Book"/>
        </w:rPr>
        <w:t xml:space="preserve">also </w:t>
      </w:r>
      <w:r w:rsidR="0009070E">
        <w:rPr>
          <w:rFonts w:ascii="Franklin Gothic Book" w:hAnsi="Franklin Gothic Book"/>
        </w:rPr>
        <w:t xml:space="preserve">presented new evidence </w:t>
      </w:r>
      <w:r w:rsidR="00A76296">
        <w:rPr>
          <w:rFonts w:ascii="Franklin Gothic Book" w:hAnsi="Franklin Gothic Book"/>
        </w:rPr>
        <w:t>supporting</w:t>
      </w:r>
      <w:r w:rsidR="0009070E">
        <w:rPr>
          <w:rFonts w:ascii="Franklin Gothic Book" w:hAnsi="Franklin Gothic Book"/>
        </w:rPr>
        <w:t xml:space="preserve"> incremental prognostic value</w:t>
      </w:r>
      <w:r w:rsidR="00784BAA">
        <w:rPr>
          <w:rFonts w:ascii="Franklin Gothic Book" w:hAnsi="Franklin Gothic Book"/>
        </w:rPr>
        <w:t xml:space="preserve"> </w:t>
      </w:r>
      <w:r w:rsidR="0009070E">
        <w:rPr>
          <w:rFonts w:ascii="Franklin Gothic Book" w:hAnsi="Franklin Gothic Book"/>
        </w:rPr>
        <w:t>(</w:t>
      </w:r>
      <w:r w:rsidR="00784BAA">
        <w:rPr>
          <w:rFonts w:ascii="Franklin Gothic Book" w:hAnsi="Franklin Gothic Book"/>
        </w:rPr>
        <w:t xml:space="preserve">see </w:t>
      </w:r>
      <w:r w:rsidR="0009070E">
        <w:rPr>
          <w:rFonts w:ascii="Franklin Gothic Book" w:hAnsi="Franklin Gothic Book"/>
        </w:rPr>
        <w:fldChar w:fldCharType="begin"/>
      </w:r>
      <w:r w:rsidR="0009070E">
        <w:rPr>
          <w:rFonts w:ascii="Franklin Gothic Book" w:hAnsi="Franklin Gothic Book"/>
        </w:rPr>
        <w:instrText xml:space="preserve"> REF _Ref111038575  \* MERGEFORMAT </w:instrText>
      </w:r>
      <w:r w:rsidR="0009070E">
        <w:rPr>
          <w:rFonts w:ascii="Franklin Gothic Book" w:hAnsi="Franklin Gothic Book"/>
        </w:rPr>
        <w:fldChar w:fldCharType="separate"/>
      </w:r>
      <w:r w:rsidR="00943826" w:rsidRPr="00943826">
        <w:rPr>
          <w:rFonts w:ascii="Franklin Gothic Book" w:hAnsi="Franklin Gothic Book"/>
        </w:rPr>
        <w:t>Table 8</w:t>
      </w:r>
      <w:r w:rsidR="0009070E">
        <w:rPr>
          <w:rFonts w:ascii="Franklin Gothic Book" w:hAnsi="Franklin Gothic Book"/>
        </w:rPr>
        <w:fldChar w:fldCharType="end"/>
      </w:r>
      <w:r w:rsidR="0009070E">
        <w:rPr>
          <w:rFonts w:ascii="Franklin Gothic Book" w:hAnsi="Franklin Gothic Book"/>
        </w:rPr>
        <w:t>).</w:t>
      </w:r>
    </w:p>
    <w:p w14:paraId="1D0D90BC" w14:textId="6689DE8C" w:rsidR="00A76296" w:rsidRDefault="00A76296" w:rsidP="00A76296">
      <w:pPr>
        <w:rPr>
          <w:rFonts w:ascii="Franklin Gothic Book" w:hAnsi="Franklin Gothic Book"/>
        </w:rPr>
      </w:pPr>
      <w:r w:rsidRPr="002F43A6">
        <w:rPr>
          <w:rFonts w:ascii="Franklin Gothic Book" w:hAnsi="Franklin Gothic Book"/>
        </w:rPr>
        <w:t xml:space="preserve">MSAC noted the </w:t>
      </w:r>
      <w:r>
        <w:rPr>
          <w:rFonts w:ascii="Franklin Gothic Book" w:hAnsi="Franklin Gothic Book"/>
        </w:rPr>
        <w:t xml:space="preserve">re-application relied on a </w:t>
      </w:r>
      <w:r w:rsidRPr="002F43A6">
        <w:rPr>
          <w:rFonts w:ascii="Franklin Gothic Book" w:hAnsi="Franklin Gothic Book"/>
        </w:rPr>
        <w:t xml:space="preserve">linked evidence assessment framework </w:t>
      </w:r>
      <w:r>
        <w:rPr>
          <w:rFonts w:ascii="Franklin Gothic Book" w:hAnsi="Franklin Gothic Book"/>
        </w:rPr>
        <w:t xml:space="preserve">to connect </w:t>
      </w:r>
      <w:r w:rsidRPr="002F43A6">
        <w:rPr>
          <w:rFonts w:ascii="Franklin Gothic Book" w:hAnsi="Franklin Gothic Book"/>
        </w:rPr>
        <w:t xml:space="preserve">the test population to health outcomes. </w:t>
      </w:r>
      <w:r w:rsidR="002F43A6" w:rsidRPr="002F43A6">
        <w:rPr>
          <w:rFonts w:ascii="Franklin Gothic Book" w:hAnsi="Franklin Gothic Book"/>
        </w:rPr>
        <w:t xml:space="preserve">MSAC </w:t>
      </w:r>
      <w:r w:rsidR="007B7345">
        <w:rPr>
          <w:rFonts w:ascii="Franklin Gothic Book" w:hAnsi="Franklin Gothic Book"/>
        </w:rPr>
        <w:t>noted</w:t>
      </w:r>
      <w:r w:rsidR="002F43A6" w:rsidRPr="002F43A6">
        <w:rPr>
          <w:rFonts w:ascii="Franklin Gothic Book" w:hAnsi="Franklin Gothic Book"/>
        </w:rPr>
        <w:t xml:space="preserve"> </w:t>
      </w:r>
      <w:r w:rsidR="001C4831">
        <w:rPr>
          <w:rFonts w:ascii="Franklin Gothic Book" w:hAnsi="Franklin Gothic Book"/>
        </w:rPr>
        <w:t xml:space="preserve">the applicant’s claims regarding changes in management and health outcomes </w:t>
      </w:r>
      <w:r w:rsidR="0034569B">
        <w:rPr>
          <w:rFonts w:ascii="Franklin Gothic Book" w:hAnsi="Franklin Gothic Book"/>
        </w:rPr>
        <w:t xml:space="preserve">(i.e. predictive value) </w:t>
      </w:r>
      <w:r w:rsidR="001C4831">
        <w:rPr>
          <w:rFonts w:ascii="Franklin Gothic Book" w:hAnsi="Franklin Gothic Book"/>
        </w:rPr>
        <w:t xml:space="preserve">were largely based on evidence it had considered previously and </w:t>
      </w:r>
      <w:r w:rsidR="006B1614">
        <w:rPr>
          <w:rFonts w:ascii="Franklin Gothic Book" w:hAnsi="Franklin Gothic Book"/>
        </w:rPr>
        <w:t>found insufficient</w:t>
      </w:r>
      <w:r w:rsidR="001C4831">
        <w:rPr>
          <w:rFonts w:ascii="Franklin Gothic Book" w:hAnsi="Franklin Gothic Book"/>
        </w:rPr>
        <w:t xml:space="preserve">. MSAC noted </w:t>
      </w:r>
      <w:r w:rsidR="007B7345">
        <w:rPr>
          <w:rFonts w:ascii="Franklin Gothic Book" w:hAnsi="Franklin Gothic Book"/>
        </w:rPr>
        <w:t>t</w:t>
      </w:r>
      <w:r w:rsidR="002F43A6" w:rsidRPr="002F43A6">
        <w:rPr>
          <w:rFonts w:ascii="Franklin Gothic Book" w:hAnsi="Franklin Gothic Book"/>
        </w:rPr>
        <w:t xml:space="preserve">his </w:t>
      </w:r>
      <w:r w:rsidR="008240B6">
        <w:rPr>
          <w:rFonts w:ascii="Franklin Gothic Book" w:hAnsi="Franklin Gothic Book"/>
        </w:rPr>
        <w:t>re-application</w:t>
      </w:r>
      <w:r w:rsidR="008240B6" w:rsidRPr="002F43A6">
        <w:rPr>
          <w:rFonts w:ascii="Franklin Gothic Book" w:hAnsi="Franklin Gothic Book"/>
        </w:rPr>
        <w:t xml:space="preserve"> </w:t>
      </w:r>
      <w:r w:rsidR="002F43A6" w:rsidRPr="002F43A6">
        <w:rPr>
          <w:rFonts w:ascii="Franklin Gothic Book" w:hAnsi="Franklin Gothic Book"/>
        </w:rPr>
        <w:t>present</w:t>
      </w:r>
      <w:r w:rsidR="007B7345">
        <w:rPr>
          <w:rFonts w:ascii="Franklin Gothic Book" w:hAnsi="Franklin Gothic Book"/>
        </w:rPr>
        <w:t>ed</w:t>
      </w:r>
      <w:r w:rsidR="002F43A6" w:rsidRPr="002F43A6">
        <w:rPr>
          <w:rFonts w:ascii="Franklin Gothic Book" w:hAnsi="Franklin Gothic Book"/>
        </w:rPr>
        <w:t xml:space="preserve"> a re</w:t>
      </w:r>
      <w:r w:rsidR="006B3385">
        <w:rPr>
          <w:rFonts w:ascii="Franklin Gothic Book" w:hAnsi="Franklin Gothic Book"/>
        </w:rPr>
        <w:noBreakHyphen/>
      </w:r>
      <w:r w:rsidR="002F43A6" w:rsidRPr="002F43A6">
        <w:rPr>
          <w:rFonts w:ascii="Franklin Gothic Book" w:hAnsi="Franklin Gothic Book"/>
        </w:rPr>
        <w:t xml:space="preserve">analysis of the </w:t>
      </w:r>
      <w:r w:rsidR="007B7345">
        <w:rPr>
          <w:rFonts w:ascii="Franklin Gothic Book" w:hAnsi="Franklin Gothic Book"/>
        </w:rPr>
        <w:t xml:space="preserve">PROSPER study </w:t>
      </w:r>
      <w:r w:rsidR="002F43A6" w:rsidRPr="002F43A6">
        <w:rPr>
          <w:rFonts w:ascii="Franklin Gothic Book" w:hAnsi="Franklin Gothic Book"/>
        </w:rPr>
        <w:t xml:space="preserve">data </w:t>
      </w:r>
      <w:r w:rsidR="007B7345">
        <w:rPr>
          <w:rFonts w:ascii="Franklin Gothic Book" w:hAnsi="Franklin Gothic Book"/>
        </w:rPr>
        <w:t xml:space="preserve">considered </w:t>
      </w:r>
      <w:r w:rsidR="007B7345" w:rsidRPr="002F43A6">
        <w:rPr>
          <w:rFonts w:ascii="Franklin Gothic Book" w:hAnsi="Franklin Gothic Book"/>
        </w:rPr>
        <w:t>in November 2019 (n=220, with n=197 in the MBS-eligible subgroup)</w:t>
      </w:r>
      <w:r w:rsidR="007B7345">
        <w:rPr>
          <w:rFonts w:ascii="Franklin Gothic Book" w:hAnsi="Franklin Gothic Book"/>
        </w:rPr>
        <w:t xml:space="preserve"> </w:t>
      </w:r>
      <w:r w:rsidR="002F43A6" w:rsidRPr="002F43A6">
        <w:rPr>
          <w:rFonts w:ascii="Franklin Gothic Book" w:hAnsi="Franklin Gothic Book"/>
        </w:rPr>
        <w:t xml:space="preserve">based on an enlarged population (Dinh 2022; n=233, with n=215 MBS-eligible). </w:t>
      </w:r>
      <w:r w:rsidRPr="002F43A6">
        <w:rPr>
          <w:rFonts w:ascii="Franklin Gothic Book" w:hAnsi="Franklin Gothic Book"/>
        </w:rPr>
        <w:t xml:space="preserve">MSAC considered </w:t>
      </w:r>
      <w:r>
        <w:rPr>
          <w:rFonts w:ascii="Franklin Gothic Book" w:hAnsi="Franklin Gothic Book"/>
        </w:rPr>
        <w:t xml:space="preserve">that the revised estimates of requesters and patients who might change their clinical management decisions </w:t>
      </w:r>
      <w:r w:rsidR="00452A2E">
        <w:rPr>
          <w:rFonts w:ascii="Franklin Gothic Book" w:hAnsi="Franklin Gothic Book"/>
        </w:rPr>
        <w:t xml:space="preserve">in this component of the linked evidence assessment framework </w:t>
      </w:r>
      <w:r>
        <w:rPr>
          <w:rFonts w:ascii="Franklin Gothic Book" w:hAnsi="Franklin Gothic Book"/>
        </w:rPr>
        <w:t>were not sufficient to change its previous conclusions that incremental predictive value had not been sufficiently demonstrated across the overall evidence base for EndoPredict</w:t>
      </w:r>
      <w:r w:rsidRPr="005F1260">
        <w:rPr>
          <w:rFonts w:ascii="Franklin Gothic Book" w:hAnsi="Franklin Gothic Book"/>
          <w:vertAlign w:val="superscript"/>
        </w:rPr>
        <w:t>®</w:t>
      </w:r>
      <w:r w:rsidRPr="002F43A6">
        <w:rPr>
          <w:rFonts w:ascii="Franklin Gothic Book" w:hAnsi="Franklin Gothic Book"/>
        </w:rPr>
        <w:t>.</w:t>
      </w:r>
    </w:p>
    <w:p w14:paraId="35CB7D88" w14:textId="6568D1BC" w:rsidR="001C4831" w:rsidRPr="002F43A6" w:rsidRDefault="002F43A6" w:rsidP="001C4831">
      <w:pPr>
        <w:rPr>
          <w:rFonts w:ascii="Franklin Gothic Book" w:hAnsi="Franklin Gothic Book"/>
        </w:rPr>
      </w:pPr>
      <w:r w:rsidRPr="002F43A6">
        <w:rPr>
          <w:rFonts w:ascii="Franklin Gothic Book" w:hAnsi="Franklin Gothic Book"/>
        </w:rPr>
        <w:t>MSAC noted that</w:t>
      </w:r>
      <w:r w:rsidR="00452A2E">
        <w:rPr>
          <w:rFonts w:ascii="Franklin Gothic Book" w:hAnsi="Franklin Gothic Book"/>
        </w:rPr>
        <w:t>, beyond this,</w:t>
      </w:r>
      <w:r w:rsidRPr="002F43A6">
        <w:rPr>
          <w:rFonts w:ascii="Franklin Gothic Book" w:hAnsi="Franklin Gothic Book"/>
        </w:rPr>
        <w:t xml:space="preserve"> the </w:t>
      </w:r>
      <w:r w:rsidR="008240B6">
        <w:rPr>
          <w:rFonts w:ascii="Franklin Gothic Book" w:hAnsi="Franklin Gothic Book"/>
        </w:rPr>
        <w:t>re-application</w:t>
      </w:r>
      <w:r w:rsidR="008240B6" w:rsidRPr="002F43A6">
        <w:rPr>
          <w:rFonts w:ascii="Franklin Gothic Book" w:hAnsi="Franklin Gothic Book"/>
        </w:rPr>
        <w:t xml:space="preserve"> </w:t>
      </w:r>
      <w:r w:rsidRPr="002F43A6">
        <w:rPr>
          <w:rFonts w:ascii="Franklin Gothic Book" w:hAnsi="Franklin Gothic Book"/>
        </w:rPr>
        <w:t xml:space="preserve">presented no new evidence to show a predictive </w:t>
      </w:r>
      <w:r w:rsidR="0034569B">
        <w:rPr>
          <w:rFonts w:ascii="Franklin Gothic Book" w:hAnsi="Franklin Gothic Book"/>
        </w:rPr>
        <w:t>benefit</w:t>
      </w:r>
      <w:r w:rsidR="0034569B" w:rsidRPr="002F43A6">
        <w:rPr>
          <w:rFonts w:ascii="Franklin Gothic Book" w:hAnsi="Franklin Gothic Book"/>
        </w:rPr>
        <w:t xml:space="preserve"> </w:t>
      </w:r>
      <w:r w:rsidR="0034569B">
        <w:rPr>
          <w:rFonts w:ascii="Franklin Gothic Book" w:hAnsi="Franklin Gothic Book"/>
        </w:rPr>
        <w:t>of</w:t>
      </w:r>
      <w:r w:rsidRPr="002F43A6">
        <w:rPr>
          <w:rFonts w:ascii="Franklin Gothic Book" w:hAnsi="Franklin Gothic Book"/>
        </w:rPr>
        <w:t xml:space="preserve"> EndoPredict</w:t>
      </w:r>
      <w:r w:rsidR="005F1260" w:rsidRPr="005F1260">
        <w:rPr>
          <w:rFonts w:ascii="Franklin Gothic Book" w:hAnsi="Franklin Gothic Book"/>
          <w:vertAlign w:val="superscript"/>
        </w:rPr>
        <w:t>®</w:t>
      </w:r>
      <w:r w:rsidRPr="002F43A6">
        <w:rPr>
          <w:rFonts w:ascii="Franklin Gothic Book" w:hAnsi="Franklin Gothic Book"/>
        </w:rPr>
        <w:t xml:space="preserve">, and that no results from prospective studies (e.g. effect modification in a randomised controlled trial) were provided to support the claim for a predictive effect. </w:t>
      </w:r>
      <w:r w:rsidR="004423C0">
        <w:rPr>
          <w:rFonts w:ascii="Franklin Gothic Book" w:hAnsi="Franklin Gothic Book"/>
        </w:rPr>
        <w:t>MSAC recalled that t</w:t>
      </w:r>
      <w:r w:rsidRPr="002F43A6">
        <w:rPr>
          <w:rFonts w:ascii="Franklin Gothic Book" w:hAnsi="Franklin Gothic Book"/>
        </w:rPr>
        <w:t xml:space="preserve">he </w:t>
      </w:r>
      <w:r w:rsidR="009E3AF2">
        <w:rPr>
          <w:rFonts w:ascii="Franklin Gothic Book" w:hAnsi="Franklin Gothic Book"/>
        </w:rPr>
        <w:t xml:space="preserve">1408 ADAR </w:t>
      </w:r>
      <w:r w:rsidR="004423C0">
        <w:rPr>
          <w:rFonts w:ascii="Franklin Gothic Book" w:hAnsi="Franklin Gothic Book"/>
        </w:rPr>
        <w:t xml:space="preserve">had </w:t>
      </w:r>
      <w:r w:rsidRPr="002F43A6">
        <w:rPr>
          <w:rFonts w:ascii="Franklin Gothic Book" w:hAnsi="Franklin Gothic Book"/>
        </w:rPr>
        <w:t>included Sestak 2019, a retrospective analysis of five trials with indirect comparisons across studies</w:t>
      </w:r>
      <w:r w:rsidR="004423C0">
        <w:rPr>
          <w:rFonts w:ascii="Franklin Gothic Book" w:hAnsi="Franklin Gothic Book"/>
        </w:rPr>
        <w:t>, and</w:t>
      </w:r>
      <w:r w:rsidRPr="002F43A6">
        <w:rPr>
          <w:rFonts w:ascii="Franklin Gothic Book" w:hAnsi="Franklin Gothic Book"/>
        </w:rPr>
        <w:t xml:space="preserve"> </w:t>
      </w:r>
      <w:r w:rsidR="00C828F7">
        <w:rPr>
          <w:rFonts w:ascii="Franklin Gothic Book" w:hAnsi="Franklin Gothic Book"/>
        </w:rPr>
        <w:t xml:space="preserve">that </w:t>
      </w:r>
      <w:r w:rsidRPr="002F43A6">
        <w:rPr>
          <w:rFonts w:ascii="Franklin Gothic Book" w:hAnsi="Franklin Gothic Book"/>
        </w:rPr>
        <w:t xml:space="preserve">its conclusion </w:t>
      </w:r>
      <w:r w:rsidR="00C27296">
        <w:rPr>
          <w:rFonts w:ascii="Franklin Gothic Book" w:hAnsi="Franklin Gothic Book"/>
        </w:rPr>
        <w:t xml:space="preserve">in 2019 </w:t>
      </w:r>
      <w:r w:rsidR="00C828F7">
        <w:rPr>
          <w:rFonts w:ascii="Franklin Gothic Book" w:hAnsi="Franklin Gothic Book"/>
        </w:rPr>
        <w:t xml:space="preserve">had been </w:t>
      </w:r>
      <w:r w:rsidRPr="002F43A6">
        <w:rPr>
          <w:rFonts w:ascii="Franklin Gothic Book" w:hAnsi="Franklin Gothic Book"/>
        </w:rPr>
        <w:t>that “</w:t>
      </w:r>
      <w:r w:rsidRPr="003219BD">
        <w:rPr>
          <w:rFonts w:ascii="Franklin Gothic Book" w:hAnsi="Franklin Gothic Book"/>
          <w:i/>
          <w:iCs/>
        </w:rPr>
        <w:t>the retrospective analysis of three cohorts derived from four randomised clinical trials … could not be relied upon for decision making</w:t>
      </w:r>
      <w:r w:rsidRPr="002F43A6">
        <w:rPr>
          <w:rFonts w:ascii="Franklin Gothic Book" w:hAnsi="Franklin Gothic Book"/>
        </w:rPr>
        <w:t xml:space="preserve">”. </w:t>
      </w:r>
      <w:r w:rsidR="001C4831">
        <w:rPr>
          <w:rFonts w:ascii="Franklin Gothic Book" w:hAnsi="Franklin Gothic Book"/>
        </w:rPr>
        <w:t xml:space="preserve">MSAC considered that the fundamental problems with the study design and applicability </w:t>
      </w:r>
      <w:r w:rsidR="00C828F7">
        <w:rPr>
          <w:rFonts w:ascii="Franklin Gothic Book" w:hAnsi="Franklin Gothic Book"/>
        </w:rPr>
        <w:t xml:space="preserve">that </w:t>
      </w:r>
      <w:r w:rsidR="001C4831">
        <w:rPr>
          <w:rFonts w:ascii="Franklin Gothic Book" w:hAnsi="Franklin Gothic Book"/>
        </w:rPr>
        <w:t xml:space="preserve">it had previously identified remained, and that the evidence provided in the 1408.1 ADAR did not </w:t>
      </w:r>
      <w:r w:rsidR="006D422C">
        <w:rPr>
          <w:rFonts w:ascii="Franklin Gothic Book" w:hAnsi="Franklin Gothic Book"/>
        </w:rPr>
        <w:t>sufficiently d</w:t>
      </w:r>
      <w:r w:rsidR="001C4831">
        <w:rPr>
          <w:rFonts w:ascii="Franklin Gothic Book" w:hAnsi="Franklin Gothic Book"/>
        </w:rPr>
        <w:t>emonstrate predictive value</w:t>
      </w:r>
      <w:r w:rsidR="006D422C">
        <w:rPr>
          <w:rFonts w:ascii="Franklin Gothic Book" w:hAnsi="Franklin Gothic Book"/>
        </w:rPr>
        <w:t>. MSAC therefore advised</w:t>
      </w:r>
      <w:r w:rsidR="001C4831">
        <w:rPr>
          <w:rFonts w:ascii="Franklin Gothic Book" w:hAnsi="Franklin Gothic Book"/>
        </w:rPr>
        <w:t xml:space="preserve"> </w:t>
      </w:r>
      <w:r w:rsidR="006D422C">
        <w:rPr>
          <w:rFonts w:ascii="Franklin Gothic Book" w:hAnsi="Franklin Gothic Book"/>
        </w:rPr>
        <w:t xml:space="preserve">there was insufficient evidence </w:t>
      </w:r>
      <w:r w:rsidR="00452A2E">
        <w:rPr>
          <w:rFonts w:ascii="Franklin Gothic Book" w:hAnsi="Franklin Gothic Book"/>
        </w:rPr>
        <w:t xml:space="preserve">to conclude </w:t>
      </w:r>
      <w:r w:rsidR="001C4831">
        <w:rPr>
          <w:rFonts w:ascii="Franklin Gothic Book" w:hAnsi="Franklin Gothic Book"/>
        </w:rPr>
        <w:t>that using EndoPredict</w:t>
      </w:r>
      <w:r w:rsidR="006D422C" w:rsidRPr="005F1260">
        <w:rPr>
          <w:rFonts w:ascii="Franklin Gothic Book" w:hAnsi="Franklin Gothic Book"/>
          <w:vertAlign w:val="superscript"/>
        </w:rPr>
        <w:t>®</w:t>
      </w:r>
      <w:r w:rsidR="001C4831">
        <w:rPr>
          <w:rFonts w:ascii="Franklin Gothic Book" w:hAnsi="Franklin Gothic Book"/>
        </w:rPr>
        <w:t xml:space="preserve"> to change treatment decisions would improve health outcomes.</w:t>
      </w:r>
    </w:p>
    <w:p w14:paraId="375457B8" w14:textId="30A59D41" w:rsidR="002F43A6" w:rsidRPr="002F43A6" w:rsidRDefault="002F43A6" w:rsidP="002F43A6">
      <w:pPr>
        <w:rPr>
          <w:rFonts w:ascii="Franklin Gothic Book" w:hAnsi="Franklin Gothic Book"/>
        </w:rPr>
      </w:pPr>
      <w:r w:rsidRPr="002F43A6">
        <w:rPr>
          <w:rFonts w:ascii="Franklin Gothic Book" w:hAnsi="Franklin Gothic Book"/>
        </w:rPr>
        <w:t>Overall, MSAC accepted that EndoPredict</w:t>
      </w:r>
      <w:r w:rsidR="005F1260" w:rsidRPr="005F1260">
        <w:rPr>
          <w:rFonts w:ascii="Franklin Gothic Book" w:hAnsi="Franklin Gothic Book"/>
          <w:vertAlign w:val="superscript"/>
        </w:rPr>
        <w:t>®</w:t>
      </w:r>
      <w:r w:rsidRPr="002F43A6">
        <w:rPr>
          <w:rFonts w:ascii="Franklin Gothic Book" w:hAnsi="Franklin Gothic Book"/>
        </w:rPr>
        <w:t xml:space="preserve"> has incremental prognostic value, but the magnitude is uncertain due to the study designs and population (applicability) differences. MSAC did not </w:t>
      </w:r>
      <w:r w:rsidRPr="002F43A6">
        <w:rPr>
          <w:rFonts w:ascii="Franklin Gothic Book" w:hAnsi="Franklin Gothic Book"/>
        </w:rPr>
        <w:lastRenderedPageBreak/>
        <w:t xml:space="preserve">accept that </w:t>
      </w:r>
      <w:r w:rsidR="0060092F">
        <w:rPr>
          <w:rFonts w:ascii="Franklin Gothic Book" w:hAnsi="Franklin Gothic Book"/>
        </w:rPr>
        <w:t xml:space="preserve">the evidence sufficiently demonstrated predictive value, so </w:t>
      </w:r>
      <w:r w:rsidR="000468BF">
        <w:rPr>
          <w:rFonts w:ascii="Franklin Gothic Book" w:hAnsi="Franklin Gothic Book"/>
        </w:rPr>
        <w:t xml:space="preserve">it </w:t>
      </w:r>
      <w:r w:rsidR="000468BF" w:rsidRPr="000468BF">
        <w:rPr>
          <w:rFonts w:ascii="Franklin Gothic Book" w:hAnsi="Franklin Gothic Book"/>
        </w:rPr>
        <w:t>could not conclude that using the test would likely improve health outcomes by affecting treatment decisions</w:t>
      </w:r>
      <w:r w:rsidR="000468BF">
        <w:rPr>
          <w:rFonts w:ascii="Franklin Gothic Book" w:hAnsi="Franklin Gothic Book"/>
        </w:rPr>
        <w:t xml:space="preserve">, and </w:t>
      </w:r>
      <w:r w:rsidR="0060092F">
        <w:rPr>
          <w:rFonts w:ascii="Franklin Gothic Book" w:hAnsi="Franklin Gothic Book"/>
        </w:rPr>
        <w:t xml:space="preserve">considered </w:t>
      </w:r>
      <w:r w:rsidR="00270944">
        <w:rPr>
          <w:rFonts w:ascii="Franklin Gothic Book" w:hAnsi="Franklin Gothic Book"/>
        </w:rPr>
        <w:t xml:space="preserve">that </w:t>
      </w:r>
      <w:r w:rsidR="0060092F">
        <w:rPr>
          <w:rFonts w:ascii="Franklin Gothic Book" w:hAnsi="Franklin Gothic Book"/>
        </w:rPr>
        <w:t>any predictive value</w:t>
      </w:r>
      <w:r w:rsidR="00D606C9" w:rsidRPr="00D606C9">
        <w:rPr>
          <w:rFonts w:ascii="Franklin Gothic Book" w:hAnsi="Franklin Gothic Book"/>
        </w:rPr>
        <w:t xml:space="preserve"> </w:t>
      </w:r>
      <w:r w:rsidR="00D606C9">
        <w:rPr>
          <w:rFonts w:ascii="Franklin Gothic Book" w:hAnsi="Franklin Gothic Book"/>
        </w:rPr>
        <w:t xml:space="preserve">of </w:t>
      </w:r>
      <w:r w:rsidR="00D606C9" w:rsidRPr="002F43A6">
        <w:rPr>
          <w:rFonts w:ascii="Franklin Gothic Book" w:hAnsi="Franklin Gothic Book"/>
        </w:rPr>
        <w:t>EndoPredict</w:t>
      </w:r>
      <w:r w:rsidR="00D606C9" w:rsidRPr="005F1260">
        <w:rPr>
          <w:rFonts w:ascii="Franklin Gothic Book" w:hAnsi="Franklin Gothic Book"/>
          <w:vertAlign w:val="superscript"/>
        </w:rPr>
        <w:t>®</w:t>
      </w:r>
      <w:r w:rsidR="0060092F">
        <w:rPr>
          <w:rFonts w:ascii="Franklin Gothic Book" w:hAnsi="Franklin Gothic Book"/>
        </w:rPr>
        <w:t xml:space="preserve"> remains uncertain</w:t>
      </w:r>
      <w:r w:rsidRPr="002F43A6">
        <w:rPr>
          <w:rFonts w:ascii="Franklin Gothic Book" w:hAnsi="Franklin Gothic Book"/>
        </w:rPr>
        <w:t>.</w:t>
      </w:r>
    </w:p>
    <w:p w14:paraId="64FD9572" w14:textId="2A715142" w:rsidR="00B078C7" w:rsidRDefault="00B078C7" w:rsidP="001A2537">
      <w:pPr>
        <w:rPr>
          <w:rFonts w:ascii="Franklin Gothic Book" w:hAnsi="Franklin Gothic Book"/>
        </w:rPr>
      </w:pPr>
      <w:r>
        <w:rPr>
          <w:rFonts w:ascii="Franklin Gothic Book" w:hAnsi="Franklin Gothic Book"/>
        </w:rPr>
        <w:t>MSAC noted the applicant’s proposed item descriptor included “to predict greater than or equal to 10</w:t>
      </w:r>
      <w:r w:rsidR="0062098A">
        <w:rPr>
          <w:rFonts w:ascii="Franklin Gothic Book" w:hAnsi="Franklin Gothic Book"/>
        </w:rPr>
        <w:t>-</w:t>
      </w:r>
      <w:r>
        <w:rPr>
          <w:rFonts w:ascii="Franklin Gothic Book" w:hAnsi="Franklin Gothic Book"/>
        </w:rPr>
        <w:t xml:space="preserve">year prognosis”. MSAC considered that as the </w:t>
      </w:r>
      <w:r w:rsidR="0062098A">
        <w:rPr>
          <w:rFonts w:ascii="Franklin Gothic Book" w:hAnsi="Franklin Gothic Book"/>
        </w:rPr>
        <w:t>studies finish</w:t>
      </w:r>
      <w:r w:rsidR="00151DCF">
        <w:rPr>
          <w:rFonts w:ascii="Franklin Gothic Book" w:hAnsi="Franklin Gothic Book"/>
        </w:rPr>
        <w:t>ed</w:t>
      </w:r>
      <w:r w:rsidR="0062098A">
        <w:rPr>
          <w:rFonts w:ascii="Franklin Gothic Book" w:hAnsi="Franklin Gothic Book"/>
        </w:rPr>
        <w:t xml:space="preserve"> within 10 years </w:t>
      </w:r>
      <w:r w:rsidR="00151DCF">
        <w:rPr>
          <w:rFonts w:ascii="Franklin Gothic Book" w:hAnsi="Franklin Gothic Book"/>
        </w:rPr>
        <w:t xml:space="preserve">of follow-up, </w:t>
      </w:r>
      <w:r w:rsidR="0062098A">
        <w:rPr>
          <w:rFonts w:ascii="Franklin Gothic Book" w:hAnsi="Franklin Gothic Book"/>
        </w:rPr>
        <w:t xml:space="preserve">the </w:t>
      </w:r>
      <w:r w:rsidR="00151DCF">
        <w:rPr>
          <w:rFonts w:ascii="Franklin Gothic Book" w:hAnsi="Franklin Gothic Book"/>
        </w:rPr>
        <w:t xml:space="preserve">test result </w:t>
      </w:r>
      <w:r w:rsidR="0062098A">
        <w:rPr>
          <w:rFonts w:ascii="Franklin Gothic Book" w:hAnsi="Franklin Gothic Book"/>
        </w:rPr>
        <w:t xml:space="preserve">cannot provide an </w:t>
      </w:r>
      <w:r w:rsidRPr="00B078C7">
        <w:rPr>
          <w:rFonts w:ascii="Franklin Gothic Book" w:hAnsi="Franklin Gothic Book"/>
        </w:rPr>
        <w:t>estimate of prognosis beyond 10 years</w:t>
      </w:r>
      <w:r w:rsidR="0062098A">
        <w:rPr>
          <w:rFonts w:ascii="Franklin Gothic Book" w:hAnsi="Franklin Gothic Book"/>
        </w:rPr>
        <w:t xml:space="preserve">, so advised the wording in the item descriptor wording should be revised to instead reflect the </w:t>
      </w:r>
      <w:r w:rsidRPr="00B078C7">
        <w:rPr>
          <w:rFonts w:ascii="Franklin Gothic Book" w:hAnsi="Franklin Gothic Book"/>
        </w:rPr>
        <w:t>risk of distant recurrence within 10 years</w:t>
      </w:r>
      <w:r w:rsidR="0062098A">
        <w:rPr>
          <w:rFonts w:ascii="Franklin Gothic Book" w:hAnsi="Franklin Gothic Book"/>
        </w:rPr>
        <w:t>.</w:t>
      </w:r>
    </w:p>
    <w:p w14:paraId="42325E09" w14:textId="120CDC28" w:rsidR="001A2537" w:rsidRPr="002F43A6" w:rsidRDefault="001A2537" w:rsidP="001A2537">
      <w:pPr>
        <w:rPr>
          <w:rFonts w:ascii="Franklin Gothic Book" w:hAnsi="Franklin Gothic Book"/>
        </w:rPr>
      </w:pPr>
      <w:r w:rsidRPr="002F43A6">
        <w:rPr>
          <w:rFonts w:ascii="Franklin Gothic Book" w:hAnsi="Franklin Gothic Book"/>
        </w:rPr>
        <w:t xml:space="preserve">MSAC noted </w:t>
      </w:r>
      <w:r>
        <w:rPr>
          <w:rFonts w:ascii="Franklin Gothic Book" w:hAnsi="Franklin Gothic Book"/>
        </w:rPr>
        <w:t>clinician</w:t>
      </w:r>
      <w:r w:rsidRPr="002F43A6">
        <w:rPr>
          <w:rFonts w:ascii="Franklin Gothic Book" w:hAnsi="Franklin Gothic Book"/>
        </w:rPr>
        <w:t xml:space="preserve"> and consumer support for </w:t>
      </w:r>
      <w:r>
        <w:rPr>
          <w:rFonts w:ascii="Franklin Gothic Book" w:hAnsi="Franklin Gothic Book"/>
        </w:rPr>
        <w:t>public funding of GEP tests</w:t>
      </w:r>
      <w:r w:rsidRPr="002F43A6">
        <w:rPr>
          <w:rFonts w:ascii="Franklin Gothic Book" w:hAnsi="Franklin Gothic Book"/>
        </w:rPr>
        <w:t xml:space="preserve"> for </w:t>
      </w:r>
      <w:r>
        <w:rPr>
          <w:rFonts w:ascii="Franklin Gothic Book" w:hAnsi="Franklin Gothic Book"/>
        </w:rPr>
        <w:t xml:space="preserve">patients with early </w:t>
      </w:r>
      <w:r w:rsidRPr="002F43A6">
        <w:rPr>
          <w:rFonts w:ascii="Franklin Gothic Book" w:hAnsi="Franklin Gothic Book"/>
        </w:rPr>
        <w:t>breast cancer</w:t>
      </w:r>
      <w:r>
        <w:rPr>
          <w:rFonts w:ascii="Franklin Gothic Book" w:hAnsi="Franklin Gothic Book"/>
        </w:rPr>
        <w:t xml:space="preserve">, however that comments from clinicians and patients indicated they would use the result of </w:t>
      </w:r>
      <w:r w:rsidR="00452A2E">
        <w:rPr>
          <w:rFonts w:ascii="Franklin Gothic Book" w:hAnsi="Franklin Gothic Book"/>
        </w:rPr>
        <w:t>a</w:t>
      </w:r>
      <w:r>
        <w:rPr>
          <w:rFonts w:ascii="Franklin Gothic Book" w:hAnsi="Franklin Gothic Book"/>
        </w:rPr>
        <w:t xml:space="preserve"> GEP test to inform treatment decisions</w:t>
      </w:r>
      <w:r w:rsidR="000468BF">
        <w:rPr>
          <w:rFonts w:ascii="Franklin Gothic Book" w:hAnsi="Franklin Gothic Book"/>
        </w:rPr>
        <w:t xml:space="preserve"> (predictive use)</w:t>
      </w:r>
      <w:r w:rsidRPr="002F43A6">
        <w:rPr>
          <w:rFonts w:ascii="Franklin Gothic Book" w:hAnsi="Franklin Gothic Book"/>
        </w:rPr>
        <w:t xml:space="preserve">. MSAC noted that </w:t>
      </w:r>
      <w:r>
        <w:rPr>
          <w:rFonts w:ascii="Franklin Gothic Book" w:hAnsi="Franklin Gothic Book"/>
        </w:rPr>
        <w:t xml:space="preserve">some patients </w:t>
      </w:r>
      <w:r w:rsidR="00452A2E">
        <w:rPr>
          <w:rFonts w:ascii="Franklin Gothic Book" w:hAnsi="Franklin Gothic Book"/>
        </w:rPr>
        <w:t xml:space="preserve">have </w:t>
      </w:r>
      <w:r>
        <w:rPr>
          <w:rFonts w:ascii="Franklin Gothic Book" w:hAnsi="Franklin Gothic Book"/>
        </w:rPr>
        <w:t>already use</w:t>
      </w:r>
      <w:r w:rsidR="00452A2E">
        <w:rPr>
          <w:rFonts w:ascii="Franklin Gothic Book" w:hAnsi="Franklin Gothic Book"/>
        </w:rPr>
        <w:t>d</w:t>
      </w:r>
      <w:r>
        <w:rPr>
          <w:rFonts w:ascii="Franklin Gothic Book" w:hAnsi="Franklin Gothic Book"/>
        </w:rPr>
        <w:t xml:space="preserve"> </w:t>
      </w:r>
      <w:r w:rsidRPr="002F43A6">
        <w:rPr>
          <w:rFonts w:ascii="Franklin Gothic Book" w:hAnsi="Franklin Gothic Book"/>
        </w:rPr>
        <w:t>EndoPredict</w:t>
      </w:r>
      <w:r w:rsidRPr="005F1260">
        <w:rPr>
          <w:rFonts w:ascii="Franklin Gothic Book" w:hAnsi="Franklin Gothic Book"/>
          <w:vertAlign w:val="superscript"/>
        </w:rPr>
        <w:t>®</w:t>
      </w:r>
      <w:r w:rsidRPr="002F43A6">
        <w:rPr>
          <w:rFonts w:ascii="Franklin Gothic Book" w:hAnsi="Franklin Gothic Book"/>
        </w:rPr>
        <w:t xml:space="preserve"> at the</w:t>
      </w:r>
      <w:r>
        <w:rPr>
          <w:rFonts w:ascii="Franklin Gothic Book" w:hAnsi="Franklin Gothic Book"/>
        </w:rPr>
        <w:t>ir own</w:t>
      </w:r>
      <w:r w:rsidRPr="002F43A6">
        <w:rPr>
          <w:rFonts w:ascii="Franklin Gothic Book" w:hAnsi="Franklin Gothic Book"/>
        </w:rPr>
        <w:t xml:space="preserve"> cost. MSAC noted that one Australian pathology website claims that EndoPredict</w:t>
      </w:r>
      <w:r w:rsidRPr="005F1260">
        <w:rPr>
          <w:rFonts w:ascii="Franklin Gothic Book" w:hAnsi="Franklin Gothic Book"/>
          <w:vertAlign w:val="superscript"/>
        </w:rPr>
        <w:t>®</w:t>
      </w:r>
      <w:r w:rsidRPr="002F43A6">
        <w:rPr>
          <w:rFonts w:ascii="Franklin Gothic Book" w:hAnsi="Franklin Gothic Book"/>
        </w:rPr>
        <w:t xml:space="preserve"> can supply information about whether the patient can safely avoid chemotherapy, how beneficial chemotherapy would be and whether the patient can avoid extended endocrine therapy. MSAC reiterated that </w:t>
      </w:r>
      <w:r w:rsidR="0060092F">
        <w:rPr>
          <w:rFonts w:ascii="Franklin Gothic Book" w:hAnsi="Franklin Gothic Book"/>
        </w:rPr>
        <w:t xml:space="preserve">there was insufficient evidence to </w:t>
      </w:r>
      <w:r w:rsidR="000468BF">
        <w:rPr>
          <w:rFonts w:ascii="Franklin Gothic Book" w:hAnsi="Franklin Gothic Book"/>
        </w:rPr>
        <w:t xml:space="preserve">conclude that using </w:t>
      </w:r>
      <w:r w:rsidRPr="002F43A6">
        <w:rPr>
          <w:rFonts w:ascii="Franklin Gothic Book" w:hAnsi="Franklin Gothic Book"/>
        </w:rPr>
        <w:t>EndoPredict</w:t>
      </w:r>
      <w:r w:rsidRPr="005F1260">
        <w:rPr>
          <w:rFonts w:ascii="Franklin Gothic Book" w:hAnsi="Franklin Gothic Book"/>
          <w:vertAlign w:val="superscript"/>
        </w:rPr>
        <w:t>®</w:t>
      </w:r>
      <w:r w:rsidRPr="002F43A6">
        <w:rPr>
          <w:rFonts w:ascii="Franklin Gothic Book" w:hAnsi="Franklin Gothic Book"/>
        </w:rPr>
        <w:t xml:space="preserve"> </w:t>
      </w:r>
      <w:r w:rsidR="000468BF">
        <w:rPr>
          <w:rFonts w:ascii="Franklin Gothic Book" w:hAnsi="Franklin Gothic Book"/>
        </w:rPr>
        <w:t>would change health outcomes (</w:t>
      </w:r>
      <w:r w:rsidRPr="002F43A6">
        <w:rPr>
          <w:rFonts w:ascii="Franklin Gothic Book" w:hAnsi="Franklin Gothic Book"/>
        </w:rPr>
        <w:t xml:space="preserve">predictive </w:t>
      </w:r>
      <w:r w:rsidR="000468BF">
        <w:rPr>
          <w:rFonts w:ascii="Franklin Gothic Book" w:hAnsi="Franklin Gothic Book"/>
        </w:rPr>
        <w:t>valu</w:t>
      </w:r>
      <w:r w:rsidRPr="002F43A6">
        <w:rPr>
          <w:rFonts w:ascii="Franklin Gothic Book" w:hAnsi="Franklin Gothic Book"/>
        </w:rPr>
        <w:t>e</w:t>
      </w:r>
      <w:r w:rsidR="000468BF">
        <w:rPr>
          <w:rFonts w:ascii="Franklin Gothic Book" w:hAnsi="Franklin Gothic Book"/>
        </w:rPr>
        <w:t>)</w:t>
      </w:r>
      <w:r w:rsidR="0060092F">
        <w:rPr>
          <w:rFonts w:ascii="Franklin Gothic Book" w:hAnsi="Franklin Gothic Book"/>
        </w:rPr>
        <w:t>, so to reduce the potential for inappropriate use</w:t>
      </w:r>
      <w:r w:rsidR="006B3385">
        <w:rPr>
          <w:rFonts w:ascii="Franklin Gothic Book" w:hAnsi="Franklin Gothic Book"/>
        </w:rPr>
        <w:t xml:space="preserve"> on the MBS</w:t>
      </w:r>
      <w:r w:rsidR="0060092F">
        <w:rPr>
          <w:rFonts w:ascii="Franklin Gothic Book" w:hAnsi="Franklin Gothic Book"/>
        </w:rPr>
        <w:t xml:space="preserve">, advised that the </w:t>
      </w:r>
      <w:r w:rsidR="00452A2E">
        <w:rPr>
          <w:rFonts w:ascii="Franklin Gothic Book" w:hAnsi="Franklin Gothic Book"/>
        </w:rPr>
        <w:t xml:space="preserve">supported </w:t>
      </w:r>
      <w:r w:rsidR="0060092F">
        <w:rPr>
          <w:rFonts w:ascii="Franklin Gothic Book" w:hAnsi="Franklin Gothic Book"/>
        </w:rPr>
        <w:t>item descriptor should state that the test is not to be used for predictive purposes</w:t>
      </w:r>
      <w:r w:rsidRPr="002F43A6">
        <w:rPr>
          <w:rFonts w:ascii="Franklin Gothic Book" w:hAnsi="Franklin Gothic Book"/>
        </w:rPr>
        <w:t>.</w:t>
      </w:r>
      <w:r w:rsidR="00D606C9">
        <w:rPr>
          <w:rFonts w:ascii="Franklin Gothic Book" w:hAnsi="Franklin Gothic Book"/>
        </w:rPr>
        <w:t xml:space="preserve"> MSAC </w:t>
      </w:r>
      <w:r w:rsidR="00452A2E">
        <w:rPr>
          <w:rFonts w:ascii="Franklin Gothic Book" w:hAnsi="Franklin Gothic Book"/>
        </w:rPr>
        <w:t>recognised</w:t>
      </w:r>
      <w:r w:rsidR="00D606C9">
        <w:rPr>
          <w:rFonts w:ascii="Franklin Gothic Book" w:hAnsi="Franklin Gothic Book"/>
        </w:rPr>
        <w:t xml:space="preserve"> that the difference between prognostic and predictive use is a nuance that could be complex for </w:t>
      </w:r>
      <w:r w:rsidR="00452A2E">
        <w:rPr>
          <w:rFonts w:ascii="Franklin Gothic Book" w:hAnsi="Franklin Gothic Book"/>
        </w:rPr>
        <w:t xml:space="preserve">test requesters to explain and for </w:t>
      </w:r>
      <w:r w:rsidR="00D606C9">
        <w:rPr>
          <w:rFonts w:ascii="Franklin Gothic Book" w:hAnsi="Franklin Gothic Book"/>
        </w:rPr>
        <w:t xml:space="preserve">consumers to understand, and </w:t>
      </w:r>
      <w:r w:rsidR="00395CC4">
        <w:rPr>
          <w:rFonts w:ascii="Franklin Gothic Book" w:hAnsi="Franklin Gothic Book"/>
        </w:rPr>
        <w:t xml:space="preserve">advised that the government should arrange for </w:t>
      </w:r>
      <w:r w:rsidR="00D606C9">
        <w:rPr>
          <w:rFonts w:ascii="Franklin Gothic Book" w:hAnsi="Franklin Gothic Book"/>
        </w:rPr>
        <w:t xml:space="preserve">additional education and consumer engagement be undertaken </w:t>
      </w:r>
      <w:r w:rsidR="00395CC4">
        <w:rPr>
          <w:rFonts w:ascii="Franklin Gothic Book" w:hAnsi="Franklin Gothic Book"/>
        </w:rPr>
        <w:t>independently of the applicant</w:t>
      </w:r>
      <w:r w:rsidR="00D606C9">
        <w:rPr>
          <w:rFonts w:ascii="Franklin Gothic Book" w:hAnsi="Franklin Gothic Book"/>
        </w:rPr>
        <w:t>.</w:t>
      </w:r>
    </w:p>
    <w:p w14:paraId="39B60A88" w14:textId="54DE1523" w:rsidR="002F43A6" w:rsidRPr="002F43A6" w:rsidRDefault="002F43A6" w:rsidP="002F43A6">
      <w:pPr>
        <w:rPr>
          <w:rFonts w:ascii="Franklin Gothic Book" w:hAnsi="Franklin Gothic Book"/>
        </w:rPr>
      </w:pPr>
      <w:r w:rsidRPr="002F43A6">
        <w:rPr>
          <w:rFonts w:ascii="Franklin Gothic Book" w:hAnsi="Franklin Gothic Book"/>
        </w:rPr>
        <w:t xml:space="preserve">MSAC noted that the </w:t>
      </w:r>
      <w:r w:rsidR="007B7345">
        <w:rPr>
          <w:rFonts w:ascii="Franklin Gothic Book" w:hAnsi="Franklin Gothic Book"/>
        </w:rPr>
        <w:t>1408.1 ADAR</w:t>
      </w:r>
      <w:r w:rsidRPr="002F43A6">
        <w:rPr>
          <w:rFonts w:ascii="Franklin Gothic Book" w:hAnsi="Franklin Gothic Book"/>
        </w:rPr>
        <w:t xml:space="preserve"> presented an updated cost-utility analysis using </w:t>
      </w:r>
      <w:r w:rsidR="00B02E91">
        <w:rPr>
          <w:rFonts w:ascii="Franklin Gothic Book" w:hAnsi="Franklin Gothic Book"/>
        </w:rPr>
        <w:t xml:space="preserve">the </w:t>
      </w:r>
      <w:r w:rsidR="00C27296">
        <w:rPr>
          <w:rFonts w:ascii="Franklin Gothic Book" w:hAnsi="Franklin Gothic Book"/>
        </w:rPr>
        <w:t>updated</w:t>
      </w:r>
      <w:r w:rsidR="00C27296" w:rsidRPr="002F43A6">
        <w:rPr>
          <w:rFonts w:ascii="Franklin Gothic Book" w:hAnsi="Franklin Gothic Book"/>
        </w:rPr>
        <w:t xml:space="preserve"> </w:t>
      </w:r>
      <w:r w:rsidRPr="002F43A6">
        <w:rPr>
          <w:rFonts w:ascii="Franklin Gothic Book" w:hAnsi="Franklin Gothic Book"/>
        </w:rPr>
        <w:t>PROSPER data</w:t>
      </w:r>
      <w:r w:rsidR="007B7345">
        <w:rPr>
          <w:rFonts w:ascii="Franklin Gothic Book" w:hAnsi="Franklin Gothic Book"/>
        </w:rPr>
        <w:t xml:space="preserve"> and other</w:t>
      </w:r>
      <w:r w:rsidR="007B7345" w:rsidRPr="002F43A6">
        <w:rPr>
          <w:rFonts w:ascii="Franklin Gothic Book" w:hAnsi="Franklin Gothic Book"/>
        </w:rPr>
        <w:t xml:space="preserve"> </w:t>
      </w:r>
      <w:r w:rsidRPr="002F43A6">
        <w:rPr>
          <w:rFonts w:ascii="Franklin Gothic Book" w:hAnsi="Franklin Gothic Book"/>
        </w:rPr>
        <w:t xml:space="preserve">minor updates to costs and life tables. MSAC </w:t>
      </w:r>
      <w:r w:rsidR="00856E96">
        <w:rPr>
          <w:rFonts w:ascii="Franklin Gothic Book" w:hAnsi="Franklin Gothic Book"/>
        </w:rPr>
        <w:t>considered</w:t>
      </w:r>
      <w:r w:rsidR="00856E96" w:rsidRPr="002F43A6">
        <w:rPr>
          <w:rFonts w:ascii="Franklin Gothic Book" w:hAnsi="Franklin Gothic Book"/>
        </w:rPr>
        <w:t xml:space="preserve"> </w:t>
      </w:r>
      <w:r w:rsidRPr="002F43A6">
        <w:rPr>
          <w:rFonts w:ascii="Franklin Gothic Book" w:hAnsi="Franklin Gothic Book"/>
        </w:rPr>
        <w:t xml:space="preserve">that the </w:t>
      </w:r>
      <w:r w:rsidR="007B7345">
        <w:rPr>
          <w:rFonts w:ascii="Franklin Gothic Book" w:hAnsi="Franklin Gothic Book"/>
        </w:rPr>
        <w:t xml:space="preserve">1408.1 ADAR </w:t>
      </w:r>
      <w:r w:rsidRPr="002F43A6">
        <w:rPr>
          <w:rFonts w:ascii="Franklin Gothic Book" w:hAnsi="Franklin Gothic Book"/>
        </w:rPr>
        <w:t xml:space="preserve">did not address </w:t>
      </w:r>
      <w:r w:rsidR="006C5730">
        <w:rPr>
          <w:rFonts w:ascii="Franklin Gothic Book" w:hAnsi="Franklin Gothic Book"/>
        </w:rPr>
        <w:t>MSAC’s</w:t>
      </w:r>
      <w:r w:rsidR="00856E96" w:rsidRPr="002F43A6">
        <w:rPr>
          <w:rFonts w:ascii="Franklin Gothic Book" w:hAnsi="Franklin Gothic Book"/>
        </w:rPr>
        <w:t xml:space="preserve"> </w:t>
      </w:r>
      <w:r w:rsidRPr="002F43A6">
        <w:rPr>
          <w:rFonts w:ascii="Franklin Gothic Book" w:hAnsi="Franklin Gothic Book"/>
        </w:rPr>
        <w:t xml:space="preserve">previous concerns about model structure and inputs, </w:t>
      </w:r>
      <w:r w:rsidR="00856E96">
        <w:rPr>
          <w:rFonts w:ascii="Franklin Gothic Book" w:hAnsi="Franklin Gothic Book"/>
        </w:rPr>
        <w:t>and</w:t>
      </w:r>
      <w:r w:rsidRPr="002F43A6">
        <w:rPr>
          <w:rFonts w:ascii="Franklin Gothic Book" w:hAnsi="Franklin Gothic Book"/>
        </w:rPr>
        <w:t xml:space="preserve"> </w:t>
      </w:r>
      <w:r w:rsidR="006B1614">
        <w:rPr>
          <w:rFonts w:ascii="Franklin Gothic Book" w:hAnsi="Franklin Gothic Book"/>
        </w:rPr>
        <w:t xml:space="preserve">that the ADAR and pre-MSAC response </w:t>
      </w:r>
      <w:r w:rsidR="00856E96">
        <w:rPr>
          <w:rFonts w:ascii="Franklin Gothic Book" w:hAnsi="Franklin Gothic Book"/>
        </w:rPr>
        <w:t xml:space="preserve">continued to </w:t>
      </w:r>
      <w:r w:rsidR="00B02E91">
        <w:rPr>
          <w:rFonts w:ascii="Franklin Gothic Book" w:hAnsi="Franklin Gothic Book"/>
        </w:rPr>
        <w:t xml:space="preserve">infer </w:t>
      </w:r>
      <w:r w:rsidRPr="002F43A6">
        <w:rPr>
          <w:rFonts w:ascii="Franklin Gothic Book" w:hAnsi="Franklin Gothic Book"/>
        </w:rPr>
        <w:t>predictive value</w:t>
      </w:r>
      <w:r w:rsidR="00B02E91">
        <w:rPr>
          <w:rFonts w:ascii="Franklin Gothic Book" w:hAnsi="Franklin Gothic Book"/>
        </w:rPr>
        <w:t xml:space="preserve"> of the test because t</w:t>
      </w:r>
      <w:r w:rsidR="00913D18">
        <w:rPr>
          <w:rFonts w:ascii="Franklin Gothic Book" w:hAnsi="Franklin Gothic Book"/>
        </w:rPr>
        <w:t>hey both</w:t>
      </w:r>
      <w:r w:rsidR="00B02E91">
        <w:rPr>
          <w:rFonts w:ascii="Franklin Gothic Book" w:hAnsi="Franklin Gothic Book"/>
        </w:rPr>
        <w:t xml:space="preserve"> estimated a net increment </w:t>
      </w:r>
      <w:r w:rsidR="00856E96">
        <w:rPr>
          <w:rFonts w:ascii="Franklin Gothic Book" w:hAnsi="Franklin Gothic Book"/>
        </w:rPr>
        <w:t>in QALYs (i.e. improved health outcomes)</w:t>
      </w:r>
      <w:r w:rsidRPr="002F43A6">
        <w:rPr>
          <w:rFonts w:ascii="Franklin Gothic Book" w:hAnsi="Franklin Gothic Book"/>
        </w:rPr>
        <w:t xml:space="preserve">. MSAC </w:t>
      </w:r>
      <w:r w:rsidR="00856E96" w:rsidRPr="007B7345">
        <w:rPr>
          <w:rFonts w:ascii="Franklin Gothic Book" w:hAnsi="Franklin Gothic Book"/>
          <w:iCs/>
        </w:rPr>
        <w:t>considered that patients placed value in knowing their prognosis</w:t>
      </w:r>
      <w:r w:rsidR="00856E96">
        <w:rPr>
          <w:rFonts w:ascii="Franklin Gothic Book" w:hAnsi="Franklin Gothic Book"/>
          <w:iCs/>
        </w:rPr>
        <w:t>, though</w:t>
      </w:r>
      <w:r w:rsidR="00856E96" w:rsidRPr="002F43A6" w:rsidDel="00856E96">
        <w:rPr>
          <w:rFonts w:ascii="Franklin Gothic Book" w:hAnsi="Franklin Gothic Book"/>
        </w:rPr>
        <w:t xml:space="preserve"> </w:t>
      </w:r>
      <w:r w:rsidRPr="002F43A6">
        <w:rPr>
          <w:rFonts w:ascii="Franklin Gothic Book" w:hAnsi="Franklin Gothic Book"/>
        </w:rPr>
        <w:t>that</w:t>
      </w:r>
      <w:r w:rsidR="006C5730">
        <w:rPr>
          <w:rFonts w:ascii="Franklin Gothic Book" w:hAnsi="Franklin Gothic Book"/>
        </w:rPr>
        <w:t xml:space="preserve"> </w:t>
      </w:r>
      <w:r w:rsidRPr="002F43A6">
        <w:rPr>
          <w:rFonts w:ascii="Franklin Gothic Book" w:hAnsi="Franklin Gothic Book"/>
        </w:rPr>
        <w:t xml:space="preserve">“value of knowing” </w:t>
      </w:r>
      <w:r w:rsidR="006B1614">
        <w:rPr>
          <w:rFonts w:ascii="Franklin Gothic Book" w:hAnsi="Franklin Gothic Book"/>
        </w:rPr>
        <w:t xml:space="preserve">is considered by MSAC </w:t>
      </w:r>
      <w:r w:rsidR="00856E96">
        <w:rPr>
          <w:rFonts w:ascii="Franklin Gothic Book" w:hAnsi="Franklin Gothic Book"/>
        </w:rPr>
        <w:t>qualitatively and separate to</w:t>
      </w:r>
      <w:r w:rsidR="00856E96" w:rsidRPr="002F43A6">
        <w:rPr>
          <w:rFonts w:ascii="Franklin Gothic Book" w:hAnsi="Franklin Gothic Book"/>
        </w:rPr>
        <w:t xml:space="preserve"> </w:t>
      </w:r>
      <w:r w:rsidRPr="002F43A6">
        <w:rPr>
          <w:rFonts w:ascii="Franklin Gothic Book" w:hAnsi="Franklin Gothic Book"/>
        </w:rPr>
        <w:t xml:space="preserve">the </w:t>
      </w:r>
      <w:r w:rsidR="00B02E91">
        <w:rPr>
          <w:rFonts w:ascii="Franklin Gothic Book" w:hAnsi="Franklin Gothic Book"/>
        </w:rPr>
        <w:t xml:space="preserve">value of health outcomes in an </w:t>
      </w:r>
      <w:r w:rsidRPr="002F43A6">
        <w:rPr>
          <w:rFonts w:ascii="Franklin Gothic Book" w:hAnsi="Franklin Gothic Book"/>
        </w:rPr>
        <w:t>economic evaluation.</w:t>
      </w:r>
    </w:p>
    <w:p w14:paraId="12343AE7" w14:textId="6E4EB854" w:rsidR="009B4104" w:rsidRPr="009B4104" w:rsidRDefault="009B4104" w:rsidP="009B4104">
      <w:pPr>
        <w:spacing w:before="240"/>
        <w:rPr>
          <w:rFonts w:ascii="Franklin Gothic Book" w:hAnsi="Franklin Gothic Book"/>
        </w:rPr>
      </w:pPr>
      <w:r w:rsidRPr="009B4104">
        <w:rPr>
          <w:rFonts w:ascii="Franklin Gothic Book" w:hAnsi="Franklin Gothic Book"/>
        </w:rPr>
        <w:t xml:space="preserve">MSAC noted the applicant proposed a volume-based fee structure, however considered that the proposed approach was impractical and understood that it could not be implemented via the MBS. In order to provide a basis to support the MBS listing in the context of all the relevant information considered, </w:t>
      </w:r>
      <w:r w:rsidRPr="00A268A4">
        <w:rPr>
          <w:rFonts w:ascii="Franklin Gothic Book" w:hAnsi="Franklin Gothic Book"/>
        </w:rPr>
        <w:t xml:space="preserve">MSAC recalled that it had previously supported a fee of $1,200 for other similar gene panel tests with similar incremental prognostic value </w:t>
      </w:r>
      <w:r w:rsidR="00B827A5" w:rsidRPr="00A268A4">
        <w:rPr>
          <w:rFonts w:ascii="Franklin Gothic Book" w:hAnsi="Franklin Gothic Book"/>
        </w:rPr>
        <w:t>and incremental costs p</w:t>
      </w:r>
      <w:r w:rsidR="00885FD3" w:rsidRPr="00A268A4">
        <w:rPr>
          <w:rFonts w:ascii="Franklin Gothic Book" w:hAnsi="Franklin Gothic Book"/>
        </w:rPr>
        <w:t>e</w:t>
      </w:r>
      <w:r w:rsidR="00B827A5" w:rsidRPr="00A268A4">
        <w:rPr>
          <w:rFonts w:ascii="Franklin Gothic Book" w:hAnsi="Franklin Gothic Book"/>
        </w:rPr>
        <w:t xml:space="preserve">r measure of diagnostic </w:t>
      </w:r>
      <w:r w:rsidR="00BD6F7E" w:rsidRPr="00A268A4">
        <w:rPr>
          <w:rFonts w:ascii="Franklin Gothic Book" w:hAnsi="Franklin Gothic Book"/>
        </w:rPr>
        <w:t>yield</w:t>
      </w:r>
      <w:r w:rsidR="00F05B8A" w:rsidRPr="00A268A4">
        <w:rPr>
          <w:rFonts w:ascii="Franklin Gothic Book" w:hAnsi="Franklin Gothic Book"/>
        </w:rPr>
        <w:t>,</w:t>
      </w:r>
      <w:r w:rsidR="00BD6F7E" w:rsidRPr="00A268A4">
        <w:rPr>
          <w:rFonts w:ascii="Franklin Gothic Book" w:hAnsi="Franklin Gothic Book"/>
        </w:rPr>
        <w:t xml:space="preserve"> estimating </w:t>
      </w:r>
      <w:r w:rsidR="00885FD3" w:rsidRPr="00A268A4">
        <w:rPr>
          <w:rFonts w:ascii="Franklin Gothic Book" w:hAnsi="Franklin Gothic Book"/>
        </w:rPr>
        <w:t xml:space="preserve">roughly </w:t>
      </w:r>
      <w:r w:rsidR="00D44784" w:rsidRPr="00A268A4">
        <w:rPr>
          <w:rFonts w:ascii="Franklin Gothic Book" w:hAnsi="Franklin Gothic Book"/>
        </w:rPr>
        <w:t xml:space="preserve">comparable cost-effectiveness </w:t>
      </w:r>
      <w:r w:rsidR="00BD6F7E" w:rsidRPr="00A268A4">
        <w:rPr>
          <w:rFonts w:ascii="Franklin Gothic Book" w:hAnsi="Franklin Gothic Book"/>
        </w:rPr>
        <w:t>on the basis that the additional genetic diagnoses have prognostic value</w:t>
      </w:r>
      <w:r w:rsidR="00D44784" w:rsidRPr="00A268A4">
        <w:rPr>
          <w:rFonts w:ascii="Franklin Gothic Book" w:hAnsi="Franklin Gothic Book"/>
        </w:rPr>
        <w:t xml:space="preserve"> overall</w:t>
      </w:r>
      <w:r w:rsidR="00BD6F7E" w:rsidRPr="00A268A4">
        <w:rPr>
          <w:rFonts w:ascii="Franklin Gothic Book" w:hAnsi="Franklin Gothic Book"/>
        </w:rPr>
        <w:t xml:space="preserve"> </w:t>
      </w:r>
      <w:r w:rsidRPr="00A268A4">
        <w:rPr>
          <w:rFonts w:ascii="Franklin Gothic Book" w:hAnsi="Franklin Gothic Book"/>
        </w:rPr>
        <w:t>(</w:t>
      </w:r>
      <w:r w:rsidRPr="00A268A4">
        <w:rPr>
          <w:rFonts w:ascii="Franklin Gothic Book" w:hAnsi="Franklin Gothic Book"/>
        </w:rPr>
        <w:fldChar w:fldCharType="begin"/>
      </w:r>
      <w:r w:rsidRPr="00A268A4">
        <w:rPr>
          <w:rFonts w:ascii="Franklin Gothic Book" w:hAnsi="Franklin Gothic Book"/>
        </w:rPr>
        <w:instrText xml:space="preserve"> REF _Ref111013638  \* MERGEFORMAT </w:instrText>
      </w:r>
      <w:r w:rsidRPr="00A268A4">
        <w:rPr>
          <w:rFonts w:ascii="Franklin Gothic Book" w:hAnsi="Franklin Gothic Book"/>
        </w:rPr>
        <w:fldChar w:fldCharType="separate"/>
      </w:r>
      <w:r w:rsidR="00943826" w:rsidRPr="00943826">
        <w:rPr>
          <w:rFonts w:ascii="Franklin Gothic Book" w:hAnsi="Franklin Gothic Book"/>
        </w:rPr>
        <w:t>Table 2</w:t>
      </w:r>
      <w:r w:rsidRPr="00A268A4">
        <w:rPr>
          <w:rFonts w:ascii="Franklin Gothic Book" w:hAnsi="Franklin Gothic Book"/>
        </w:rPr>
        <w:fldChar w:fldCharType="end"/>
      </w:r>
      <w:r w:rsidRPr="00A268A4">
        <w:rPr>
          <w:rFonts w:ascii="Franklin Gothic Book" w:hAnsi="Franklin Gothic Book"/>
        </w:rPr>
        <w:t>). MSAC therefore applied these benchmarks to advise the same fee of $1,200 be applied to its supported MBS listing for EndoPredict</w:t>
      </w:r>
      <w:r w:rsidRPr="00A268A4">
        <w:rPr>
          <w:rFonts w:ascii="Franklin Gothic Book" w:hAnsi="Franklin Gothic Book"/>
          <w:vertAlign w:val="superscript"/>
        </w:rPr>
        <w:t>®</w:t>
      </w:r>
      <w:r w:rsidRPr="00A268A4">
        <w:rPr>
          <w:rFonts w:ascii="Franklin Gothic Book" w:hAnsi="Franklin Gothic Book"/>
        </w:rPr>
        <w:t>. In doing so, MSAC considered that the differences between testing blood and testing tissue were not sufficiently material to justify a variation in its nominated fee for EndoPredict</w:t>
      </w:r>
      <w:r w:rsidRPr="00A268A4">
        <w:rPr>
          <w:rFonts w:ascii="Franklin Gothic Book" w:hAnsi="Franklin Gothic Book"/>
          <w:vertAlign w:val="superscript"/>
        </w:rPr>
        <w:t>®</w:t>
      </w:r>
      <w:r w:rsidRPr="00A268A4">
        <w:rPr>
          <w:rFonts w:ascii="Franklin Gothic Book" w:hAnsi="Franklin Gothic Book"/>
        </w:rPr>
        <w:t xml:space="preserve">. MSAC also considered that although there is variation in the </w:t>
      </w:r>
      <w:r w:rsidR="00885FD3" w:rsidRPr="00A268A4">
        <w:rPr>
          <w:rFonts w:ascii="Franklin Gothic Book" w:hAnsi="Franklin Gothic Book"/>
        </w:rPr>
        <w:t xml:space="preserve">previously </w:t>
      </w:r>
      <w:r w:rsidRPr="00A268A4">
        <w:rPr>
          <w:rFonts w:ascii="Franklin Gothic Book" w:hAnsi="Franklin Gothic Book"/>
        </w:rPr>
        <w:t xml:space="preserve">supported </w:t>
      </w:r>
      <w:r w:rsidR="00885FD3" w:rsidRPr="00A268A4">
        <w:rPr>
          <w:rFonts w:ascii="Franklin Gothic Book" w:hAnsi="Franklin Gothic Book"/>
        </w:rPr>
        <w:t xml:space="preserve">incremental </w:t>
      </w:r>
      <w:r w:rsidRPr="00A268A4">
        <w:rPr>
          <w:rFonts w:ascii="Franklin Gothic Book" w:hAnsi="Franklin Gothic Book"/>
        </w:rPr>
        <w:t>cost</w:t>
      </w:r>
      <w:r w:rsidR="00885FD3" w:rsidRPr="00A268A4">
        <w:rPr>
          <w:rFonts w:ascii="Franklin Gothic Book" w:hAnsi="Franklin Gothic Book"/>
        </w:rPr>
        <w:t>s</w:t>
      </w:r>
      <w:r w:rsidRPr="00A268A4">
        <w:rPr>
          <w:rFonts w:ascii="Franklin Gothic Book" w:hAnsi="Franklin Gothic Book"/>
        </w:rPr>
        <w:t xml:space="preserve"> per measure of diagnostic yield, these were also not sufficiently material to justify a variation in its nominated fee for EndoPredict</w:t>
      </w:r>
      <w:r w:rsidRPr="00A268A4">
        <w:rPr>
          <w:rFonts w:ascii="Franklin Gothic Book" w:hAnsi="Franklin Gothic Book"/>
          <w:vertAlign w:val="superscript"/>
        </w:rPr>
        <w:t>®</w:t>
      </w:r>
      <w:r w:rsidR="00885FD3" w:rsidRPr="00A268A4">
        <w:rPr>
          <w:rFonts w:ascii="Franklin Gothic Book" w:hAnsi="Franklin Gothic Book"/>
        </w:rPr>
        <w:t>. O</w:t>
      </w:r>
      <w:r w:rsidRPr="00A268A4">
        <w:rPr>
          <w:rFonts w:ascii="Franklin Gothic Book" w:hAnsi="Franklin Gothic Book"/>
        </w:rPr>
        <w:t>verall, MSAC advised that a key rationale for its support for the nominated fee reflects its qualitative judgement that the incremental prognostic value of EndoPredict</w:t>
      </w:r>
      <w:r w:rsidRPr="00A268A4">
        <w:rPr>
          <w:rFonts w:ascii="Franklin Gothic Book" w:hAnsi="Franklin Gothic Book"/>
          <w:vertAlign w:val="superscript"/>
        </w:rPr>
        <w:t>®</w:t>
      </w:r>
      <w:r w:rsidRPr="00A268A4">
        <w:rPr>
          <w:rFonts w:ascii="Franklin Gothic Book" w:hAnsi="Franklin Gothic Book"/>
        </w:rPr>
        <w:t xml:space="preserve"> is sufficiently similar to previously supported incremental prognostic value in Table 2 to support a similar fee. MSAC further noted the estimated net financial implications to the MBS of listing EndoPredict</w:t>
      </w:r>
      <w:r w:rsidRPr="00A268A4">
        <w:rPr>
          <w:rFonts w:ascii="Franklin Gothic Book" w:hAnsi="Franklin Gothic Book"/>
          <w:vertAlign w:val="superscript"/>
        </w:rPr>
        <w:t>®</w:t>
      </w:r>
      <w:r w:rsidRPr="00A268A4">
        <w:rPr>
          <w:rFonts w:ascii="Franklin Gothic Book" w:hAnsi="Franklin Gothic Book"/>
        </w:rPr>
        <w:t xml:space="preserve"> at a flat fee of $1,200 and an 85% benefit would be $3.5 million in the first year, which MSAC also considered to be broadly consistent with the annual net financial implications of these previously supported</w:t>
      </w:r>
      <w:r w:rsidRPr="009B4104">
        <w:rPr>
          <w:rFonts w:ascii="Franklin Gothic Book" w:hAnsi="Franklin Gothic Book"/>
        </w:rPr>
        <w:t xml:space="preserve"> </w:t>
      </w:r>
      <w:r w:rsidRPr="00A268A4">
        <w:rPr>
          <w:rFonts w:ascii="Franklin Gothic Book" w:hAnsi="Franklin Gothic Book"/>
        </w:rPr>
        <w:lastRenderedPageBreak/>
        <w:t>genomic tests (</w:t>
      </w:r>
      <w:r w:rsidRPr="00A268A4">
        <w:rPr>
          <w:rFonts w:ascii="Franklin Gothic Book" w:hAnsi="Franklin Gothic Book"/>
        </w:rPr>
        <w:fldChar w:fldCharType="begin"/>
      </w:r>
      <w:r w:rsidRPr="00A268A4">
        <w:rPr>
          <w:rFonts w:ascii="Franklin Gothic Book" w:hAnsi="Franklin Gothic Book"/>
        </w:rPr>
        <w:instrText xml:space="preserve"> REF _Ref111013638  \* MERGEFORMAT </w:instrText>
      </w:r>
      <w:r w:rsidRPr="00A268A4">
        <w:rPr>
          <w:rFonts w:ascii="Franklin Gothic Book" w:hAnsi="Franklin Gothic Book"/>
        </w:rPr>
        <w:fldChar w:fldCharType="separate"/>
      </w:r>
      <w:r w:rsidR="00943826" w:rsidRPr="00943826">
        <w:rPr>
          <w:rFonts w:ascii="Franklin Gothic Book" w:hAnsi="Franklin Gothic Book"/>
        </w:rPr>
        <w:t>Table 2</w:t>
      </w:r>
      <w:r w:rsidRPr="00A268A4">
        <w:rPr>
          <w:rFonts w:ascii="Franklin Gothic Book" w:hAnsi="Franklin Gothic Book"/>
        </w:rPr>
        <w:fldChar w:fldCharType="end"/>
      </w:r>
      <w:r w:rsidRPr="00A268A4">
        <w:rPr>
          <w:rFonts w:ascii="Franklin Gothic Book" w:hAnsi="Franklin Gothic Book"/>
        </w:rPr>
        <w:t>). For all these reasons, MSAC rejected the volume-based fee structure and advised the appropriate fee is a flat fee of $1,200.</w:t>
      </w:r>
    </w:p>
    <w:p w14:paraId="78C45C88" w14:textId="256265F1" w:rsidR="009B4104" w:rsidRPr="009B4104" w:rsidRDefault="009B4104" w:rsidP="009B4104">
      <w:pPr>
        <w:keepNext/>
        <w:spacing w:before="240"/>
        <w:ind w:left="993" w:hanging="993"/>
      </w:pPr>
      <w:bookmarkStart w:id="7" w:name="_Ref111013638"/>
      <w:r w:rsidRPr="009B4104">
        <w:rPr>
          <w:rFonts w:ascii="Arial Narrow" w:hAnsi="Arial Narrow"/>
          <w:b/>
          <w:bCs/>
        </w:rPr>
        <w:t xml:space="preserve">Table </w:t>
      </w:r>
      <w:r w:rsidRPr="009B4104">
        <w:rPr>
          <w:rFonts w:ascii="Arial Narrow" w:hAnsi="Arial Narrow"/>
          <w:b/>
          <w:bCs/>
        </w:rPr>
        <w:fldChar w:fldCharType="begin"/>
      </w:r>
      <w:r w:rsidRPr="009B4104">
        <w:rPr>
          <w:rFonts w:ascii="Arial Narrow" w:hAnsi="Arial Narrow"/>
          <w:b/>
          <w:bCs/>
        </w:rPr>
        <w:instrText xml:space="preserve"> SEQ Table \* ARABIC </w:instrText>
      </w:r>
      <w:r w:rsidRPr="009B4104">
        <w:rPr>
          <w:rFonts w:ascii="Arial Narrow" w:hAnsi="Arial Narrow"/>
          <w:b/>
          <w:bCs/>
        </w:rPr>
        <w:fldChar w:fldCharType="separate"/>
      </w:r>
      <w:r w:rsidR="00943826">
        <w:rPr>
          <w:rFonts w:ascii="Arial Narrow" w:hAnsi="Arial Narrow"/>
          <w:b/>
          <w:bCs/>
          <w:noProof/>
        </w:rPr>
        <w:t>2</w:t>
      </w:r>
      <w:r w:rsidRPr="009B4104">
        <w:rPr>
          <w:rFonts w:ascii="Arial Narrow" w:hAnsi="Arial Narrow"/>
          <w:b/>
          <w:bCs/>
        </w:rPr>
        <w:fldChar w:fldCharType="end"/>
      </w:r>
      <w:bookmarkEnd w:id="7"/>
      <w:r w:rsidRPr="009B4104">
        <w:rPr>
          <w:rFonts w:ascii="Arial Narrow" w:hAnsi="Arial Narrow"/>
          <w:b/>
          <w:bCs/>
        </w:rPr>
        <w:tab/>
        <w:t>Recent MSAC-supported gene panel tests: cost per measure of diagnostic yield, fee for gene panel test, and financial cost of testing</w:t>
      </w:r>
    </w:p>
    <w:tbl>
      <w:tblPr>
        <w:tblStyle w:val="MSACdefault"/>
        <w:tblW w:w="0" w:type="auto"/>
        <w:tblLook w:val="04A0" w:firstRow="1" w:lastRow="0" w:firstColumn="1" w:lastColumn="0" w:noHBand="0" w:noVBand="1"/>
        <w:tblCaption w:val=""/>
        <w:tblDescription w:val=""/>
      </w:tblPr>
      <w:tblGrid>
        <w:gridCol w:w="1554"/>
        <w:gridCol w:w="2260"/>
        <w:gridCol w:w="1434"/>
        <w:gridCol w:w="727"/>
        <w:gridCol w:w="1817"/>
        <w:gridCol w:w="1224"/>
      </w:tblGrid>
      <w:tr w:rsidR="009B4104" w:rsidRPr="009B4104" w14:paraId="537E7D0C" w14:textId="77777777" w:rsidTr="001B6B52">
        <w:trPr>
          <w:cnfStyle w:val="100000000000" w:firstRow="1" w:lastRow="0" w:firstColumn="0" w:lastColumn="0" w:oddVBand="0" w:evenVBand="0" w:oddHBand="0" w:evenHBand="0" w:firstRowFirstColumn="0" w:firstRowLastColumn="0" w:lastRowFirstColumn="0" w:lastRowLastColumn="0"/>
        </w:trPr>
        <w:tc>
          <w:tcPr>
            <w:tcW w:w="1554" w:type="dxa"/>
            <w:hideMark/>
          </w:tcPr>
          <w:p w14:paraId="201EB936" w14:textId="77777777" w:rsidR="009B4104" w:rsidRPr="009B4104" w:rsidRDefault="009B4104" w:rsidP="00740D1F">
            <w:pPr>
              <w:keepNext/>
              <w:spacing w:before="40" w:after="40"/>
            </w:pPr>
            <w:r w:rsidRPr="009B4104">
              <w:rPr>
                <w:b/>
                <w:bCs/>
              </w:rPr>
              <w:t>MSAC application number: disease</w:t>
            </w:r>
          </w:p>
        </w:tc>
        <w:tc>
          <w:tcPr>
            <w:tcW w:w="2260" w:type="dxa"/>
            <w:hideMark/>
          </w:tcPr>
          <w:p w14:paraId="55B41692" w14:textId="06EEC4F2" w:rsidR="009B4104" w:rsidRPr="009B4104" w:rsidRDefault="009B4104" w:rsidP="00740D1F">
            <w:pPr>
              <w:keepNext/>
              <w:spacing w:before="40" w:after="40"/>
            </w:pPr>
            <w:r w:rsidRPr="009B4104">
              <w:rPr>
                <w:b/>
                <w:bCs/>
              </w:rPr>
              <w:t>Diagnostic yield (measure)</w:t>
            </w:r>
            <w:r w:rsidR="004E3FC4">
              <w:rPr>
                <w:b/>
                <w:bCs/>
              </w:rPr>
              <w:t xml:space="preserve"> – population</w:t>
            </w:r>
          </w:p>
        </w:tc>
        <w:tc>
          <w:tcPr>
            <w:tcW w:w="1434" w:type="dxa"/>
            <w:hideMark/>
          </w:tcPr>
          <w:p w14:paraId="78D2C397" w14:textId="77777777" w:rsidR="009B4104" w:rsidRPr="009B4104" w:rsidRDefault="009B4104" w:rsidP="00740D1F">
            <w:pPr>
              <w:keepNext/>
              <w:spacing w:before="40" w:after="40"/>
              <w:ind w:left="-104" w:right="-85"/>
              <w:jc w:val="center"/>
            </w:pPr>
            <w:r w:rsidRPr="009B4104">
              <w:rPr>
                <w:b/>
                <w:bCs/>
              </w:rPr>
              <w:t>Cost per measure of diagnostic yield</w:t>
            </w:r>
          </w:p>
        </w:tc>
        <w:tc>
          <w:tcPr>
            <w:tcW w:w="727" w:type="dxa"/>
            <w:hideMark/>
          </w:tcPr>
          <w:p w14:paraId="48A66EEB" w14:textId="77777777" w:rsidR="009B4104" w:rsidRPr="009B4104" w:rsidRDefault="009B4104" w:rsidP="00740D1F">
            <w:pPr>
              <w:keepNext/>
              <w:spacing w:before="40" w:after="40"/>
              <w:jc w:val="center"/>
            </w:pPr>
            <w:r w:rsidRPr="009B4104">
              <w:rPr>
                <w:b/>
                <w:bCs/>
              </w:rPr>
              <w:t>MSAC advice</w:t>
            </w:r>
          </w:p>
        </w:tc>
        <w:tc>
          <w:tcPr>
            <w:tcW w:w="1817" w:type="dxa"/>
            <w:hideMark/>
          </w:tcPr>
          <w:p w14:paraId="33F9F8FA" w14:textId="77777777" w:rsidR="009B4104" w:rsidRPr="009B4104" w:rsidRDefault="009B4104" w:rsidP="00740D1F">
            <w:pPr>
              <w:keepNext/>
              <w:spacing w:before="40" w:after="40"/>
              <w:jc w:val="center"/>
              <w:rPr>
                <w:b/>
                <w:bCs/>
              </w:rPr>
            </w:pPr>
            <w:r w:rsidRPr="009B4104">
              <w:rPr>
                <w:b/>
                <w:bCs/>
              </w:rPr>
              <w:t>MSAC supported fee for gene panel test</w:t>
            </w:r>
          </w:p>
        </w:tc>
        <w:tc>
          <w:tcPr>
            <w:tcW w:w="1224" w:type="dxa"/>
            <w:hideMark/>
          </w:tcPr>
          <w:p w14:paraId="17D14CDD" w14:textId="77777777" w:rsidR="009B4104" w:rsidRPr="009B4104" w:rsidRDefault="009B4104" w:rsidP="00740D1F">
            <w:pPr>
              <w:keepNext/>
              <w:spacing w:before="40" w:after="40"/>
              <w:jc w:val="center"/>
              <w:rPr>
                <w:b/>
                <w:bCs/>
              </w:rPr>
            </w:pPr>
            <w:r w:rsidRPr="009B4104">
              <w:rPr>
                <w:b/>
                <w:bCs/>
              </w:rPr>
              <w:t>Annual net financial cost</w:t>
            </w:r>
          </w:p>
        </w:tc>
      </w:tr>
      <w:tr w:rsidR="009B4104" w:rsidRPr="009B4104" w14:paraId="1272919C" w14:textId="77777777" w:rsidTr="001B6B52">
        <w:tc>
          <w:tcPr>
            <w:tcW w:w="1554" w:type="dxa"/>
            <w:hideMark/>
          </w:tcPr>
          <w:p w14:paraId="36900921" w14:textId="77777777" w:rsidR="009B4104" w:rsidRPr="009B4104" w:rsidRDefault="009B4104" w:rsidP="00740D1F">
            <w:pPr>
              <w:keepNext/>
            </w:pPr>
            <w:r w:rsidRPr="009B4104">
              <w:t>1585: Neuromuscular disorders</w:t>
            </w:r>
          </w:p>
        </w:tc>
        <w:tc>
          <w:tcPr>
            <w:tcW w:w="2260" w:type="dxa"/>
            <w:hideMark/>
          </w:tcPr>
          <w:p w14:paraId="4EBB13AD" w14:textId="77777777" w:rsidR="009B4104" w:rsidRPr="009B4104" w:rsidRDefault="009B4104" w:rsidP="00740D1F">
            <w:pPr>
              <w:keepNext/>
            </w:pPr>
            <w:r w:rsidRPr="009B4104">
              <w:t>20% (proband detected)</w:t>
            </w:r>
          </w:p>
        </w:tc>
        <w:tc>
          <w:tcPr>
            <w:tcW w:w="1434" w:type="dxa"/>
            <w:hideMark/>
          </w:tcPr>
          <w:p w14:paraId="79EEA1C5" w14:textId="77777777" w:rsidR="009B4104" w:rsidRPr="009B4104" w:rsidRDefault="009B4104" w:rsidP="00740D1F">
            <w:pPr>
              <w:keepNext/>
              <w:jc w:val="right"/>
            </w:pPr>
            <w:r w:rsidRPr="009B4104">
              <w:t>$1,444</w:t>
            </w:r>
          </w:p>
        </w:tc>
        <w:tc>
          <w:tcPr>
            <w:tcW w:w="727" w:type="dxa"/>
            <w:hideMark/>
          </w:tcPr>
          <w:p w14:paraId="52C0FF2C" w14:textId="77777777" w:rsidR="009B4104" w:rsidRPr="009B4104" w:rsidRDefault="009B4104" w:rsidP="00740D1F">
            <w:pPr>
              <w:keepNext/>
              <w:jc w:val="center"/>
              <w:rPr>
                <w:rFonts w:ascii="Wingdings" w:hAnsi="Wingdings"/>
                <w:color w:val="00B050"/>
              </w:rPr>
            </w:pPr>
            <w:r w:rsidRPr="009B4104">
              <w:rPr>
                <w:rFonts w:ascii="Wingdings" w:hAnsi="Wingdings"/>
                <w:color w:val="00B050"/>
              </w:rPr>
              <w:t>ü</w:t>
            </w:r>
          </w:p>
        </w:tc>
        <w:tc>
          <w:tcPr>
            <w:tcW w:w="1817" w:type="dxa"/>
            <w:hideMark/>
          </w:tcPr>
          <w:p w14:paraId="510A1785" w14:textId="77777777" w:rsidR="009B4104" w:rsidRPr="009B4104" w:rsidRDefault="009B4104" w:rsidP="00740D1F">
            <w:pPr>
              <w:keepNext/>
              <w:spacing w:before="40" w:after="40"/>
            </w:pPr>
            <w:r w:rsidRPr="009B4104">
              <w:t>$1200 gene panel (318 or 375 genes, NGS methods)</w:t>
            </w:r>
          </w:p>
        </w:tc>
        <w:tc>
          <w:tcPr>
            <w:tcW w:w="1224" w:type="dxa"/>
            <w:hideMark/>
          </w:tcPr>
          <w:p w14:paraId="0B352FAC" w14:textId="77777777" w:rsidR="009B4104" w:rsidRPr="009B4104" w:rsidRDefault="009B4104" w:rsidP="00740D1F">
            <w:pPr>
              <w:keepNext/>
              <w:spacing w:before="40" w:after="40"/>
              <w:jc w:val="right"/>
            </w:pPr>
            <w:r w:rsidRPr="009B4104">
              <w:t>$2,290,317</w:t>
            </w:r>
            <w:r w:rsidRPr="009B4104">
              <w:br/>
              <w:t>(first year)</w:t>
            </w:r>
          </w:p>
        </w:tc>
      </w:tr>
      <w:tr w:rsidR="009B4104" w:rsidRPr="009B4104" w14:paraId="45A188D1" w14:textId="77777777" w:rsidTr="001B6B52">
        <w:tc>
          <w:tcPr>
            <w:tcW w:w="1554" w:type="dxa"/>
            <w:hideMark/>
          </w:tcPr>
          <w:p w14:paraId="5048C305" w14:textId="77777777" w:rsidR="009B4104" w:rsidRPr="009B4104" w:rsidRDefault="009B4104" w:rsidP="00740D1F">
            <w:pPr>
              <w:keepNext/>
              <w:spacing w:before="40" w:after="40"/>
            </w:pPr>
            <w:r w:rsidRPr="009B4104">
              <w:t>1599: Cardiomyopathies</w:t>
            </w:r>
          </w:p>
        </w:tc>
        <w:tc>
          <w:tcPr>
            <w:tcW w:w="2260" w:type="dxa"/>
            <w:hideMark/>
          </w:tcPr>
          <w:p w14:paraId="126E7D3F" w14:textId="77777777" w:rsidR="009B4104" w:rsidRPr="009B4104" w:rsidRDefault="009B4104" w:rsidP="00740D1F">
            <w:pPr>
              <w:keepNext/>
              <w:spacing w:before="40" w:after="40"/>
            </w:pPr>
            <w:r w:rsidRPr="009B4104">
              <w:t>67% (P/LP variant identified) – AIs + FDRs</w:t>
            </w:r>
          </w:p>
        </w:tc>
        <w:tc>
          <w:tcPr>
            <w:tcW w:w="1434" w:type="dxa"/>
            <w:hideMark/>
          </w:tcPr>
          <w:p w14:paraId="33C798FA" w14:textId="77777777" w:rsidR="009B4104" w:rsidRPr="009B4104" w:rsidRDefault="009B4104" w:rsidP="00740D1F">
            <w:pPr>
              <w:keepNext/>
              <w:spacing w:before="40" w:after="40"/>
              <w:jc w:val="right"/>
            </w:pPr>
            <w:r w:rsidRPr="009B4104">
              <w:t>$2,446</w:t>
            </w:r>
          </w:p>
        </w:tc>
        <w:tc>
          <w:tcPr>
            <w:tcW w:w="727" w:type="dxa"/>
            <w:hideMark/>
          </w:tcPr>
          <w:p w14:paraId="0B44866A" w14:textId="77777777" w:rsidR="009B4104" w:rsidRPr="009B4104" w:rsidRDefault="009B4104" w:rsidP="00740D1F">
            <w:pPr>
              <w:keepNext/>
              <w:spacing w:before="40" w:after="40"/>
              <w:jc w:val="center"/>
              <w:rPr>
                <w:rFonts w:ascii="Wingdings" w:hAnsi="Wingdings"/>
                <w:color w:val="00B050"/>
              </w:rPr>
            </w:pPr>
            <w:r w:rsidRPr="009B4104">
              <w:rPr>
                <w:rFonts w:ascii="Wingdings" w:hAnsi="Wingdings"/>
                <w:color w:val="00B050"/>
              </w:rPr>
              <w:t>ü</w:t>
            </w:r>
          </w:p>
        </w:tc>
        <w:tc>
          <w:tcPr>
            <w:tcW w:w="1817" w:type="dxa"/>
            <w:hideMark/>
          </w:tcPr>
          <w:p w14:paraId="5EE550F2" w14:textId="77777777" w:rsidR="009B4104" w:rsidRPr="009B4104" w:rsidRDefault="009B4104" w:rsidP="00740D1F">
            <w:pPr>
              <w:keepNext/>
              <w:spacing w:before="40" w:after="40"/>
            </w:pPr>
            <w:r w:rsidRPr="009B4104">
              <w:t>$1200 gene panel (≥24 genes, virtual panel using NGS methods)</w:t>
            </w:r>
          </w:p>
        </w:tc>
        <w:tc>
          <w:tcPr>
            <w:tcW w:w="1224" w:type="dxa"/>
            <w:hideMark/>
          </w:tcPr>
          <w:p w14:paraId="1E5F35D9" w14:textId="77777777" w:rsidR="009B4104" w:rsidRPr="009B4104" w:rsidRDefault="009B4104" w:rsidP="00740D1F">
            <w:pPr>
              <w:keepNext/>
              <w:spacing w:before="40" w:after="40"/>
              <w:jc w:val="right"/>
            </w:pPr>
            <w:r w:rsidRPr="009B4104">
              <w:t>$1,292,654</w:t>
            </w:r>
            <w:r w:rsidRPr="009B4104">
              <w:br/>
              <w:t>(average of years 1-5)</w:t>
            </w:r>
          </w:p>
        </w:tc>
      </w:tr>
      <w:tr w:rsidR="009B4104" w:rsidRPr="009B4104" w14:paraId="6817A53F" w14:textId="77777777" w:rsidTr="001B6B52">
        <w:tc>
          <w:tcPr>
            <w:tcW w:w="1554" w:type="dxa"/>
            <w:vMerge w:val="restart"/>
            <w:hideMark/>
          </w:tcPr>
          <w:p w14:paraId="610AA299" w14:textId="77777777" w:rsidR="009B4104" w:rsidRPr="009B4104" w:rsidRDefault="009B4104" w:rsidP="00740D1F">
            <w:pPr>
              <w:keepNext/>
              <w:spacing w:before="40" w:after="40"/>
            </w:pPr>
            <w:r w:rsidRPr="009B4104">
              <w:t>1598: Cardiac arrhythmias</w:t>
            </w:r>
          </w:p>
        </w:tc>
        <w:tc>
          <w:tcPr>
            <w:tcW w:w="2260" w:type="dxa"/>
            <w:hideMark/>
          </w:tcPr>
          <w:p w14:paraId="700CBE44" w14:textId="77777777" w:rsidR="009B4104" w:rsidRPr="009B4104" w:rsidRDefault="009B4104" w:rsidP="00740D1F">
            <w:pPr>
              <w:keepNext/>
              <w:spacing w:before="40" w:after="40"/>
            </w:pPr>
            <w:r w:rsidRPr="009B4104">
              <w:t>26% (positive genotyping)</w:t>
            </w:r>
            <w:r w:rsidRPr="009B4104">
              <w:br/>
              <w:t>– AIs only</w:t>
            </w:r>
          </w:p>
        </w:tc>
        <w:tc>
          <w:tcPr>
            <w:tcW w:w="1434" w:type="dxa"/>
            <w:hideMark/>
          </w:tcPr>
          <w:p w14:paraId="33EC2C1E" w14:textId="77777777" w:rsidR="009B4104" w:rsidRPr="009B4104" w:rsidRDefault="009B4104" w:rsidP="00740D1F">
            <w:pPr>
              <w:keepNext/>
              <w:spacing w:before="40" w:after="40"/>
              <w:jc w:val="right"/>
            </w:pPr>
            <w:r w:rsidRPr="009B4104">
              <w:t>$4,721</w:t>
            </w:r>
          </w:p>
        </w:tc>
        <w:tc>
          <w:tcPr>
            <w:tcW w:w="727" w:type="dxa"/>
            <w:vMerge w:val="restart"/>
            <w:hideMark/>
          </w:tcPr>
          <w:p w14:paraId="066546A8" w14:textId="77777777" w:rsidR="009B4104" w:rsidRPr="009B4104" w:rsidRDefault="009B4104" w:rsidP="00740D1F">
            <w:pPr>
              <w:keepNext/>
              <w:spacing w:before="40" w:after="40"/>
              <w:jc w:val="center"/>
              <w:rPr>
                <w:rFonts w:ascii="Wingdings" w:hAnsi="Wingdings"/>
                <w:color w:val="00B050"/>
              </w:rPr>
            </w:pPr>
            <w:r w:rsidRPr="009B4104">
              <w:rPr>
                <w:rFonts w:ascii="Wingdings" w:hAnsi="Wingdings"/>
                <w:color w:val="00B050"/>
              </w:rPr>
              <w:t>ü</w:t>
            </w:r>
          </w:p>
        </w:tc>
        <w:tc>
          <w:tcPr>
            <w:tcW w:w="1817" w:type="dxa"/>
            <w:vMerge w:val="restart"/>
            <w:hideMark/>
          </w:tcPr>
          <w:p w14:paraId="765440A4" w14:textId="77777777" w:rsidR="009B4104" w:rsidRPr="009B4104" w:rsidRDefault="009B4104" w:rsidP="00740D1F">
            <w:pPr>
              <w:keepNext/>
              <w:spacing w:before="40" w:after="40"/>
            </w:pPr>
            <w:r w:rsidRPr="009B4104">
              <w:t>$1200 gene panel (≥20 genes, virtual panel using NGS methods)</w:t>
            </w:r>
          </w:p>
        </w:tc>
        <w:tc>
          <w:tcPr>
            <w:tcW w:w="1224" w:type="dxa"/>
            <w:vMerge w:val="restart"/>
            <w:hideMark/>
          </w:tcPr>
          <w:p w14:paraId="1940DAD4" w14:textId="77777777" w:rsidR="009B4104" w:rsidRPr="009B4104" w:rsidRDefault="009B4104" w:rsidP="00740D1F">
            <w:pPr>
              <w:keepNext/>
              <w:spacing w:before="40" w:after="40"/>
              <w:jc w:val="right"/>
            </w:pPr>
            <w:r w:rsidRPr="009B4104">
              <w:t>$1,173,845</w:t>
            </w:r>
            <w:r w:rsidRPr="009B4104">
              <w:br/>
              <w:t>(average of years 1-5)</w:t>
            </w:r>
          </w:p>
        </w:tc>
      </w:tr>
      <w:tr w:rsidR="009B4104" w:rsidRPr="009B4104" w14:paraId="1ED59A7F" w14:textId="77777777" w:rsidTr="001B6B52">
        <w:tc>
          <w:tcPr>
            <w:tcW w:w="1554" w:type="dxa"/>
            <w:vMerge/>
            <w:hideMark/>
          </w:tcPr>
          <w:p w14:paraId="6E2B3E7F" w14:textId="77777777" w:rsidR="009B4104" w:rsidRPr="009B4104" w:rsidRDefault="009B4104" w:rsidP="00740D1F">
            <w:pPr>
              <w:keepNext/>
              <w:rPr>
                <w:rFonts w:cs="Calibri"/>
              </w:rPr>
            </w:pPr>
          </w:p>
        </w:tc>
        <w:tc>
          <w:tcPr>
            <w:tcW w:w="2260" w:type="dxa"/>
            <w:hideMark/>
          </w:tcPr>
          <w:p w14:paraId="0C097B76" w14:textId="77777777" w:rsidR="009B4104" w:rsidRPr="009B4104" w:rsidRDefault="009B4104" w:rsidP="00740D1F">
            <w:pPr>
              <w:keepNext/>
              <w:spacing w:before="40" w:after="40"/>
            </w:pPr>
            <w:r w:rsidRPr="009B4104">
              <w:t>26% AI, 50% FDR (positive genotyping) – AIs + FDRs</w:t>
            </w:r>
          </w:p>
        </w:tc>
        <w:tc>
          <w:tcPr>
            <w:tcW w:w="1434" w:type="dxa"/>
            <w:hideMark/>
          </w:tcPr>
          <w:p w14:paraId="62D211F1" w14:textId="77777777" w:rsidR="009B4104" w:rsidRPr="009B4104" w:rsidRDefault="009B4104" w:rsidP="00740D1F">
            <w:pPr>
              <w:keepNext/>
              <w:spacing w:before="40" w:after="40"/>
              <w:jc w:val="right"/>
            </w:pPr>
            <w:r w:rsidRPr="009B4104">
              <w:t>Dominant</w:t>
            </w:r>
          </w:p>
        </w:tc>
        <w:tc>
          <w:tcPr>
            <w:tcW w:w="0" w:type="auto"/>
            <w:vMerge/>
            <w:hideMark/>
          </w:tcPr>
          <w:p w14:paraId="30072D9B" w14:textId="77777777" w:rsidR="009B4104" w:rsidRPr="009B4104" w:rsidRDefault="009B4104" w:rsidP="00740D1F">
            <w:pPr>
              <w:keepNext/>
              <w:rPr>
                <w:rFonts w:ascii="Wingdings" w:hAnsi="Wingdings" w:cs="Calibri"/>
                <w:color w:val="00B050"/>
              </w:rPr>
            </w:pPr>
          </w:p>
        </w:tc>
        <w:tc>
          <w:tcPr>
            <w:tcW w:w="1817" w:type="dxa"/>
            <w:vMerge/>
            <w:hideMark/>
          </w:tcPr>
          <w:p w14:paraId="1E6D7218" w14:textId="77777777" w:rsidR="009B4104" w:rsidRPr="009B4104" w:rsidRDefault="009B4104" w:rsidP="00740D1F">
            <w:pPr>
              <w:keepNext/>
              <w:rPr>
                <w:rFonts w:cs="Calibri"/>
              </w:rPr>
            </w:pPr>
          </w:p>
        </w:tc>
        <w:tc>
          <w:tcPr>
            <w:tcW w:w="1224" w:type="dxa"/>
            <w:vMerge/>
            <w:hideMark/>
          </w:tcPr>
          <w:p w14:paraId="67BED3F0" w14:textId="77777777" w:rsidR="009B4104" w:rsidRPr="009B4104" w:rsidRDefault="009B4104" w:rsidP="00740D1F">
            <w:pPr>
              <w:keepNext/>
              <w:rPr>
                <w:rFonts w:cs="Calibri"/>
              </w:rPr>
            </w:pPr>
          </w:p>
        </w:tc>
      </w:tr>
    </w:tbl>
    <w:p w14:paraId="0394BABB" w14:textId="77777777" w:rsidR="009B4104" w:rsidRPr="009B4104" w:rsidRDefault="009B4104" w:rsidP="009B4104">
      <w:pPr>
        <w:pStyle w:val="TableFigureFooter"/>
        <w:keepNext/>
        <w:spacing w:before="0" w:after="0"/>
      </w:pPr>
      <w:r w:rsidRPr="009B4104">
        <w:t>Annual net financial cost of application describes the net cost (i.e. taking into account both costs and cost-offsets) to the MBS, of the application as a whole (i.e. including all proposed items). For 1598 this also includes the cost of testing second-degree relatives, in line with MSAC advice.</w:t>
      </w:r>
    </w:p>
    <w:p w14:paraId="7BCC3B12" w14:textId="63BBAB7F" w:rsidR="009B4104" w:rsidRPr="009B4104" w:rsidRDefault="009B4104" w:rsidP="009B4104">
      <w:pPr>
        <w:pStyle w:val="TableFigureFooter"/>
        <w:keepNext/>
        <w:spacing w:before="0" w:after="0"/>
      </w:pPr>
      <w:r w:rsidRPr="009B4104">
        <w:t>AI = affected individual (i.e. an individual eligible for genetic testing based on symptoms/signs); FDRs = first-degree relatives; NGS = next generation sequencing; P/LP = pathogenic or likely pathogenic.</w:t>
      </w:r>
    </w:p>
    <w:p w14:paraId="65032902" w14:textId="77777777" w:rsidR="009B4104" w:rsidRPr="009B4104" w:rsidRDefault="009B4104" w:rsidP="009B4104">
      <w:pPr>
        <w:pStyle w:val="TableFigureFooter"/>
        <w:spacing w:before="0" w:after="0"/>
      </w:pPr>
      <w:r w:rsidRPr="009B4104">
        <w:t>Source: MSAC</w:t>
      </w:r>
    </w:p>
    <w:p w14:paraId="45491B27" w14:textId="111DF162" w:rsidR="009B4104" w:rsidRPr="009B4104" w:rsidRDefault="009B4104" w:rsidP="009B4104">
      <w:pPr>
        <w:spacing w:before="240"/>
        <w:rPr>
          <w:rFonts w:ascii="Franklin Gothic Book" w:hAnsi="Franklin Gothic Book"/>
        </w:rPr>
      </w:pPr>
      <w:r w:rsidRPr="009B4104">
        <w:rPr>
          <w:rFonts w:ascii="Franklin Gothic Book" w:hAnsi="Franklin Gothic Book"/>
        </w:rPr>
        <w:t xml:space="preserve">MSAC noted that, as is required for the MBS, the fee </w:t>
      </w:r>
      <w:r w:rsidR="001A1309">
        <w:rPr>
          <w:rFonts w:ascii="Franklin Gothic Book" w:hAnsi="Franklin Gothic Book"/>
        </w:rPr>
        <w:t xml:space="preserve">is for the provision of </w:t>
      </w:r>
      <w:r w:rsidR="00151DCF">
        <w:rPr>
          <w:rFonts w:ascii="Franklin Gothic Book" w:hAnsi="Franklin Gothic Book"/>
        </w:rPr>
        <w:t xml:space="preserve">the entire </w:t>
      </w:r>
      <w:r w:rsidR="001A1309">
        <w:rPr>
          <w:rFonts w:ascii="Franklin Gothic Book" w:hAnsi="Franklin Gothic Book"/>
        </w:rPr>
        <w:t>service accounting for</w:t>
      </w:r>
      <w:r w:rsidRPr="009B4104">
        <w:rPr>
          <w:rFonts w:ascii="Franklin Gothic Book" w:hAnsi="Franklin Gothic Book"/>
        </w:rPr>
        <w:t xml:space="preserve"> the cost of all components of the service that are required to report the result to the requester of the service: in this case </w:t>
      </w:r>
      <w:r w:rsidR="00894305">
        <w:rPr>
          <w:rFonts w:ascii="Franklin Gothic Book" w:hAnsi="Franklin Gothic Book"/>
        </w:rPr>
        <w:t xml:space="preserve">the professional </w:t>
      </w:r>
      <w:r w:rsidR="00C876AC">
        <w:rPr>
          <w:rFonts w:ascii="Franklin Gothic Book" w:hAnsi="Franklin Gothic Book"/>
        </w:rPr>
        <w:t xml:space="preserve">service encompasses </w:t>
      </w:r>
      <w:r w:rsidRPr="009B4104">
        <w:rPr>
          <w:rFonts w:ascii="Franklin Gothic Book" w:hAnsi="Franklin Gothic Book"/>
        </w:rPr>
        <w:t xml:space="preserve">the </w:t>
      </w:r>
      <w:r w:rsidR="00151DCF">
        <w:rPr>
          <w:rFonts w:ascii="Franklin Gothic Book" w:hAnsi="Franklin Gothic Book"/>
        </w:rPr>
        <w:t xml:space="preserve">pathologist and the </w:t>
      </w:r>
      <w:r w:rsidRPr="009B4104">
        <w:rPr>
          <w:rFonts w:ascii="Franklin Gothic Book" w:hAnsi="Franklin Gothic Book"/>
        </w:rPr>
        <w:t>laboratory pathology components as well as the cost of the EndoPredict</w:t>
      </w:r>
      <w:r w:rsidRPr="009B4104">
        <w:rPr>
          <w:rFonts w:ascii="Franklin Gothic Book" w:hAnsi="Franklin Gothic Book"/>
          <w:vertAlign w:val="superscript"/>
        </w:rPr>
        <w:t>®</w:t>
      </w:r>
      <w:r w:rsidRPr="009B4104">
        <w:rPr>
          <w:rFonts w:ascii="Franklin Gothic Book" w:hAnsi="Franklin Gothic Book"/>
        </w:rPr>
        <w:t xml:space="preserve"> assay (inclusive of its algorithm). MSAC therefore advised that, to clarify this, the item descriptor should specify that the service includes the generation of a risk result. MSAC noted that the MBS is only a part payer in a complex system, and that although the MBS could list the supported item and the MSAC-supported fee, the MBS could not restrict the amount that would be ultimately charged to the patient. MSAC considered that there was a reasonable risk of substantial out-of-pocket costs to the patient, and</w:t>
      </w:r>
      <w:r w:rsidRPr="009B4104" w:rsidDel="007D5F5F">
        <w:rPr>
          <w:rFonts w:ascii="Franklin Gothic Book" w:hAnsi="Franklin Gothic Book"/>
        </w:rPr>
        <w:t xml:space="preserve"> </w:t>
      </w:r>
      <w:r w:rsidRPr="009B4104">
        <w:rPr>
          <w:rFonts w:ascii="Franklin Gothic Book" w:hAnsi="Franklin Gothic Book"/>
        </w:rPr>
        <w:t>advised the government not to implement the listing without first obtaining appropriate reassurances from the applicant on the price it would charge pathology laboratories for the test in order to be confident that there would be minimal grounds to expect substantial out-of-pocket costs to the patient.</w:t>
      </w:r>
    </w:p>
    <w:p w14:paraId="20A37073" w14:textId="1FE05C51" w:rsidR="009B4104" w:rsidRDefault="009B4104" w:rsidP="009B4104">
      <w:pPr>
        <w:spacing w:before="240"/>
        <w:rPr>
          <w:rFonts w:ascii="Franklin Gothic Book" w:hAnsi="Franklin Gothic Book"/>
        </w:rPr>
      </w:pPr>
      <w:r w:rsidRPr="009B4104">
        <w:rPr>
          <w:rFonts w:ascii="Franklin Gothic Book" w:hAnsi="Franklin Gothic Book"/>
        </w:rPr>
        <w:t xml:space="preserve">MSAC anticipated that other brands of GEP tests may be able to demonstrate similar incremental prognostic value over current usual care in optimising the available clinical and pathology information in patients of intermediate risk of recurrence, and, if so, would consider revisiting this item descriptor if any applicant for another brand could provide this information </w:t>
      </w:r>
      <w:r w:rsidRPr="00A268A4">
        <w:rPr>
          <w:rFonts w:ascii="Franklin Gothic Book" w:hAnsi="Franklin Gothic Book"/>
        </w:rPr>
        <w:t>and similar reassurances of pricing its test against a fee of $1,200</w:t>
      </w:r>
      <w:r w:rsidRPr="009B4104">
        <w:rPr>
          <w:rFonts w:ascii="Franklin Gothic Book" w:hAnsi="Franklin Gothic Book"/>
        </w:rPr>
        <w:t xml:space="preserve"> to reduce the risk of substantial out-of-pocket costs to the patient. In such a circumstance, MSAC foreshadowed its advice for an amended item would likely be to one GEP test per new primary breast cancer diagnosis.</w:t>
      </w:r>
    </w:p>
    <w:p w14:paraId="17BED156" w14:textId="3517CB38" w:rsidR="002F43A6" w:rsidRPr="002F43A6" w:rsidRDefault="00856E96" w:rsidP="002F43A6">
      <w:pPr>
        <w:rPr>
          <w:rFonts w:ascii="Franklin Gothic Book" w:hAnsi="Franklin Gothic Book"/>
        </w:rPr>
      </w:pPr>
      <w:r>
        <w:rPr>
          <w:rFonts w:ascii="Franklin Gothic Book" w:hAnsi="Franklin Gothic Book"/>
        </w:rPr>
        <w:t xml:space="preserve">MSAC noted that the ADAR proposed the test </w:t>
      </w:r>
      <w:r w:rsidR="003C2938">
        <w:rPr>
          <w:rFonts w:ascii="Franklin Gothic Book" w:hAnsi="Franklin Gothic Book"/>
        </w:rPr>
        <w:t xml:space="preserve">would </w:t>
      </w:r>
      <w:r>
        <w:rPr>
          <w:rFonts w:ascii="Franklin Gothic Book" w:hAnsi="Franklin Gothic Book"/>
        </w:rPr>
        <w:t xml:space="preserve">receive a 75% benefit on the basis that it would be typically provided on an inpatient basis, however MSAC considered that the test would typically be provided on an outpatient basis, therefore the 85% benefit was more appropriate. </w:t>
      </w:r>
      <w:r w:rsidR="002F43A6" w:rsidRPr="002F43A6">
        <w:rPr>
          <w:rFonts w:ascii="Franklin Gothic Book" w:hAnsi="Franklin Gothic Book"/>
        </w:rPr>
        <w:t xml:space="preserve">MSAC noted </w:t>
      </w:r>
      <w:r>
        <w:rPr>
          <w:rFonts w:ascii="Franklin Gothic Book" w:hAnsi="Franklin Gothic Book"/>
        </w:rPr>
        <w:t xml:space="preserve">that its advice </w:t>
      </w:r>
      <w:r w:rsidR="006D422C">
        <w:rPr>
          <w:rFonts w:ascii="Franklin Gothic Book" w:hAnsi="Franklin Gothic Book"/>
        </w:rPr>
        <w:t xml:space="preserve">on the fee and the outpatient use </w:t>
      </w:r>
      <w:r>
        <w:rPr>
          <w:rFonts w:ascii="Franklin Gothic Book" w:hAnsi="Franklin Gothic Book"/>
        </w:rPr>
        <w:t>alters the</w:t>
      </w:r>
      <w:r w:rsidR="002F43A6" w:rsidRPr="002F43A6">
        <w:rPr>
          <w:rFonts w:ascii="Franklin Gothic Book" w:hAnsi="Franklin Gothic Book"/>
        </w:rPr>
        <w:t xml:space="preserve"> </w:t>
      </w:r>
      <w:r>
        <w:rPr>
          <w:rFonts w:ascii="Franklin Gothic Book" w:hAnsi="Franklin Gothic Book"/>
        </w:rPr>
        <w:t xml:space="preserve">estimated </w:t>
      </w:r>
      <w:r w:rsidR="002F43A6" w:rsidRPr="002F43A6">
        <w:rPr>
          <w:rFonts w:ascii="Franklin Gothic Book" w:hAnsi="Franklin Gothic Book"/>
        </w:rPr>
        <w:t xml:space="preserve">financial </w:t>
      </w:r>
      <w:r>
        <w:rPr>
          <w:rFonts w:ascii="Franklin Gothic Book" w:hAnsi="Franklin Gothic Book"/>
        </w:rPr>
        <w:t>cost of supporting this testing</w:t>
      </w:r>
      <w:r w:rsidR="001C4831">
        <w:rPr>
          <w:rFonts w:ascii="Franklin Gothic Book" w:hAnsi="Franklin Gothic Book"/>
        </w:rPr>
        <w:t xml:space="preserve"> (see additions to </w:t>
      </w:r>
      <w:r w:rsidR="001C4831" w:rsidRPr="00D76968">
        <w:rPr>
          <w:rFonts w:ascii="Franklin Gothic Book" w:hAnsi="Franklin Gothic Book"/>
        </w:rPr>
        <w:fldChar w:fldCharType="begin"/>
      </w:r>
      <w:r w:rsidR="001C4831" w:rsidRPr="00D76968">
        <w:rPr>
          <w:rFonts w:ascii="Franklin Gothic Book" w:hAnsi="Franklin Gothic Book"/>
        </w:rPr>
        <w:instrText xml:space="preserve"> REF _Ref100130420 \h  \* MERGEFORMAT </w:instrText>
      </w:r>
      <w:r w:rsidR="001C4831" w:rsidRPr="00D76968">
        <w:rPr>
          <w:rFonts w:ascii="Franklin Gothic Book" w:hAnsi="Franklin Gothic Book"/>
        </w:rPr>
      </w:r>
      <w:r w:rsidR="001C4831" w:rsidRPr="00D76968">
        <w:rPr>
          <w:rFonts w:ascii="Franklin Gothic Book" w:hAnsi="Franklin Gothic Book"/>
        </w:rPr>
        <w:fldChar w:fldCharType="separate"/>
      </w:r>
      <w:r w:rsidR="00943826" w:rsidRPr="00943826">
        <w:rPr>
          <w:rFonts w:ascii="Franklin Gothic Book" w:hAnsi="Franklin Gothic Book"/>
        </w:rPr>
        <w:t>Table 19</w:t>
      </w:r>
      <w:r w:rsidR="001C4831" w:rsidRPr="00D76968">
        <w:rPr>
          <w:rFonts w:ascii="Franklin Gothic Book" w:hAnsi="Franklin Gothic Book"/>
        </w:rPr>
        <w:fldChar w:fldCharType="end"/>
      </w:r>
      <w:r w:rsidR="001C4831">
        <w:rPr>
          <w:rFonts w:ascii="Franklin Gothic Book" w:hAnsi="Franklin Gothic Book"/>
        </w:rPr>
        <w:t>)</w:t>
      </w:r>
      <w:r w:rsidR="002F43A6" w:rsidRPr="002F43A6">
        <w:rPr>
          <w:rFonts w:ascii="Franklin Gothic Book" w:hAnsi="Franklin Gothic Book"/>
        </w:rPr>
        <w:t>, with cost</w:t>
      </w:r>
      <w:r w:rsidR="001C4831">
        <w:rPr>
          <w:rFonts w:ascii="Franklin Gothic Book" w:hAnsi="Franklin Gothic Book"/>
        </w:rPr>
        <w:t xml:space="preserve"> to the MBS</w:t>
      </w:r>
      <w:r w:rsidR="002F43A6" w:rsidRPr="002F43A6">
        <w:rPr>
          <w:rFonts w:ascii="Franklin Gothic Book" w:hAnsi="Franklin Gothic Book"/>
        </w:rPr>
        <w:t xml:space="preserve"> </w:t>
      </w:r>
      <w:r>
        <w:rPr>
          <w:rFonts w:ascii="Franklin Gothic Book" w:hAnsi="Franklin Gothic Book"/>
        </w:rPr>
        <w:t>now estimated to be</w:t>
      </w:r>
      <w:r w:rsidRPr="002F43A6">
        <w:rPr>
          <w:rFonts w:ascii="Franklin Gothic Book" w:hAnsi="Franklin Gothic Book"/>
        </w:rPr>
        <w:t xml:space="preserve"> </w:t>
      </w:r>
      <w:r w:rsidR="002F43A6" w:rsidRPr="00A268A4">
        <w:rPr>
          <w:rFonts w:ascii="Franklin Gothic Book" w:hAnsi="Franklin Gothic Book"/>
        </w:rPr>
        <w:lastRenderedPageBreak/>
        <w:t>$3,549,480 in year 1 increasing to $5,400,049 in year 5.</w:t>
      </w:r>
      <w:r w:rsidR="002F43A6" w:rsidRPr="002F43A6">
        <w:rPr>
          <w:rFonts w:ascii="Franklin Gothic Book" w:hAnsi="Franklin Gothic Book"/>
        </w:rPr>
        <w:t xml:space="preserve"> MSAC considered that the eligible population was likely underestimated</w:t>
      </w:r>
      <w:r w:rsidR="001C4831">
        <w:rPr>
          <w:rFonts w:ascii="Franklin Gothic Book" w:hAnsi="Franklin Gothic Book"/>
        </w:rPr>
        <w:t>,</w:t>
      </w:r>
      <w:r w:rsidR="002F43A6" w:rsidRPr="002F43A6">
        <w:rPr>
          <w:rFonts w:ascii="Franklin Gothic Book" w:hAnsi="Franklin Gothic Book"/>
        </w:rPr>
        <w:t xml:space="preserve"> and </w:t>
      </w:r>
      <w:r w:rsidR="001C4831">
        <w:rPr>
          <w:rFonts w:ascii="Franklin Gothic Book" w:hAnsi="Franklin Gothic Book"/>
        </w:rPr>
        <w:t xml:space="preserve">also </w:t>
      </w:r>
      <w:r w:rsidR="002F43A6" w:rsidRPr="002F43A6">
        <w:rPr>
          <w:rFonts w:ascii="Franklin Gothic Book" w:hAnsi="Franklin Gothic Book"/>
        </w:rPr>
        <w:t xml:space="preserve">that the </w:t>
      </w:r>
      <w:r w:rsidR="003C2938">
        <w:rPr>
          <w:rFonts w:ascii="Franklin Gothic Book" w:hAnsi="Franklin Gothic Book"/>
        </w:rPr>
        <w:t xml:space="preserve">claimed </w:t>
      </w:r>
      <w:r w:rsidR="002F43A6" w:rsidRPr="002F43A6">
        <w:rPr>
          <w:rFonts w:ascii="Franklin Gothic Book" w:hAnsi="Franklin Gothic Book"/>
        </w:rPr>
        <w:t>cost offsets (</w:t>
      </w:r>
      <w:r w:rsidR="003C2938">
        <w:rPr>
          <w:rFonts w:ascii="Franklin Gothic Book" w:hAnsi="Franklin Gothic Book"/>
        </w:rPr>
        <w:t xml:space="preserve">mostly due to reduced utilisation of </w:t>
      </w:r>
      <w:r w:rsidR="002F43A6" w:rsidRPr="002F43A6">
        <w:rPr>
          <w:rFonts w:ascii="Franklin Gothic Book" w:hAnsi="Franklin Gothic Book"/>
        </w:rPr>
        <w:t>adjuvant chemotherapy) were uncertain</w:t>
      </w:r>
      <w:r>
        <w:rPr>
          <w:rFonts w:ascii="Franklin Gothic Book" w:hAnsi="Franklin Gothic Book"/>
        </w:rPr>
        <w:t xml:space="preserve"> – so the cost to the MBS </w:t>
      </w:r>
      <w:r w:rsidR="003C2938">
        <w:rPr>
          <w:rFonts w:ascii="Franklin Gothic Book" w:hAnsi="Franklin Gothic Book"/>
        </w:rPr>
        <w:t xml:space="preserve">and to the government’s health budget </w:t>
      </w:r>
      <w:r>
        <w:rPr>
          <w:rFonts w:ascii="Franklin Gothic Book" w:hAnsi="Franklin Gothic Book"/>
        </w:rPr>
        <w:t xml:space="preserve">may be higher </w:t>
      </w:r>
      <w:r w:rsidR="001C4831">
        <w:rPr>
          <w:rFonts w:ascii="Franklin Gothic Book" w:hAnsi="Franklin Gothic Book"/>
        </w:rPr>
        <w:t xml:space="preserve">than </w:t>
      </w:r>
      <w:r>
        <w:rPr>
          <w:rFonts w:ascii="Franklin Gothic Book" w:hAnsi="Franklin Gothic Book"/>
        </w:rPr>
        <w:t>estimate</w:t>
      </w:r>
      <w:r w:rsidR="001C4831">
        <w:rPr>
          <w:rFonts w:ascii="Franklin Gothic Book" w:hAnsi="Franklin Gothic Book"/>
        </w:rPr>
        <w:t>d</w:t>
      </w:r>
      <w:r w:rsidR="002F43A6" w:rsidRPr="002F43A6">
        <w:rPr>
          <w:rFonts w:ascii="Franklin Gothic Book" w:hAnsi="Franklin Gothic Book"/>
        </w:rPr>
        <w:t>.</w:t>
      </w:r>
    </w:p>
    <w:p w14:paraId="0E718020" w14:textId="684DD51E" w:rsidR="002F43A6" w:rsidRPr="002F43A6" w:rsidRDefault="002F43A6" w:rsidP="002F43A6">
      <w:pPr>
        <w:rPr>
          <w:rFonts w:ascii="Franklin Gothic Book" w:hAnsi="Franklin Gothic Book"/>
        </w:rPr>
      </w:pPr>
      <w:r w:rsidRPr="002F43A6">
        <w:rPr>
          <w:rFonts w:ascii="Franklin Gothic Book" w:hAnsi="Franklin Gothic Book"/>
        </w:rPr>
        <w:t xml:space="preserve">MSAC noted </w:t>
      </w:r>
      <w:r w:rsidR="00856E96">
        <w:rPr>
          <w:rFonts w:ascii="Franklin Gothic Book" w:hAnsi="Franklin Gothic Book"/>
        </w:rPr>
        <w:t xml:space="preserve">advice from </w:t>
      </w:r>
      <w:r w:rsidRPr="002F43A6">
        <w:rPr>
          <w:rFonts w:ascii="Franklin Gothic Book" w:hAnsi="Franklin Gothic Book"/>
        </w:rPr>
        <w:t>the National Pathology Accreditation Advisory Council</w:t>
      </w:r>
      <w:r w:rsidR="00856E96">
        <w:rPr>
          <w:rFonts w:ascii="Franklin Gothic Book" w:hAnsi="Franklin Gothic Book"/>
        </w:rPr>
        <w:t xml:space="preserve"> (NPAAC)</w:t>
      </w:r>
      <w:r w:rsidRPr="002F43A6">
        <w:rPr>
          <w:rFonts w:ascii="Franklin Gothic Book" w:hAnsi="Franklin Gothic Book"/>
        </w:rPr>
        <w:t xml:space="preserve"> that external quality assurance (EQA) would need to be addressed using sample exchange with other laboratories. MSAC recommended that the service be reviewed </w:t>
      </w:r>
      <w:r w:rsidR="001D2545">
        <w:rPr>
          <w:rFonts w:ascii="Franklin Gothic Book" w:hAnsi="Franklin Gothic Book"/>
        </w:rPr>
        <w:t xml:space="preserve">in detail </w:t>
      </w:r>
      <w:r w:rsidR="00C27296">
        <w:rPr>
          <w:rFonts w:ascii="Franklin Gothic Book" w:hAnsi="Franklin Gothic Book"/>
        </w:rPr>
        <w:t>after</w:t>
      </w:r>
      <w:r w:rsidR="00C27296" w:rsidRPr="002F43A6">
        <w:rPr>
          <w:rFonts w:ascii="Franklin Gothic Book" w:hAnsi="Franklin Gothic Book"/>
        </w:rPr>
        <w:t xml:space="preserve"> </w:t>
      </w:r>
      <w:r w:rsidRPr="002F43A6">
        <w:rPr>
          <w:rFonts w:ascii="Franklin Gothic Book" w:hAnsi="Franklin Gothic Book"/>
        </w:rPr>
        <w:t>two years</w:t>
      </w:r>
      <w:r w:rsidR="00C27296">
        <w:rPr>
          <w:rFonts w:ascii="Franklin Gothic Book" w:hAnsi="Franklin Gothic Book"/>
        </w:rPr>
        <w:t xml:space="preserve">, </w:t>
      </w:r>
      <w:r w:rsidR="00044C74">
        <w:rPr>
          <w:rFonts w:ascii="Franklin Gothic Book" w:hAnsi="Franklin Gothic Book"/>
        </w:rPr>
        <w:t>including</w:t>
      </w:r>
      <w:r w:rsidR="006B1614">
        <w:rPr>
          <w:rFonts w:ascii="Franklin Gothic Book" w:hAnsi="Franklin Gothic Book"/>
        </w:rPr>
        <w:t xml:space="preserve"> </w:t>
      </w:r>
      <w:r w:rsidRPr="002F43A6">
        <w:rPr>
          <w:rFonts w:ascii="Franklin Gothic Book" w:hAnsi="Franklin Gothic Book"/>
        </w:rPr>
        <w:t xml:space="preserve">the </w:t>
      </w:r>
      <w:r w:rsidR="00C27296">
        <w:rPr>
          <w:rFonts w:ascii="Franklin Gothic Book" w:hAnsi="Franklin Gothic Book"/>
        </w:rPr>
        <w:t xml:space="preserve">out-of-pocket </w:t>
      </w:r>
      <w:r w:rsidRPr="002F43A6">
        <w:rPr>
          <w:rFonts w:ascii="Franklin Gothic Book" w:hAnsi="Franklin Gothic Book"/>
        </w:rPr>
        <w:t xml:space="preserve">costs </w:t>
      </w:r>
      <w:r w:rsidR="00C27296">
        <w:rPr>
          <w:rFonts w:ascii="Franklin Gothic Book" w:hAnsi="Franklin Gothic Book"/>
        </w:rPr>
        <w:t>for</w:t>
      </w:r>
      <w:r w:rsidR="00C27296" w:rsidRPr="002F43A6">
        <w:rPr>
          <w:rFonts w:ascii="Franklin Gothic Book" w:hAnsi="Franklin Gothic Book"/>
        </w:rPr>
        <w:t xml:space="preserve"> </w:t>
      </w:r>
      <w:r w:rsidRPr="002F43A6">
        <w:rPr>
          <w:rFonts w:ascii="Franklin Gothic Book" w:hAnsi="Franklin Gothic Book"/>
        </w:rPr>
        <w:t>consumers</w:t>
      </w:r>
      <w:r w:rsidR="00044C74">
        <w:rPr>
          <w:rFonts w:ascii="Franklin Gothic Book" w:hAnsi="Franklin Gothic Book"/>
        </w:rPr>
        <w:t xml:space="preserve">, </w:t>
      </w:r>
      <w:r w:rsidR="00BA38E5">
        <w:rPr>
          <w:rFonts w:ascii="Franklin Gothic Book" w:hAnsi="Franklin Gothic Book"/>
        </w:rPr>
        <w:t xml:space="preserve">co-claiming, </w:t>
      </w:r>
      <w:r w:rsidR="00044C74">
        <w:rPr>
          <w:rFonts w:ascii="Franklin Gothic Book" w:hAnsi="Franklin Gothic Book"/>
        </w:rPr>
        <w:t xml:space="preserve">determining whether the test is being used in the appropriate patient group, and </w:t>
      </w:r>
      <w:r w:rsidR="00BA38E5">
        <w:rPr>
          <w:rFonts w:ascii="Franklin Gothic Book" w:hAnsi="Franklin Gothic Book"/>
        </w:rPr>
        <w:t xml:space="preserve">equity of access </w:t>
      </w:r>
      <w:r w:rsidR="00044C74">
        <w:rPr>
          <w:rFonts w:ascii="Franklin Gothic Book" w:hAnsi="Franklin Gothic Book"/>
        </w:rPr>
        <w:t>including review of the geographical distribution of testing to ensure that the test was widely available</w:t>
      </w:r>
      <w:r w:rsidRPr="002F43A6">
        <w:rPr>
          <w:rFonts w:ascii="Franklin Gothic Book" w:hAnsi="Franklin Gothic Book"/>
        </w:rPr>
        <w:t xml:space="preserve">. MSAC </w:t>
      </w:r>
      <w:r w:rsidR="00C27296">
        <w:rPr>
          <w:rFonts w:ascii="Franklin Gothic Book" w:hAnsi="Franklin Gothic Book"/>
        </w:rPr>
        <w:t>consider</w:t>
      </w:r>
      <w:r w:rsidRPr="002F43A6">
        <w:rPr>
          <w:rFonts w:ascii="Franklin Gothic Book" w:hAnsi="Franklin Gothic Book"/>
        </w:rPr>
        <w:t xml:space="preserve">ed that </w:t>
      </w:r>
      <w:r w:rsidR="001D4453">
        <w:rPr>
          <w:rFonts w:ascii="Franklin Gothic Book" w:hAnsi="Franklin Gothic Book"/>
        </w:rPr>
        <w:t xml:space="preserve">it would </w:t>
      </w:r>
      <w:r w:rsidR="00BC21FC">
        <w:rPr>
          <w:rFonts w:ascii="Franklin Gothic Book" w:hAnsi="Franklin Gothic Book"/>
        </w:rPr>
        <w:t xml:space="preserve">also </w:t>
      </w:r>
      <w:r w:rsidR="001D4453">
        <w:rPr>
          <w:rFonts w:ascii="Franklin Gothic Book" w:hAnsi="Franklin Gothic Book"/>
        </w:rPr>
        <w:t xml:space="preserve">be important to understand impacts for patients as part of the two-year review, and requested stakeholder input be sought at that time, potentially including </w:t>
      </w:r>
      <w:r w:rsidRPr="002F43A6">
        <w:rPr>
          <w:rFonts w:ascii="Franklin Gothic Book" w:hAnsi="Franklin Gothic Book"/>
        </w:rPr>
        <w:t>Cancer Australia.</w:t>
      </w:r>
    </w:p>
    <w:p w14:paraId="4B5AD21F" w14:textId="31DF580B" w:rsidR="002056CD" w:rsidRPr="00056090" w:rsidRDefault="006A153F" w:rsidP="002056CD">
      <w:pPr>
        <w:pStyle w:val="Heading2"/>
        <w:rPr>
          <w:rFonts w:ascii="Franklin Gothic Medium" w:hAnsi="Franklin Gothic Medium" w:cstheme="majorBidi"/>
        </w:rPr>
      </w:pPr>
      <w:r>
        <w:rPr>
          <w:rFonts w:ascii="Franklin Gothic Medium" w:hAnsi="Franklin Gothic Medium" w:cstheme="majorBidi"/>
        </w:rPr>
        <w:t>4</w:t>
      </w:r>
      <w:r w:rsidR="002056CD" w:rsidRPr="00056090">
        <w:rPr>
          <w:rFonts w:ascii="Franklin Gothic Medium" w:hAnsi="Franklin Gothic Medium" w:cstheme="majorBidi"/>
        </w:rPr>
        <w:t>.</w:t>
      </w:r>
      <w:r w:rsidR="002056CD" w:rsidRPr="00056090">
        <w:rPr>
          <w:rFonts w:ascii="Franklin Gothic Medium" w:hAnsi="Franklin Gothic Medium" w:cstheme="majorBidi"/>
        </w:rPr>
        <w:tab/>
        <w:t>Background</w:t>
      </w:r>
      <w:bookmarkEnd w:id="5"/>
      <w:bookmarkEnd w:id="6"/>
    </w:p>
    <w:p w14:paraId="763BC474" w14:textId="35186BF0" w:rsidR="002056CD" w:rsidRPr="00056090" w:rsidRDefault="002056CD" w:rsidP="00056090">
      <w:pPr>
        <w:spacing w:after="240"/>
        <w:rPr>
          <w:rFonts w:ascii="Franklin Gothic Book" w:hAnsi="Franklin Gothic Book"/>
          <w:iCs/>
        </w:rPr>
      </w:pPr>
      <w:bookmarkStart w:id="8" w:name="_Hlk69734494"/>
      <w:r w:rsidRPr="00056090">
        <w:rPr>
          <w:rFonts w:ascii="Franklin Gothic Book" w:hAnsi="Franklin Gothic Book"/>
          <w:iCs/>
        </w:rPr>
        <w:t xml:space="preserve">Myriad Genetics has made two prior </w:t>
      </w:r>
      <w:r w:rsidR="00EC5F63">
        <w:rPr>
          <w:rFonts w:ascii="Franklin Gothic Book" w:hAnsi="Franklin Gothic Book"/>
          <w:iCs/>
        </w:rPr>
        <w:t>applications</w:t>
      </w:r>
      <w:r w:rsidR="00EC5F63" w:rsidRPr="00056090">
        <w:rPr>
          <w:rFonts w:ascii="Franklin Gothic Book" w:hAnsi="Franklin Gothic Book"/>
          <w:iCs/>
        </w:rPr>
        <w:t xml:space="preserve"> </w:t>
      </w:r>
      <w:r w:rsidRPr="00056090">
        <w:rPr>
          <w:rFonts w:ascii="Franklin Gothic Book" w:hAnsi="Franklin Gothic Book"/>
          <w:iCs/>
        </w:rPr>
        <w:t>to MSAC for</w:t>
      </w:r>
      <w:r w:rsidR="006C18DE">
        <w:rPr>
          <w:rFonts w:ascii="Franklin Gothic Book" w:hAnsi="Franklin Gothic Book"/>
          <w:iCs/>
        </w:rPr>
        <w:t xml:space="preserve"> public</w:t>
      </w:r>
      <w:r w:rsidRPr="00056090">
        <w:rPr>
          <w:rFonts w:ascii="Franklin Gothic Book" w:hAnsi="Franklin Gothic Book"/>
          <w:iCs/>
        </w:rPr>
        <w:t xml:space="preserve"> funding for </w:t>
      </w:r>
      <w:r w:rsidR="00D50E5C" w:rsidRPr="00056090">
        <w:rPr>
          <w:rFonts w:ascii="Franklin Gothic Book" w:hAnsi="Franklin Gothic Book"/>
          <w:iCs/>
        </w:rPr>
        <w:t>EndoPredict</w:t>
      </w:r>
      <w:r w:rsidR="005F1260" w:rsidRPr="005F1260">
        <w:rPr>
          <w:rFonts w:ascii="Franklin Gothic Book" w:hAnsi="Franklin Gothic Book"/>
          <w:iCs/>
          <w:vertAlign w:val="superscript"/>
        </w:rPr>
        <w:t>®</w:t>
      </w:r>
      <w:r w:rsidRPr="00056090">
        <w:rPr>
          <w:rFonts w:ascii="Franklin Gothic Book" w:hAnsi="Franklin Gothic Book"/>
          <w:iCs/>
        </w:rPr>
        <w:t>, in 2019 and 2021.</w:t>
      </w:r>
    </w:p>
    <w:p w14:paraId="6DEC8422" w14:textId="4648963C" w:rsidR="002056CD" w:rsidRPr="00056090" w:rsidRDefault="002056CD" w:rsidP="00056090">
      <w:pPr>
        <w:spacing w:after="240"/>
        <w:rPr>
          <w:rFonts w:ascii="Franklin Gothic Book" w:hAnsi="Franklin Gothic Book"/>
          <w:iCs/>
        </w:rPr>
      </w:pPr>
      <w:r w:rsidRPr="00056090">
        <w:rPr>
          <w:rFonts w:ascii="Franklin Gothic Book" w:hAnsi="Franklin Gothic Book"/>
          <w:iCs/>
        </w:rPr>
        <w:t xml:space="preserve">In 2019 Myriad </w:t>
      </w:r>
      <w:r w:rsidR="0011456C" w:rsidRPr="00056090">
        <w:rPr>
          <w:rFonts w:ascii="Franklin Gothic Book" w:hAnsi="Franklin Gothic Book"/>
          <w:iCs/>
        </w:rPr>
        <w:t>G</w:t>
      </w:r>
      <w:r w:rsidRPr="00056090">
        <w:rPr>
          <w:rFonts w:ascii="Franklin Gothic Book" w:hAnsi="Franklin Gothic Book"/>
          <w:iCs/>
        </w:rPr>
        <w:t>enetics provided a submission-based assessment (1408</w:t>
      </w:r>
      <w:r w:rsidR="005E381F" w:rsidRPr="00056090">
        <w:rPr>
          <w:rFonts w:ascii="Franklin Gothic Book" w:hAnsi="Franklin Gothic Book"/>
          <w:iCs/>
        </w:rPr>
        <w:t xml:space="preserve"> </w:t>
      </w:r>
      <w:r w:rsidR="006C5730">
        <w:rPr>
          <w:rFonts w:ascii="Franklin Gothic Book" w:hAnsi="Franklin Gothic Book"/>
          <w:iCs/>
        </w:rPr>
        <w:t>ADAR</w:t>
      </w:r>
      <w:r w:rsidRPr="00056090">
        <w:rPr>
          <w:rFonts w:ascii="Franklin Gothic Book" w:hAnsi="Franklin Gothic Book"/>
          <w:iCs/>
        </w:rPr>
        <w:t xml:space="preserve">) to MSAC requesting support for </w:t>
      </w:r>
      <w:r w:rsidR="0011456C" w:rsidRPr="00056090">
        <w:rPr>
          <w:rFonts w:ascii="Franklin Gothic Book" w:hAnsi="Franklin Gothic Book"/>
          <w:iCs/>
        </w:rPr>
        <w:t>its</w:t>
      </w:r>
      <w:r w:rsidRPr="00056090">
        <w:rPr>
          <w:rFonts w:ascii="Franklin Gothic Book" w:hAnsi="Franklin Gothic Book"/>
          <w:iCs/>
        </w:rPr>
        <w:t xml:space="preserve"> 12-gene expression profile </w:t>
      </w:r>
      <w:r w:rsidR="00A115C4" w:rsidRPr="00056090">
        <w:rPr>
          <w:rFonts w:ascii="Franklin Gothic Book" w:hAnsi="Franklin Gothic Book"/>
          <w:iCs/>
        </w:rPr>
        <w:t>RT</w:t>
      </w:r>
      <w:r w:rsidRPr="00056090">
        <w:rPr>
          <w:rFonts w:ascii="Franklin Gothic Book" w:hAnsi="Franklin Gothic Book"/>
          <w:iCs/>
        </w:rPr>
        <w:t>-qPCR test (GEP</w:t>
      </w:r>
      <w:r w:rsidR="00CF69F4" w:rsidRPr="00056090">
        <w:rPr>
          <w:rFonts w:ascii="Franklin Gothic Book" w:hAnsi="Franklin Gothic Book"/>
          <w:iCs/>
        </w:rPr>
        <w:t xml:space="preserve"> test</w:t>
      </w:r>
      <w:r w:rsidRPr="00056090">
        <w:rPr>
          <w:rFonts w:ascii="Franklin Gothic Book" w:hAnsi="Franklin Gothic Book"/>
          <w:iCs/>
        </w:rPr>
        <w:t xml:space="preserve">) in </w:t>
      </w:r>
      <w:r w:rsidR="00BB3922">
        <w:rPr>
          <w:rFonts w:ascii="Franklin Gothic Book" w:hAnsi="Franklin Gothic Book"/>
          <w:iCs/>
        </w:rPr>
        <w:t>patients</w:t>
      </w:r>
      <w:r w:rsidRPr="00056090">
        <w:rPr>
          <w:rFonts w:ascii="Franklin Gothic Book" w:hAnsi="Franklin Gothic Book"/>
          <w:iCs/>
        </w:rPr>
        <w:t xml:space="preserve"> with ER+, HER2- early breast cancer. The applicant’s claim was that </w:t>
      </w:r>
      <w:r w:rsidR="00D50E5C" w:rsidRPr="00056090">
        <w:rPr>
          <w:rFonts w:ascii="Franklin Gothic Book" w:hAnsi="Franklin Gothic Book"/>
          <w:iCs/>
        </w:rPr>
        <w:t>EndoPredict</w:t>
      </w:r>
      <w:r w:rsidR="005F1260" w:rsidRPr="005F1260">
        <w:rPr>
          <w:rFonts w:ascii="Franklin Gothic Book" w:hAnsi="Franklin Gothic Book"/>
          <w:iCs/>
          <w:vertAlign w:val="superscript"/>
        </w:rPr>
        <w:t>®</w:t>
      </w:r>
      <w:r w:rsidRPr="00056090">
        <w:rPr>
          <w:rFonts w:ascii="Franklin Gothic Book" w:hAnsi="Franklin Gothic Book"/>
          <w:iCs/>
        </w:rPr>
        <w:t xml:space="preserve"> could improve treatment decisions and health outcomes for </w:t>
      </w:r>
      <w:r w:rsidR="00F2126E">
        <w:rPr>
          <w:rFonts w:ascii="Franklin Gothic Book" w:hAnsi="Franklin Gothic Book"/>
          <w:iCs/>
        </w:rPr>
        <w:t>patients</w:t>
      </w:r>
      <w:r w:rsidRPr="00056090">
        <w:rPr>
          <w:rFonts w:ascii="Franklin Gothic Book" w:hAnsi="Franklin Gothic Book"/>
          <w:iCs/>
        </w:rPr>
        <w:t xml:space="preserve"> of intermediate risk based on clinicopathological features by predicting the risk of late recurrence.</w:t>
      </w:r>
    </w:p>
    <w:p w14:paraId="2595FF12" w14:textId="451945E9" w:rsidR="002056CD" w:rsidRPr="00056090" w:rsidRDefault="002056CD" w:rsidP="00056090">
      <w:pPr>
        <w:spacing w:after="240"/>
        <w:rPr>
          <w:rFonts w:ascii="Franklin Gothic Book" w:hAnsi="Franklin Gothic Book"/>
          <w:iCs/>
        </w:rPr>
      </w:pPr>
      <w:r w:rsidRPr="00056090">
        <w:rPr>
          <w:rFonts w:ascii="Franklin Gothic Book" w:hAnsi="Franklin Gothic Book"/>
          <w:iCs/>
        </w:rPr>
        <w:t xml:space="preserve">Following the 77th MSAC meeting in November 2019 MSAC </w:t>
      </w:r>
      <w:r w:rsidR="0011456C" w:rsidRPr="00056090">
        <w:rPr>
          <w:rFonts w:ascii="Franklin Gothic Book" w:hAnsi="Franklin Gothic Book"/>
          <w:iCs/>
        </w:rPr>
        <w:t>advised</w:t>
      </w:r>
      <w:r w:rsidRPr="00056090">
        <w:rPr>
          <w:rFonts w:ascii="Franklin Gothic Book" w:hAnsi="Franklin Gothic Book"/>
          <w:iCs/>
        </w:rPr>
        <w:t>:</w:t>
      </w:r>
    </w:p>
    <w:p w14:paraId="06670C9D" w14:textId="69B84826" w:rsidR="002056CD" w:rsidRPr="00056090" w:rsidRDefault="002056CD" w:rsidP="00056090">
      <w:pPr>
        <w:spacing w:after="240"/>
        <w:ind w:left="720"/>
        <w:rPr>
          <w:rFonts w:ascii="Franklin Gothic Book" w:hAnsi="Franklin Gothic Book"/>
          <w:i/>
        </w:rPr>
      </w:pPr>
      <w:r w:rsidRPr="00056090">
        <w:rPr>
          <w:rFonts w:ascii="Franklin Gothic Book" w:hAnsi="Franklin Gothic Book"/>
          <w:i/>
        </w:rPr>
        <w:t xml:space="preserve">“After considering the strength of the available evidence in relation to comparative safety, clinical effectiveness and cost-effectiveness, MSAC did not support public funding for </w:t>
      </w:r>
      <w:r w:rsidR="00D50E5C" w:rsidRPr="00056090">
        <w:rPr>
          <w:rFonts w:ascii="Franklin Gothic Book" w:hAnsi="Franklin Gothic Book"/>
          <w:i/>
        </w:rPr>
        <w:t>EndoPredict</w:t>
      </w:r>
      <w:r w:rsidR="005F1260" w:rsidRPr="005F1260">
        <w:rPr>
          <w:rFonts w:ascii="Franklin Gothic Book" w:hAnsi="Franklin Gothic Book"/>
          <w:i/>
          <w:vertAlign w:val="superscript"/>
        </w:rPr>
        <w:t>®</w:t>
      </w:r>
      <w:r w:rsidRPr="00056090">
        <w:rPr>
          <w:rFonts w:ascii="Franklin Gothic Book" w:hAnsi="Franklin Gothic Book"/>
          <w:i/>
        </w:rPr>
        <w:t>, a gene expression profiling test for patients with breast cancer, because its ability to identify those who could safely be spared the addition of chemotherapy to hormone therapy, or those who would benefit from the addition of chemotherapy to hormone therapy, was not adequately demonstrated by the evidence presented.”</w:t>
      </w:r>
    </w:p>
    <w:p w14:paraId="3A5BA9EB" w14:textId="307CECFD" w:rsidR="002056CD" w:rsidRPr="00056090" w:rsidRDefault="002056CD" w:rsidP="00056090">
      <w:pPr>
        <w:spacing w:after="240"/>
        <w:rPr>
          <w:rFonts w:ascii="Franklin Gothic Book" w:hAnsi="Franklin Gothic Book"/>
          <w:iCs/>
        </w:rPr>
      </w:pPr>
      <w:r w:rsidRPr="00056090">
        <w:rPr>
          <w:rFonts w:ascii="Franklin Gothic Book" w:hAnsi="Franklin Gothic Book"/>
          <w:iCs/>
        </w:rPr>
        <w:t>In June 2021</w:t>
      </w:r>
      <w:r w:rsidR="009A7ED8" w:rsidRPr="00056090">
        <w:rPr>
          <w:rFonts w:ascii="Franklin Gothic Book" w:hAnsi="Franklin Gothic Book"/>
          <w:iCs/>
        </w:rPr>
        <w:t>,</w:t>
      </w:r>
      <w:r w:rsidRPr="00056090">
        <w:rPr>
          <w:rFonts w:ascii="Franklin Gothic Book" w:hAnsi="Franklin Gothic Book"/>
          <w:iCs/>
        </w:rPr>
        <w:t xml:space="preserve"> </w:t>
      </w:r>
      <w:r w:rsidR="009A7ED8" w:rsidRPr="00056090">
        <w:rPr>
          <w:rFonts w:ascii="Franklin Gothic Book" w:hAnsi="Franklin Gothic Book"/>
          <w:iCs/>
        </w:rPr>
        <w:t>the Department</w:t>
      </w:r>
      <w:r w:rsidRPr="00056090">
        <w:rPr>
          <w:rFonts w:ascii="Franklin Gothic Book" w:hAnsi="Franklin Gothic Book"/>
          <w:iCs/>
        </w:rPr>
        <w:t xml:space="preserve"> invited focussed applications from </w:t>
      </w:r>
      <w:r w:rsidR="000E25A5">
        <w:rPr>
          <w:rFonts w:ascii="Franklin Gothic Book" w:hAnsi="Franklin Gothic Book"/>
          <w:iCs/>
        </w:rPr>
        <w:t>applicants</w:t>
      </w:r>
      <w:r w:rsidR="000E25A5" w:rsidRPr="00056090">
        <w:rPr>
          <w:rFonts w:ascii="Franklin Gothic Book" w:hAnsi="Franklin Gothic Book"/>
          <w:iCs/>
        </w:rPr>
        <w:t xml:space="preserve"> </w:t>
      </w:r>
      <w:r w:rsidRPr="00056090">
        <w:rPr>
          <w:rFonts w:ascii="Franklin Gothic Book" w:hAnsi="Franklin Gothic Book"/>
          <w:iCs/>
        </w:rPr>
        <w:t>that had applied for funding support in Australia for GEP</w:t>
      </w:r>
      <w:r w:rsidR="00CF69F4" w:rsidRPr="00056090">
        <w:rPr>
          <w:rFonts w:ascii="Franklin Gothic Book" w:hAnsi="Franklin Gothic Book"/>
          <w:iCs/>
        </w:rPr>
        <w:t xml:space="preserve"> test</w:t>
      </w:r>
      <w:r w:rsidRPr="00056090">
        <w:rPr>
          <w:rFonts w:ascii="Franklin Gothic Book" w:hAnsi="Franklin Gothic Book"/>
          <w:iCs/>
        </w:rPr>
        <w:t xml:space="preserve">s for </w:t>
      </w:r>
      <w:r w:rsidR="00F2126E">
        <w:rPr>
          <w:rFonts w:ascii="Franklin Gothic Book" w:hAnsi="Franklin Gothic Book"/>
          <w:iCs/>
        </w:rPr>
        <w:t>patients</w:t>
      </w:r>
      <w:r w:rsidRPr="00056090">
        <w:rPr>
          <w:rFonts w:ascii="Franklin Gothic Book" w:hAnsi="Franklin Gothic Book"/>
          <w:iCs/>
        </w:rPr>
        <w:t xml:space="preserve"> with ER+, HER2- early breast cancer, including </w:t>
      </w:r>
      <w:r w:rsidR="00D50E5C" w:rsidRPr="00056090">
        <w:rPr>
          <w:rFonts w:ascii="Franklin Gothic Book" w:hAnsi="Franklin Gothic Book"/>
          <w:iCs/>
        </w:rPr>
        <w:t>EndoPredict</w:t>
      </w:r>
      <w:r w:rsidR="005F1260" w:rsidRPr="005F1260">
        <w:rPr>
          <w:rFonts w:ascii="Franklin Gothic Book" w:hAnsi="Franklin Gothic Book"/>
          <w:iCs/>
          <w:vertAlign w:val="superscript"/>
        </w:rPr>
        <w:t>®</w:t>
      </w:r>
      <w:r w:rsidRPr="00056090">
        <w:rPr>
          <w:rFonts w:ascii="Franklin Gothic Book" w:hAnsi="Franklin Gothic Book"/>
          <w:iCs/>
        </w:rPr>
        <w:t>, MammaPrint</w:t>
      </w:r>
      <w:r w:rsidR="005F1260" w:rsidRPr="005F1260">
        <w:rPr>
          <w:rFonts w:ascii="Franklin Gothic Book" w:hAnsi="Franklin Gothic Book"/>
          <w:iCs/>
          <w:vertAlign w:val="superscript"/>
        </w:rPr>
        <w:t>®</w:t>
      </w:r>
      <w:r w:rsidRPr="00056090">
        <w:rPr>
          <w:rFonts w:ascii="Franklin Gothic Book" w:hAnsi="Franklin Gothic Book"/>
          <w:iCs/>
        </w:rPr>
        <w:t>, OncotypeDX</w:t>
      </w:r>
      <w:r w:rsidR="005F1260" w:rsidRPr="005F1260">
        <w:rPr>
          <w:rFonts w:ascii="Franklin Gothic Book" w:hAnsi="Franklin Gothic Book"/>
          <w:iCs/>
          <w:vertAlign w:val="superscript"/>
        </w:rPr>
        <w:t>®</w:t>
      </w:r>
      <w:r w:rsidRPr="00056090">
        <w:rPr>
          <w:rFonts w:ascii="Franklin Gothic Book" w:hAnsi="Franklin Gothic Book"/>
          <w:iCs/>
        </w:rPr>
        <w:t>, and Prosigna</w:t>
      </w:r>
      <w:r w:rsidR="005F1260" w:rsidRPr="005F1260">
        <w:rPr>
          <w:rFonts w:ascii="Franklin Gothic Book" w:hAnsi="Franklin Gothic Book"/>
          <w:iCs/>
          <w:vertAlign w:val="superscript"/>
        </w:rPr>
        <w:t>®</w:t>
      </w:r>
      <w:r w:rsidRPr="00056090">
        <w:rPr>
          <w:rFonts w:ascii="Franklin Gothic Book" w:hAnsi="Franklin Gothic Book"/>
          <w:iCs/>
        </w:rPr>
        <w:t xml:space="preserve">. The applications were invited following a stakeholder meeting held on 21 June 2021 by the Royal College of Pathologists </w:t>
      </w:r>
      <w:r w:rsidR="0062798F">
        <w:rPr>
          <w:rFonts w:ascii="Franklin Gothic Book" w:hAnsi="Franklin Gothic Book"/>
          <w:iCs/>
        </w:rPr>
        <w:t xml:space="preserve">of Australasia </w:t>
      </w:r>
      <w:r w:rsidRPr="00056090">
        <w:rPr>
          <w:rFonts w:ascii="Franklin Gothic Book" w:hAnsi="Franklin Gothic Book"/>
          <w:iCs/>
        </w:rPr>
        <w:t xml:space="preserve">(RCPA), Cancer Australia and the Australian Government Department of </w:t>
      </w:r>
      <w:r w:rsidR="00D76A35" w:rsidRPr="00056090">
        <w:rPr>
          <w:rFonts w:ascii="Franklin Gothic Book" w:hAnsi="Franklin Gothic Book"/>
          <w:iCs/>
        </w:rPr>
        <w:t>H</w:t>
      </w:r>
      <w:r w:rsidRPr="00056090">
        <w:rPr>
          <w:rFonts w:ascii="Franklin Gothic Book" w:hAnsi="Franklin Gothic Book"/>
          <w:iCs/>
        </w:rPr>
        <w:t xml:space="preserve">ealth. </w:t>
      </w:r>
      <w:r w:rsidR="009A7ED8" w:rsidRPr="00056090">
        <w:rPr>
          <w:rFonts w:ascii="Franklin Gothic Book" w:hAnsi="Franklin Gothic Book"/>
          <w:iCs/>
        </w:rPr>
        <w:t xml:space="preserve">The Department </w:t>
      </w:r>
      <w:r w:rsidRPr="00056090">
        <w:rPr>
          <w:rFonts w:ascii="Franklin Gothic Book" w:hAnsi="Franklin Gothic Book"/>
          <w:iCs/>
        </w:rPr>
        <w:t>requested that the applications address some specific issues common to previous applications</w:t>
      </w:r>
      <w:r w:rsidR="00776349" w:rsidRPr="00056090">
        <w:rPr>
          <w:rFonts w:ascii="Franklin Gothic Book" w:hAnsi="Franklin Gothic Book"/>
          <w:iCs/>
        </w:rPr>
        <w:t xml:space="preserve">, similar to those listed in </w:t>
      </w:r>
      <w:r w:rsidR="00EA194B" w:rsidRPr="00056090">
        <w:rPr>
          <w:rFonts w:ascii="Franklin Gothic Book" w:hAnsi="Franklin Gothic Book"/>
          <w:iCs/>
        </w:rPr>
        <w:fldChar w:fldCharType="begin"/>
      </w:r>
      <w:r w:rsidR="00EA194B" w:rsidRPr="00056090">
        <w:rPr>
          <w:rFonts w:ascii="Franklin Gothic Book" w:hAnsi="Franklin Gothic Book"/>
          <w:iCs/>
        </w:rPr>
        <w:instrText xml:space="preserve"> REF _Ref100130959 \h </w:instrText>
      </w:r>
      <w:r w:rsidR="00056090">
        <w:rPr>
          <w:rFonts w:ascii="Franklin Gothic Book" w:hAnsi="Franklin Gothic Book"/>
          <w:iCs/>
        </w:rPr>
        <w:instrText xml:space="preserve"> \* MERGEFORMAT </w:instrText>
      </w:r>
      <w:r w:rsidR="00EA194B" w:rsidRPr="00056090">
        <w:rPr>
          <w:rFonts w:ascii="Franklin Gothic Book" w:hAnsi="Franklin Gothic Book"/>
          <w:iCs/>
        </w:rPr>
      </w:r>
      <w:r w:rsidR="00EA194B" w:rsidRPr="00056090">
        <w:rPr>
          <w:rFonts w:ascii="Franklin Gothic Book" w:hAnsi="Franklin Gothic Book"/>
          <w:iCs/>
        </w:rPr>
        <w:fldChar w:fldCharType="separate"/>
      </w:r>
      <w:r w:rsidR="00943826" w:rsidRPr="00943826">
        <w:rPr>
          <w:rFonts w:ascii="Franklin Gothic Book" w:hAnsi="Franklin Gothic Book"/>
          <w:iCs/>
        </w:rPr>
        <w:t>Table 3</w:t>
      </w:r>
      <w:r w:rsidR="00EA194B" w:rsidRPr="00056090">
        <w:rPr>
          <w:rFonts w:ascii="Franklin Gothic Book" w:hAnsi="Franklin Gothic Book"/>
          <w:iCs/>
        </w:rPr>
        <w:fldChar w:fldCharType="end"/>
      </w:r>
      <w:r w:rsidR="007F53C8" w:rsidRPr="00056090">
        <w:rPr>
          <w:rFonts w:ascii="Franklin Gothic Book" w:hAnsi="Franklin Gothic Book"/>
          <w:iCs/>
        </w:rPr>
        <w:t>.</w:t>
      </w:r>
    </w:p>
    <w:p w14:paraId="762E310C" w14:textId="4BC9E5BF" w:rsidR="002056CD" w:rsidRPr="00056090" w:rsidRDefault="002056CD" w:rsidP="00056090">
      <w:pPr>
        <w:spacing w:after="240"/>
        <w:rPr>
          <w:rFonts w:ascii="Franklin Gothic Book" w:hAnsi="Franklin Gothic Book"/>
          <w:iCs/>
        </w:rPr>
      </w:pPr>
      <w:r w:rsidRPr="00056090">
        <w:rPr>
          <w:rFonts w:ascii="Franklin Gothic Book" w:hAnsi="Franklin Gothic Book"/>
          <w:iCs/>
        </w:rPr>
        <w:t xml:space="preserve">In July 2021, after consideration of </w:t>
      </w:r>
      <w:r w:rsidR="005D490A" w:rsidRPr="00056090">
        <w:rPr>
          <w:rFonts w:ascii="Franklin Gothic Book" w:hAnsi="Franklin Gothic Book"/>
          <w:iCs/>
        </w:rPr>
        <w:t>focussed applications</w:t>
      </w:r>
      <w:r w:rsidRPr="00056090">
        <w:rPr>
          <w:rFonts w:ascii="Franklin Gothic Book" w:hAnsi="Franklin Gothic Book"/>
          <w:iCs/>
        </w:rPr>
        <w:t xml:space="preserve">, MSAC did not support funding for any of the applications. In its consideration of </w:t>
      </w:r>
      <w:r w:rsidR="00D50E5C" w:rsidRPr="00056090">
        <w:rPr>
          <w:rFonts w:ascii="Franklin Gothic Book" w:hAnsi="Franklin Gothic Book"/>
          <w:iCs/>
        </w:rPr>
        <w:t>EndoPredict</w:t>
      </w:r>
      <w:r w:rsidR="005F1260" w:rsidRPr="005F1260">
        <w:rPr>
          <w:rFonts w:ascii="Franklin Gothic Book" w:hAnsi="Franklin Gothic Book"/>
          <w:iCs/>
          <w:vertAlign w:val="superscript"/>
        </w:rPr>
        <w:t>®</w:t>
      </w:r>
      <w:r w:rsidRPr="00056090">
        <w:rPr>
          <w:rFonts w:ascii="Franklin Gothic Book" w:hAnsi="Franklin Gothic Book"/>
          <w:iCs/>
        </w:rPr>
        <w:t>, MSAC’s advice was:</w:t>
      </w:r>
    </w:p>
    <w:p w14:paraId="651C930A" w14:textId="3CAE27B1" w:rsidR="002056CD" w:rsidRPr="00056090" w:rsidRDefault="002056CD" w:rsidP="00056090">
      <w:pPr>
        <w:spacing w:after="240"/>
        <w:ind w:left="720"/>
        <w:rPr>
          <w:rFonts w:ascii="Franklin Gothic Book" w:hAnsi="Franklin Gothic Book"/>
          <w:i/>
        </w:rPr>
      </w:pPr>
      <w:r w:rsidRPr="00056090">
        <w:rPr>
          <w:rFonts w:ascii="Franklin Gothic Book" w:hAnsi="Franklin Gothic Book"/>
          <w:i/>
        </w:rPr>
        <w:t>“MSAC considered that the incremental prognostic value was uncertain for EndoPredict</w:t>
      </w:r>
      <w:r w:rsidR="005F1260" w:rsidRPr="005F1260">
        <w:rPr>
          <w:rFonts w:ascii="Franklin Gothic Book" w:hAnsi="Franklin Gothic Book"/>
          <w:i/>
          <w:vertAlign w:val="superscript"/>
        </w:rPr>
        <w:t>®</w:t>
      </w:r>
      <w:r w:rsidRPr="00056090">
        <w:rPr>
          <w:rFonts w:ascii="Franklin Gothic Book" w:hAnsi="Franklin Gothic Book"/>
          <w:i/>
        </w:rPr>
        <w:t xml:space="preserve"> and that there were missing data, resulting in an uncertain effect. MSAC did not accept the claimed predictive value of EndoPredict</w:t>
      </w:r>
      <w:r w:rsidR="005F1260" w:rsidRPr="005F1260">
        <w:rPr>
          <w:rFonts w:ascii="Franklin Gothic Book" w:hAnsi="Franklin Gothic Book"/>
          <w:i/>
          <w:vertAlign w:val="superscript"/>
        </w:rPr>
        <w:t>®</w:t>
      </w:r>
      <w:r w:rsidRPr="00056090">
        <w:rPr>
          <w:rFonts w:ascii="Franklin Gothic Book" w:hAnsi="Franklin Gothic Book"/>
          <w:i/>
        </w:rPr>
        <w:t>, and noted that the applicant claimed the TGA has approved EndoPredict</w:t>
      </w:r>
      <w:r w:rsidR="005F1260" w:rsidRPr="005F1260">
        <w:rPr>
          <w:rFonts w:ascii="Franklin Gothic Book" w:hAnsi="Franklin Gothic Book"/>
          <w:i/>
          <w:vertAlign w:val="superscript"/>
        </w:rPr>
        <w:t>®</w:t>
      </w:r>
      <w:r w:rsidRPr="00056090">
        <w:rPr>
          <w:rFonts w:ascii="Franklin Gothic Book" w:hAnsi="Franklin Gothic Book"/>
          <w:i/>
        </w:rPr>
        <w:t xml:space="preserve"> for predictive use. MSAC recalled its previous consideration of EndoPredict</w:t>
      </w:r>
      <w:r w:rsidR="005F1260" w:rsidRPr="005F1260">
        <w:rPr>
          <w:rFonts w:ascii="Franklin Gothic Book" w:hAnsi="Franklin Gothic Book"/>
          <w:i/>
          <w:vertAlign w:val="superscript"/>
        </w:rPr>
        <w:t>®</w:t>
      </w:r>
      <w:r w:rsidRPr="00056090">
        <w:rPr>
          <w:rFonts w:ascii="Franklin Gothic Book" w:hAnsi="Franklin Gothic Book"/>
          <w:i/>
        </w:rPr>
        <w:t xml:space="preserve"> in 2019, and the uncertainties around whether </w:t>
      </w:r>
      <w:r w:rsidRPr="00056090">
        <w:rPr>
          <w:rFonts w:ascii="Franklin Gothic Book" w:hAnsi="Franklin Gothic Book"/>
          <w:i/>
        </w:rPr>
        <w:lastRenderedPageBreak/>
        <w:t>incremental prognostic value had been established, and its concerns regarding selection biases and missing data in the studies presented.</w:t>
      </w:r>
    </w:p>
    <w:p w14:paraId="1441E63D" w14:textId="0E22A9F1" w:rsidR="002056CD" w:rsidRPr="00056090" w:rsidRDefault="002056CD" w:rsidP="00056090">
      <w:pPr>
        <w:spacing w:after="240"/>
        <w:ind w:left="720"/>
        <w:rPr>
          <w:rFonts w:ascii="Franklin Gothic Book" w:hAnsi="Franklin Gothic Book"/>
          <w:i/>
        </w:rPr>
      </w:pPr>
      <w:r w:rsidRPr="00056090">
        <w:rPr>
          <w:rFonts w:ascii="Franklin Gothic Book" w:hAnsi="Franklin Gothic Book"/>
          <w:i/>
        </w:rPr>
        <w:t>MSAC noted that the applicant proposed a reduced fee and requested it be kept confidential”.</w:t>
      </w:r>
    </w:p>
    <w:p w14:paraId="6504F71C" w14:textId="7848669E" w:rsidR="003A5F6A" w:rsidRPr="00056090" w:rsidRDefault="00D23B5E" w:rsidP="00056090">
      <w:pPr>
        <w:spacing w:after="240"/>
        <w:rPr>
          <w:rFonts w:ascii="Franklin Gothic Book" w:hAnsi="Franklin Gothic Book"/>
          <w:iCs/>
        </w:rPr>
      </w:pPr>
      <w:r w:rsidRPr="00056090">
        <w:rPr>
          <w:rFonts w:ascii="Franklin Gothic Book" w:hAnsi="Franklin Gothic Book"/>
          <w:iCs/>
        </w:rPr>
        <w:t xml:space="preserve">Pages 4 and 5 of the July 2021 Public Summary Document </w:t>
      </w:r>
      <w:r w:rsidR="0062798F">
        <w:rPr>
          <w:rFonts w:ascii="Franklin Gothic Book" w:hAnsi="Franklin Gothic Book"/>
          <w:iCs/>
        </w:rPr>
        <w:t xml:space="preserve">(PSD) </w:t>
      </w:r>
      <w:r w:rsidRPr="00056090">
        <w:rPr>
          <w:rFonts w:ascii="Franklin Gothic Book" w:hAnsi="Franklin Gothic Book"/>
          <w:iCs/>
        </w:rPr>
        <w:t xml:space="preserve">listed </w:t>
      </w:r>
      <w:r w:rsidR="003A5F6A" w:rsidRPr="00056090">
        <w:rPr>
          <w:rFonts w:ascii="Franklin Gothic Book" w:hAnsi="Franklin Gothic Book"/>
          <w:iCs/>
        </w:rPr>
        <w:t>key matters of concern</w:t>
      </w:r>
      <w:r w:rsidRPr="00056090">
        <w:rPr>
          <w:rFonts w:ascii="Franklin Gothic Book" w:hAnsi="Franklin Gothic Book"/>
          <w:iCs/>
        </w:rPr>
        <w:t xml:space="preserve"> </w:t>
      </w:r>
      <w:r w:rsidR="005D490A" w:rsidRPr="00056090">
        <w:rPr>
          <w:rFonts w:ascii="Franklin Gothic Book" w:hAnsi="Franklin Gothic Book"/>
          <w:iCs/>
        </w:rPr>
        <w:t>that</w:t>
      </w:r>
      <w:r w:rsidRPr="00056090">
        <w:rPr>
          <w:rFonts w:ascii="Franklin Gothic Book" w:hAnsi="Franklin Gothic Book"/>
          <w:iCs/>
        </w:rPr>
        <w:t xml:space="preserve"> MSAC advised must be addressed to enable MSAC to consider whether to support MBS funding for a GEP test in early breast cancer, in the absence of robust evidence supporting predictive value.</w:t>
      </w:r>
    </w:p>
    <w:p w14:paraId="3F2A7273" w14:textId="21ABEFCE" w:rsidR="002056CD" w:rsidRPr="00056090" w:rsidRDefault="002056CD" w:rsidP="00056090">
      <w:pPr>
        <w:spacing w:after="240"/>
        <w:rPr>
          <w:rFonts w:ascii="Franklin Gothic Book" w:hAnsi="Franklin Gothic Book"/>
          <w:iCs/>
        </w:rPr>
      </w:pPr>
      <w:r w:rsidRPr="00056090">
        <w:rPr>
          <w:rFonts w:ascii="Franklin Gothic Book" w:hAnsi="Franklin Gothic Book"/>
          <w:iCs/>
        </w:rPr>
        <w:t xml:space="preserve">Following further consultation with </w:t>
      </w:r>
      <w:r w:rsidR="00D23B5E" w:rsidRPr="00056090">
        <w:rPr>
          <w:rFonts w:ascii="Franklin Gothic Book" w:hAnsi="Franklin Gothic Book"/>
          <w:iCs/>
        </w:rPr>
        <w:t>the Department</w:t>
      </w:r>
      <w:r w:rsidRPr="00056090">
        <w:rPr>
          <w:rFonts w:ascii="Franklin Gothic Book" w:hAnsi="Franklin Gothic Book"/>
          <w:iCs/>
        </w:rPr>
        <w:t xml:space="preserve"> in October – November 2021, Myriad proposed writing a new </w:t>
      </w:r>
      <w:r w:rsidR="00EC5F63">
        <w:rPr>
          <w:rFonts w:ascii="Franklin Gothic Book" w:hAnsi="Franklin Gothic Book"/>
          <w:iCs/>
        </w:rPr>
        <w:t>application</w:t>
      </w:r>
      <w:r w:rsidR="00EC5F63" w:rsidRPr="00056090">
        <w:rPr>
          <w:rFonts w:ascii="Franklin Gothic Book" w:hAnsi="Franklin Gothic Book"/>
          <w:iCs/>
        </w:rPr>
        <w:t xml:space="preserve"> </w:t>
      </w:r>
      <w:r w:rsidRPr="00056090">
        <w:rPr>
          <w:rFonts w:ascii="Franklin Gothic Book" w:hAnsi="Franklin Gothic Book"/>
          <w:iCs/>
        </w:rPr>
        <w:t xml:space="preserve">specifically addressing the issues raised by </w:t>
      </w:r>
      <w:r w:rsidR="00D23B5E" w:rsidRPr="00056090">
        <w:rPr>
          <w:rFonts w:ascii="Franklin Gothic Book" w:hAnsi="Franklin Gothic Book"/>
          <w:iCs/>
        </w:rPr>
        <w:t>MSAC</w:t>
      </w:r>
      <w:r w:rsidRPr="00056090">
        <w:rPr>
          <w:rFonts w:ascii="Franklin Gothic Book" w:hAnsi="Franklin Gothic Book"/>
          <w:iCs/>
        </w:rPr>
        <w:t xml:space="preserve">. </w:t>
      </w:r>
      <w:r w:rsidR="005D490A" w:rsidRPr="00056090">
        <w:rPr>
          <w:rFonts w:ascii="Franklin Gothic Book" w:hAnsi="Franklin Gothic Book"/>
          <w:iCs/>
        </w:rPr>
        <w:t xml:space="preserve">In December 2021, the MSAC Executive advised that a re-application could bypass PASC. </w:t>
      </w:r>
      <w:r w:rsidRPr="00056090">
        <w:rPr>
          <w:rFonts w:ascii="Franklin Gothic Book" w:hAnsi="Franklin Gothic Book"/>
          <w:iCs/>
        </w:rPr>
        <w:t xml:space="preserve">In addition, it was requested by the </w:t>
      </w:r>
      <w:r w:rsidR="005D490A" w:rsidRPr="00056090">
        <w:rPr>
          <w:rFonts w:ascii="Franklin Gothic Book" w:hAnsi="Franklin Gothic Book"/>
          <w:iCs/>
        </w:rPr>
        <w:t xml:space="preserve">MSAC Executive </w:t>
      </w:r>
      <w:r w:rsidRPr="00056090">
        <w:rPr>
          <w:rFonts w:ascii="Franklin Gothic Book" w:hAnsi="Franklin Gothic Book"/>
          <w:iCs/>
        </w:rPr>
        <w:t>that data from clinical studies published late in 2021 and early 2022 should be included</w:t>
      </w:r>
      <w:r w:rsidR="005D490A" w:rsidRPr="00056090">
        <w:rPr>
          <w:rFonts w:ascii="Franklin Gothic Book" w:hAnsi="Franklin Gothic Book"/>
          <w:iCs/>
        </w:rPr>
        <w:t xml:space="preserve"> as relevant</w:t>
      </w:r>
      <w:r w:rsidRPr="00056090">
        <w:rPr>
          <w:rFonts w:ascii="Franklin Gothic Book" w:hAnsi="Franklin Gothic Book"/>
          <w:iCs/>
        </w:rPr>
        <w:t xml:space="preserve">. As a result, Myriad </w:t>
      </w:r>
      <w:r w:rsidR="006C5730">
        <w:rPr>
          <w:rFonts w:ascii="Franklin Gothic Book" w:hAnsi="Franklin Gothic Book"/>
          <w:iCs/>
        </w:rPr>
        <w:t xml:space="preserve">Genetics </w:t>
      </w:r>
      <w:r w:rsidRPr="00056090">
        <w:rPr>
          <w:rFonts w:ascii="Franklin Gothic Book" w:hAnsi="Franklin Gothic Book"/>
          <w:iCs/>
        </w:rPr>
        <w:t xml:space="preserve">submitted the current </w:t>
      </w:r>
      <w:r w:rsidR="006C5730">
        <w:rPr>
          <w:rFonts w:ascii="Franklin Gothic Book" w:hAnsi="Franklin Gothic Book"/>
          <w:iCs/>
        </w:rPr>
        <w:t>assessment report</w:t>
      </w:r>
      <w:r w:rsidR="006C5730" w:rsidRPr="00056090">
        <w:rPr>
          <w:rFonts w:ascii="Franklin Gothic Book" w:hAnsi="Franklin Gothic Book"/>
          <w:iCs/>
        </w:rPr>
        <w:t xml:space="preserve"> </w:t>
      </w:r>
      <w:r w:rsidR="005E381F" w:rsidRPr="00056090">
        <w:rPr>
          <w:rFonts w:ascii="Franklin Gothic Book" w:hAnsi="Franklin Gothic Book"/>
          <w:iCs/>
        </w:rPr>
        <w:t xml:space="preserve">(1408.1 </w:t>
      </w:r>
      <w:r w:rsidR="006C5730">
        <w:rPr>
          <w:rFonts w:ascii="Franklin Gothic Book" w:hAnsi="Franklin Gothic Book"/>
          <w:iCs/>
        </w:rPr>
        <w:t>ADAR</w:t>
      </w:r>
      <w:r w:rsidR="005E381F" w:rsidRPr="00056090">
        <w:rPr>
          <w:rFonts w:ascii="Franklin Gothic Book" w:hAnsi="Franklin Gothic Book"/>
          <w:iCs/>
        </w:rPr>
        <w:t>)</w:t>
      </w:r>
      <w:r w:rsidRPr="00056090">
        <w:rPr>
          <w:rFonts w:ascii="Franklin Gothic Book" w:hAnsi="Franklin Gothic Book"/>
          <w:iCs/>
        </w:rPr>
        <w:t xml:space="preserve"> in February 2022.</w:t>
      </w:r>
    </w:p>
    <w:p w14:paraId="5A7579C5" w14:textId="78035A04" w:rsidR="002056CD" w:rsidRPr="00056090" w:rsidRDefault="002056CD" w:rsidP="00056090">
      <w:pPr>
        <w:spacing w:after="240"/>
        <w:rPr>
          <w:rFonts w:ascii="Franklin Gothic Book" w:hAnsi="Franklin Gothic Book"/>
          <w:iCs/>
        </w:rPr>
      </w:pPr>
      <w:r w:rsidRPr="00056090">
        <w:rPr>
          <w:rFonts w:ascii="Franklin Gothic Book" w:hAnsi="Franklin Gothic Book"/>
          <w:iCs/>
        </w:rPr>
        <w:fldChar w:fldCharType="begin"/>
      </w:r>
      <w:r w:rsidRPr="00056090">
        <w:rPr>
          <w:rFonts w:ascii="Franklin Gothic Book" w:hAnsi="Franklin Gothic Book"/>
          <w:iCs/>
        </w:rPr>
        <w:instrText xml:space="preserve"> REF _Ref100130959 \h </w:instrText>
      </w:r>
      <w:r w:rsidR="00056090">
        <w:rPr>
          <w:rFonts w:ascii="Franklin Gothic Book" w:hAnsi="Franklin Gothic Book"/>
          <w:iCs/>
        </w:rPr>
        <w:instrText xml:space="preserve"> \* MERGEFORMAT </w:instrText>
      </w:r>
      <w:r w:rsidRPr="00056090">
        <w:rPr>
          <w:rFonts w:ascii="Franklin Gothic Book" w:hAnsi="Franklin Gothic Book"/>
          <w:iCs/>
        </w:rPr>
      </w:r>
      <w:r w:rsidRPr="00056090">
        <w:rPr>
          <w:rFonts w:ascii="Franklin Gothic Book" w:hAnsi="Franklin Gothic Book"/>
          <w:iCs/>
        </w:rPr>
        <w:fldChar w:fldCharType="separate"/>
      </w:r>
      <w:r w:rsidR="00943826" w:rsidRPr="00943826">
        <w:rPr>
          <w:rFonts w:ascii="Franklin Gothic Book" w:hAnsi="Franklin Gothic Book"/>
          <w:iCs/>
        </w:rPr>
        <w:t>Table 3</w:t>
      </w:r>
      <w:r w:rsidRPr="00056090">
        <w:rPr>
          <w:rFonts w:ascii="Franklin Gothic Book" w:hAnsi="Franklin Gothic Book"/>
          <w:iCs/>
        </w:rPr>
        <w:fldChar w:fldCharType="end"/>
      </w:r>
      <w:r w:rsidRPr="00056090">
        <w:rPr>
          <w:rFonts w:ascii="Franklin Gothic Book" w:hAnsi="Franklin Gothic Book"/>
          <w:iCs/>
        </w:rPr>
        <w:t xml:space="preserve"> provides a summary of key matters raised by MSAC </w:t>
      </w:r>
      <w:r w:rsidR="006C7CD2" w:rsidRPr="00056090">
        <w:rPr>
          <w:rFonts w:ascii="Franklin Gothic Book" w:hAnsi="Franklin Gothic Book"/>
          <w:iCs/>
        </w:rPr>
        <w:t xml:space="preserve">in the July 2021 PSD </w:t>
      </w:r>
      <w:r w:rsidRPr="00056090">
        <w:rPr>
          <w:rFonts w:ascii="Franklin Gothic Book" w:hAnsi="Franklin Gothic Book"/>
          <w:iCs/>
        </w:rPr>
        <w:t xml:space="preserve">and the </w:t>
      </w:r>
      <w:r w:rsidR="005B3803" w:rsidRPr="00056090">
        <w:rPr>
          <w:rFonts w:ascii="Franklin Gothic Book" w:hAnsi="Franklin Gothic Book"/>
          <w:iCs/>
        </w:rPr>
        <w:t>MSAC Executive in communication with the applicant by email on 9 December 2021</w:t>
      </w:r>
      <w:r w:rsidRPr="00056090">
        <w:rPr>
          <w:rFonts w:ascii="Franklin Gothic Book" w:hAnsi="Franklin Gothic Book"/>
          <w:iCs/>
        </w:rPr>
        <w:t xml:space="preserve">, and how the </w:t>
      </w:r>
      <w:r w:rsidR="00347A04">
        <w:rPr>
          <w:rFonts w:ascii="Franklin Gothic Book" w:hAnsi="Franklin Gothic Book"/>
          <w:iCs/>
        </w:rPr>
        <w:t>re-</w:t>
      </w:r>
      <w:r w:rsidR="00EC5F63">
        <w:rPr>
          <w:rFonts w:ascii="Franklin Gothic Book" w:hAnsi="Franklin Gothic Book"/>
          <w:iCs/>
        </w:rPr>
        <w:t>application</w:t>
      </w:r>
      <w:r w:rsidR="00EC5F63" w:rsidRPr="00056090">
        <w:rPr>
          <w:rFonts w:ascii="Franklin Gothic Book" w:hAnsi="Franklin Gothic Book"/>
          <w:iCs/>
        </w:rPr>
        <w:t xml:space="preserve"> </w:t>
      </w:r>
      <w:r w:rsidRPr="00056090">
        <w:rPr>
          <w:rFonts w:ascii="Franklin Gothic Book" w:hAnsi="Franklin Gothic Book"/>
          <w:iCs/>
        </w:rPr>
        <w:t xml:space="preserve">from Myriad </w:t>
      </w:r>
      <w:r w:rsidR="006C5730">
        <w:rPr>
          <w:rFonts w:ascii="Franklin Gothic Book" w:hAnsi="Franklin Gothic Book"/>
          <w:iCs/>
        </w:rPr>
        <w:t xml:space="preserve">Genetics </w:t>
      </w:r>
      <w:r w:rsidRPr="00056090">
        <w:rPr>
          <w:rFonts w:ascii="Franklin Gothic Book" w:hAnsi="Franklin Gothic Book"/>
          <w:iCs/>
        </w:rPr>
        <w:t>addresse</w:t>
      </w:r>
      <w:r w:rsidR="002756C5">
        <w:rPr>
          <w:rFonts w:ascii="Franklin Gothic Book" w:hAnsi="Franklin Gothic Book"/>
          <w:iCs/>
        </w:rPr>
        <w:t>d</w:t>
      </w:r>
      <w:r w:rsidRPr="00056090">
        <w:rPr>
          <w:rFonts w:ascii="Franklin Gothic Book" w:hAnsi="Franklin Gothic Book"/>
          <w:iCs/>
        </w:rPr>
        <w:t xml:space="preserve"> them.</w:t>
      </w:r>
    </w:p>
    <w:p w14:paraId="67CD6C28" w14:textId="6B2419D4" w:rsidR="002056CD" w:rsidRPr="00CE28E3" w:rsidRDefault="002056CD" w:rsidP="002056CD">
      <w:pPr>
        <w:pStyle w:val="Caption"/>
      </w:pPr>
      <w:bookmarkStart w:id="9" w:name="_Ref100130959"/>
      <w:bookmarkStart w:id="10" w:name="_Hlk69734557"/>
      <w:bookmarkEnd w:id="8"/>
      <w:r>
        <w:t xml:space="preserve">Table </w:t>
      </w:r>
      <w:fldSimple w:instr=" SEQ Table \* ARABIC ">
        <w:r w:rsidR="00943826">
          <w:rPr>
            <w:noProof/>
          </w:rPr>
          <w:t>3</w:t>
        </w:r>
      </w:fldSimple>
      <w:bookmarkEnd w:id="9"/>
      <w:r w:rsidRPr="00CE28E3">
        <w:tab/>
        <w:t>Summary of key matters of concern</w:t>
      </w:r>
    </w:p>
    <w:tbl>
      <w:tblPr>
        <w:tblStyle w:val="MSAC"/>
        <w:tblW w:w="5000" w:type="pct"/>
        <w:tblLook w:val="04A0" w:firstRow="1" w:lastRow="0" w:firstColumn="1" w:lastColumn="0" w:noHBand="0" w:noVBand="1"/>
      </w:tblPr>
      <w:tblGrid>
        <w:gridCol w:w="1413"/>
        <w:gridCol w:w="3742"/>
        <w:gridCol w:w="3861"/>
      </w:tblGrid>
      <w:tr w:rsidR="002056CD" w:rsidRPr="00CE28E3" w14:paraId="3216BFA7" w14:textId="77777777" w:rsidTr="002756C5">
        <w:trPr>
          <w:cnfStyle w:val="100000000000" w:firstRow="1" w:lastRow="0" w:firstColumn="0" w:lastColumn="0" w:oddVBand="0" w:evenVBand="0" w:oddHBand="0" w:evenHBand="0" w:firstRowFirstColumn="0" w:firstRowLastColumn="0" w:lastRowFirstColumn="0" w:lastRowLastColumn="0"/>
          <w:cantSplit/>
        </w:trPr>
        <w:tc>
          <w:tcPr>
            <w:tcW w:w="784" w:type="pct"/>
            <w:shd w:val="clear" w:color="auto" w:fill="auto"/>
          </w:tcPr>
          <w:p w14:paraId="4EBB2275" w14:textId="77777777" w:rsidR="002056CD" w:rsidRPr="00CE28E3" w:rsidRDefault="002056CD" w:rsidP="006B0BCC">
            <w:pPr>
              <w:pStyle w:val="In-tableHeading"/>
            </w:pPr>
            <w:bookmarkStart w:id="11" w:name="_Hlk68275590"/>
            <w:r w:rsidRPr="00CE28E3">
              <w:t>Component</w:t>
            </w:r>
          </w:p>
        </w:tc>
        <w:tc>
          <w:tcPr>
            <w:tcW w:w="2075" w:type="pct"/>
            <w:shd w:val="clear" w:color="auto" w:fill="auto"/>
          </w:tcPr>
          <w:p w14:paraId="7C25B9DE" w14:textId="77777777" w:rsidR="002056CD" w:rsidRPr="00CE28E3" w:rsidRDefault="002056CD" w:rsidP="006B0BCC">
            <w:pPr>
              <w:pStyle w:val="In-tableHeading"/>
            </w:pPr>
            <w:r w:rsidRPr="00CE28E3">
              <w:t>Matter of concern</w:t>
            </w:r>
          </w:p>
        </w:tc>
        <w:tc>
          <w:tcPr>
            <w:tcW w:w="2141" w:type="pct"/>
            <w:shd w:val="clear" w:color="auto" w:fill="auto"/>
          </w:tcPr>
          <w:p w14:paraId="4E5871E8" w14:textId="795B019C" w:rsidR="002056CD" w:rsidRPr="00CE28E3" w:rsidRDefault="002056CD" w:rsidP="006B0BCC">
            <w:pPr>
              <w:pStyle w:val="In-tableHeading"/>
            </w:pPr>
            <w:r w:rsidRPr="00CE28E3">
              <w:t xml:space="preserve">How the </w:t>
            </w:r>
            <w:r w:rsidR="00347A04">
              <w:t>re-application</w:t>
            </w:r>
            <w:r w:rsidRPr="00CE28E3">
              <w:t xml:space="preserve"> addresses it</w:t>
            </w:r>
          </w:p>
        </w:tc>
      </w:tr>
      <w:tr w:rsidR="002056CD" w:rsidRPr="00CE28E3" w14:paraId="34752142" w14:textId="77777777" w:rsidTr="006B0BCC">
        <w:trPr>
          <w:cantSplit/>
        </w:trPr>
        <w:tc>
          <w:tcPr>
            <w:tcW w:w="5000" w:type="pct"/>
            <w:gridSpan w:val="3"/>
          </w:tcPr>
          <w:p w14:paraId="2DC33280" w14:textId="424B7880" w:rsidR="002056CD" w:rsidRPr="002A006E" w:rsidRDefault="00042FFA" w:rsidP="00AD2DD9">
            <w:pPr>
              <w:pStyle w:val="TableText0"/>
              <w:rPr>
                <w:rFonts w:cs="Arial"/>
                <w:b/>
                <w:bCs/>
                <w:snapToGrid w:val="0"/>
              </w:rPr>
            </w:pPr>
            <w:r>
              <w:rPr>
                <w:rFonts w:cs="Arial"/>
                <w:b/>
                <w:bCs/>
                <w:snapToGrid w:val="0"/>
              </w:rPr>
              <w:t xml:space="preserve">Key clinical </w:t>
            </w:r>
            <w:r w:rsidR="00AD2DD9">
              <w:rPr>
                <w:rFonts w:cs="Arial"/>
                <w:b/>
                <w:bCs/>
                <w:snapToGrid w:val="0"/>
              </w:rPr>
              <w:t>matters of concern</w:t>
            </w:r>
            <w:r>
              <w:rPr>
                <w:rFonts w:cs="Arial"/>
                <w:b/>
                <w:bCs/>
                <w:snapToGrid w:val="0"/>
              </w:rPr>
              <w:t xml:space="preserve"> </w:t>
            </w:r>
          </w:p>
        </w:tc>
      </w:tr>
      <w:tr w:rsidR="00330A49" w:rsidRPr="00CE28E3" w14:paraId="41D95C5F" w14:textId="77777777" w:rsidTr="002756C5">
        <w:trPr>
          <w:cantSplit/>
        </w:trPr>
        <w:tc>
          <w:tcPr>
            <w:tcW w:w="784" w:type="pct"/>
          </w:tcPr>
          <w:p w14:paraId="587FC886" w14:textId="4C794E5C" w:rsidR="00330A49" w:rsidRPr="00CE28E3" w:rsidRDefault="00330A49" w:rsidP="003F3E58">
            <w:pPr>
              <w:pStyle w:val="TableText0"/>
            </w:pPr>
            <w:r>
              <w:t>TGA IVD approval, NATA and NPAAC accreditations</w:t>
            </w:r>
          </w:p>
        </w:tc>
        <w:tc>
          <w:tcPr>
            <w:tcW w:w="2075" w:type="pct"/>
          </w:tcPr>
          <w:p w14:paraId="393CA98D" w14:textId="69270E5E" w:rsidR="00330A49" w:rsidRPr="00CE28E3" w:rsidRDefault="00330A49" w:rsidP="003135CB">
            <w:pPr>
              <w:pStyle w:val="TableText0"/>
              <w:rPr>
                <w:rFonts w:cs="Arial"/>
                <w:snapToGrid w:val="0"/>
              </w:rPr>
            </w:pPr>
            <w:r>
              <w:rPr>
                <w:rFonts w:cs="Arial"/>
                <w:snapToGrid w:val="0"/>
              </w:rPr>
              <w:t>MSAC advised that the GEP must be</w:t>
            </w:r>
            <w:r w:rsidRPr="00643554">
              <w:rPr>
                <w:rFonts w:cs="Arial"/>
                <w:snapToGrid w:val="0"/>
              </w:rPr>
              <w:t xml:space="preserve"> TGA</w:t>
            </w:r>
            <w:r>
              <w:rPr>
                <w:rFonts w:cs="Arial"/>
                <w:snapToGrid w:val="0"/>
              </w:rPr>
              <w:t xml:space="preserve"> approved;</w:t>
            </w:r>
            <w:r w:rsidRPr="00643554">
              <w:rPr>
                <w:rFonts w:cs="Arial"/>
                <w:snapToGrid w:val="0"/>
              </w:rPr>
              <w:t xml:space="preserve"> </w:t>
            </w:r>
            <w:r>
              <w:rPr>
                <w:rFonts w:cs="Arial"/>
                <w:snapToGrid w:val="0"/>
              </w:rPr>
              <w:t>NATA and NPAAC accreditation must be met for the GEP by laboratories to be performing the test in Australia (PSD July 2021, p.4</w:t>
            </w:r>
          </w:p>
        </w:tc>
        <w:tc>
          <w:tcPr>
            <w:tcW w:w="2141" w:type="pct"/>
          </w:tcPr>
          <w:p w14:paraId="67415D23" w14:textId="77777777" w:rsidR="00330A49" w:rsidRDefault="00330A49" w:rsidP="003F3E58">
            <w:pPr>
              <w:pStyle w:val="TableText0"/>
              <w:rPr>
                <w:rFonts w:cs="Arial"/>
                <w:snapToGrid w:val="0"/>
              </w:rPr>
            </w:pPr>
            <w:r>
              <w:rPr>
                <w:rFonts w:cs="Arial"/>
                <w:snapToGrid w:val="0"/>
              </w:rPr>
              <w:t>Evidence for TGA registration was provided.</w:t>
            </w:r>
          </w:p>
          <w:p w14:paraId="519EFC87" w14:textId="77777777" w:rsidR="00330A49" w:rsidRDefault="00330A49" w:rsidP="003F3E58">
            <w:pPr>
              <w:pStyle w:val="TableText0"/>
              <w:rPr>
                <w:rFonts w:cs="Arial"/>
                <w:snapToGrid w:val="0"/>
              </w:rPr>
            </w:pPr>
            <w:r>
              <w:rPr>
                <w:rFonts w:cs="Arial"/>
                <w:snapToGrid w:val="0"/>
              </w:rPr>
              <w:t>The requirement for NATA and NPAAC accreditations were acknowledged but no evidence was provided.</w:t>
            </w:r>
          </w:p>
          <w:p w14:paraId="5A106401" w14:textId="0464142B" w:rsidR="00330A49" w:rsidRPr="00CE28E3" w:rsidRDefault="00330A49" w:rsidP="003F3E58">
            <w:pPr>
              <w:pStyle w:val="TableText0"/>
              <w:rPr>
                <w:rFonts w:cs="Arial"/>
                <w:snapToGrid w:val="0"/>
              </w:rPr>
            </w:pPr>
            <w:r>
              <w:rPr>
                <w:rFonts w:cs="Arial"/>
                <w:snapToGrid w:val="0"/>
              </w:rPr>
              <w:t>The applicant indicated that if funded, there would be appropriate measures in place for the test.</w:t>
            </w:r>
          </w:p>
        </w:tc>
      </w:tr>
      <w:tr w:rsidR="00330A49" w:rsidRPr="00CE28E3" w14:paraId="7B1FAE25" w14:textId="77777777" w:rsidTr="002756C5">
        <w:trPr>
          <w:cantSplit/>
        </w:trPr>
        <w:tc>
          <w:tcPr>
            <w:tcW w:w="784" w:type="pct"/>
          </w:tcPr>
          <w:p w14:paraId="5CA4B24D" w14:textId="6410588C" w:rsidR="00330A49" w:rsidRDefault="003135CB" w:rsidP="006B0BCC">
            <w:pPr>
              <w:pStyle w:val="TableText0"/>
            </w:pPr>
            <w:r>
              <w:t>QAP program in place</w:t>
            </w:r>
          </w:p>
        </w:tc>
        <w:tc>
          <w:tcPr>
            <w:tcW w:w="2075" w:type="pct"/>
          </w:tcPr>
          <w:p w14:paraId="35591EF9" w14:textId="1ECD0774" w:rsidR="00330A49" w:rsidRDefault="003135CB" w:rsidP="006B0BCC">
            <w:pPr>
              <w:pStyle w:val="TableText0"/>
              <w:rPr>
                <w:rFonts w:cs="Arial"/>
                <w:snapToGrid w:val="0"/>
              </w:rPr>
            </w:pPr>
            <w:r>
              <w:rPr>
                <w:rFonts w:cs="Arial"/>
                <w:snapToGrid w:val="0"/>
              </w:rPr>
              <w:t xml:space="preserve">MSAC advised </w:t>
            </w:r>
            <w:r w:rsidR="00BE2821">
              <w:rPr>
                <w:rFonts w:cs="Arial"/>
                <w:snapToGrid w:val="0"/>
              </w:rPr>
              <w:t>a</w:t>
            </w:r>
            <w:r>
              <w:rPr>
                <w:rFonts w:cs="Arial"/>
                <w:snapToGrid w:val="0"/>
              </w:rPr>
              <w:t>n appropriate QAP must be in place. (PSD July 2021, p.4)</w:t>
            </w:r>
          </w:p>
        </w:tc>
        <w:tc>
          <w:tcPr>
            <w:tcW w:w="2141" w:type="pct"/>
          </w:tcPr>
          <w:p w14:paraId="58674F3B" w14:textId="77777777" w:rsidR="003135CB" w:rsidRDefault="003135CB" w:rsidP="003135CB">
            <w:pPr>
              <w:pStyle w:val="TableText0"/>
              <w:rPr>
                <w:rFonts w:cs="Arial"/>
                <w:snapToGrid w:val="0"/>
              </w:rPr>
            </w:pPr>
            <w:r>
              <w:rPr>
                <w:rFonts w:cs="Arial"/>
                <w:snapToGrid w:val="0"/>
              </w:rPr>
              <w:t>QAPs were not provided.</w:t>
            </w:r>
          </w:p>
          <w:p w14:paraId="3705F89F" w14:textId="0E576DB8" w:rsidR="00330A49" w:rsidRDefault="003135CB" w:rsidP="003135CB">
            <w:pPr>
              <w:pStyle w:val="TableText0"/>
              <w:rPr>
                <w:rFonts w:cs="Arial"/>
                <w:snapToGrid w:val="0"/>
              </w:rPr>
            </w:pPr>
            <w:r>
              <w:rPr>
                <w:rFonts w:cs="Arial"/>
                <w:snapToGrid w:val="0"/>
              </w:rPr>
              <w:t>The applicant indicated that if funded, there would be appropriate measures in place for the test.</w:t>
            </w:r>
          </w:p>
        </w:tc>
      </w:tr>
      <w:tr w:rsidR="002056CD" w:rsidRPr="00CE28E3" w14:paraId="52639898" w14:textId="77777777" w:rsidTr="002756C5">
        <w:trPr>
          <w:cantSplit/>
        </w:trPr>
        <w:tc>
          <w:tcPr>
            <w:tcW w:w="784" w:type="pct"/>
          </w:tcPr>
          <w:p w14:paraId="0F07E6D1" w14:textId="0E666C2C" w:rsidR="003135CB" w:rsidRDefault="003135CB" w:rsidP="006B0BCC">
            <w:pPr>
              <w:pStyle w:val="TableText0"/>
            </w:pPr>
            <w:r>
              <w:t>Appropriate clinical place for the GEP test:</w:t>
            </w:r>
          </w:p>
          <w:p w14:paraId="0C89A2C4" w14:textId="1A195E92" w:rsidR="002056CD" w:rsidRPr="00CE28E3" w:rsidRDefault="00E0730B" w:rsidP="006B0BCC">
            <w:pPr>
              <w:pStyle w:val="TableText0"/>
            </w:pPr>
            <w:r>
              <w:t xml:space="preserve">1. </w:t>
            </w:r>
            <w:r w:rsidR="003135CB">
              <w:t xml:space="preserve">evidence for </w:t>
            </w:r>
            <w:r w:rsidR="004507A4">
              <w:t xml:space="preserve">prognostic value and </w:t>
            </w:r>
            <w:r w:rsidR="003135CB">
              <w:t>incremental prognostic value</w:t>
            </w:r>
          </w:p>
        </w:tc>
        <w:tc>
          <w:tcPr>
            <w:tcW w:w="2075" w:type="pct"/>
          </w:tcPr>
          <w:p w14:paraId="1735FF1D" w14:textId="60E34D99" w:rsidR="002056CD" w:rsidRPr="00CE28E3" w:rsidRDefault="002056CD" w:rsidP="004507A4">
            <w:pPr>
              <w:pStyle w:val="TableText0"/>
              <w:rPr>
                <w:rFonts w:cs="Arial"/>
                <w:snapToGrid w:val="0"/>
              </w:rPr>
            </w:pPr>
            <w:r>
              <w:rPr>
                <w:rFonts w:cs="Arial"/>
                <w:snapToGrid w:val="0"/>
              </w:rPr>
              <w:t xml:space="preserve">MSAC advised that there must be </w:t>
            </w:r>
            <w:r w:rsidR="004507A4">
              <w:rPr>
                <w:rFonts w:cs="Arial"/>
                <w:snapToGrid w:val="0"/>
              </w:rPr>
              <w:t xml:space="preserve">an appropriate </w:t>
            </w:r>
            <w:r>
              <w:rPr>
                <w:rFonts w:cs="Arial"/>
                <w:snapToGrid w:val="0"/>
              </w:rPr>
              <w:t xml:space="preserve">clinical </w:t>
            </w:r>
            <w:r w:rsidR="004507A4">
              <w:rPr>
                <w:rFonts w:cs="Arial"/>
                <w:snapToGrid w:val="0"/>
              </w:rPr>
              <w:t>place for the GEP test, acceptable</w:t>
            </w:r>
            <w:r>
              <w:rPr>
                <w:rFonts w:cs="Arial"/>
                <w:snapToGrid w:val="0"/>
              </w:rPr>
              <w:t xml:space="preserve"> prognostic value </w:t>
            </w:r>
            <w:r w:rsidR="004507A4">
              <w:rPr>
                <w:rFonts w:cs="Arial"/>
                <w:snapToGrid w:val="0"/>
              </w:rPr>
              <w:t xml:space="preserve">and acceptable incremental prognostic value </w:t>
            </w:r>
            <w:r>
              <w:rPr>
                <w:rFonts w:cs="Arial"/>
                <w:snapToGrid w:val="0"/>
              </w:rPr>
              <w:t xml:space="preserve">above what is currently used in clinical practice and compared with other GEP </w:t>
            </w:r>
            <w:r w:rsidR="0020348A">
              <w:rPr>
                <w:rFonts w:cs="Arial"/>
                <w:snapToGrid w:val="0"/>
              </w:rPr>
              <w:t xml:space="preserve">test </w:t>
            </w:r>
            <w:r>
              <w:rPr>
                <w:rFonts w:cs="Arial"/>
                <w:snapToGrid w:val="0"/>
              </w:rPr>
              <w:t>options in Australia (PSD July 2021, p.4)</w:t>
            </w:r>
          </w:p>
        </w:tc>
        <w:tc>
          <w:tcPr>
            <w:tcW w:w="2141" w:type="pct"/>
          </w:tcPr>
          <w:p w14:paraId="61F36A22" w14:textId="2F79D99A" w:rsidR="002056CD" w:rsidRDefault="002056CD" w:rsidP="006B0BCC">
            <w:pPr>
              <w:pStyle w:val="TableText0"/>
              <w:rPr>
                <w:rFonts w:cs="Arial"/>
                <w:snapToGrid w:val="0"/>
              </w:rPr>
            </w:pPr>
            <w:r>
              <w:rPr>
                <w:rFonts w:cs="Arial"/>
                <w:snapToGrid w:val="0"/>
              </w:rPr>
              <w:t xml:space="preserve">No additional evidence was presented by the </w:t>
            </w:r>
            <w:r w:rsidR="00B766DC">
              <w:rPr>
                <w:rFonts w:cs="Arial"/>
                <w:snapToGrid w:val="0"/>
              </w:rPr>
              <w:t>a</w:t>
            </w:r>
            <w:r>
              <w:rPr>
                <w:rFonts w:cs="Arial"/>
                <w:snapToGrid w:val="0"/>
              </w:rPr>
              <w:t>pplicant</w:t>
            </w:r>
            <w:r w:rsidR="002A006E">
              <w:rPr>
                <w:rFonts w:cs="Arial"/>
                <w:snapToGrid w:val="0"/>
              </w:rPr>
              <w:t>.</w:t>
            </w:r>
          </w:p>
          <w:p w14:paraId="0D88C112" w14:textId="5E7F4292" w:rsidR="003135CB" w:rsidRPr="00CE28E3" w:rsidRDefault="00A6772C" w:rsidP="006B0BCC">
            <w:pPr>
              <w:pStyle w:val="TableText0"/>
              <w:rPr>
                <w:rFonts w:cs="Arial"/>
                <w:snapToGrid w:val="0"/>
              </w:rPr>
            </w:pPr>
            <w:r>
              <w:rPr>
                <w:rFonts w:cs="Arial"/>
                <w:snapToGrid w:val="0"/>
              </w:rPr>
              <w:t>The commentary re-presented e</w:t>
            </w:r>
            <w:r w:rsidR="00172117" w:rsidRPr="00172117">
              <w:rPr>
                <w:rFonts w:cs="Arial"/>
                <w:snapToGrid w:val="0"/>
              </w:rPr>
              <w:t>vidence on incremental prognostic value and predictive treatment benefit</w:t>
            </w:r>
            <w:r w:rsidR="0020348A">
              <w:rPr>
                <w:rFonts w:cs="Arial"/>
                <w:snapToGrid w:val="0"/>
              </w:rPr>
              <w:t>.</w:t>
            </w:r>
          </w:p>
        </w:tc>
      </w:tr>
      <w:tr w:rsidR="002056CD" w:rsidRPr="00CE28E3" w14:paraId="692AB296" w14:textId="77777777" w:rsidTr="002756C5">
        <w:trPr>
          <w:cantSplit/>
        </w:trPr>
        <w:tc>
          <w:tcPr>
            <w:tcW w:w="784" w:type="pct"/>
          </w:tcPr>
          <w:p w14:paraId="3598CE5F" w14:textId="68F51B95" w:rsidR="00E0730B" w:rsidRDefault="00E0730B" w:rsidP="006B0BCC">
            <w:pPr>
              <w:pStyle w:val="TableText0"/>
            </w:pPr>
            <w:r>
              <w:lastRenderedPageBreak/>
              <w:t>Appropriate clinical place for the GEP test:</w:t>
            </w:r>
          </w:p>
          <w:p w14:paraId="51E1DCE1" w14:textId="1C7000DC" w:rsidR="002056CD" w:rsidRPr="00CE28E3" w:rsidRDefault="00E0730B" w:rsidP="006B0BCC">
            <w:pPr>
              <w:pStyle w:val="TableText0"/>
            </w:pPr>
            <w:r>
              <w:t xml:space="preserve">2. </w:t>
            </w:r>
            <w:r w:rsidR="002056CD">
              <w:t>Evidence of clinical utility in Australia</w:t>
            </w:r>
          </w:p>
        </w:tc>
        <w:tc>
          <w:tcPr>
            <w:tcW w:w="2075" w:type="pct"/>
          </w:tcPr>
          <w:p w14:paraId="60E37F86" w14:textId="47B85450" w:rsidR="002056CD" w:rsidRPr="00CE28E3" w:rsidRDefault="002056CD" w:rsidP="004507A4">
            <w:pPr>
              <w:pStyle w:val="TableText0"/>
              <w:rPr>
                <w:rFonts w:cs="Arial"/>
                <w:snapToGrid w:val="0"/>
              </w:rPr>
            </w:pPr>
            <w:r>
              <w:rPr>
                <w:rFonts w:cs="Arial"/>
                <w:snapToGrid w:val="0"/>
              </w:rPr>
              <w:t>MSAC advised that there must be an acceptable clinical utility that leads to improved patient care, which should lead to less patient harm and better cancer-related outcomes</w:t>
            </w:r>
            <w:r w:rsidR="00DE6CE0">
              <w:rPr>
                <w:rFonts w:cs="Arial"/>
                <w:snapToGrid w:val="0"/>
              </w:rPr>
              <w:t>.</w:t>
            </w:r>
            <w:r>
              <w:rPr>
                <w:rFonts w:cs="Arial"/>
                <w:snapToGrid w:val="0"/>
              </w:rPr>
              <w:t xml:space="preserve"> (PSD July 2021, p.4)</w:t>
            </w:r>
          </w:p>
        </w:tc>
        <w:tc>
          <w:tcPr>
            <w:tcW w:w="2141" w:type="pct"/>
          </w:tcPr>
          <w:p w14:paraId="12A02514" w14:textId="53ECE3A6" w:rsidR="002056CD" w:rsidRDefault="002056CD" w:rsidP="006B0BCC">
            <w:pPr>
              <w:pStyle w:val="TableText0"/>
              <w:rPr>
                <w:rFonts w:cs="Arial"/>
                <w:snapToGrid w:val="0"/>
              </w:rPr>
            </w:pPr>
            <w:r>
              <w:rPr>
                <w:rFonts w:cs="Arial"/>
                <w:snapToGrid w:val="0"/>
              </w:rPr>
              <w:t>A recent publication was included that provided updated data on clinical utility in Australia.</w:t>
            </w:r>
          </w:p>
          <w:p w14:paraId="24BB2B3C" w14:textId="0B87F14F" w:rsidR="002056CD" w:rsidRDefault="002056CD" w:rsidP="006B0BCC">
            <w:pPr>
              <w:pStyle w:val="TableText0"/>
              <w:rPr>
                <w:rFonts w:cs="Arial"/>
                <w:snapToGrid w:val="0"/>
              </w:rPr>
            </w:pPr>
            <w:r>
              <w:rPr>
                <w:rFonts w:cs="Arial"/>
                <w:snapToGrid w:val="0"/>
              </w:rPr>
              <w:t>The data showed that EPclin influenced a change in treatment recommendation for a significant number of both low</w:t>
            </w:r>
            <w:r w:rsidR="00077D16">
              <w:rPr>
                <w:rFonts w:cs="Arial"/>
                <w:snapToGrid w:val="0"/>
              </w:rPr>
              <w:t>-</w:t>
            </w:r>
            <w:r>
              <w:rPr>
                <w:rFonts w:cs="Arial"/>
                <w:snapToGrid w:val="0"/>
              </w:rPr>
              <w:t>risk and high</w:t>
            </w:r>
            <w:r w:rsidR="00077D16">
              <w:rPr>
                <w:rFonts w:cs="Arial"/>
                <w:snapToGrid w:val="0"/>
              </w:rPr>
              <w:t>-</w:t>
            </w:r>
            <w:r>
              <w:rPr>
                <w:rFonts w:cs="Arial"/>
                <w:snapToGrid w:val="0"/>
              </w:rPr>
              <w:t>risk patients, when compared to treatment recommendations in the absence of EPclin.</w:t>
            </w:r>
          </w:p>
          <w:p w14:paraId="3B7674C3" w14:textId="5C1B671C" w:rsidR="002056CD" w:rsidRDefault="002056CD" w:rsidP="006B0BCC">
            <w:pPr>
              <w:pStyle w:val="TableText0"/>
              <w:rPr>
                <w:rFonts w:cs="Arial"/>
                <w:snapToGrid w:val="0"/>
              </w:rPr>
            </w:pPr>
            <w:r>
              <w:rPr>
                <w:rFonts w:cs="Arial"/>
                <w:snapToGrid w:val="0"/>
              </w:rPr>
              <w:t xml:space="preserve">The final treatment choice was impacted by personal patient preference and this ameliorated the impact of EPclin to some extent. Patient preference can also change treatment decisions in the absence of </w:t>
            </w:r>
            <w:r w:rsidR="00D50E5C">
              <w:rPr>
                <w:rFonts w:cs="Arial"/>
                <w:snapToGrid w:val="0"/>
              </w:rPr>
              <w:t>EndoPredict</w:t>
            </w:r>
            <w:r w:rsidR="005F1260" w:rsidRPr="005F1260">
              <w:rPr>
                <w:rFonts w:cs="Arial"/>
                <w:snapToGrid w:val="0"/>
                <w:vertAlign w:val="superscript"/>
              </w:rPr>
              <w:t>®</w:t>
            </w:r>
            <w:r>
              <w:rPr>
                <w:rFonts w:cs="Arial"/>
                <w:snapToGrid w:val="0"/>
              </w:rPr>
              <w:t>.</w:t>
            </w:r>
          </w:p>
          <w:p w14:paraId="4A6A401F" w14:textId="77777777" w:rsidR="002056CD" w:rsidRPr="00CE28E3" w:rsidRDefault="002056CD" w:rsidP="006B0BCC">
            <w:pPr>
              <w:pStyle w:val="TableText0"/>
              <w:rPr>
                <w:rFonts w:cs="Arial"/>
                <w:snapToGrid w:val="0"/>
              </w:rPr>
            </w:pPr>
            <w:r>
              <w:rPr>
                <w:rFonts w:cs="Arial"/>
                <w:snapToGrid w:val="0"/>
              </w:rPr>
              <w:t>There was evidence from two non-Australian studies of similar change in management outcomes that supported the Australian data, although the populations varied to some degree.</w:t>
            </w:r>
          </w:p>
        </w:tc>
      </w:tr>
      <w:tr w:rsidR="003135CB" w:rsidRPr="00CE28E3" w14:paraId="133F760D" w14:textId="77777777" w:rsidTr="002756C5">
        <w:trPr>
          <w:cantSplit/>
        </w:trPr>
        <w:tc>
          <w:tcPr>
            <w:tcW w:w="784" w:type="pct"/>
          </w:tcPr>
          <w:p w14:paraId="4EB7A3C4" w14:textId="139DA409" w:rsidR="003135CB" w:rsidRDefault="00E0730B" w:rsidP="00E0730B">
            <w:pPr>
              <w:pStyle w:val="TableText0"/>
            </w:pPr>
            <w:r w:rsidRPr="00E0730B">
              <w:t>Clinical evidence must align with the GEP test’s proposed clinical place, noting the current MSAC gui</w:t>
            </w:r>
            <w:r>
              <w:t>delines for assessment reports</w:t>
            </w:r>
          </w:p>
        </w:tc>
        <w:tc>
          <w:tcPr>
            <w:tcW w:w="2075" w:type="pct"/>
          </w:tcPr>
          <w:p w14:paraId="76128505" w14:textId="2411B60E" w:rsidR="003135CB" w:rsidRDefault="00E0730B" w:rsidP="006B0BCC">
            <w:pPr>
              <w:pStyle w:val="TableText0"/>
              <w:rPr>
                <w:rFonts w:cs="Arial"/>
                <w:snapToGrid w:val="0"/>
              </w:rPr>
            </w:pPr>
            <w:r>
              <w:rPr>
                <w:rFonts w:cs="Arial"/>
                <w:snapToGrid w:val="0"/>
              </w:rPr>
              <w:t>MSAC advise</w:t>
            </w:r>
            <w:r w:rsidR="00F2126E">
              <w:rPr>
                <w:rFonts w:cs="Arial"/>
                <w:snapToGrid w:val="0"/>
              </w:rPr>
              <w:t>d</w:t>
            </w:r>
            <w:r>
              <w:rPr>
                <w:rFonts w:cs="Arial"/>
                <w:snapToGrid w:val="0"/>
              </w:rPr>
              <w:t xml:space="preserve"> the </w:t>
            </w:r>
            <w:r w:rsidRPr="00E0730B">
              <w:rPr>
                <w:rFonts w:cs="Arial"/>
                <w:snapToGrid w:val="0"/>
              </w:rPr>
              <w:t>importance of presenting development and validation datasets, the concepts of incremental (prognostic) clinical validity and preferably (predictive) clinical utility, and considering results of relevant randomised controlled trials (RCTs) to date. MSAC considered that additional evidence would need to be provided to demonstrate at least incremental prognostic value, and noted the PROGRESS framework as relevant for assessing such evidence.</w:t>
            </w:r>
            <w:r w:rsidR="00D96321">
              <w:rPr>
                <w:rFonts w:cs="Arial"/>
                <w:snapToGrid w:val="0"/>
              </w:rPr>
              <w:t xml:space="preserve"> (PSD July 2021, p.4)</w:t>
            </w:r>
          </w:p>
        </w:tc>
        <w:tc>
          <w:tcPr>
            <w:tcW w:w="2141" w:type="pct"/>
          </w:tcPr>
          <w:p w14:paraId="3F860375" w14:textId="1C8A7695" w:rsidR="003135CB" w:rsidRDefault="00E0730B" w:rsidP="006B0BCC">
            <w:pPr>
              <w:pStyle w:val="TableText0"/>
              <w:rPr>
                <w:rFonts w:cs="Arial"/>
                <w:snapToGrid w:val="0"/>
              </w:rPr>
            </w:pPr>
            <w:r>
              <w:rPr>
                <w:rFonts w:cs="Arial"/>
                <w:snapToGrid w:val="0"/>
              </w:rPr>
              <w:t>The applicant did not address these concerns.</w:t>
            </w:r>
          </w:p>
        </w:tc>
      </w:tr>
      <w:tr w:rsidR="00D96321" w:rsidRPr="00CE28E3" w:rsidDel="00FD4A3B" w14:paraId="50CA3595" w14:textId="77777777" w:rsidTr="002756C5">
        <w:trPr>
          <w:cantSplit/>
        </w:trPr>
        <w:tc>
          <w:tcPr>
            <w:tcW w:w="784" w:type="pct"/>
          </w:tcPr>
          <w:p w14:paraId="2DB3064A" w14:textId="1A28B798" w:rsidR="00D96321" w:rsidRDefault="00D96321" w:rsidP="006B0BCC">
            <w:pPr>
              <w:pStyle w:val="TableText0"/>
            </w:pPr>
            <w:r>
              <w:t>Restricted access to funded GEP</w:t>
            </w:r>
          </w:p>
        </w:tc>
        <w:tc>
          <w:tcPr>
            <w:tcW w:w="2075" w:type="pct"/>
          </w:tcPr>
          <w:p w14:paraId="48050300" w14:textId="12784AAB" w:rsidR="00D96321" w:rsidRDefault="00D96321" w:rsidP="006B0BCC">
            <w:pPr>
              <w:pStyle w:val="TableText0"/>
              <w:rPr>
                <w:rFonts w:cs="Arial"/>
                <w:snapToGrid w:val="0"/>
              </w:rPr>
            </w:pPr>
            <w:r w:rsidRPr="00D96321">
              <w:rPr>
                <w:rFonts w:cs="Arial"/>
                <w:snapToGrid w:val="0"/>
              </w:rPr>
              <w:t>MSAC advised an MBS-listing mechanism would be needed to limit use to such patients</w:t>
            </w:r>
            <w:r>
              <w:rPr>
                <w:rFonts w:cs="Arial"/>
                <w:snapToGrid w:val="0"/>
              </w:rPr>
              <w:t xml:space="preserve"> to those most likely to benefit</w:t>
            </w:r>
            <w:r w:rsidRPr="00D96321">
              <w:rPr>
                <w:rFonts w:cs="Arial"/>
                <w:snapToGrid w:val="0"/>
              </w:rPr>
              <w:t>, such as a capped number of funded services per early breast cancer diagnosis.</w:t>
            </w:r>
          </w:p>
        </w:tc>
        <w:tc>
          <w:tcPr>
            <w:tcW w:w="2141" w:type="pct"/>
          </w:tcPr>
          <w:p w14:paraId="0350E0BC" w14:textId="4914F25A" w:rsidR="00D96321" w:rsidDel="00FD4A3B" w:rsidRDefault="00232914" w:rsidP="006B0BCC">
            <w:pPr>
              <w:pStyle w:val="TableText0"/>
              <w:rPr>
                <w:rFonts w:cs="Arial"/>
                <w:snapToGrid w:val="0"/>
              </w:rPr>
            </w:pPr>
            <w:r>
              <w:rPr>
                <w:rFonts w:cs="Arial"/>
                <w:snapToGrid w:val="0"/>
              </w:rPr>
              <w:t xml:space="preserve">Not addressed </w:t>
            </w:r>
          </w:p>
        </w:tc>
      </w:tr>
      <w:tr w:rsidR="002056CD" w:rsidRPr="00CE28E3" w14:paraId="549AFB8A" w14:textId="77777777" w:rsidTr="002756C5">
        <w:trPr>
          <w:cantSplit/>
        </w:trPr>
        <w:tc>
          <w:tcPr>
            <w:tcW w:w="784" w:type="pct"/>
          </w:tcPr>
          <w:p w14:paraId="613C52B3" w14:textId="77777777" w:rsidR="002056CD" w:rsidRDefault="002056CD" w:rsidP="006B0BCC">
            <w:pPr>
              <w:pStyle w:val="TableText0"/>
            </w:pPr>
            <w:r>
              <w:t>Clearer definition of “intermediate risk”</w:t>
            </w:r>
          </w:p>
        </w:tc>
        <w:tc>
          <w:tcPr>
            <w:tcW w:w="2075" w:type="pct"/>
          </w:tcPr>
          <w:p w14:paraId="623D77FD" w14:textId="35C8354E" w:rsidR="002056CD" w:rsidRDefault="002056CD" w:rsidP="006B0BCC">
            <w:pPr>
              <w:pStyle w:val="TableText0"/>
              <w:rPr>
                <w:rFonts w:cs="Arial"/>
                <w:snapToGrid w:val="0"/>
              </w:rPr>
            </w:pPr>
            <w:r>
              <w:rPr>
                <w:rFonts w:cs="Arial"/>
                <w:snapToGrid w:val="0"/>
              </w:rPr>
              <w:t>MSAC recommended using a more concrete definition of “intermediate risk”, and noted the NICE guidelines restriction for GEP use based on PREDICT or NPI tools.</w:t>
            </w:r>
            <w:r w:rsidR="00DE6CE0">
              <w:rPr>
                <w:rFonts w:cs="Arial"/>
                <w:snapToGrid w:val="0"/>
              </w:rPr>
              <w:t xml:space="preserve"> (PSD July 2021, p.5)</w:t>
            </w:r>
          </w:p>
        </w:tc>
        <w:tc>
          <w:tcPr>
            <w:tcW w:w="2141" w:type="pct"/>
          </w:tcPr>
          <w:p w14:paraId="6B311261" w14:textId="77777777" w:rsidR="002056CD" w:rsidRPr="00CE28E3" w:rsidRDefault="002056CD" w:rsidP="006B0BCC">
            <w:pPr>
              <w:pStyle w:val="TableText0"/>
              <w:rPr>
                <w:rFonts w:cs="Arial"/>
                <w:snapToGrid w:val="0"/>
              </w:rPr>
            </w:pPr>
            <w:r>
              <w:rPr>
                <w:rFonts w:cs="Arial"/>
                <w:snapToGrid w:val="0"/>
              </w:rPr>
              <w:t>No changes were made to the definition of “intermediate risk”.</w:t>
            </w:r>
          </w:p>
        </w:tc>
      </w:tr>
      <w:tr w:rsidR="00D96321" w:rsidRPr="00CE28E3" w14:paraId="268ED425" w14:textId="77777777" w:rsidTr="002756C5">
        <w:trPr>
          <w:cantSplit/>
        </w:trPr>
        <w:tc>
          <w:tcPr>
            <w:tcW w:w="784" w:type="pct"/>
          </w:tcPr>
          <w:p w14:paraId="4006F5F6" w14:textId="6662A613" w:rsidR="00D96321" w:rsidRPr="00CE28E3" w:rsidRDefault="00D96321" w:rsidP="003F3E58">
            <w:pPr>
              <w:pStyle w:val="TableText0"/>
            </w:pPr>
            <w:r>
              <w:lastRenderedPageBreak/>
              <w:t>Item descriptor</w:t>
            </w:r>
            <w:r w:rsidR="003F3E58">
              <w:t xml:space="preserve"> changes</w:t>
            </w:r>
          </w:p>
        </w:tc>
        <w:tc>
          <w:tcPr>
            <w:tcW w:w="2075" w:type="pct"/>
          </w:tcPr>
          <w:p w14:paraId="64BC5E9F" w14:textId="6B19532E" w:rsidR="00324B00" w:rsidRDefault="00D96321" w:rsidP="00324B00">
            <w:pPr>
              <w:pStyle w:val="TableText0"/>
              <w:rPr>
                <w:rFonts w:cs="Arial"/>
                <w:snapToGrid w:val="0"/>
              </w:rPr>
            </w:pPr>
            <w:r>
              <w:rPr>
                <w:rFonts w:cs="Arial"/>
                <w:snapToGrid w:val="0"/>
              </w:rPr>
              <w:t xml:space="preserve">MSAC advised that </w:t>
            </w:r>
            <w:r w:rsidR="003E5692">
              <w:rPr>
                <w:rFonts w:cs="Arial"/>
                <w:snapToGrid w:val="0"/>
              </w:rPr>
              <w:t xml:space="preserve">while a generic item may be the best option for administrative purposes, </w:t>
            </w:r>
            <w:r>
              <w:rPr>
                <w:rFonts w:cs="Arial"/>
                <w:snapToGrid w:val="0"/>
              </w:rPr>
              <w:t xml:space="preserve">the item descriptor needs to </w:t>
            </w:r>
            <w:r w:rsidR="00324B00">
              <w:rPr>
                <w:rFonts w:cs="Arial"/>
                <w:snapToGrid w:val="0"/>
              </w:rPr>
              <w:t>reflect the evidence provided: “</w:t>
            </w:r>
            <w:r w:rsidR="00324B00" w:rsidRPr="00324B00">
              <w:rPr>
                <w:rFonts w:cs="Arial"/>
                <w:snapToGrid w:val="0"/>
              </w:rPr>
              <w:t>MSAC noted a key difficult</w:t>
            </w:r>
            <w:r w:rsidR="00324B00">
              <w:rPr>
                <w:rFonts w:cs="Arial"/>
                <w:snapToGrid w:val="0"/>
              </w:rPr>
              <w:t xml:space="preserve">y </w:t>
            </w:r>
            <w:r w:rsidR="00324B00" w:rsidRPr="00324B00">
              <w:rPr>
                <w:rFonts w:cs="Arial"/>
                <w:snapToGrid w:val="0"/>
              </w:rPr>
              <w:t>with a generic MBS item would be that the three considered GEP tests have different prognostic values and thus will have different</w:t>
            </w:r>
            <w:r w:rsidR="00324B00">
              <w:rPr>
                <w:rFonts w:cs="Arial"/>
                <w:snapToGrid w:val="0"/>
              </w:rPr>
              <w:t xml:space="preserve"> incremental prognostic values.</w:t>
            </w:r>
            <w:r w:rsidR="003E5692">
              <w:rPr>
                <w:rFonts w:cs="Arial"/>
                <w:snapToGrid w:val="0"/>
              </w:rPr>
              <w:t xml:space="preserve"> </w:t>
            </w:r>
            <w:r w:rsidR="003E5692" w:rsidRPr="00324B00">
              <w:rPr>
                <w:rFonts w:cs="Arial"/>
                <w:snapToGrid w:val="0"/>
              </w:rPr>
              <w:t>MSAC also noted difficulties for clinicians in choosing which GEP test would be appropriate for each patient, as the three considered GEP tests assess different genes (with some overlap).</w:t>
            </w:r>
            <w:r w:rsidR="003E5692">
              <w:rPr>
                <w:rFonts w:cs="Arial"/>
                <w:snapToGrid w:val="0"/>
              </w:rPr>
              <w:t xml:space="preserve"> (PSD July 2021, p.5)</w:t>
            </w:r>
          </w:p>
          <w:p w14:paraId="25B8E51A" w14:textId="02F00333" w:rsidR="00D96321" w:rsidRDefault="00324B00" w:rsidP="003E5692">
            <w:pPr>
              <w:pStyle w:val="TableText0"/>
              <w:rPr>
                <w:rFonts w:cs="Arial"/>
                <w:snapToGrid w:val="0"/>
              </w:rPr>
            </w:pPr>
            <w:bookmarkStart w:id="12" w:name="_Hlk102990533"/>
            <w:r>
              <w:rPr>
                <w:rFonts w:cs="Arial"/>
                <w:snapToGrid w:val="0"/>
              </w:rPr>
              <w:t>If the GEP tests are not interchange</w:t>
            </w:r>
            <w:r w:rsidR="003E5692">
              <w:rPr>
                <w:rFonts w:cs="Arial"/>
                <w:snapToGrid w:val="0"/>
              </w:rPr>
              <w:t>able with respect to prognostic value th</w:t>
            </w:r>
            <w:r w:rsidR="004F6B7D">
              <w:rPr>
                <w:rFonts w:cs="Arial"/>
                <w:snapToGrid w:val="0"/>
              </w:rPr>
              <w:t>e</w:t>
            </w:r>
            <w:r w:rsidR="003E5692">
              <w:rPr>
                <w:rFonts w:cs="Arial"/>
                <w:snapToGrid w:val="0"/>
              </w:rPr>
              <w:t xml:space="preserve">n a separate item for each approved GEP </w:t>
            </w:r>
            <w:r w:rsidR="00CF69F4">
              <w:rPr>
                <w:rFonts w:cs="Arial"/>
                <w:snapToGrid w:val="0"/>
              </w:rPr>
              <w:t xml:space="preserve">test </w:t>
            </w:r>
            <w:r w:rsidR="003E5692">
              <w:rPr>
                <w:rFonts w:cs="Arial"/>
                <w:snapToGrid w:val="0"/>
              </w:rPr>
              <w:t xml:space="preserve">could be considered more advantageous than a </w:t>
            </w:r>
            <w:r w:rsidR="003E5692" w:rsidRPr="003E5692">
              <w:rPr>
                <w:rFonts w:cs="Arial"/>
                <w:snapToGrid w:val="0"/>
              </w:rPr>
              <w:t>generic</w:t>
            </w:r>
            <w:r w:rsidR="003E5692">
              <w:rPr>
                <w:rFonts w:cs="Arial"/>
                <w:snapToGrid w:val="0"/>
              </w:rPr>
              <w:t xml:space="preserve"> item</w:t>
            </w:r>
            <w:r w:rsidR="00E92648">
              <w:rPr>
                <w:rFonts w:cs="Arial"/>
                <w:snapToGrid w:val="0"/>
              </w:rPr>
              <w:t xml:space="preserve"> (</w:t>
            </w:r>
            <w:r w:rsidR="00371658">
              <w:rPr>
                <w:rFonts w:cs="Arial"/>
                <w:snapToGrid w:val="0"/>
              </w:rPr>
              <w:t xml:space="preserve">1408 </w:t>
            </w:r>
            <w:r w:rsidR="003062CF">
              <w:rPr>
                <w:rFonts w:cs="Arial"/>
                <w:snapToGrid w:val="0"/>
              </w:rPr>
              <w:t>pre-</w:t>
            </w:r>
            <w:r w:rsidR="00E92648">
              <w:rPr>
                <w:rFonts w:cs="Arial"/>
                <w:snapToGrid w:val="0"/>
              </w:rPr>
              <w:t xml:space="preserve">MSAC </w:t>
            </w:r>
            <w:r w:rsidR="003062CF">
              <w:rPr>
                <w:rFonts w:cs="Arial"/>
                <w:snapToGrid w:val="0"/>
              </w:rPr>
              <w:t>response</w:t>
            </w:r>
            <w:r w:rsidR="00E92648">
              <w:rPr>
                <w:rFonts w:cs="Arial"/>
                <w:snapToGrid w:val="0"/>
              </w:rPr>
              <w:t>)</w:t>
            </w:r>
            <w:r w:rsidR="003E5692">
              <w:rPr>
                <w:rFonts w:cs="Arial"/>
                <w:snapToGrid w:val="0"/>
              </w:rPr>
              <w:t>.</w:t>
            </w:r>
          </w:p>
          <w:bookmarkEnd w:id="12"/>
          <w:p w14:paraId="6616B7C1" w14:textId="21B12B5F" w:rsidR="00C009D9" w:rsidRPr="00CE28E3" w:rsidRDefault="00C009D9" w:rsidP="004F6B7D">
            <w:pPr>
              <w:pStyle w:val="TableText0"/>
              <w:rPr>
                <w:rFonts w:cs="Arial"/>
                <w:snapToGrid w:val="0"/>
              </w:rPr>
            </w:pPr>
            <w:r w:rsidRPr="00C009D9">
              <w:rPr>
                <w:rFonts w:cs="Arial"/>
                <w:snapToGrid w:val="0"/>
              </w:rPr>
              <w:t xml:space="preserve">The MSAC Executive advised that the proposed </w:t>
            </w:r>
            <w:r>
              <w:rPr>
                <w:rFonts w:cs="Arial"/>
                <w:snapToGrid w:val="0"/>
              </w:rPr>
              <w:t xml:space="preserve">label </w:t>
            </w:r>
            <w:r w:rsidRPr="00C009D9">
              <w:rPr>
                <w:rFonts w:cs="Arial"/>
                <w:snapToGrid w:val="0"/>
              </w:rPr>
              <w:t>“statistically significant incremental prognostic value” in the item descriptor was problematic and will need</w:t>
            </w:r>
            <w:r w:rsidR="00D34633">
              <w:rPr>
                <w:rFonts w:cs="Arial"/>
                <w:snapToGrid w:val="0"/>
              </w:rPr>
              <w:t xml:space="preserve"> </w:t>
            </w:r>
            <w:r w:rsidRPr="00C009D9">
              <w:rPr>
                <w:rFonts w:cs="Arial"/>
                <w:snapToGrid w:val="0"/>
              </w:rPr>
              <w:t>to be reworded, as this does not readily define which GEP test(s) are in scope for the proposed item</w:t>
            </w:r>
            <w:r w:rsidR="00E92648" w:rsidRPr="000201FA">
              <w:rPr>
                <w:rFonts w:cs="Arial"/>
                <w:snapToGrid w:val="0"/>
              </w:rPr>
              <w:t xml:space="preserve"> (</w:t>
            </w:r>
            <w:r w:rsidR="00E92648">
              <w:rPr>
                <w:rFonts w:cs="Arial"/>
                <w:snapToGrid w:val="0"/>
              </w:rPr>
              <w:t>email to the applicant dated 9 December 2021</w:t>
            </w:r>
            <w:r w:rsidR="00E92648" w:rsidRPr="000201FA">
              <w:rPr>
                <w:rFonts w:cs="Arial"/>
                <w:snapToGrid w:val="0"/>
              </w:rPr>
              <w:t>)</w:t>
            </w:r>
            <w:r w:rsidR="004F6B7D">
              <w:rPr>
                <w:rFonts w:cs="Arial"/>
                <w:snapToGrid w:val="0"/>
              </w:rPr>
              <w:t>.</w:t>
            </w:r>
          </w:p>
        </w:tc>
        <w:tc>
          <w:tcPr>
            <w:tcW w:w="2141" w:type="pct"/>
          </w:tcPr>
          <w:p w14:paraId="10945BB4" w14:textId="0BC7083E" w:rsidR="00E5027B" w:rsidRPr="00CE28E3" w:rsidRDefault="00E92648" w:rsidP="00B766DC">
            <w:pPr>
              <w:pStyle w:val="TableText0"/>
              <w:rPr>
                <w:rFonts w:cs="Arial"/>
                <w:snapToGrid w:val="0"/>
              </w:rPr>
            </w:pPr>
            <w:r>
              <w:rPr>
                <w:rFonts w:cs="Arial"/>
                <w:snapToGrid w:val="0"/>
              </w:rPr>
              <w:t xml:space="preserve">The </w:t>
            </w:r>
            <w:r w:rsidR="00B766DC">
              <w:rPr>
                <w:rFonts w:cs="Arial"/>
                <w:snapToGrid w:val="0"/>
              </w:rPr>
              <w:t>a</w:t>
            </w:r>
            <w:r>
              <w:rPr>
                <w:rFonts w:cs="Arial"/>
                <w:snapToGrid w:val="0"/>
              </w:rPr>
              <w:t>pplicant made changes to the</w:t>
            </w:r>
            <w:r w:rsidR="00D92D4B">
              <w:rPr>
                <w:rFonts w:cs="Arial"/>
                <w:snapToGrid w:val="0"/>
              </w:rPr>
              <w:t xml:space="preserve"> wording</w:t>
            </w:r>
            <w:r w:rsidR="00FA0DDA">
              <w:rPr>
                <w:rFonts w:cs="Arial"/>
                <w:snapToGrid w:val="0"/>
              </w:rPr>
              <w:t>, but did not address all issues</w:t>
            </w:r>
            <w:r w:rsidR="00D96321">
              <w:rPr>
                <w:rFonts w:cs="Arial"/>
                <w:snapToGrid w:val="0"/>
              </w:rPr>
              <w:t>.</w:t>
            </w:r>
          </w:p>
        </w:tc>
      </w:tr>
      <w:tr w:rsidR="002E2F23" w:rsidRPr="00CE28E3" w14:paraId="6DE7D86F" w14:textId="77777777" w:rsidTr="002756C5">
        <w:trPr>
          <w:cantSplit/>
        </w:trPr>
        <w:tc>
          <w:tcPr>
            <w:tcW w:w="784" w:type="pct"/>
          </w:tcPr>
          <w:p w14:paraId="74EFACF2" w14:textId="77777777" w:rsidR="002E2F23" w:rsidRPr="00CE28E3" w:rsidRDefault="002E2F23" w:rsidP="003F3E58">
            <w:pPr>
              <w:pStyle w:val="TableText0"/>
            </w:pPr>
            <w:r>
              <w:t>Test distribution plan</w:t>
            </w:r>
          </w:p>
        </w:tc>
        <w:tc>
          <w:tcPr>
            <w:tcW w:w="2075" w:type="pct"/>
          </w:tcPr>
          <w:p w14:paraId="29CAB268" w14:textId="77777777" w:rsidR="002E2F23" w:rsidRPr="00CE28E3" w:rsidRDefault="002E2F23" w:rsidP="003F3E58">
            <w:pPr>
              <w:pStyle w:val="TableText0"/>
              <w:rPr>
                <w:rFonts w:cs="Arial"/>
                <w:snapToGrid w:val="0"/>
              </w:rPr>
            </w:pPr>
            <w:r>
              <w:rPr>
                <w:rFonts w:cs="Arial"/>
                <w:snapToGrid w:val="0"/>
              </w:rPr>
              <w:t xml:space="preserve">The MSAC Executive requested further information on how Myriad would plan to distribute the test if publicly funded </w:t>
            </w:r>
            <w:r w:rsidRPr="000201FA">
              <w:rPr>
                <w:rFonts w:cs="Arial"/>
                <w:snapToGrid w:val="0"/>
              </w:rPr>
              <w:t>(</w:t>
            </w:r>
            <w:r>
              <w:rPr>
                <w:rFonts w:cs="Arial"/>
                <w:snapToGrid w:val="0"/>
              </w:rPr>
              <w:t>email to the applicant dated 9 December 2021</w:t>
            </w:r>
            <w:r w:rsidRPr="000201FA">
              <w:rPr>
                <w:rFonts w:cs="Arial"/>
                <w:snapToGrid w:val="0"/>
              </w:rPr>
              <w:t>)</w:t>
            </w:r>
          </w:p>
        </w:tc>
        <w:tc>
          <w:tcPr>
            <w:tcW w:w="2141" w:type="pct"/>
          </w:tcPr>
          <w:p w14:paraId="602B083C" w14:textId="77777777" w:rsidR="002E2F23" w:rsidRPr="00CE28E3" w:rsidRDefault="002E2F23" w:rsidP="003F3E58">
            <w:pPr>
              <w:pStyle w:val="TableText0"/>
              <w:rPr>
                <w:rFonts w:cs="Arial"/>
                <w:snapToGrid w:val="0"/>
              </w:rPr>
            </w:pPr>
            <w:r w:rsidRPr="00FC1158">
              <w:rPr>
                <w:rFonts w:cs="Arial"/>
                <w:snapToGrid w:val="0"/>
              </w:rPr>
              <w:t>The applicant noted that technical competency exists in most Australian molecular pathology laboratories, and that one laboratory per state would meet testing demand.</w:t>
            </w:r>
          </w:p>
        </w:tc>
      </w:tr>
      <w:tr w:rsidR="002E2F23" w:rsidRPr="00CE28E3" w14:paraId="58B70BB1" w14:textId="77777777" w:rsidTr="002756C5">
        <w:trPr>
          <w:cantSplit/>
        </w:trPr>
        <w:tc>
          <w:tcPr>
            <w:tcW w:w="784" w:type="pct"/>
          </w:tcPr>
          <w:p w14:paraId="04F2DC9A" w14:textId="77777777" w:rsidR="002E2F23" w:rsidRPr="00CE28E3" w:rsidRDefault="002E2F23" w:rsidP="003F3E58">
            <w:pPr>
              <w:pStyle w:val="TableText0"/>
            </w:pPr>
            <w:r>
              <w:t>Inclusion of latest published clinical data</w:t>
            </w:r>
          </w:p>
        </w:tc>
        <w:tc>
          <w:tcPr>
            <w:tcW w:w="2075" w:type="pct"/>
          </w:tcPr>
          <w:p w14:paraId="7405A7CE" w14:textId="24D9A9BD" w:rsidR="002E2F23" w:rsidRPr="00CE28E3" w:rsidRDefault="002E2F23" w:rsidP="00FA0DDA">
            <w:pPr>
              <w:pStyle w:val="TableText0"/>
              <w:rPr>
                <w:rFonts w:cs="Arial"/>
                <w:snapToGrid w:val="0"/>
              </w:rPr>
            </w:pPr>
            <w:r>
              <w:rPr>
                <w:rFonts w:cs="Arial"/>
                <w:snapToGrid w:val="0"/>
              </w:rPr>
              <w:t>The MSAC Executive requested inclusion of results of additional clinical studies published in late 2021 and early 2022 (email to the applicant dated 9 December 2021</w:t>
            </w:r>
            <w:r w:rsidR="00FA0DDA">
              <w:rPr>
                <w:rFonts w:cs="Arial"/>
                <w:snapToGrid w:val="0"/>
              </w:rPr>
              <w:t>)</w:t>
            </w:r>
            <w:r w:rsidR="004F6B7D">
              <w:rPr>
                <w:rFonts w:cs="Arial"/>
                <w:snapToGrid w:val="0"/>
              </w:rPr>
              <w:t>.</w:t>
            </w:r>
          </w:p>
        </w:tc>
        <w:tc>
          <w:tcPr>
            <w:tcW w:w="2141" w:type="pct"/>
          </w:tcPr>
          <w:p w14:paraId="18037BF4" w14:textId="4D51836A" w:rsidR="002E2F23" w:rsidRPr="00CE28E3" w:rsidRDefault="002E2F23" w:rsidP="003F3E58">
            <w:pPr>
              <w:pStyle w:val="TableText0"/>
              <w:rPr>
                <w:rFonts w:cs="Arial"/>
                <w:snapToGrid w:val="0"/>
              </w:rPr>
            </w:pPr>
            <w:r>
              <w:rPr>
                <w:rFonts w:cs="Arial"/>
                <w:snapToGrid w:val="0"/>
              </w:rPr>
              <w:t>Study updates and additional data for the PROSPER study were provided</w:t>
            </w:r>
            <w:r w:rsidR="004F6B7D">
              <w:rPr>
                <w:rFonts w:cs="Arial"/>
                <w:snapToGrid w:val="0"/>
              </w:rPr>
              <w:t>.</w:t>
            </w:r>
          </w:p>
        </w:tc>
      </w:tr>
      <w:tr w:rsidR="002E2F23" w:rsidRPr="00D87EA6" w14:paraId="0E37A428" w14:textId="77777777" w:rsidTr="002E2F23">
        <w:trPr>
          <w:cantSplit/>
        </w:trPr>
        <w:tc>
          <w:tcPr>
            <w:tcW w:w="5000" w:type="pct"/>
            <w:gridSpan w:val="3"/>
          </w:tcPr>
          <w:p w14:paraId="1E2861AB" w14:textId="11743192" w:rsidR="002E2F23" w:rsidRPr="00AA57EF" w:rsidRDefault="00D87EA6" w:rsidP="00AA54F6">
            <w:pPr>
              <w:pStyle w:val="TableText0"/>
              <w:rPr>
                <w:rFonts w:cs="Arial"/>
                <w:b/>
                <w:snapToGrid w:val="0"/>
              </w:rPr>
            </w:pPr>
            <w:r w:rsidRPr="00AA57EF">
              <w:rPr>
                <w:rFonts w:cs="Arial"/>
                <w:b/>
                <w:snapToGrid w:val="0"/>
              </w:rPr>
              <w:t xml:space="preserve">Key economic </w:t>
            </w:r>
            <w:r w:rsidR="00AD2DD9">
              <w:rPr>
                <w:rFonts w:cs="Arial"/>
                <w:b/>
                <w:snapToGrid w:val="0"/>
              </w:rPr>
              <w:t>matter</w:t>
            </w:r>
            <w:r w:rsidRPr="00AA57EF">
              <w:rPr>
                <w:rFonts w:cs="Arial"/>
                <w:b/>
                <w:snapToGrid w:val="0"/>
              </w:rPr>
              <w:t>s</w:t>
            </w:r>
            <w:r w:rsidR="00AD2DD9">
              <w:rPr>
                <w:rFonts w:cs="Arial"/>
                <w:b/>
                <w:snapToGrid w:val="0"/>
              </w:rPr>
              <w:t xml:space="preserve"> of concern</w:t>
            </w:r>
          </w:p>
        </w:tc>
      </w:tr>
      <w:tr w:rsidR="00AA57EF" w:rsidRPr="00CE28E3" w:rsidDel="00FD4A3B" w14:paraId="0FA2C02E" w14:textId="77777777" w:rsidTr="002756C5">
        <w:trPr>
          <w:cantSplit/>
        </w:trPr>
        <w:tc>
          <w:tcPr>
            <w:tcW w:w="784" w:type="pct"/>
          </w:tcPr>
          <w:p w14:paraId="1DE0411F" w14:textId="17F32D31" w:rsidR="00AA57EF" w:rsidDel="00FD4A3B" w:rsidRDefault="00AA57EF" w:rsidP="00AA57EF">
            <w:pPr>
              <w:pStyle w:val="TableText0"/>
            </w:pPr>
            <w:r>
              <w:t>Acceptable fee</w:t>
            </w:r>
          </w:p>
        </w:tc>
        <w:tc>
          <w:tcPr>
            <w:tcW w:w="2075" w:type="pct"/>
          </w:tcPr>
          <w:p w14:paraId="3F2F1761" w14:textId="671964B9" w:rsidR="00AA57EF" w:rsidDel="00FD4A3B" w:rsidRDefault="00AA57EF" w:rsidP="00AA57EF">
            <w:pPr>
              <w:pStyle w:val="TableText0"/>
              <w:rPr>
                <w:rFonts w:cs="Arial"/>
                <w:snapToGrid w:val="0"/>
              </w:rPr>
            </w:pPr>
            <w:r>
              <w:rPr>
                <w:rFonts w:cs="Arial"/>
                <w:snapToGrid w:val="0"/>
              </w:rPr>
              <w:t>MSAC advised that the GEP test must have an acceptable fee based on acceptable incremental cost-effectiveness and net budget impact (PSD July 2021, p4)</w:t>
            </w:r>
          </w:p>
        </w:tc>
        <w:tc>
          <w:tcPr>
            <w:tcW w:w="2141" w:type="pct"/>
          </w:tcPr>
          <w:p w14:paraId="0CA0CB45" w14:textId="38B9CA3E" w:rsidR="00AA57EF" w:rsidDel="00FD4A3B" w:rsidRDefault="00912644" w:rsidP="00FC4BD5">
            <w:pPr>
              <w:pStyle w:val="TableText0"/>
              <w:rPr>
                <w:rFonts w:cs="Arial"/>
                <w:snapToGrid w:val="0"/>
              </w:rPr>
            </w:pPr>
            <w:r>
              <w:rPr>
                <w:rFonts w:cs="Arial"/>
                <w:snapToGrid w:val="0"/>
              </w:rPr>
              <w:t>A</w:t>
            </w:r>
            <w:r w:rsidR="00AA57EF">
              <w:rPr>
                <w:rFonts w:cs="Arial"/>
                <w:snapToGrid w:val="0"/>
              </w:rPr>
              <w:t xml:space="preserve"> fee structure </w:t>
            </w:r>
            <w:r>
              <w:rPr>
                <w:rFonts w:cs="Arial"/>
                <w:snapToGrid w:val="0"/>
              </w:rPr>
              <w:t xml:space="preserve">was proposed </w:t>
            </w:r>
            <w:r w:rsidR="00AA57EF">
              <w:rPr>
                <w:rFonts w:cs="Arial"/>
                <w:snapToGrid w:val="0"/>
              </w:rPr>
              <w:t xml:space="preserve">based on </w:t>
            </w:r>
            <w:r w:rsidR="004F6B7D">
              <w:rPr>
                <w:rFonts w:cs="Arial"/>
                <w:snapToGrid w:val="0"/>
              </w:rPr>
              <w:t xml:space="preserve">the volume of </w:t>
            </w:r>
            <w:r w:rsidR="00AA57EF">
              <w:rPr>
                <w:rFonts w:cs="Arial"/>
                <w:snapToGrid w:val="0"/>
              </w:rPr>
              <w:t xml:space="preserve">use of the test in the year prior. </w:t>
            </w:r>
            <w:r w:rsidR="00AA57EF" w:rsidRPr="00A268A4">
              <w:rPr>
                <w:rFonts w:cs="Arial"/>
                <w:snapToGrid w:val="0"/>
              </w:rPr>
              <w:t>This included four tiers. The highest fee ($</w:t>
            </w:r>
            <w:r w:rsidR="00AE3E5D" w:rsidRPr="00AE3E5D">
              <w:rPr>
                <w:rFonts w:cs="Arial"/>
                <w:snapToGrid w:val="0"/>
                <w:color w:val="000000"/>
                <w:spacing w:val="54"/>
                <w:shd w:val="solid" w:color="000000" w:fill="000000"/>
                <w:fitText w:val="333" w:id="-1437332480"/>
                <w14:textFill>
                  <w14:solidFill>
                    <w14:srgbClr w14:val="000000">
                      <w14:alpha w14:val="100000"/>
                    </w14:srgbClr>
                  </w14:solidFill>
                </w14:textFill>
              </w:rPr>
              <w:t>|||</w:t>
            </w:r>
            <w:r w:rsidR="00AE3E5D" w:rsidRPr="00AE3E5D">
              <w:rPr>
                <w:rFonts w:cs="Arial"/>
                <w:snapToGrid w:val="0"/>
                <w:color w:val="000000"/>
                <w:spacing w:val="1"/>
                <w:shd w:val="solid" w:color="000000" w:fill="000000"/>
                <w:fitText w:val="333" w:id="-1437332480"/>
                <w14:textFill>
                  <w14:solidFill>
                    <w14:srgbClr w14:val="000000">
                      <w14:alpha w14:val="100000"/>
                    </w14:srgbClr>
                  </w14:solidFill>
                </w14:textFill>
              </w:rPr>
              <w:t>|</w:t>
            </w:r>
            <w:r w:rsidR="00AA57EF" w:rsidRPr="00A268A4">
              <w:rPr>
                <w:rFonts w:cs="Arial"/>
                <w:snapToGrid w:val="0"/>
              </w:rPr>
              <w:t>) would apply if use was ≤1,555 services, and the lowest ($</w:t>
            </w:r>
            <w:r w:rsidR="00AE3E5D" w:rsidRPr="00AE3E5D">
              <w:rPr>
                <w:rFonts w:cs="Arial"/>
                <w:snapToGrid w:val="0"/>
                <w:color w:val="000000"/>
                <w:spacing w:val="53"/>
                <w:shd w:val="solid" w:color="000000" w:fill="000000"/>
                <w:fitText w:val="332" w:id="-1437332479"/>
                <w14:textFill>
                  <w14:solidFill>
                    <w14:srgbClr w14:val="000000">
                      <w14:alpha w14:val="100000"/>
                    </w14:srgbClr>
                  </w14:solidFill>
                </w14:textFill>
              </w:rPr>
              <w:t>|||</w:t>
            </w:r>
            <w:r w:rsidR="00AE3E5D" w:rsidRPr="00AE3E5D">
              <w:rPr>
                <w:rFonts w:cs="Arial"/>
                <w:snapToGrid w:val="0"/>
                <w:color w:val="000000"/>
                <w:spacing w:val="3"/>
                <w:shd w:val="solid" w:color="000000" w:fill="000000"/>
                <w:fitText w:val="332" w:id="-1437332479"/>
                <w14:textFill>
                  <w14:solidFill>
                    <w14:srgbClr w14:val="000000">
                      <w14:alpha w14:val="100000"/>
                    </w14:srgbClr>
                  </w14:solidFill>
                </w14:textFill>
              </w:rPr>
              <w:t>|</w:t>
            </w:r>
            <w:r w:rsidR="00AA57EF" w:rsidRPr="00A268A4">
              <w:rPr>
                <w:rFonts w:cs="Arial"/>
                <w:snapToGrid w:val="0"/>
              </w:rPr>
              <w:t>) where use was ≥4,666 services.</w:t>
            </w:r>
          </w:p>
        </w:tc>
      </w:tr>
      <w:tr w:rsidR="00AA57EF" w:rsidRPr="00CE28E3" w:rsidDel="00FD4A3B" w14:paraId="7F781BF0" w14:textId="77777777" w:rsidTr="002756C5">
        <w:trPr>
          <w:cantSplit/>
        </w:trPr>
        <w:tc>
          <w:tcPr>
            <w:tcW w:w="784" w:type="pct"/>
          </w:tcPr>
          <w:p w14:paraId="3BE31D64" w14:textId="28E4D79B" w:rsidR="00AA57EF" w:rsidRDefault="00AA57EF" w:rsidP="00AA57EF">
            <w:pPr>
              <w:pStyle w:val="TableText0"/>
            </w:pPr>
            <w:r>
              <w:t>Acceptable incremental cost-effectiveness</w:t>
            </w:r>
          </w:p>
        </w:tc>
        <w:tc>
          <w:tcPr>
            <w:tcW w:w="2075" w:type="pct"/>
          </w:tcPr>
          <w:p w14:paraId="12EB54AE" w14:textId="4CB75BE5" w:rsidR="00AA57EF" w:rsidRDefault="00AA57EF" w:rsidP="00912644">
            <w:pPr>
              <w:pStyle w:val="TableText0"/>
              <w:rPr>
                <w:rFonts w:cs="Arial"/>
                <w:snapToGrid w:val="0"/>
              </w:rPr>
            </w:pPr>
            <w:r>
              <w:rPr>
                <w:rFonts w:cs="Arial"/>
                <w:snapToGrid w:val="0"/>
              </w:rPr>
              <w:t xml:space="preserve">No economic analysis was considered by MSAC in July 2021. However a number of issues were raised on the economic analysis presented in the 1408 </w:t>
            </w:r>
            <w:r w:rsidR="00197DB5">
              <w:rPr>
                <w:rFonts w:cs="Arial"/>
                <w:snapToGrid w:val="0"/>
              </w:rPr>
              <w:t>application</w:t>
            </w:r>
            <w:r>
              <w:rPr>
                <w:rFonts w:cs="Arial"/>
                <w:snapToGrid w:val="0"/>
              </w:rPr>
              <w:t xml:space="preserve"> (considered by MSAC in November 2019), and the results were considered overly optimistic (PSD November 2019, p3).</w:t>
            </w:r>
          </w:p>
        </w:tc>
        <w:tc>
          <w:tcPr>
            <w:tcW w:w="2141" w:type="pct"/>
          </w:tcPr>
          <w:p w14:paraId="691C5865" w14:textId="0A264E93" w:rsidR="00AA57EF" w:rsidRDefault="00AA57EF" w:rsidP="00AB4598">
            <w:pPr>
              <w:pStyle w:val="TableText0"/>
              <w:rPr>
                <w:rFonts w:cs="Arial"/>
                <w:snapToGrid w:val="0"/>
              </w:rPr>
            </w:pPr>
            <w:r>
              <w:rPr>
                <w:rFonts w:cs="Arial"/>
                <w:snapToGrid w:val="0"/>
              </w:rPr>
              <w:t xml:space="preserve">The economic evaluation was updated to reflect the proposed fee arrangement, updated change in management data and other minor updates to costs and life tables. </w:t>
            </w:r>
            <w:r w:rsidR="00AB4598">
              <w:rPr>
                <w:rFonts w:cs="Arial"/>
                <w:snapToGrid w:val="0"/>
              </w:rPr>
              <w:t>However, t</w:t>
            </w:r>
            <w:r>
              <w:rPr>
                <w:rFonts w:cs="Arial"/>
                <w:snapToGrid w:val="0"/>
              </w:rPr>
              <w:t>hese changes did not address the issues noted in the November 2019 PSD.</w:t>
            </w:r>
          </w:p>
        </w:tc>
      </w:tr>
      <w:tr w:rsidR="00AA57EF" w:rsidRPr="00CE28E3" w14:paraId="2DF2B39C" w14:textId="77777777" w:rsidTr="00804802">
        <w:trPr>
          <w:cantSplit/>
        </w:trPr>
        <w:tc>
          <w:tcPr>
            <w:tcW w:w="5000" w:type="pct"/>
            <w:gridSpan w:val="3"/>
            <w:tcBorders>
              <w:bottom w:val="single" w:sz="4" w:space="0" w:color="auto"/>
            </w:tcBorders>
          </w:tcPr>
          <w:p w14:paraId="50858957" w14:textId="2653BCC5" w:rsidR="00AA57EF" w:rsidRPr="00AA57EF" w:rsidRDefault="00AA57EF" w:rsidP="00AA57EF">
            <w:pPr>
              <w:pStyle w:val="TableText0"/>
              <w:rPr>
                <w:rFonts w:cs="Arial"/>
                <w:snapToGrid w:val="0"/>
              </w:rPr>
            </w:pPr>
            <w:bookmarkStart w:id="13" w:name="OLE_LINK3"/>
            <w:bookmarkStart w:id="14" w:name="OLE_LINK4"/>
            <w:r w:rsidRPr="00AA57EF">
              <w:rPr>
                <w:bCs/>
              </w:rPr>
              <w:t>Matters of economic concern outstanding from the November 2019 consideration</w:t>
            </w:r>
            <w:bookmarkEnd w:id="13"/>
            <w:bookmarkEnd w:id="14"/>
          </w:p>
        </w:tc>
      </w:tr>
      <w:tr w:rsidR="00AA57EF" w:rsidRPr="00CE28E3" w14:paraId="18130BC0" w14:textId="77777777" w:rsidTr="002756C5">
        <w:trPr>
          <w:cantSplit/>
        </w:trPr>
        <w:tc>
          <w:tcPr>
            <w:tcW w:w="784" w:type="pct"/>
            <w:tcBorders>
              <w:bottom w:val="nil"/>
            </w:tcBorders>
          </w:tcPr>
          <w:p w14:paraId="52E13BD1" w14:textId="77777777" w:rsidR="00AA57EF" w:rsidRPr="00555F48" w:rsidRDefault="00AA57EF" w:rsidP="00AA57EF">
            <w:pPr>
              <w:pStyle w:val="TableText0"/>
            </w:pPr>
            <w:r w:rsidRPr="00555F48">
              <w:t>Overall</w:t>
            </w:r>
          </w:p>
        </w:tc>
        <w:tc>
          <w:tcPr>
            <w:tcW w:w="2075" w:type="pct"/>
          </w:tcPr>
          <w:p w14:paraId="25C09A18" w14:textId="6E251B27" w:rsidR="00AA57EF" w:rsidRPr="00555F48" w:rsidRDefault="00AA57EF" w:rsidP="004A5596">
            <w:pPr>
              <w:pStyle w:val="TableText0"/>
              <w:rPr>
                <w:rFonts w:cs="Arial"/>
                <w:snapToGrid w:val="0"/>
              </w:rPr>
            </w:pPr>
            <w:r w:rsidRPr="00555F48">
              <w:rPr>
                <w:rFonts w:cs="Arial"/>
                <w:snapToGrid w:val="0"/>
              </w:rPr>
              <w:t xml:space="preserve">The uncertainties in the clinical evidence lead to the outputs of the economic </w:t>
            </w:r>
            <w:r w:rsidR="004A5596">
              <w:rPr>
                <w:rFonts w:cs="Arial"/>
                <w:snapToGrid w:val="0"/>
              </w:rPr>
              <w:t xml:space="preserve">evaluation </w:t>
            </w:r>
            <w:r w:rsidRPr="00555F48">
              <w:rPr>
                <w:rFonts w:cs="Arial"/>
                <w:snapToGrid w:val="0"/>
              </w:rPr>
              <w:t>being highly uncertain</w:t>
            </w:r>
            <w:r w:rsidR="00736CF3">
              <w:rPr>
                <w:rFonts w:cs="Arial"/>
                <w:snapToGrid w:val="0"/>
              </w:rPr>
              <w:t xml:space="preserve"> (PSD November 2019, p18)</w:t>
            </w:r>
            <w:r w:rsidRPr="00555F48">
              <w:rPr>
                <w:rFonts w:cs="Arial"/>
                <w:snapToGrid w:val="0"/>
              </w:rPr>
              <w:t>.</w:t>
            </w:r>
          </w:p>
        </w:tc>
        <w:tc>
          <w:tcPr>
            <w:tcW w:w="2141" w:type="pct"/>
          </w:tcPr>
          <w:p w14:paraId="68E44409" w14:textId="224F8B05" w:rsidR="00AA57EF" w:rsidRPr="00555F48" w:rsidRDefault="00AA57EF" w:rsidP="002E0A6B">
            <w:pPr>
              <w:pStyle w:val="TableText0"/>
              <w:rPr>
                <w:rFonts w:cs="Arial"/>
                <w:snapToGrid w:val="0"/>
              </w:rPr>
            </w:pPr>
            <w:r w:rsidRPr="00555F48">
              <w:rPr>
                <w:rFonts w:cs="Arial"/>
                <w:snapToGrid w:val="0"/>
              </w:rPr>
              <w:t xml:space="preserve">While updated data </w:t>
            </w:r>
            <w:r w:rsidR="002E0A6B">
              <w:rPr>
                <w:rFonts w:cs="Arial"/>
                <w:snapToGrid w:val="0"/>
              </w:rPr>
              <w:t xml:space="preserve">were presented </w:t>
            </w:r>
            <w:r w:rsidRPr="00555F48">
              <w:rPr>
                <w:rFonts w:cs="Arial"/>
                <w:snapToGrid w:val="0"/>
              </w:rPr>
              <w:t xml:space="preserve">to support a change in management following </w:t>
            </w:r>
            <w:r w:rsidR="00D50E5C">
              <w:rPr>
                <w:rFonts w:cs="Arial"/>
                <w:snapToGrid w:val="0"/>
              </w:rPr>
              <w:t>EndoPredict</w:t>
            </w:r>
            <w:r w:rsidR="005F1260" w:rsidRPr="005F1260">
              <w:rPr>
                <w:rFonts w:cs="Arial"/>
                <w:snapToGrid w:val="0"/>
                <w:vertAlign w:val="superscript"/>
              </w:rPr>
              <w:t>®</w:t>
            </w:r>
            <w:r w:rsidRPr="00555F48">
              <w:rPr>
                <w:rFonts w:cs="Arial"/>
                <w:snapToGrid w:val="0"/>
              </w:rPr>
              <w:t>, no new data were presented to support the effect of this change in management.</w:t>
            </w:r>
          </w:p>
        </w:tc>
      </w:tr>
      <w:tr w:rsidR="00AA57EF" w:rsidRPr="00CE28E3" w14:paraId="1D7AA400" w14:textId="77777777" w:rsidTr="002756C5">
        <w:trPr>
          <w:cantSplit/>
        </w:trPr>
        <w:tc>
          <w:tcPr>
            <w:tcW w:w="784" w:type="pct"/>
            <w:tcBorders>
              <w:top w:val="nil"/>
            </w:tcBorders>
          </w:tcPr>
          <w:p w14:paraId="2DB68F9B" w14:textId="77777777" w:rsidR="00AA57EF" w:rsidRPr="00555F48" w:rsidRDefault="00AA57EF" w:rsidP="00AA57EF">
            <w:pPr>
              <w:pStyle w:val="TableText0"/>
            </w:pPr>
          </w:p>
        </w:tc>
        <w:tc>
          <w:tcPr>
            <w:tcW w:w="2075" w:type="pct"/>
          </w:tcPr>
          <w:p w14:paraId="4FAFF264" w14:textId="6094FD3B" w:rsidR="00AA57EF" w:rsidRPr="00555F48" w:rsidRDefault="00AA57EF" w:rsidP="00AA57EF">
            <w:pPr>
              <w:pStyle w:val="TableText0"/>
              <w:rPr>
                <w:rFonts w:cs="Arial"/>
                <w:snapToGrid w:val="0"/>
              </w:rPr>
            </w:pPr>
            <w:r w:rsidRPr="00555F48">
              <w:rPr>
                <w:rFonts w:cs="Arial"/>
                <w:snapToGrid w:val="0"/>
              </w:rPr>
              <w:t xml:space="preserve">The economic evaluation may be too simple to capture all costs and benefits of using </w:t>
            </w:r>
            <w:r w:rsidR="00D50E5C">
              <w:rPr>
                <w:rFonts w:cs="Arial"/>
                <w:snapToGrid w:val="0"/>
              </w:rPr>
              <w:t>EndoPredict</w:t>
            </w:r>
            <w:r w:rsidR="005F1260" w:rsidRPr="005F1260">
              <w:rPr>
                <w:rFonts w:cs="Arial"/>
                <w:snapToGrid w:val="0"/>
                <w:vertAlign w:val="superscript"/>
              </w:rPr>
              <w:t>®</w:t>
            </w:r>
            <w:r w:rsidR="00736CF3">
              <w:rPr>
                <w:rFonts w:cs="Arial"/>
                <w:snapToGrid w:val="0"/>
              </w:rPr>
              <w:t xml:space="preserve"> (PSD November 2019, p18)</w:t>
            </w:r>
            <w:r w:rsidRPr="00555F48">
              <w:rPr>
                <w:rFonts w:cs="Arial"/>
                <w:snapToGrid w:val="0"/>
              </w:rPr>
              <w:t>.</w:t>
            </w:r>
          </w:p>
        </w:tc>
        <w:tc>
          <w:tcPr>
            <w:tcW w:w="2141" w:type="pct"/>
          </w:tcPr>
          <w:p w14:paraId="2BF2D24D" w14:textId="2C99CADB" w:rsidR="00AA57EF" w:rsidRPr="00555F48" w:rsidRDefault="00AA57EF" w:rsidP="00AB4598">
            <w:pPr>
              <w:pStyle w:val="TableText0"/>
              <w:rPr>
                <w:rFonts w:cs="Arial"/>
                <w:snapToGrid w:val="0"/>
                <w:highlight w:val="yellow"/>
              </w:rPr>
            </w:pPr>
            <w:r w:rsidRPr="00555F48">
              <w:rPr>
                <w:rFonts w:cs="Arial"/>
                <w:snapToGrid w:val="0"/>
              </w:rPr>
              <w:t xml:space="preserve">The model structure is unchanged from the </w:t>
            </w:r>
            <w:r w:rsidR="00AB4598">
              <w:rPr>
                <w:rFonts w:cs="Arial"/>
                <w:snapToGrid w:val="0"/>
              </w:rPr>
              <w:t>1408</w:t>
            </w:r>
            <w:r w:rsidR="00197DB5">
              <w:rPr>
                <w:rFonts w:cs="Arial"/>
                <w:snapToGrid w:val="0"/>
              </w:rPr>
              <w:t>application</w:t>
            </w:r>
            <w:r w:rsidRPr="00555F48">
              <w:rPr>
                <w:rFonts w:cs="Arial"/>
                <w:snapToGrid w:val="0"/>
              </w:rPr>
              <w:t>.</w:t>
            </w:r>
          </w:p>
        </w:tc>
      </w:tr>
      <w:tr w:rsidR="00AA57EF" w:rsidRPr="00CE28E3" w14:paraId="4B1CB02C" w14:textId="77777777" w:rsidTr="002756C5">
        <w:trPr>
          <w:cantSplit/>
        </w:trPr>
        <w:tc>
          <w:tcPr>
            <w:tcW w:w="784" w:type="pct"/>
          </w:tcPr>
          <w:p w14:paraId="04F2472E" w14:textId="77777777" w:rsidR="00AA57EF" w:rsidRPr="00555F48" w:rsidRDefault="00AA57EF" w:rsidP="00AA57EF">
            <w:pPr>
              <w:pStyle w:val="TableText0"/>
            </w:pPr>
            <w:r w:rsidRPr="00555F48">
              <w:lastRenderedPageBreak/>
              <w:t>Assumptions regarding clinical management</w:t>
            </w:r>
          </w:p>
        </w:tc>
        <w:tc>
          <w:tcPr>
            <w:tcW w:w="2075" w:type="pct"/>
          </w:tcPr>
          <w:p w14:paraId="5DA16582" w14:textId="090DA095" w:rsidR="00AA57EF" w:rsidRPr="00555F48" w:rsidRDefault="00AA57EF" w:rsidP="00AA57EF">
            <w:pPr>
              <w:pStyle w:val="TableText0"/>
              <w:rPr>
                <w:rFonts w:cs="Arial"/>
                <w:snapToGrid w:val="0"/>
              </w:rPr>
            </w:pPr>
            <w:r w:rsidRPr="00555F48">
              <w:rPr>
                <w:rFonts w:cs="Arial"/>
                <w:snapToGrid w:val="0"/>
              </w:rPr>
              <w:t>The model assumes all low-risk patients will not have chemotherapy and all high-risk patients will have chemotherapy. This may not be supported by the evidence</w:t>
            </w:r>
            <w:r w:rsidR="00736CF3">
              <w:rPr>
                <w:rFonts w:cs="Arial"/>
                <w:snapToGrid w:val="0"/>
              </w:rPr>
              <w:t xml:space="preserve"> (PSD November 2019, p18)</w:t>
            </w:r>
            <w:r w:rsidRPr="00555F48">
              <w:rPr>
                <w:rFonts w:cs="Arial"/>
                <w:snapToGrid w:val="0"/>
              </w:rPr>
              <w:t>.</w:t>
            </w:r>
          </w:p>
        </w:tc>
        <w:tc>
          <w:tcPr>
            <w:tcW w:w="2141" w:type="pct"/>
          </w:tcPr>
          <w:p w14:paraId="13C0161A" w14:textId="4EC3A609" w:rsidR="00AA57EF" w:rsidRPr="00555F48" w:rsidRDefault="00AA57EF" w:rsidP="00AB4598">
            <w:pPr>
              <w:pStyle w:val="TableText0"/>
              <w:rPr>
                <w:rFonts w:cs="Arial"/>
                <w:snapToGrid w:val="0"/>
              </w:rPr>
            </w:pPr>
            <w:r w:rsidRPr="00555F48">
              <w:rPr>
                <w:rFonts w:cs="Arial"/>
                <w:snapToGrid w:val="0"/>
              </w:rPr>
              <w:t xml:space="preserve">This assumption was unchanged from the </w:t>
            </w:r>
            <w:r w:rsidR="00AB4598">
              <w:rPr>
                <w:rFonts w:cs="Arial"/>
                <w:snapToGrid w:val="0"/>
              </w:rPr>
              <w:t>1408</w:t>
            </w:r>
            <w:r w:rsidR="00FC4BD5">
              <w:rPr>
                <w:rFonts w:cs="Arial"/>
                <w:snapToGrid w:val="0"/>
              </w:rPr>
              <w:t xml:space="preserve"> </w:t>
            </w:r>
            <w:r w:rsidR="00197DB5">
              <w:rPr>
                <w:rFonts w:cs="Arial"/>
                <w:snapToGrid w:val="0"/>
              </w:rPr>
              <w:t>application</w:t>
            </w:r>
            <w:r w:rsidRPr="00555F48">
              <w:rPr>
                <w:rFonts w:cs="Arial"/>
                <w:snapToGrid w:val="0"/>
              </w:rPr>
              <w:t xml:space="preserve"> in the base case analysis. No justification was presented to support this approach. A sensitivity analysis was presented that modelled </w:t>
            </w:r>
            <w:r>
              <w:rPr>
                <w:rFonts w:cs="Arial"/>
                <w:snapToGrid w:val="0"/>
              </w:rPr>
              <w:t xml:space="preserve">treatment </w:t>
            </w:r>
            <w:r w:rsidRPr="00555F48">
              <w:rPr>
                <w:rFonts w:cs="Arial"/>
                <w:snapToGrid w:val="0"/>
              </w:rPr>
              <w:t xml:space="preserve">decisions that deviated from </w:t>
            </w:r>
            <w:r w:rsidR="00D50E5C">
              <w:rPr>
                <w:rFonts w:cs="Arial"/>
                <w:snapToGrid w:val="0"/>
              </w:rPr>
              <w:t>EndoPredict</w:t>
            </w:r>
            <w:r w:rsidR="005F1260" w:rsidRPr="005F1260">
              <w:rPr>
                <w:rFonts w:cs="Arial"/>
                <w:snapToGrid w:val="0"/>
                <w:vertAlign w:val="superscript"/>
              </w:rPr>
              <w:t>®</w:t>
            </w:r>
            <w:r w:rsidRPr="00555F48">
              <w:rPr>
                <w:rFonts w:cs="Arial"/>
                <w:snapToGrid w:val="0"/>
              </w:rPr>
              <w:t>.</w:t>
            </w:r>
          </w:p>
        </w:tc>
      </w:tr>
      <w:tr w:rsidR="00AA57EF" w:rsidRPr="00CE28E3" w14:paraId="209FFCB9" w14:textId="77777777" w:rsidTr="002756C5">
        <w:trPr>
          <w:cantSplit/>
        </w:trPr>
        <w:tc>
          <w:tcPr>
            <w:tcW w:w="784" w:type="pct"/>
          </w:tcPr>
          <w:p w14:paraId="269F61D3" w14:textId="77777777" w:rsidR="00AA57EF" w:rsidRPr="00555F48" w:rsidRDefault="00AA57EF" w:rsidP="00AA57EF">
            <w:pPr>
              <w:pStyle w:val="TableText0"/>
            </w:pPr>
            <w:r w:rsidRPr="00555F48">
              <w:t>Applicability of the PROSPER trial</w:t>
            </w:r>
          </w:p>
        </w:tc>
        <w:tc>
          <w:tcPr>
            <w:tcW w:w="2075" w:type="pct"/>
          </w:tcPr>
          <w:p w14:paraId="4B78AD53" w14:textId="0F32FA87" w:rsidR="00AA57EF" w:rsidRPr="00555F48" w:rsidRDefault="00AA57EF" w:rsidP="00736CF3">
            <w:pPr>
              <w:pStyle w:val="TableText0"/>
            </w:pPr>
            <w:r w:rsidRPr="00555F48">
              <w:rPr>
                <w:rFonts w:cs="Arial"/>
                <w:snapToGrid w:val="0"/>
              </w:rPr>
              <w:t xml:space="preserve">Management practices and decisions reported in PROSPER were assumed to reflect Australian clinical practice. However, as PROSPER was conducted in </w:t>
            </w:r>
            <w:r>
              <w:rPr>
                <w:rFonts w:cs="Arial"/>
                <w:snapToGrid w:val="0"/>
              </w:rPr>
              <w:t>a limited number of</w:t>
            </w:r>
            <w:r w:rsidRPr="00555F48">
              <w:rPr>
                <w:rFonts w:cs="Arial"/>
                <w:snapToGrid w:val="0"/>
              </w:rPr>
              <w:t xml:space="preserve"> Australian sites that have a reputation for cancer care, the decisions made may not reflect </w:t>
            </w:r>
            <w:r w:rsidR="00FC4BD5">
              <w:rPr>
                <w:rFonts w:cs="Arial"/>
                <w:snapToGrid w:val="0"/>
              </w:rPr>
              <w:t>treatment</w:t>
            </w:r>
            <w:r w:rsidRPr="00555F48">
              <w:rPr>
                <w:rFonts w:cs="Arial"/>
                <w:snapToGrid w:val="0"/>
              </w:rPr>
              <w:t xml:space="preserve"> decisions more broadly</w:t>
            </w:r>
            <w:r w:rsidR="00736CF3">
              <w:rPr>
                <w:rFonts w:cs="Arial"/>
                <w:snapToGrid w:val="0"/>
              </w:rPr>
              <w:t xml:space="preserve"> (PSD November 2019, p19)</w:t>
            </w:r>
            <w:r w:rsidRPr="00555F48">
              <w:rPr>
                <w:rFonts w:cs="Arial"/>
                <w:snapToGrid w:val="0"/>
              </w:rPr>
              <w:t>.</w:t>
            </w:r>
          </w:p>
        </w:tc>
        <w:tc>
          <w:tcPr>
            <w:tcW w:w="2141" w:type="pct"/>
          </w:tcPr>
          <w:p w14:paraId="6F9E228A" w14:textId="77C2945F" w:rsidR="00AA57EF" w:rsidRPr="00555F48" w:rsidRDefault="00AA57EF" w:rsidP="00AB4598">
            <w:pPr>
              <w:pStyle w:val="TableText0"/>
            </w:pPr>
            <w:r w:rsidRPr="00555F48">
              <w:rPr>
                <w:rFonts w:cs="Arial"/>
                <w:snapToGrid w:val="0"/>
              </w:rPr>
              <w:t xml:space="preserve">This assumption was unchanged from the </w:t>
            </w:r>
            <w:r w:rsidR="00AB4598">
              <w:rPr>
                <w:rFonts w:cs="Arial"/>
                <w:snapToGrid w:val="0"/>
              </w:rPr>
              <w:t>1408</w:t>
            </w:r>
            <w:r w:rsidR="00FC4BD5">
              <w:rPr>
                <w:rFonts w:cs="Arial"/>
                <w:snapToGrid w:val="0"/>
              </w:rPr>
              <w:t xml:space="preserve"> </w:t>
            </w:r>
            <w:r w:rsidR="00197DB5">
              <w:rPr>
                <w:rFonts w:cs="Arial"/>
                <w:snapToGrid w:val="0"/>
              </w:rPr>
              <w:t>application</w:t>
            </w:r>
            <w:r w:rsidRPr="00555F48">
              <w:rPr>
                <w:rFonts w:cs="Arial"/>
                <w:snapToGrid w:val="0"/>
              </w:rPr>
              <w:t>.</w:t>
            </w:r>
          </w:p>
        </w:tc>
      </w:tr>
      <w:tr w:rsidR="00AA57EF" w:rsidRPr="00CE28E3" w14:paraId="422C5220" w14:textId="77777777" w:rsidTr="002756C5">
        <w:trPr>
          <w:cantSplit/>
        </w:trPr>
        <w:tc>
          <w:tcPr>
            <w:tcW w:w="784" w:type="pct"/>
          </w:tcPr>
          <w:p w14:paraId="34AF10F6" w14:textId="77777777" w:rsidR="00AA57EF" w:rsidRPr="00555F48" w:rsidRDefault="00AA57EF" w:rsidP="00AA57EF">
            <w:pPr>
              <w:pStyle w:val="TableText0"/>
            </w:pPr>
            <w:r w:rsidRPr="00555F48">
              <w:t>Transition probabilities derived from the EPclin score</w:t>
            </w:r>
          </w:p>
        </w:tc>
        <w:tc>
          <w:tcPr>
            <w:tcW w:w="2075" w:type="pct"/>
          </w:tcPr>
          <w:p w14:paraId="3B2A7958" w14:textId="2943C16D" w:rsidR="00AA57EF" w:rsidRPr="00555F48" w:rsidRDefault="00AA57EF" w:rsidP="00AA57EF">
            <w:pPr>
              <w:pStyle w:val="TableText0"/>
              <w:rPr>
                <w:rFonts w:cs="Arial"/>
                <w:snapToGrid w:val="0"/>
              </w:rPr>
            </w:pPr>
            <w:r w:rsidRPr="00555F48">
              <w:rPr>
                <w:rFonts w:cs="Arial"/>
                <w:snapToGrid w:val="0"/>
              </w:rPr>
              <w:t xml:space="preserve">The model inappropriately assumes a perfect relationship between the EPclin score and the 10-year rate of recurrence, without any loss of information during the transformation process </w:t>
            </w:r>
            <w:r w:rsidR="00736CF3">
              <w:rPr>
                <w:rFonts w:cs="Arial"/>
                <w:snapToGrid w:val="0"/>
              </w:rPr>
              <w:t>(PSD November 2019, p18)</w:t>
            </w:r>
            <w:r w:rsidR="004F6B7D">
              <w:rPr>
                <w:rFonts w:cs="Arial"/>
                <w:snapToGrid w:val="0"/>
              </w:rPr>
              <w:t>.</w:t>
            </w:r>
          </w:p>
          <w:p w14:paraId="677E05D9" w14:textId="48E88D92" w:rsidR="00AA57EF" w:rsidRPr="00555F48" w:rsidRDefault="00AA57EF" w:rsidP="00AA57EF">
            <w:pPr>
              <w:pStyle w:val="TableText0"/>
              <w:rPr>
                <w:rFonts w:cs="Arial"/>
                <w:snapToGrid w:val="0"/>
              </w:rPr>
            </w:pPr>
            <w:r w:rsidRPr="00555F48">
              <w:rPr>
                <w:rFonts w:cs="Arial"/>
                <w:snapToGrid w:val="0"/>
              </w:rPr>
              <w:t>The transition probabilities applied also assume that the EPclin score is predictive of chemotherapy response. MSAC recently confirmed (</w:t>
            </w:r>
            <w:r w:rsidR="00736CF3">
              <w:rPr>
                <w:rFonts w:cs="Arial"/>
                <w:snapToGrid w:val="0"/>
              </w:rPr>
              <w:t xml:space="preserve">PSD </w:t>
            </w:r>
            <w:r w:rsidRPr="00555F48">
              <w:rPr>
                <w:rFonts w:cs="Arial"/>
                <w:snapToGrid w:val="0"/>
              </w:rPr>
              <w:t>July 2021</w:t>
            </w:r>
            <w:r w:rsidR="00736CF3">
              <w:rPr>
                <w:rFonts w:cs="Arial"/>
                <w:snapToGrid w:val="0"/>
              </w:rPr>
              <w:t>, p1</w:t>
            </w:r>
            <w:r w:rsidRPr="00555F48">
              <w:rPr>
                <w:rFonts w:cs="Arial"/>
                <w:snapToGrid w:val="0"/>
              </w:rPr>
              <w:t>) that it did not accept predictive value had been adequately demonstrated for any GEP test.</w:t>
            </w:r>
          </w:p>
        </w:tc>
        <w:tc>
          <w:tcPr>
            <w:tcW w:w="2141" w:type="pct"/>
          </w:tcPr>
          <w:p w14:paraId="68B350B6" w14:textId="7EC2F506" w:rsidR="00AA57EF" w:rsidRPr="00555F48" w:rsidRDefault="00AA57EF" w:rsidP="00AB4598">
            <w:pPr>
              <w:pStyle w:val="TableText0"/>
              <w:rPr>
                <w:rFonts w:cs="Arial"/>
                <w:snapToGrid w:val="0"/>
              </w:rPr>
            </w:pPr>
            <w:r w:rsidRPr="00555F48">
              <w:rPr>
                <w:rFonts w:cs="Arial"/>
                <w:snapToGrid w:val="0"/>
              </w:rPr>
              <w:t xml:space="preserve">This assumption was unchanged from the </w:t>
            </w:r>
            <w:r w:rsidR="00AB4598">
              <w:rPr>
                <w:rFonts w:cs="Arial"/>
                <w:snapToGrid w:val="0"/>
              </w:rPr>
              <w:t>1408</w:t>
            </w:r>
            <w:r w:rsidR="00FC4BD5">
              <w:rPr>
                <w:rFonts w:cs="Arial"/>
                <w:snapToGrid w:val="0"/>
              </w:rPr>
              <w:t xml:space="preserve"> </w:t>
            </w:r>
            <w:r w:rsidR="00197DB5">
              <w:rPr>
                <w:rFonts w:cs="Arial"/>
                <w:snapToGrid w:val="0"/>
              </w:rPr>
              <w:t>application</w:t>
            </w:r>
            <w:r w:rsidRPr="00555F48">
              <w:rPr>
                <w:rFonts w:cs="Arial"/>
                <w:snapToGrid w:val="0"/>
              </w:rPr>
              <w:t>. No justification was presented to support this approach. A sensitivity analysis was presented assuming the same relative treatment effect of chemotherapy by EPclin score (i.e. no predictive effect).</w:t>
            </w:r>
          </w:p>
        </w:tc>
      </w:tr>
      <w:tr w:rsidR="00AA57EF" w:rsidRPr="00CE28E3" w14:paraId="2D52A8FB" w14:textId="77777777" w:rsidTr="002756C5">
        <w:trPr>
          <w:cantSplit/>
        </w:trPr>
        <w:tc>
          <w:tcPr>
            <w:tcW w:w="784" w:type="pct"/>
            <w:tcBorders>
              <w:bottom w:val="single" w:sz="4" w:space="0" w:color="auto"/>
            </w:tcBorders>
          </w:tcPr>
          <w:p w14:paraId="395760B4" w14:textId="3423E500" w:rsidR="00AA57EF" w:rsidRPr="00555F48" w:rsidRDefault="00AA57EF" w:rsidP="00AA57EF">
            <w:pPr>
              <w:pStyle w:val="TableText0"/>
            </w:pPr>
            <w:r w:rsidRPr="00555F48">
              <w:t>Extrapolation of 10</w:t>
            </w:r>
            <w:r>
              <w:t>-</w:t>
            </w:r>
            <w:r w:rsidRPr="00555F48">
              <w:t>year recurrence rate</w:t>
            </w:r>
          </w:p>
        </w:tc>
        <w:tc>
          <w:tcPr>
            <w:tcW w:w="2075" w:type="pct"/>
            <w:tcBorders>
              <w:bottom w:val="single" w:sz="4" w:space="0" w:color="auto"/>
            </w:tcBorders>
          </w:tcPr>
          <w:p w14:paraId="6825B361" w14:textId="0B519F3C" w:rsidR="00AA57EF" w:rsidRPr="00555F48" w:rsidRDefault="00AA57EF" w:rsidP="00736CF3">
            <w:pPr>
              <w:pStyle w:val="TableText0"/>
              <w:rPr>
                <w:rFonts w:cs="Arial"/>
                <w:snapToGrid w:val="0"/>
              </w:rPr>
            </w:pPr>
            <w:r w:rsidRPr="00555F48">
              <w:rPr>
                <w:rFonts w:cs="Arial"/>
                <w:snapToGrid w:val="0"/>
              </w:rPr>
              <w:t>Extrapolation of the 10-year recurrence rate directly out to 50 years was inappropriate</w:t>
            </w:r>
            <w:r w:rsidR="00736CF3">
              <w:rPr>
                <w:rFonts w:cs="Arial"/>
                <w:snapToGrid w:val="0"/>
              </w:rPr>
              <w:t xml:space="preserve"> (PSD November 2019, p19)</w:t>
            </w:r>
            <w:r w:rsidRPr="00555F48">
              <w:rPr>
                <w:rFonts w:cs="Arial"/>
                <w:snapToGrid w:val="0"/>
              </w:rPr>
              <w:t>.</w:t>
            </w:r>
          </w:p>
        </w:tc>
        <w:tc>
          <w:tcPr>
            <w:tcW w:w="2141" w:type="pct"/>
            <w:tcBorders>
              <w:bottom w:val="single" w:sz="4" w:space="0" w:color="auto"/>
            </w:tcBorders>
          </w:tcPr>
          <w:p w14:paraId="095F6FDA" w14:textId="183ED268" w:rsidR="00AA57EF" w:rsidRPr="00555F48" w:rsidRDefault="00AA57EF" w:rsidP="00AB4598">
            <w:pPr>
              <w:pStyle w:val="TableText0"/>
              <w:rPr>
                <w:rFonts w:cs="Arial"/>
                <w:snapToGrid w:val="0"/>
              </w:rPr>
            </w:pPr>
            <w:r w:rsidRPr="00555F48">
              <w:rPr>
                <w:rFonts w:cs="Arial"/>
                <w:snapToGrid w:val="0"/>
              </w:rPr>
              <w:t xml:space="preserve">This assumption was unchanged from the </w:t>
            </w:r>
            <w:r w:rsidR="00AB4598">
              <w:rPr>
                <w:rFonts w:cs="Arial"/>
                <w:snapToGrid w:val="0"/>
              </w:rPr>
              <w:t>1408</w:t>
            </w:r>
            <w:r w:rsidR="00FC4BD5">
              <w:rPr>
                <w:rFonts w:cs="Arial"/>
                <w:snapToGrid w:val="0"/>
              </w:rPr>
              <w:t xml:space="preserve"> </w:t>
            </w:r>
            <w:r w:rsidR="00197DB5">
              <w:rPr>
                <w:rFonts w:cs="Arial"/>
                <w:snapToGrid w:val="0"/>
              </w:rPr>
              <w:t>application</w:t>
            </w:r>
            <w:r w:rsidR="00FC4BD5" w:rsidRPr="00555F48" w:rsidDel="00FC4BD5">
              <w:rPr>
                <w:rFonts w:cs="Arial"/>
                <w:snapToGrid w:val="0"/>
              </w:rPr>
              <w:t xml:space="preserve"> </w:t>
            </w:r>
            <w:r w:rsidRPr="00555F48">
              <w:rPr>
                <w:rFonts w:cs="Arial"/>
                <w:snapToGrid w:val="0"/>
              </w:rPr>
              <w:t>and was not explored in sensitivity analyses. No justification was presented to support this approach.</w:t>
            </w:r>
          </w:p>
        </w:tc>
      </w:tr>
      <w:tr w:rsidR="00AA57EF" w:rsidRPr="00CE28E3" w14:paraId="10F1F952" w14:textId="77777777" w:rsidTr="002756C5">
        <w:trPr>
          <w:cantSplit/>
        </w:trPr>
        <w:tc>
          <w:tcPr>
            <w:tcW w:w="784" w:type="pct"/>
          </w:tcPr>
          <w:p w14:paraId="57297428" w14:textId="77777777" w:rsidR="00AA57EF" w:rsidRPr="00555F48" w:rsidRDefault="00AA57EF" w:rsidP="00AA57EF">
            <w:pPr>
              <w:pStyle w:val="TableText0"/>
            </w:pPr>
            <w:r w:rsidRPr="00555F48">
              <w:t>Utility values in model</w:t>
            </w:r>
          </w:p>
        </w:tc>
        <w:tc>
          <w:tcPr>
            <w:tcW w:w="2075" w:type="pct"/>
          </w:tcPr>
          <w:p w14:paraId="6C5A0D9A" w14:textId="00AEEE41" w:rsidR="00AA57EF" w:rsidRPr="00555F48" w:rsidRDefault="004A5596" w:rsidP="004A5596">
            <w:pPr>
              <w:pStyle w:val="TableText0"/>
              <w:rPr>
                <w:rFonts w:cs="Arial"/>
                <w:snapToGrid w:val="0"/>
              </w:rPr>
            </w:pPr>
            <w:r>
              <w:rPr>
                <w:rFonts w:cs="Arial"/>
                <w:snapToGrid w:val="0"/>
              </w:rPr>
              <w:t>Utility values m</w:t>
            </w:r>
            <w:r w:rsidR="00AA57EF" w:rsidRPr="00555F48">
              <w:rPr>
                <w:rFonts w:cs="Arial"/>
                <w:snapToGrid w:val="0"/>
              </w:rPr>
              <w:t>ay not accurately reflect their corresponding health state and are unrealistically high, favouring the intervention</w:t>
            </w:r>
            <w:r w:rsidR="00736CF3">
              <w:rPr>
                <w:rFonts w:cs="Arial"/>
                <w:snapToGrid w:val="0"/>
              </w:rPr>
              <w:t xml:space="preserve"> (PSD November 2019, p19)</w:t>
            </w:r>
            <w:r w:rsidR="00AA57EF" w:rsidRPr="00555F48">
              <w:rPr>
                <w:rFonts w:cs="Arial"/>
                <w:snapToGrid w:val="0"/>
              </w:rPr>
              <w:t>.</w:t>
            </w:r>
          </w:p>
        </w:tc>
        <w:tc>
          <w:tcPr>
            <w:tcW w:w="2141" w:type="pct"/>
          </w:tcPr>
          <w:p w14:paraId="55C8BC70" w14:textId="3D1A908F" w:rsidR="00AA57EF" w:rsidRPr="00555F48" w:rsidRDefault="00AA57EF" w:rsidP="00AB4598">
            <w:pPr>
              <w:pStyle w:val="TableText0"/>
              <w:rPr>
                <w:rFonts w:cs="Arial"/>
                <w:snapToGrid w:val="0"/>
              </w:rPr>
            </w:pPr>
            <w:r w:rsidRPr="00555F48">
              <w:rPr>
                <w:rFonts w:cs="Arial"/>
                <w:snapToGrid w:val="0"/>
              </w:rPr>
              <w:t xml:space="preserve">The utility values used were unchanged from the </w:t>
            </w:r>
            <w:r w:rsidR="00AB4598">
              <w:rPr>
                <w:rFonts w:cs="Arial"/>
                <w:snapToGrid w:val="0"/>
              </w:rPr>
              <w:t>1408</w:t>
            </w:r>
            <w:r w:rsidR="00FC4BD5">
              <w:rPr>
                <w:rFonts w:cs="Arial"/>
                <w:snapToGrid w:val="0"/>
              </w:rPr>
              <w:t xml:space="preserve"> </w:t>
            </w:r>
            <w:r w:rsidR="00197DB5">
              <w:rPr>
                <w:rFonts w:cs="Arial"/>
                <w:snapToGrid w:val="0"/>
              </w:rPr>
              <w:t>application</w:t>
            </w:r>
            <w:r w:rsidRPr="00555F48">
              <w:rPr>
                <w:rFonts w:cs="Arial"/>
                <w:snapToGrid w:val="0"/>
              </w:rPr>
              <w:t>. No justification was presented to support this. A sensitivity analysis was presented using alternate values.</w:t>
            </w:r>
          </w:p>
        </w:tc>
      </w:tr>
      <w:tr w:rsidR="00AA57EF" w:rsidRPr="00CE28E3" w14:paraId="43A9810C" w14:textId="77777777" w:rsidTr="002756C5">
        <w:trPr>
          <w:cantSplit/>
        </w:trPr>
        <w:tc>
          <w:tcPr>
            <w:tcW w:w="784" w:type="pct"/>
          </w:tcPr>
          <w:p w14:paraId="2DF67018" w14:textId="77777777" w:rsidR="00AA57EF" w:rsidRPr="00555F48" w:rsidRDefault="00AA57EF" w:rsidP="00AA57EF">
            <w:pPr>
              <w:pStyle w:val="TableText0"/>
            </w:pPr>
            <w:r w:rsidRPr="00555F48">
              <w:t>Applicability of costs reported in Verry et al. (2012)</w:t>
            </w:r>
          </w:p>
        </w:tc>
        <w:tc>
          <w:tcPr>
            <w:tcW w:w="2075" w:type="pct"/>
          </w:tcPr>
          <w:p w14:paraId="62371020" w14:textId="5C9EC692" w:rsidR="00AA57EF" w:rsidRPr="00555F48" w:rsidRDefault="00AA57EF" w:rsidP="00736CF3">
            <w:pPr>
              <w:pStyle w:val="TableText0"/>
            </w:pPr>
            <w:r w:rsidRPr="00555F48">
              <w:rPr>
                <w:rFonts w:cs="Arial"/>
                <w:snapToGrid w:val="0"/>
              </w:rPr>
              <w:t>Some costs used in the model were sourced from the literature and inflated to current prices using the CPI. This approach assumed that treatment practices had not changed since publication and were reflective of current practice</w:t>
            </w:r>
            <w:r w:rsidR="00736CF3">
              <w:rPr>
                <w:rFonts w:cs="Arial"/>
                <w:snapToGrid w:val="0"/>
              </w:rPr>
              <w:t xml:space="preserve"> (PSD November 2019, p19)</w:t>
            </w:r>
            <w:r w:rsidRPr="00555F48">
              <w:rPr>
                <w:rFonts w:cs="Arial"/>
                <w:snapToGrid w:val="0"/>
              </w:rPr>
              <w:t>.</w:t>
            </w:r>
          </w:p>
        </w:tc>
        <w:tc>
          <w:tcPr>
            <w:tcW w:w="2141" w:type="pct"/>
          </w:tcPr>
          <w:p w14:paraId="7572796F" w14:textId="3F28A14E" w:rsidR="00AA57EF" w:rsidRPr="00555F48" w:rsidRDefault="00AA57EF" w:rsidP="00AB4598">
            <w:pPr>
              <w:pStyle w:val="TableText0"/>
            </w:pPr>
            <w:r w:rsidRPr="00555F48">
              <w:rPr>
                <w:rFonts w:cs="Arial"/>
                <w:snapToGrid w:val="0"/>
              </w:rPr>
              <w:t xml:space="preserve">This assumption was unchanged from the </w:t>
            </w:r>
            <w:r w:rsidR="00AB4598">
              <w:rPr>
                <w:rFonts w:cs="Arial"/>
                <w:snapToGrid w:val="0"/>
              </w:rPr>
              <w:t>1408</w:t>
            </w:r>
            <w:r w:rsidR="00FC4BD5">
              <w:rPr>
                <w:rFonts w:cs="Arial"/>
                <w:snapToGrid w:val="0"/>
              </w:rPr>
              <w:t xml:space="preserve"> </w:t>
            </w:r>
            <w:r w:rsidR="00197DB5">
              <w:rPr>
                <w:rFonts w:cs="Arial"/>
                <w:snapToGrid w:val="0"/>
              </w:rPr>
              <w:t>application</w:t>
            </w:r>
            <w:r w:rsidRPr="00555F48">
              <w:rPr>
                <w:rFonts w:cs="Arial"/>
                <w:snapToGrid w:val="0"/>
              </w:rPr>
              <w:t>. No justification was presented to support this approach.</w:t>
            </w:r>
          </w:p>
        </w:tc>
      </w:tr>
      <w:tr w:rsidR="00AA57EF" w:rsidRPr="00CE28E3" w14:paraId="34F0426B" w14:textId="77777777" w:rsidTr="002756C5">
        <w:trPr>
          <w:cantSplit/>
        </w:trPr>
        <w:tc>
          <w:tcPr>
            <w:tcW w:w="784" w:type="pct"/>
          </w:tcPr>
          <w:p w14:paraId="58C88E96" w14:textId="77777777" w:rsidR="00AA57EF" w:rsidRPr="00555F48" w:rsidRDefault="00AA57EF" w:rsidP="00AA57EF">
            <w:pPr>
              <w:pStyle w:val="TableText0"/>
            </w:pPr>
            <w:r w:rsidRPr="00555F48">
              <w:t>Time horizon</w:t>
            </w:r>
          </w:p>
        </w:tc>
        <w:tc>
          <w:tcPr>
            <w:tcW w:w="2075" w:type="pct"/>
          </w:tcPr>
          <w:p w14:paraId="2112F98B" w14:textId="3DD07138" w:rsidR="00AA57EF" w:rsidRPr="00555F48" w:rsidRDefault="00AA57EF" w:rsidP="00736CF3">
            <w:pPr>
              <w:pStyle w:val="TableText0"/>
              <w:rPr>
                <w:rFonts w:cs="Arial"/>
                <w:snapToGrid w:val="0"/>
              </w:rPr>
            </w:pPr>
            <w:r w:rsidRPr="00555F48">
              <w:rPr>
                <w:rFonts w:cs="Arial"/>
                <w:snapToGrid w:val="0"/>
              </w:rPr>
              <w:t>While ESC considered that the 50-year time horizon may not be inappropriate, it was noted that longer time horizons appear to favour the intervention</w:t>
            </w:r>
            <w:r w:rsidR="00736CF3">
              <w:rPr>
                <w:rFonts w:cs="Arial"/>
                <w:snapToGrid w:val="0"/>
              </w:rPr>
              <w:t xml:space="preserve"> (PSD November 2019, p19)</w:t>
            </w:r>
            <w:r>
              <w:rPr>
                <w:rFonts w:cs="Arial"/>
                <w:snapToGrid w:val="0"/>
              </w:rPr>
              <w:t>.</w:t>
            </w:r>
          </w:p>
        </w:tc>
        <w:tc>
          <w:tcPr>
            <w:tcW w:w="2141" w:type="pct"/>
          </w:tcPr>
          <w:p w14:paraId="6FFC164C" w14:textId="7413DF93" w:rsidR="00AA57EF" w:rsidRPr="00555F48" w:rsidRDefault="00AA57EF" w:rsidP="00AB4598">
            <w:pPr>
              <w:pStyle w:val="TableText0"/>
              <w:rPr>
                <w:rFonts w:cs="Arial"/>
                <w:i/>
                <w:snapToGrid w:val="0"/>
              </w:rPr>
            </w:pPr>
            <w:r w:rsidRPr="00555F48">
              <w:rPr>
                <w:rFonts w:cs="Arial"/>
                <w:snapToGrid w:val="0"/>
              </w:rPr>
              <w:t xml:space="preserve">The time horizon was unchanged from the </w:t>
            </w:r>
            <w:r w:rsidR="00AB4598">
              <w:rPr>
                <w:rFonts w:cs="Arial"/>
                <w:snapToGrid w:val="0"/>
              </w:rPr>
              <w:t>1408</w:t>
            </w:r>
            <w:r w:rsidR="00FC4BD5">
              <w:rPr>
                <w:rFonts w:cs="Arial"/>
                <w:snapToGrid w:val="0"/>
              </w:rPr>
              <w:t xml:space="preserve"> </w:t>
            </w:r>
            <w:r w:rsidR="00197DB5">
              <w:rPr>
                <w:rFonts w:cs="Arial"/>
                <w:snapToGrid w:val="0"/>
              </w:rPr>
              <w:t>application</w:t>
            </w:r>
            <w:r w:rsidRPr="00555F48">
              <w:rPr>
                <w:rFonts w:cs="Arial"/>
                <w:snapToGrid w:val="0"/>
              </w:rPr>
              <w:t xml:space="preserve">. </w:t>
            </w:r>
            <w:r w:rsidRPr="00844998">
              <w:rPr>
                <w:rFonts w:cs="Arial"/>
                <w:iCs/>
                <w:snapToGrid w:val="0"/>
              </w:rPr>
              <w:t xml:space="preserve">This was longer than the 30-year time horizons applied in other </w:t>
            </w:r>
            <w:r w:rsidR="00FC4BD5" w:rsidRPr="00844998">
              <w:rPr>
                <w:rFonts w:cs="Arial"/>
                <w:iCs/>
                <w:snapToGrid w:val="0"/>
              </w:rPr>
              <w:t xml:space="preserve">applications </w:t>
            </w:r>
            <w:r w:rsidRPr="00844998">
              <w:rPr>
                <w:rFonts w:cs="Arial"/>
                <w:iCs/>
                <w:snapToGrid w:val="0"/>
              </w:rPr>
              <w:t xml:space="preserve">for </w:t>
            </w:r>
            <w:r w:rsidR="00FC4BD5" w:rsidRPr="00844998">
              <w:rPr>
                <w:rFonts w:cs="Arial"/>
                <w:iCs/>
                <w:snapToGrid w:val="0"/>
              </w:rPr>
              <w:t>GEP</w:t>
            </w:r>
            <w:r w:rsidRPr="00844998">
              <w:rPr>
                <w:rFonts w:cs="Arial"/>
                <w:iCs/>
                <w:snapToGrid w:val="0"/>
              </w:rPr>
              <w:t xml:space="preserve"> tests presented to MSAC.</w:t>
            </w:r>
            <w:r w:rsidR="00AB4598" w:rsidRPr="00844998">
              <w:rPr>
                <w:rFonts w:cs="Arial"/>
                <w:iCs/>
                <w:snapToGrid w:val="0"/>
                <w:vertAlign w:val="superscript"/>
              </w:rPr>
              <w:t>a</w:t>
            </w:r>
          </w:p>
        </w:tc>
      </w:tr>
      <w:tr w:rsidR="00AA57EF" w:rsidRPr="00CE28E3" w14:paraId="58AE685C" w14:textId="77777777" w:rsidTr="00804802">
        <w:trPr>
          <w:cantSplit/>
        </w:trPr>
        <w:tc>
          <w:tcPr>
            <w:tcW w:w="5000" w:type="pct"/>
            <w:gridSpan w:val="3"/>
          </w:tcPr>
          <w:p w14:paraId="23D25FB5" w14:textId="56CE9717" w:rsidR="00AA57EF" w:rsidRPr="00CE28E3" w:rsidRDefault="00AA57EF" w:rsidP="00F36329">
            <w:pPr>
              <w:pStyle w:val="TableText0"/>
              <w:keepNext/>
              <w:rPr>
                <w:rFonts w:cs="Arial"/>
                <w:snapToGrid w:val="0"/>
              </w:rPr>
            </w:pPr>
            <w:r w:rsidRPr="00BB3877">
              <w:rPr>
                <w:rFonts w:cs="Arial"/>
                <w:b/>
                <w:snapToGrid w:val="0"/>
              </w:rPr>
              <w:t xml:space="preserve">Key </w:t>
            </w:r>
            <w:r>
              <w:rPr>
                <w:rFonts w:cs="Arial"/>
                <w:b/>
                <w:snapToGrid w:val="0"/>
              </w:rPr>
              <w:t>financial</w:t>
            </w:r>
            <w:r w:rsidRPr="00BB3877">
              <w:rPr>
                <w:rFonts w:cs="Arial"/>
                <w:b/>
                <w:snapToGrid w:val="0"/>
              </w:rPr>
              <w:t xml:space="preserve"> </w:t>
            </w:r>
            <w:r>
              <w:rPr>
                <w:rFonts w:cs="Arial"/>
                <w:b/>
                <w:snapToGrid w:val="0"/>
              </w:rPr>
              <w:t>matter</w:t>
            </w:r>
            <w:r w:rsidRPr="00BB3877">
              <w:rPr>
                <w:rFonts w:cs="Arial"/>
                <w:b/>
                <w:snapToGrid w:val="0"/>
              </w:rPr>
              <w:t>s</w:t>
            </w:r>
            <w:r>
              <w:rPr>
                <w:rFonts w:cs="Arial"/>
                <w:b/>
                <w:snapToGrid w:val="0"/>
              </w:rPr>
              <w:t xml:space="preserve"> of concern</w:t>
            </w:r>
          </w:p>
        </w:tc>
      </w:tr>
      <w:tr w:rsidR="00AA57EF" w:rsidRPr="00CE28E3" w14:paraId="2B50BD99" w14:textId="77777777" w:rsidTr="002756C5">
        <w:trPr>
          <w:cantSplit/>
        </w:trPr>
        <w:tc>
          <w:tcPr>
            <w:tcW w:w="784" w:type="pct"/>
          </w:tcPr>
          <w:p w14:paraId="3054312A" w14:textId="7D4BB8E4" w:rsidR="00AA57EF" w:rsidRPr="007405C4" w:rsidRDefault="00AA57EF" w:rsidP="00AA57EF">
            <w:pPr>
              <w:pStyle w:val="TableText0"/>
            </w:pPr>
            <w:r>
              <w:t>Acceptable net budget impact</w:t>
            </w:r>
          </w:p>
        </w:tc>
        <w:tc>
          <w:tcPr>
            <w:tcW w:w="2075" w:type="pct"/>
          </w:tcPr>
          <w:p w14:paraId="5D00F59E" w14:textId="77777777" w:rsidR="00AA57EF" w:rsidRDefault="00AA57EF" w:rsidP="00AA57EF">
            <w:pPr>
              <w:pStyle w:val="TableText0"/>
              <w:rPr>
                <w:rFonts w:cs="Arial"/>
                <w:snapToGrid w:val="0"/>
              </w:rPr>
            </w:pPr>
            <w:r>
              <w:rPr>
                <w:rFonts w:cs="Arial"/>
                <w:snapToGrid w:val="0"/>
              </w:rPr>
              <w:t xml:space="preserve">MSAC advised that the GEP test </w:t>
            </w:r>
            <w:r w:rsidRPr="00B303DF">
              <w:rPr>
                <w:rFonts w:cs="Arial"/>
                <w:snapToGrid w:val="0"/>
              </w:rPr>
              <w:t>must have an acceptable budget impact, based on robust estimates of the expected utilisation rates of testing for t</w:t>
            </w:r>
            <w:r>
              <w:rPr>
                <w:rFonts w:cs="Arial"/>
                <w:snapToGrid w:val="0"/>
              </w:rPr>
              <w:t>he proposed eligible population (PSD July 2021, p4).</w:t>
            </w:r>
          </w:p>
          <w:p w14:paraId="5C7DDA60" w14:textId="77777777" w:rsidR="00AA57EF" w:rsidRDefault="00AA57EF" w:rsidP="00AA57EF">
            <w:pPr>
              <w:pStyle w:val="TableText0"/>
              <w:rPr>
                <w:rFonts w:cs="Arial"/>
                <w:snapToGrid w:val="0"/>
              </w:rPr>
            </w:pPr>
            <w:r>
              <w:rPr>
                <w:rFonts w:cs="Arial"/>
                <w:snapToGrid w:val="0"/>
              </w:rPr>
              <w:t xml:space="preserve">During the November 2019 consideration, MSAC considered that the estimated size of the eligible population was uncertain as no justification or rationale had been provided for some of the </w:t>
            </w:r>
            <w:r w:rsidRPr="007405C4">
              <w:rPr>
                <w:rFonts w:cs="Arial"/>
                <w:snapToGrid w:val="0"/>
              </w:rPr>
              <w:t>input variables</w:t>
            </w:r>
            <w:r w:rsidR="00AB4598">
              <w:rPr>
                <w:rFonts w:cs="Arial"/>
                <w:snapToGrid w:val="0"/>
              </w:rPr>
              <w:t xml:space="preserve"> (PSD November 2019, p3)</w:t>
            </w:r>
            <w:r>
              <w:rPr>
                <w:rFonts w:cs="Arial"/>
                <w:snapToGrid w:val="0"/>
              </w:rPr>
              <w:t>.</w:t>
            </w:r>
          </w:p>
          <w:p w14:paraId="31158D5B" w14:textId="77777777" w:rsidR="007640A0" w:rsidRDefault="007640A0" w:rsidP="00AA57EF">
            <w:pPr>
              <w:pStyle w:val="TableText0"/>
              <w:rPr>
                <w:rFonts w:cs="Arial"/>
                <w:snapToGrid w:val="0"/>
              </w:rPr>
            </w:pPr>
          </w:p>
          <w:p w14:paraId="28EEE1B1" w14:textId="632F8531" w:rsidR="007640A0" w:rsidRPr="007405C4" w:rsidRDefault="007640A0" w:rsidP="00AA57EF">
            <w:pPr>
              <w:pStyle w:val="TableText0"/>
              <w:rPr>
                <w:rFonts w:cs="Arial"/>
                <w:snapToGrid w:val="0"/>
              </w:rPr>
            </w:pPr>
          </w:p>
        </w:tc>
        <w:tc>
          <w:tcPr>
            <w:tcW w:w="2141" w:type="pct"/>
          </w:tcPr>
          <w:p w14:paraId="6F550293" w14:textId="336554D3" w:rsidR="00AA57EF" w:rsidRPr="00673B5F" w:rsidRDefault="00AA57EF" w:rsidP="00AB4598">
            <w:pPr>
              <w:pStyle w:val="TableText0"/>
              <w:rPr>
                <w:rFonts w:cs="Arial"/>
                <w:snapToGrid w:val="0"/>
              </w:rPr>
            </w:pPr>
            <w:r>
              <w:rPr>
                <w:rFonts w:cs="Arial"/>
                <w:snapToGrid w:val="0"/>
              </w:rPr>
              <w:t xml:space="preserve">The financial impact analysis was updated to reflect the proposed fee arrangement, updated PROSPER data for the net change in chemotherapy use, and minor updates to costs and incidence estimates. </w:t>
            </w:r>
            <w:r w:rsidR="00AB4598">
              <w:rPr>
                <w:rFonts w:cs="Arial"/>
                <w:snapToGrid w:val="0"/>
              </w:rPr>
              <w:t>However, t</w:t>
            </w:r>
            <w:r w:rsidRPr="00673B5F">
              <w:rPr>
                <w:rFonts w:cs="Arial"/>
                <w:snapToGrid w:val="0"/>
              </w:rPr>
              <w:t>he</w:t>
            </w:r>
            <w:r w:rsidR="00AB4598">
              <w:rPr>
                <w:rFonts w:cs="Arial"/>
                <w:snapToGrid w:val="0"/>
              </w:rPr>
              <w:t>se</w:t>
            </w:r>
            <w:r w:rsidRPr="00673B5F">
              <w:rPr>
                <w:rFonts w:cs="Arial"/>
                <w:snapToGrid w:val="0"/>
              </w:rPr>
              <w:t xml:space="preserve"> changes do not address the concerns regarding the input variables used to estimate the </w:t>
            </w:r>
            <w:r>
              <w:rPr>
                <w:rFonts w:cs="Arial"/>
                <w:snapToGrid w:val="0"/>
              </w:rPr>
              <w:t xml:space="preserve">size of the </w:t>
            </w:r>
            <w:r w:rsidRPr="00673B5F">
              <w:rPr>
                <w:rFonts w:cs="Arial"/>
                <w:snapToGrid w:val="0"/>
              </w:rPr>
              <w:t>eligible population</w:t>
            </w:r>
            <w:r w:rsidR="00FC4BD5">
              <w:rPr>
                <w:rFonts w:cs="Arial"/>
                <w:snapToGrid w:val="0"/>
              </w:rPr>
              <w:t xml:space="preserve"> noted in the November 2019 PSD</w:t>
            </w:r>
            <w:r w:rsidRPr="00673B5F">
              <w:rPr>
                <w:rFonts w:cs="Arial"/>
                <w:snapToGrid w:val="0"/>
              </w:rPr>
              <w:t>.</w:t>
            </w:r>
          </w:p>
        </w:tc>
      </w:tr>
      <w:tr w:rsidR="00AA57EF" w:rsidRPr="00CE28E3" w14:paraId="09E80637" w14:textId="77777777" w:rsidTr="00E174DB">
        <w:trPr>
          <w:cantSplit/>
        </w:trPr>
        <w:tc>
          <w:tcPr>
            <w:tcW w:w="5000" w:type="pct"/>
            <w:gridSpan w:val="3"/>
            <w:tcBorders>
              <w:bottom w:val="single" w:sz="4" w:space="0" w:color="auto"/>
            </w:tcBorders>
          </w:tcPr>
          <w:p w14:paraId="27A89850" w14:textId="77777777" w:rsidR="00AA57EF" w:rsidRDefault="00AA57EF" w:rsidP="00E174DB">
            <w:pPr>
              <w:pStyle w:val="TableText0"/>
              <w:rPr>
                <w:rFonts w:cs="Arial"/>
                <w:snapToGrid w:val="0"/>
              </w:rPr>
            </w:pPr>
            <w:r>
              <w:lastRenderedPageBreak/>
              <w:t>Matters of financial concern outstanding from the November 2019 consideration</w:t>
            </w:r>
          </w:p>
        </w:tc>
      </w:tr>
      <w:tr w:rsidR="00AA57EF" w:rsidRPr="00CE28E3" w14:paraId="73C5029A" w14:textId="77777777" w:rsidTr="002756C5">
        <w:trPr>
          <w:cantSplit/>
        </w:trPr>
        <w:tc>
          <w:tcPr>
            <w:tcW w:w="784" w:type="pct"/>
          </w:tcPr>
          <w:p w14:paraId="05DA5CFD" w14:textId="77777777" w:rsidR="00AA57EF" w:rsidRPr="00D57EA7" w:rsidRDefault="00AA57EF" w:rsidP="00AA57EF">
            <w:pPr>
              <w:pStyle w:val="TableText0"/>
            </w:pPr>
            <w:r w:rsidRPr="007405C4">
              <w:t>Timing of the test</w:t>
            </w:r>
          </w:p>
        </w:tc>
        <w:tc>
          <w:tcPr>
            <w:tcW w:w="2075" w:type="pct"/>
          </w:tcPr>
          <w:p w14:paraId="252E0963" w14:textId="77777777" w:rsidR="00AA57EF" w:rsidRPr="00CE28E3" w:rsidRDefault="00AA57EF" w:rsidP="00AA57EF">
            <w:pPr>
              <w:pStyle w:val="TableText0"/>
              <w:rPr>
                <w:rFonts w:cs="Arial"/>
                <w:snapToGrid w:val="0"/>
              </w:rPr>
            </w:pPr>
            <w:r w:rsidRPr="007405C4">
              <w:rPr>
                <w:rFonts w:cs="Arial"/>
                <w:snapToGrid w:val="0"/>
              </w:rPr>
              <w:t>Consider when the test is requested – for example, before or after surgical discharge, and whether there would be an inpatient/outpatient split (104/110; 75%/85%).</w:t>
            </w:r>
          </w:p>
        </w:tc>
        <w:tc>
          <w:tcPr>
            <w:tcW w:w="2141" w:type="pct"/>
          </w:tcPr>
          <w:p w14:paraId="722AECA2" w14:textId="4B686497" w:rsidR="00AA57EF" w:rsidRPr="00CE28E3" w:rsidRDefault="00AA57EF" w:rsidP="00AB4598">
            <w:pPr>
              <w:pStyle w:val="TableText0"/>
              <w:rPr>
                <w:rFonts w:cs="Arial"/>
                <w:snapToGrid w:val="0"/>
              </w:rPr>
            </w:pPr>
            <w:r>
              <w:rPr>
                <w:rFonts w:cs="Arial"/>
                <w:snapToGrid w:val="0"/>
              </w:rPr>
              <w:t xml:space="preserve">The assumption that all services would incur the 75% benefit was unchanged from the </w:t>
            </w:r>
            <w:r w:rsidR="00AB4598">
              <w:rPr>
                <w:rFonts w:cs="Arial"/>
                <w:snapToGrid w:val="0"/>
              </w:rPr>
              <w:t>1408</w:t>
            </w:r>
            <w:r w:rsidR="00FC4BD5">
              <w:rPr>
                <w:rFonts w:cs="Arial"/>
                <w:snapToGrid w:val="0"/>
              </w:rPr>
              <w:t xml:space="preserve"> </w:t>
            </w:r>
            <w:r w:rsidR="00197DB5">
              <w:rPr>
                <w:rFonts w:cs="Arial"/>
                <w:snapToGrid w:val="0"/>
              </w:rPr>
              <w:t>application</w:t>
            </w:r>
            <w:r>
              <w:rPr>
                <w:rFonts w:cs="Arial"/>
                <w:snapToGrid w:val="0"/>
              </w:rPr>
              <w:t>. No justification was provided to support this approach.</w:t>
            </w:r>
          </w:p>
        </w:tc>
      </w:tr>
    </w:tbl>
    <w:p w14:paraId="5616AE6A" w14:textId="77777777" w:rsidR="000F0726" w:rsidRDefault="000F0726" w:rsidP="000F0726">
      <w:pPr>
        <w:pStyle w:val="TableFigureFooter"/>
        <w:keepNext/>
        <w:spacing w:before="0" w:after="0"/>
        <w:contextualSpacing w:val="0"/>
      </w:pPr>
      <w:bookmarkStart w:id="15" w:name="_Hlk68275617"/>
      <w:bookmarkEnd w:id="11"/>
      <w:r w:rsidRPr="00AB4598">
        <w:rPr>
          <w:vertAlign w:val="superscript"/>
        </w:rPr>
        <w:t>a</w:t>
      </w:r>
      <w:r w:rsidRPr="00AB4598">
        <w:t xml:space="preserve"> MSAC Application 1376.1, March 2018 MSAC Meeting PSD; MSAC Application 1473, November 2017 MSAC Meeting PSD; and MSAC Application 1342, November 2013 MSAC Meeting PSD.</w:t>
      </w:r>
    </w:p>
    <w:p w14:paraId="6801C29B" w14:textId="04F65B24" w:rsidR="002056CD" w:rsidRDefault="002056CD" w:rsidP="000F0726">
      <w:pPr>
        <w:pStyle w:val="TableFigureFooter"/>
        <w:keepNext/>
        <w:spacing w:before="0" w:after="0"/>
      </w:pPr>
      <w:r>
        <w:t xml:space="preserve">GEP = gene expression profile; IVD = </w:t>
      </w:r>
      <w:r w:rsidRPr="0017008B">
        <w:rPr>
          <w:i/>
          <w:iCs/>
        </w:rPr>
        <w:t>in vitro</w:t>
      </w:r>
      <w:r>
        <w:t xml:space="preserve"> d</w:t>
      </w:r>
      <w:r w:rsidR="0017008B">
        <w:t>iagnostic</w:t>
      </w:r>
      <w:r>
        <w:t xml:space="preserve">; </w:t>
      </w:r>
      <w:r w:rsidRPr="00CE28E3">
        <w:t>MSAC = Medical Services Advisory Committee;</w:t>
      </w:r>
      <w:r>
        <w:t xml:space="preserve"> NATA = National Association of Testing Authorities; NICE = National Institute for Health and Care Excellence; NPAAC = National Pathology Accreditation Advisory Council;</w:t>
      </w:r>
      <w:r w:rsidRPr="00CE28E3">
        <w:t xml:space="preserve"> </w:t>
      </w:r>
      <w:r>
        <w:t xml:space="preserve">NPI = Nottingham Prognostic Index; </w:t>
      </w:r>
      <w:r w:rsidRPr="00CE28E3">
        <w:t>PSD = Public Summary Document</w:t>
      </w:r>
      <w:r>
        <w:t>; TGA = Therapeutic Goods Administration</w:t>
      </w:r>
      <w:r w:rsidR="0017008B">
        <w:t>.</w:t>
      </w:r>
    </w:p>
    <w:p w14:paraId="6EC87CA2" w14:textId="494912B5" w:rsidR="0062798F" w:rsidRPr="0062798F" w:rsidRDefault="0062798F" w:rsidP="00197DB5">
      <w:pPr>
        <w:pStyle w:val="TableFigureFooter"/>
        <w:spacing w:after="480"/>
      </w:pPr>
      <w:r>
        <w:t xml:space="preserve">Source: </w:t>
      </w:r>
      <w:r w:rsidR="006A2C29">
        <w:t>c</w:t>
      </w:r>
      <w:r>
        <w:t>ommentary, Table COM.1</w:t>
      </w:r>
    </w:p>
    <w:p w14:paraId="2693AD78" w14:textId="447FE053" w:rsidR="002056CD" w:rsidRPr="00056090" w:rsidRDefault="006A153F" w:rsidP="002056CD">
      <w:pPr>
        <w:pStyle w:val="Heading2"/>
        <w:rPr>
          <w:rFonts w:ascii="Franklin Gothic Medium" w:hAnsi="Franklin Gothic Medium" w:cstheme="majorBidi"/>
        </w:rPr>
      </w:pPr>
      <w:bookmarkStart w:id="16" w:name="_Toc69491417"/>
      <w:bookmarkStart w:id="17" w:name="_Toc102569851"/>
      <w:bookmarkEnd w:id="10"/>
      <w:bookmarkEnd w:id="15"/>
      <w:r>
        <w:rPr>
          <w:rFonts w:ascii="Franklin Gothic Medium" w:hAnsi="Franklin Gothic Medium" w:cstheme="majorBidi"/>
        </w:rPr>
        <w:t>5</w:t>
      </w:r>
      <w:r w:rsidR="002056CD" w:rsidRPr="00056090">
        <w:rPr>
          <w:rFonts w:ascii="Franklin Gothic Medium" w:hAnsi="Franklin Gothic Medium" w:cstheme="majorBidi"/>
        </w:rPr>
        <w:t>.</w:t>
      </w:r>
      <w:r w:rsidR="002056CD" w:rsidRPr="00056090">
        <w:rPr>
          <w:rFonts w:ascii="Franklin Gothic Medium" w:hAnsi="Franklin Gothic Medium" w:cstheme="majorBidi"/>
        </w:rPr>
        <w:tab/>
        <w:t>Prerequisites to implementation of any funding advice</w:t>
      </w:r>
      <w:bookmarkEnd w:id="16"/>
      <w:bookmarkEnd w:id="17"/>
    </w:p>
    <w:p w14:paraId="0A72A36C" w14:textId="4E36629D" w:rsidR="002056CD" w:rsidRPr="00056090" w:rsidRDefault="002056CD" w:rsidP="00056090">
      <w:pPr>
        <w:spacing w:after="240"/>
        <w:rPr>
          <w:rFonts w:ascii="Franklin Gothic Book" w:hAnsi="Franklin Gothic Book"/>
          <w:iCs/>
        </w:rPr>
      </w:pPr>
      <w:r w:rsidRPr="00056090">
        <w:rPr>
          <w:rFonts w:ascii="Franklin Gothic Book" w:hAnsi="Franklin Gothic Book"/>
          <w:iCs/>
        </w:rPr>
        <w:t xml:space="preserve">The proposed technology is an IVD Class 3, and was </w:t>
      </w:r>
      <w:r w:rsidR="002B7F72" w:rsidRPr="00056090">
        <w:rPr>
          <w:rFonts w:ascii="Franklin Gothic Book" w:hAnsi="Franklin Gothic Book"/>
          <w:iCs/>
        </w:rPr>
        <w:t>included in the Australian Register of Therapeutic Goods</w:t>
      </w:r>
      <w:r w:rsidR="00FA0DDA" w:rsidRPr="00056090">
        <w:rPr>
          <w:rFonts w:ascii="Franklin Gothic Book" w:hAnsi="Franklin Gothic Book"/>
          <w:iCs/>
        </w:rPr>
        <w:t xml:space="preserve"> (ARTG) </w:t>
      </w:r>
      <w:r w:rsidRPr="00056090">
        <w:rPr>
          <w:rFonts w:ascii="Franklin Gothic Book" w:hAnsi="Franklin Gothic Book"/>
          <w:iCs/>
        </w:rPr>
        <w:t>on 13 February 2017 (ARTG identifier 285557).</w:t>
      </w:r>
    </w:p>
    <w:p w14:paraId="375C4E1D" w14:textId="0816BCC5" w:rsidR="002056CD" w:rsidRPr="00056090" w:rsidRDefault="00A1627E" w:rsidP="00056090">
      <w:pPr>
        <w:spacing w:after="240"/>
        <w:rPr>
          <w:rFonts w:ascii="Franklin Gothic Book" w:hAnsi="Franklin Gothic Book"/>
          <w:iCs/>
        </w:rPr>
      </w:pPr>
      <w:r w:rsidRPr="00056090">
        <w:rPr>
          <w:rFonts w:ascii="Franklin Gothic Book" w:hAnsi="Franklin Gothic Book"/>
          <w:iCs/>
        </w:rPr>
        <w:t>T</w:t>
      </w:r>
      <w:r w:rsidR="002056CD" w:rsidRPr="00056090">
        <w:rPr>
          <w:rFonts w:ascii="Franklin Gothic Book" w:hAnsi="Franklin Gothic Book"/>
          <w:iCs/>
        </w:rPr>
        <w:t xml:space="preserve">he </w:t>
      </w:r>
      <w:r w:rsidR="002B7F72" w:rsidRPr="00056090">
        <w:rPr>
          <w:rFonts w:ascii="Franklin Gothic Book" w:hAnsi="Franklin Gothic Book"/>
          <w:iCs/>
        </w:rPr>
        <w:t xml:space="preserve">ARTG listing provides for </w:t>
      </w:r>
      <w:r w:rsidR="002056CD" w:rsidRPr="00056090">
        <w:rPr>
          <w:rFonts w:ascii="Franklin Gothic Book" w:hAnsi="Franklin Gothic Book"/>
          <w:iCs/>
        </w:rPr>
        <w:t xml:space="preserve">the intended purposes of </w:t>
      </w:r>
      <w:r w:rsidR="00D50E5C" w:rsidRPr="00056090">
        <w:rPr>
          <w:rFonts w:ascii="Franklin Gothic Book" w:hAnsi="Franklin Gothic Book"/>
          <w:iCs/>
        </w:rPr>
        <w:t>EndoPredict</w:t>
      </w:r>
      <w:r w:rsidR="005F1260" w:rsidRPr="005F1260">
        <w:rPr>
          <w:rFonts w:ascii="Franklin Gothic Book" w:hAnsi="Franklin Gothic Book"/>
          <w:iCs/>
          <w:vertAlign w:val="superscript"/>
        </w:rPr>
        <w:t>®</w:t>
      </w:r>
      <w:r w:rsidRPr="00056090">
        <w:rPr>
          <w:rFonts w:ascii="Franklin Gothic Book" w:hAnsi="Franklin Gothic Book"/>
          <w:iCs/>
        </w:rPr>
        <w:t xml:space="preserve"> as being</w:t>
      </w:r>
      <w:r w:rsidR="002056CD" w:rsidRPr="00056090">
        <w:rPr>
          <w:rFonts w:ascii="Franklin Gothic Book" w:hAnsi="Franklin Gothic Book"/>
          <w:iCs/>
        </w:rPr>
        <w:t>:</w:t>
      </w:r>
    </w:p>
    <w:p w14:paraId="6B2D74D1" w14:textId="77777777" w:rsidR="002056CD" w:rsidRPr="00056090" w:rsidRDefault="002056CD" w:rsidP="00056090">
      <w:pPr>
        <w:spacing w:after="240"/>
        <w:ind w:left="720"/>
        <w:rPr>
          <w:rFonts w:ascii="Franklin Gothic Book" w:hAnsi="Franklin Gothic Book"/>
          <w:i/>
        </w:rPr>
      </w:pPr>
      <w:r w:rsidRPr="00056090">
        <w:rPr>
          <w:rFonts w:ascii="Franklin Gothic Book" w:hAnsi="Franklin Gothic Book"/>
          <w:i/>
        </w:rPr>
        <w:t>“An in vitro diagnostic kit for patients with estrogen-receptor-positive, HER-2 negative primary breast cancer to determine the risk of distant recurrence and to estimate the adjuvant chemotherapy benefit.”</w:t>
      </w:r>
    </w:p>
    <w:p w14:paraId="675EBFB8" w14:textId="6B54875D" w:rsidR="002B7F72" w:rsidRPr="00197DB5" w:rsidRDefault="001671D2" w:rsidP="00056090">
      <w:pPr>
        <w:spacing w:after="240"/>
        <w:rPr>
          <w:rFonts w:ascii="Franklin Gothic Book" w:hAnsi="Franklin Gothic Book"/>
          <w:iCs/>
        </w:rPr>
      </w:pPr>
      <w:bookmarkStart w:id="18" w:name="_Toc69491418"/>
      <w:r w:rsidRPr="00197DB5">
        <w:rPr>
          <w:rFonts w:ascii="Franklin Gothic Book" w:hAnsi="Franklin Gothic Book"/>
          <w:iCs/>
        </w:rPr>
        <w:t>As part of its pre-ESC response, t</w:t>
      </w:r>
      <w:r w:rsidR="002B7F72" w:rsidRPr="00197DB5">
        <w:rPr>
          <w:rFonts w:ascii="Franklin Gothic Book" w:hAnsi="Franklin Gothic Book"/>
          <w:iCs/>
        </w:rPr>
        <w:t>he applicant provide</w:t>
      </w:r>
      <w:r w:rsidRPr="00197DB5">
        <w:rPr>
          <w:rFonts w:ascii="Franklin Gothic Book" w:hAnsi="Franklin Gothic Book"/>
          <w:iCs/>
        </w:rPr>
        <w:t>d</w:t>
      </w:r>
      <w:r w:rsidR="002B7F72" w:rsidRPr="00197DB5">
        <w:rPr>
          <w:rFonts w:ascii="Franklin Gothic Book" w:hAnsi="Franklin Gothic Book"/>
          <w:iCs/>
        </w:rPr>
        <w:t xml:space="preserve"> the TGA-approved Instructions for Use document accompanying this ARTG listing in order to confirm the intended purposes of </w:t>
      </w:r>
      <w:r w:rsidR="00D50E5C" w:rsidRPr="00197DB5">
        <w:rPr>
          <w:rFonts w:ascii="Franklin Gothic Book" w:hAnsi="Franklin Gothic Book"/>
          <w:iCs/>
        </w:rPr>
        <w:t>EndoPredict</w:t>
      </w:r>
      <w:r w:rsidR="005F1260" w:rsidRPr="005F1260">
        <w:rPr>
          <w:rFonts w:ascii="Franklin Gothic Book" w:hAnsi="Franklin Gothic Book"/>
          <w:iCs/>
          <w:vertAlign w:val="superscript"/>
        </w:rPr>
        <w:t>®</w:t>
      </w:r>
      <w:r w:rsidR="002B7F72" w:rsidRPr="00197DB5">
        <w:rPr>
          <w:rFonts w:ascii="Franklin Gothic Book" w:hAnsi="Franklin Gothic Book"/>
          <w:iCs/>
        </w:rPr>
        <w:t xml:space="preserve"> in this document.</w:t>
      </w:r>
    </w:p>
    <w:p w14:paraId="7EA2D60F" w14:textId="4F1CB8E1" w:rsidR="00A1627E" w:rsidRPr="00056090" w:rsidRDefault="00A1627E" w:rsidP="00056090">
      <w:pPr>
        <w:spacing w:after="240"/>
        <w:rPr>
          <w:rFonts w:ascii="Franklin Gothic Book" w:hAnsi="Franklin Gothic Book"/>
          <w:iCs/>
        </w:rPr>
      </w:pPr>
      <w:r w:rsidRPr="00056090">
        <w:rPr>
          <w:rFonts w:ascii="Franklin Gothic Book" w:hAnsi="Franklin Gothic Book"/>
          <w:iCs/>
        </w:rPr>
        <w:t xml:space="preserve">In addition to TGA </w:t>
      </w:r>
      <w:r w:rsidR="002B7F72" w:rsidRPr="00056090">
        <w:rPr>
          <w:rFonts w:ascii="Franklin Gothic Book" w:hAnsi="Franklin Gothic Book"/>
          <w:iCs/>
        </w:rPr>
        <w:t>approval</w:t>
      </w:r>
      <w:r w:rsidRPr="00056090">
        <w:rPr>
          <w:rFonts w:ascii="Franklin Gothic Book" w:hAnsi="Franklin Gothic Book"/>
          <w:iCs/>
        </w:rPr>
        <w:t xml:space="preserve">, MSAC advised that NATA and NPAAC accreditation requirements must be met for the GEP </w:t>
      </w:r>
      <w:r w:rsidR="006F4F49" w:rsidRPr="00056090">
        <w:rPr>
          <w:rFonts w:ascii="Franklin Gothic Book" w:hAnsi="Franklin Gothic Book"/>
          <w:iCs/>
        </w:rPr>
        <w:t xml:space="preserve">test </w:t>
      </w:r>
      <w:r w:rsidRPr="00056090">
        <w:rPr>
          <w:rFonts w:ascii="Franklin Gothic Book" w:hAnsi="Franklin Gothic Book"/>
          <w:iCs/>
        </w:rPr>
        <w:t xml:space="preserve">by laboratories that are to be performing the test in Australia (PSD July 2021, p.4). While the applicant acknowledged this, </w:t>
      </w:r>
      <w:r w:rsidR="0062798F">
        <w:rPr>
          <w:rFonts w:ascii="Franklin Gothic Book" w:hAnsi="Franklin Gothic Book"/>
          <w:iCs/>
        </w:rPr>
        <w:t xml:space="preserve">the </w:t>
      </w:r>
      <w:r w:rsidR="00A6772C">
        <w:rPr>
          <w:rFonts w:ascii="Franklin Gothic Book" w:hAnsi="Franklin Gothic Book"/>
          <w:iCs/>
        </w:rPr>
        <w:t>c</w:t>
      </w:r>
      <w:r w:rsidR="0062798F">
        <w:rPr>
          <w:rFonts w:ascii="Franklin Gothic Book" w:hAnsi="Franklin Gothic Book"/>
          <w:iCs/>
        </w:rPr>
        <w:t xml:space="preserve">ommentary noted the </w:t>
      </w:r>
      <w:r w:rsidR="00197DB5">
        <w:rPr>
          <w:rFonts w:ascii="Franklin Gothic Book" w:hAnsi="Franklin Gothic Book"/>
          <w:iCs/>
        </w:rPr>
        <w:t>re-application</w:t>
      </w:r>
      <w:r w:rsidRPr="00056090">
        <w:rPr>
          <w:rFonts w:ascii="Franklin Gothic Book" w:hAnsi="Franklin Gothic Book"/>
          <w:iCs/>
        </w:rPr>
        <w:t xml:space="preserve"> did not provide any documentation to say where the GEP </w:t>
      </w:r>
      <w:r w:rsidR="006F4F49" w:rsidRPr="00056090">
        <w:rPr>
          <w:rFonts w:ascii="Franklin Gothic Book" w:hAnsi="Franklin Gothic Book"/>
          <w:iCs/>
        </w:rPr>
        <w:t xml:space="preserve">test </w:t>
      </w:r>
      <w:r w:rsidRPr="00056090">
        <w:rPr>
          <w:rFonts w:ascii="Franklin Gothic Book" w:hAnsi="Franklin Gothic Book"/>
          <w:iCs/>
        </w:rPr>
        <w:t>would be performed or of the laboratory accreditation status.</w:t>
      </w:r>
    </w:p>
    <w:p w14:paraId="47FAEE71" w14:textId="29D858B5" w:rsidR="00A1627E" w:rsidRPr="00056090" w:rsidRDefault="00A1627E" w:rsidP="00056090">
      <w:pPr>
        <w:spacing w:after="240"/>
        <w:rPr>
          <w:rFonts w:ascii="Franklin Gothic Book" w:hAnsi="Franklin Gothic Book"/>
          <w:iCs/>
        </w:rPr>
      </w:pPr>
      <w:r w:rsidRPr="00056090">
        <w:rPr>
          <w:rFonts w:ascii="Franklin Gothic Book" w:hAnsi="Franklin Gothic Book"/>
          <w:iCs/>
        </w:rPr>
        <w:t>MSAC further advised that an appropriate quality assurance program (QAP) would need to be in place to perform the tests. QAPs would be specific to each GEP</w:t>
      </w:r>
      <w:r w:rsidR="006F4F49" w:rsidRPr="00056090">
        <w:rPr>
          <w:rFonts w:ascii="Franklin Gothic Book" w:hAnsi="Franklin Gothic Book"/>
          <w:iCs/>
        </w:rPr>
        <w:t xml:space="preserve"> test</w:t>
      </w:r>
      <w:r w:rsidRPr="00056090">
        <w:rPr>
          <w:rFonts w:ascii="Franklin Gothic Book" w:hAnsi="Franklin Gothic Book"/>
          <w:iCs/>
        </w:rPr>
        <w:t xml:space="preserve">, as each has a unique set of genes and individual algorithm. The applicant did not provide documentation of a QAP, but indicated that laboratories performing the test would have an appropriate QAP if it were </w:t>
      </w:r>
      <w:r w:rsidR="006F4F49" w:rsidRPr="00056090">
        <w:rPr>
          <w:rFonts w:ascii="Franklin Gothic Book" w:hAnsi="Franklin Gothic Book"/>
          <w:iCs/>
        </w:rPr>
        <w:t xml:space="preserve">publicly </w:t>
      </w:r>
      <w:r w:rsidRPr="00056090">
        <w:rPr>
          <w:rFonts w:ascii="Franklin Gothic Book" w:hAnsi="Franklin Gothic Book"/>
          <w:iCs/>
        </w:rPr>
        <w:t>funded.</w:t>
      </w:r>
    </w:p>
    <w:p w14:paraId="49E75E4D" w14:textId="173B2DA0" w:rsidR="002056CD" w:rsidRPr="00056090" w:rsidRDefault="006A153F" w:rsidP="002056CD">
      <w:pPr>
        <w:pStyle w:val="Heading2"/>
        <w:rPr>
          <w:rFonts w:ascii="Franklin Gothic Medium" w:hAnsi="Franklin Gothic Medium" w:cstheme="majorBidi"/>
        </w:rPr>
      </w:pPr>
      <w:bookmarkStart w:id="19" w:name="_Toc102569852"/>
      <w:r>
        <w:rPr>
          <w:rFonts w:ascii="Franklin Gothic Medium" w:hAnsi="Franklin Gothic Medium" w:cstheme="majorBidi"/>
        </w:rPr>
        <w:t>6</w:t>
      </w:r>
      <w:r w:rsidR="00A1627E" w:rsidRPr="00056090">
        <w:rPr>
          <w:rFonts w:ascii="Franklin Gothic Medium" w:hAnsi="Franklin Gothic Medium" w:cstheme="majorBidi"/>
        </w:rPr>
        <w:t>.</w:t>
      </w:r>
      <w:r w:rsidR="00A1627E" w:rsidRPr="00056090">
        <w:rPr>
          <w:rFonts w:ascii="Franklin Gothic Medium" w:hAnsi="Franklin Gothic Medium" w:cstheme="majorBidi"/>
        </w:rPr>
        <w:tab/>
      </w:r>
      <w:r w:rsidR="002056CD" w:rsidRPr="00056090">
        <w:rPr>
          <w:rFonts w:ascii="Franklin Gothic Medium" w:hAnsi="Franklin Gothic Medium" w:cstheme="majorBidi"/>
        </w:rPr>
        <w:t>Proposal for public funding</w:t>
      </w:r>
      <w:bookmarkEnd w:id="18"/>
      <w:bookmarkEnd w:id="19"/>
    </w:p>
    <w:p w14:paraId="4C198ADC" w14:textId="3335F064" w:rsidR="002056CD" w:rsidRPr="00A66F88" w:rsidRDefault="002056CD" w:rsidP="00056090">
      <w:pPr>
        <w:spacing w:after="240"/>
        <w:rPr>
          <w:rFonts w:ascii="Franklin Gothic Book" w:hAnsi="Franklin Gothic Book"/>
          <w:iCs/>
        </w:rPr>
      </w:pPr>
      <w:r w:rsidRPr="00A66F88">
        <w:rPr>
          <w:rFonts w:ascii="Franklin Gothic Book" w:hAnsi="Franklin Gothic Book"/>
          <w:iCs/>
        </w:rPr>
        <w:t>The applicant propos</w:t>
      </w:r>
      <w:r w:rsidR="00A1627E" w:rsidRPr="00A66F88">
        <w:rPr>
          <w:rFonts w:ascii="Franklin Gothic Book" w:hAnsi="Franklin Gothic Book"/>
          <w:iCs/>
        </w:rPr>
        <w:t>ed</w:t>
      </w:r>
      <w:r w:rsidRPr="00A66F88">
        <w:rPr>
          <w:rFonts w:ascii="Franklin Gothic Book" w:hAnsi="Franklin Gothic Book"/>
          <w:iCs/>
        </w:rPr>
        <w:t xml:space="preserve"> that a new MBS item be publicly funded for a GEP test for </w:t>
      </w:r>
      <w:r w:rsidR="006F4F49" w:rsidRPr="00A66F88">
        <w:rPr>
          <w:rFonts w:ascii="Franklin Gothic Book" w:hAnsi="Franklin Gothic Book"/>
          <w:iCs/>
        </w:rPr>
        <w:t xml:space="preserve">patients with </w:t>
      </w:r>
      <w:r w:rsidRPr="00A66F88">
        <w:rPr>
          <w:rFonts w:ascii="Franklin Gothic Book" w:hAnsi="Franklin Gothic Book"/>
          <w:iCs/>
        </w:rPr>
        <w:t>early ER+, HER- breast cancer. The test would be in addition to other diagnostic tests currently funded by the MBS</w:t>
      </w:r>
      <w:r w:rsidR="00AD2DD9" w:rsidRPr="00A66F88">
        <w:rPr>
          <w:rFonts w:ascii="Franklin Gothic Book" w:hAnsi="Franklin Gothic Book"/>
          <w:iCs/>
        </w:rPr>
        <w:t>,</w:t>
      </w:r>
      <w:r w:rsidRPr="00A66F88">
        <w:rPr>
          <w:rFonts w:ascii="Franklin Gothic Book" w:hAnsi="Franklin Gothic Book"/>
          <w:iCs/>
        </w:rPr>
        <w:t xml:space="preserve"> including items 73332 – </w:t>
      </w:r>
      <w:r w:rsidR="00460A81" w:rsidRPr="004F6B7D">
        <w:rPr>
          <w:rFonts w:ascii="Franklin Gothic Book" w:hAnsi="Franklin Gothic Book"/>
          <w:i/>
        </w:rPr>
        <w:t>i</w:t>
      </w:r>
      <w:r w:rsidR="004F6B7D" w:rsidRPr="004F6B7D">
        <w:rPr>
          <w:rFonts w:ascii="Franklin Gothic Book" w:hAnsi="Franklin Gothic Book"/>
          <w:i/>
        </w:rPr>
        <w:t>n</w:t>
      </w:r>
      <w:r w:rsidR="00460A81" w:rsidRPr="004F6B7D">
        <w:rPr>
          <w:rFonts w:ascii="Franklin Gothic Book" w:hAnsi="Franklin Gothic Book"/>
          <w:i/>
        </w:rPr>
        <w:t xml:space="preserve"> situ</w:t>
      </w:r>
      <w:r w:rsidR="00460A81" w:rsidRPr="00A66F88">
        <w:rPr>
          <w:rFonts w:ascii="Franklin Gothic Book" w:hAnsi="Franklin Gothic Book"/>
          <w:iCs/>
        </w:rPr>
        <w:t xml:space="preserve"> hybridisation (</w:t>
      </w:r>
      <w:r w:rsidRPr="00A66F88">
        <w:rPr>
          <w:rFonts w:ascii="Franklin Gothic Book" w:hAnsi="Franklin Gothic Book"/>
          <w:iCs/>
        </w:rPr>
        <w:t>ISH</w:t>
      </w:r>
      <w:r w:rsidR="00460A81" w:rsidRPr="00A66F88">
        <w:rPr>
          <w:rFonts w:ascii="Franklin Gothic Book" w:hAnsi="Franklin Gothic Book"/>
          <w:iCs/>
        </w:rPr>
        <w:t>)</w:t>
      </w:r>
      <w:r w:rsidRPr="00A66F88">
        <w:rPr>
          <w:rFonts w:ascii="Franklin Gothic Book" w:hAnsi="Franklin Gothic Book"/>
          <w:iCs/>
        </w:rPr>
        <w:t xml:space="preserve"> for </w:t>
      </w:r>
      <w:r w:rsidR="00460A81" w:rsidRPr="00A66F88">
        <w:rPr>
          <w:rFonts w:ascii="Franklin Gothic Book" w:hAnsi="Franklin Gothic Book"/>
          <w:iCs/>
        </w:rPr>
        <w:t>human epidermal growth factor receptor 2 (</w:t>
      </w:r>
      <w:r w:rsidRPr="00A66F88">
        <w:rPr>
          <w:rFonts w:ascii="Franklin Gothic Book" w:hAnsi="Franklin Gothic Book"/>
          <w:iCs/>
        </w:rPr>
        <w:t>HER2</w:t>
      </w:r>
      <w:r w:rsidR="00460A81" w:rsidRPr="00A66F88">
        <w:rPr>
          <w:rFonts w:ascii="Franklin Gothic Book" w:hAnsi="Franklin Gothic Book"/>
          <w:iCs/>
        </w:rPr>
        <w:t>)</w:t>
      </w:r>
      <w:r w:rsidRPr="00A66F88">
        <w:rPr>
          <w:rFonts w:ascii="Franklin Gothic Book" w:hAnsi="Franklin Gothic Book"/>
          <w:iCs/>
        </w:rPr>
        <w:t xml:space="preserve"> amplification eligibility for </w:t>
      </w:r>
      <w:r w:rsidR="007C3DB1" w:rsidRPr="00A66F88">
        <w:rPr>
          <w:rFonts w:ascii="Franklin Gothic Book" w:hAnsi="Franklin Gothic Book"/>
          <w:iCs/>
        </w:rPr>
        <w:t>trastuzumab</w:t>
      </w:r>
      <w:r w:rsidR="00AD2DD9" w:rsidRPr="00A66F88">
        <w:rPr>
          <w:rFonts w:ascii="Franklin Gothic Book" w:hAnsi="Franklin Gothic Book"/>
          <w:iCs/>
        </w:rPr>
        <w:t>,</w:t>
      </w:r>
      <w:r w:rsidRPr="00A66F88">
        <w:rPr>
          <w:rFonts w:ascii="Franklin Gothic Book" w:hAnsi="Franklin Gothic Book"/>
          <w:iCs/>
        </w:rPr>
        <w:t xml:space="preserve"> </w:t>
      </w:r>
      <w:r w:rsidR="00AD2DD9" w:rsidRPr="00A66F88">
        <w:rPr>
          <w:rFonts w:ascii="Franklin Gothic Book" w:hAnsi="Franklin Gothic Book"/>
          <w:iCs/>
        </w:rPr>
        <w:t xml:space="preserve">and </w:t>
      </w:r>
      <w:r w:rsidRPr="00A66F88">
        <w:rPr>
          <w:rFonts w:ascii="Franklin Gothic Book" w:hAnsi="Franklin Gothic Book"/>
          <w:iCs/>
        </w:rPr>
        <w:t>item 66662 – quantitation of hormone receptors in breast or ovarian carcinoma</w:t>
      </w:r>
      <w:r w:rsidR="00A1627E" w:rsidRPr="00A66F88">
        <w:rPr>
          <w:rFonts w:ascii="Franklin Gothic Book" w:hAnsi="Franklin Gothic Book"/>
          <w:iCs/>
        </w:rPr>
        <w:t>.</w:t>
      </w:r>
    </w:p>
    <w:p w14:paraId="0AF1006D" w14:textId="0A0D68C9" w:rsidR="002056CD" w:rsidRPr="00A66F88" w:rsidRDefault="002056CD" w:rsidP="00056090">
      <w:pPr>
        <w:spacing w:after="240"/>
        <w:rPr>
          <w:rFonts w:ascii="Franklin Gothic Book" w:hAnsi="Franklin Gothic Book"/>
          <w:iCs/>
        </w:rPr>
      </w:pPr>
      <w:r w:rsidRPr="00A66F88">
        <w:rPr>
          <w:rFonts w:ascii="Franklin Gothic Book" w:hAnsi="Franklin Gothic Book"/>
          <w:iCs/>
        </w:rPr>
        <w:t xml:space="preserve">MSAC advised that </w:t>
      </w:r>
      <w:r w:rsidR="00AA54F6" w:rsidRPr="00A66F88">
        <w:rPr>
          <w:rFonts w:ascii="Franklin Gothic Book" w:hAnsi="Franklin Gothic Book"/>
          <w:iCs/>
        </w:rPr>
        <w:t xml:space="preserve">although a “generic” MBS item may mitigate risk and simplify </w:t>
      </w:r>
      <w:r w:rsidR="00D05872" w:rsidRPr="00A66F88">
        <w:rPr>
          <w:rFonts w:ascii="Franklin Gothic Book" w:hAnsi="Franklin Gothic Book"/>
          <w:iCs/>
        </w:rPr>
        <w:t>administrative</w:t>
      </w:r>
      <w:r w:rsidR="00AA54F6" w:rsidRPr="00A66F88">
        <w:rPr>
          <w:rFonts w:ascii="Franklin Gothic Book" w:hAnsi="Franklin Gothic Book"/>
          <w:iCs/>
        </w:rPr>
        <w:t xml:space="preserve"> arrangement</w:t>
      </w:r>
      <w:r w:rsidR="00184EF7" w:rsidRPr="00A66F88">
        <w:rPr>
          <w:rFonts w:ascii="Franklin Gothic Book" w:hAnsi="Franklin Gothic Book"/>
          <w:iCs/>
        </w:rPr>
        <w:t xml:space="preserve">s, allowing future GEP test options to be added, this may not be possible if the tests assess different genes, have different incremental prognostic values, and </w:t>
      </w:r>
      <w:r w:rsidR="00F05469" w:rsidRPr="00A66F88">
        <w:rPr>
          <w:rFonts w:ascii="Franklin Gothic Book" w:hAnsi="Franklin Gothic Book"/>
          <w:iCs/>
        </w:rPr>
        <w:t>require different QAPs</w:t>
      </w:r>
      <w:r w:rsidR="00184EF7" w:rsidRPr="00A66F88">
        <w:rPr>
          <w:rFonts w:ascii="Franklin Gothic Book" w:hAnsi="Franklin Gothic Book"/>
          <w:iCs/>
        </w:rPr>
        <w:t xml:space="preserve">. </w:t>
      </w:r>
      <w:r w:rsidR="00D05872" w:rsidRPr="00A66F88">
        <w:rPr>
          <w:rFonts w:ascii="Franklin Gothic Book" w:hAnsi="Franklin Gothic Book"/>
          <w:iCs/>
        </w:rPr>
        <w:lastRenderedPageBreak/>
        <w:t>MSAC also noted that it was unlikely to support funding that would allow multiple tests in diagnosed patients (1408 PSD July 2021, p.5).</w:t>
      </w:r>
    </w:p>
    <w:p w14:paraId="4AF3CF80" w14:textId="1AD4D6FE" w:rsidR="002056CD" w:rsidRPr="00A66F88" w:rsidRDefault="002056CD" w:rsidP="00056090">
      <w:pPr>
        <w:spacing w:after="240"/>
        <w:rPr>
          <w:rFonts w:ascii="Franklin Gothic Book" w:hAnsi="Franklin Gothic Book"/>
          <w:iCs/>
        </w:rPr>
      </w:pPr>
      <w:r w:rsidRPr="00A66F88">
        <w:rPr>
          <w:rFonts w:ascii="Franklin Gothic Book" w:hAnsi="Franklin Gothic Book"/>
          <w:iCs/>
        </w:rPr>
        <w:t xml:space="preserve">The </w:t>
      </w:r>
      <w:r w:rsidR="00B766DC" w:rsidRPr="00A66F88">
        <w:rPr>
          <w:rFonts w:ascii="Franklin Gothic Book" w:hAnsi="Franklin Gothic Book"/>
          <w:iCs/>
        </w:rPr>
        <w:t>a</w:t>
      </w:r>
      <w:r w:rsidRPr="00A66F88">
        <w:rPr>
          <w:rFonts w:ascii="Franklin Gothic Book" w:hAnsi="Franklin Gothic Book"/>
          <w:iCs/>
        </w:rPr>
        <w:t xml:space="preserve">pplicant’s revised MBS </w:t>
      </w:r>
      <w:r w:rsidR="00E95EED" w:rsidRPr="00A66F88">
        <w:rPr>
          <w:rFonts w:ascii="Franklin Gothic Book" w:hAnsi="Franklin Gothic Book"/>
          <w:iCs/>
        </w:rPr>
        <w:t xml:space="preserve">item </w:t>
      </w:r>
      <w:r w:rsidRPr="00A66F88">
        <w:rPr>
          <w:rFonts w:ascii="Franklin Gothic Book" w:hAnsi="Franklin Gothic Book"/>
          <w:iCs/>
        </w:rPr>
        <w:t xml:space="preserve">descriptor is in </w:t>
      </w:r>
      <w:r w:rsidR="00412BFD" w:rsidRPr="00A66F88">
        <w:rPr>
          <w:rFonts w:ascii="Franklin Gothic Book" w:hAnsi="Franklin Gothic Book"/>
          <w:iCs/>
        </w:rPr>
        <w:fldChar w:fldCharType="begin"/>
      </w:r>
      <w:r w:rsidR="00412BFD" w:rsidRPr="00A66F88">
        <w:rPr>
          <w:rFonts w:ascii="Franklin Gothic Book" w:hAnsi="Franklin Gothic Book"/>
          <w:iCs/>
        </w:rPr>
        <w:instrText xml:space="preserve"> REF _Ref101861440 \h </w:instrText>
      </w:r>
      <w:r w:rsidR="00056090" w:rsidRPr="00A66F88">
        <w:rPr>
          <w:rFonts w:ascii="Franklin Gothic Book" w:hAnsi="Franklin Gothic Book"/>
          <w:iCs/>
        </w:rPr>
        <w:instrText xml:space="preserve"> \* MERGEFORMAT </w:instrText>
      </w:r>
      <w:r w:rsidR="00412BFD" w:rsidRPr="00A66F88">
        <w:rPr>
          <w:rFonts w:ascii="Franklin Gothic Book" w:hAnsi="Franklin Gothic Book"/>
          <w:iCs/>
        </w:rPr>
      </w:r>
      <w:r w:rsidR="00412BFD" w:rsidRPr="00A66F88">
        <w:rPr>
          <w:rFonts w:ascii="Franklin Gothic Book" w:hAnsi="Franklin Gothic Book"/>
          <w:iCs/>
        </w:rPr>
        <w:fldChar w:fldCharType="separate"/>
      </w:r>
      <w:r w:rsidR="00943826" w:rsidRPr="00943826">
        <w:rPr>
          <w:rFonts w:ascii="Franklin Gothic Book" w:hAnsi="Franklin Gothic Book"/>
          <w:iCs/>
        </w:rPr>
        <w:t>Table 4</w:t>
      </w:r>
      <w:r w:rsidR="00412BFD" w:rsidRPr="00A66F88">
        <w:rPr>
          <w:rFonts w:ascii="Franklin Gothic Book" w:hAnsi="Franklin Gothic Book"/>
          <w:iCs/>
        </w:rPr>
        <w:fldChar w:fldCharType="end"/>
      </w:r>
      <w:r w:rsidRPr="00A66F88">
        <w:rPr>
          <w:rFonts w:ascii="Franklin Gothic Book" w:hAnsi="Franklin Gothic Book"/>
          <w:iCs/>
        </w:rPr>
        <w:t>. Previous wording (</w:t>
      </w:r>
      <w:r w:rsidR="006F4F49" w:rsidRPr="00A66F88">
        <w:rPr>
          <w:rFonts w:ascii="Franklin Gothic Book" w:hAnsi="Franklin Gothic Book"/>
          <w:iCs/>
        </w:rPr>
        <w:t xml:space="preserve">1408 </w:t>
      </w:r>
      <w:r w:rsidR="00197DB5">
        <w:rPr>
          <w:rFonts w:ascii="Franklin Gothic Book" w:hAnsi="Franklin Gothic Book"/>
          <w:iCs/>
        </w:rPr>
        <w:t>application</w:t>
      </w:r>
      <w:r w:rsidRPr="00A66F88">
        <w:rPr>
          <w:rFonts w:ascii="Franklin Gothic Book" w:hAnsi="Franklin Gothic Book"/>
          <w:iCs/>
        </w:rPr>
        <w:t>) is shown in strikethrough text.</w:t>
      </w:r>
      <w:r w:rsidR="006F4F49" w:rsidRPr="00A66F88">
        <w:rPr>
          <w:rFonts w:ascii="Franklin Gothic Book" w:hAnsi="Franklin Gothic Book"/>
          <w:iCs/>
        </w:rPr>
        <w:t xml:space="preserve"> </w:t>
      </w:r>
      <w:r w:rsidRPr="00A66F88">
        <w:rPr>
          <w:rFonts w:ascii="Franklin Gothic Book" w:hAnsi="Franklin Gothic Book"/>
          <w:iCs/>
        </w:rPr>
        <w:t xml:space="preserve">The </w:t>
      </w:r>
      <w:r w:rsidR="00E95EED" w:rsidRPr="00A66F88">
        <w:rPr>
          <w:rFonts w:ascii="Franklin Gothic Book" w:hAnsi="Franklin Gothic Book"/>
          <w:b/>
          <w:bCs/>
          <w:iCs/>
        </w:rPr>
        <w:t>bolded</w:t>
      </w:r>
      <w:r w:rsidRPr="00A66F88">
        <w:rPr>
          <w:rFonts w:ascii="Franklin Gothic Book" w:hAnsi="Franklin Gothic Book"/>
          <w:iCs/>
        </w:rPr>
        <w:t xml:space="preserve"> wording </w:t>
      </w:r>
      <w:r w:rsidR="006F4F49" w:rsidRPr="00A66F88">
        <w:rPr>
          <w:rFonts w:ascii="Franklin Gothic Book" w:hAnsi="Franklin Gothic Book"/>
          <w:iCs/>
        </w:rPr>
        <w:t>indicates</w:t>
      </w:r>
      <w:r w:rsidRPr="00A66F88">
        <w:rPr>
          <w:rFonts w:ascii="Franklin Gothic Book" w:hAnsi="Franklin Gothic Book"/>
          <w:iCs/>
        </w:rPr>
        <w:t xml:space="preserve"> the applicant</w:t>
      </w:r>
      <w:r w:rsidR="006F4F49" w:rsidRPr="00A66F88">
        <w:rPr>
          <w:rFonts w:ascii="Franklin Gothic Book" w:hAnsi="Franklin Gothic Book"/>
          <w:iCs/>
        </w:rPr>
        <w:t xml:space="preserve">’s additions in the 1408.1 </w:t>
      </w:r>
      <w:r w:rsidR="00197DB5">
        <w:rPr>
          <w:rFonts w:ascii="Franklin Gothic Book" w:hAnsi="Franklin Gothic Book"/>
          <w:iCs/>
        </w:rPr>
        <w:t>re-application</w:t>
      </w:r>
      <w:r w:rsidR="006F4F49" w:rsidRPr="00A66F88">
        <w:rPr>
          <w:rFonts w:ascii="Franklin Gothic Book" w:hAnsi="Franklin Gothic Book"/>
          <w:iCs/>
        </w:rPr>
        <w:t xml:space="preserve"> compared to the 1408 </w:t>
      </w:r>
      <w:r w:rsidR="00197DB5">
        <w:rPr>
          <w:rFonts w:ascii="Franklin Gothic Book" w:hAnsi="Franklin Gothic Book"/>
          <w:iCs/>
        </w:rPr>
        <w:t>application</w:t>
      </w:r>
      <w:r w:rsidRPr="00A66F88">
        <w:rPr>
          <w:rFonts w:ascii="Franklin Gothic Book" w:hAnsi="Franklin Gothic Book"/>
          <w:iCs/>
        </w:rPr>
        <w:t xml:space="preserve">. </w:t>
      </w:r>
      <w:r w:rsidR="004C7CFA" w:rsidRPr="00A66F88">
        <w:rPr>
          <w:rFonts w:ascii="Franklin Gothic Book" w:hAnsi="Franklin Gothic Book"/>
          <w:iCs/>
        </w:rPr>
        <w:t xml:space="preserve">It is suggested that </w:t>
      </w:r>
      <w:r w:rsidRPr="00A66F88">
        <w:rPr>
          <w:rFonts w:ascii="Franklin Gothic Book" w:hAnsi="Franklin Gothic Book"/>
          <w:iCs/>
        </w:rPr>
        <w:t xml:space="preserve">MSAC </w:t>
      </w:r>
      <w:r w:rsidR="00A12731" w:rsidRPr="00A66F88">
        <w:rPr>
          <w:rFonts w:ascii="Franklin Gothic Book" w:hAnsi="Franklin Gothic Book"/>
          <w:iCs/>
        </w:rPr>
        <w:t xml:space="preserve">consider </w:t>
      </w:r>
      <w:r w:rsidRPr="00A66F88">
        <w:rPr>
          <w:rFonts w:ascii="Franklin Gothic Book" w:hAnsi="Franklin Gothic Book"/>
          <w:iCs/>
        </w:rPr>
        <w:t xml:space="preserve">whether the GEP test </w:t>
      </w:r>
      <w:r w:rsidR="00A12731" w:rsidRPr="00A66F88">
        <w:rPr>
          <w:rFonts w:ascii="Franklin Gothic Book" w:hAnsi="Franklin Gothic Book"/>
          <w:iCs/>
        </w:rPr>
        <w:t>should be pathologist determinable.</w:t>
      </w:r>
    </w:p>
    <w:p w14:paraId="0D3F7EA7" w14:textId="292F7625" w:rsidR="00412BFD" w:rsidRDefault="00412BFD" w:rsidP="00412BFD">
      <w:pPr>
        <w:pStyle w:val="Caption"/>
        <w:rPr>
          <w:rFonts w:cs="Arial"/>
        </w:rPr>
      </w:pPr>
      <w:bookmarkStart w:id="20" w:name="_Ref101861440"/>
      <w:r>
        <w:t xml:space="preserve">Table </w:t>
      </w:r>
      <w:fldSimple w:instr=" SEQ Table \* ARABIC ">
        <w:r w:rsidR="00943826">
          <w:rPr>
            <w:noProof/>
          </w:rPr>
          <w:t>4</w:t>
        </w:r>
      </w:fldSimple>
      <w:bookmarkEnd w:id="20"/>
      <w:r w:rsidRPr="00CE28E3">
        <w:rPr>
          <w:rFonts w:cs="Arial"/>
        </w:rPr>
        <w:tab/>
      </w:r>
      <w:r>
        <w:rPr>
          <w:rFonts w:cs="Arial"/>
        </w:rPr>
        <w:t>P</w:t>
      </w:r>
      <w:r w:rsidRPr="00CE28E3">
        <w:rPr>
          <w:rFonts w:cs="Arial"/>
        </w:rPr>
        <w:t>roposed MBS item</w:t>
      </w:r>
    </w:p>
    <w:tbl>
      <w:tblPr>
        <w:tblStyle w:val="TableGrid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9016"/>
      </w:tblGrid>
      <w:tr w:rsidR="00412BFD" w14:paraId="5D73B633" w14:textId="77777777" w:rsidTr="00942672">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57EA9533" w14:textId="77777777" w:rsidR="00412BFD" w:rsidRDefault="00412BFD" w:rsidP="00942672">
            <w:pPr>
              <w:pStyle w:val="TableText0"/>
            </w:pPr>
            <w:r>
              <w:t>Category 6 – PATHOLOGY SERVICES</w:t>
            </w:r>
          </w:p>
          <w:p w14:paraId="5D6A98C5" w14:textId="77777777" w:rsidR="00412BFD" w:rsidRDefault="00412BFD" w:rsidP="00942672">
            <w:pPr>
              <w:pStyle w:val="TableText0"/>
            </w:pPr>
            <w:r>
              <w:t>Group P7 - GENETICS</w:t>
            </w:r>
          </w:p>
        </w:tc>
      </w:tr>
      <w:tr w:rsidR="00412BFD" w14:paraId="56D467E2" w14:textId="77777777" w:rsidTr="00942672">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3B21AD4D" w14:textId="77777777" w:rsidR="00412BFD" w:rsidRDefault="00412BFD" w:rsidP="00942672">
            <w:pPr>
              <w:pStyle w:val="TableText0"/>
            </w:pPr>
            <w:r>
              <w:t>MBS XXX</w:t>
            </w:r>
          </w:p>
          <w:p w14:paraId="16023698" w14:textId="77777777" w:rsidR="00412BFD" w:rsidRDefault="00412BFD" w:rsidP="00942672">
            <w:pPr>
              <w:pStyle w:val="TableText0"/>
            </w:pPr>
            <w:r w:rsidRPr="00844998">
              <w:rPr>
                <w:b/>
              </w:rPr>
              <w:t>Clinically validated gene expression profiling test that algorithmically combines tumour size, lymph node status</w:t>
            </w:r>
            <w:r>
              <w:t xml:space="preserve"> </w:t>
            </w:r>
            <w:r w:rsidRPr="00844998">
              <w:rPr>
                <w:b/>
              </w:rPr>
              <w:t>with tumour gene expression</w:t>
            </w:r>
            <w:r>
              <w:t xml:space="preserve"> of FFPE from core needle biopsy or surgical tumour sample in primary breast cancer tissue to predict ≥10 year prognosis.</w:t>
            </w:r>
          </w:p>
          <w:p w14:paraId="6DF533F7" w14:textId="77777777" w:rsidR="00412BFD" w:rsidRPr="00A32E45" w:rsidRDefault="00412BFD" w:rsidP="00942672">
            <w:pPr>
              <w:pStyle w:val="TableText0"/>
              <w:rPr>
                <w:strike/>
              </w:rPr>
            </w:pPr>
            <w:r w:rsidRPr="00A32E45">
              <w:rPr>
                <w:strike/>
              </w:rPr>
              <w:t>RT-qPCR gene expression profiling of FFPE, core needle biopsy or surgical tumour sample in primary breast cancer tissue.</w:t>
            </w:r>
          </w:p>
          <w:p w14:paraId="72D78742" w14:textId="77777777" w:rsidR="00412BFD" w:rsidRDefault="00412BFD" w:rsidP="00942672">
            <w:pPr>
              <w:pStyle w:val="TableText0"/>
            </w:pPr>
            <w:r>
              <w:t>The test may be used when all the following criteria are met:</w:t>
            </w:r>
          </w:p>
          <w:p w14:paraId="516CEAFB" w14:textId="77777777" w:rsidR="00412BFD" w:rsidRDefault="00412BFD" w:rsidP="00942672">
            <w:pPr>
              <w:pStyle w:val="TableText0"/>
            </w:pPr>
            <w:r>
              <w:t xml:space="preserve">(a) New primary breast cancer, suitable for adjuvant chemotherapy, and not requiring neoadjuvant chemotherapy. </w:t>
            </w:r>
          </w:p>
          <w:p w14:paraId="5A7F90B3" w14:textId="6F4DA67A" w:rsidR="00412BFD" w:rsidRDefault="00412BFD" w:rsidP="00942672">
            <w:pPr>
              <w:pStyle w:val="TableText0"/>
            </w:pPr>
            <w:r>
              <w:t>(b) Oestrogen receptor positive and HER2 negative as determined by IHC and ISH respectively on surgically removed tumour.</w:t>
            </w:r>
          </w:p>
          <w:p w14:paraId="6ADF03FB" w14:textId="77777777" w:rsidR="00412BFD" w:rsidRDefault="00412BFD" w:rsidP="00942672">
            <w:pPr>
              <w:pStyle w:val="TableText0"/>
            </w:pPr>
            <w:r>
              <w:t>(c) Node negative or positive (up to 3 nodes) and tumour size determined by histopathology on surgically removed tumour.</w:t>
            </w:r>
          </w:p>
          <w:p w14:paraId="08A8B60A" w14:textId="4EB9A93F" w:rsidR="00412BFD" w:rsidRDefault="00412BFD" w:rsidP="00942672">
            <w:pPr>
              <w:pStyle w:val="TableText0"/>
            </w:pPr>
            <w:r>
              <w:t xml:space="preserve">(d) Pre-test intermediate </w:t>
            </w:r>
            <w:r w:rsidRPr="00A32E45">
              <w:rPr>
                <w:strike/>
              </w:rPr>
              <w:t>clinical</w:t>
            </w:r>
            <w:r>
              <w:t xml:space="preserve"> risk of distant metastases defined by at least one of the following characteristics: tumour size ≥2</w:t>
            </w:r>
            <w:r w:rsidR="00877150">
              <w:t> </w:t>
            </w:r>
            <w:r>
              <w:t>cm; or Grade 2; or Grade 3; or one to three lymph nodes involved in metastatic disease (nodes include micrometastases but not isolated tumour cells).</w:t>
            </w:r>
          </w:p>
          <w:p w14:paraId="4B5C48DE" w14:textId="77777777" w:rsidR="00412BFD" w:rsidRDefault="00412BFD" w:rsidP="00942672">
            <w:pPr>
              <w:pStyle w:val="TableText0"/>
            </w:pPr>
          </w:p>
          <w:p w14:paraId="2E643F12" w14:textId="1B30A519" w:rsidR="00412BFD" w:rsidRDefault="00412BFD" w:rsidP="007C3DB1">
            <w:pPr>
              <w:pStyle w:val="TableText0"/>
            </w:pPr>
            <w:r w:rsidRPr="00E95EED">
              <w:rPr>
                <w:b/>
                <w:bCs/>
              </w:rPr>
              <w:t xml:space="preserve">Laboratory pathologist can determine if required as a reflex test when criteria </w:t>
            </w:r>
            <w:r w:rsidR="007C3DB1">
              <w:rPr>
                <w:b/>
                <w:bCs/>
              </w:rPr>
              <w:t>are</w:t>
            </w:r>
            <w:r w:rsidR="007C3DB1" w:rsidRPr="00E95EED">
              <w:rPr>
                <w:b/>
                <w:bCs/>
              </w:rPr>
              <w:t xml:space="preserve"> </w:t>
            </w:r>
            <w:r w:rsidRPr="00E95EED">
              <w:rPr>
                <w:b/>
                <w:bCs/>
              </w:rPr>
              <w:t>met.</w:t>
            </w:r>
            <w:r w:rsidRPr="00E95EED">
              <w:t xml:space="preserve"> </w:t>
            </w:r>
            <w:r>
              <w:t>The test may be used once per new primary breast cancer diagnosis.</w:t>
            </w:r>
          </w:p>
        </w:tc>
      </w:tr>
      <w:tr w:rsidR="00412BFD" w14:paraId="0E7ADC39" w14:textId="77777777" w:rsidTr="00942672">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2DA23AD8" w14:textId="7635FD4E" w:rsidR="00412BFD" w:rsidRDefault="00412BFD" w:rsidP="00942672">
            <w:pPr>
              <w:pStyle w:val="TableText0"/>
            </w:pPr>
            <w:r>
              <w:t>Fee: See proposed volume</w:t>
            </w:r>
            <w:r w:rsidR="00917249">
              <w:t>-based</w:t>
            </w:r>
            <w:r>
              <w:t xml:space="preserve"> fee</w:t>
            </w:r>
            <w:r w:rsidR="00917249">
              <w:t xml:space="preserve"> structure</w:t>
            </w:r>
          </w:p>
          <w:p w14:paraId="43B83FF8" w14:textId="778AEF8D" w:rsidR="00412BFD" w:rsidRPr="00F54557" w:rsidRDefault="00412BFD" w:rsidP="00942672">
            <w:pPr>
              <w:pStyle w:val="TableText0"/>
            </w:pPr>
            <w:r w:rsidRPr="00F54557">
              <w:t>Fee: $</w:t>
            </w:r>
            <w:r w:rsidR="00AE3E5D" w:rsidRPr="00AE3E5D">
              <w:rPr>
                <w:color w:val="000000"/>
                <w:spacing w:val="54"/>
                <w:shd w:val="solid" w:color="000000" w:fill="000000"/>
                <w:fitText w:val="333" w:id="-1437332478"/>
                <w14:textFill>
                  <w14:solidFill>
                    <w14:srgbClr w14:val="000000">
                      <w14:alpha w14:val="100000"/>
                    </w14:srgbClr>
                  </w14:solidFill>
                </w14:textFill>
              </w:rPr>
              <w:t>|||</w:t>
            </w:r>
            <w:r w:rsidR="00AE3E5D" w:rsidRPr="00AE3E5D">
              <w:rPr>
                <w:color w:val="000000"/>
                <w:spacing w:val="1"/>
                <w:shd w:val="solid" w:color="000000" w:fill="000000"/>
                <w:fitText w:val="333" w:id="-1437332478"/>
                <w14:textFill>
                  <w14:solidFill>
                    <w14:srgbClr w14:val="000000">
                      <w14:alpha w14:val="100000"/>
                    </w14:srgbClr>
                  </w14:solidFill>
                </w14:textFill>
              </w:rPr>
              <w:t>|</w:t>
            </w:r>
            <w:r w:rsidRPr="00F54557">
              <w:t xml:space="preserve"> Benefit: 75%=$</w:t>
            </w:r>
            <w:r w:rsidR="00AE3E5D" w:rsidRPr="00AE3E5D">
              <w:rPr>
                <w:color w:val="000000"/>
                <w:spacing w:val="49"/>
                <w:shd w:val="solid" w:color="000000" w:fill="000000"/>
                <w:fitText w:val="318" w:id="-1437332477"/>
                <w14:textFill>
                  <w14:solidFill>
                    <w14:srgbClr w14:val="000000">
                      <w14:alpha w14:val="100000"/>
                    </w14:srgbClr>
                  </w14:solidFill>
                </w14:textFill>
              </w:rPr>
              <w:t>|||</w:t>
            </w:r>
            <w:r w:rsidR="00AE3E5D" w:rsidRPr="00AE3E5D">
              <w:rPr>
                <w:color w:val="000000"/>
                <w:spacing w:val="1"/>
                <w:shd w:val="solid" w:color="000000" w:fill="000000"/>
                <w:fitText w:val="318" w:id="-1437332477"/>
                <w14:textFill>
                  <w14:solidFill>
                    <w14:srgbClr w14:val="000000">
                      <w14:alpha w14:val="100000"/>
                    </w14:srgbClr>
                  </w14:solidFill>
                </w14:textFill>
              </w:rPr>
              <w:t>|</w:t>
            </w:r>
            <w:r w:rsidRPr="00F54557">
              <w:t>, 85%=$</w:t>
            </w:r>
            <w:r w:rsidR="00AE3E5D" w:rsidRPr="00AE3E5D">
              <w:rPr>
                <w:color w:val="000000"/>
                <w:spacing w:val="53"/>
                <w:shd w:val="solid" w:color="000000" w:fill="000000"/>
                <w:fitText w:val="332" w:id="-1437332476"/>
                <w14:textFill>
                  <w14:solidFill>
                    <w14:srgbClr w14:val="000000">
                      <w14:alpha w14:val="100000"/>
                    </w14:srgbClr>
                  </w14:solidFill>
                </w14:textFill>
              </w:rPr>
              <w:t>|||</w:t>
            </w:r>
            <w:r w:rsidR="00AE3E5D" w:rsidRPr="00AE3E5D">
              <w:rPr>
                <w:color w:val="000000"/>
                <w:spacing w:val="3"/>
                <w:shd w:val="solid" w:color="000000" w:fill="000000"/>
                <w:fitText w:val="332" w:id="-1437332476"/>
                <w14:textFill>
                  <w14:solidFill>
                    <w14:srgbClr w14:val="000000">
                      <w14:alpha w14:val="100000"/>
                    </w14:srgbClr>
                  </w14:solidFill>
                </w14:textFill>
              </w:rPr>
              <w:t>|</w:t>
            </w:r>
          </w:p>
        </w:tc>
      </w:tr>
    </w:tbl>
    <w:p w14:paraId="77C951A7" w14:textId="0C12B8B5" w:rsidR="00460A81" w:rsidRDefault="00412BFD" w:rsidP="00844998">
      <w:pPr>
        <w:pStyle w:val="Tablenotes0"/>
      </w:pPr>
      <w:r>
        <w:t xml:space="preserve">Notes: strikethrough </w:t>
      </w:r>
      <w:r w:rsidR="006F4F49">
        <w:t>and</w:t>
      </w:r>
      <w:r>
        <w:t xml:space="preserve"> bolded </w:t>
      </w:r>
      <w:r w:rsidR="00AD2DD9">
        <w:t xml:space="preserve">text </w:t>
      </w:r>
      <w:r w:rsidR="006F4F49">
        <w:t>indicate</w:t>
      </w:r>
      <w:r>
        <w:t xml:space="preserve"> the applicant</w:t>
      </w:r>
      <w:r w:rsidR="006F4F49">
        <w:t xml:space="preserve">’s deletions and additions (respectively) proposed in the 1408.1 </w:t>
      </w:r>
      <w:r w:rsidR="00197DB5">
        <w:t>re-application</w:t>
      </w:r>
      <w:r w:rsidR="006F4F49">
        <w:t xml:space="preserve"> compared to the 1408 </w:t>
      </w:r>
      <w:r w:rsidR="00197DB5">
        <w:t>application</w:t>
      </w:r>
      <w:r w:rsidR="006F4F49">
        <w:t>.</w:t>
      </w:r>
    </w:p>
    <w:p w14:paraId="066C48AE" w14:textId="46B3BB6D" w:rsidR="002056CD" w:rsidRPr="00F54557" w:rsidRDefault="002056CD" w:rsidP="00056090">
      <w:pPr>
        <w:spacing w:after="240"/>
        <w:rPr>
          <w:rFonts w:ascii="Franklin Gothic Book" w:hAnsi="Franklin Gothic Book"/>
          <w:iCs/>
        </w:rPr>
      </w:pPr>
      <w:r w:rsidRPr="00056090">
        <w:rPr>
          <w:rFonts w:ascii="Franklin Gothic Book" w:hAnsi="Franklin Gothic Book"/>
          <w:iCs/>
        </w:rPr>
        <w:t>The proposed volume</w:t>
      </w:r>
      <w:r w:rsidR="00917249">
        <w:rPr>
          <w:rFonts w:ascii="Franklin Gothic Book" w:hAnsi="Franklin Gothic Book"/>
          <w:iCs/>
        </w:rPr>
        <w:t>-based</w:t>
      </w:r>
      <w:r w:rsidRPr="00056090">
        <w:rPr>
          <w:rFonts w:ascii="Franklin Gothic Book" w:hAnsi="Franklin Gothic Book"/>
          <w:iCs/>
        </w:rPr>
        <w:t xml:space="preserve"> fee </w:t>
      </w:r>
      <w:r w:rsidR="00917249">
        <w:rPr>
          <w:rFonts w:ascii="Franklin Gothic Book" w:hAnsi="Franklin Gothic Book"/>
          <w:iCs/>
        </w:rPr>
        <w:t xml:space="preserve">structure </w:t>
      </w:r>
      <w:r w:rsidRPr="00056090">
        <w:rPr>
          <w:rFonts w:ascii="Franklin Gothic Book" w:hAnsi="Franklin Gothic Book"/>
          <w:iCs/>
        </w:rPr>
        <w:t xml:space="preserve">is presented in </w:t>
      </w:r>
      <w:r w:rsidR="00412BFD" w:rsidRPr="00056090">
        <w:rPr>
          <w:rFonts w:ascii="Franklin Gothic Book" w:hAnsi="Franklin Gothic Book"/>
          <w:iCs/>
        </w:rPr>
        <w:fldChar w:fldCharType="begin"/>
      </w:r>
      <w:r w:rsidR="00412BFD" w:rsidRPr="00056090">
        <w:rPr>
          <w:rFonts w:ascii="Franklin Gothic Book" w:hAnsi="Franklin Gothic Book"/>
          <w:iCs/>
        </w:rPr>
        <w:instrText xml:space="preserve"> REF _Ref100131022 \h </w:instrText>
      </w:r>
      <w:r w:rsidR="00056090">
        <w:rPr>
          <w:rFonts w:ascii="Franklin Gothic Book" w:hAnsi="Franklin Gothic Book"/>
          <w:iCs/>
        </w:rPr>
        <w:instrText xml:space="preserve"> \* MERGEFORMAT </w:instrText>
      </w:r>
      <w:r w:rsidR="00412BFD" w:rsidRPr="00056090">
        <w:rPr>
          <w:rFonts w:ascii="Franklin Gothic Book" w:hAnsi="Franklin Gothic Book"/>
          <w:iCs/>
        </w:rPr>
      </w:r>
      <w:r w:rsidR="00412BFD" w:rsidRPr="00056090">
        <w:rPr>
          <w:rFonts w:ascii="Franklin Gothic Book" w:hAnsi="Franklin Gothic Book"/>
          <w:iCs/>
        </w:rPr>
        <w:fldChar w:fldCharType="separate"/>
      </w:r>
      <w:r w:rsidR="00943826" w:rsidRPr="00943826">
        <w:rPr>
          <w:rFonts w:ascii="Franklin Gothic Book" w:hAnsi="Franklin Gothic Book"/>
          <w:iCs/>
        </w:rPr>
        <w:t>Table 5</w:t>
      </w:r>
      <w:r w:rsidR="00412BFD" w:rsidRPr="00056090">
        <w:rPr>
          <w:rFonts w:ascii="Franklin Gothic Book" w:hAnsi="Franklin Gothic Book"/>
          <w:iCs/>
        </w:rPr>
        <w:fldChar w:fldCharType="end"/>
      </w:r>
      <w:r w:rsidR="00917249">
        <w:rPr>
          <w:rFonts w:ascii="Franklin Gothic Book" w:hAnsi="Franklin Gothic Book"/>
          <w:iCs/>
        </w:rPr>
        <w:t>.</w:t>
      </w:r>
      <w:r w:rsidR="00056090">
        <w:rPr>
          <w:rFonts w:ascii="Franklin Gothic Book" w:hAnsi="Franklin Gothic Book"/>
          <w:iCs/>
        </w:rPr>
        <w:t xml:space="preserve"> </w:t>
      </w:r>
      <w:r w:rsidR="00917249">
        <w:rPr>
          <w:rFonts w:ascii="Franklin Gothic Book" w:hAnsi="Franklin Gothic Book"/>
          <w:iCs/>
        </w:rPr>
        <w:t xml:space="preserve">The applicant </w:t>
      </w:r>
      <w:r w:rsidRPr="00056090">
        <w:rPr>
          <w:rFonts w:ascii="Franklin Gothic Book" w:hAnsi="Franklin Gothic Book"/>
          <w:iCs/>
        </w:rPr>
        <w:t>propose</w:t>
      </w:r>
      <w:r w:rsidR="00917249">
        <w:rPr>
          <w:rFonts w:ascii="Franklin Gothic Book" w:hAnsi="Franklin Gothic Book"/>
          <w:iCs/>
        </w:rPr>
        <w:t>d</w:t>
      </w:r>
      <w:r w:rsidRPr="00056090">
        <w:rPr>
          <w:rFonts w:ascii="Franklin Gothic Book" w:hAnsi="Franklin Gothic Book"/>
          <w:iCs/>
        </w:rPr>
        <w:t xml:space="preserve"> a four-tier structure. The </w:t>
      </w:r>
      <w:r w:rsidR="00917249">
        <w:rPr>
          <w:rFonts w:ascii="Franklin Gothic Book" w:hAnsi="Franklin Gothic Book"/>
          <w:iCs/>
        </w:rPr>
        <w:t>fee</w:t>
      </w:r>
      <w:r w:rsidRPr="00056090">
        <w:rPr>
          <w:rFonts w:ascii="Franklin Gothic Book" w:hAnsi="Franklin Gothic Book"/>
          <w:iCs/>
        </w:rPr>
        <w:t xml:space="preserve"> would be set annually based on utilisation in the previous year. </w:t>
      </w:r>
      <w:r w:rsidRPr="00F54557">
        <w:rPr>
          <w:rFonts w:ascii="Franklin Gothic Book" w:hAnsi="Franklin Gothic Book"/>
          <w:iCs/>
        </w:rPr>
        <w:t xml:space="preserve">The proposed starting </w:t>
      </w:r>
      <w:r w:rsidR="00917249" w:rsidRPr="00F54557">
        <w:rPr>
          <w:rFonts w:ascii="Franklin Gothic Book" w:hAnsi="Franklin Gothic Book"/>
          <w:iCs/>
        </w:rPr>
        <w:t>fee</w:t>
      </w:r>
      <w:r w:rsidRPr="00F54557">
        <w:rPr>
          <w:rFonts w:ascii="Franklin Gothic Book" w:hAnsi="Franklin Gothic Book"/>
          <w:iCs/>
        </w:rPr>
        <w:t xml:space="preserve"> is $</w:t>
      </w:r>
      <w:r w:rsidR="00AE3E5D" w:rsidRPr="00AE3E5D">
        <w:rPr>
          <w:rFonts w:ascii="Franklin Gothic Book" w:hAnsi="Franklin Gothic Book"/>
          <w:iCs/>
          <w:color w:val="000000"/>
          <w:w w:val="67"/>
          <w:shd w:val="solid" w:color="000000" w:fill="000000"/>
          <w:fitText w:val="443" w:id="-1437332475"/>
          <w14:textFill>
            <w14:solidFill>
              <w14:srgbClr w14:val="000000">
                <w14:alpha w14:val="100000"/>
              </w14:srgbClr>
            </w14:solidFill>
          </w14:textFill>
        </w:rPr>
        <w:t>||||||</w:t>
      </w:r>
      <w:r w:rsidRPr="00F54557">
        <w:rPr>
          <w:rFonts w:ascii="Franklin Gothic Book" w:hAnsi="Franklin Gothic Book"/>
          <w:iCs/>
        </w:rPr>
        <w:t xml:space="preserve"> (Tier 3)</w:t>
      </w:r>
      <w:r w:rsidR="00917249" w:rsidRPr="00F54557">
        <w:rPr>
          <w:rFonts w:ascii="Franklin Gothic Book" w:hAnsi="Franklin Gothic Book"/>
          <w:iCs/>
        </w:rPr>
        <w:t>,</w:t>
      </w:r>
      <w:r w:rsidRPr="00F54557">
        <w:rPr>
          <w:rFonts w:ascii="Franklin Gothic Book" w:hAnsi="Franklin Gothic Book"/>
          <w:iCs/>
        </w:rPr>
        <w:t xml:space="preserve"> based on the expected utilisation in Year 1 (see below). If the utilisation is higher than expected (i.e. above 4,665 services), then the </w:t>
      </w:r>
      <w:r w:rsidR="00917249" w:rsidRPr="00F54557">
        <w:rPr>
          <w:rFonts w:ascii="Franklin Gothic Book" w:hAnsi="Franklin Gothic Book"/>
          <w:iCs/>
        </w:rPr>
        <w:t>fee</w:t>
      </w:r>
      <w:r w:rsidRPr="00F54557">
        <w:rPr>
          <w:rFonts w:ascii="Franklin Gothic Book" w:hAnsi="Franklin Gothic Book"/>
          <w:iCs/>
        </w:rPr>
        <w:t xml:space="preserve"> would reduce to </w:t>
      </w:r>
      <w:r w:rsidR="00917249" w:rsidRPr="00F54557">
        <w:rPr>
          <w:rFonts w:ascii="Franklin Gothic Book" w:hAnsi="Franklin Gothic Book"/>
          <w:iCs/>
        </w:rPr>
        <w:t xml:space="preserve">the </w:t>
      </w:r>
      <w:r w:rsidRPr="00F54557">
        <w:rPr>
          <w:rFonts w:ascii="Franklin Gothic Book" w:hAnsi="Franklin Gothic Book"/>
          <w:iCs/>
        </w:rPr>
        <w:t xml:space="preserve">Tier 4 </w:t>
      </w:r>
      <w:r w:rsidR="00917249" w:rsidRPr="00F54557">
        <w:rPr>
          <w:rFonts w:ascii="Franklin Gothic Book" w:hAnsi="Franklin Gothic Book"/>
          <w:iCs/>
        </w:rPr>
        <w:t>fee</w:t>
      </w:r>
      <w:r w:rsidRPr="00F54557">
        <w:rPr>
          <w:rFonts w:ascii="Franklin Gothic Book" w:hAnsi="Franklin Gothic Book"/>
          <w:iCs/>
        </w:rPr>
        <w:t xml:space="preserve"> ($</w:t>
      </w:r>
      <w:r w:rsidR="00AE3E5D" w:rsidRPr="00AE3E5D">
        <w:rPr>
          <w:rFonts w:ascii="Franklin Gothic Book" w:hAnsi="Franklin Gothic Book"/>
          <w:iCs/>
          <w:color w:val="000000"/>
          <w:w w:val="64"/>
          <w:shd w:val="solid" w:color="000000" w:fill="000000"/>
          <w:fitText w:val="429" w:id="-1437332474"/>
          <w14:textFill>
            <w14:solidFill>
              <w14:srgbClr w14:val="000000">
                <w14:alpha w14:val="100000"/>
              </w14:srgbClr>
            </w14:solidFill>
          </w14:textFill>
        </w:rPr>
        <w:t>|||||</w:t>
      </w:r>
      <w:r w:rsidR="00AE3E5D" w:rsidRPr="00AE3E5D">
        <w:rPr>
          <w:rFonts w:ascii="Franklin Gothic Book" w:hAnsi="Franklin Gothic Book"/>
          <w:iCs/>
          <w:color w:val="000000"/>
          <w:spacing w:val="6"/>
          <w:w w:val="64"/>
          <w:shd w:val="solid" w:color="000000" w:fill="000000"/>
          <w:fitText w:val="429" w:id="-1437332474"/>
          <w14:textFill>
            <w14:solidFill>
              <w14:srgbClr w14:val="000000">
                <w14:alpha w14:val="100000"/>
              </w14:srgbClr>
            </w14:solidFill>
          </w14:textFill>
        </w:rPr>
        <w:t>|</w:t>
      </w:r>
      <w:r w:rsidRPr="00F54557">
        <w:rPr>
          <w:rFonts w:ascii="Franklin Gothic Book" w:hAnsi="Franklin Gothic Book"/>
          <w:iCs/>
        </w:rPr>
        <w:t>) the following year. Conversely, if the anticipated uptake is not achieved in the first year (i.e. below 3,112 services)</w:t>
      </w:r>
      <w:r w:rsidR="00917249" w:rsidRPr="00F54557">
        <w:rPr>
          <w:rFonts w:ascii="Franklin Gothic Book" w:hAnsi="Franklin Gothic Book"/>
          <w:iCs/>
        </w:rPr>
        <w:t>,</w:t>
      </w:r>
      <w:r w:rsidRPr="00F54557">
        <w:rPr>
          <w:rFonts w:ascii="Franklin Gothic Book" w:hAnsi="Franklin Gothic Book"/>
          <w:iCs/>
        </w:rPr>
        <w:t xml:space="preserve"> it w</w:t>
      </w:r>
      <w:r w:rsidR="00917249" w:rsidRPr="00F54557">
        <w:rPr>
          <w:rFonts w:ascii="Franklin Gothic Book" w:hAnsi="Franklin Gothic Book"/>
          <w:iCs/>
        </w:rPr>
        <w:t>ould</w:t>
      </w:r>
      <w:r w:rsidRPr="00F54557">
        <w:rPr>
          <w:rFonts w:ascii="Franklin Gothic Book" w:hAnsi="Franklin Gothic Book"/>
          <w:iCs/>
        </w:rPr>
        <w:t xml:space="preserve"> revert to </w:t>
      </w:r>
      <w:r w:rsidR="00917249" w:rsidRPr="00F54557">
        <w:rPr>
          <w:rFonts w:ascii="Franklin Gothic Book" w:hAnsi="Franklin Gothic Book"/>
          <w:iCs/>
        </w:rPr>
        <w:t xml:space="preserve">the </w:t>
      </w:r>
      <w:r w:rsidRPr="00F54557">
        <w:rPr>
          <w:rFonts w:ascii="Franklin Gothic Book" w:hAnsi="Franklin Gothic Book"/>
          <w:iCs/>
        </w:rPr>
        <w:t>Tier 2 ($</w:t>
      </w:r>
      <w:r w:rsidR="00AE3E5D" w:rsidRPr="00AE3E5D">
        <w:rPr>
          <w:rFonts w:ascii="Franklin Gothic Book" w:hAnsi="Franklin Gothic Book"/>
          <w:iCs/>
          <w:color w:val="000000"/>
          <w:w w:val="67"/>
          <w:shd w:val="solid" w:color="000000" w:fill="000000"/>
          <w:fitText w:val="443" w:id="-1437332473"/>
          <w14:textFill>
            <w14:solidFill>
              <w14:srgbClr w14:val="000000">
                <w14:alpha w14:val="100000"/>
              </w14:srgbClr>
            </w14:solidFill>
          </w14:textFill>
        </w:rPr>
        <w:t>||||||</w:t>
      </w:r>
      <w:r w:rsidRPr="00F54557">
        <w:rPr>
          <w:rFonts w:ascii="Franklin Gothic Book" w:hAnsi="Franklin Gothic Book"/>
          <w:iCs/>
        </w:rPr>
        <w:t xml:space="preserve">) </w:t>
      </w:r>
      <w:r w:rsidR="00917249" w:rsidRPr="00F54557">
        <w:rPr>
          <w:rFonts w:ascii="Franklin Gothic Book" w:hAnsi="Franklin Gothic Book"/>
          <w:iCs/>
        </w:rPr>
        <w:t>fee</w:t>
      </w:r>
      <w:r w:rsidRPr="00F54557">
        <w:rPr>
          <w:rFonts w:ascii="Franklin Gothic Book" w:hAnsi="Franklin Gothic Book"/>
          <w:iCs/>
        </w:rPr>
        <w:t xml:space="preserve"> the following year.</w:t>
      </w:r>
    </w:p>
    <w:p w14:paraId="032CF343" w14:textId="483D1D04" w:rsidR="002056CD" w:rsidRPr="0060173D" w:rsidRDefault="002056CD" w:rsidP="002056CD">
      <w:pPr>
        <w:pStyle w:val="Caption"/>
      </w:pPr>
      <w:bookmarkStart w:id="21" w:name="_Ref100131022"/>
      <w:r>
        <w:t xml:space="preserve">Table </w:t>
      </w:r>
      <w:fldSimple w:instr=" SEQ Table \* ARABIC ">
        <w:r w:rsidR="00943826">
          <w:rPr>
            <w:noProof/>
          </w:rPr>
          <w:t>5</w:t>
        </w:r>
      </w:fldSimple>
      <w:bookmarkEnd w:id="21"/>
      <w:r>
        <w:tab/>
      </w:r>
      <w:r w:rsidRPr="0060173D">
        <w:t>Proposed volume</w:t>
      </w:r>
      <w:r w:rsidR="00917249">
        <w:t>-based</w:t>
      </w:r>
      <w:r w:rsidRPr="0060173D">
        <w:t xml:space="preserve"> fee structure</w:t>
      </w:r>
    </w:p>
    <w:tbl>
      <w:tblPr>
        <w:tblStyle w:val="MSAC"/>
        <w:tblW w:w="5000" w:type="pct"/>
        <w:tblLook w:val="04A0" w:firstRow="1" w:lastRow="0" w:firstColumn="1" w:lastColumn="0" w:noHBand="0" w:noVBand="1"/>
        <w:tblCaption w:val="Proposed price to volume fee structure"/>
        <w:tblDescription w:val="This table outlines the proposed price to volume fee structure, which is based on a tiered system. The price of EndoPredict each year is determined by the utilisation from the year before. "/>
      </w:tblPr>
      <w:tblGrid>
        <w:gridCol w:w="1302"/>
        <w:gridCol w:w="4697"/>
        <w:gridCol w:w="3017"/>
      </w:tblGrid>
      <w:tr w:rsidR="002056CD" w:rsidRPr="0060173D" w14:paraId="11D4A611" w14:textId="77777777" w:rsidTr="006B0BCC">
        <w:trPr>
          <w:cnfStyle w:val="100000000000" w:firstRow="1" w:lastRow="0" w:firstColumn="0" w:lastColumn="0" w:oddVBand="0" w:evenVBand="0" w:oddHBand="0" w:evenHBand="0" w:firstRowFirstColumn="0" w:firstRowLastColumn="0" w:lastRowFirstColumn="0" w:lastRowLastColumn="0"/>
          <w:trHeight w:val="290"/>
          <w:tblHeader w:val="0"/>
        </w:trPr>
        <w:tc>
          <w:tcPr>
            <w:tcW w:w="722" w:type="pct"/>
            <w:noWrap/>
          </w:tcPr>
          <w:p w14:paraId="6E7CFFB8" w14:textId="77777777" w:rsidR="002056CD" w:rsidRPr="0060173D" w:rsidRDefault="002056CD" w:rsidP="006B0BCC">
            <w:pPr>
              <w:keepNext/>
              <w:keepLines/>
              <w:jc w:val="center"/>
              <w:rPr>
                <w:rFonts w:ascii="Arial Narrow" w:eastAsia="Calibri" w:hAnsi="Arial Narrow"/>
              </w:rPr>
            </w:pPr>
            <w:r w:rsidRPr="0060173D">
              <w:rPr>
                <w:rFonts w:ascii="Arial Narrow" w:eastAsia="Calibri" w:hAnsi="Arial Narrow"/>
              </w:rPr>
              <w:t>Tier</w:t>
            </w:r>
          </w:p>
        </w:tc>
        <w:tc>
          <w:tcPr>
            <w:tcW w:w="2605" w:type="pct"/>
            <w:noWrap/>
          </w:tcPr>
          <w:p w14:paraId="4C6B2065" w14:textId="77777777" w:rsidR="002056CD" w:rsidRPr="0060173D" w:rsidRDefault="002056CD" w:rsidP="006B0BCC">
            <w:pPr>
              <w:keepNext/>
              <w:keepLines/>
              <w:jc w:val="center"/>
              <w:rPr>
                <w:rFonts w:ascii="Arial Narrow" w:eastAsia="Calibri" w:hAnsi="Arial Narrow"/>
              </w:rPr>
            </w:pPr>
            <w:r w:rsidRPr="0060173D">
              <w:rPr>
                <w:rFonts w:ascii="Arial Narrow" w:eastAsia="Calibri" w:hAnsi="Arial Narrow"/>
              </w:rPr>
              <w:t>Volume (MBS services)</w:t>
            </w:r>
          </w:p>
        </w:tc>
        <w:tc>
          <w:tcPr>
            <w:tcW w:w="1673" w:type="pct"/>
            <w:noWrap/>
          </w:tcPr>
          <w:p w14:paraId="44C6987C" w14:textId="5788AC3E" w:rsidR="002056CD" w:rsidRPr="0060173D" w:rsidRDefault="00C72B3A" w:rsidP="006B0BCC">
            <w:pPr>
              <w:keepNext/>
              <w:keepLines/>
              <w:jc w:val="center"/>
              <w:rPr>
                <w:rFonts w:ascii="Arial Narrow" w:eastAsia="Calibri" w:hAnsi="Arial Narrow"/>
              </w:rPr>
            </w:pPr>
            <w:r>
              <w:rPr>
                <w:rFonts w:ascii="Arial Narrow" w:eastAsia="Calibri" w:hAnsi="Arial Narrow"/>
              </w:rPr>
              <w:t>MBS f</w:t>
            </w:r>
            <w:r w:rsidR="002056CD" w:rsidRPr="0060173D">
              <w:rPr>
                <w:rFonts w:ascii="Arial Narrow" w:eastAsia="Calibri" w:hAnsi="Arial Narrow"/>
              </w:rPr>
              <w:t>ee</w:t>
            </w:r>
          </w:p>
        </w:tc>
      </w:tr>
      <w:tr w:rsidR="002056CD" w:rsidRPr="0060173D" w14:paraId="0B0CA1F7" w14:textId="77777777" w:rsidTr="006B0BCC">
        <w:trPr>
          <w:trHeight w:val="290"/>
        </w:trPr>
        <w:tc>
          <w:tcPr>
            <w:tcW w:w="722" w:type="pct"/>
            <w:noWrap/>
            <w:hideMark/>
          </w:tcPr>
          <w:p w14:paraId="25F38590" w14:textId="77777777" w:rsidR="002056CD" w:rsidRPr="0060173D" w:rsidRDefault="002056CD" w:rsidP="006B0BCC">
            <w:pPr>
              <w:keepNext/>
              <w:keepLines/>
              <w:jc w:val="center"/>
              <w:rPr>
                <w:rFonts w:eastAsia="Calibri"/>
              </w:rPr>
            </w:pPr>
            <w:r w:rsidRPr="0060173D">
              <w:rPr>
                <w:rFonts w:eastAsia="Calibri"/>
              </w:rPr>
              <w:t>1</w:t>
            </w:r>
          </w:p>
        </w:tc>
        <w:tc>
          <w:tcPr>
            <w:tcW w:w="2605" w:type="pct"/>
            <w:noWrap/>
            <w:hideMark/>
          </w:tcPr>
          <w:p w14:paraId="0A579F50" w14:textId="77777777" w:rsidR="002056CD" w:rsidRPr="0060173D" w:rsidRDefault="002056CD" w:rsidP="006B0BCC">
            <w:pPr>
              <w:keepNext/>
              <w:keepLines/>
              <w:jc w:val="center"/>
              <w:rPr>
                <w:rFonts w:eastAsia="Calibri"/>
              </w:rPr>
            </w:pPr>
            <w:r w:rsidRPr="0060173D">
              <w:rPr>
                <w:rFonts w:eastAsia="Calibri"/>
              </w:rPr>
              <w:t>≤1555</w:t>
            </w:r>
          </w:p>
        </w:tc>
        <w:tc>
          <w:tcPr>
            <w:tcW w:w="1673" w:type="pct"/>
            <w:noWrap/>
            <w:hideMark/>
          </w:tcPr>
          <w:p w14:paraId="5E8763CD" w14:textId="4FDBE593" w:rsidR="002056CD" w:rsidRPr="00F54557" w:rsidRDefault="002056CD" w:rsidP="006B0BCC">
            <w:pPr>
              <w:keepNext/>
              <w:keepLines/>
              <w:jc w:val="center"/>
              <w:rPr>
                <w:rFonts w:eastAsia="Calibri"/>
              </w:rPr>
            </w:pPr>
            <w:r w:rsidRPr="00F54557">
              <w:rPr>
                <w:rFonts w:eastAsia="Calibri"/>
              </w:rPr>
              <w:t>$</w:t>
            </w:r>
            <w:r w:rsidR="00AE3E5D" w:rsidRPr="00AE3E5D">
              <w:rPr>
                <w:rFonts w:eastAsia="Calibri"/>
                <w:color w:val="000000"/>
                <w:shd w:val="solid" w:color="000000" w:fill="000000"/>
                <w14:textFill>
                  <w14:solidFill>
                    <w14:srgbClr w14:val="000000">
                      <w14:alpha w14:val="100000"/>
                    </w14:srgbClr>
                  </w14:solidFill>
                </w14:textFill>
              </w:rPr>
              <w:t>|</w:t>
            </w:r>
          </w:p>
        </w:tc>
      </w:tr>
      <w:tr w:rsidR="002056CD" w:rsidRPr="0060173D" w14:paraId="078A213B" w14:textId="77777777" w:rsidTr="006B0BCC">
        <w:trPr>
          <w:trHeight w:val="290"/>
        </w:trPr>
        <w:tc>
          <w:tcPr>
            <w:tcW w:w="722" w:type="pct"/>
            <w:noWrap/>
            <w:hideMark/>
          </w:tcPr>
          <w:p w14:paraId="7EAE492F" w14:textId="77777777" w:rsidR="002056CD" w:rsidRPr="0060173D" w:rsidRDefault="002056CD" w:rsidP="006B0BCC">
            <w:pPr>
              <w:keepNext/>
              <w:keepLines/>
              <w:jc w:val="center"/>
              <w:rPr>
                <w:rFonts w:eastAsia="Calibri"/>
              </w:rPr>
            </w:pPr>
            <w:r w:rsidRPr="0060173D">
              <w:rPr>
                <w:rFonts w:eastAsia="Calibri"/>
              </w:rPr>
              <w:t>2</w:t>
            </w:r>
          </w:p>
        </w:tc>
        <w:tc>
          <w:tcPr>
            <w:tcW w:w="2605" w:type="pct"/>
            <w:noWrap/>
            <w:hideMark/>
          </w:tcPr>
          <w:p w14:paraId="7F3A82B6" w14:textId="77777777" w:rsidR="002056CD" w:rsidRPr="0060173D" w:rsidRDefault="002056CD" w:rsidP="006B0BCC">
            <w:pPr>
              <w:keepNext/>
              <w:keepLines/>
              <w:jc w:val="center"/>
              <w:rPr>
                <w:rFonts w:eastAsia="Calibri"/>
              </w:rPr>
            </w:pPr>
            <w:r w:rsidRPr="0060173D">
              <w:rPr>
                <w:rFonts w:eastAsia="Calibri"/>
              </w:rPr>
              <w:t>1556-3111</w:t>
            </w:r>
          </w:p>
        </w:tc>
        <w:tc>
          <w:tcPr>
            <w:tcW w:w="1673" w:type="pct"/>
            <w:noWrap/>
            <w:hideMark/>
          </w:tcPr>
          <w:p w14:paraId="02B57D07" w14:textId="72A22996" w:rsidR="002056CD" w:rsidRPr="00F54557" w:rsidRDefault="002056CD" w:rsidP="006B0BCC">
            <w:pPr>
              <w:keepNext/>
              <w:keepLines/>
              <w:jc w:val="center"/>
              <w:rPr>
                <w:rFonts w:eastAsia="Calibri"/>
              </w:rPr>
            </w:pPr>
            <w:r w:rsidRPr="00F54557">
              <w:rPr>
                <w:rFonts w:eastAsia="Calibri"/>
              </w:rPr>
              <w:t>$</w:t>
            </w:r>
            <w:r w:rsidR="00AE3E5D" w:rsidRPr="00AE3E5D">
              <w:rPr>
                <w:rFonts w:eastAsia="Calibri"/>
                <w:color w:val="000000"/>
                <w:shd w:val="solid" w:color="000000" w:fill="000000"/>
                <w14:textFill>
                  <w14:solidFill>
                    <w14:srgbClr w14:val="000000">
                      <w14:alpha w14:val="100000"/>
                    </w14:srgbClr>
                  </w14:solidFill>
                </w14:textFill>
              </w:rPr>
              <w:t>|</w:t>
            </w:r>
          </w:p>
        </w:tc>
      </w:tr>
      <w:tr w:rsidR="002056CD" w:rsidRPr="0060173D" w14:paraId="79106BA6" w14:textId="77777777" w:rsidTr="006B0BCC">
        <w:trPr>
          <w:trHeight w:val="290"/>
        </w:trPr>
        <w:tc>
          <w:tcPr>
            <w:tcW w:w="722" w:type="pct"/>
            <w:noWrap/>
            <w:hideMark/>
          </w:tcPr>
          <w:p w14:paraId="592983F0" w14:textId="77777777" w:rsidR="002056CD" w:rsidRPr="0060173D" w:rsidRDefault="002056CD" w:rsidP="006B0BCC">
            <w:pPr>
              <w:keepNext/>
              <w:keepLines/>
              <w:jc w:val="center"/>
              <w:rPr>
                <w:rFonts w:eastAsia="Calibri"/>
              </w:rPr>
            </w:pPr>
            <w:r w:rsidRPr="0060173D">
              <w:rPr>
                <w:rFonts w:eastAsia="Calibri"/>
              </w:rPr>
              <w:t>3</w:t>
            </w:r>
          </w:p>
        </w:tc>
        <w:tc>
          <w:tcPr>
            <w:tcW w:w="2605" w:type="pct"/>
            <w:noWrap/>
            <w:hideMark/>
          </w:tcPr>
          <w:p w14:paraId="28B7852A" w14:textId="77777777" w:rsidR="002056CD" w:rsidRPr="0060173D" w:rsidRDefault="002056CD" w:rsidP="006B0BCC">
            <w:pPr>
              <w:keepNext/>
              <w:keepLines/>
              <w:jc w:val="center"/>
              <w:rPr>
                <w:rFonts w:eastAsia="Calibri"/>
              </w:rPr>
            </w:pPr>
            <w:r w:rsidRPr="0060173D">
              <w:rPr>
                <w:rFonts w:eastAsia="Calibri"/>
              </w:rPr>
              <w:t>3112-4665</w:t>
            </w:r>
          </w:p>
        </w:tc>
        <w:tc>
          <w:tcPr>
            <w:tcW w:w="1673" w:type="pct"/>
            <w:noWrap/>
            <w:hideMark/>
          </w:tcPr>
          <w:p w14:paraId="237C77E6" w14:textId="038B16B4" w:rsidR="002056CD" w:rsidRPr="00F54557" w:rsidRDefault="002056CD" w:rsidP="006B0BCC">
            <w:pPr>
              <w:keepNext/>
              <w:keepLines/>
              <w:jc w:val="center"/>
              <w:rPr>
                <w:rFonts w:eastAsia="Calibri"/>
              </w:rPr>
            </w:pPr>
            <w:r w:rsidRPr="00F54557">
              <w:rPr>
                <w:rFonts w:eastAsia="Calibri"/>
              </w:rPr>
              <w:t>$</w:t>
            </w:r>
            <w:r w:rsidR="00AE3E5D" w:rsidRPr="00AE3E5D">
              <w:rPr>
                <w:rFonts w:eastAsia="Calibri"/>
                <w:color w:val="000000"/>
                <w:shd w:val="solid" w:color="000000" w:fill="000000"/>
                <w14:textFill>
                  <w14:solidFill>
                    <w14:srgbClr w14:val="000000">
                      <w14:alpha w14:val="100000"/>
                    </w14:srgbClr>
                  </w14:solidFill>
                </w14:textFill>
              </w:rPr>
              <w:t>|</w:t>
            </w:r>
          </w:p>
        </w:tc>
      </w:tr>
      <w:tr w:rsidR="002056CD" w:rsidRPr="0060173D" w14:paraId="742A55CB" w14:textId="77777777" w:rsidTr="006B0BCC">
        <w:trPr>
          <w:trHeight w:val="290"/>
        </w:trPr>
        <w:tc>
          <w:tcPr>
            <w:tcW w:w="722" w:type="pct"/>
            <w:noWrap/>
            <w:hideMark/>
          </w:tcPr>
          <w:p w14:paraId="05FEA8E2" w14:textId="77777777" w:rsidR="002056CD" w:rsidRPr="0060173D" w:rsidRDefault="002056CD" w:rsidP="006B0BCC">
            <w:pPr>
              <w:keepNext/>
              <w:keepLines/>
              <w:jc w:val="center"/>
              <w:rPr>
                <w:rFonts w:eastAsia="Calibri"/>
              </w:rPr>
            </w:pPr>
            <w:r w:rsidRPr="0060173D">
              <w:rPr>
                <w:rFonts w:eastAsia="Calibri"/>
              </w:rPr>
              <w:t>4</w:t>
            </w:r>
          </w:p>
        </w:tc>
        <w:tc>
          <w:tcPr>
            <w:tcW w:w="2605" w:type="pct"/>
            <w:noWrap/>
            <w:hideMark/>
          </w:tcPr>
          <w:p w14:paraId="15A19708" w14:textId="77777777" w:rsidR="002056CD" w:rsidRPr="0060173D" w:rsidRDefault="002056CD" w:rsidP="006B0BCC">
            <w:pPr>
              <w:keepNext/>
              <w:keepLines/>
              <w:jc w:val="center"/>
              <w:rPr>
                <w:rFonts w:eastAsia="Calibri"/>
              </w:rPr>
            </w:pPr>
            <w:r w:rsidRPr="0060173D">
              <w:rPr>
                <w:rFonts w:eastAsia="Calibri"/>
              </w:rPr>
              <w:t>≥4666</w:t>
            </w:r>
          </w:p>
        </w:tc>
        <w:tc>
          <w:tcPr>
            <w:tcW w:w="1673" w:type="pct"/>
            <w:noWrap/>
            <w:hideMark/>
          </w:tcPr>
          <w:p w14:paraId="732BD8D5" w14:textId="4691E671" w:rsidR="002056CD" w:rsidRPr="00F54557" w:rsidRDefault="002056CD" w:rsidP="006B0BCC">
            <w:pPr>
              <w:keepNext/>
              <w:keepLines/>
              <w:jc w:val="center"/>
              <w:rPr>
                <w:rFonts w:eastAsia="Calibri"/>
              </w:rPr>
            </w:pPr>
            <w:r w:rsidRPr="00F54557">
              <w:rPr>
                <w:rFonts w:eastAsia="Calibri"/>
              </w:rPr>
              <w:t>$</w:t>
            </w:r>
            <w:r w:rsidR="00AE3E5D" w:rsidRPr="00AE3E5D">
              <w:rPr>
                <w:rFonts w:eastAsia="Calibri"/>
                <w:color w:val="000000"/>
                <w:shd w:val="solid" w:color="000000" w:fill="000000"/>
                <w14:textFill>
                  <w14:solidFill>
                    <w14:srgbClr w14:val="000000">
                      <w14:alpha w14:val="100000"/>
                    </w14:srgbClr>
                  </w14:solidFill>
                </w14:textFill>
              </w:rPr>
              <w:t>|</w:t>
            </w:r>
          </w:p>
        </w:tc>
      </w:tr>
    </w:tbl>
    <w:p w14:paraId="172A34AD" w14:textId="19CC44D5" w:rsidR="002056CD" w:rsidRPr="0060173D" w:rsidRDefault="0017008B" w:rsidP="00C61600">
      <w:pPr>
        <w:spacing w:after="360" w:line="240" w:lineRule="auto"/>
        <w:rPr>
          <w:rFonts w:ascii="Arial Narrow" w:eastAsia="Times New Roman" w:hAnsi="Arial Narrow" w:cs="Times New Roman"/>
          <w:color w:val="000000"/>
          <w:sz w:val="18"/>
          <w:szCs w:val="18"/>
          <w:lang w:eastAsia="en-AU"/>
        </w:rPr>
      </w:pPr>
      <w:r>
        <w:rPr>
          <w:rFonts w:ascii="Arial Narrow" w:eastAsia="Times New Roman" w:hAnsi="Arial Narrow" w:cs="Times New Roman"/>
          <w:color w:val="000000"/>
          <w:sz w:val="18"/>
          <w:szCs w:val="18"/>
          <w:lang w:eastAsia="en-AU"/>
        </w:rPr>
        <w:t xml:space="preserve">MBS = </w:t>
      </w:r>
      <w:r w:rsidR="002056CD" w:rsidRPr="0060173D">
        <w:rPr>
          <w:rFonts w:ascii="Arial Narrow" w:eastAsia="Times New Roman" w:hAnsi="Arial Narrow" w:cs="Times New Roman"/>
          <w:color w:val="000000"/>
          <w:sz w:val="18"/>
          <w:szCs w:val="18"/>
          <w:lang w:eastAsia="en-AU"/>
        </w:rPr>
        <w:t>Medicare Benefits Sche</w:t>
      </w:r>
      <w:r>
        <w:rPr>
          <w:rFonts w:ascii="Arial Narrow" w:eastAsia="Times New Roman" w:hAnsi="Arial Narrow" w:cs="Times New Roman"/>
          <w:color w:val="000000"/>
          <w:sz w:val="18"/>
          <w:szCs w:val="18"/>
          <w:lang w:eastAsia="en-AU"/>
        </w:rPr>
        <w:t>dul</w:t>
      </w:r>
      <w:r w:rsidR="002056CD" w:rsidRPr="0060173D">
        <w:rPr>
          <w:rFonts w:ascii="Arial Narrow" w:eastAsia="Times New Roman" w:hAnsi="Arial Narrow" w:cs="Times New Roman"/>
          <w:color w:val="000000"/>
          <w:sz w:val="18"/>
          <w:szCs w:val="18"/>
          <w:lang w:eastAsia="en-AU"/>
        </w:rPr>
        <w:t>e</w:t>
      </w:r>
    </w:p>
    <w:p w14:paraId="580C39F6" w14:textId="649F14C8" w:rsidR="002056CD" w:rsidRPr="003F20EB" w:rsidRDefault="002056CD" w:rsidP="00056090">
      <w:pPr>
        <w:spacing w:after="240"/>
        <w:rPr>
          <w:rFonts w:ascii="Franklin Gothic Book" w:hAnsi="Franklin Gothic Book"/>
          <w:iCs/>
        </w:rPr>
      </w:pPr>
      <w:r w:rsidRPr="001246A4">
        <w:rPr>
          <w:rFonts w:ascii="Franklin Gothic Book" w:hAnsi="Franklin Gothic Book"/>
          <w:iCs/>
        </w:rPr>
        <w:lastRenderedPageBreak/>
        <w:t>The</w:t>
      </w:r>
      <w:r w:rsidR="001671D2" w:rsidRPr="001246A4">
        <w:rPr>
          <w:rFonts w:ascii="Franklin Gothic Book" w:hAnsi="Franklin Gothic Book"/>
          <w:iCs/>
        </w:rPr>
        <w:t xml:space="preserve"> </w:t>
      </w:r>
      <w:r w:rsidR="006A2C29" w:rsidRPr="001246A4">
        <w:rPr>
          <w:rFonts w:ascii="Franklin Gothic Book" w:hAnsi="Franklin Gothic Book"/>
          <w:iCs/>
        </w:rPr>
        <w:t>c</w:t>
      </w:r>
      <w:r w:rsidR="001671D2" w:rsidRPr="001246A4">
        <w:rPr>
          <w:rFonts w:ascii="Franklin Gothic Book" w:hAnsi="Franklin Gothic Book"/>
          <w:iCs/>
        </w:rPr>
        <w:t>ommentary considered that the</w:t>
      </w:r>
      <w:r w:rsidRPr="001246A4">
        <w:rPr>
          <w:rFonts w:ascii="Franklin Gothic Book" w:hAnsi="Franklin Gothic Book"/>
          <w:iCs/>
        </w:rPr>
        <w:t xml:space="preserve">re is considerable uncertainty in the extent of use estimated over the first five years of listing. Given that the fee in the first year of listing is based on expected use </w:t>
      </w:r>
      <w:r w:rsidR="00A67D4E" w:rsidRPr="001246A4">
        <w:rPr>
          <w:rFonts w:ascii="Franklin Gothic Book" w:hAnsi="Franklin Gothic Book"/>
          <w:iCs/>
        </w:rPr>
        <w:t xml:space="preserve">estimated </w:t>
      </w:r>
      <w:r w:rsidRPr="001246A4">
        <w:rPr>
          <w:rFonts w:ascii="Franklin Gothic Book" w:hAnsi="Franklin Gothic Book"/>
          <w:iCs/>
        </w:rPr>
        <w:t xml:space="preserve">in the </w:t>
      </w:r>
      <w:r w:rsidR="00A67D4E" w:rsidRPr="001246A4">
        <w:rPr>
          <w:rFonts w:ascii="Franklin Gothic Book" w:hAnsi="Franklin Gothic Book"/>
          <w:iCs/>
        </w:rPr>
        <w:t xml:space="preserve">1408.1 </w:t>
      </w:r>
      <w:r w:rsidR="00197DB5">
        <w:rPr>
          <w:rFonts w:ascii="Franklin Gothic Book" w:hAnsi="Franklin Gothic Book"/>
          <w:iCs/>
        </w:rPr>
        <w:t>re-application</w:t>
      </w:r>
      <w:r w:rsidR="00A67D4E" w:rsidRPr="001246A4">
        <w:rPr>
          <w:rFonts w:ascii="Franklin Gothic Book" w:hAnsi="Franklin Gothic Book"/>
          <w:iCs/>
        </w:rPr>
        <w:t xml:space="preserve"> </w:t>
      </w:r>
      <w:r w:rsidRPr="001246A4">
        <w:rPr>
          <w:rFonts w:ascii="Franklin Gothic Book" w:hAnsi="Franklin Gothic Book"/>
          <w:iCs/>
        </w:rPr>
        <w:t>(not based on actual utilisation), if use is higher or lower than predicted in the first year, the fee charged may not reflect the proposed volume</w:t>
      </w:r>
      <w:r w:rsidR="00917249">
        <w:rPr>
          <w:rFonts w:ascii="Franklin Gothic Book" w:hAnsi="Franklin Gothic Book"/>
          <w:iCs/>
        </w:rPr>
        <w:t>-based</w:t>
      </w:r>
      <w:r w:rsidRPr="001246A4">
        <w:rPr>
          <w:rFonts w:ascii="Franklin Gothic Book" w:hAnsi="Franklin Gothic Book"/>
          <w:iCs/>
        </w:rPr>
        <w:t xml:space="preserve"> fee structure. While this risk is shared between the </w:t>
      </w:r>
      <w:r w:rsidR="001246A4">
        <w:rPr>
          <w:rFonts w:ascii="Franklin Gothic Book" w:hAnsi="Franklin Gothic Book"/>
          <w:iCs/>
        </w:rPr>
        <w:t>applicant</w:t>
      </w:r>
      <w:r w:rsidRPr="003F20EB">
        <w:rPr>
          <w:rFonts w:ascii="Franklin Gothic Book" w:hAnsi="Franklin Gothic Book"/>
          <w:iCs/>
        </w:rPr>
        <w:t xml:space="preserve"> and the MBS, given that the alternate estimates identified during the evaluation suggest that the size of the eligible population may be an underestimate, the MBS may be more likely to bear this risk.</w:t>
      </w:r>
    </w:p>
    <w:p w14:paraId="7AE831A7" w14:textId="6281EE78" w:rsidR="001671D2" w:rsidRPr="001246A4" w:rsidRDefault="001671D2" w:rsidP="001671D2">
      <w:pPr>
        <w:spacing w:after="240"/>
        <w:rPr>
          <w:rFonts w:ascii="Franklin Gothic Book" w:hAnsi="Franklin Gothic Book"/>
          <w:iCs/>
        </w:rPr>
      </w:pPr>
      <w:r w:rsidRPr="003F20EB">
        <w:rPr>
          <w:rFonts w:ascii="Franklin Gothic Book" w:hAnsi="Franklin Gothic Book"/>
          <w:iCs/>
        </w:rPr>
        <w:t xml:space="preserve">The </w:t>
      </w:r>
      <w:r w:rsidR="006A2C29" w:rsidRPr="006A2C29">
        <w:rPr>
          <w:rFonts w:ascii="Franklin Gothic Book" w:hAnsi="Franklin Gothic Book"/>
          <w:iCs/>
        </w:rPr>
        <w:t>c</w:t>
      </w:r>
      <w:r w:rsidRPr="006A2C29">
        <w:rPr>
          <w:rFonts w:ascii="Franklin Gothic Book" w:hAnsi="Franklin Gothic Book"/>
          <w:iCs/>
        </w:rPr>
        <w:t xml:space="preserve">ommentary noted the expectation is that the cost of the other components would remain constant with the change in MBS fee across the proposed structure. In its pre-ESC response, the applicant provided a breakdown of </w:t>
      </w:r>
      <w:r w:rsidR="002367CD">
        <w:rPr>
          <w:rFonts w:ascii="Franklin Gothic Book" w:hAnsi="Franklin Gothic Book"/>
          <w:iCs/>
        </w:rPr>
        <w:t xml:space="preserve">the cost of providing the test, including </w:t>
      </w:r>
      <w:r w:rsidRPr="006A2C29">
        <w:rPr>
          <w:rFonts w:ascii="Franklin Gothic Book" w:hAnsi="Franklin Gothic Book"/>
          <w:iCs/>
        </w:rPr>
        <w:t>the price of the test and the other cost components of delivering the service.  This showed the</w:t>
      </w:r>
      <w:r>
        <w:rPr>
          <w:rFonts w:ascii="Franklin Gothic Book" w:hAnsi="Franklin Gothic Book"/>
          <w:iCs/>
        </w:rPr>
        <w:t xml:space="preserve"> proposed fee is comprised of cost of the EndoPredict</w:t>
      </w:r>
      <w:r w:rsidR="005F1260" w:rsidRPr="005F1260">
        <w:rPr>
          <w:rFonts w:ascii="Franklin Gothic Book" w:hAnsi="Franklin Gothic Book"/>
          <w:iCs/>
          <w:vertAlign w:val="superscript"/>
        </w:rPr>
        <w:t>®</w:t>
      </w:r>
      <w:r>
        <w:rPr>
          <w:rFonts w:ascii="Franklin Gothic Book" w:hAnsi="Franklin Gothic Book"/>
          <w:iCs/>
        </w:rPr>
        <w:t xml:space="preserve"> test (fixed</w:t>
      </w:r>
      <w:r w:rsidR="00871D7C">
        <w:rPr>
          <w:rFonts w:ascii="Franklin Gothic Book" w:hAnsi="Franklin Gothic Book"/>
          <w:iCs/>
        </w:rPr>
        <w:t xml:space="preserve"> per test</w:t>
      </w:r>
      <w:r>
        <w:rPr>
          <w:rFonts w:ascii="Franklin Gothic Book" w:hAnsi="Franklin Gothic Book"/>
          <w:iCs/>
        </w:rPr>
        <w:t xml:space="preserve">) and </w:t>
      </w:r>
      <w:r w:rsidR="00871D7C">
        <w:rPr>
          <w:rFonts w:ascii="Franklin Gothic Book" w:hAnsi="Franklin Gothic Book"/>
          <w:iCs/>
        </w:rPr>
        <w:t xml:space="preserve">standard </w:t>
      </w:r>
      <w:r>
        <w:rPr>
          <w:rFonts w:ascii="Franklin Gothic Book" w:hAnsi="Franklin Gothic Book"/>
          <w:iCs/>
        </w:rPr>
        <w:t xml:space="preserve">consumables, as well as pathologist </w:t>
      </w:r>
      <w:r w:rsidR="00871D7C">
        <w:rPr>
          <w:rFonts w:ascii="Franklin Gothic Book" w:hAnsi="Franklin Gothic Book"/>
          <w:iCs/>
        </w:rPr>
        <w:t xml:space="preserve">time (fixed per test) </w:t>
      </w:r>
      <w:r>
        <w:rPr>
          <w:rFonts w:ascii="Franklin Gothic Book" w:hAnsi="Franklin Gothic Book"/>
          <w:iCs/>
        </w:rPr>
        <w:t xml:space="preserve">and technician time </w:t>
      </w:r>
      <w:r w:rsidR="00871D7C">
        <w:rPr>
          <w:rFonts w:ascii="Franklin Gothic Book" w:hAnsi="Franklin Gothic Book"/>
          <w:iCs/>
        </w:rPr>
        <w:t>(</w:t>
      </w:r>
      <w:r>
        <w:rPr>
          <w:rFonts w:ascii="Franklin Gothic Book" w:hAnsi="Franklin Gothic Book"/>
          <w:iCs/>
        </w:rPr>
        <w:t>dependent on the batch size</w:t>
      </w:r>
      <w:r w:rsidR="00871D7C">
        <w:rPr>
          <w:rFonts w:ascii="Franklin Gothic Book" w:hAnsi="Franklin Gothic Book"/>
          <w:iCs/>
        </w:rPr>
        <w:t>)</w:t>
      </w:r>
      <w:r>
        <w:rPr>
          <w:rFonts w:ascii="Franklin Gothic Book" w:hAnsi="Franklin Gothic Book"/>
          <w:iCs/>
        </w:rPr>
        <w:t>.</w:t>
      </w:r>
    </w:p>
    <w:p w14:paraId="2051AE5A" w14:textId="753DF7A4" w:rsidR="002056CD" w:rsidRPr="00056090" w:rsidRDefault="001671D2" w:rsidP="00056090">
      <w:pPr>
        <w:spacing w:after="240"/>
        <w:rPr>
          <w:rFonts w:ascii="Franklin Gothic Book" w:hAnsi="Franklin Gothic Book"/>
          <w:iCs/>
        </w:rPr>
      </w:pPr>
      <w:r>
        <w:rPr>
          <w:rFonts w:ascii="Franklin Gothic Book" w:hAnsi="Franklin Gothic Book"/>
          <w:iCs/>
        </w:rPr>
        <w:t xml:space="preserve">The </w:t>
      </w:r>
      <w:r w:rsidR="006A2C29">
        <w:rPr>
          <w:rFonts w:ascii="Franklin Gothic Book" w:hAnsi="Franklin Gothic Book"/>
          <w:iCs/>
        </w:rPr>
        <w:t>c</w:t>
      </w:r>
      <w:r>
        <w:rPr>
          <w:rFonts w:ascii="Franklin Gothic Book" w:hAnsi="Franklin Gothic Book"/>
          <w:iCs/>
        </w:rPr>
        <w:t xml:space="preserve">ommentary </w:t>
      </w:r>
      <w:r w:rsidR="002056CD" w:rsidRPr="00056090">
        <w:rPr>
          <w:rFonts w:ascii="Franklin Gothic Book" w:hAnsi="Franklin Gothic Book"/>
          <w:iCs/>
        </w:rPr>
        <w:t xml:space="preserve">noted that </w:t>
      </w:r>
      <w:r w:rsidR="00D50E5C" w:rsidRPr="00056090">
        <w:rPr>
          <w:rFonts w:ascii="Franklin Gothic Book" w:hAnsi="Franklin Gothic Book"/>
          <w:iCs/>
        </w:rPr>
        <w:t>EndoPredict</w:t>
      </w:r>
      <w:r w:rsidR="005F1260" w:rsidRPr="005F1260">
        <w:rPr>
          <w:rFonts w:ascii="Franklin Gothic Book" w:hAnsi="Franklin Gothic Book"/>
          <w:iCs/>
          <w:vertAlign w:val="superscript"/>
        </w:rPr>
        <w:t>®</w:t>
      </w:r>
      <w:r w:rsidR="002056CD" w:rsidRPr="00056090">
        <w:rPr>
          <w:rFonts w:ascii="Franklin Gothic Book" w:hAnsi="Franklin Gothic Book"/>
          <w:iCs/>
        </w:rPr>
        <w:t xml:space="preserve"> is recommended in a number of recently updated international clinical Guidelines for early breast cancer management. Guidelines including ASCO (2016), ESMO (2019)</w:t>
      </w:r>
      <w:r w:rsidR="00371658" w:rsidRPr="00056090">
        <w:rPr>
          <w:rFonts w:ascii="Franklin Gothic Book" w:hAnsi="Franklin Gothic Book"/>
          <w:iCs/>
        </w:rPr>
        <w:t>,</w:t>
      </w:r>
      <w:r w:rsidR="002056CD" w:rsidRPr="00056090">
        <w:rPr>
          <w:rFonts w:ascii="Franklin Gothic Book" w:hAnsi="Franklin Gothic Book"/>
          <w:iCs/>
        </w:rPr>
        <w:t xml:space="preserve"> EGTM (2017) and NICE (2019)</w:t>
      </w:r>
      <w:bookmarkStart w:id="22" w:name="_Ref102033711"/>
      <w:r w:rsidR="002056CD" w:rsidRPr="00877150">
        <w:rPr>
          <w:rFonts w:ascii="Franklin Gothic Book" w:hAnsi="Franklin Gothic Book"/>
          <w:iCs/>
          <w:vertAlign w:val="superscript"/>
        </w:rPr>
        <w:footnoteReference w:id="2"/>
      </w:r>
      <w:bookmarkEnd w:id="22"/>
      <w:r w:rsidR="002056CD" w:rsidRPr="00056090">
        <w:rPr>
          <w:rFonts w:ascii="Franklin Gothic Book" w:hAnsi="Franklin Gothic Book"/>
          <w:iCs/>
        </w:rPr>
        <w:t xml:space="preserve"> recommend using </w:t>
      </w:r>
      <w:r w:rsidR="00D50E5C" w:rsidRPr="00056090">
        <w:rPr>
          <w:rFonts w:ascii="Franklin Gothic Book" w:hAnsi="Franklin Gothic Book"/>
          <w:iCs/>
        </w:rPr>
        <w:t>EndoPredict</w:t>
      </w:r>
      <w:r w:rsidR="005F1260" w:rsidRPr="005F1260">
        <w:rPr>
          <w:rFonts w:ascii="Franklin Gothic Book" w:hAnsi="Franklin Gothic Book"/>
          <w:iCs/>
          <w:vertAlign w:val="superscript"/>
        </w:rPr>
        <w:t>®</w:t>
      </w:r>
      <w:r w:rsidR="002056CD" w:rsidRPr="00056090">
        <w:rPr>
          <w:rFonts w:ascii="Franklin Gothic Book" w:hAnsi="Franklin Gothic Book"/>
          <w:iCs/>
        </w:rPr>
        <w:t xml:space="preserve"> for guiding adjuvant chemotherapy decisions. The recommended early ER+, HER2- eligible populations vary across the guidelines. </w:t>
      </w:r>
      <w:r w:rsidR="00D50E5C" w:rsidRPr="00056090">
        <w:rPr>
          <w:rFonts w:ascii="Franklin Gothic Book" w:hAnsi="Franklin Gothic Book"/>
          <w:iCs/>
        </w:rPr>
        <w:t>EndoPredict</w:t>
      </w:r>
      <w:r w:rsidR="005F1260" w:rsidRPr="005F1260">
        <w:rPr>
          <w:rFonts w:ascii="Franklin Gothic Book" w:hAnsi="Franklin Gothic Book"/>
          <w:iCs/>
          <w:vertAlign w:val="superscript"/>
        </w:rPr>
        <w:t>®</w:t>
      </w:r>
      <w:r w:rsidR="002056CD" w:rsidRPr="00056090">
        <w:rPr>
          <w:rFonts w:ascii="Franklin Gothic Book" w:hAnsi="Franklin Gothic Book"/>
          <w:iCs/>
        </w:rPr>
        <w:t xml:space="preserve"> is available for private patients within Australia, where its use is not limited to the “intermediate risk” population.</w:t>
      </w:r>
    </w:p>
    <w:p w14:paraId="789A6545" w14:textId="655249FC" w:rsidR="002056CD" w:rsidRPr="00056090" w:rsidRDefault="002056CD" w:rsidP="00056090">
      <w:pPr>
        <w:spacing w:after="240"/>
        <w:rPr>
          <w:rFonts w:ascii="Franklin Gothic Book" w:hAnsi="Franklin Gothic Book"/>
          <w:iCs/>
        </w:rPr>
      </w:pPr>
      <w:r w:rsidRPr="00056090">
        <w:rPr>
          <w:rFonts w:ascii="Franklin Gothic Book" w:hAnsi="Franklin Gothic Book"/>
          <w:iCs/>
        </w:rPr>
        <w:t xml:space="preserve">In </w:t>
      </w:r>
      <w:r w:rsidR="009F3AA3" w:rsidRPr="00056090">
        <w:rPr>
          <w:rFonts w:ascii="Franklin Gothic Book" w:hAnsi="Franklin Gothic Book"/>
          <w:iCs/>
        </w:rPr>
        <w:t>a</w:t>
      </w:r>
      <w:r w:rsidRPr="00056090">
        <w:rPr>
          <w:rFonts w:ascii="Franklin Gothic Book" w:hAnsi="Franklin Gothic Book"/>
          <w:iCs/>
        </w:rPr>
        <w:t xml:space="preserve">ddition, </w:t>
      </w:r>
      <w:r w:rsidR="00633BF0" w:rsidRPr="00056090">
        <w:rPr>
          <w:rFonts w:ascii="Franklin Gothic Book" w:hAnsi="Franklin Gothic Book"/>
          <w:iCs/>
        </w:rPr>
        <w:t>at least one Australian pathology website (Australian Clinical Labs website</w:t>
      </w:r>
      <w:r w:rsidR="00633BF0" w:rsidRPr="00877150">
        <w:rPr>
          <w:rFonts w:ascii="Franklin Gothic Book" w:hAnsi="Franklin Gothic Book"/>
          <w:iCs/>
          <w:vertAlign w:val="superscript"/>
        </w:rPr>
        <w:footnoteReference w:id="3"/>
      </w:r>
      <w:r w:rsidR="00633BF0" w:rsidRPr="00056090">
        <w:rPr>
          <w:rFonts w:ascii="Franklin Gothic Book" w:hAnsi="Franklin Gothic Book"/>
          <w:iCs/>
        </w:rPr>
        <w:t>)</w:t>
      </w:r>
      <w:r w:rsidR="009F3AA3" w:rsidRPr="00056090">
        <w:rPr>
          <w:rFonts w:ascii="Franklin Gothic Book" w:hAnsi="Franklin Gothic Book"/>
          <w:iCs/>
        </w:rPr>
        <w:t xml:space="preserve"> claims that </w:t>
      </w:r>
      <w:r w:rsidR="00D50E5C" w:rsidRPr="00056090">
        <w:rPr>
          <w:rFonts w:ascii="Franklin Gothic Book" w:hAnsi="Franklin Gothic Book"/>
          <w:iCs/>
        </w:rPr>
        <w:t>EndoPredict</w:t>
      </w:r>
      <w:r w:rsidR="005F1260" w:rsidRPr="005F1260">
        <w:rPr>
          <w:rFonts w:ascii="Franklin Gothic Book" w:hAnsi="Franklin Gothic Book"/>
          <w:iCs/>
          <w:vertAlign w:val="superscript"/>
        </w:rPr>
        <w:t>®</w:t>
      </w:r>
      <w:r w:rsidRPr="00056090">
        <w:rPr>
          <w:rFonts w:ascii="Franklin Gothic Book" w:hAnsi="Franklin Gothic Book"/>
          <w:iCs/>
        </w:rPr>
        <w:t xml:space="preserve"> can supply information for the following questions for ER+, HER2- early breast cancer about treatment effect:</w:t>
      </w:r>
    </w:p>
    <w:p w14:paraId="562BF935" w14:textId="268556FB" w:rsidR="002056CD" w:rsidRPr="00056090" w:rsidRDefault="005A46B1" w:rsidP="00C61600">
      <w:pPr>
        <w:pStyle w:val="BodyText"/>
        <w:numPr>
          <w:ilvl w:val="0"/>
          <w:numId w:val="28"/>
        </w:numPr>
        <w:spacing w:before="0" w:after="0"/>
        <w:ind w:left="714" w:hanging="357"/>
        <w:rPr>
          <w:rFonts w:ascii="Franklin Gothic Book" w:hAnsi="Franklin Gothic Book"/>
          <w:iCs/>
        </w:rPr>
      </w:pPr>
      <w:r w:rsidRPr="00056090">
        <w:rPr>
          <w:rFonts w:ascii="Franklin Gothic Book" w:hAnsi="Franklin Gothic Book"/>
          <w:iCs/>
        </w:rPr>
        <w:t>w</w:t>
      </w:r>
      <w:r w:rsidR="002056CD" w:rsidRPr="00056090">
        <w:rPr>
          <w:rFonts w:ascii="Franklin Gothic Book" w:hAnsi="Franklin Gothic Book"/>
          <w:iCs/>
        </w:rPr>
        <w:t>hether the patient can safely avoid chemotherapy</w:t>
      </w:r>
    </w:p>
    <w:p w14:paraId="70044AE1" w14:textId="52DF7CFD" w:rsidR="002056CD" w:rsidRPr="00056090" w:rsidRDefault="005A46B1" w:rsidP="00C61600">
      <w:pPr>
        <w:pStyle w:val="BodyText"/>
        <w:numPr>
          <w:ilvl w:val="0"/>
          <w:numId w:val="28"/>
        </w:numPr>
        <w:spacing w:before="0" w:after="0"/>
        <w:ind w:left="714" w:hanging="357"/>
        <w:rPr>
          <w:rFonts w:ascii="Franklin Gothic Book" w:hAnsi="Franklin Gothic Book"/>
          <w:iCs/>
        </w:rPr>
      </w:pPr>
      <w:r w:rsidRPr="00056090">
        <w:rPr>
          <w:rFonts w:ascii="Franklin Gothic Book" w:hAnsi="Franklin Gothic Book"/>
          <w:iCs/>
        </w:rPr>
        <w:t>h</w:t>
      </w:r>
      <w:r w:rsidR="002056CD" w:rsidRPr="00056090">
        <w:rPr>
          <w:rFonts w:ascii="Franklin Gothic Book" w:hAnsi="Franklin Gothic Book"/>
          <w:iCs/>
        </w:rPr>
        <w:t>ow beneficial chemotherapy would be</w:t>
      </w:r>
    </w:p>
    <w:p w14:paraId="3E002820" w14:textId="7B4B090B" w:rsidR="002056CD" w:rsidRPr="00056090" w:rsidRDefault="005A46B1" w:rsidP="006E3962">
      <w:pPr>
        <w:pStyle w:val="BodyText"/>
        <w:numPr>
          <w:ilvl w:val="0"/>
          <w:numId w:val="28"/>
        </w:numPr>
        <w:spacing w:before="0"/>
        <w:ind w:left="714" w:hanging="357"/>
        <w:rPr>
          <w:rFonts w:ascii="Franklin Gothic Book" w:hAnsi="Franklin Gothic Book"/>
        </w:rPr>
      </w:pPr>
      <w:r w:rsidRPr="00056090">
        <w:rPr>
          <w:rFonts w:ascii="Franklin Gothic Book" w:hAnsi="Franklin Gothic Book"/>
          <w:iCs/>
        </w:rPr>
        <w:t>w</w:t>
      </w:r>
      <w:r w:rsidR="002056CD" w:rsidRPr="00056090">
        <w:rPr>
          <w:rFonts w:ascii="Franklin Gothic Book" w:hAnsi="Franklin Gothic Book"/>
          <w:iCs/>
        </w:rPr>
        <w:t xml:space="preserve">hether the patient can avoid extended endocrine therapy (source: </w:t>
      </w:r>
      <w:hyperlink r:id="rId10" w:history="1">
        <w:r w:rsidR="002056CD" w:rsidRPr="00056090">
          <w:rPr>
            <w:rStyle w:val="Hyperlink"/>
            <w:rFonts w:ascii="Franklin Gothic Book" w:hAnsi="Franklin Gothic Book"/>
            <w:iCs/>
          </w:rPr>
          <w:t>Australian Clinical Labs</w:t>
        </w:r>
      </w:hyperlink>
      <w:r w:rsidR="002056CD" w:rsidRPr="00056090">
        <w:rPr>
          <w:rFonts w:ascii="Franklin Gothic Book" w:hAnsi="Franklin Gothic Book"/>
          <w:iCs/>
        </w:rPr>
        <w:t>)</w:t>
      </w:r>
      <w:r w:rsidRPr="00056090">
        <w:rPr>
          <w:rFonts w:ascii="Franklin Gothic Book" w:hAnsi="Franklin Gothic Book"/>
          <w:iCs/>
        </w:rPr>
        <w:t>.</w:t>
      </w:r>
    </w:p>
    <w:p w14:paraId="27101916" w14:textId="6D29CD34" w:rsidR="002056CD" w:rsidRPr="00056090" w:rsidRDefault="006A153F" w:rsidP="002056CD">
      <w:pPr>
        <w:pStyle w:val="Heading2"/>
        <w:rPr>
          <w:rFonts w:ascii="Franklin Gothic Medium" w:hAnsi="Franklin Gothic Medium" w:cstheme="majorBidi"/>
        </w:rPr>
      </w:pPr>
      <w:bookmarkStart w:id="23" w:name="_Toc69491419"/>
      <w:bookmarkStart w:id="24" w:name="_Toc102569853"/>
      <w:r>
        <w:rPr>
          <w:rFonts w:ascii="Franklin Gothic Medium" w:hAnsi="Franklin Gothic Medium" w:cstheme="majorBidi"/>
        </w:rPr>
        <w:t>7</w:t>
      </w:r>
      <w:r w:rsidR="002056CD" w:rsidRPr="00056090">
        <w:rPr>
          <w:rFonts w:ascii="Franklin Gothic Medium" w:hAnsi="Franklin Gothic Medium" w:cstheme="majorBidi"/>
        </w:rPr>
        <w:t>.</w:t>
      </w:r>
      <w:r w:rsidR="002056CD" w:rsidRPr="00056090">
        <w:rPr>
          <w:rFonts w:ascii="Franklin Gothic Medium" w:hAnsi="Franklin Gothic Medium" w:cstheme="majorBidi"/>
        </w:rPr>
        <w:tab/>
        <w:t>Population</w:t>
      </w:r>
      <w:bookmarkEnd w:id="23"/>
      <w:bookmarkEnd w:id="24"/>
    </w:p>
    <w:p w14:paraId="2F9F2315" w14:textId="5F5DF386" w:rsidR="002056CD" w:rsidRPr="00056090" w:rsidRDefault="002056CD" w:rsidP="002056CD">
      <w:pPr>
        <w:rPr>
          <w:rFonts w:ascii="Franklin Gothic Book" w:hAnsi="Franklin Gothic Book"/>
          <w:iCs/>
        </w:rPr>
      </w:pPr>
      <w:r w:rsidRPr="00056090">
        <w:rPr>
          <w:rFonts w:ascii="Franklin Gothic Book" w:hAnsi="Franklin Gothic Book"/>
          <w:iCs/>
        </w:rPr>
        <w:t xml:space="preserve">The new GEP test is intended for </w:t>
      </w:r>
      <w:r w:rsidR="00F2126E">
        <w:rPr>
          <w:rFonts w:ascii="Franklin Gothic Book" w:hAnsi="Franklin Gothic Book"/>
          <w:iCs/>
        </w:rPr>
        <w:t>patients</w:t>
      </w:r>
      <w:r w:rsidRPr="00056090">
        <w:rPr>
          <w:rFonts w:ascii="Franklin Gothic Book" w:hAnsi="Franklin Gothic Book"/>
          <w:iCs/>
        </w:rPr>
        <w:t xml:space="preserve"> with early primary breast cancer who meet the specific requirements of ER+, HER-, no positive lymph nodes or 1 to 3 positive lymph nodes, and tumour size determined following surgical removal. Eligible individuals will have an </w:t>
      </w:r>
      <w:r w:rsidRPr="00056090">
        <w:rPr>
          <w:rFonts w:ascii="Franklin Gothic Book" w:hAnsi="Franklin Gothic Book"/>
          <w:iCs/>
          <w:u w:val="single"/>
        </w:rPr>
        <w:t>intermediate</w:t>
      </w:r>
      <w:r w:rsidRPr="00056090">
        <w:rPr>
          <w:rFonts w:ascii="Franklin Gothic Book" w:hAnsi="Franklin Gothic Book"/>
          <w:iCs/>
        </w:rPr>
        <w:t xml:space="preserve"> risk of distant recurrence based on the clinical features of tumour size ≥2</w:t>
      </w:r>
      <w:r w:rsidR="00877150">
        <w:rPr>
          <w:rFonts w:ascii="Franklin Gothic Book" w:hAnsi="Franklin Gothic Book"/>
          <w:iCs/>
        </w:rPr>
        <w:t> </w:t>
      </w:r>
      <w:r w:rsidRPr="00056090">
        <w:rPr>
          <w:rFonts w:ascii="Franklin Gothic Book" w:hAnsi="Franklin Gothic Book"/>
          <w:iCs/>
        </w:rPr>
        <w:t>cm, or tumour grade 2 or grade 3, or 1-3 lymph nodes involved shown to have metastatic disease (nodes include micrometastases but not isolated tumour cells).</w:t>
      </w:r>
    </w:p>
    <w:p w14:paraId="0711980D" w14:textId="325457D6" w:rsidR="002056CD" w:rsidRPr="00056090" w:rsidRDefault="00F2126E" w:rsidP="002056CD">
      <w:pPr>
        <w:rPr>
          <w:rFonts w:ascii="Franklin Gothic Book" w:hAnsi="Franklin Gothic Book"/>
          <w:iCs/>
        </w:rPr>
      </w:pPr>
      <w:r>
        <w:rPr>
          <w:rFonts w:ascii="Franklin Gothic Book" w:hAnsi="Franklin Gothic Book"/>
          <w:iCs/>
        </w:rPr>
        <w:t>Patients</w:t>
      </w:r>
      <w:r w:rsidRPr="00056090">
        <w:rPr>
          <w:rFonts w:ascii="Franklin Gothic Book" w:hAnsi="Franklin Gothic Book"/>
          <w:iCs/>
        </w:rPr>
        <w:t xml:space="preserve"> </w:t>
      </w:r>
      <w:r w:rsidR="002056CD" w:rsidRPr="00056090">
        <w:rPr>
          <w:rFonts w:ascii="Franklin Gothic Book" w:hAnsi="Franklin Gothic Book"/>
          <w:iCs/>
        </w:rPr>
        <w:t>with low risk of distant recurrence based on the clinical features are treated with hormone therapy alone, and those with high risk of recurrence are treated with hormone therapy plus adjuvant chemotherapy, according to standard clinical practice. The proposed test is intended to assist in treatment decision making for those who fall into the intermediate risk group, and for whom the treatment pathway is not clear.</w:t>
      </w:r>
    </w:p>
    <w:p w14:paraId="4902DFC6" w14:textId="030679F8" w:rsidR="002056CD" w:rsidRPr="00056090" w:rsidRDefault="007E4261" w:rsidP="002056CD">
      <w:pPr>
        <w:rPr>
          <w:rFonts w:ascii="Franklin Gothic Book" w:hAnsi="Franklin Gothic Book"/>
          <w:iCs/>
        </w:rPr>
      </w:pPr>
      <w:r w:rsidRPr="00056090">
        <w:rPr>
          <w:rFonts w:ascii="Franklin Gothic Book" w:hAnsi="Franklin Gothic Book"/>
          <w:iCs/>
        </w:rPr>
        <w:lastRenderedPageBreak/>
        <w:t>In its November 2019 PSD</w:t>
      </w:r>
      <w:r w:rsidR="002056CD" w:rsidRPr="00056090">
        <w:rPr>
          <w:rFonts w:ascii="Franklin Gothic Book" w:hAnsi="Franklin Gothic Book"/>
          <w:iCs/>
        </w:rPr>
        <w:t xml:space="preserve">, MSAC requested that those of intermediate risk </w:t>
      </w:r>
      <w:r w:rsidRPr="00056090">
        <w:rPr>
          <w:rFonts w:ascii="Franklin Gothic Book" w:hAnsi="Franklin Gothic Book"/>
          <w:iCs/>
        </w:rPr>
        <w:t>be</w:t>
      </w:r>
      <w:r w:rsidR="002056CD" w:rsidRPr="00056090">
        <w:rPr>
          <w:rFonts w:ascii="Franklin Gothic Book" w:hAnsi="Franklin Gothic Book"/>
          <w:iCs/>
        </w:rPr>
        <w:t xml:space="preserve"> more clearly defined and separated from low</w:t>
      </w:r>
      <w:r w:rsidR="00077D16">
        <w:rPr>
          <w:rFonts w:ascii="Franklin Gothic Book" w:hAnsi="Franklin Gothic Book"/>
          <w:iCs/>
        </w:rPr>
        <w:t>-risk</w:t>
      </w:r>
      <w:r w:rsidR="002056CD" w:rsidRPr="00056090">
        <w:rPr>
          <w:rFonts w:ascii="Franklin Gothic Book" w:hAnsi="Franklin Gothic Book"/>
          <w:iCs/>
        </w:rPr>
        <w:t xml:space="preserve"> and high</w:t>
      </w:r>
      <w:r w:rsidR="00077D16">
        <w:rPr>
          <w:rFonts w:ascii="Franklin Gothic Book" w:hAnsi="Franklin Gothic Book"/>
          <w:iCs/>
        </w:rPr>
        <w:t>-</w:t>
      </w:r>
      <w:r w:rsidR="002056CD" w:rsidRPr="00056090">
        <w:rPr>
          <w:rFonts w:ascii="Franklin Gothic Book" w:hAnsi="Franklin Gothic Book"/>
          <w:iCs/>
        </w:rPr>
        <w:t xml:space="preserve">risk patients by the eligibility criteria. According to the </w:t>
      </w:r>
      <w:r w:rsidR="00625EA6" w:rsidRPr="00056090">
        <w:rPr>
          <w:rFonts w:ascii="Franklin Gothic Book" w:hAnsi="Franklin Gothic Book"/>
          <w:iCs/>
        </w:rPr>
        <w:t xml:space="preserve">1408 </w:t>
      </w:r>
      <w:r w:rsidR="00197DB5">
        <w:rPr>
          <w:rFonts w:ascii="Franklin Gothic Book" w:hAnsi="Franklin Gothic Book"/>
          <w:iCs/>
        </w:rPr>
        <w:t>application</w:t>
      </w:r>
      <w:r w:rsidR="002056CD" w:rsidRPr="00056090">
        <w:rPr>
          <w:rFonts w:ascii="Franklin Gothic Book" w:hAnsi="Franklin Gothic Book"/>
          <w:iCs/>
        </w:rPr>
        <w:t xml:space="preserve">, risk classification may be based on international clinical guidelines, or clinical practice in Australia, across which there is considerable variation. There were no changes made to the eligibility criteria in the </w:t>
      </w:r>
      <w:r w:rsidR="00495C60" w:rsidRPr="00056090">
        <w:rPr>
          <w:rFonts w:ascii="Franklin Gothic Book" w:hAnsi="Franklin Gothic Book"/>
          <w:iCs/>
        </w:rPr>
        <w:t xml:space="preserve">1408.1 </w:t>
      </w:r>
      <w:r w:rsidR="00197DB5">
        <w:rPr>
          <w:rFonts w:ascii="Franklin Gothic Book" w:hAnsi="Franklin Gothic Book"/>
          <w:iCs/>
        </w:rPr>
        <w:t>re-application</w:t>
      </w:r>
      <w:r w:rsidR="002056CD" w:rsidRPr="00056090">
        <w:rPr>
          <w:rFonts w:ascii="Franklin Gothic Book" w:hAnsi="Franklin Gothic Book"/>
          <w:iCs/>
        </w:rPr>
        <w:t xml:space="preserve">. Criteria for the PROSPER trial are given in </w:t>
      </w:r>
      <w:r w:rsidR="002056CD" w:rsidRPr="00056090">
        <w:rPr>
          <w:rFonts w:ascii="Franklin Gothic Book" w:hAnsi="Franklin Gothic Book"/>
          <w:iCs/>
        </w:rPr>
        <w:fldChar w:fldCharType="begin"/>
      </w:r>
      <w:r w:rsidR="002056CD" w:rsidRPr="00056090">
        <w:rPr>
          <w:rFonts w:ascii="Franklin Gothic Book" w:hAnsi="Franklin Gothic Book"/>
          <w:iCs/>
        </w:rPr>
        <w:instrText xml:space="preserve"> REF _Ref98422620 \h </w:instrText>
      </w:r>
      <w:r w:rsidR="00056090">
        <w:rPr>
          <w:rFonts w:ascii="Franklin Gothic Book" w:hAnsi="Franklin Gothic Book"/>
          <w:iCs/>
        </w:rPr>
        <w:instrText xml:space="preserve"> \* MERGEFORMAT </w:instrText>
      </w:r>
      <w:r w:rsidR="002056CD" w:rsidRPr="00056090">
        <w:rPr>
          <w:rFonts w:ascii="Franklin Gothic Book" w:hAnsi="Franklin Gothic Book"/>
          <w:iCs/>
        </w:rPr>
      </w:r>
      <w:r w:rsidR="002056CD" w:rsidRPr="00056090">
        <w:rPr>
          <w:rFonts w:ascii="Franklin Gothic Book" w:hAnsi="Franklin Gothic Book"/>
          <w:iCs/>
        </w:rPr>
        <w:fldChar w:fldCharType="separate"/>
      </w:r>
      <w:r w:rsidR="00943826" w:rsidRPr="00943826">
        <w:rPr>
          <w:rFonts w:ascii="Franklin Gothic Book" w:hAnsi="Franklin Gothic Book"/>
          <w:iCs/>
        </w:rPr>
        <w:t>Table 6</w:t>
      </w:r>
      <w:r w:rsidR="002056CD" w:rsidRPr="00056090">
        <w:rPr>
          <w:rFonts w:ascii="Franklin Gothic Book" w:hAnsi="Franklin Gothic Book"/>
          <w:iCs/>
        </w:rPr>
        <w:fldChar w:fldCharType="end"/>
      </w:r>
      <w:r w:rsidR="002056CD" w:rsidRPr="00056090">
        <w:rPr>
          <w:rFonts w:ascii="Franklin Gothic Book" w:hAnsi="Franklin Gothic Book"/>
          <w:iCs/>
        </w:rPr>
        <w:t>. A smaller tumour size was accepted into the study (&gt;10 mm) than is in the item descriptor criteria (</w:t>
      </w:r>
      <w:r w:rsidR="008A320F" w:rsidRPr="00056090">
        <w:rPr>
          <w:rFonts w:ascii="Franklin Gothic Book" w:hAnsi="Franklin Gothic Book"/>
          <w:iCs/>
        </w:rPr>
        <w:t>≥</w:t>
      </w:r>
      <w:r w:rsidR="002056CD" w:rsidRPr="00056090">
        <w:rPr>
          <w:rFonts w:ascii="Franklin Gothic Book" w:hAnsi="Franklin Gothic Book"/>
          <w:iCs/>
        </w:rPr>
        <w:t>20</w:t>
      </w:r>
      <w:r w:rsidR="00877150">
        <w:rPr>
          <w:rFonts w:ascii="Franklin Gothic Book" w:hAnsi="Franklin Gothic Book"/>
          <w:iCs/>
        </w:rPr>
        <w:t> </w:t>
      </w:r>
      <w:r w:rsidR="002056CD" w:rsidRPr="00056090">
        <w:rPr>
          <w:rFonts w:ascii="Franklin Gothic Book" w:hAnsi="Franklin Gothic Book"/>
          <w:iCs/>
        </w:rPr>
        <w:t>mm). Proposed MBS criteria and inclusion criteria for the intermediate population in the change in management study by Penault-L</w:t>
      </w:r>
      <w:r w:rsidR="003D2FEE" w:rsidRPr="00056090">
        <w:rPr>
          <w:rFonts w:ascii="Franklin Gothic Book" w:hAnsi="Franklin Gothic Book"/>
          <w:iCs/>
        </w:rPr>
        <w:t>l</w:t>
      </w:r>
      <w:r w:rsidR="002056CD" w:rsidRPr="00056090">
        <w:rPr>
          <w:rFonts w:ascii="Franklin Gothic Book" w:hAnsi="Franklin Gothic Book"/>
          <w:iCs/>
        </w:rPr>
        <w:t>orca et al (2020)</w:t>
      </w:r>
      <w:r w:rsidR="009F2FA8" w:rsidRPr="009F2FA8">
        <w:rPr>
          <w:rStyle w:val="FootnoteReference"/>
          <w:rFonts w:ascii="Franklin Gothic Book" w:hAnsi="Franklin Gothic Book"/>
        </w:rPr>
        <w:t xml:space="preserve"> </w:t>
      </w:r>
      <w:r w:rsidR="009F2FA8">
        <w:rPr>
          <w:rStyle w:val="FootnoteReference"/>
          <w:rFonts w:ascii="Franklin Gothic Book" w:hAnsi="Franklin Gothic Book"/>
        </w:rPr>
        <w:footnoteReference w:id="4"/>
      </w:r>
      <w:r w:rsidR="002056CD" w:rsidRPr="00056090">
        <w:rPr>
          <w:rFonts w:ascii="Franklin Gothic Book" w:hAnsi="Franklin Gothic Book"/>
          <w:iCs/>
        </w:rPr>
        <w:t xml:space="preserve"> are included for comparison.</w:t>
      </w:r>
    </w:p>
    <w:p w14:paraId="0E4F797D" w14:textId="20766E4C" w:rsidR="002056CD" w:rsidRDefault="002056CD" w:rsidP="00F80877">
      <w:pPr>
        <w:pStyle w:val="Caption"/>
        <w:keepLines/>
      </w:pPr>
      <w:bookmarkStart w:id="25" w:name="_Ref98422620"/>
      <w:r>
        <w:t xml:space="preserve">Table </w:t>
      </w:r>
      <w:fldSimple w:instr=" SEQ Table \* ARABIC ">
        <w:r w:rsidR="00943826">
          <w:rPr>
            <w:noProof/>
          </w:rPr>
          <w:t>6</w:t>
        </w:r>
      </w:fldSimple>
      <w:bookmarkEnd w:id="25"/>
      <w:r>
        <w:tab/>
        <w:t>Inclusion criteria for early ER+, HER- breast cancer for the PROSPER study, Penault-Llorca et al 2020 study and proposed MBS criteria</w:t>
      </w:r>
    </w:p>
    <w:tbl>
      <w:tblPr>
        <w:tblStyle w:val="TableGrid10"/>
        <w:tblW w:w="5000" w:type="pct"/>
        <w:tblLook w:val="04A0" w:firstRow="1" w:lastRow="0" w:firstColumn="1" w:lastColumn="0" w:noHBand="0" w:noVBand="1"/>
      </w:tblPr>
      <w:tblGrid>
        <w:gridCol w:w="1696"/>
        <w:gridCol w:w="2552"/>
        <w:gridCol w:w="2552"/>
        <w:gridCol w:w="2216"/>
      </w:tblGrid>
      <w:tr w:rsidR="002056CD" w:rsidRPr="00CE28E3" w14:paraId="4ED6EE78" w14:textId="77777777" w:rsidTr="00C61600">
        <w:trPr>
          <w:cnfStyle w:val="100000000000" w:firstRow="1" w:lastRow="0" w:firstColumn="0" w:lastColumn="0" w:oddVBand="0" w:evenVBand="0" w:oddHBand="0" w:evenHBand="0" w:firstRowFirstColumn="0" w:firstRowLastColumn="0" w:lastRowFirstColumn="0" w:lastRowLastColumn="0"/>
          <w:cantSplit/>
          <w:tblHeader/>
        </w:trPr>
        <w:tc>
          <w:tcPr>
            <w:tcW w:w="941" w:type="pct"/>
            <w:shd w:val="clear" w:color="auto" w:fill="auto"/>
          </w:tcPr>
          <w:p w14:paraId="19F459A0" w14:textId="77777777" w:rsidR="002056CD" w:rsidRPr="00CE28E3" w:rsidRDefault="002056CD" w:rsidP="00F80877">
            <w:pPr>
              <w:pStyle w:val="In-tableHeading"/>
              <w:keepLines/>
            </w:pPr>
            <w:r>
              <w:t>Criteria</w:t>
            </w:r>
          </w:p>
        </w:tc>
        <w:tc>
          <w:tcPr>
            <w:tcW w:w="1415" w:type="pct"/>
          </w:tcPr>
          <w:p w14:paraId="4E1EFEDB" w14:textId="77777777" w:rsidR="002056CD" w:rsidRPr="00CE28E3" w:rsidRDefault="002056CD" w:rsidP="00F80877">
            <w:pPr>
              <w:pStyle w:val="In-tableHeading"/>
              <w:keepLines/>
            </w:pPr>
            <w:r>
              <w:t>PROSPER</w:t>
            </w:r>
          </w:p>
        </w:tc>
        <w:tc>
          <w:tcPr>
            <w:tcW w:w="1415" w:type="pct"/>
          </w:tcPr>
          <w:p w14:paraId="1623E616" w14:textId="77777777" w:rsidR="002056CD" w:rsidRDefault="002056CD" w:rsidP="00F80877">
            <w:pPr>
              <w:pStyle w:val="In-tableHeading"/>
              <w:keepLines/>
            </w:pPr>
            <w:r>
              <w:t>Penault-Llorca et al 2020</w:t>
            </w:r>
          </w:p>
        </w:tc>
        <w:tc>
          <w:tcPr>
            <w:tcW w:w="1229" w:type="pct"/>
          </w:tcPr>
          <w:p w14:paraId="7A3E9B40" w14:textId="77777777" w:rsidR="002056CD" w:rsidRDefault="002056CD" w:rsidP="00F80877">
            <w:pPr>
              <w:pStyle w:val="In-tableHeading"/>
              <w:keepLines/>
            </w:pPr>
            <w:r>
              <w:t>Proposed MBS criteria</w:t>
            </w:r>
          </w:p>
        </w:tc>
      </w:tr>
      <w:tr w:rsidR="002056CD" w:rsidRPr="00CE28E3" w14:paraId="12642420" w14:textId="77777777" w:rsidTr="00C61600">
        <w:trPr>
          <w:cantSplit/>
        </w:trPr>
        <w:tc>
          <w:tcPr>
            <w:tcW w:w="941" w:type="pct"/>
          </w:tcPr>
          <w:p w14:paraId="26875420" w14:textId="77777777" w:rsidR="002056CD" w:rsidRPr="00CE28E3" w:rsidRDefault="002056CD" w:rsidP="00F80877">
            <w:pPr>
              <w:pStyle w:val="TableText0"/>
              <w:keepLines/>
            </w:pPr>
            <w:r>
              <w:t>ER status</w:t>
            </w:r>
          </w:p>
        </w:tc>
        <w:tc>
          <w:tcPr>
            <w:tcW w:w="1415" w:type="pct"/>
          </w:tcPr>
          <w:p w14:paraId="30B323FF" w14:textId="6B29350E" w:rsidR="002056CD" w:rsidRPr="00CE28E3" w:rsidRDefault="002056CD" w:rsidP="00F80877">
            <w:pPr>
              <w:pStyle w:val="TableText0"/>
              <w:keepLines/>
            </w:pPr>
            <w:r>
              <w:t>&gt;1% ER positive nuclei by IHC</w:t>
            </w:r>
          </w:p>
        </w:tc>
        <w:tc>
          <w:tcPr>
            <w:tcW w:w="1415" w:type="pct"/>
          </w:tcPr>
          <w:p w14:paraId="6378B557" w14:textId="52E9DE19" w:rsidR="002056CD" w:rsidRDefault="002056CD" w:rsidP="00F80877">
            <w:pPr>
              <w:pStyle w:val="TableText0"/>
              <w:keepLines/>
            </w:pPr>
            <w:r>
              <w:t>&gt;10% expression by IHC</w:t>
            </w:r>
          </w:p>
        </w:tc>
        <w:tc>
          <w:tcPr>
            <w:tcW w:w="1229" w:type="pct"/>
          </w:tcPr>
          <w:p w14:paraId="28D1C44A" w14:textId="77777777" w:rsidR="002056CD" w:rsidRDefault="002056CD" w:rsidP="00F80877">
            <w:pPr>
              <w:pStyle w:val="TableText0"/>
              <w:keepLines/>
            </w:pPr>
            <w:r>
              <w:t>Positive by IHC</w:t>
            </w:r>
          </w:p>
        </w:tc>
      </w:tr>
      <w:tr w:rsidR="002056CD" w:rsidRPr="00CE28E3" w14:paraId="1A95B906" w14:textId="77777777" w:rsidTr="00C61600">
        <w:trPr>
          <w:cantSplit/>
        </w:trPr>
        <w:tc>
          <w:tcPr>
            <w:tcW w:w="941" w:type="pct"/>
          </w:tcPr>
          <w:p w14:paraId="26CA9FEA" w14:textId="77777777" w:rsidR="002056CD" w:rsidRPr="0067005B" w:rsidRDefault="002056CD" w:rsidP="00F80877">
            <w:pPr>
              <w:pStyle w:val="TableText0"/>
              <w:keepLines/>
            </w:pPr>
            <w:r>
              <w:t>HER2 status</w:t>
            </w:r>
          </w:p>
        </w:tc>
        <w:tc>
          <w:tcPr>
            <w:tcW w:w="1415" w:type="pct"/>
          </w:tcPr>
          <w:p w14:paraId="4665A801" w14:textId="3127E732" w:rsidR="002056CD" w:rsidRPr="00CE28E3" w:rsidRDefault="00C61600" w:rsidP="00F80877">
            <w:pPr>
              <w:pStyle w:val="TableText0"/>
              <w:keepLines/>
              <w:rPr>
                <w:rFonts w:cs="Arial"/>
                <w:bCs/>
                <w:snapToGrid w:val="0"/>
              </w:rPr>
            </w:pPr>
            <w:r>
              <w:t>N</w:t>
            </w:r>
            <w:r w:rsidR="002056CD">
              <w:t>egative</w:t>
            </w:r>
            <w:r w:rsidR="002056CD" w:rsidRPr="0067005B">
              <w:t xml:space="preserve"> </w:t>
            </w:r>
            <w:r w:rsidR="002056CD">
              <w:t>by IHC or ISH</w:t>
            </w:r>
          </w:p>
        </w:tc>
        <w:tc>
          <w:tcPr>
            <w:tcW w:w="1415" w:type="pct"/>
          </w:tcPr>
          <w:p w14:paraId="44EAF997" w14:textId="77777777" w:rsidR="002056CD" w:rsidRDefault="002056CD" w:rsidP="00F80877">
            <w:pPr>
              <w:pStyle w:val="TableText0"/>
              <w:keepLines/>
              <w:rPr>
                <w:rFonts w:cs="Arial"/>
                <w:bCs/>
                <w:snapToGrid w:val="0"/>
              </w:rPr>
            </w:pPr>
            <w:r>
              <w:rPr>
                <w:rFonts w:cs="Arial"/>
                <w:bCs/>
                <w:snapToGrid w:val="0"/>
              </w:rPr>
              <w:t>Negative by IHC (0/1 + or non-amplified)</w:t>
            </w:r>
          </w:p>
        </w:tc>
        <w:tc>
          <w:tcPr>
            <w:tcW w:w="1229" w:type="pct"/>
          </w:tcPr>
          <w:p w14:paraId="0575FDC9" w14:textId="77777777" w:rsidR="002056CD" w:rsidRDefault="002056CD" w:rsidP="00F80877">
            <w:pPr>
              <w:pStyle w:val="TableText0"/>
              <w:keepLines/>
              <w:rPr>
                <w:rFonts w:cs="Arial"/>
                <w:bCs/>
                <w:snapToGrid w:val="0"/>
              </w:rPr>
            </w:pPr>
            <w:r>
              <w:rPr>
                <w:rFonts w:cs="Arial"/>
                <w:bCs/>
                <w:snapToGrid w:val="0"/>
              </w:rPr>
              <w:t>Negative by ISH</w:t>
            </w:r>
          </w:p>
        </w:tc>
      </w:tr>
      <w:tr w:rsidR="002056CD" w:rsidRPr="00CE28E3" w14:paraId="49CF2DAB" w14:textId="77777777" w:rsidTr="00C61600">
        <w:trPr>
          <w:cantSplit/>
        </w:trPr>
        <w:tc>
          <w:tcPr>
            <w:tcW w:w="941" w:type="pct"/>
          </w:tcPr>
          <w:p w14:paraId="7CE7ED13" w14:textId="61C6416B" w:rsidR="002056CD" w:rsidRPr="00CE28E3" w:rsidRDefault="002056CD" w:rsidP="00F80877">
            <w:pPr>
              <w:pStyle w:val="TableText0"/>
              <w:keepLines/>
            </w:pPr>
            <w:r>
              <w:t xml:space="preserve">TNM </w:t>
            </w:r>
            <w:r w:rsidR="00BF49FA">
              <w:t xml:space="preserve">(Tumour, Node, Metastasis) </w:t>
            </w:r>
            <w:r>
              <w:t>stage</w:t>
            </w:r>
          </w:p>
        </w:tc>
        <w:tc>
          <w:tcPr>
            <w:tcW w:w="1415" w:type="pct"/>
          </w:tcPr>
          <w:p w14:paraId="687EE032" w14:textId="4F8DBD7F" w:rsidR="002056CD" w:rsidRPr="00CE28E3" w:rsidRDefault="002056CD" w:rsidP="00F80877">
            <w:pPr>
              <w:pStyle w:val="TableText0"/>
              <w:keepLines/>
              <w:rPr>
                <w:rFonts w:cs="Arial"/>
                <w:snapToGrid w:val="0"/>
              </w:rPr>
            </w:pPr>
            <w:r>
              <w:rPr>
                <w:rFonts w:cs="Arial"/>
                <w:snapToGrid w:val="0"/>
              </w:rPr>
              <w:t>T1c</w:t>
            </w:r>
            <w:r w:rsidR="00E83B6D">
              <w:rPr>
                <w:rFonts w:cs="Arial"/>
                <w:snapToGrid w:val="0"/>
              </w:rPr>
              <w:t xml:space="preserve"> (tumour &gt;1cm, ≤2</w:t>
            </w:r>
            <w:r w:rsidR="00877150">
              <w:rPr>
                <w:rFonts w:cs="Arial"/>
                <w:snapToGrid w:val="0"/>
              </w:rPr>
              <w:t> </w:t>
            </w:r>
            <w:r w:rsidR="00E83B6D">
              <w:rPr>
                <w:rFonts w:cs="Arial"/>
                <w:snapToGrid w:val="0"/>
              </w:rPr>
              <w:t xml:space="preserve">cm) </w:t>
            </w:r>
            <w:r>
              <w:rPr>
                <w:rFonts w:cs="Arial"/>
                <w:snapToGrid w:val="0"/>
              </w:rPr>
              <w:t>to T2/N0-N1/M0</w:t>
            </w:r>
            <w:r w:rsidR="00E83B6D">
              <w:rPr>
                <w:rFonts w:cs="Arial"/>
                <w:snapToGrid w:val="0"/>
              </w:rPr>
              <w:t xml:space="preserve"> (tumour &gt;2</w:t>
            </w:r>
            <w:r w:rsidR="00877150">
              <w:rPr>
                <w:rFonts w:cs="Arial"/>
                <w:snapToGrid w:val="0"/>
              </w:rPr>
              <w:t> </w:t>
            </w:r>
            <w:r w:rsidR="00E83B6D">
              <w:rPr>
                <w:rFonts w:cs="Arial"/>
                <w:snapToGrid w:val="0"/>
              </w:rPr>
              <w:t>cm, ≤5</w:t>
            </w:r>
            <w:r w:rsidR="00877150">
              <w:rPr>
                <w:rFonts w:cs="Arial"/>
                <w:snapToGrid w:val="0"/>
              </w:rPr>
              <w:t> </w:t>
            </w:r>
            <w:r w:rsidR="00E83B6D">
              <w:rPr>
                <w:rFonts w:cs="Arial"/>
                <w:snapToGrid w:val="0"/>
              </w:rPr>
              <w:t>cm / zero to one node involved / no metastasis)</w:t>
            </w:r>
          </w:p>
        </w:tc>
        <w:tc>
          <w:tcPr>
            <w:tcW w:w="1415" w:type="pct"/>
          </w:tcPr>
          <w:p w14:paraId="666BC663" w14:textId="32D3D05D" w:rsidR="002056CD" w:rsidRDefault="002056CD" w:rsidP="00F80877">
            <w:pPr>
              <w:pStyle w:val="TableText0"/>
              <w:keepLines/>
              <w:rPr>
                <w:rFonts w:cs="Arial"/>
                <w:snapToGrid w:val="0"/>
              </w:rPr>
            </w:pPr>
            <w:r>
              <w:rPr>
                <w:rFonts w:cs="Arial"/>
                <w:snapToGrid w:val="0"/>
              </w:rPr>
              <w:t>pN0</w:t>
            </w:r>
            <w:r w:rsidR="00E83B6D">
              <w:rPr>
                <w:rFonts w:cs="Arial"/>
                <w:snapToGrid w:val="0"/>
              </w:rPr>
              <w:t xml:space="preserve"> (pathological assessment of zero nodes involved)</w:t>
            </w:r>
            <w:r>
              <w:rPr>
                <w:rFonts w:cs="Arial"/>
                <w:snapToGrid w:val="0"/>
              </w:rPr>
              <w:t xml:space="preserve"> or pN1mi</w:t>
            </w:r>
            <w:r w:rsidR="00E83B6D">
              <w:rPr>
                <w:rFonts w:cs="Arial"/>
                <w:snapToGrid w:val="0"/>
              </w:rPr>
              <w:t xml:space="preserve"> (pathological assessment of ≥1 node with micrometastases)</w:t>
            </w:r>
          </w:p>
        </w:tc>
        <w:tc>
          <w:tcPr>
            <w:tcW w:w="1229" w:type="pct"/>
          </w:tcPr>
          <w:p w14:paraId="4FA6B734" w14:textId="77777777" w:rsidR="002056CD" w:rsidRDefault="002056CD" w:rsidP="00F80877">
            <w:pPr>
              <w:pStyle w:val="TableText0"/>
              <w:keepLines/>
              <w:rPr>
                <w:rFonts w:cs="Arial"/>
                <w:snapToGrid w:val="0"/>
              </w:rPr>
            </w:pPr>
            <w:r>
              <w:rPr>
                <w:rFonts w:cs="Arial"/>
                <w:snapToGrid w:val="0"/>
              </w:rPr>
              <w:t>Not stated</w:t>
            </w:r>
          </w:p>
        </w:tc>
      </w:tr>
      <w:tr w:rsidR="002056CD" w:rsidRPr="00CE28E3" w14:paraId="2C9C2085" w14:textId="77777777" w:rsidTr="00C61600">
        <w:trPr>
          <w:cantSplit/>
        </w:trPr>
        <w:tc>
          <w:tcPr>
            <w:tcW w:w="941" w:type="pct"/>
          </w:tcPr>
          <w:p w14:paraId="2C17C28D" w14:textId="77777777" w:rsidR="002056CD" w:rsidRDefault="002056CD" w:rsidP="00F80877">
            <w:pPr>
              <w:pStyle w:val="TableText0"/>
              <w:keepLines/>
            </w:pPr>
            <w:r>
              <w:t>Tumour grade</w:t>
            </w:r>
          </w:p>
        </w:tc>
        <w:tc>
          <w:tcPr>
            <w:tcW w:w="1415" w:type="pct"/>
          </w:tcPr>
          <w:p w14:paraId="268F755D" w14:textId="0C13459D" w:rsidR="002056CD" w:rsidRDefault="002056CD" w:rsidP="00F80877">
            <w:pPr>
              <w:pStyle w:val="TableText0"/>
              <w:keepLines/>
              <w:rPr>
                <w:rFonts w:cs="Arial"/>
                <w:snapToGrid w:val="0"/>
              </w:rPr>
            </w:pPr>
            <w:r>
              <w:rPr>
                <w:rFonts w:cs="Arial"/>
                <w:snapToGrid w:val="0"/>
              </w:rPr>
              <w:t>Not s</w:t>
            </w:r>
            <w:r w:rsidR="00D2719D">
              <w:rPr>
                <w:rFonts w:cs="Arial"/>
                <w:snapToGrid w:val="0"/>
              </w:rPr>
              <w:t>t</w:t>
            </w:r>
            <w:r>
              <w:rPr>
                <w:rFonts w:cs="Arial"/>
                <w:snapToGrid w:val="0"/>
              </w:rPr>
              <w:t>ated</w:t>
            </w:r>
          </w:p>
        </w:tc>
        <w:tc>
          <w:tcPr>
            <w:tcW w:w="1415" w:type="pct"/>
          </w:tcPr>
          <w:p w14:paraId="689637F7" w14:textId="2D639A98" w:rsidR="002056CD" w:rsidRDefault="002056CD" w:rsidP="00F80877">
            <w:pPr>
              <w:pStyle w:val="TableText0"/>
              <w:keepLines/>
              <w:rPr>
                <w:rFonts w:cs="Arial"/>
                <w:snapToGrid w:val="0"/>
              </w:rPr>
            </w:pPr>
            <w:r>
              <w:rPr>
                <w:rFonts w:cs="Arial"/>
                <w:snapToGrid w:val="0"/>
              </w:rPr>
              <w:t xml:space="preserve">Grade 2 or </w:t>
            </w:r>
            <w:r>
              <w:rPr>
                <w:rFonts w:cs="Arial"/>
                <w:snapToGrid w:val="0"/>
              </w:rPr>
              <w:br/>
              <w:t>Grade 3 and pT</w:t>
            </w:r>
            <w:r w:rsidR="00C61600">
              <w:rPr>
                <w:rFonts w:cs="Arial"/>
                <w:snapToGrid w:val="0"/>
              </w:rPr>
              <w:t xml:space="preserve"> </w:t>
            </w:r>
            <w:r>
              <w:rPr>
                <w:rFonts w:cs="Arial"/>
                <w:snapToGrid w:val="0"/>
              </w:rPr>
              <w:t>&lt;2</w:t>
            </w:r>
            <w:r w:rsidR="00877150">
              <w:rPr>
                <w:rFonts w:cs="Arial"/>
                <w:snapToGrid w:val="0"/>
              </w:rPr>
              <w:t> </w:t>
            </w:r>
            <w:r>
              <w:rPr>
                <w:rFonts w:cs="Arial"/>
                <w:snapToGrid w:val="0"/>
              </w:rPr>
              <w:t xml:space="preserve">cm </w:t>
            </w:r>
            <w:r w:rsidR="00E83B6D">
              <w:rPr>
                <w:rFonts w:cs="Arial"/>
                <w:snapToGrid w:val="0"/>
              </w:rPr>
              <w:t>(pathological assessment of tumour size &lt;2</w:t>
            </w:r>
            <w:r w:rsidR="00877150">
              <w:rPr>
                <w:rFonts w:cs="Arial"/>
                <w:snapToGrid w:val="0"/>
              </w:rPr>
              <w:t> </w:t>
            </w:r>
            <w:r w:rsidR="00E83B6D">
              <w:rPr>
                <w:rFonts w:cs="Arial"/>
                <w:snapToGrid w:val="0"/>
              </w:rPr>
              <w:t xml:space="preserve">cm) </w:t>
            </w:r>
            <w:r>
              <w:rPr>
                <w:rFonts w:cs="Arial"/>
                <w:snapToGrid w:val="0"/>
              </w:rPr>
              <w:t xml:space="preserve">or </w:t>
            </w:r>
          </w:p>
          <w:p w14:paraId="65EDEDFF" w14:textId="77777777" w:rsidR="002056CD" w:rsidRDefault="002056CD" w:rsidP="00F80877">
            <w:pPr>
              <w:pStyle w:val="TableText0"/>
              <w:keepLines/>
              <w:rPr>
                <w:rFonts w:cs="Arial"/>
                <w:snapToGrid w:val="0"/>
              </w:rPr>
            </w:pPr>
            <w:r>
              <w:rPr>
                <w:rFonts w:cs="Arial"/>
                <w:snapToGrid w:val="0"/>
              </w:rPr>
              <w:t>Lobular histology</w:t>
            </w:r>
          </w:p>
        </w:tc>
        <w:tc>
          <w:tcPr>
            <w:tcW w:w="1229" w:type="pct"/>
          </w:tcPr>
          <w:p w14:paraId="73D045B9" w14:textId="77777777" w:rsidR="002056CD" w:rsidRDefault="002056CD" w:rsidP="00F80877">
            <w:pPr>
              <w:pStyle w:val="TableText0"/>
              <w:keepLines/>
              <w:rPr>
                <w:rFonts w:cs="Arial"/>
                <w:snapToGrid w:val="0"/>
              </w:rPr>
            </w:pPr>
            <w:r>
              <w:rPr>
                <w:rFonts w:cs="Arial"/>
                <w:snapToGrid w:val="0"/>
              </w:rPr>
              <w:t xml:space="preserve">Grade 2 or </w:t>
            </w:r>
            <w:r>
              <w:rPr>
                <w:rFonts w:cs="Arial"/>
                <w:snapToGrid w:val="0"/>
              </w:rPr>
              <w:br/>
              <w:t>Grade 3 or</w:t>
            </w:r>
          </w:p>
          <w:p w14:paraId="180FAE3D" w14:textId="77777777" w:rsidR="002056CD" w:rsidRPr="007C108F" w:rsidRDefault="002056CD" w:rsidP="00F80877">
            <w:pPr>
              <w:pStyle w:val="TableText0"/>
              <w:keepLines/>
              <w:rPr>
                <w:rFonts w:cs="Arial"/>
                <w:snapToGrid w:val="0"/>
                <w:vertAlign w:val="superscript"/>
              </w:rPr>
            </w:pPr>
            <w:r>
              <w:rPr>
                <w:rFonts w:cs="Arial"/>
                <w:snapToGrid w:val="0"/>
              </w:rPr>
              <w:t>1 to 3 positive nodes</w:t>
            </w:r>
            <w:r>
              <w:rPr>
                <w:rFonts w:cs="Arial"/>
                <w:snapToGrid w:val="0"/>
                <w:vertAlign w:val="superscript"/>
              </w:rPr>
              <w:t>a</w:t>
            </w:r>
          </w:p>
        </w:tc>
      </w:tr>
      <w:tr w:rsidR="002056CD" w:rsidRPr="00CE28E3" w14:paraId="1E956F18" w14:textId="77777777" w:rsidTr="00C61600">
        <w:trPr>
          <w:cantSplit/>
        </w:trPr>
        <w:tc>
          <w:tcPr>
            <w:tcW w:w="941" w:type="pct"/>
          </w:tcPr>
          <w:p w14:paraId="7C98574B" w14:textId="49F6A4CC" w:rsidR="002056CD" w:rsidRDefault="002056CD" w:rsidP="00F80877">
            <w:pPr>
              <w:pStyle w:val="TableText0"/>
              <w:keepLines/>
            </w:pPr>
            <w:r>
              <w:t>Tumour size</w:t>
            </w:r>
          </w:p>
        </w:tc>
        <w:tc>
          <w:tcPr>
            <w:tcW w:w="1415" w:type="pct"/>
          </w:tcPr>
          <w:p w14:paraId="7B59D54C" w14:textId="6214CBC1" w:rsidR="002056CD" w:rsidRPr="00CE28E3" w:rsidRDefault="002056CD" w:rsidP="00F80877">
            <w:pPr>
              <w:pStyle w:val="TableText0"/>
              <w:keepLines/>
              <w:rPr>
                <w:rFonts w:cs="Arial"/>
                <w:snapToGrid w:val="0"/>
              </w:rPr>
            </w:pPr>
            <w:r>
              <w:rPr>
                <w:rFonts w:cs="Arial"/>
                <w:snapToGrid w:val="0"/>
              </w:rPr>
              <w:t>10 to 50 mm</w:t>
            </w:r>
          </w:p>
        </w:tc>
        <w:tc>
          <w:tcPr>
            <w:tcW w:w="1415" w:type="pct"/>
          </w:tcPr>
          <w:p w14:paraId="4058CAF5" w14:textId="77777777" w:rsidR="002056CD" w:rsidRDefault="002056CD" w:rsidP="00F80877">
            <w:pPr>
              <w:pStyle w:val="TableText0"/>
              <w:keepLines/>
              <w:rPr>
                <w:rFonts w:cs="Arial"/>
                <w:snapToGrid w:val="0"/>
              </w:rPr>
            </w:pPr>
            <w:r>
              <w:rPr>
                <w:rFonts w:cs="Arial"/>
                <w:snapToGrid w:val="0"/>
              </w:rPr>
              <w:t>Not stated</w:t>
            </w:r>
          </w:p>
        </w:tc>
        <w:tc>
          <w:tcPr>
            <w:tcW w:w="1229" w:type="pct"/>
          </w:tcPr>
          <w:p w14:paraId="296EE6B5" w14:textId="66CEAA88" w:rsidR="002056CD" w:rsidRPr="007C108F" w:rsidRDefault="002056CD" w:rsidP="00F80877">
            <w:pPr>
              <w:pStyle w:val="TableText0"/>
              <w:keepLines/>
              <w:rPr>
                <w:rFonts w:cs="Arial"/>
                <w:snapToGrid w:val="0"/>
                <w:vertAlign w:val="superscript"/>
              </w:rPr>
            </w:pPr>
            <w:r>
              <w:rPr>
                <w:rFonts w:cs="Arial"/>
                <w:snapToGrid w:val="0"/>
              </w:rPr>
              <w:t>≥2</w:t>
            </w:r>
            <w:r w:rsidR="00877150">
              <w:rPr>
                <w:rFonts w:cs="Arial"/>
                <w:snapToGrid w:val="0"/>
              </w:rPr>
              <w:t> </w:t>
            </w:r>
            <w:r>
              <w:rPr>
                <w:rFonts w:cs="Arial"/>
                <w:snapToGrid w:val="0"/>
              </w:rPr>
              <w:t>cm</w:t>
            </w:r>
            <w:r>
              <w:rPr>
                <w:rFonts w:cs="Arial"/>
                <w:snapToGrid w:val="0"/>
                <w:vertAlign w:val="superscript"/>
              </w:rPr>
              <w:t>a</w:t>
            </w:r>
          </w:p>
        </w:tc>
      </w:tr>
      <w:tr w:rsidR="002056CD" w:rsidRPr="00CE28E3" w14:paraId="440EA651" w14:textId="77777777" w:rsidTr="00C61600">
        <w:trPr>
          <w:cantSplit/>
        </w:trPr>
        <w:tc>
          <w:tcPr>
            <w:tcW w:w="941" w:type="pct"/>
          </w:tcPr>
          <w:p w14:paraId="65D3AE2E" w14:textId="161CF742" w:rsidR="002056CD" w:rsidRDefault="002056CD" w:rsidP="00F80877">
            <w:pPr>
              <w:pStyle w:val="TableText0"/>
              <w:keepLines/>
            </w:pPr>
            <w:r>
              <w:t>Lymph nodes</w:t>
            </w:r>
          </w:p>
        </w:tc>
        <w:tc>
          <w:tcPr>
            <w:tcW w:w="1415" w:type="pct"/>
          </w:tcPr>
          <w:p w14:paraId="04CDF8FA" w14:textId="77777777" w:rsidR="002056CD" w:rsidRPr="00CE28E3" w:rsidRDefault="002056CD" w:rsidP="00F80877">
            <w:pPr>
              <w:pStyle w:val="TableText0"/>
              <w:keepLines/>
              <w:rPr>
                <w:rFonts w:cs="Arial"/>
                <w:snapToGrid w:val="0"/>
              </w:rPr>
            </w:pPr>
            <w:r>
              <w:rPr>
                <w:rFonts w:cs="Arial"/>
                <w:snapToGrid w:val="0"/>
              </w:rPr>
              <w:t>0 to 3 positive nodes</w:t>
            </w:r>
          </w:p>
        </w:tc>
        <w:tc>
          <w:tcPr>
            <w:tcW w:w="1415" w:type="pct"/>
          </w:tcPr>
          <w:p w14:paraId="6CD52F43" w14:textId="77777777" w:rsidR="002056CD" w:rsidRDefault="002056CD" w:rsidP="00F80877">
            <w:pPr>
              <w:pStyle w:val="TableText0"/>
              <w:keepLines/>
              <w:rPr>
                <w:rFonts w:cs="Arial"/>
                <w:snapToGrid w:val="0"/>
              </w:rPr>
            </w:pPr>
            <w:r>
              <w:rPr>
                <w:rFonts w:cs="Arial"/>
                <w:snapToGrid w:val="0"/>
              </w:rPr>
              <w:t>Not stated</w:t>
            </w:r>
          </w:p>
        </w:tc>
        <w:tc>
          <w:tcPr>
            <w:tcW w:w="1229" w:type="pct"/>
          </w:tcPr>
          <w:p w14:paraId="49831021" w14:textId="3FC07445" w:rsidR="002056CD" w:rsidRPr="007C108F" w:rsidRDefault="002056CD" w:rsidP="00F80877">
            <w:pPr>
              <w:pStyle w:val="TableText0"/>
              <w:keepLines/>
              <w:rPr>
                <w:rFonts w:cs="Arial"/>
                <w:snapToGrid w:val="0"/>
                <w:vertAlign w:val="superscript"/>
              </w:rPr>
            </w:pPr>
            <w:r>
              <w:rPr>
                <w:rFonts w:cs="Arial"/>
                <w:snapToGrid w:val="0"/>
              </w:rPr>
              <w:t xml:space="preserve">0 to 3 positive </w:t>
            </w:r>
            <w:r w:rsidR="007E5C5E">
              <w:rPr>
                <w:rFonts w:cs="Arial"/>
                <w:snapToGrid w:val="0"/>
              </w:rPr>
              <w:t>nodes</w:t>
            </w:r>
            <w:r w:rsidR="007E5C5E">
              <w:rPr>
                <w:rFonts w:cs="Arial"/>
                <w:snapToGrid w:val="0"/>
                <w:vertAlign w:val="superscript"/>
              </w:rPr>
              <w:t>b</w:t>
            </w:r>
          </w:p>
        </w:tc>
      </w:tr>
      <w:tr w:rsidR="002056CD" w:rsidRPr="00CE28E3" w14:paraId="710E4B62" w14:textId="77777777" w:rsidTr="00C61600">
        <w:trPr>
          <w:cantSplit/>
        </w:trPr>
        <w:tc>
          <w:tcPr>
            <w:tcW w:w="941" w:type="pct"/>
          </w:tcPr>
          <w:p w14:paraId="010F5396" w14:textId="70466DF3" w:rsidR="002056CD" w:rsidRDefault="002056CD" w:rsidP="00F80877">
            <w:pPr>
              <w:pStyle w:val="TableText0"/>
              <w:keepLines/>
            </w:pPr>
            <w:r>
              <w:t>Age</w:t>
            </w:r>
          </w:p>
        </w:tc>
        <w:tc>
          <w:tcPr>
            <w:tcW w:w="1415" w:type="pct"/>
          </w:tcPr>
          <w:p w14:paraId="44065305" w14:textId="0553A5C8" w:rsidR="002056CD" w:rsidRPr="00CE28E3" w:rsidRDefault="002056CD" w:rsidP="00F80877">
            <w:pPr>
              <w:pStyle w:val="TableText0"/>
              <w:keepLines/>
              <w:rPr>
                <w:rFonts w:cs="Arial"/>
                <w:snapToGrid w:val="0"/>
              </w:rPr>
            </w:pPr>
            <w:r>
              <w:rPr>
                <w:rFonts w:cs="Arial"/>
                <w:snapToGrid w:val="0"/>
              </w:rPr>
              <w:t>18</w:t>
            </w:r>
            <w:r w:rsidR="00C61600">
              <w:rPr>
                <w:rFonts w:cs="Arial"/>
                <w:snapToGrid w:val="0"/>
              </w:rPr>
              <w:t xml:space="preserve"> to </w:t>
            </w:r>
            <w:r>
              <w:rPr>
                <w:rFonts w:cs="Arial"/>
                <w:snapToGrid w:val="0"/>
              </w:rPr>
              <w:t>80 years</w:t>
            </w:r>
          </w:p>
        </w:tc>
        <w:tc>
          <w:tcPr>
            <w:tcW w:w="1415" w:type="pct"/>
          </w:tcPr>
          <w:p w14:paraId="41ABC321" w14:textId="77777777" w:rsidR="002056CD" w:rsidRDefault="002056CD" w:rsidP="00F80877">
            <w:pPr>
              <w:pStyle w:val="TableText0"/>
              <w:keepLines/>
              <w:rPr>
                <w:rFonts w:cs="Arial"/>
                <w:snapToGrid w:val="0"/>
              </w:rPr>
            </w:pPr>
            <w:r>
              <w:rPr>
                <w:rFonts w:cs="Arial"/>
                <w:snapToGrid w:val="0"/>
              </w:rPr>
              <w:t>Not stated</w:t>
            </w:r>
          </w:p>
        </w:tc>
        <w:tc>
          <w:tcPr>
            <w:tcW w:w="1229" w:type="pct"/>
          </w:tcPr>
          <w:p w14:paraId="7569A5E5" w14:textId="77777777" w:rsidR="002056CD" w:rsidRDefault="002056CD" w:rsidP="00F80877">
            <w:pPr>
              <w:pStyle w:val="TableText0"/>
              <w:keepLines/>
              <w:rPr>
                <w:rFonts w:cs="Arial"/>
                <w:snapToGrid w:val="0"/>
              </w:rPr>
            </w:pPr>
            <w:r>
              <w:rPr>
                <w:rFonts w:cs="Arial"/>
                <w:snapToGrid w:val="0"/>
              </w:rPr>
              <w:t>Not stated</w:t>
            </w:r>
          </w:p>
        </w:tc>
      </w:tr>
      <w:tr w:rsidR="002056CD" w:rsidRPr="00CE28E3" w14:paraId="3FD41CDB" w14:textId="77777777" w:rsidTr="00C61600">
        <w:trPr>
          <w:cantSplit/>
        </w:trPr>
        <w:tc>
          <w:tcPr>
            <w:tcW w:w="941" w:type="pct"/>
          </w:tcPr>
          <w:p w14:paraId="4C6EDEEB" w14:textId="77777777" w:rsidR="002056CD" w:rsidRDefault="002056CD" w:rsidP="00F80877">
            <w:pPr>
              <w:pStyle w:val="TableText0"/>
              <w:keepLines/>
            </w:pPr>
            <w:r>
              <w:t>ECOG status scale</w:t>
            </w:r>
          </w:p>
        </w:tc>
        <w:tc>
          <w:tcPr>
            <w:tcW w:w="1415" w:type="pct"/>
          </w:tcPr>
          <w:p w14:paraId="546AC200" w14:textId="77777777" w:rsidR="002056CD" w:rsidRDefault="002056CD" w:rsidP="00F80877">
            <w:pPr>
              <w:pStyle w:val="TableText0"/>
              <w:keepLines/>
              <w:rPr>
                <w:rFonts w:cs="Arial"/>
                <w:snapToGrid w:val="0"/>
              </w:rPr>
            </w:pPr>
            <w:r>
              <w:rPr>
                <w:rFonts w:cs="Arial"/>
                <w:snapToGrid w:val="0"/>
              </w:rPr>
              <w:t>0-1</w:t>
            </w:r>
          </w:p>
        </w:tc>
        <w:tc>
          <w:tcPr>
            <w:tcW w:w="1415" w:type="pct"/>
          </w:tcPr>
          <w:p w14:paraId="1EA151AB" w14:textId="77777777" w:rsidR="002056CD" w:rsidRDefault="002056CD" w:rsidP="00F80877">
            <w:pPr>
              <w:pStyle w:val="TableText0"/>
              <w:keepLines/>
              <w:rPr>
                <w:rFonts w:cs="Arial"/>
                <w:snapToGrid w:val="0"/>
              </w:rPr>
            </w:pPr>
            <w:r>
              <w:rPr>
                <w:rFonts w:cs="Arial"/>
                <w:snapToGrid w:val="0"/>
              </w:rPr>
              <w:t>Not stated</w:t>
            </w:r>
          </w:p>
        </w:tc>
        <w:tc>
          <w:tcPr>
            <w:tcW w:w="1229" w:type="pct"/>
          </w:tcPr>
          <w:p w14:paraId="2DC6D487" w14:textId="77777777" w:rsidR="002056CD" w:rsidRDefault="002056CD" w:rsidP="00F80877">
            <w:pPr>
              <w:pStyle w:val="TableText0"/>
              <w:keepLines/>
              <w:rPr>
                <w:rFonts w:cs="Arial"/>
                <w:snapToGrid w:val="0"/>
              </w:rPr>
            </w:pPr>
            <w:r>
              <w:rPr>
                <w:rFonts w:cs="Arial"/>
                <w:snapToGrid w:val="0"/>
              </w:rPr>
              <w:t>Not stated</w:t>
            </w:r>
          </w:p>
        </w:tc>
      </w:tr>
    </w:tbl>
    <w:p w14:paraId="40B0347F" w14:textId="77777777" w:rsidR="00F80877" w:rsidRDefault="00F80877" w:rsidP="00F80877">
      <w:pPr>
        <w:pStyle w:val="Tablenotes0"/>
        <w:keepLines/>
        <w:rPr>
          <w:rFonts w:eastAsia="Times New Roman"/>
          <w:snapToGrid w:val="0"/>
          <w:szCs w:val="20"/>
          <w:vertAlign w:val="superscript"/>
        </w:rPr>
      </w:pPr>
      <w:r>
        <w:rPr>
          <w:vertAlign w:val="superscript"/>
        </w:rPr>
        <w:t xml:space="preserve">a </w:t>
      </w:r>
      <w:r>
        <w:t xml:space="preserve">Tumour should be </w:t>
      </w:r>
      <w:r>
        <w:rPr>
          <w:rFonts w:eastAsia="Times New Roman"/>
          <w:snapToGrid w:val="0"/>
          <w:szCs w:val="20"/>
        </w:rPr>
        <w:t>≥2 cm or Grade 2 or Grade 3, or 1 to 3 nodes involved</w:t>
      </w:r>
    </w:p>
    <w:p w14:paraId="42DAB4BE" w14:textId="77777777" w:rsidR="00F80877" w:rsidRPr="007E5C5E" w:rsidRDefault="00F80877" w:rsidP="00F80877">
      <w:pPr>
        <w:pStyle w:val="Tablenotes0"/>
        <w:keepLines/>
      </w:pPr>
      <w:r>
        <w:rPr>
          <w:rFonts w:eastAsia="Times New Roman"/>
          <w:snapToGrid w:val="0"/>
          <w:szCs w:val="20"/>
          <w:vertAlign w:val="superscript"/>
        </w:rPr>
        <w:t xml:space="preserve">b </w:t>
      </w:r>
      <w:r>
        <w:rPr>
          <w:rFonts w:eastAsia="Times New Roman"/>
          <w:snapToGrid w:val="0"/>
          <w:szCs w:val="20"/>
        </w:rPr>
        <w:t xml:space="preserve">When there are no nodes involved, tumour should be </w:t>
      </w:r>
      <w:r w:rsidRPr="007E5C5E">
        <w:rPr>
          <w:rFonts w:eastAsia="Times New Roman"/>
          <w:snapToGrid w:val="0"/>
          <w:szCs w:val="20"/>
        </w:rPr>
        <w:t>≥2</w:t>
      </w:r>
      <w:r>
        <w:rPr>
          <w:rFonts w:eastAsia="Times New Roman"/>
          <w:snapToGrid w:val="0"/>
          <w:szCs w:val="20"/>
        </w:rPr>
        <w:t> </w:t>
      </w:r>
      <w:r w:rsidRPr="007E5C5E">
        <w:rPr>
          <w:rFonts w:eastAsia="Times New Roman"/>
          <w:snapToGrid w:val="0"/>
          <w:szCs w:val="20"/>
        </w:rPr>
        <w:t>cm or Grade 2, or Grade 3</w:t>
      </w:r>
      <w:r>
        <w:rPr>
          <w:rFonts w:eastAsia="Times New Roman"/>
          <w:snapToGrid w:val="0"/>
          <w:szCs w:val="20"/>
        </w:rPr>
        <w:t xml:space="preserve"> to classify as intermediate risk</w:t>
      </w:r>
    </w:p>
    <w:p w14:paraId="4763C0EB" w14:textId="72774CEF" w:rsidR="002056CD" w:rsidRDefault="002056CD" w:rsidP="002056CD">
      <w:pPr>
        <w:pStyle w:val="Tablenotes0"/>
      </w:pPr>
      <w:r>
        <w:t xml:space="preserve">ECOG = Eastern Cooperative Oncology Group; ER = estrogen receptor; HER2 = human epidermal growth factor receptor 2; IHC = immunohistochemistry test; ISH = </w:t>
      </w:r>
      <w:r w:rsidRPr="006C5D61">
        <w:rPr>
          <w:i/>
          <w:iCs/>
        </w:rPr>
        <w:t>in situ</w:t>
      </w:r>
      <w:r>
        <w:t xml:space="preserve"> hybridisation test; </w:t>
      </w:r>
      <w:r w:rsidR="00D04AA1">
        <w:t xml:space="preserve">MBS = Medicare Benefits Scheme; </w:t>
      </w:r>
      <w:r>
        <w:t>TNM = Tumour, node and metastases status</w:t>
      </w:r>
      <w:r w:rsidR="00E83B6D">
        <w:t xml:space="preserve">: </w:t>
      </w:r>
    </w:p>
    <w:p w14:paraId="235C461C" w14:textId="43C3AF6D" w:rsidR="00E83B6D" w:rsidRDefault="00E83B6D" w:rsidP="002056CD">
      <w:pPr>
        <w:pStyle w:val="Tablenotes0"/>
      </w:pPr>
      <w:r>
        <w:t>TNM</w:t>
      </w:r>
    </w:p>
    <w:p w14:paraId="11D4E2C4" w14:textId="0D66B8FC" w:rsidR="002056CD" w:rsidRPr="00A735D2" w:rsidRDefault="006A153F" w:rsidP="002056CD">
      <w:pPr>
        <w:pStyle w:val="Heading2"/>
        <w:rPr>
          <w:rFonts w:ascii="Franklin Gothic Medium" w:hAnsi="Franklin Gothic Medium" w:cstheme="majorBidi"/>
        </w:rPr>
      </w:pPr>
      <w:bookmarkStart w:id="26" w:name="_Toc69491420"/>
      <w:bookmarkStart w:id="27" w:name="_Toc102569854"/>
      <w:r>
        <w:rPr>
          <w:rFonts w:ascii="Franklin Gothic Medium" w:hAnsi="Franklin Gothic Medium" w:cstheme="majorBidi"/>
        </w:rPr>
        <w:t>8</w:t>
      </w:r>
      <w:r w:rsidR="002056CD" w:rsidRPr="00A735D2">
        <w:rPr>
          <w:rFonts w:ascii="Franklin Gothic Medium" w:hAnsi="Franklin Gothic Medium" w:cstheme="majorBidi"/>
        </w:rPr>
        <w:t>.</w:t>
      </w:r>
      <w:r w:rsidR="002056CD" w:rsidRPr="00A735D2">
        <w:rPr>
          <w:rFonts w:ascii="Franklin Gothic Medium" w:hAnsi="Franklin Gothic Medium" w:cstheme="majorBidi"/>
        </w:rPr>
        <w:tab/>
        <w:t>Comparator</w:t>
      </w:r>
      <w:bookmarkEnd w:id="26"/>
      <w:bookmarkEnd w:id="27"/>
    </w:p>
    <w:p w14:paraId="2F0C23C4" w14:textId="5AC8AC10" w:rsidR="002056CD" w:rsidRPr="00A735D2" w:rsidRDefault="002056CD" w:rsidP="00A735D2">
      <w:pPr>
        <w:rPr>
          <w:rFonts w:ascii="Franklin Gothic Book" w:hAnsi="Franklin Gothic Book"/>
          <w:iCs/>
        </w:rPr>
      </w:pPr>
      <w:r w:rsidRPr="00A735D2">
        <w:rPr>
          <w:rFonts w:ascii="Franklin Gothic Book" w:hAnsi="Franklin Gothic Book"/>
          <w:iCs/>
        </w:rPr>
        <w:t xml:space="preserve">Three sets of comparators are considered in the </w:t>
      </w:r>
      <w:r w:rsidR="007E5C5E" w:rsidRPr="00A735D2">
        <w:rPr>
          <w:rFonts w:ascii="Franklin Gothic Book" w:hAnsi="Franklin Gothic Book"/>
          <w:iCs/>
        </w:rPr>
        <w:t xml:space="preserve">1408.1 </w:t>
      </w:r>
      <w:r w:rsidR="00197DB5">
        <w:rPr>
          <w:rFonts w:ascii="Franklin Gothic Book" w:hAnsi="Franklin Gothic Book"/>
          <w:iCs/>
        </w:rPr>
        <w:t>re-application</w:t>
      </w:r>
      <w:r w:rsidRPr="00A735D2">
        <w:rPr>
          <w:rFonts w:ascii="Franklin Gothic Book" w:hAnsi="Franklin Gothic Book"/>
          <w:iCs/>
        </w:rPr>
        <w:t>.</w:t>
      </w:r>
    </w:p>
    <w:p w14:paraId="7FC4D045" w14:textId="27CE334D" w:rsidR="002056CD" w:rsidRPr="00820442" w:rsidRDefault="002056CD" w:rsidP="005A46B1">
      <w:pPr>
        <w:pStyle w:val="BodyText"/>
        <w:numPr>
          <w:ilvl w:val="0"/>
          <w:numId w:val="28"/>
        </w:numPr>
        <w:spacing w:before="0" w:after="0"/>
        <w:ind w:left="714" w:hanging="357"/>
        <w:rPr>
          <w:rFonts w:ascii="Franklin Gothic Book" w:hAnsi="Franklin Gothic Book"/>
        </w:rPr>
      </w:pPr>
      <w:r w:rsidRPr="00820442">
        <w:rPr>
          <w:rFonts w:ascii="Franklin Gothic Book" w:hAnsi="Franklin Gothic Book"/>
        </w:rPr>
        <w:t xml:space="preserve">Main comparator (base case): </w:t>
      </w:r>
      <w:r w:rsidR="00197DB5" w:rsidRPr="001D4775">
        <w:rPr>
          <w:rStyle w:val="Emphasis"/>
          <w:rFonts w:ascii="Franklin Gothic Book" w:hAnsi="Franklin Gothic Book"/>
          <w:i w:val="0"/>
          <w:iCs w:val="0"/>
        </w:rPr>
        <w:t>c</w:t>
      </w:r>
      <w:r w:rsidRPr="001D4775">
        <w:rPr>
          <w:rStyle w:val="Emphasis"/>
          <w:rFonts w:ascii="Franklin Gothic Book" w:hAnsi="Franklin Gothic Book"/>
          <w:i w:val="0"/>
          <w:iCs w:val="0"/>
        </w:rPr>
        <w:t>urrent standard of care (SOC) clinical practice</w:t>
      </w:r>
      <w:r w:rsidRPr="00820442">
        <w:rPr>
          <w:rFonts w:ascii="Franklin Gothic Book" w:hAnsi="Franklin Gothic Book"/>
        </w:rPr>
        <w:t xml:space="preserve"> based on IHC/ISH analysis of tumour tissue (ER+, HER2– status) and including Ki67 status and tumour grade, and two recognised clinical nomograms – Adjuvant!Online and Clinical Trea</w:t>
      </w:r>
      <w:r w:rsidR="003D2FEE" w:rsidRPr="00820442">
        <w:rPr>
          <w:rFonts w:ascii="Franklin Gothic Book" w:hAnsi="Franklin Gothic Book"/>
        </w:rPr>
        <w:t>t</w:t>
      </w:r>
      <w:r w:rsidRPr="00820442">
        <w:rPr>
          <w:rFonts w:ascii="Franklin Gothic Book" w:hAnsi="Franklin Gothic Book"/>
        </w:rPr>
        <w:t>ment Score (CTS).</w:t>
      </w:r>
    </w:p>
    <w:p w14:paraId="3C76DE81" w14:textId="17E5C62A" w:rsidR="002056CD" w:rsidRPr="00820442" w:rsidRDefault="002056CD" w:rsidP="005A46B1">
      <w:pPr>
        <w:pStyle w:val="BodyText"/>
        <w:numPr>
          <w:ilvl w:val="0"/>
          <w:numId w:val="28"/>
        </w:numPr>
        <w:spacing w:before="0" w:after="0"/>
        <w:ind w:left="714" w:hanging="357"/>
        <w:rPr>
          <w:rFonts w:ascii="Franklin Gothic Book" w:hAnsi="Franklin Gothic Book"/>
        </w:rPr>
      </w:pPr>
      <w:r w:rsidRPr="00820442">
        <w:rPr>
          <w:rFonts w:ascii="Franklin Gothic Book" w:hAnsi="Franklin Gothic Book"/>
        </w:rPr>
        <w:t xml:space="preserve">Secondary comparator: </w:t>
      </w:r>
      <w:r w:rsidR="00197DB5" w:rsidRPr="001D4775">
        <w:rPr>
          <w:rFonts w:ascii="Franklin Gothic Book" w:hAnsi="Franklin Gothic Book"/>
        </w:rPr>
        <w:t>i</w:t>
      </w:r>
      <w:r w:rsidRPr="001D4775">
        <w:rPr>
          <w:rFonts w:ascii="Franklin Gothic Book" w:hAnsi="Franklin Gothic Book"/>
        </w:rPr>
        <w:t>nternational breast cancer clinical guidelines</w:t>
      </w:r>
      <w:r w:rsidRPr="00820442">
        <w:rPr>
          <w:rFonts w:ascii="Franklin Gothic Book" w:hAnsi="Franklin Gothic Book"/>
        </w:rPr>
        <w:t xml:space="preserve"> St Gallen, NCCN, and the German S3 guidelines.</w:t>
      </w:r>
    </w:p>
    <w:p w14:paraId="3742C305" w14:textId="4E4F9091" w:rsidR="002056CD" w:rsidRPr="00E3774A" w:rsidRDefault="002056CD" w:rsidP="005A46B1">
      <w:pPr>
        <w:pStyle w:val="BodyText"/>
        <w:numPr>
          <w:ilvl w:val="0"/>
          <w:numId w:val="28"/>
        </w:numPr>
        <w:spacing w:before="0" w:after="0"/>
        <w:ind w:left="714" w:hanging="357"/>
        <w:rPr>
          <w:rFonts w:ascii="Franklin Gothic Book" w:hAnsi="Franklin Gothic Book"/>
        </w:rPr>
      </w:pPr>
      <w:r w:rsidRPr="00820442">
        <w:rPr>
          <w:rFonts w:ascii="Franklin Gothic Book" w:hAnsi="Franklin Gothic Book"/>
        </w:rPr>
        <w:t xml:space="preserve">Secondary comparator: </w:t>
      </w:r>
      <w:r w:rsidR="00197DB5" w:rsidRPr="001D4775">
        <w:rPr>
          <w:rFonts w:ascii="Franklin Gothic Book" w:hAnsi="Franklin Gothic Book"/>
        </w:rPr>
        <w:t>o</w:t>
      </w:r>
      <w:r w:rsidRPr="001D4775">
        <w:rPr>
          <w:rFonts w:ascii="Franklin Gothic Book" w:hAnsi="Franklin Gothic Book"/>
        </w:rPr>
        <w:t>ther prognostic tests</w:t>
      </w:r>
      <w:r w:rsidRPr="00820442">
        <w:rPr>
          <w:rFonts w:ascii="Franklin Gothic Book" w:hAnsi="Franklin Gothic Book"/>
        </w:rPr>
        <w:t xml:space="preserve"> Oncotype</w:t>
      </w:r>
      <w:r w:rsidR="009A7ED8" w:rsidRPr="00820442">
        <w:rPr>
          <w:rFonts w:ascii="Franklin Gothic Book" w:hAnsi="Franklin Gothic Book"/>
        </w:rPr>
        <w:t xml:space="preserve"> </w:t>
      </w:r>
      <w:r w:rsidRPr="00820442">
        <w:rPr>
          <w:rFonts w:ascii="Franklin Gothic Book" w:hAnsi="Franklin Gothic Book"/>
        </w:rPr>
        <w:t>DX</w:t>
      </w:r>
      <w:r w:rsidR="005F1260" w:rsidRPr="005F1260">
        <w:rPr>
          <w:rFonts w:ascii="Franklin Gothic Book" w:hAnsi="Franklin Gothic Book"/>
          <w:vertAlign w:val="superscript"/>
        </w:rPr>
        <w:t>®</w:t>
      </w:r>
      <w:r w:rsidRPr="00E3774A">
        <w:rPr>
          <w:rFonts w:ascii="Franklin Gothic Book" w:hAnsi="Franklin Gothic Book"/>
        </w:rPr>
        <w:t>, Prosigna</w:t>
      </w:r>
      <w:r w:rsidR="005F1260" w:rsidRPr="005F1260">
        <w:rPr>
          <w:rFonts w:ascii="Franklin Gothic Book" w:hAnsi="Franklin Gothic Book"/>
          <w:vertAlign w:val="superscript"/>
        </w:rPr>
        <w:t>®</w:t>
      </w:r>
      <w:r w:rsidRPr="00E3774A">
        <w:rPr>
          <w:rFonts w:ascii="Franklin Gothic Book" w:hAnsi="Franklin Gothic Book"/>
        </w:rPr>
        <w:t xml:space="preserve"> and MammaPrint</w:t>
      </w:r>
      <w:r w:rsidR="005F1260" w:rsidRPr="005F1260">
        <w:rPr>
          <w:rFonts w:ascii="Franklin Gothic Book" w:hAnsi="Franklin Gothic Book"/>
          <w:vertAlign w:val="superscript"/>
        </w:rPr>
        <w:t>®</w:t>
      </w:r>
      <w:r w:rsidR="009A7ED8" w:rsidRPr="00E3774A">
        <w:rPr>
          <w:rFonts w:ascii="Franklin Gothic Book" w:hAnsi="Franklin Gothic Book"/>
        </w:rPr>
        <w:t>.</w:t>
      </w:r>
    </w:p>
    <w:p w14:paraId="17406D96" w14:textId="1C047C71" w:rsidR="002056CD" w:rsidRPr="00A735D2" w:rsidRDefault="006A153F" w:rsidP="002056CD">
      <w:pPr>
        <w:pStyle w:val="Heading2"/>
        <w:rPr>
          <w:rFonts w:ascii="Franklin Gothic Medium" w:hAnsi="Franklin Gothic Medium" w:cstheme="majorBidi"/>
        </w:rPr>
      </w:pPr>
      <w:bookmarkStart w:id="28" w:name="_Toc69491421"/>
      <w:bookmarkStart w:id="29" w:name="_Toc102569855"/>
      <w:r>
        <w:rPr>
          <w:rFonts w:ascii="Franklin Gothic Medium" w:hAnsi="Franklin Gothic Medium" w:cstheme="majorBidi"/>
        </w:rPr>
        <w:lastRenderedPageBreak/>
        <w:t>9</w:t>
      </w:r>
      <w:r w:rsidR="002056CD" w:rsidRPr="00A735D2">
        <w:rPr>
          <w:rFonts w:ascii="Franklin Gothic Medium" w:hAnsi="Franklin Gothic Medium" w:cstheme="majorBidi"/>
        </w:rPr>
        <w:t>.</w:t>
      </w:r>
      <w:r w:rsidR="002056CD" w:rsidRPr="00A735D2">
        <w:rPr>
          <w:rFonts w:ascii="Franklin Gothic Medium" w:hAnsi="Franklin Gothic Medium" w:cstheme="majorBidi"/>
        </w:rPr>
        <w:tab/>
        <w:t>Summary of public consultation input</w:t>
      </w:r>
      <w:bookmarkEnd w:id="28"/>
      <w:bookmarkEnd w:id="29"/>
    </w:p>
    <w:p w14:paraId="24542C54" w14:textId="0DCF40C7" w:rsidR="009108B6" w:rsidRDefault="009108B6" w:rsidP="009108B6">
      <w:pPr>
        <w:rPr>
          <w:rFonts w:ascii="Franklin Gothic Book" w:hAnsi="Franklin Gothic Book"/>
        </w:rPr>
      </w:pPr>
      <w:r>
        <w:rPr>
          <w:rFonts w:ascii="Franklin Gothic Book" w:hAnsi="Franklin Gothic Book"/>
        </w:rPr>
        <w:t>Consultation input for application 1408.1</w:t>
      </w:r>
      <w:r w:rsidR="007D6D39">
        <w:rPr>
          <w:rFonts w:ascii="Franklin Gothic Book" w:hAnsi="Franklin Gothic Book"/>
        </w:rPr>
        <w:t xml:space="preserve"> </w:t>
      </w:r>
      <w:r>
        <w:rPr>
          <w:rFonts w:ascii="Franklin Gothic Book" w:hAnsi="Franklin Gothic Book"/>
        </w:rPr>
        <w:t>was received from one organisation, the Breast Cancer Network Australia (BCNA), which supported the re-application.</w:t>
      </w:r>
    </w:p>
    <w:p w14:paraId="4C355A26" w14:textId="2E2A036D" w:rsidR="009108B6" w:rsidRPr="00851D10" w:rsidRDefault="007D6D39" w:rsidP="009108B6">
      <w:pPr>
        <w:rPr>
          <w:rFonts w:ascii="Franklin Gothic Book" w:hAnsi="Franklin Gothic Book"/>
        </w:rPr>
      </w:pPr>
      <w:r>
        <w:rPr>
          <w:rFonts w:ascii="Franklin Gothic Book" w:hAnsi="Franklin Gothic Book"/>
        </w:rPr>
        <w:t>The c</w:t>
      </w:r>
      <w:r w:rsidR="009108B6">
        <w:rPr>
          <w:rFonts w:ascii="Franklin Gothic Book" w:hAnsi="Franklin Gothic Book"/>
        </w:rPr>
        <w:t xml:space="preserve">onsultation </w:t>
      </w:r>
      <w:r>
        <w:rPr>
          <w:rFonts w:ascii="Franklin Gothic Book" w:hAnsi="Franklin Gothic Book"/>
        </w:rPr>
        <w:t>input</w:t>
      </w:r>
      <w:r w:rsidR="009108B6">
        <w:rPr>
          <w:rFonts w:ascii="Franklin Gothic Book" w:hAnsi="Franklin Gothic Book"/>
        </w:rPr>
        <w:t xml:space="preserve"> noted that GEP tests such as EndoPredict</w:t>
      </w:r>
      <w:r w:rsidR="009108B6" w:rsidRPr="00851D10">
        <w:rPr>
          <w:rFonts w:ascii="Franklin Gothic Book" w:hAnsi="Franklin Gothic Book"/>
          <w:vertAlign w:val="superscript"/>
        </w:rPr>
        <w:t>®</w:t>
      </w:r>
      <w:r w:rsidR="009108B6">
        <w:rPr>
          <w:rFonts w:ascii="Franklin Gothic Book" w:hAnsi="Franklin Gothic Book"/>
        </w:rPr>
        <w:t xml:space="preserve"> are already being used in Australia, and providing access through the MBS will improve equity of access. GEP tests can provide consumers and their treatment team with additional information, and international guidelines include EndoPredict</w:t>
      </w:r>
      <w:r w:rsidR="009108B6" w:rsidRPr="00851D10">
        <w:rPr>
          <w:rFonts w:ascii="Franklin Gothic Book" w:hAnsi="Franklin Gothic Book"/>
          <w:vertAlign w:val="superscript"/>
        </w:rPr>
        <w:t>®</w:t>
      </w:r>
      <w:r w:rsidR="009108B6">
        <w:rPr>
          <w:rFonts w:ascii="Franklin Gothic Book" w:hAnsi="Franklin Gothic Book"/>
        </w:rPr>
        <w:t xml:space="preserve"> in their clinical guidelines.</w:t>
      </w:r>
    </w:p>
    <w:p w14:paraId="1DB8D402" w14:textId="49B1D26D" w:rsidR="002056CD" w:rsidRPr="00A735D2" w:rsidRDefault="002056CD" w:rsidP="002056CD">
      <w:pPr>
        <w:rPr>
          <w:rFonts w:ascii="Franklin Gothic Book" w:hAnsi="Franklin Gothic Book"/>
        </w:rPr>
      </w:pPr>
      <w:r w:rsidRPr="00A735D2">
        <w:rPr>
          <w:rFonts w:ascii="Franklin Gothic Book" w:hAnsi="Franklin Gothic Book"/>
        </w:rPr>
        <w:t xml:space="preserve">In communications with </w:t>
      </w:r>
      <w:r w:rsidR="003F1271" w:rsidRPr="00A735D2">
        <w:rPr>
          <w:rFonts w:ascii="Franklin Gothic Book" w:hAnsi="Franklin Gothic Book"/>
        </w:rPr>
        <w:t>the Department</w:t>
      </w:r>
      <w:r w:rsidRPr="00A735D2">
        <w:rPr>
          <w:rFonts w:ascii="Franklin Gothic Book" w:hAnsi="Franklin Gothic Book"/>
        </w:rPr>
        <w:t xml:space="preserve"> on 15 November 2021, the applicant reported on stakeholder support for the proposed GEP test.</w:t>
      </w:r>
    </w:p>
    <w:p w14:paraId="56AA1343" w14:textId="33EE328D" w:rsidR="002056CD" w:rsidRDefault="002056CD" w:rsidP="002056CD">
      <w:pPr>
        <w:ind w:left="720"/>
        <w:rPr>
          <w:rFonts w:ascii="Franklin Gothic Book" w:hAnsi="Franklin Gothic Book"/>
          <w:i/>
        </w:rPr>
      </w:pPr>
      <w:r w:rsidRPr="00A735D2">
        <w:rPr>
          <w:rFonts w:ascii="Franklin Gothic Book" w:hAnsi="Franklin Gothic Book"/>
          <w:i/>
        </w:rPr>
        <w:t>On 3rd June 2021, a ‘Transform cancer care in Australia to Fund Gene Expression Profiling for Breast Cancer’ petition was signed by over 17,000 Australian signatories and presented to the Australian Minister of Health. Additionally, in early June Breast Surgeons of Australia and New Zealand and Australian Society for Breast Disease (ASBD) submitted separate statements of support letters.</w:t>
      </w:r>
    </w:p>
    <w:p w14:paraId="228161BA" w14:textId="77F0D269" w:rsidR="002056CD" w:rsidRPr="00A735D2" w:rsidRDefault="006A153F" w:rsidP="002056CD">
      <w:pPr>
        <w:pStyle w:val="Heading2"/>
        <w:rPr>
          <w:rFonts w:ascii="Franklin Gothic Medium" w:hAnsi="Franklin Gothic Medium" w:cstheme="majorBidi"/>
        </w:rPr>
      </w:pPr>
      <w:bookmarkStart w:id="30" w:name="_Toc69491422"/>
      <w:bookmarkStart w:id="31" w:name="_Toc102569856"/>
      <w:r>
        <w:rPr>
          <w:rFonts w:ascii="Franklin Gothic Medium" w:hAnsi="Franklin Gothic Medium" w:cstheme="majorBidi"/>
        </w:rPr>
        <w:t>10</w:t>
      </w:r>
      <w:r w:rsidR="002056CD" w:rsidRPr="00A735D2">
        <w:rPr>
          <w:rFonts w:ascii="Franklin Gothic Medium" w:hAnsi="Franklin Gothic Medium" w:cstheme="majorBidi"/>
        </w:rPr>
        <w:t>.</w:t>
      </w:r>
      <w:r w:rsidR="002056CD" w:rsidRPr="00A735D2">
        <w:rPr>
          <w:rFonts w:ascii="Franklin Gothic Medium" w:hAnsi="Franklin Gothic Medium" w:cstheme="majorBidi"/>
        </w:rPr>
        <w:tab/>
        <w:t>Characteristics of the evidence base</w:t>
      </w:r>
      <w:bookmarkEnd w:id="30"/>
      <w:bookmarkEnd w:id="31"/>
    </w:p>
    <w:p w14:paraId="588EE95F" w14:textId="3999CD19" w:rsidR="002056CD" w:rsidRPr="00A735D2" w:rsidRDefault="002056CD" w:rsidP="002056CD">
      <w:pPr>
        <w:rPr>
          <w:rFonts w:ascii="Franklin Gothic Book" w:hAnsi="Franklin Gothic Book"/>
        </w:rPr>
      </w:pPr>
      <w:r w:rsidRPr="00A735D2">
        <w:rPr>
          <w:rFonts w:ascii="Franklin Gothic Book" w:hAnsi="Franklin Gothic Book"/>
        </w:rPr>
        <w:t xml:space="preserve">A summary of the evidence presented is given in </w:t>
      </w:r>
      <w:r w:rsidRPr="00A735D2">
        <w:rPr>
          <w:rFonts w:ascii="Franklin Gothic Book" w:hAnsi="Franklin Gothic Book"/>
        </w:rPr>
        <w:fldChar w:fldCharType="begin"/>
      </w:r>
      <w:r w:rsidRPr="00A735D2">
        <w:rPr>
          <w:rFonts w:ascii="Franklin Gothic Book" w:hAnsi="Franklin Gothic Book"/>
        </w:rPr>
        <w:instrText xml:space="preserve"> REF _Ref100141448 \h </w:instrText>
      </w:r>
      <w:r w:rsidR="00A735D2">
        <w:rPr>
          <w:rFonts w:ascii="Franklin Gothic Book" w:hAnsi="Franklin Gothic Book"/>
        </w:rPr>
        <w:instrText xml:space="preserve"> \* MERGEFORMAT </w:instrText>
      </w:r>
      <w:r w:rsidRPr="00A735D2">
        <w:rPr>
          <w:rFonts w:ascii="Franklin Gothic Book" w:hAnsi="Franklin Gothic Book"/>
        </w:rPr>
      </w:r>
      <w:r w:rsidRPr="00A735D2">
        <w:rPr>
          <w:rFonts w:ascii="Franklin Gothic Book" w:hAnsi="Franklin Gothic Book"/>
        </w:rPr>
        <w:fldChar w:fldCharType="separate"/>
      </w:r>
      <w:r w:rsidR="00943826" w:rsidRPr="00943826">
        <w:rPr>
          <w:rFonts w:ascii="Franklin Gothic Book" w:hAnsi="Franklin Gothic Book"/>
        </w:rPr>
        <w:t xml:space="preserve">Table </w:t>
      </w:r>
      <w:r w:rsidR="00943826" w:rsidRPr="00943826">
        <w:rPr>
          <w:rFonts w:ascii="Franklin Gothic Book" w:hAnsi="Franklin Gothic Book"/>
          <w:noProof/>
        </w:rPr>
        <w:t>7</w:t>
      </w:r>
      <w:r w:rsidRPr="00A735D2">
        <w:rPr>
          <w:rFonts w:ascii="Franklin Gothic Book" w:hAnsi="Franklin Gothic Book"/>
        </w:rPr>
        <w:fldChar w:fldCharType="end"/>
      </w:r>
      <w:r w:rsidRPr="00A735D2">
        <w:rPr>
          <w:rFonts w:ascii="Franklin Gothic Book" w:hAnsi="Franklin Gothic Book"/>
        </w:rPr>
        <w:t xml:space="preserve">. The </w:t>
      </w:r>
      <w:r w:rsidR="00EE6AF1" w:rsidRPr="00A735D2">
        <w:rPr>
          <w:rFonts w:ascii="Franklin Gothic Book" w:hAnsi="Franklin Gothic Book"/>
        </w:rPr>
        <w:t xml:space="preserve">italicised </w:t>
      </w:r>
      <w:r w:rsidRPr="00A735D2">
        <w:rPr>
          <w:rFonts w:ascii="Franklin Gothic Book" w:hAnsi="Franklin Gothic Book"/>
        </w:rPr>
        <w:t xml:space="preserve">studies </w:t>
      </w:r>
      <w:r w:rsidR="00D10785">
        <w:rPr>
          <w:rFonts w:ascii="Franklin Gothic Book" w:hAnsi="Franklin Gothic Book"/>
        </w:rPr>
        <w:t xml:space="preserve">in italics </w:t>
      </w:r>
      <w:r w:rsidRPr="00A735D2">
        <w:rPr>
          <w:rFonts w:ascii="Franklin Gothic Book" w:hAnsi="Franklin Gothic Book"/>
        </w:rPr>
        <w:t xml:space="preserve">are the main </w:t>
      </w:r>
      <w:r w:rsidR="0098335E">
        <w:rPr>
          <w:rFonts w:ascii="Franklin Gothic Book" w:hAnsi="Franklin Gothic Book"/>
        </w:rPr>
        <w:t>evidentiary basis of the re</w:t>
      </w:r>
      <w:r w:rsidR="00347A04">
        <w:rPr>
          <w:rFonts w:ascii="Franklin Gothic Book" w:hAnsi="Franklin Gothic Book"/>
        </w:rPr>
        <w:t>-</w:t>
      </w:r>
      <w:r w:rsidR="0098335E">
        <w:rPr>
          <w:rFonts w:ascii="Franklin Gothic Book" w:hAnsi="Franklin Gothic Book"/>
        </w:rPr>
        <w:t>application, all</w:t>
      </w:r>
      <w:r w:rsidR="0098335E" w:rsidRPr="00A735D2">
        <w:rPr>
          <w:rFonts w:ascii="Franklin Gothic Book" w:hAnsi="Franklin Gothic Book"/>
        </w:rPr>
        <w:t xml:space="preserve"> </w:t>
      </w:r>
      <w:r w:rsidR="00D10785">
        <w:rPr>
          <w:rFonts w:ascii="Franklin Gothic Book" w:hAnsi="Franklin Gothic Book"/>
        </w:rPr>
        <w:t xml:space="preserve">updates of studies </w:t>
      </w:r>
      <w:r w:rsidR="0098335E" w:rsidRPr="00A735D2">
        <w:rPr>
          <w:rFonts w:ascii="Franklin Gothic Book" w:hAnsi="Franklin Gothic Book"/>
        </w:rPr>
        <w:t xml:space="preserve">presented in the 1408 </w:t>
      </w:r>
      <w:r w:rsidR="00197DB5">
        <w:rPr>
          <w:rFonts w:ascii="Franklin Gothic Book" w:hAnsi="Franklin Gothic Book"/>
          <w:iCs/>
        </w:rPr>
        <w:t>application</w:t>
      </w:r>
      <w:r w:rsidR="0098335E" w:rsidRPr="00A735D2">
        <w:rPr>
          <w:rFonts w:ascii="Franklin Gothic Book" w:hAnsi="Franklin Gothic Book"/>
        </w:rPr>
        <w:t xml:space="preserve"> </w:t>
      </w:r>
      <w:r w:rsidR="0098335E">
        <w:rPr>
          <w:rFonts w:ascii="Franklin Gothic Book" w:hAnsi="Franklin Gothic Book"/>
        </w:rPr>
        <w:t xml:space="preserve">considered by MSAC </w:t>
      </w:r>
      <w:r w:rsidR="0098335E" w:rsidRPr="00A735D2">
        <w:rPr>
          <w:rFonts w:ascii="Franklin Gothic Book" w:hAnsi="Franklin Gothic Book"/>
        </w:rPr>
        <w:t xml:space="preserve">in </w:t>
      </w:r>
      <w:r w:rsidR="0098335E">
        <w:rPr>
          <w:rFonts w:ascii="Franklin Gothic Book" w:hAnsi="Franklin Gothic Book"/>
        </w:rPr>
        <w:t>November</w:t>
      </w:r>
      <w:r w:rsidR="0098335E" w:rsidRPr="00A735D2">
        <w:rPr>
          <w:rFonts w:ascii="Franklin Gothic Book" w:hAnsi="Franklin Gothic Book"/>
        </w:rPr>
        <w:t xml:space="preserve"> 2019</w:t>
      </w:r>
      <w:r w:rsidRPr="00A735D2">
        <w:rPr>
          <w:rFonts w:ascii="Franklin Gothic Book" w:hAnsi="Franklin Gothic Book"/>
        </w:rPr>
        <w:t>. The articles by Ettl (2020)</w:t>
      </w:r>
      <w:r w:rsidR="00820442">
        <w:rPr>
          <w:rStyle w:val="FootnoteReference"/>
          <w:rFonts w:ascii="Franklin Gothic Book" w:hAnsi="Franklin Gothic Book"/>
        </w:rPr>
        <w:footnoteReference w:id="5"/>
      </w:r>
      <w:r w:rsidRPr="00A735D2">
        <w:rPr>
          <w:rFonts w:ascii="Franklin Gothic Book" w:hAnsi="Franklin Gothic Book"/>
        </w:rPr>
        <w:t xml:space="preserve"> and Penault-Llorca (2020)</w:t>
      </w:r>
      <w:r w:rsidR="00820442">
        <w:rPr>
          <w:rStyle w:val="FootnoteReference"/>
          <w:rFonts w:ascii="Franklin Gothic Book" w:hAnsi="Franklin Gothic Book"/>
        </w:rPr>
        <w:footnoteReference w:id="6"/>
      </w:r>
      <w:r w:rsidRPr="00A735D2">
        <w:rPr>
          <w:rFonts w:ascii="Franklin Gothic Book" w:hAnsi="Franklin Gothic Book"/>
        </w:rPr>
        <w:t xml:space="preserve"> are updates of the authors’ earlier publications (Ettl (2017) and Penault-Llorca (2017) respectively) and Dinh (202</w:t>
      </w:r>
      <w:r w:rsidR="001E5F60">
        <w:rPr>
          <w:rFonts w:ascii="Franklin Gothic Book" w:hAnsi="Franklin Gothic Book"/>
        </w:rPr>
        <w:t>2</w:t>
      </w:r>
      <w:r w:rsidRPr="00A735D2">
        <w:rPr>
          <w:rFonts w:ascii="Franklin Gothic Book" w:hAnsi="Franklin Gothic Book"/>
        </w:rPr>
        <w:t>)</w:t>
      </w:r>
      <w:r w:rsidR="00820442">
        <w:rPr>
          <w:rStyle w:val="FootnoteReference"/>
          <w:rFonts w:ascii="Franklin Gothic Book" w:hAnsi="Franklin Gothic Book"/>
        </w:rPr>
        <w:footnoteReference w:id="7"/>
      </w:r>
      <w:r w:rsidRPr="00A735D2">
        <w:rPr>
          <w:rFonts w:ascii="Franklin Gothic Book" w:hAnsi="Franklin Gothic Book"/>
        </w:rPr>
        <w:t xml:space="preserve"> provides an </w:t>
      </w:r>
      <w:r w:rsidR="0098335E">
        <w:rPr>
          <w:rFonts w:ascii="Franklin Gothic Book" w:hAnsi="Franklin Gothic Book"/>
        </w:rPr>
        <w:t xml:space="preserve">updated </w:t>
      </w:r>
      <w:r w:rsidRPr="00A735D2">
        <w:rPr>
          <w:rFonts w:ascii="Franklin Gothic Book" w:hAnsi="Franklin Gothic Book"/>
        </w:rPr>
        <w:t>analysis of the PROSPER study.</w:t>
      </w:r>
    </w:p>
    <w:p w14:paraId="7D9BC251" w14:textId="0BB141EF" w:rsidR="002056CD" w:rsidRPr="00454CAC" w:rsidRDefault="002056CD" w:rsidP="004C2EF0">
      <w:pPr>
        <w:pStyle w:val="Caption"/>
      </w:pPr>
      <w:bookmarkStart w:id="32" w:name="_Ref100141448"/>
      <w:r>
        <w:lastRenderedPageBreak/>
        <w:t xml:space="preserve">Table </w:t>
      </w:r>
      <w:fldSimple w:instr=" SEQ Table \* ARABIC ">
        <w:r w:rsidR="00943826">
          <w:rPr>
            <w:noProof/>
          </w:rPr>
          <w:t>7</w:t>
        </w:r>
      </w:fldSimple>
      <w:bookmarkEnd w:id="32"/>
      <w:r w:rsidRPr="00CE28E3">
        <w:tab/>
        <w:t>Key features of the included evidence</w:t>
      </w:r>
      <w:r w:rsidRPr="00330A0A">
        <w:rPr>
          <w:color w:val="538135" w:themeColor="accent6" w:themeShade="BF"/>
        </w:rPr>
        <w:t xml:space="preserve"> </w:t>
      </w:r>
      <w:r w:rsidRPr="00454CAC">
        <w:t xml:space="preserve">for </w:t>
      </w:r>
      <w:r w:rsidR="00D50E5C">
        <w:t>EndoPredict</w:t>
      </w:r>
      <w:r w:rsidR="005F1260" w:rsidRPr="005F1260">
        <w:rPr>
          <w:vertAlign w:val="superscript"/>
        </w:rPr>
        <w:t>®</w:t>
      </w:r>
    </w:p>
    <w:tbl>
      <w:tblPr>
        <w:tblStyle w:val="TableGrid10"/>
        <w:tblW w:w="5000" w:type="pct"/>
        <w:tblCellMar>
          <w:left w:w="28" w:type="dxa"/>
          <w:right w:w="28" w:type="dxa"/>
        </w:tblCellMar>
        <w:tblLook w:val="04A0" w:firstRow="1" w:lastRow="0" w:firstColumn="1" w:lastColumn="0" w:noHBand="0" w:noVBand="1"/>
      </w:tblPr>
      <w:tblGrid>
        <w:gridCol w:w="2362"/>
        <w:gridCol w:w="424"/>
        <w:gridCol w:w="1565"/>
        <w:gridCol w:w="1684"/>
        <w:gridCol w:w="1331"/>
        <w:gridCol w:w="1650"/>
      </w:tblGrid>
      <w:tr w:rsidR="00984D54" w:rsidRPr="00CE28E3" w14:paraId="5A9F668B" w14:textId="77777777" w:rsidTr="004C2EF0">
        <w:trPr>
          <w:cnfStyle w:val="100000000000" w:firstRow="1" w:lastRow="0" w:firstColumn="0" w:lastColumn="0" w:oddVBand="0" w:evenVBand="0" w:oddHBand="0" w:evenHBand="0" w:firstRowFirstColumn="0" w:firstRowLastColumn="0" w:lastRowFirstColumn="0" w:lastRowLastColumn="0"/>
          <w:cantSplit/>
          <w:tblHeader/>
        </w:trPr>
        <w:tc>
          <w:tcPr>
            <w:tcW w:w="1310" w:type="pct"/>
            <w:shd w:val="clear" w:color="auto" w:fill="auto"/>
            <w:vAlign w:val="center"/>
          </w:tcPr>
          <w:p w14:paraId="7F1612CF" w14:textId="176BE1E4" w:rsidR="002056CD" w:rsidRDefault="0077286A" w:rsidP="004C2EF0">
            <w:pPr>
              <w:pStyle w:val="In-tableHeading"/>
            </w:pPr>
            <w:bookmarkStart w:id="33" w:name="ColumnTitle_Table3"/>
            <w:bookmarkStart w:id="34" w:name="_Hlk68276112"/>
            <w:bookmarkEnd w:id="33"/>
            <w:r>
              <w:t>Trial/s</w:t>
            </w:r>
          </w:p>
          <w:p w14:paraId="5B7A9157" w14:textId="6635D0AE" w:rsidR="0077286A" w:rsidRPr="00CE28E3" w:rsidRDefault="0077286A" w:rsidP="004C2EF0">
            <w:pPr>
              <w:pStyle w:val="In-tableHeading"/>
            </w:pPr>
            <w:r>
              <w:t>Study design</w:t>
            </w:r>
          </w:p>
        </w:tc>
        <w:tc>
          <w:tcPr>
            <w:tcW w:w="235" w:type="pct"/>
            <w:shd w:val="clear" w:color="auto" w:fill="auto"/>
            <w:vAlign w:val="center"/>
          </w:tcPr>
          <w:p w14:paraId="08269073" w14:textId="77777777" w:rsidR="002056CD" w:rsidRPr="00CE28E3" w:rsidRDefault="002056CD" w:rsidP="004C2EF0">
            <w:pPr>
              <w:pStyle w:val="In-tableHeading"/>
              <w:jc w:val="center"/>
            </w:pPr>
            <w:r w:rsidRPr="00CE28E3">
              <w:t>N</w:t>
            </w:r>
          </w:p>
        </w:tc>
        <w:tc>
          <w:tcPr>
            <w:tcW w:w="868" w:type="pct"/>
            <w:shd w:val="clear" w:color="auto" w:fill="auto"/>
            <w:vAlign w:val="center"/>
          </w:tcPr>
          <w:p w14:paraId="471440B5" w14:textId="20C595E9" w:rsidR="003056E8" w:rsidRDefault="00984D54" w:rsidP="004C2EF0">
            <w:pPr>
              <w:pStyle w:val="In-tableHeading"/>
              <w:jc w:val="center"/>
            </w:pPr>
            <w:r>
              <w:t>Reference</w:t>
            </w:r>
          </w:p>
          <w:p w14:paraId="4A803716" w14:textId="56084AFD" w:rsidR="002056CD" w:rsidRPr="00CE28E3" w:rsidRDefault="003056E8" w:rsidP="004C2EF0">
            <w:pPr>
              <w:pStyle w:val="In-tableHeading"/>
              <w:jc w:val="center"/>
            </w:pPr>
            <w:r>
              <w:t>D</w:t>
            </w:r>
            <w:r w:rsidRPr="00CE28E3">
              <w:t>uration</w:t>
            </w:r>
          </w:p>
        </w:tc>
        <w:tc>
          <w:tcPr>
            <w:tcW w:w="934" w:type="pct"/>
            <w:shd w:val="clear" w:color="auto" w:fill="auto"/>
            <w:vAlign w:val="center"/>
          </w:tcPr>
          <w:p w14:paraId="33CE2062" w14:textId="77777777" w:rsidR="002056CD" w:rsidRPr="00CE28E3" w:rsidRDefault="002056CD" w:rsidP="004C2EF0">
            <w:pPr>
              <w:pStyle w:val="In-tableHeading"/>
              <w:jc w:val="center"/>
            </w:pPr>
            <w:r w:rsidRPr="00CE28E3">
              <w:t>Patient population</w:t>
            </w:r>
          </w:p>
        </w:tc>
        <w:tc>
          <w:tcPr>
            <w:tcW w:w="738" w:type="pct"/>
            <w:shd w:val="clear" w:color="auto" w:fill="auto"/>
            <w:vAlign w:val="center"/>
          </w:tcPr>
          <w:p w14:paraId="05BD1DD5" w14:textId="77777777" w:rsidR="002056CD" w:rsidRPr="00CE28E3" w:rsidRDefault="002056CD" w:rsidP="004C2EF0">
            <w:pPr>
              <w:pStyle w:val="In-tableHeading"/>
              <w:jc w:val="center"/>
            </w:pPr>
            <w:r w:rsidRPr="00CE28E3">
              <w:t>Outcome(s)</w:t>
            </w:r>
          </w:p>
        </w:tc>
        <w:tc>
          <w:tcPr>
            <w:tcW w:w="915" w:type="pct"/>
            <w:shd w:val="clear" w:color="auto" w:fill="auto"/>
            <w:vAlign w:val="center"/>
          </w:tcPr>
          <w:p w14:paraId="432E19C5" w14:textId="14425ADB" w:rsidR="002056CD" w:rsidRPr="00CE28E3" w:rsidRDefault="002056CD" w:rsidP="004C2EF0">
            <w:pPr>
              <w:pStyle w:val="In-tableHeading"/>
              <w:jc w:val="center"/>
            </w:pPr>
            <w:r w:rsidRPr="00CE28E3">
              <w:t>Use</w:t>
            </w:r>
            <w:r w:rsidR="007C3DB1">
              <w:t>d</w:t>
            </w:r>
            <w:r w:rsidRPr="00CE28E3">
              <w:t xml:space="preserve"> in modelled evaluation</w:t>
            </w:r>
          </w:p>
        </w:tc>
      </w:tr>
      <w:tr w:rsidR="002056CD" w:rsidRPr="003D79B8" w14:paraId="66AD34C1" w14:textId="77777777" w:rsidTr="006B0BCC">
        <w:trPr>
          <w:cantSplit/>
        </w:trPr>
        <w:tc>
          <w:tcPr>
            <w:tcW w:w="5000" w:type="pct"/>
            <w:gridSpan w:val="6"/>
            <w:shd w:val="clear" w:color="auto" w:fill="auto"/>
            <w:vAlign w:val="center"/>
          </w:tcPr>
          <w:p w14:paraId="302DC361" w14:textId="41FD72CC" w:rsidR="002056CD" w:rsidRPr="003D79B8" w:rsidRDefault="00D50E5C" w:rsidP="004C2EF0">
            <w:pPr>
              <w:pStyle w:val="TableText0"/>
              <w:keepNext/>
              <w:rPr>
                <w:b/>
                <w:lang w:val="en-US"/>
              </w:rPr>
            </w:pPr>
            <w:r>
              <w:rPr>
                <w:b/>
                <w:lang w:val="en-US"/>
              </w:rPr>
              <w:t>EndoPredict</w:t>
            </w:r>
            <w:r w:rsidR="005F1260" w:rsidRPr="005F1260">
              <w:rPr>
                <w:b/>
                <w:vertAlign w:val="superscript"/>
                <w:lang w:val="en-US"/>
              </w:rPr>
              <w:t>®</w:t>
            </w:r>
            <w:r w:rsidR="002056CD" w:rsidRPr="003D79B8">
              <w:rPr>
                <w:b/>
                <w:lang w:val="en-US"/>
              </w:rPr>
              <w:t xml:space="preserve"> vs </w:t>
            </w:r>
            <w:r w:rsidR="00877150">
              <w:rPr>
                <w:b/>
                <w:lang w:val="en-US"/>
              </w:rPr>
              <w:t>s</w:t>
            </w:r>
            <w:r w:rsidR="002056CD" w:rsidRPr="003D79B8">
              <w:rPr>
                <w:b/>
                <w:lang w:val="en-US"/>
              </w:rPr>
              <w:t>tandard clinical practice, Adjuvant!Online and CTS</w:t>
            </w:r>
          </w:p>
        </w:tc>
      </w:tr>
      <w:tr w:rsidR="00984D54" w:rsidRPr="00CE28E3" w14:paraId="0BCE46BB" w14:textId="77777777" w:rsidTr="004C2EF0">
        <w:trPr>
          <w:cantSplit/>
        </w:trPr>
        <w:tc>
          <w:tcPr>
            <w:tcW w:w="1310" w:type="pct"/>
            <w:vMerge w:val="restart"/>
            <w:shd w:val="clear" w:color="auto" w:fill="auto"/>
            <w:vAlign w:val="center"/>
          </w:tcPr>
          <w:p w14:paraId="28778954" w14:textId="66A7E8CF" w:rsidR="00984D54" w:rsidRDefault="00984D54" w:rsidP="004C2EF0">
            <w:pPr>
              <w:pStyle w:val="TableText0"/>
              <w:keepNext/>
              <w:rPr>
                <w:lang w:val="en-US"/>
              </w:rPr>
            </w:pPr>
            <w:r>
              <w:rPr>
                <w:lang w:val="en-US"/>
              </w:rPr>
              <w:t>ABCSG 6 &amp; trials</w:t>
            </w:r>
          </w:p>
          <w:p w14:paraId="1DCDCC1F" w14:textId="3EAABD3F" w:rsidR="00984D54" w:rsidRPr="00CE28E3" w:rsidRDefault="00984D54" w:rsidP="004C2EF0">
            <w:pPr>
              <w:pStyle w:val="TableText0"/>
              <w:keepNext/>
              <w:rPr>
                <w:lang w:val="en-US"/>
              </w:rPr>
            </w:pPr>
            <w:r>
              <w:rPr>
                <w:lang w:val="en-US"/>
              </w:rPr>
              <w:t>R single arm analyses</w:t>
            </w:r>
          </w:p>
        </w:tc>
        <w:tc>
          <w:tcPr>
            <w:tcW w:w="235" w:type="pct"/>
            <w:shd w:val="clear" w:color="auto" w:fill="auto"/>
            <w:vAlign w:val="center"/>
          </w:tcPr>
          <w:p w14:paraId="7B1C8C56" w14:textId="77777777" w:rsidR="00984D54" w:rsidRPr="00CE28E3" w:rsidRDefault="00984D54" w:rsidP="004C2EF0">
            <w:pPr>
              <w:pStyle w:val="TableText0"/>
              <w:keepNext/>
              <w:jc w:val="center"/>
              <w:rPr>
                <w:lang w:val="en-US"/>
              </w:rPr>
            </w:pPr>
            <w:r>
              <w:rPr>
                <w:lang w:val="en-US"/>
              </w:rPr>
              <w:t>1702</w:t>
            </w:r>
          </w:p>
        </w:tc>
        <w:tc>
          <w:tcPr>
            <w:tcW w:w="868" w:type="pct"/>
            <w:shd w:val="clear" w:color="auto" w:fill="auto"/>
            <w:vAlign w:val="center"/>
          </w:tcPr>
          <w:p w14:paraId="1140BF99" w14:textId="51F9FF63" w:rsidR="00984D54" w:rsidRDefault="00984D54" w:rsidP="004C2EF0">
            <w:pPr>
              <w:pStyle w:val="TableText0"/>
              <w:keepNext/>
              <w:jc w:val="center"/>
              <w:rPr>
                <w:lang w:val="en-US"/>
              </w:rPr>
            </w:pPr>
            <w:r>
              <w:rPr>
                <w:lang w:val="en-US"/>
              </w:rPr>
              <w:t xml:space="preserve">Filipits 2011 </w:t>
            </w:r>
          </w:p>
          <w:p w14:paraId="7C0309E6" w14:textId="77777777" w:rsidR="00984D54" w:rsidRPr="00CE28E3" w:rsidRDefault="00984D54" w:rsidP="004C2EF0">
            <w:pPr>
              <w:pStyle w:val="TableText0"/>
              <w:keepNext/>
              <w:jc w:val="center"/>
              <w:rPr>
                <w:i/>
                <w:lang w:val="en-US"/>
              </w:rPr>
            </w:pPr>
            <w:r>
              <w:rPr>
                <w:lang w:val="en-US"/>
              </w:rPr>
              <w:t>10y fu</w:t>
            </w:r>
          </w:p>
        </w:tc>
        <w:tc>
          <w:tcPr>
            <w:tcW w:w="934" w:type="pct"/>
            <w:shd w:val="clear" w:color="auto" w:fill="auto"/>
            <w:vAlign w:val="center"/>
          </w:tcPr>
          <w:p w14:paraId="1B9FBB09" w14:textId="77777777" w:rsidR="00984D54" w:rsidRPr="00CE28E3" w:rsidRDefault="00984D54" w:rsidP="004C2EF0">
            <w:pPr>
              <w:pStyle w:val="TableText0"/>
              <w:keepNext/>
              <w:jc w:val="center"/>
              <w:rPr>
                <w:lang w:val="en-US"/>
              </w:rPr>
            </w:pPr>
            <w:r>
              <w:rPr>
                <w:lang w:val="en-US"/>
              </w:rPr>
              <w:t>Postmenopausal ER+, HER2- breast cancer patients</w:t>
            </w:r>
          </w:p>
        </w:tc>
        <w:tc>
          <w:tcPr>
            <w:tcW w:w="738" w:type="pct"/>
            <w:shd w:val="clear" w:color="auto" w:fill="auto"/>
            <w:vAlign w:val="center"/>
          </w:tcPr>
          <w:p w14:paraId="59D7131F" w14:textId="77777777" w:rsidR="00984D54" w:rsidRPr="00CE28E3" w:rsidRDefault="00984D54" w:rsidP="004C2EF0">
            <w:pPr>
              <w:pStyle w:val="TableText0"/>
              <w:keepNext/>
              <w:jc w:val="center"/>
              <w:rPr>
                <w:lang w:val="en-US"/>
              </w:rPr>
            </w:pPr>
            <w:r>
              <w:rPr>
                <w:lang w:val="en-US"/>
              </w:rPr>
              <w:t>EP &amp; EPclin validation</w:t>
            </w:r>
          </w:p>
        </w:tc>
        <w:tc>
          <w:tcPr>
            <w:tcW w:w="915" w:type="pct"/>
            <w:shd w:val="clear" w:color="auto" w:fill="auto"/>
            <w:vAlign w:val="center"/>
          </w:tcPr>
          <w:p w14:paraId="2B0577B6" w14:textId="7C1A4D13" w:rsidR="00984D54" w:rsidRPr="00CE28E3" w:rsidRDefault="007C3DB1" w:rsidP="004C2EF0">
            <w:pPr>
              <w:pStyle w:val="TableText0"/>
              <w:keepNext/>
              <w:jc w:val="center"/>
              <w:rPr>
                <w:lang w:val="en-US"/>
              </w:rPr>
            </w:pPr>
            <w:r>
              <w:rPr>
                <w:lang w:val="en-US"/>
              </w:rPr>
              <w:t>-</w:t>
            </w:r>
          </w:p>
        </w:tc>
      </w:tr>
      <w:tr w:rsidR="00984D54" w:rsidRPr="00CE28E3" w14:paraId="0FC36A19" w14:textId="77777777" w:rsidTr="004C2EF0">
        <w:trPr>
          <w:cantSplit/>
        </w:trPr>
        <w:tc>
          <w:tcPr>
            <w:tcW w:w="1310" w:type="pct"/>
            <w:vMerge/>
            <w:shd w:val="clear" w:color="auto" w:fill="auto"/>
            <w:vAlign w:val="center"/>
          </w:tcPr>
          <w:p w14:paraId="037C1D99" w14:textId="6D0D5B78" w:rsidR="00984D54" w:rsidRPr="00CE28E3" w:rsidRDefault="00984D54" w:rsidP="004C2EF0">
            <w:pPr>
              <w:pStyle w:val="TableText0"/>
              <w:keepNext/>
              <w:rPr>
                <w:lang w:val="en-US"/>
              </w:rPr>
            </w:pPr>
          </w:p>
        </w:tc>
        <w:tc>
          <w:tcPr>
            <w:tcW w:w="235" w:type="pct"/>
            <w:shd w:val="clear" w:color="auto" w:fill="auto"/>
            <w:vAlign w:val="center"/>
          </w:tcPr>
          <w:p w14:paraId="4B8829C2" w14:textId="77777777" w:rsidR="00984D54" w:rsidRPr="00CE28E3" w:rsidRDefault="00984D54" w:rsidP="004C2EF0">
            <w:pPr>
              <w:pStyle w:val="TableText0"/>
              <w:keepNext/>
              <w:jc w:val="center"/>
              <w:rPr>
                <w:lang w:val="en-US"/>
              </w:rPr>
            </w:pPr>
            <w:r>
              <w:rPr>
                <w:lang w:val="en-US"/>
              </w:rPr>
              <w:t>1702</w:t>
            </w:r>
          </w:p>
        </w:tc>
        <w:tc>
          <w:tcPr>
            <w:tcW w:w="868" w:type="pct"/>
            <w:shd w:val="clear" w:color="auto" w:fill="auto"/>
            <w:vAlign w:val="center"/>
          </w:tcPr>
          <w:p w14:paraId="41B6D3A3" w14:textId="7EC750DA" w:rsidR="00984D54" w:rsidRDefault="00984D54" w:rsidP="004C2EF0">
            <w:pPr>
              <w:pStyle w:val="TableText0"/>
              <w:keepNext/>
              <w:jc w:val="center"/>
              <w:rPr>
                <w:lang w:val="en-US"/>
              </w:rPr>
            </w:pPr>
            <w:r>
              <w:rPr>
                <w:lang w:val="en-US"/>
              </w:rPr>
              <w:t>Dubsky 2013b</w:t>
            </w:r>
          </w:p>
          <w:p w14:paraId="1DE1FE17" w14:textId="77777777" w:rsidR="00984D54" w:rsidRPr="00CE28E3" w:rsidRDefault="00984D54" w:rsidP="004C2EF0">
            <w:pPr>
              <w:pStyle w:val="TableText0"/>
              <w:keepNext/>
              <w:jc w:val="center"/>
              <w:rPr>
                <w:i/>
                <w:lang w:val="en-US"/>
              </w:rPr>
            </w:pPr>
            <w:r>
              <w:rPr>
                <w:lang w:val="en-US"/>
              </w:rPr>
              <w:t>10y fu</w:t>
            </w:r>
          </w:p>
        </w:tc>
        <w:tc>
          <w:tcPr>
            <w:tcW w:w="934" w:type="pct"/>
            <w:shd w:val="clear" w:color="auto" w:fill="auto"/>
            <w:vAlign w:val="center"/>
          </w:tcPr>
          <w:p w14:paraId="01DD8516" w14:textId="77777777" w:rsidR="00984D54" w:rsidRPr="00CE28E3" w:rsidRDefault="00984D54" w:rsidP="004C2EF0">
            <w:pPr>
              <w:pStyle w:val="TableText0"/>
              <w:keepNext/>
              <w:jc w:val="center"/>
              <w:rPr>
                <w:lang w:val="en-US"/>
              </w:rPr>
            </w:pPr>
            <w:r>
              <w:rPr>
                <w:lang w:val="en-US"/>
              </w:rPr>
              <w:t>Postmenopausal ER+, HER2- breast cancer patients</w:t>
            </w:r>
          </w:p>
        </w:tc>
        <w:tc>
          <w:tcPr>
            <w:tcW w:w="738" w:type="pct"/>
            <w:shd w:val="clear" w:color="auto" w:fill="auto"/>
            <w:vAlign w:val="center"/>
          </w:tcPr>
          <w:p w14:paraId="2A475078" w14:textId="77777777" w:rsidR="00984D54" w:rsidRPr="00CE28E3" w:rsidRDefault="00984D54" w:rsidP="004C2EF0">
            <w:pPr>
              <w:pStyle w:val="TableText0"/>
              <w:keepNext/>
              <w:jc w:val="center"/>
              <w:rPr>
                <w:lang w:val="en-US"/>
              </w:rPr>
            </w:pPr>
            <w:r>
              <w:rPr>
                <w:lang w:val="en-US"/>
              </w:rPr>
              <w:t>EP &amp; EPclin prognosis</w:t>
            </w:r>
          </w:p>
        </w:tc>
        <w:tc>
          <w:tcPr>
            <w:tcW w:w="915" w:type="pct"/>
            <w:shd w:val="clear" w:color="auto" w:fill="auto"/>
            <w:vAlign w:val="center"/>
          </w:tcPr>
          <w:p w14:paraId="0CE6DD45" w14:textId="4AE1E2EC" w:rsidR="00984D54" w:rsidRPr="00CE28E3" w:rsidRDefault="007C3DB1" w:rsidP="004C2EF0">
            <w:pPr>
              <w:pStyle w:val="TableText0"/>
              <w:keepNext/>
              <w:jc w:val="center"/>
              <w:rPr>
                <w:lang w:val="en-US"/>
              </w:rPr>
            </w:pPr>
            <w:r>
              <w:rPr>
                <w:lang w:val="en-US"/>
              </w:rPr>
              <w:t>-</w:t>
            </w:r>
          </w:p>
        </w:tc>
      </w:tr>
      <w:tr w:rsidR="00984D54" w:rsidRPr="00CE28E3" w14:paraId="57781429" w14:textId="77777777" w:rsidTr="004C2EF0">
        <w:trPr>
          <w:cantSplit/>
        </w:trPr>
        <w:tc>
          <w:tcPr>
            <w:tcW w:w="1310" w:type="pct"/>
            <w:vMerge/>
            <w:shd w:val="clear" w:color="auto" w:fill="auto"/>
            <w:vAlign w:val="center"/>
          </w:tcPr>
          <w:p w14:paraId="5D6598B3" w14:textId="7B225FC7" w:rsidR="00984D54" w:rsidRPr="00CE28E3" w:rsidRDefault="00984D54" w:rsidP="004C2EF0">
            <w:pPr>
              <w:pStyle w:val="TableText0"/>
              <w:keepNext/>
              <w:rPr>
                <w:lang w:val="en-US"/>
              </w:rPr>
            </w:pPr>
          </w:p>
        </w:tc>
        <w:tc>
          <w:tcPr>
            <w:tcW w:w="235" w:type="pct"/>
            <w:shd w:val="clear" w:color="auto" w:fill="auto"/>
            <w:vAlign w:val="center"/>
          </w:tcPr>
          <w:p w14:paraId="1D9FE41F" w14:textId="77777777" w:rsidR="00984D54" w:rsidRPr="00CE28E3" w:rsidRDefault="00984D54" w:rsidP="004C2EF0">
            <w:pPr>
              <w:pStyle w:val="TableText0"/>
              <w:keepNext/>
              <w:jc w:val="center"/>
              <w:rPr>
                <w:lang w:val="en-US"/>
              </w:rPr>
            </w:pPr>
            <w:r>
              <w:rPr>
                <w:lang w:val="en-US"/>
              </w:rPr>
              <w:t>1702</w:t>
            </w:r>
          </w:p>
        </w:tc>
        <w:tc>
          <w:tcPr>
            <w:tcW w:w="868" w:type="pct"/>
            <w:shd w:val="clear" w:color="auto" w:fill="auto"/>
            <w:vAlign w:val="center"/>
          </w:tcPr>
          <w:p w14:paraId="19FF2B9E" w14:textId="3F75BDDF" w:rsidR="00984D54" w:rsidRDefault="00984D54" w:rsidP="004C2EF0">
            <w:pPr>
              <w:pStyle w:val="TableText0"/>
              <w:keepNext/>
              <w:jc w:val="center"/>
              <w:rPr>
                <w:lang w:val="en-US"/>
              </w:rPr>
            </w:pPr>
            <w:r>
              <w:rPr>
                <w:lang w:val="en-US"/>
              </w:rPr>
              <w:t>Filipits 2019</w:t>
            </w:r>
          </w:p>
          <w:p w14:paraId="6D390245" w14:textId="77777777" w:rsidR="00984D54" w:rsidRPr="00CE28E3" w:rsidRDefault="00984D54" w:rsidP="004C2EF0">
            <w:pPr>
              <w:pStyle w:val="TableText0"/>
              <w:keepNext/>
              <w:jc w:val="center"/>
              <w:rPr>
                <w:i/>
                <w:lang w:val="en-US"/>
              </w:rPr>
            </w:pPr>
            <w:r>
              <w:rPr>
                <w:lang w:val="en-US"/>
              </w:rPr>
              <w:t>15y fu</w:t>
            </w:r>
          </w:p>
        </w:tc>
        <w:tc>
          <w:tcPr>
            <w:tcW w:w="934" w:type="pct"/>
            <w:shd w:val="clear" w:color="auto" w:fill="auto"/>
            <w:vAlign w:val="center"/>
          </w:tcPr>
          <w:p w14:paraId="3F1901E9" w14:textId="77777777" w:rsidR="00984D54" w:rsidRPr="00CE28E3" w:rsidRDefault="00984D54" w:rsidP="004C2EF0">
            <w:pPr>
              <w:pStyle w:val="TableText0"/>
              <w:keepNext/>
              <w:jc w:val="center"/>
              <w:rPr>
                <w:lang w:val="en-US"/>
              </w:rPr>
            </w:pPr>
            <w:r>
              <w:rPr>
                <w:lang w:val="en-US"/>
              </w:rPr>
              <w:t>Postmenopausal ER+, HER2- breast cancer patients</w:t>
            </w:r>
          </w:p>
        </w:tc>
        <w:tc>
          <w:tcPr>
            <w:tcW w:w="738" w:type="pct"/>
            <w:shd w:val="clear" w:color="auto" w:fill="auto"/>
            <w:vAlign w:val="center"/>
          </w:tcPr>
          <w:p w14:paraId="3D6B1066" w14:textId="77777777" w:rsidR="00984D54" w:rsidRPr="00CE28E3" w:rsidRDefault="00984D54" w:rsidP="004C2EF0">
            <w:pPr>
              <w:pStyle w:val="TableText0"/>
              <w:keepNext/>
              <w:jc w:val="center"/>
              <w:rPr>
                <w:lang w:val="en-US"/>
              </w:rPr>
            </w:pPr>
            <w:r>
              <w:rPr>
                <w:lang w:val="en-US"/>
              </w:rPr>
              <w:t>EPclin prognosis vs CTS5; DRFR</w:t>
            </w:r>
          </w:p>
        </w:tc>
        <w:tc>
          <w:tcPr>
            <w:tcW w:w="915" w:type="pct"/>
            <w:shd w:val="clear" w:color="auto" w:fill="auto"/>
            <w:vAlign w:val="center"/>
          </w:tcPr>
          <w:p w14:paraId="4F610134" w14:textId="59D22B42" w:rsidR="00984D54" w:rsidRPr="00CE28E3" w:rsidRDefault="007C3DB1" w:rsidP="004C2EF0">
            <w:pPr>
              <w:pStyle w:val="TableText0"/>
              <w:keepNext/>
              <w:jc w:val="center"/>
              <w:rPr>
                <w:lang w:val="en-US"/>
              </w:rPr>
            </w:pPr>
            <w:r>
              <w:rPr>
                <w:lang w:val="en-US"/>
              </w:rPr>
              <w:t>-</w:t>
            </w:r>
          </w:p>
        </w:tc>
      </w:tr>
      <w:tr w:rsidR="00984D54" w:rsidRPr="00CE28E3" w14:paraId="2BECC7FE" w14:textId="77777777" w:rsidTr="004C2EF0">
        <w:trPr>
          <w:cantSplit/>
        </w:trPr>
        <w:tc>
          <w:tcPr>
            <w:tcW w:w="1310" w:type="pct"/>
            <w:vMerge w:val="restart"/>
            <w:shd w:val="clear" w:color="auto" w:fill="auto"/>
            <w:vAlign w:val="center"/>
          </w:tcPr>
          <w:p w14:paraId="7A8374E5" w14:textId="77777777" w:rsidR="00984D54" w:rsidRDefault="00984D54" w:rsidP="004C2EF0">
            <w:pPr>
              <w:pStyle w:val="TableText0"/>
              <w:keepNext/>
              <w:rPr>
                <w:lang w:val="en-US"/>
              </w:rPr>
            </w:pPr>
            <w:r>
              <w:rPr>
                <w:lang w:val="en-US"/>
              </w:rPr>
              <w:t xml:space="preserve">TransATAC trial </w:t>
            </w:r>
          </w:p>
          <w:p w14:paraId="56CA063D" w14:textId="372AF79F" w:rsidR="00984D54" w:rsidRPr="00CE28E3" w:rsidRDefault="00984D54" w:rsidP="004C2EF0">
            <w:pPr>
              <w:pStyle w:val="TableText0"/>
              <w:keepNext/>
              <w:rPr>
                <w:lang w:val="en-US"/>
              </w:rPr>
            </w:pPr>
            <w:r>
              <w:rPr>
                <w:lang w:val="en-US"/>
              </w:rPr>
              <w:t>R single arm analyses</w:t>
            </w:r>
          </w:p>
        </w:tc>
        <w:tc>
          <w:tcPr>
            <w:tcW w:w="235" w:type="pct"/>
            <w:shd w:val="clear" w:color="auto" w:fill="auto"/>
            <w:vAlign w:val="center"/>
          </w:tcPr>
          <w:p w14:paraId="1F5E451A" w14:textId="77777777" w:rsidR="00984D54" w:rsidRPr="00CE28E3" w:rsidRDefault="00984D54" w:rsidP="004C2EF0">
            <w:pPr>
              <w:pStyle w:val="TableText0"/>
              <w:keepNext/>
              <w:jc w:val="center"/>
              <w:rPr>
                <w:lang w:val="en-US"/>
              </w:rPr>
            </w:pPr>
            <w:r>
              <w:rPr>
                <w:lang w:val="en-US"/>
              </w:rPr>
              <w:t>928</w:t>
            </w:r>
          </w:p>
        </w:tc>
        <w:tc>
          <w:tcPr>
            <w:tcW w:w="868" w:type="pct"/>
            <w:shd w:val="clear" w:color="auto" w:fill="auto"/>
            <w:vAlign w:val="center"/>
          </w:tcPr>
          <w:p w14:paraId="1F65AA40" w14:textId="3802D2C8" w:rsidR="00984D54" w:rsidRPr="00CE28E3" w:rsidRDefault="00984D54" w:rsidP="004C2EF0">
            <w:pPr>
              <w:pStyle w:val="TableText0"/>
              <w:keepNext/>
              <w:jc w:val="center"/>
              <w:rPr>
                <w:i/>
                <w:lang w:val="en-US"/>
              </w:rPr>
            </w:pPr>
            <w:r>
              <w:rPr>
                <w:lang w:val="en-US"/>
              </w:rPr>
              <w:t>Buus 2016</w:t>
            </w:r>
            <w:r w:rsidR="00820442">
              <w:rPr>
                <w:lang w:val="en-US"/>
              </w:rPr>
              <w:t xml:space="preserve"> </w:t>
            </w:r>
            <w:r w:rsidR="00820442">
              <w:rPr>
                <w:lang w:val="en-US"/>
              </w:rPr>
              <w:br/>
            </w:r>
            <w:r>
              <w:rPr>
                <w:lang w:val="en-US"/>
              </w:rPr>
              <w:t>10y fu</w:t>
            </w:r>
            <w:r w:rsidRPr="00CE28E3">
              <w:rPr>
                <w:lang w:val="en-US"/>
              </w:rPr>
              <w:t xml:space="preserve"> </w:t>
            </w:r>
          </w:p>
        </w:tc>
        <w:tc>
          <w:tcPr>
            <w:tcW w:w="934" w:type="pct"/>
            <w:shd w:val="clear" w:color="auto" w:fill="auto"/>
            <w:vAlign w:val="center"/>
          </w:tcPr>
          <w:p w14:paraId="1A410B88" w14:textId="77777777" w:rsidR="00984D54" w:rsidRPr="00CE28E3" w:rsidRDefault="00984D54" w:rsidP="004C2EF0">
            <w:pPr>
              <w:pStyle w:val="TableText0"/>
              <w:keepNext/>
              <w:jc w:val="center"/>
              <w:rPr>
                <w:lang w:val="en-US"/>
              </w:rPr>
            </w:pPr>
            <w:r>
              <w:rPr>
                <w:lang w:val="en-US"/>
              </w:rPr>
              <w:t>Postmenopausal ER+, HER2- breast cancer patients</w:t>
            </w:r>
          </w:p>
        </w:tc>
        <w:tc>
          <w:tcPr>
            <w:tcW w:w="738" w:type="pct"/>
            <w:shd w:val="clear" w:color="auto" w:fill="auto"/>
            <w:vAlign w:val="center"/>
          </w:tcPr>
          <w:p w14:paraId="4C640F50" w14:textId="77777777" w:rsidR="00984D54" w:rsidRPr="00CE28E3" w:rsidRDefault="00984D54" w:rsidP="004C2EF0">
            <w:pPr>
              <w:pStyle w:val="TableText0"/>
              <w:keepNext/>
              <w:jc w:val="center"/>
              <w:rPr>
                <w:lang w:val="en-US"/>
              </w:rPr>
            </w:pPr>
            <w:r>
              <w:rPr>
                <w:lang w:val="en-US"/>
              </w:rPr>
              <w:t>EP &amp; EPclin prognosis vs CTS</w:t>
            </w:r>
          </w:p>
        </w:tc>
        <w:tc>
          <w:tcPr>
            <w:tcW w:w="915" w:type="pct"/>
            <w:shd w:val="clear" w:color="auto" w:fill="auto"/>
            <w:vAlign w:val="center"/>
          </w:tcPr>
          <w:p w14:paraId="35AC3EAA" w14:textId="4291F455" w:rsidR="00984D54" w:rsidRPr="00CE28E3" w:rsidRDefault="007C3DB1" w:rsidP="004C2EF0">
            <w:pPr>
              <w:pStyle w:val="TableText0"/>
              <w:keepNext/>
              <w:jc w:val="center"/>
              <w:rPr>
                <w:lang w:val="en-US"/>
              </w:rPr>
            </w:pPr>
            <w:r>
              <w:rPr>
                <w:lang w:val="en-US"/>
              </w:rPr>
              <w:t>-</w:t>
            </w:r>
          </w:p>
        </w:tc>
      </w:tr>
      <w:tr w:rsidR="00984D54" w:rsidRPr="00CE28E3" w14:paraId="3582C328" w14:textId="77777777" w:rsidTr="004C2EF0">
        <w:trPr>
          <w:cantSplit/>
        </w:trPr>
        <w:tc>
          <w:tcPr>
            <w:tcW w:w="1310" w:type="pct"/>
            <w:vMerge/>
            <w:shd w:val="clear" w:color="auto" w:fill="auto"/>
            <w:vAlign w:val="center"/>
          </w:tcPr>
          <w:p w14:paraId="35C112A5" w14:textId="3E883134" w:rsidR="00984D54" w:rsidRPr="00CE28E3" w:rsidRDefault="00984D54" w:rsidP="004C2EF0">
            <w:pPr>
              <w:pStyle w:val="TableText0"/>
              <w:keepNext/>
              <w:rPr>
                <w:lang w:val="en-US"/>
              </w:rPr>
            </w:pPr>
          </w:p>
        </w:tc>
        <w:tc>
          <w:tcPr>
            <w:tcW w:w="235" w:type="pct"/>
            <w:shd w:val="clear" w:color="auto" w:fill="auto"/>
            <w:vAlign w:val="center"/>
          </w:tcPr>
          <w:p w14:paraId="4AF526B2" w14:textId="77777777" w:rsidR="00984D54" w:rsidRPr="00CE28E3" w:rsidRDefault="00984D54" w:rsidP="004C2EF0">
            <w:pPr>
              <w:pStyle w:val="TableText0"/>
              <w:keepNext/>
              <w:jc w:val="center"/>
              <w:rPr>
                <w:lang w:val="en-US"/>
              </w:rPr>
            </w:pPr>
            <w:r>
              <w:rPr>
                <w:lang w:val="en-US"/>
              </w:rPr>
              <w:t>774</w:t>
            </w:r>
          </w:p>
        </w:tc>
        <w:tc>
          <w:tcPr>
            <w:tcW w:w="868" w:type="pct"/>
            <w:shd w:val="clear" w:color="auto" w:fill="auto"/>
            <w:vAlign w:val="center"/>
          </w:tcPr>
          <w:p w14:paraId="39DA63F0" w14:textId="1972513D" w:rsidR="00984D54" w:rsidRDefault="00984D54" w:rsidP="004C2EF0">
            <w:pPr>
              <w:pStyle w:val="TableText0"/>
              <w:keepNext/>
              <w:jc w:val="center"/>
              <w:rPr>
                <w:lang w:val="en-US"/>
              </w:rPr>
            </w:pPr>
            <w:r>
              <w:rPr>
                <w:lang w:val="en-US"/>
              </w:rPr>
              <w:t>Sestak 2018</w:t>
            </w:r>
          </w:p>
          <w:p w14:paraId="0A38CFE6" w14:textId="77777777" w:rsidR="00984D54" w:rsidRPr="00CE28E3" w:rsidRDefault="00984D54" w:rsidP="004C2EF0">
            <w:pPr>
              <w:pStyle w:val="TableText0"/>
              <w:keepNext/>
              <w:jc w:val="center"/>
              <w:rPr>
                <w:lang w:val="en-US"/>
              </w:rPr>
            </w:pPr>
            <w:r>
              <w:rPr>
                <w:lang w:val="en-US"/>
              </w:rPr>
              <w:t>10y fu</w:t>
            </w:r>
          </w:p>
        </w:tc>
        <w:tc>
          <w:tcPr>
            <w:tcW w:w="934" w:type="pct"/>
            <w:shd w:val="clear" w:color="auto" w:fill="auto"/>
            <w:vAlign w:val="center"/>
          </w:tcPr>
          <w:p w14:paraId="408C58A3" w14:textId="77777777" w:rsidR="00984D54" w:rsidRPr="00CE28E3" w:rsidRDefault="00984D54" w:rsidP="004C2EF0">
            <w:pPr>
              <w:pStyle w:val="TableText0"/>
              <w:keepNext/>
              <w:jc w:val="center"/>
              <w:rPr>
                <w:lang w:val="en-US"/>
              </w:rPr>
            </w:pPr>
            <w:r>
              <w:rPr>
                <w:lang w:val="en-US"/>
              </w:rPr>
              <w:t>Postmenopausal ER+, HER2- breast cancer patients</w:t>
            </w:r>
          </w:p>
        </w:tc>
        <w:tc>
          <w:tcPr>
            <w:tcW w:w="738" w:type="pct"/>
            <w:shd w:val="clear" w:color="auto" w:fill="auto"/>
            <w:vAlign w:val="center"/>
          </w:tcPr>
          <w:p w14:paraId="633133E3" w14:textId="77777777" w:rsidR="00984D54" w:rsidRPr="00CE28E3" w:rsidRDefault="00984D54" w:rsidP="004C2EF0">
            <w:pPr>
              <w:pStyle w:val="TableText0"/>
              <w:keepNext/>
              <w:jc w:val="center"/>
              <w:rPr>
                <w:lang w:val="en-US"/>
              </w:rPr>
            </w:pPr>
            <w:r>
              <w:rPr>
                <w:lang w:val="en-US"/>
              </w:rPr>
              <w:t>EPclin prognosis vs CTS &amp; BCI</w:t>
            </w:r>
          </w:p>
        </w:tc>
        <w:tc>
          <w:tcPr>
            <w:tcW w:w="915" w:type="pct"/>
            <w:shd w:val="clear" w:color="auto" w:fill="auto"/>
            <w:vAlign w:val="center"/>
          </w:tcPr>
          <w:p w14:paraId="71A08106" w14:textId="29753A42" w:rsidR="00984D54" w:rsidRPr="00CE28E3" w:rsidRDefault="007C3DB1" w:rsidP="004C2EF0">
            <w:pPr>
              <w:pStyle w:val="TableText0"/>
              <w:keepNext/>
              <w:jc w:val="center"/>
              <w:rPr>
                <w:lang w:val="en-US"/>
              </w:rPr>
            </w:pPr>
            <w:r>
              <w:rPr>
                <w:lang w:val="en-US"/>
              </w:rPr>
              <w:t>-</w:t>
            </w:r>
          </w:p>
        </w:tc>
      </w:tr>
      <w:tr w:rsidR="00984D54" w:rsidRPr="00CE28E3" w14:paraId="43DC69B1" w14:textId="77777777" w:rsidTr="004C2EF0">
        <w:trPr>
          <w:cantSplit/>
        </w:trPr>
        <w:tc>
          <w:tcPr>
            <w:tcW w:w="1310" w:type="pct"/>
            <w:tcBorders>
              <w:bottom w:val="single" w:sz="4" w:space="0" w:color="auto"/>
            </w:tcBorders>
            <w:shd w:val="clear" w:color="auto" w:fill="auto"/>
            <w:vAlign w:val="center"/>
          </w:tcPr>
          <w:p w14:paraId="44877884" w14:textId="7955C6A1" w:rsidR="00984D54" w:rsidRPr="00984D54" w:rsidRDefault="00984D54" w:rsidP="004C2EF0">
            <w:pPr>
              <w:pStyle w:val="TableText0"/>
              <w:keepNext/>
              <w:rPr>
                <w:lang w:val="en-US"/>
              </w:rPr>
            </w:pPr>
            <w:r w:rsidRPr="00984D54">
              <w:rPr>
                <w:lang w:val="en-US"/>
              </w:rPr>
              <w:t>ABCSG 6/8, TransAT</w:t>
            </w:r>
            <w:r w:rsidR="00B851F1">
              <w:rPr>
                <w:lang w:val="en-US"/>
              </w:rPr>
              <w:t>A</w:t>
            </w:r>
            <w:r w:rsidRPr="00984D54">
              <w:rPr>
                <w:lang w:val="en-US"/>
              </w:rPr>
              <w:t>C, GEICAM 2003-02/9906 trials</w:t>
            </w:r>
          </w:p>
          <w:p w14:paraId="3E460669" w14:textId="51A34EE6" w:rsidR="002056CD" w:rsidRDefault="00984D54" w:rsidP="004C2EF0">
            <w:pPr>
              <w:pStyle w:val="TableText0"/>
              <w:keepNext/>
              <w:rPr>
                <w:lang w:val="en-US"/>
              </w:rPr>
            </w:pPr>
            <w:r w:rsidRPr="00984D54">
              <w:rPr>
                <w:lang w:val="en-US"/>
              </w:rPr>
              <w:t>joint R analyses</w:t>
            </w:r>
          </w:p>
        </w:tc>
        <w:tc>
          <w:tcPr>
            <w:tcW w:w="235" w:type="pct"/>
            <w:tcBorders>
              <w:bottom w:val="single" w:sz="4" w:space="0" w:color="auto"/>
            </w:tcBorders>
            <w:shd w:val="clear" w:color="auto" w:fill="auto"/>
            <w:vAlign w:val="center"/>
          </w:tcPr>
          <w:p w14:paraId="1F70C2F0" w14:textId="77777777" w:rsidR="002056CD" w:rsidRPr="00CE28E3" w:rsidRDefault="002056CD" w:rsidP="004C2EF0">
            <w:pPr>
              <w:pStyle w:val="TableText0"/>
              <w:keepNext/>
              <w:jc w:val="center"/>
              <w:rPr>
                <w:lang w:val="en-US"/>
              </w:rPr>
            </w:pPr>
            <w:r>
              <w:rPr>
                <w:lang w:val="en-US"/>
              </w:rPr>
              <w:t>3746</w:t>
            </w:r>
          </w:p>
        </w:tc>
        <w:tc>
          <w:tcPr>
            <w:tcW w:w="868" w:type="pct"/>
            <w:tcBorders>
              <w:bottom w:val="single" w:sz="4" w:space="0" w:color="auto"/>
            </w:tcBorders>
            <w:shd w:val="clear" w:color="auto" w:fill="auto"/>
            <w:vAlign w:val="center"/>
          </w:tcPr>
          <w:p w14:paraId="6339AF43" w14:textId="2A44FAFE" w:rsidR="002056CD" w:rsidRPr="00CE28E3" w:rsidRDefault="00984D54" w:rsidP="004C2EF0">
            <w:pPr>
              <w:pStyle w:val="TableText0"/>
              <w:keepNext/>
              <w:jc w:val="center"/>
              <w:rPr>
                <w:i/>
                <w:lang w:val="en-US"/>
              </w:rPr>
            </w:pPr>
            <w:r w:rsidRPr="00984D54">
              <w:rPr>
                <w:lang w:val="en-US"/>
              </w:rPr>
              <w:t>Sestak 2019</w:t>
            </w:r>
            <w:r w:rsidR="00820442">
              <w:rPr>
                <w:lang w:val="en-US"/>
              </w:rPr>
              <w:t xml:space="preserve"> </w:t>
            </w:r>
            <w:r w:rsidR="00820442">
              <w:rPr>
                <w:lang w:val="en-US"/>
              </w:rPr>
              <w:br/>
            </w:r>
            <w:r w:rsidR="002056CD">
              <w:rPr>
                <w:lang w:val="en-US"/>
              </w:rPr>
              <w:t>10y fu</w:t>
            </w:r>
          </w:p>
        </w:tc>
        <w:tc>
          <w:tcPr>
            <w:tcW w:w="934" w:type="pct"/>
            <w:tcBorders>
              <w:bottom w:val="single" w:sz="4" w:space="0" w:color="auto"/>
            </w:tcBorders>
            <w:shd w:val="clear" w:color="auto" w:fill="auto"/>
            <w:vAlign w:val="center"/>
          </w:tcPr>
          <w:p w14:paraId="37058CAF" w14:textId="77777777" w:rsidR="002056CD" w:rsidRPr="00CE28E3" w:rsidRDefault="002056CD" w:rsidP="004C2EF0">
            <w:pPr>
              <w:pStyle w:val="TableText0"/>
              <w:keepNext/>
              <w:jc w:val="center"/>
              <w:rPr>
                <w:lang w:val="en-US"/>
              </w:rPr>
            </w:pPr>
            <w:r>
              <w:rPr>
                <w:lang w:val="en-US"/>
              </w:rPr>
              <w:t>Pre &amp; postmenopausal ER+, HER2- breast cancer patients</w:t>
            </w:r>
          </w:p>
        </w:tc>
        <w:tc>
          <w:tcPr>
            <w:tcW w:w="738" w:type="pct"/>
            <w:tcBorders>
              <w:bottom w:val="single" w:sz="4" w:space="0" w:color="auto"/>
            </w:tcBorders>
            <w:shd w:val="clear" w:color="auto" w:fill="auto"/>
            <w:vAlign w:val="center"/>
          </w:tcPr>
          <w:p w14:paraId="6AF2EC44" w14:textId="77777777" w:rsidR="002056CD" w:rsidRPr="00CE28E3" w:rsidRDefault="002056CD" w:rsidP="004C2EF0">
            <w:pPr>
              <w:pStyle w:val="TableText0"/>
              <w:keepNext/>
              <w:jc w:val="center"/>
              <w:rPr>
                <w:lang w:val="en-US"/>
              </w:rPr>
            </w:pPr>
            <w:r>
              <w:rPr>
                <w:lang w:val="en-US"/>
              </w:rPr>
              <w:t>Predictive treatment effect; DRFI for ET alone &amp; ET+C</w:t>
            </w:r>
          </w:p>
        </w:tc>
        <w:tc>
          <w:tcPr>
            <w:tcW w:w="915" w:type="pct"/>
            <w:tcBorders>
              <w:bottom w:val="single" w:sz="4" w:space="0" w:color="auto"/>
            </w:tcBorders>
            <w:shd w:val="clear" w:color="auto" w:fill="auto"/>
            <w:vAlign w:val="center"/>
          </w:tcPr>
          <w:p w14:paraId="045ECC9E" w14:textId="69DF0245" w:rsidR="002056CD" w:rsidRPr="00CE28E3" w:rsidRDefault="007C3DB1" w:rsidP="004C2EF0">
            <w:pPr>
              <w:pStyle w:val="TableText0"/>
              <w:keepNext/>
              <w:jc w:val="center"/>
              <w:rPr>
                <w:lang w:val="en-US"/>
              </w:rPr>
            </w:pPr>
            <w:r>
              <w:rPr>
                <w:lang w:val="en-US"/>
              </w:rPr>
              <w:t>Yes</w:t>
            </w:r>
          </w:p>
        </w:tc>
      </w:tr>
      <w:tr w:rsidR="00984D54" w:rsidRPr="00CE28E3" w14:paraId="1A72C3F7" w14:textId="77777777" w:rsidTr="004C2EF0">
        <w:trPr>
          <w:cantSplit/>
        </w:trPr>
        <w:tc>
          <w:tcPr>
            <w:tcW w:w="1310" w:type="pct"/>
            <w:shd w:val="clear" w:color="auto" w:fill="auto"/>
            <w:vAlign w:val="center"/>
          </w:tcPr>
          <w:p w14:paraId="79CF9027" w14:textId="485FA502" w:rsidR="002056CD" w:rsidRPr="003F1271" w:rsidRDefault="00984D54" w:rsidP="004C2EF0">
            <w:pPr>
              <w:pStyle w:val="TableText0"/>
              <w:keepNext/>
              <w:rPr>
                <w:i/>
                <w:iCs/>
                <w:lang w:val="en-US"/>
              </w:rPr>
            </w:pPr>
            <w:r w:rsidRPr="003F1271">
              <w:rPr>
                <w:i/>
                <w:iCs/>
                <w:lang w:val="en-US"/>
              </w:rPr>
              <w:t>Prospective comparative cohort</w:t>
            </w:r>
          </w:p>
        </w:tc>
        <w:tc>
          <w:tcPr>
            <w:tcW w:w="235" w:type="pct"/>
            <w:shd w:val="clear" w:color="auto" w:fill="auto"/>
            <w:vAlign w:val="center"/>
          </w:tcPr>
          <w:p w14:paraId="2ADA14BE" w14:textId="77777777" w:rsidR="002056CD" w:rsidRPr="003F1271" w:rsidRDefault="002056CD" w:rsidP="004C2EF0">
            <w:pPr>
              <w:pStyle w:val="TableText0"/>
              <w:keepNext/>
              <w:jc w:val="center"/>
              <w:rPr>
                <w:i/>
                <w:iCs/>
                <w:lang w:val="en-US"/>
              </w:rPr>
            </w:pPr>
            <w:r w:rsidRPr="003F1271">
              <w:rPr>
                <w:i/>
                <w:iCs/>
                <w:lang w:val="en-US"/>
              </w:rPr>
              <w:t>373</w:t>
            </w:r>
          </w:p>
        </w:tc>
        <w:tc>
          <w:tcPr>
            <w:tcW w:w="868" w:type="pct"/>
            <w:shd w:val="clear" w:color="auto" w:fill="auto"/>
            <w:vAlign w:val="center"/>
          </w:tcPr>
          <w:p w14:paraId="28BFE2FB" w14:textId="335DA7F5" w:rsidR="002056CD" w:rsidRPr="003F1271" w:rsidRDefault="00984D54" w:rsidP="004C2EF0">
            <w:pPr>
              <w:pStyle w:val="TableText0"/>
              <w:keepNext/>
              <w:jc w:val="center"/>
              <w:rPr>
                <w:i/>
                <w:iCs/>
                <w:lang w:val="en-US"/>
              </w:rPr>
            </w:pPr>
            <w:r w:rsidRPr="00984D54">
              <w:rPr>
                <w:i/>
                <w:iCs/>
                <w:lang w:val="en-US"/>
              </w:rPr>
              <w:t>Ettl 2020</w:t>
            </w:r>
            <w:r w:rsidR="00820442">
              <w:rPr>
                <w:i/>
                <w:iCs/>
                <w:lang w:val="en-US"/>
              </w:rPr>
              <w:t xml:space="preserve"> </w:t>
            </w:r>
            <w:r w:rsidR="00820442">
              <w:rPr>
                <w:i/>
                <w:iCs/>
                <w:lang w:val="en-US"/>
              </w:rPr>
              <w:br/>
            </w:r>
            <w:r w:rsidR="002056CD" w:rsidRPr="003F1271">
              <w:rPr>
                <w:i/>
                <w:iCs/>
                <w:lang w:val="en-US"/>
              </w:rPr>
              <w:t>41.6m fu</w:t>
            </w:r>
          </w:p>
        </w:tc>
        <w:tc>
          <w:tcPr>
            <w:tcW w:w="934" w:type="pct"/>
            <w:shd w:val="clear" w:color="auto" w:fill="auto"/>
            <w:vAlign w:val="center"/>
          </w:tcPr>
          <w:p w14:paraId="64739238" w14:textId="77777777" w:rsidR="002056CD" w:rsidRPr="003F1271" w:rsidRDefault="002056CD" w:rsidP="004C2EF0">
            <w:pPr>
              <w:pStyle w:val="TableText0"/>
              <w:keepNext/>
              <w:jc w:val="center"/>
              <w:rPr>
                <w:i/>
                <w:iCs/>
                <w:lang w:val="en-US"/>
              </w:rPr>
            </w:pPr>
            <w:r w:rsidRPr="003F1271">
              <w:rPr>
                <w:i/>
                <w:iCs/>
                <w:lang w:val="en-US"/>
              </w:rPr>
              <w:t>ER+, HER- breast cancer</w:t>
            </w:r>
          </w:p>
        </w:tc>
        <w:tc>
          <w:tcPr>
            <w:tcW w:w="738" w:type="pct"/>
            <w:shd w:val="clear" w:color="auto" w:fill="auto"/>
            <w:vAlign w:val="center"/>
          </w:tcPr>
          <w:p w14:paraId="40BD62C8" w14:textId="77777777" w:rsidR="002056CD" w:rsidRPr="003F1271" w:rsidRDefault="002056CD" w:rsidP="004C2EF0">
            <w:pPr>
              <w:pStyle w:val="TableText0"/>
              <w:keepNext/>
              <w:jc w:val="center"/>
              <w:rPr>
                <w:i/>
                <w:iCs/>
                <w:lang w:val="en-US"/>
              </w:rPr>
            </w:pPr>
            <w:r w:rsidRPr="003F1271">
              <w:rPr>
                <w:i/>
                <w:iCs/>
                <w:lang w:val="en-US"/>
              </w:rPr>
              <w:t>DR following EPclin directed treatment; predictive treatment effect</w:t>
            </w:r>
          </w:p>
        </w:tc>
        <w:tc>
          <w:tcPr>
            <w:tcW w:w="915" w:type="pct"/>
            <w:shd w:val="clear" w:color="auto" w:fill="auto"/>
            <w:vAlign w:val="center"/>
          </w:tcPr>
          <w:p w14:paraId="3C8376D6" w14:textId="30EA1186" w:rsidR="002056CD" w:rsidRPr="003F1271" w:rsidRDefault="007C3DB1" w:rsidP="004C2EF0">
            <w:pPr>
              <w:pStyle w:val="TableText0"/>
              <w:keepNext/>
              <w:jc w:val="center"/>
              <w:rPr>
                <w:i/>
                <w:iCs/>
                <w:lang w:val="en-US"/>
              </w:rPr>
            </w:pPr>
            <w:r>
              <w:rPr>
                <w:i/>
                <w:iCs/>
                <w:lang w:val="en-US"/>
              </w:rPr>
              <w:t>-</w:t>
            </w:r>
          </w:p>
        </w:tc>
      </w:tr>
      <w:tr w:rsidR="00984D54" w:rsidRPr="00CE28E3" w14:paraId="552D5A55" w14:textId="77777777" w:rsidTr="004C2EF0">
        <w:trPr>
          <w:cantSplit/>
        </w:trPr>
        <w:tc>
          <w:tcPr>
            <w:tcW w:w="1310" w:type="pct"/>
            <w:shd w:val="clear" w:color="auto" w:fill="auto"/>
            <w:vAlign w:val="center"/>
          </w:tcPr>
          <w:p w14:paraId="3FD49480" w14:textId="3CDD099E" w:rsidR="002056CD" w:rsidRPr="003F1271" w:rsidRDefault="00984D54" w:rsidP="004C2EF0">
            <w:pPr>
              <w:pStyle w:val="TableText0"/>
              <w:keepNext/>
              <w:rPr>
                <w:i/>
                <w:iCs/>
                <w:lang w:val="en-US"/>
              </w:rPr>
            </w:pPr>
            <w:r w:rsidRPr="003F1271">
              <w:rPr>
                <w:i/>
                <w:iCs/>
                <w:lang w:val="en-US"/>
              </w:rPr>
              <w:t xml:space="preserve">MC, prospective single arm </w:t>
            </w:r>
            <w:r w:rsidR="0098335E">
              <w:rPr>
                <w:i/>
                <w:iCs/>
                <w:lang w:val="en-US"/>
              </w:rPr>
              <w:t>study</w:t>
            </w:r>
          </w:p>
        </w:tc>
        <w:tc>
          <w:tcPr>
            <w:tcW w:w="235" w:type="pct"/>
            <w:shd w:val="clear" w:color="auto" w:fill="auto"/>
            <w:vAlign w:val="center"/>
          </w:tcPr>
          <w:p w14:paraId="5951CE10" w14:textId="77777777" w:rsidR="002056CD" w:rsidRPr="003F1271" w:rsidRDefault="002056CD" w:rsidP="004C2EF0">
            <w:pPr>
              <w:pStyle w:val="TableText0"/>
              <w:keepNext/>
              <w:jc w:val="center"/>
              <w:rPr>
                <w:i/>
                <w:iCs/>
                <w:lang w:val="en-US"/>
              </w:rPr>
            </w:pPr>
            <w:r w:rsidRPr="003F1271">
              <w:rPr>
                <w:i/>
                <w:iCs/>
                <w:lang w:val="en-US"/>
              </w:rPr>
              <w:t>200</w:t>
            </w:r>
          </w:p>
        </w:tc>
        <w:tc>
          <w:tcPr>
            <w:tcW w:w="868" w:type="pct"/>
            <w:shd w:val="clear" w:color="auto" w:fill="auto"/>
            <w:vAlign w:val="center"/>
          </w:tcPr>
          <w:p w14:paraId="6B26BBAA" w14:textId="2B0138FF" w:rsidR="002056CD" w:rsidRPr="003F1271" w:rsidRDefault="00984D54" w:rsidP="004C2EF0">
            <w:pPr>
              <w:pStyle w:val="TableText0"/>
              <w:keepNext/>
              <w:jc w:val="center"/>
              <w:rPr>
                <w:i/>
                <w:iCs/>
                <w:lang w:val="en-US"/>
              </w:rPr>
            </w:pPr>
            <w:r w:rsidRPr="00984D54">
              <w:rPr>
                <w:i/>
                <w:iCs/>
                <w:lang w:val="en-US"/>
              </w:rPr>
              <w:t>Penault-Llorca 2021</w:t>
            </w:r>
            <w:r w:rsidR="00820442">
              <w:rPr>
                <w:i/>
                <w:iCs/>
                <w:lang w:val="en-US"/>
              </w:rPr>
              <w:t xml:space="preserve"> </w:t>
            </w:r>
            <w:r w:rsidR="00820442">
              <w:rPr>
                <w:i/>
                <w:iCs/>
                <w:lang w:val="en-US"/>
              </w:rPr>
              <w:br/>
            </w:r>
            <w:r w:rsidR="002056CD" w:rsidRPr="003F1271">
              <w:rPr>
                <w:i/>
                <w:iCs/>
                <w:lang w:val="en-US"/>
              </w:rPr>
              <w:t>1y fu</w:t>
            </w:r>
          </w:p>
        </w:tc>
        <w:tc>
          <w:tcPr>
            <w:tcW w:w="934" w:type="pct"/>
            <w:shd w:val="clear" w:color="auto" w:fill="auto"/>
            <w:vAlign w:val="center"/>
          </w:tcPr>
          <w:p w14:paraId="47FA65F6" w14:textId="77777777" w:rsidR="002056CD" w:rsidRPr="003F1271" w:rsidRDefault="002056CD" w:rsidP="004C2EF0">
            <w:pPr>
              <w:pStyle w:val="TableText0"/>
              <w:keepNext/>
              <w:jc w:val="center"/>
              <w:rPr>
                <w:i/>
                <w:iCs/>
                <w:lang w:val="en-US"/>
              </w:rPr>
            </w:pPr>
            <w:r w:rsidRPr="003F1271">
              <w:rPr>
                <w:i/>
                <w:iCs/>
                <w:lang w:val="en-US"/>
              </w:rPr>
              <w:t>ER+, HER2- early breast cancer</w:t>
            </w:r>
          </w:p>
        </w:tc>
        <w:tc>
          <w:tcPr>
            <w:tcW w:w="738" w:type="pct"/>
            <w:shd w:val="clear" w:color="auto" w:fill="auto"/>
            <w:vAlign w:val="center"/>
          </w:tcPr>
          <w:p w14:paraId="6C267C49" w14:textId="77777777" w:rsidR="002056CD" w:rsidRPr="003F1271" w:rsidRDefault="002056CD" w:rsidP="004C2EF0">
            <w:pPr>
              <w:pStyle w:val="TableText0"/>
              <w:keepNext/>
              <w:jc w:val="center"/>
              <w:rPr>
                <w:i/>
                <w:iCs/>
                <w:lang w:val="en-US"/>
              </w:rPr>
            </w:pPr>
            <w:r w:rsidRPr="003F1271">
              <w:rPr>
                <w:i/>
                <w:iCs/>
                <w:lang w:val="en-US"/>
              </w:rPr>
              <w:t>Change in management; psychological impact of decision making</w:t>
            </w:r>
          </w:p>
        </w:tc>
        <w:tc>
          <w:tcPr>
            <w:tcW w:w="915" w:type="pct"/>
            <w:shd w:val="clear" w:color="auto" w:fill="auto"/>
            <w:vAlign w:val="center"/>
          </w:tcPr>
          <w:p w14:paraId="1B7AE845" w14:textId="49CC3A2B" w:rsidR="002056CD" w:rsidRPr="003F1271" w:rsidRDefault="007C3DB1" w:rsidP="004C2EF0">
            <w:pPr>
              <w:pStyle w:val="TableText0"/>
              <w:keepNext/>
              <w:jc w:val="center"/>
              <w:rPr>
                <w:i/>
                <w:iCs/>
                <w:lang w:val="en-US"/>
              </w:rPr>
            </w:pPr>
            <w:r>
              <w:rPr>
                <w:i/>
                <w:iCs/>
                <w:lang w:val="en-US"/>
              </w:rPr>
              <w:t>-</w:t>
            </w:r>
          </w:p>
        </w:tc>
      </w:tr>
      <w:tr w:rsidR="00984D54" w:rsidRPr="00CE28E3" w14:paraId="26C63BFE" w14:textId="77777777" w:rsidTr="004C2EF0">
        <w:trPr>
          <w:cantSplit/>
        </w:trPr>
        <w:tc>
          <w:tcPr>
            <w:tcW w:w="1310" w:type="pct"/>
            <w:shd w:val="clear" w:color="auto" w:fill="auto"/>
            <w:vAlign w:val="center"/>
          </w:tcPr>
          <w:p w14:paraId="6C4846AB" w14:textId="1632EC80" w:rsidR="00984D54" w:rsidRPr="003F1271" w:rsidRDefault="00984D54" w:rsidP="004C2EF0">
            <w:pPr>
              <w:pStyle w:val="TableText0"/>
              <w:keepNext/>
              <w:rPr>
                <w:i/>
                <w:iCs/>
                <w:lang w:val="en-US"/>
              </w:rPr>
            </w:pPr>
            <w:r w:rsidRPr="003F1271">
              <w:rPr>
                <w:i/>
                <w:iCs/>
                <w:lang w:val="en-US"/>
              </w:rPr>
              <w:t xml:space="preserve">PROSPER </w:t>
            </w:r>
            <w:r w:rsidR="0098335E">
              <w:rPr>
                <w:i/>
                <w:iCs/>
                <w:lang w:val="en-US"/>
              </w:rPr>
              <w:t>study</w:t>
            </w:r>
          </w:p>
          <w:p w14:paraId="47EF62B8" w14:textId="68F4640E" w:rsidR="002056CD" w:rsidRPr="003F1271" w:rsidRDefault="00984D54" w:rsidP="004C2EF0">
            <w:pPr>
              <w:pStyle w:val="TableText0"/>
              <w:keepNext/>
              <w:rPr>
                <w:i/>
                <w:iCs/>
                <w:lang w:val="en-US"/>
              </w:rPr>
            </w:pPr>
            <w:r w:rsidRPr="003F1271">
              <w:rPr>
                <w:i/>
                <w:iCs/>
                <w:lang w:val="en-US"/>
              </w:rPr>
              <w:t>2 cohort single arm analyses</w:t>
            </w:r>
          </w:p>
        </w:tc>
        <w:tc>
          <w:tcPr>
            <w:tcW w:w="235" w:type="pct"/>
            <w:shd w:val="clear" w:color="auto" w:fill="auto"/>
            <w:vAlign w:val="center"/>
          </w:tcPr>
          <w:p w14:paraId="45AAFFA4" w14:textId="77777777" w:rsidR="002056CD" w:rsidRPr="003F1271" w:rsidRDefault="002056CD" w:rsidP="004C2EF0">
            <w:pPr>
              <w:pStyle w:val="TableText0"/>
              <w:keepNext/>
              <w:jc w:val="center"/>
              <w:rPr>
                <w:i/>
                <w:iCs/>
                <w:lang w:val="en-US"/>
              </w:rPr>
            </w:pPr>
            <w:r w:rsidRPr="003F1271">
              <w:rPr>
                <w:i/>
                <w:iCs/>
                <w:lang w:val="en-US"/>
              </w:rPr>
              <w:t>233</w:t>
            </w:r>
          </w:p>
        </w:tc>
        <w:tc>
          <w:tcPr>
            <w:tcW w:w="868" w:type="pct"/>
            <w:shd w:val="clear" w:color="auto" w:fill="auto"/>
            <w:vAlign w:val="center"/>
          </w:tcPr>
          <w:p w14:paraId="4FF4A1F5" w14:textId="63FF8A1D" w:rsidR="002056CD" w:rsidRPr="003F1271" w:rsidRDefault="00984D54" w:rsidP="004C2EF0">
            <w:pPr>
              <w:pStyle w:val="TableText0"/>
              <w:keepNext/>
              <w:jc w:val="center"/>
              <w:rPr>
                <w:i/>
                <w:iCs/>
                <w:lang w:val="en-US"/>
              </w:rPr>
            </w:pPr>
            <w:r w:rsidRPr="00984D54">
              <w:rPr>
                <w:i/>
                <w:iCs/>
                <w:lang w:val="en-US"/>
              </w:rPr>
              <w:t>Dinh 202</w:t>
            </w:r>
            <w:r w:rsidR="001E5F60">
              <w:rPr>
                <w:i/>
                <w:iCs/>
                <w:lang w:val="en-US"/>
              </w:rPr>
              <w:t>2</w:t>
            </w:r>
            <w:r w:rsidR="00820442">
              <w:rPr>
                <w:i/>
                <w:iCs/>
                <w:lang w:val="en-US"/>
              </w:rPr>
              <w:t xml:space="preserve"> </w:t>
            </w:r>
            <w:r w:rsidR="00820442">
              <w:rPr>
                <w:i/>
                <w:iCs/>
                <w:lang w:val="en-US"/>
              </w:rPr>
              <w:br/>
            </w:r>
            <w:r w:rsidR="0098335E">
              <w:rPr>
                <w:i/>
                <w:iCs/>
                <w:lang w:val="en-US"/>
              </w:rPr>
              <w:t>f</w:t>
            </w:r>
            <w:r w:rsidR="002056CD" w:rsidRPr="003F1271">
              <w:rPr>
                <w:i/>
                <w:iCs/>
                <w:lang w:val="en-US"/>
              </w:rPr>
              <w:t>u not reported</w:t>
            </w:r>
          </w:p>
        </w:tc>
        <w:tc>
          <w:tcPr>
            <w:tcW w:w="934" w:type="pct"/>
            <w:shd w:val="clear" w:color="auto" w:fill="auto"/>
            <w:vAlign w:val="center"/>
          </w:tcPr>
          <w:p w14:paraId="76F617E1" w14:textId="77777777" w:rsidR="002056CD" w:rsidRPr="003F1271" w:rsidRDefault="002056CD" w:rsidP="004C2EF0">
            <w:pPr>
              <w:pStyle w:val="TableText0"/>
              <w:keepNext/>
              <w:jc w:val="center"/>
              <w:rPr>
                <w:i/>
                <w:iCs/>
                <w:lang w:val="en-US"/>
              </w:rPr>
            </w:pPr>
            <w:r w:rsidRPr="003F1271">
              <w:rPr>
                <w:i/>
                <w:iCs/>
                <w:lang w:val="en-US"/>
              </w:rPr>
              <w:t>Pre &amp; postmenopausal ER+, HER2- early breast cancer</w:t>
            </w:r>
          </w:p>
        </w:tc>
        <w:tc>
          <w:tcPr>
            <w:tcW w:w="738" w:type="pct"/>
            <w:shd w:val="clear" w:color="auto" w:fill="auto"/>
            <w:vAlign w:val="center"/>
          </w:tcPr>
          <w:p w14:paraId="59FF17CF" w14:textId="77777777" w:rsidR="002056CD" w:rsidRPr="003F1271" w:rsidRDefault="002056CD" w:rsidP="004C2EF0">
            <w:pPr>
              <w:pStyle w:val="TableText0"/>
              <w:keepNext/>
              <w:jc w:val="center"/>
              <w:rPr>
                <w:i/>
                <w:iCs/>
                <w:lang w:val="en-US"/>
              </w:rPr>
            </w:pPr>
            <w:r w:rsidRPr="003F1271">
              <w:rPr>
                <w:i/>
                <w:iCs/>
                <w:lang w:val="en-US"/>
              </w:rPr>
              <w:t>Change in management</w:t>
            </w:r>
          </w:p>
        </w:tc>
        <w:tc>
          <w:tcPr>
            <w:tcW w:w="915" w:type="pct"/>
            <w:shd w:val="clear" w:color="auto" w:fill="auto"/>
            <w:vAlign w:val="center"/>
          </w:tcPr>
          <w:p w14:paraId="2A4150D1" w14:textId="2BFCAE84" w:rsidR="002056CD" w:rsidRPr="003F1271" w:rsidRDefault="007C3DB1" w:rsidP="004C2EF0">
            <w:pPr>
              <w:pStyle w:val="TableText0"/>
              <w:keepNext/>
              <w:jc w:val="center"/>
              <w:rPr>
                <w:i/>
                <w:iCs/>
                <w:lang w:val="en-US"/>
              </w:rPr>
            </w:pPr>
            <w:r>
              <w:rPr>
                <w:i/>
                <w:iCs/>
                <w:lang w:val="en-US"/>
              </w:rPr>
              <w:t>Yes</w:t>
            </w:r>
          </w:p>
        </w:tc>
      </w:tr>
      <w:tr w:rsidR="002056CD" w:rsidRPr="00454CAC" w14:paraId="57A86B6F" w14:textId="77777777" w:rsidTr="006B0BCC">
        <w:trPr>
          <w:cantSplit/>
        </w:trPr>
        <w:tc>
          <w:tcPr>
            <w:tcW w:w="5000" w:type="pct"/>
            <w:gridSpan w:val="6"/>
            <w:shd w:val="clear" w:color="auto" w:fill="auto"/>
            <w:vAlign w:val="center"/>
          </w:tcPr>
          <w:p w14:paraId="1DF83F7D" w14:textId="3329E0E4" w:rsidR="002056CD" w:rsidRPr="00454CAC" w:rsidRDefault="00D50E5C" w:rsidP="004C2EF0">
            <w:pPr>
              <w:pStyle w:val="TableText0"/>
              <w:keepNext/>
              <w:rPr>
                <w:b/>
                <w:lang w:val="en-US"/>
              </w:rPr>
            </w:pPr>
            <w:r>
              <w:rPr>
                <w:b/>
                <w:lang w:val="en-US"/>
              </w:rPr>
              <w:t>EndoPredict</w:t>
            </w:r>
            <w:r w:rsidR="005F1260" w:rsidRPr="005F1260">
              <w:rPr>
                <w:b/>
                <w:vertAlign w:val="superscript"/>
                <w:lang w:val="en-US"/>
              </w:rPr>
              <w:t>®</w:t>
            </w:r>
            <w:r w:rsidR="002056CD" w:rsidRPr="00454CAC">
              <w:rPr>
                <w:b/>
                <w:lang w:val="en-US"/>
              </w:rPr>
              <w:t xml:space="preserve"> vs guidelines</w:t>
            </w:r>
          </w:p>
        </w:tc>
      </w:tr>
      <w:tr w:rsidR="00984D54" w:rsidRPr="00CE28E3" w14:paraId="0D736B10" w14:textId="77777777" w:rsidTr="004C2EF0">
        <w:trPr>
          <w:cantSplit/>
        </w:trPr>
        <w:tc>
          <w:tcPr>
            <w:tcW w:w="1310" w:type="pct"/>
            <w:shd w:val="clear" w:color="auto" w:fill="auto"/>
            <w:vAlign w:val="center"/>
          </w:tcPr>
          <w:p w14:paraId="4A1B6995" w14:textId="77777777" w:rsidR="00984D54" w:rsidRDefault="00984D54" w:rsidP="004C2EF0">
            <w:pPr>
              <w:pStyle w:val="TableText0"/>
              <w:keepNext/>
              <w:rPr>
                <w:lang w:val="en-US"/>
              </w:rPr>
            </w:pPr>
            <w:r>
              <w:rPr>
                <w:lang w:val="en-US"/>
              </w:rPr>
              <w:t xml:space="preserve">ABCSG 6, 8 trials </w:t>
            </w:r>
          </w:p>
          <w:p w14:paraId="732E7709" w14:textId="0963E2DA" w:rsidR="002056CD" w:rsidRPr="00CE28E3" w:rsidRDefault="00984D54" w:rsidP="004C2EF0">
            <w:pPr>
              <w:pStyle w:val="TableText0"/>
              <w:keepNext/>
              <w:rPr>
                <w:lang w:val="en-US"/>
              </w:rPr>
            </w:pPr>
            <w:r>
              <w:rPr>
                <w:lang w:val="en-US"/>
              </w:rPr>
              <w:t>R single</w:t>
            </w:r>
            <w:r w:rsidR="004C2EF0">
              <w:rPr>
                <w:lang w:val="en-US"/>
              </w:rPr>
              <w:t>-</w:t>
            </w:r>
            <w:r>
              <w:rPr>
                <w:lang w:val="en-US"/>
              </w:rPr>
              <w:t>arm analyses</w:t>
            </w:r>
          </w:p>
        </w:tc>
        <w:tc>
          <w:tcPr>
            <w:tcW w:w="235" w:type="pct"/>
            <w:shd w:val="clear" w:color="auto" w:fill="auto"/>
            <w:vAlign w:val="center"/>
          </w:tcPr>
          <w:p w14:paraId="58997BD2" w14:textId="77777777" w:rsidR="002056CD" w:rsidRPr="00CE28E3" w:rsidRDefault="002056CD" w:rsidP="004C2EF0">
            <w:pPr>
              <w:pStyle w:val="TableText0"/>
              <w:keepNext/>
              <w:jc w:val="center"/>
              <w:rPr>
                <w:lang w:val="en-US"/>
              </w:rPr>
            </w:pPr>
            <w:r>
              <w:rPr>
                <w:lang w:val="en-US"/>
              </w:rPr>
              <w:t>1702</w:t>
            </w:r>
          </w:p>
        </w:tc>
        <w:tc>
          <w:tcPr>
            <w:tcW w:w="868" w:type="pct"/>
            <w:shd w:val="clear" w:color="auto" w:fill="auto"/>
            <w:vAlign w:val="center"/>
          </w:tcPr>
          <w:p w14:paraId="33D61E98" w14:textId="668A1A05" w:rsidR="002056CD" w:rsidRPr="00CE28E3" w:rsidRDefault="00984D54" w:rsidP="004C2EF0">
            <w:pPr>
              <w:pStyle w:val="TableText0"/>
              <w:keepNext/>
              <w:jc w:val="center"/>
              <w:rPr>
                <w:lang w:val="en-US"/>
              </w:rPr>
            </w:pPr>
            <w:r w:rsidRPr="00984D54">
              <w:rPr>
                <w:lang w:val="en-US"/>
              </w:rPr>
              <w:t>Dubsky 2013a</w:t>
            </w:r>
            <w:r w:rsidR="00820442">
              <w:rPr>
                <w:lang w:val="en-US"/>
              </w:rPr>
              <w:t xml:space="preserve"> </w:t>
            </w:r>
            <w:r w:rsidR="00820442">
              <w:rPr>
                <w:lang w:val="en-US"/>
              </w:rPr>
              <w:br/>
            </w:r>
            <w:r w:rsidR="002056CD">
              <w:rPr>
                <w:lang w:val="en-US"/>
              </w:rPr>
              <w:t>10y fu</w:t>
            </w:r>
          </w:p>
        </w:tc>
        <w:tc>
          <w:tcPr>
            <w:tcW w:w="934" w:type="pct"/>
            <w:shd w:val="clear" w:color="auto" w:fill="auto"/>
            <w:vAlign w:val="center"/>
          </w:tcPr>
          <w:p w14:paraId="38606B09" w14:textId="77777777" w:rsidR="002056CD" w:rsidRPr="00CE28E3" w:rsidRDefault="002056CD" w:rsidP="004C2EF0">
            <w:pPr>
              <w:pStyle w:val="TableText0"/>
              <w:keepNext/>
              <w:jc w:val="center"/>
              <w:rPr>
                <w:lang w:val="en-US"/>
              </w:rPr>
            </w:pPr>
            <w:r>
              <w:rPr>
                <w:lang w:val="en-US"/>
              </w:rPr>
              <w:t>Postmenopausal ER+, HER2- breast cancer patients</w:t>
            </w:r>
          </w:p>
        </w:tc>
        <w:tc>
          <w:tcPr>
            <w:tcW w:w="738" w:type="pct"/>
            <w:shd w:val="clear" w:color="auto" w:fill="auto"/>
            <w:vAlign w:val="center"/>
          </w:tcPr>
          <w:p w14:paraId="65F70C7D" w14:textId="77777777" w:rsidR="002056CD" w:rsidRPr="00CE28E3" w:rsidRDefault="002056CD" w:rsidP="004C2EF0">
            <w:pPr>
              <w:pStyle w:val="TableText0"/>
              <w:keepNext/>
              <w:jc w:val="center"/>
              <w:rPr>
                <w:lang w:val="en-US"/>
              </w:rPr>
            </w:pPr>
            <w:r>
              <w:rPr>
                <w:lang w:val="en-US"/>
              </w:rPr>
              <w:t>DR</w:t>
            </w:r>
          </w:p>
        </w:tc>
        <w:tc>
          <w:tcPr>
            <w:tcW w:w="915" w:type="pct"/>
            <w:shd w:val="clear" w:color="auto" w:fill="auto"/>
            <w:vAlign w:val="center"/>
          </w:tcPr>
          <w:p w14:paraId="51A6F78B" w14:textId="330BFD9E" w:rsidR="002056CD" w:rsidRPr="00CE28E3" w:rsidRDefault="007C3DB1" w:rsidP="004C2EF0">
            <w:pPr>
              <w:pStyle w:val="TableText0"/>
              <w:keepNext/>
              <w:jc w:val="center"/>
              <w:rPr>
                <w:lang w:val="en-US"/>
              </w:rPr>
            </w:pPr>
            <w:r>
              <w:rPr>
                <w:lang w:val="en-US"/>
              </w:rPr>
              <w:t>-</w:t>
            </w:r>
          </w:p>
        </w:tc>
      </w:tr>
      <w:tr w:rsidR="002056CD" w:rsidRPr="00CE28E3" w14:paraId="47B442E2" w14:textId="77777777" w:rsidTr="006B0BCC">
        <w:trPr>
          <w:cantSplit/>
        </w:trPr>
        <w:tc>
          <w:tcPr>
            <w:tcW w:w="5000" w:type="pct"/>
            <w:gridSpan w:val="6"/>
            <w:shd w:val="clear" w:color="auto" w:fill="auto"/>
            <w:vAlign w:val="center"/>
          </w:tcPr>
          <w:p w14:paraId="1FDEF6F1" w14:textId="68A54A11" w:rsidR="002056CD" w:rsidRPr="00454CAC" w:rsidRDefault="00D50E5C" w:rsidP="004C2EF0">
            <w:pPr>
              <w:pStyle w:val="TableText0"/>
              <w:keepNext/>
              <w:rPr>
                <w:b/>
                <w:lang w:val="en-US"/>
              </w:rPr>
            </w:pPr>
            <w:r>
              <w:rPr>
                <w:b/>
                <w:lang w:val="en-US"/>
              </w:rPr>
              <w:t>EndoPredict</w:t>
            </w:r>
            <w:r w:rsidR="005F1260" w:rsidRPr="005F1260">
              <w:rPr>
                <w:b/>
                <w:vertAlign w:val="superscript"/>
                <w:lang w:val="en-US"/>
              </w:rPr>
              <w:t>®</w:t>
            </w:r>
            <w:r w:rsidR="002056CD" w:rsidRPr="00454CAC">
              <w:rPr>
                <w:b/>
                <w:lang w:val="en-US"/>
              </w:rPr>
              <w:t xml:space="preserve"> vs other GEP</w:t>
            </w:r>
            <w:r w:rsidR="002E7540">
              <w:rPr>
                <w:b/>
                <w:lang w:val="en-US"/>
              </w:rPr>
              <w:t xml:space="preserve"> test</w:t>
            </w:r>
            <w:r w:rsidR="002056CD" w:rsidRPr="00454CAC">
              <w:rPr>
                <w:b/>
                <w:lang w:val="en-US"/>
              </w:rPr>
              <w:t>s</w:t>
            </w:r>
          </w:p>
        </w:tc>
      </w:tr>
      <w:tr w:rsidR="00984D54" w:rsidRPr="00CE28E3" w14:paraId="37141CB0" w14:textId="77777777" w:rsidTr="004C2EF0">
        <w:trPr>
          <w:cantSplit/>
        </w:trPr>
        <w:tc>
          <w:tcPr>
            <w:tcW w:w="1310" w:type="pct"/>
            <w:vMerge w:val="restart"/>
            <w:shd w:val="clear" w:color="auto" w:fill="auto"/>
            <w:vAlign w:val="center"/>
          </w:tcPr>
          <w:p w14:paraId="5B14B716" w14:textId="34409410" w:rsidR="00984D54" w:rsidRDefault="00984D54" w:rsidP="004C2EF0">
            <w:pPr>
              <w:pStyle w:val="TableText0"/>
              <w:keepNext/>
              <w:rPr>
                <w:lang w:val="en-US"/>
              </w:rPr>
            </w:pPr>
            <w:r w:rsidRPr="00984D54">
              <w:rPr>
                <w:lang w:val="en-US"/>
              </w:rPr>
              <w:t xml:space="preserve">TransATAC trials </w:t>
            </w:r>
          </w:p>
          <w:p w14:paraId="6976AEF1" w14:textId="71BF063F" w:rsidR="00984D54" w:rsidRPr="00CE28E3" w:rsidRDefault="00984D54" w:rsidP="004C2EF0">
            <w:pPr>
              <w:pStyle w:val="TableText0"/>
              <w:keepNext/>
              <w:rPr>
                <w:lang w:val="en-US"/>
              </w:rPr>
            </w:pPr>
            <w:r w:rsidRPr="00984D54">
              <w:rPr>
                <w:lang w:val="en-US"/>
              </w:rPr>
              <w:t>R</w:t>
            </w:r>
            <w:r>
              <w:rPr>
                <w:lang w:val="en-US"/>
              </w:rPr>
              <w:t xml:space="preserve"> </w:t>
            </w:r>
            <w:r w:rsidRPr="00984D54">
              <w:rPr>
                <w:lang w:val="en-US"/>
              </w:rPr>
              <w:t>single arm analyses</w:t>
            </w:r>
          </w:p>
        </w:tc>
        <w:tc>
          <w:tcPr>
            <w:tcW w:w="235" w:type="pct"/>
            <w:shd w:val="clear" w:color="auto" w:fill="auto"/>
            <w:vAlign w:val="center"/>
          </w:tcPr>
          <w:p w14:paraId="09224166" w14:textId="77777777" w:rsidR="00984D54" w:rsidRPr="00CE28E3" w:rsidRDefault="00984D54" w:rsidP="004C2EF0">
            <w:pPr>
              <w:pStyle w:val="TableText0"/>
              <w:keepNext/>
              <w:jc w:val="center"/>
              <w:rPr>
                <w:lang w:val="en-US"/>
              </w:rPr>
            </w:pPr>
            <w:r>
              <w:rPr>
                <w:lang w:val="en-US"/>
              </w:rPr>
              <w:t>928</w:t>
            </w:r>
          </w:p>
        </w:tc>
        <w:tc>
          <w:tcPr>
            <w:tcW w:w="868" w:type="pct"/>
            <w:shd w:val="clear" w:color="auto" w:fill="auto"/>
            <w:vAlign w:val="center"/>
          </w:tcPr>
          <w:p w14:paraId="12397533" w14:textId="5B152488" w:rsidR="00984D54" w:rsidRPr="00CE28E3" w:rsidRDefault="00984D54" w:rsidP="004C2EF0">
            <w:pPr>
              <w:pStyle w:val="TableText0"/>
              <w:keepNext/>
              <w:jc w:val="center"/>
              <w:rPr>
                <w:i/>
                <w:lang w:val="en-US"/>
              </w:rPr>
            </w:pPr>
            <w:r w:rsidRPr="00984D54">
              <w:rPr>
                <w:lang w:val="en-US"/>
              </w:rPr>
              <w:t>Buus 2016</w:t>
            </w:r>
            <w:r w:rsidR="00820442">
              <w:rPr>
                <w:lang w:val="en-US"/>
              </w:rPr>
              <w:t xml:space="preserve"> </w:t>
            </w:r>
            <w:r w:rsidR="00820442">
              <w:rPr>
                <w:lang w:val="en-US"/>
              </w:rPr>
              <w:br/>
            </w:r>
            <w:r>
              <w:rPr>
                <w:lang w:val="en-US"/>
              </w:rPr>
              <w:t>10y fu</w:t>
            </w:r>
          </w:p>
        </w:tc>
        <w:tc>
          <w:tcPr>
            <w:tcW w:w="934" w:type="pct"/>
            <w:shd w:val="clear" w:color="auto" w:fill="auto"/>
            <w:vAlign w:val="center"/>
          </w:tcPr>
          <w:p w14:paraId="4151E4B2" w14:textId="77777777" w:rsidR="00984D54" w:rsidRPr="00CE28E3" w:rsidRDefault="00984D54" w:rsidP="004C2EF0">
            <w:pPr>
              <w:pStyle w:val="TableText0"/>
              <w:keepNext/>
              <w:jc w:val="center"/>
              <w:rPr>
                <w:lang w:val="en-US"/>
              </w:rPr>
            </w:pPr>
            <w:r>
              <w:rPr>
                <w:lang w:val="en-US"/>
              </w:rPr>
              <w:t>Postmenopausal ER+, HER2- breast cancer patients</w:t>
            </w:r>
          </w:p>
        </w:tc>
        <w:tc>
          <w:tcPr>
            <w:tcW w:w="738" w:type="pct"/>
            <w:shd w:val="clear" w:color="auto" w:fill="auto"/>
            <w:vAlign w:val="center"/>
          </w:tcPr>
          <w:p w14:paraId="7DBF4FDC" w14:textId="77777777" w:rsidR="00984D54" w:rsidRPr="00CE28E3" w:rsidRDefault="00984D54" w:rsidP="004C2EF0">
            <w:pPr>
              <w:pStyle w:val="TableText0"/>
              <w:keepNext/>
              <w:jc w:val="center"/>
              <w:rPr>
                <w:lang w:val="en-US"/>
              </w:rPr>
            </w:pPr>
            <w:r>
              <w:rPr>
                <w:lang w:val="en-US"/>
              </w:rPr>
              <w:t xml:space="preserve">EP &amp; EPclin prognosis vs RS </w:t>
            </w:r>
          </w:p>
        </w:tc>
        <w:tc>
          <w:tcPr>
            <w:tcW w:w="915" w:type="pct"/>
            <w:shd w:val="clear" w:color="auto" w:fill="auto"/>
            <w:vAlign w:val="center"/>
          </w:tcPr>
          <w:p w14:paraId="2F67AAE7" w14:textId="6F268057" w:rsidR="00984D54" w:rsidRPr="00CE28E3" w:rsidRDefault="007C3DB1" w:rsidP="004C2EF0">
            <w:pPr>
              <w:pStyle w:val="TableText0"/>
              <w:keepNext/>
              <w:jc w:val="center"/>
              <w:rPr>
                <w:lang w:val="en-US"/>
              </w:rPr>
            </w:pPr>
            <w:r>
              <w:rPr>
                <w:lang w:val="en-US"/>
              </w:rPr>
              <w:t>-</w:t>
            </w:r>
          </w:p>
        </w:tc>
      </w:tr>
      <w:tr w:rsidR="00984D54" w:rsidRPr="00CE28E3" w14:paraId="24B43187" w14:textId="77777777" w:rsidTr="004C2EF0">
        <w:trPr>
          <w:cantSplit/>
        </w:trPr>
        <w:tc>
          <w:tcPr>
            <w:tcW w:w="1310" w:type="pct"/>
            <w:vMerge/>
            <w:shd w:val="clear" w:color="auto" w:fill="auto"/>
            <w:vAlign w:val="center"/>
          </w:tcPr>
          <w:p w14:paraId="199D4B54" w14:textId="2D83DF6E" w:rsidR="00984D54" w:rsidRPr="00CE28E3" w:rsidRDefault="00984D54" w:rsidP="004C2EF0">
            <w:pPr>
              <w:pStyle w:val="TableText0"/>
              <w:keepNext/>
              <w:rPr>
                <w:lang w:val="en-US"/>
              </w:rPr>
            </w:pPr>
          </w:p>
        </w:tc>
        <w:tc>
          <w:tcPr>
            <w:tcW w:w="235" w:type="pct"/>
            <w:shd w:val="clear" w:color="auto" w:fill="auto"/>
            <w:vAlign w:val="center"/>
          </w:tcPr>
          <w:p w14:paraId="425FA29E" w14:textId="77777777" w:rsidR="00984D54" w:rsidRPr="00CE28E3" w:rsidRDefault="00984D54" w:rsidP="004C2EF0">
            <w:pPr>
              <w:pStyle w:val="TableText0"/>
              <w:keepNext/>
              <w:jc w:val="center"/>
              <w:rPr>
                <w:lang w:val="en-US"/>
              </w:rPr>
            </w:pPr>
            <w:r>
              <w:rPr>
                <w:lang w:val="en-US"/>
              </w:rPr>
              <w:t>774</w:t>
            </w:r>
          </w:p>
        </w:tc>
        <w:tc>
          <w:tcPr>
            <w:tcW w:w="868" w:type="pct"/>
            <w:shd w:val="clear" w:color="auto" w:fill="auto"/>
            <w:vAlign w:val="center"/>
          </w:tcPr>
          <w:p w14:paraId="788E18E8" w14:textId="552752C4" w:rsidR="00984D54" w:rsidRPr="00CE28E3" w:rsidRDefault="00984D54" w:rsidP="004C2EF0">
            <w:pPr>
              <w:pStyle w:val="TableText0"/>
              <w:keepNext/>
              <w:jc w:val="center"/>
              <w:rPr>
                <w:lang w:val="en-US"/>
              </w:rPr>
            </w:pPr>
            <w:r w:rsidRPr="00984D54">
              <w:rPr>
                <w:lang w:val="en-US"/>
              </w:rPr>
              <w:t>Sestak 2018</w:t>
            </w:r>
            <w:r w:rsidR="00820442">
              <w:rPr>
                <w:lang w:val="en-US"/>
              </w:rPr>
              <w:t xml:space="preserve"> </w:t>
            </w:r>
            <w:r w:rsidR="00820442">
              <w:rPr>
                <w:lang w:val="en-US"/>
              </w:rPr>
              <w:br/>
            </w:r>
            <w:r>
              <w:rPr>
                <w:lang w:val="en-US"/>
              </w:rPr>
              <w:t>10y fu</w:t>
            </w:r>
          </w:p>
        </w:tc>
        <w:tc>
          <w:tcPr>
            <w:tcW w:w="934" w:type="pct"/>
            <w:shd w:val="clear" w:color="auto" w:fill="auto"/>
            <w:vAlign w:val="center"/>
          </w:tcPr>
          <w:p w14:paraId="7E5E7DE7" w14:textId="77777777" w:rsidR="00984D54" w:rsidRPr="00CE28E3" w:rsidRDefault="00984D54" w:rsidP="004C2EF0">
            <w:pPr>
              <w:pStyle w:val="TableText0"/>
              <w:keepNext/>
              <w:jc w:val="center"/>
              <w:rPr>
                <w:lang w:val="en-US"/>
              </w:rPr>
            </w:pPr>
            <w:r>
              <w:rPr>
                <w:lang w:val="en-US"/>
              </w:rPr>
              <w:t>Postmenopausal ER+, HER2- breast cancer patients</w:t>
            </w:r>
          </w:p>
        </w:tc>
        <w:tc>
          <w:tcPr>
            <w:tcW w:w="738" w:type="pct"/>
            <w:shd w:val="clear" w:color="auto" w:fill="auto"/>
            <w:vAlign w:val="center"/>
          </w:tcPr>
          <w:p w14:paraId="0A11106A" w14:textId="77777777" w:rsidR="00984D54" w:rsidRPr="00CE28E3" w:rsidRDefault="00984D54" w:rsidP="004C2EF0">
            <w:pPr>
              <w:pStyle w:val="TableText0"/>
              <w:keepNext/>
              <w:jc w:val="center"/>
              <w:rPr>
                <w:lang w:val="en-US"/>
              </w:rPr>
            </w:pPr>
            <w:r>
              <w:rPr>
                <w:lang w:val="en-US"/>
              </w:rPr>
              <w:t>EPclin prognosis vs RS &amp; ROR</w:t>
            </w:r>
          </w:p>
        </w:tc>
        <w:tc>
          <w:tcPr>
            <w:tcW w:w="915" w:type="pct"/>
            <w:shd w:val="clear" w:color="auto" w:fill="auto"/>
            <w:vAlign w:val="center"/>
          </w:tcPr>
          <w:p w14:paraId="4BAF71F9" w14:textId="6A1B53CC" w:rsidR="00984D54" w:rsidRPr="00CE28E3" w:rsidRDefault="007C3DB1" w:rsidP="004C2EF0">
            <w:pPr>
              <w:pStyle w:val="TableText0"/>
              <w:keepNext/>
              <w:jc w:val="center"/>
              <w:rPr>
                <w:lang w:val="en-US"/>
              </w:rPr>
            </w:pPr>
            <w:r>
              <w:rPr>
                <w:lang w:val="en-US"/>
              </w:rPr>
              <w:t>-</w:t>
            </w:r>
          </w:p>
        </w:tc>
      </w:tr>
    </w:tbl>
    <w:p w14:paraId="2FDCDA3E" w14:textId="5CB1A34F" w:rsidR="002056CD" w:rsidRPr="0074690C" w:rsidRDefault="002056CD" w:rsidP="002056CD">
      <w:pPr>
        <w:pStyle w:val="TableFigureFooter"/>
      </w:pPr>
      <w:bookmarkStart w:id="35" w:name="_Hlk68276176"/>
      <w:bookmarkEnd w:id="34"/>
      <w:r>
        <w:t xml:space="preserve">C = chemotherapy; CTS = clinical treatment score; DR = distant recurrence; DRFI = distant recurrence free interval; DRFR = distant recurrence free rate; EP = </w:t>
      </w:r>
      <w:r w:rsidR="00D50E5C">
        <w:t>EndoPredict</w:t>
      </w:r>
      <w:r w:rsidR="005F1260" w:rsidRPr="005F1260">
        <w:rPr>
          <w:vertAlign w:val="superscript"/>
        </w:rPr>
        <w:t>®</w:t>
      </w:r>
      <w:r>
        <w:t xml:space="preserve"> algorithm score; EPclin = </w:t>
      </w:r>
      <w:r w:rsidR="00D50E5C">
        <w:t>EndoPredict</w:t>
      </w:r>
      <w:r w:rsidR="005F1260" w:rsidRPr="005F1260">
        <w:rPr>
          <w:vertAlign w:val="superscript"/>
        </w:rPr>
        <w:t>®</w:t>
      </w:r>
      <w:r>
        <w:t xml:space="preserve"> + clinical algorithm score; ER+ = estrogen receptor positive; ET = endocrine therapy; </w:t>
      </w:r>
      <w:r w:rsidR="00EC386C">
        <w:t xml:space="preserve">fu = follow-up; </w:t>
      </w:r>
      <w:r>
        <w:t>HER- = human epidemiological growth factor receptor negative; m = months; MC = multicentre; R = retrospective; RS = recurrence score (Oncotype DX</w:t>
      </w:r>
      <w:r w:rsidR="005F1260" w:rsidRPr="005F1260">
        <w:rPr>
          <w:vertAlign w:val="superscript"/>
        </w:rPr>
        <w:t>®</w:t>
      </w:r>
      <w:r>
        <w:t>); ROR = risk of recurrence score (Prosigna</w:t>
      </w:r>
      <w:r w:rsidR="005F1260" w:rsidRPr="005F1260">
        <w:rPr>
          <w:vertAlign w:val="superscript"/>
        </w:rPr>
        <w:t>®</w:t>
      </w:r>
      <w:r>
        <w:t>); y = years</w:t>
      </w:r>
    </w:p>
    <w:p w14:paraId="46AD39F7" w14:textId="2682375B" w:rsidR="002056CD" w:rsidRPr="00A735D2" w:rsidRDefault="002056CD" w:rsidP="002056CD">
      <w:pPr>
        <w:rPr>
          <w:rFonts w:ascii="Franklin Gothic Book" w:hAnsi="Franklin Gothic Book"/>
        </w:rPr>
      </w:pPr>
      <w:r w:rsidRPr="00A735D2">
        <w:rPr>
          <w:rFonts w:ascii="Franklin Gothic Book" w:hAnsi="Franklin Gothic Book"/>
        </w:rPr>
        <w:t xml:space="preserve">The evidence for </w:t>
      </w:r>
      <w:r w:rsidR="00D50E5C" w:rsidRPr="00A735D2">
        <w:rPr>
          <w:rFonts w:ascii="Franklin Gothic Book" w:hAnsi="Franklin Gothic Book"/>
        </w:rPr>
        <w:t>EndoPredict</w:t>
      </w:r>
      <w:r w:rsidR="005F1260" w:rsidRPr="005F1260">
        <w:rPr>
          <w:rFonts w:ascii="Franklin Gothic Book" w:hAnsi="Franklin Gothic Book"/>
          <w:vertAlign w:val="superscript"/>
        </w:rPr>
        <w:t>®</w:t>
      </w:r>
      <w:r w:rsidRPr="00A735D2">
        <w:rPr>
          <w:rFonts w:ascii="Franklin Gothic Book" w:hAnsi="Franklin Gothic Book"/>
        </w:rPr>
        <w:t xml:space="preserve"> fits into the linked evidence pathway for investigative technologies illustrated in the MSAC Guidelines and shown in </w:t>
      </w:r>
      <w:r w:rsidRPr="00A735D2">
        <w:rPr>
          <w:rFonts w:ascii="Franklin Gothic Book" w:hAnsi="Franklin Gothic Book"/>
        </w:rPr>
        <w:fldChar w:fldCharType="begin"/>
      </w:r>
      <w:r w:rsidRPr="00A735D2">
        <w:rPr>
          <w:rFonts w:ascii="Franklin Gothic Book" w:hAnsi="Franklin Gothic Book"/>
        </w:rPr>
        <w:instrText xml:space="preserve"> REF _Ref100141490 \h </w:instrText>
      </w:r>
      <w:r w:rsidR="00A735D2">
        <w:rPr>
          <w:rFonts w:ascii="Franklin Gothic Book" w:hAnsi="Franklin Gothic Book"/>
        </w:rPr>
        <w:instrText xml:space="preserve"> \* MERGEFORMAT </w:instrText>
      </w:r>
      <w:r w:rsidRPr="00A735D2">
        <w:rPr>
          <w:rFonts w:ascii="Franklin Gothic Book" w:hAnsi="Franklin Gothic Book"/>
        </w:rPr>
      </w:r>
      <w:r w:rsidRPr="00A735D2">
        <w:rPr>
          <w:rFonts w:ascii="Franklin Gothic Book" w:hAnsi="Franklin Gothic Book"/>
        </w:rPr>
        <w:fldChar w:fldCharType="separate"/>
      </w:r>
      <w:r w:rsidR="00943826" w:rsidRPr="00943826">
        <w:rPr>
          <w:rFonts w:ascii="Franklin Gothic Book" w:hAnsi="Franklin Gothic Book"/>
        </w:rPr>
        <w:t xml:space="preserve">Figure </w:t>
      </w:r>
      <w:r w:rsidR="00943826" w:rsidRPr="00943826">
        <w:rPr>
          <w:rFonts w:ascii="Franklin Gothic Book" w:hAnsi="Franklin Gothic Book"/>
          <w:noProof/>
        </w:rPr>
        <w:t>1</w:t>
      </w:r>
      <w:r w:rsidRPr="00A735D2">
        <w:rPr>
          <w:rFonts w:ascii="Franklin Gothic Book" w:hAnsi="Franklin Gothic Book"/>
        </w:rPr>
        <w:fldChar w:fldCharType="end"/>
      </w:r>
      <w:r w:rsidRPr="00A735D2">
        <w:rPr>
          <w:rFonts w:ascii="Franklin Gothic Book" w:hAnsi="Franklin Gothic Book"/>
        </w:rPr>
        <w:t xml:space="preserve">. Evidence identified for </w:t>
      </w:r>
      <w:r w:rsidR="00D50E5C" w:rsidRPr="00A735D2">
        <w:rPr>
          <w:rFonts w:ascii="Franklin Gothic Book" w:hAnsi="Franklin Gothic Book"/>
        </w:rPr>
        <w:t>EndoPredict</w:t>
      </w:r>
      <w:r w:rsidR="005F1260" w:rsidRPr="005F1260">
        <w:rPr>
          <w:rFonts w:ascii="Franklin Gothic Book" w:hAnsi="Franklin Gothic Book"/>
          <w:vertAlign w:val="superscript"/>
        </w:rPr>
        <w:t>®</w:t>
      </w:r>
      <w:r w:rsidRPr="00A735D2">
        <w:rPr>
          <w:rFonts w:ascii="Franklin Gothic Book" w:hAnsi="Franklin Gothic Book"/>
        </w:rPr>
        <w:t xml:space="preserve"> </w:t>
      </w:r>
      <w:r w:rsidRPr="00A735D2">
        <w:rPr>
          <w:rFonts w:ascii="Franklin Gothic Book" w:hAnsi="Franklin Gothic Book"/>
        </w:rPr>
        <w:lastRenderedPageBreak/>
        <w:t>falls into the framework steps circled in green: test results information (incremental prognostic value and predicted treatment benefit prediction), change in clinical decisions (change in treatment given), and health outcomes (distant recurrence following treatment).</w:t>
      </w:r>
    </w:p>
    <w:p w14:paraId="7E959078" w14:textId="77777777" w:rsidR="002056CD" w:rsidRDefault="002056CD" w:rsidP="002056CD">
      <w:pPr>
        <w:keepNext/>
        <w:keepLines/>
      </w:pPr>
      <w:r>
        <w:rPr>
          <w:noProof/>
          <w:lang w:eastAsia="en-AU"/>
        </w:rPr>
        <w:drawing>
          <wp:inline distT="0" distB="0" distL="0" distR="0" wp14:anchorId="5A0F0DE4" wp14:editId="01B67ACC">
            <wp:extent cx="5731510" cy="2086610"/>
            <wp:effectExtent l="0" t="0" r="2540" b="8890"/>
            <wp:docPr id="16" name="Picture 16" descr="Linked evidence assessment framework showing links from test population to health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inked evidence assessment framework showing links from test population to health outcomes"/>
                    <pic:cNvPicPr/>
                  </pic:nvPicPr>
                  <pic:blipFill>
                    <a:blip r:embed="rId11">
                      <a:extLst>
                        <a:ext uri="{28A0092B-C50C-407E-A947-70E740481C1C}">
                          <a14:useLocalDpi xmlns:a14="http://schemas.microsoft.com/office/drawing/2010/main" val="0"/>
                        </a:ext>
                      </a:extLst>
                    </a:blip>
                    <a:stretch>
                      <a:fillRect/>
                    </a:stretch>
                  </pic:blipFill>
                  <pic:spPr>
                    <a:xfrm>
                      <a:off x="0" y="0"/>
                      <a:ext cx="5731510" cy="2086610"/>
                    </a:xfrm>
                    <a:prstGeom prst="rect">
                      <a:avLst/>
                    </a:prstGeom>
                  </pic:spPr>
                </pic:pic>
              </a:graphicData>
            </a:graphic>
          </wp:inline>
        </w:drawing>
      </w:r>
    </w:p>
    <w:p w14:paraId="4AD44055" w14:textId="4E3EC3B7" w:rsidR="002056CD" w:rsidRDefault="002056CD" w:rsidP="002056CD">
      <w:pPr>
        <w:pStyle w:val="Caption"/>
      </w:pPr>
      <w:bookmarkStart w:id="36" w:name="_Ref100141490"/>
      <w:r>
        <w:t xml:space="preserve">Figure </w:t>
      </w:r>
      <w:fldSimple w:instr=" SEQ Figure_COM. \* ARABIC ">
        <w:r w:rsidR="00943826">
          <w:rPr>
            <w:noProof/>
          </w:rPr>
          <w:t>1</w:t>
        </w:r>
      </w:fldSimple>
      <w:bookmarkEnd w:id="36"/>
      <w:r>
        <w:tab/>
        <w:t>Linked evidence assessment framework showing links from test population to health outcomes</w:t>
      </w:r>
    </w:p>
    <w:p w14:paraId="739E2283" w14:textId="41B0561A" w:rsidR="002056CD" w:rsidRPr="00A735D2" w:rsidRDefault="006A153F" w:rsidP="002056CD">
      <w:pPr>
        <w:pStyle w:val="Heading2"/>
        <w:rPr>
          <w:rFonts w:ascii="Franklin Gothic Medium" w:hAnsi="Franklin Gothic Medium" w:cstheme="majorBidi"/>
        </w:rPr>
      </w:pPr>
      <w:bookmarkStart w:id="37" w:name="_Toc69491423"/>
      <w:bookmarkStart w:id="38" w:name="_Toc102569857"/>
      <w:bookmarkEnd w:id="35"/>
      <w:r>
        <w:rPr>
          <w:rFonts w:ascii="Franklin Gothic Medium" w:hAnsi="Franklin Gothic Medium" w:cstheme="majorBidi"/>
        </w:rPr>
        <w:t>11</w:t>
      </w:r>
      <w:r w:rsidR="002056CD" w:rsidRPr="00A735D2">
        <w:rPr>
          <w:rFonts w:ascii="Franklin Gothic Medium" w:hAnsi="Franklin Gothic Medium" w:cstheme="majorBidi"/>
        </w:rPr>
        <w:t>.</w:t>
      </w:r>
      <w:r w:rsidR="002056CD" w:rsidRPr="00A735D2">
        <w:rPr>
          <w:rFonts w:ascii="Franklin Gothic Medium" w:hAnsi="Franklin Gothic Medium" w:cstheme="majorBidi"/>
        </w:rPr>
        <w:tab/>
        <w:t>Comparative safety</w:t>
      </w:r>
      <w:bookmarkEnd w:id="37"/>
      <w:bookmarkEnd w:id="38"/>
    </w:p>
    <w:p w14:paraId="149EFB58" w14:textId="5C73F874" w:rsidR="002056CD" w:rsidRPr="00A735D2" w:rsidRDefault="002056CD" w:rsidP="002056CD">
      <w:pPr>
        <w:rPr>
          <w:rFonts w:ascii="Franklin Gothic Book" w:hAnsi="Franklin Gothic Book"/>
        </w:rPr>
      </w:pPr>
      <w:r w:rsidRPr="00A735D2">
        <w:rPr>
          <w:rFonts w:ascii="Franklin Gothic Book" w:hAnsi="Franklin Gothic Book"/>
        </w:rPr>
        <w:t>No additional evidence was presented</w:t>
      </w:r>
      <w:r w:rsidR="00A93AF4" w:rsidRPr="00A735D2">
        <w:rPr>
          <w:rFonts w:ascii="Franklin Gothic Book" w:hAnsi="Franklin Gothic Book"/>
        </w:rPr>
        <w:t xml:space="preserve"> on the safety of </w:t>
      </w:r>
      <w:r w:rsidR="00D50E5C" w:rsidRPr="00A735D2">
        <w:rPr>
          <w:rFonts w:ascii="Franklin Gothic Book" w:hAnsi="Franklin Gothic Book"/>
        </w:rPr>
        <w:t>EndoPredict</w:t>
      </w:r>
      <w:r w:rsidR="005F1260" w:rsidRPr="005F1260">
        <w:rPr>
          <w:rFonts w:ascii="Franklin Gothic Book" w:hAnsi="Franklin Gothic Book"/>
          <w:vertAlign w:val="superscript"/>
        </w:rPr>
        <w:t>®</w:t>
      </w:r>
      <w:r w:rsidR="00A93AF4" w:rsidRPr="00A735D2">
        <w:rPr>
          <w:rFonts w:ascii="Franklin Gothic Book" w:hAnsi="Franklin Gothic Book"/>
        </w:rPr>
        <w:t xml:space="preserve"> in the </w:t>
      </w:r>
      <w:r w:rsidR="00883BF4" w:rsidRPr="00A735D2">
        <w:rPr>
          <w:rFonts w:ascii="Franklin Gothic Book" w:hAnsi="Franklin Gothic Book"/>
        </w:rPr>
        <w:t xml:space="preserve">1408.1 </w:t>
      </w:r>
      <w:r w:rsidR="00197DB5">
        <w:rPr>
          <w:rFonts w:ascii="Franklin Gothic Book" w:hAnsi="Franklin Gothic Book"/>
          <w:iCs/>
        </w:rPr>
        <w:t>re-application</w:t>
      </w:r>
      <w:r w:rsidRPr="00A735D2">
        <w:rPr>
          <w:rFonts w:ascii="Franklin Gothic Book" w:hAnsi="Franklin Gothic Book"/>
        </w:rPr>
        <w:t>.</w:t>
      </w:r>
    </w:p>
    <w:p w14:paraId="321D2D45" w14:textId="31B357B9" w:rsidR="002056CD" w:rsidRPr="00A735D2" w:rsidRDefault="002056CD" w:rsidP="002056CD">
      <w:pPr>
        <w:rPr>
          <w:rFonts w:ascii="Franklin Gothic Book" w:hAnsi="Franklin Gothic Book"/>
        </w:rPr>
      </w:pPr>
      <w:r w:rsidRPr="00A735D2">
        <w:rPr>
          <w:rFonts w:ascii="Franklin Gothic Book" w:hAnsi="Franklin Gothic Book"/>
        </w:rPr>
        <w:t xml:space="preserve">As with all investigative tests, it would be expected that there would be safety issues related to patients who either have false positive or false negative results from </w:t>
      </w:r>
      <w:r w:rsidR="00D50E5C" w:rsidRPr="00A735D2">
        <w:rPr>
          <w:rFonts w:ascii="Franklin Gothic Book" w:hAnsi="Franklin Gothic Book"/>
        </w:rPr>
        <w:t>EndoPredict</w:t>
      </w:r>
      <w:r w:rsidR="005F1260" w:rsidRPr="005F1260">
        <w:rPr>
          <w:rFonts w:ascii="Franklin Gothic Book" w:hAnsi="Franklin Gothic Book"/>
          <w:vertAlign w:val="superscript"/>
        </w:rPr>
        <w:t>®</w:t>
      </w:r>
      <w:r w:rsidRPr="00A735D2">
        <w:rPr>
          <w:rFonts w:ascii="Franklin Gothic Book" w:hAnsi="Franklin Gothic Book"/>
        </w:rPr>
        <w:t xml:space="preserve">. The outcomes for patients with false negative and false positive results are implicit in the </w:t>
      </w:r>
      <w:r w:rsidR="00D50E5C" w:rsidRPr="00A735D2">
        <w:rPr>
          <w:rFonts w:ascii="Franklin Gothic Book" w:hAnsi="Franklin Gothic Book"/>
        </w:rPr>
        <w:t>EndoPredict</w:t>
      </w:r>
      <w:r w:rsidR="005F1260" w:rsidRPr="005F1260">
        <w:rPr>
          <w:rFonts w:ascii="Franklin Gothic Book" w:hAnsi="Franklin Gothic Book"/>
          <w:vertAlign w:val="superscript"/>
        </w:rPr>
        <w:t>®</w:t>
      </w:r>
      <w:r w:rsidRPr="00A735D2">
        <w:rPr>
          <w:rFonts w:ascii="Franklin Gothic Book" w:hAnsi="Franklin Gothic Book"/>
        </w:rPr>
        <w:t xml:space="preserve"> Kaplan-Meier analyses.</w:t>
      </w:r>
    </w:p>
    <w:p w14:paraId="245E82CA" w14:textId="430256E5" w:rsidR="002056CD" w:rsidRPr="00A735D2" w:rsidRDefault="00EC386C" w:rsidP="002056CD">
      <w:pPr>
        <w:rPr>
          <w:rFonts w:ascii="Franklin Gothic Book" w:hAnsi="Franklin Gothic Book"/>
        </w:rPr>
      </w:pPr>
      <w:r w:rsidRPr="00A735D2">
        <w:rPr>
          <w:rFonts w:ascii="Franklin Gothic Book" w:hAnsi="Franklin Gothic Book"/>
        </w:rPr>
        <w:t xml:space="preserve">Patients </w:t>
      </w:r>
      <w:r w:rsidR="002056CD" w:rsidRPr="00A735D2">
        <w:rPr>
          <w:rFonts w:ascii="Franklin Gothic Book" w:hAnsi="Franklin Gothic Book"/>
        </w:rPr>
        <w:t>who are over treated for their level of risk of recurrence may suffer the adverse effects of chemotherapy unnecessarily.</w:t>
      </w:r>
    </w:p>
    <w:p w14:paraId="58CC473D" w14:textId="7C9B416D" w:rsidR="002056CD" w:rsidRPr="00A735D2" w:rsidRDefault="00EC386C" w:rsidP="002056CD">
      <w:pPr>
        <w:rPr>
          <w:rFonts w:ascii="Franklin Gothic Book" w:hAnsi="Franklin Gothic Book"/>
        </w:rPr>
      </w:pPr>
      <w:r w:rsidRPr="00A735D2">
        <w:rPr>
          <w:rFonts w:ascii="Franklin Gothic Book" w:hAnsi="Franklin Gothic Book"/>
        </w:rPr>
        <w:t xml:space="preserve">Patients </w:t>
      </w:r>
      <w:r w:rsidR="002056CD" w:rsidRPr="00A735D2">
        <w:rPr>
          <w:rFonts w:ascii="Franklin Gothic Book" w:hAnsi="Franklin Gothic Book"/>
        </w:rPr>
        <w:t xml:space="preserve">who </w:t>
      </w:r>
      <w:r w:rsidRPr="00A735D2">
        <w:rPr>
          <w:rFonts w:ascii="Franklin Gothic Book" w:hAnsi="Franklin Gothic Book"/>
        </w:rPr>
        <w:t>do not receive</w:t>
      </w:r>
      <w:r w:rsidR="002056CD" w:rsidRPr="00A735D2">
        <w:rPr>
          <w:rFonts w:ascii="Franklin Gothic Book" w:hAnsi="Franklin Gothic Book"/>
        </w:rPr>
        <w:t xml:space="preserve"> chemotherapy </w:t>
      </w:r>
      <w:r w:rsidRPr="00A735D2">
        <w:rPr>
          <w:rFonts w:ascii="Franklin Gothic Book" w:hAnsi="Franklin Gothic Book"/>
        </w:rPr>
        <w:t xml:space="preserve">but </w:t>
      </w:r>
      <w:r w:rsidR="002056CD" w:rsidRPr="00A735D2">
        <w:rPr>
          <w:rFonts w:ascii="Franklin Gothic Book" w:hAnsi="Franklin Gothic Book"/>
        </w:rPr>
        <w:t>who have high risk of distant recurrence may experience disease relapse unnecessarily.</w:t>
      </w:r>
    </w:p>
    <w:p w14:paraId="2FD5D06B" w14:textId="4C13E43F" w:rsidR="002056CD" w:rsidRPr="00A735D2" w:rsidRDefault="002056CD" w:rsidP="002056CD">
      <w:pPr>
        <w:pStyle w:val="Heading2"/>
        <w:rPr>
          <w:rFonts w:ascii="Franklin Gothic Medium" w:hAnsi="Franklin Gothic Medium" w:cstheme="majorBidi"/>
        </w:rPr>
      </w:pPr>
      <w:bookmarkStart w:id="39" w:name="_Toc69491424"/>
      <w:bookmarkStart w:id="40" w:name="_Toc102569858"/>
      <w:r w:rsidRPr="00A735D2">
        <w:rPr>
          <w:rFonts w:ascii="Franklin Gothic Medium" w:hAnsi="Franklin Gothic Medium" w:cstheme="majorBidi"/>
        </w:rPr>
        <w:t>1</w:t>
      </w:r>
      <w:r w:rsidR="006A153F">
        <w:rPr>
          <w:rFonts w:ascii="Franklin Gothic Medium" w:hAnsi="Franklin Gothic Medium" w:cstheme="majorBidi"/>
        </w:rPr>
        <w:t>2</w:t>
      </w:r>
      <w:r w:rsidRPr="00A735D2">
        <w:rPr>
          <w:rFonts w:ascii="Franklin Gothic Medium" w:hAnsi="Franklin Gothic Medium" w:cstheme="majorBidi"/>
        </w:rPr>
        <w:t>.</w:t>
      </w:r>
      <w:r w:rsidRPr="00A735D2">
        <w:rPr>
          <w:rFonts w:ascii="Franklin Gothic Medium" w:hAnsi="Franklin Gothic Medium" w:cstheme="majorBidi"/>
        </w:rPr>
        <w:tab/>
        <w:t>Comparative effectiveness</w:t>
      </w:r>
      <w:bookmarkEnd w:id="39"/>
      <w:bookmarkEnd w:id="40"/>
    </w:p>
    <w:p w14:paraId="38A969DF" w14:textId="77777777" w:rsidR="002056CD" w:rsidRPr="00A735D2" w:rsidRDefault="002056CD" w:rsidP="009A7B88">
      <w:pPr>
        <w:keepNext/>
        <w:tabs>
          <w:tab w:val="left" w:pos="720"/>
          <w:tab w:val="left" w:pos="1140"/>
        </w:tabs>
        <w:spacing w:before="240" w:after="120"/>
        <w:rPr>
          <w:rFonts w:ascii="Franklin Gothic Book" w:hAnsi="Franklin Gothic Book"/>
          <w:b/>
          <w:bCs/>
          <w:sz w:val="24"/>
          <w:szCs w:val="24"/>
        </w:rPr>
      </w:pPr>
      <w:r w:rsidRPr="00A735D2">
        <w:rPr>
          <w:rFonts w:ascii="Franklin Gothic Book" w:hAnsi="Franklin Gothic Book"/>
          <w:b/>
          <w:bCs/>
          <w:sz w:val="24"/>
          <w:szCs w:val="24"/>
        </w:rPr>
        <w:t>Clinical claim</w:t>
      </w:r>
    </w:p>
    <w:p w14:paraId="564F510C" w14:textId="00DBB659" w:rsidR="002056CD" w:rsidRPr="00A735D2" w:rsidRDefault="002056CD" w:rsidP="002056CD">
      <w:pPr>
        <w:rPr>
          <w:rFonts w:ascii="Franklin Gothic Book" w:hAnsi="Franklin Gothic Book"/>
        </w:rPr>
      </w:pPr>
      <w:r w:rsidRPr="00A735D2">
        <w:rPr>
          <w:rFonts w:ascii="Franklin Gothic Book" w:hAnsi="Franklin Gothic Book"/>
        </w:rPr>
        <w:t xml:space="preserve">There was no clinical claim submitted with the 1408.1 </w:t>
      </w:r>
      <w:r w:rsidR="00197DB5">
        <w:rPr>
          <w:rFonts w:ascii="Franklin Gothic Book" w:hAnsi="Franklin Gothic Book"/>
          <w:iCs/>
        </w:rPr>
        <w:t>re-application</w:t>
      </w:r>
      <w:r w:rsidRPr="00A735D2">
        <w:rPr>
          <w:rFonts w:ascii="Franklin Gothic Book" w:hAnsi="Franklin Gothic Book"/>
        </w:rPr>
        <w:t>.</w:t>
      </w:r>
    </w:p>
    <w:p w14:paraId="3BE52CAD" w14:textId="48392C79" w:rsidR="002056CD" w:rsidRPr="00A735D2" w:rsidRDefault="002056CD" w:rsidP="002056CD">
      <w:pPr>
        <w:rPr>
          <w:rFonts w:ascii="Franklin Gothic Book" w:hAnsi="Franklin Gothic Book"/>
        </w:rPr>
      </w:pPr>
      <w:r w:rsidRPr="00A735D2">
        <w:rPr>
          <w:rFonts w:ascii="Franklin Gothic Book" w:hAnsi="Franklin Gothic Book"/>
        </w:rPr>
        <w:t xml:space="preserve">In </w:t>
      </w:r>
      <w:r w:rsidR="005A0BBD" w:rsidRPr="00A735D2">
        <w:rPr>
          <w:rFonts w:ascii="Franklin Gothic Book" w:hAnsi="Franklin Gothic Book"/>
        </w:rPr>
        <w:t>its</w:t>
      </w:r>
      <w:r w:rsidRPr="00A735D2">
        <w:rPr>
          <w:rFonts w:ascii="Franklin Gothic Book" w:hAnsi="Franklin Gothic Book"/>
        </w:rPr>
        <w:t xml:space="preserve"> </w:t>
      </w:r>
      <w:r w:rsidR="0060509A" w:rsidRPr="00A735D2">
        <w:rPr>
          <w:rFonts w:ascii="Franklin Gothic Book" w:hAnsi="Franklin Gothic Book"/>
        </w:rPr>
        <w:t xml:space="preserve">1408 </w:t>
      </w:r>
      <w:r w:rsidR="00197DB5">
        <w:rPr>
          <w:rFonts w:ascii="Franklin Gothic Book" w:hAnsi="Franklin Gothic Book"/>
          <w:iCs/>
        </w:rPr>
        <w:t>application</w:t>
      </w:r>
      <w:r w:rsidRPr="00A735D2">
        <w:rPr>
          <w:rFonts w:ascii="Franklin Gothic Book" w:hAnsi="Franklin Gothic Book"/>
        </w:rPr>
        <w:t xml:space="preserve">, the </w:t>
      </w:r>
      <w:r w:rsidR="00197DB5" w:rsidRPr="00A735D2">
        <w:rPr>
          <w:rFonts w:ascii="Franklin Gothic Book" w:hAnsi="Franklin Gothic Book"/>
        </w:rPr>
        <w:t>a</w:t>
      </w:r>
      <w:r w:rsidRPr="00A735D2">
        <w:rPr>
          <w:rFonts w:ascii="Franklin Gothic Book" w:hAnsi="Franklin Gothic Book"/>
        </w:rPr>
        <w:t xml:space="preserve">pplicant claimed that </w:t>
      </w:r>
      <w:r w:rsidR="00D50E5C" w:rsidRPr="00F2126E">
        <w:rPr>
          <w:rFonts w:ascii="Franklin Gothic Book" w:hAnsi="Franklin Gothic Book"/>
          <w:bCs/>
        </w:rPr>
        <w:t>EndoPredict</w:t>
      </w:r>
      <w:r w:rsidR="005F1260" w:rsidRPr="005F1260">
        <w:rPr>
          <w:rFonts w:ascii="Franklin Gothic Book" w:hAnsi="Franklin Gothic Book"/>
          <w:bCs/>
          <w:vertAlign w:val="superscript"/>
        </w:rPr>
        <w:t>®</w:t>
      </w:r>
      <w:r w:rsidRPr="00F2126E">
        <w:rPr>
          <w:rFonts w:ascii="Franklin Gothic Book" w:hAnsi="Franklin Gothic Book"/>
          <w:bCs/>
        </w:rPr>
        <w:t xml:space="preserve"> has superior effectiveness and non-inferior safety for targeting the use of systemic therapy for </w:t>
      </w:r>
      <w:r w:rsidR="00F2126E">
        <w:rPr>
          <w:rFonts w:ascii="Franklin Gothic Book" w:hAnsi="Franklin Gothic Book"/>
          <w:bCs/>
        </w:rPr>
        <w:t>patients</w:t>
      </w:r>
      <w:r w:rsidRPr="003F20EB">
        <w:rPr>
          <w:rFonts w:ascii="Franklin Gothic Book" w:hAnsi="Franklin Gothic Book"/>
          <w:bCs/>
        </w:rPr>
        <w:t xml:space="preserve"> with ER+, HER2- early breast cancer who have been assessed as intermediate risk of distant recurrence.</w:t>
      </w:r>
    </w:p>
    <w:p w14:paraId="61EFB13A" w14:textId="546BF6BF" w:rsidR="002056CD" w:rsidRPr="00A735D2" w:rsidRDefault="002056CD" w:rsidP="002056CD">
      <w:pPr>
        <w:rPr>
          <w:rFonts w:ascii="Franklin Gothic Book" w:hAnsi="Franklin Gothic Book"/>
        </w:rPr>
      </w:pPr>
      <w:r w:rsidRPr="00A735D2">
        <w:rPr>
          <w:rFonts w:ascii="Franklin Gothic Book" w:hAnsi="Franklin Gothic Book"/>
        </w:rPr>
        <w:t xml:space="preserve">There was some evidence that </w:t>
      </w:r>
      <w:r w:rsidR="00D50E5C" w:rsidRPr="00A735D2">
        <w:rPr>
          <w:rFonts w:ascii="Franklin Gothic Book" w:hAnsi="Franklin Gothic Book"/>
        </w:rPr>
        <w:t>EndoPredict</w:t>
      </w:r>
      <w:r w:rsidR="005F1260" w:rsidRPr="005F1260">
        <w:rPr>
          <w:rFonts w:ascii="Franklin Gothic Book" w:hAnsi="Franklin Gothic Book"/>
          <w:vertAlign w:val="superscript"/>
        </w:rPr>
        <w:t>®</w:t>
      </w:r>
      <w:r w:rsidRPr="00A735D2">
        <w:rPr>
          <w:rFonts w:ascii="Franklin Gothic Book" w:hAnsi="Franklin Gothic Book"/>
        </w:rPr>
        <w:t xml:space="preserve"> has </w:t>
      </w:r>
      <w:r w:rsidR="00535952" w:rsidRPr="00A735D2">
        <w:rPr>
          <w:rFonts w:ascii="Franklin Gothic Book" w:hAnsi="Franklin Gothic Book"/>
        </w:rPr>
        <w:t xml:space="preserve">incremental </w:t>
      </w:r>
      <w:r w:rsidRPr="00A735D2">
        <w:rPr>
          <w:rFonts w:ascii="Franklin Gothic Book" w:hAnsi="Franklin Gothic Book"/>
        </w:rPr>
        <w:t xml:space="preserve">prognostic </w:t>
      </w:r>
      <w:r w:rsidR="002D5D87" w:rsidRPr="00A735D2">
        <w:rPr>
          <w:rFonts w:ascii="Franklin Gothic Book" w:hAnsi="Franklin Gothic Book"/>
        </w:rPr>
        <w:t>value over</w:t>
      </w:r>
      <w:r w:rsidR="00535952" w:rsidRPr="00A735D2">
        <w:rPr>
          <w:rFonts w:ascii="Franklin Gothic Book" w:hAnsi="Franklin Gothic Book"/>
        </w:rPr>
        <w:t xml:space="preserve"> clinical characteristics </w:t>
      </w:r>
      <w:r w:rsidR="00B66A8C" w:rsidRPr="00A735D2">
        <w:rPr>
          <w:rFonts w:ascii="Franklin Gothic Book" w:hAnsi="Franklin Gothic Book"/>
        </w:rPr>
        <w:t xml:space="preserve">(including nodal status, tumour grade, and tumour size) </w:t>
      </w:r>
      <w:r w:rsidR="00535952" w:rsidRPr="00A735D2">
        <w:rPr>
          <w:rFonts w:ascii="Franklin Gothic Book" w:hAnsi="Franklin Gothic Book"/>
        </w:rPr>
        <w:t>and standard assessment tools (Adjuvant!Online, IHC4, CT</w:t>
      </w:r>
      <w:r w:rsidR="004739B1" w:rsidRPr="00A735D2">
        <w:rPr>
          <w:rFonts w:ascii="Franklin Gothic Book" w:hAnsi="Franklin Gothic Book"/>
        </w:rPr>
        <w:t>S5</w:t>
      </w:r>
      <w:r w:rsidR="005116B8" w:rsidRPr="00A735D2">
        <w:rPr>
          <w:rFonts w:ascii="Franklin Gothic Book" w:hAnsi="Franklin Gothic Book"/>
        </w:rPr>
        <w:t>, Ki67</w:t>
      </w:r>
      <w:r w:rsidR="00535952" w:rsidRPr="00A735D2">
        <w:rPr>
          <w:rFonts w:ascii="Franklin Gothic Book" w:hAnsi="Franklin Gothic Book"/>
        </w:rPr>
        <w:t>)</w:t>
      </w:r>
      <w:r w:rsidRPr="00A735D2">
        <w:rPr>
          <w:rFonts w:ascii="Franklin Gothic Book" w:hAnsi="Franklin Gothic Book"/>
        </w:rPr>
        <w:t xml:space="preserve">, that it impacts patient management, and that it has treatment benefit predictive </w:t>
      </w:r>
      <w:r w:rsidR="009A7B88" w:rsidRPr="00A735D2">
        <w:rPr>
          <w:rFonts w:ascii="Franklin Gothic Book" w:hAnsi="Franklin Gothic Book"/>
        </w:rPr>
        <w:t>value</w:t>
      </w:r>
      <w:r w:rsidRPr="00A735D2">
        <w:rPr>
          <w:rFonts w:ascii="Franklin Gothic Book" w:hAnsi="Franklin Gothic Book"/>
        </w:rPr>
        <w:t>, however the evidence is uncertain due to low level study design and population differences.</w:t>
      </w:r>
    </w:p>
    <w:p w14:paraId="436EE9BE" w14:textId="7A5BE45B" w:rsidR="002056CD" w:rsidRPr="00A735D2" w:rsidRDefault="002056CD" w:rsidP="00844998">
      <w:pPr>
        <w:keepNext/>
        <w:tabs>
          <w:tab w:val="left" w:pos="720"/>
          <w:tab w:val="left" w:pos="1140"/>
        </w:tabs>
        <w:spacing w:before="240" w:after="120"/>
        <w:rPr>
          <w:rFonts w:ascii="Franklin Gothic Book" w:hAnsi="Franklin Gothic Book"/>
          <w:b/>
          <w:bCs/>
        </w:rPr>
      </w:pPr>
      <w:bookmarkStart w:id="41" w:name="_Hlk106960817"/>
      <w:r w:rsidRPr="00A735D2">
        <w:rPr>
          <w:rFonts w:ascii="Franklin Gothic Book" w:hAnsi="Franklin Gothic Book"/>
          <w:b/>
          <w:bCs/>
          <w:sz w:val="24"/>
          <w:szCs w:val="24"/>
        </w:rPr>
        <w:lastRenderedPageBreak/>
        <w:t>Incremental prognostic value</w:t>
      </w:r>
      <w:bookmarkEnd w:id="41"/>
    </w:p>
    <w:p w14:paraId="1109F88A" w14:textId="16FDCCFC" w:rsidR="002056CD" w:rsidRPr="00A735D2" w:rsidRDefault="00545878" w:rsidP="002056CD">
      <w:pPr>
        <w:rPr>
          <w:rFonts w:ascii="Franklin Gothic Book" w:hAnsi="Franklin Gothic Book"/>
        </w:rPr>
      </w:pPr>
      <w:r>
        <w:rPr>
          <w:rFonts w:ascii="Franklin Gothic Book" w:hAnsi="Franklin Gothic Book"/>
        </w:rPr>
        <w:t>E</w:t>
      </w:r>
      <w:r w:rsidR="002056CD" w:rsidRPr="00A735D2">
        <w:rPr>
          <w:rFonts w:ascii="Franklin Gothic Book" w:hAnsi="Franklin Gothic Book"/>
        </w:rPr>
        <w:t>vidence for</w:t>
      </w:r>
      <w:r>
        <w:rPr>
          <w:rFonts w:ascii="Franklin Gothic Book" w:hAnsi="Franklin Gothic Book"/>
        </w:rPr>
        <w:t xml:space="preserve"> i</w:t>
      </w:r>
      <w:r w:rsidRPr="00545878">
        <w:rPr>
          <w:rFonts w:ascii="Franklin Gothic Book" w:hAnsi="Franklin Gothic Book"/>
        </w:rPr>
        <w:t>ncremental prognostic value</w:t>
      </w:r>
      <w:r>
        <w:rPr>
          <w:rFonts w:ascii="Franklin Gothic Book" w:hAnsi="Franklin Gothic Book"/>
        </w:rPr>
        <w:t xml:space="preserve"> was provided in</w:t>
      </w:r>
      <w:r w:rsidR="002056CD" w:rsidRPr="00A735D2">
        <w:rPr>
          <w:rFonts w:ascii="Franklin Gothic Book" w:hAnsi="Franklin Gothic Book"/>
        </w:rPr>
        <w:t xml:space="preserve"> </w:t>
      </w:r>
      <w:r w:rsidR="002056CD" w:rsidRPr="00A735D2">
        <w:rPr>
          <w:rFonts w:ascii="Franklin Gothic Book" w:hAnsi="Franklin Gothic Book"/>
          <w:i/>
        </w:rPr>
        <w:t>Step 2 Test results information</w:t>
      </w:r>
      <w:r w:rsidR="002056CD" w:rsidRPr="00A735D2">
        <w:rPr>
          <w:rFonts w:ascii="Franklin Gothic Book" w:hAnsi="Franklin Gothic Book"/>
        </w:rPr>
        <w:t xml:space="preserve"> in the linked evidence framework shown in blue in </w:t>
      </w:r>
      <w:r w:rsidR="002056CD" w:rsidRPr="00A735D2">
        <w:rPr>
          <w:rFonts w:ascii="Franklin Gothic Book" w:hAnsi="Franklin Gothic Book"/>
        </w:rPr>
        <w:fldChar w:fldCharType="begin"/>
      </w:r>
      <w:r w:rsidR="002056CD" w:rsidRPr="00A735D2">
        <w:rPr>
          <w:rFonts w:ascii="Franklin Gothic Book" w:hAnsi="Franklin Gothic Book"/>
        </w:rPr>
        <w:instrText xml:space="preserve"> REF _Ref100141518 \h </w:instrText>
      </w:r>
      <w:r w:rsidR="00A735D2">
        <w:rPr>
          <w:rFonts w:ascii="Franklin Gothic Book" w:hAnsi="Franklin Gothic Book"/>
        </w:rPr>
        <w:instrText xml:space="preserve"> \* MERGEFORMAT </w:instrText>
      </w:r>
      <w:r w:rsidR="002056CD" w:rsidRPr="00A735D2">
        <w:rPr>
          <w:rFonts w:ascii="Franklin Gothic Book" w:hAnsi="Franklin Gothic Book"/>
        </w:rPr>
      </w:r>
      <w:r w:rsidR="002056CD" w:rsidRPr="00A735D2">
        <w:rPr>
          <w:rFonts w:ascii="Franklin Gothic Book" w:hAnsi="Franklin Gothic Book"/>
        </w:rPr>
        <w:fldChar w:fldCharType="separate"/>
      </w:r>
      <w:r w:rsidR="00943826" w:rsidRPr="00943826">
        <w:rPr>
          <w:rFonts w:ascii="Franklin Gothic Book" w:hAnsi="Franklin Gothic Book"/>
        </w:rPr>
        <w:t xml:space="preserve">Figure </w:t>
      </w:r>
      <w:r w:rsidR="00943826" w:rsidRPr="00943826">
        <w:rPr>
          <w:rFonts w:ascii="Franklin Gothic Book" w:hAnsi="Franklin Gothic Book"/>
          <w:noProof/>
        </w:rPr>
        <w:t>2</w:t>
      </w:r>
      <w:r w:rsidR="002056CD" w:rsidRPr="00A735D2">
        <w:rPr>
          <w:rFonts w:ascii="Franklin Gothic Book" w:hAnsi="Franklin Gothic Book"/>
        </w:rPr>
        <w:fldChar w:fldCharType="end"/>
      </w:r>
      <w:r w:rsidR="002056CD" w:rsidRPr="00A735D2">
        <w:rPr>
          <w:rFonts w:ascii="Franklin Gothic Book" w:hAnsi="Franklin Gothic Book"/>
        </w:rPr>
        <w:t>.</w:t>
      </w:r>
    </w:p>
    <w:p w14:paraId="469089CB" w14:textId="77777777" w:rsidR="002056CD" w:rsidRDefault="002056CD" w:rsidP="002056CD">
      <w:r>
        <w:rPr>
          <w:noProof/>
          <w:lang w:eastAsia="en-AU"/>
        </w:rPr>
        <w:drawing>
          <wp:inline distT="0" distB="0" distL="0" distR="0" wp14:anchorId="7EF76FDA" wp14:editId="7F3F67AB">
            <wp:extent cx="5162550" cy="1963554"/>
            <wp:effectExtent l="0" t="0" r="0" b="0"/>
            <wp:docPr id="20" name="Picture 20" descr="Linked evidence assessmen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inked evidence assessment framework"/>
                    <pic:cNvPicPr/>
                  </pic:nvPicPr>
                  <pic:blipFill>
                    <a:blip r:embed="rId12"/>
                    <a:stretch>
                      <a:fillRect/>
                    </a:stretch>
                  </pic:blipFill>
                  <pic:spPr>
                    <a:xfrm>
                      <a:off x="0" y="0"/>
                      <a:ext cx="5173872" cy="1967860"/>
                    </a:xfrm>
                    <a:prstGeom prst="rect">
                      <a:avLst/>
                    </a:prstGeom>
                  </pic:spPr>
                </pic:pic>
              </a:graphicData>
            </a:graphic>
          </wp:inline>
        </w:drawing>
      </w:r>
    </w:p>
    <w:p w14:paraId="32030B69" w14:textId="166954E7" w:rsidR="002056CD" w:rsidRDefault="002056CD" w:rsidP="00347A04">
      <w:pPr>
        <w:pStyle w:val="Caption"/>
        <w:keepNext w:val="0"/>
      </w:pPr>
      <w:bookmarkStart w:id="42" w:name="_Ref100141518"/>
      <w:r>
        <w:t xml:space="preserve">Figure </w:t>
      </w:r>
      <w:fldSimple w:instr=" SEQ Figure_COM. \* ARABIC ">
        <w:r w:rsidR="00943826">
          <w:rPr>
            <w:noProof/>
          </w:rPr>
          <w:t>2</w:t>
        </w:r>
      </w:fldSimple>
      <w:bookmarkEnd w:id="42"/>
      <w:r>
        <w:tab/>
        <w:t>Linked evidence assessment framework</w:t>
      </w:r>
    </w:p>
    <w:p w14:paraId="39D98CBE" w14:textId="4CE5E097" w:rsidR="002056CD" w:rsidRPr="00A735D2" w:rsidRDefault="00D50E5C" w:rsidP="002056CD">
      <w:pPr>
        <w:pStyle w:val="Heading4"/>
        <w:rPr>
          <w:rFonts w:ascii="Franklin Gothic Book" w:hAnsi="Franklin Gothic Book"/>
        </w:rPr>
      </w:pPr>
      <w:r w:rsidRPr="00A735D2">
        <w:rPr>
          <w:rFonts w:ascii="Franklin Gothic Book" w:hAnsi="Franklin Gothic Book"/>
        </w:rPr>
        <w:t>EndoPredict</w:t>
      </w:r>
      <w:r w:rsidR="005F1260" w:rsidRPr="005F1260">
        <w:rPr>
          <w:rFonts w:ascii="Franklin Gothic Book" w:hAnsi="Franklin Gothic Book"/>
          <w:vertAlign w:val="superscript"/>
        </w:rPr>
        <w:t>®</w:t>
      </w:r>
      <w:r w:rsidR="002056CD" w:rsidRPr="00A735D2">
        <w:rPr>
          <w:rFonts w:ascii="Franklin Gothic Book" w:hAnsi="Franklin Gothic Book"/>
        </w:rPr>
        <w:t xml:space="preserve"> compared with other GEP</w:t>
      </w:r>
      <w:r w:rsidR="00AB1982" w:rsidRPr="00A735D2">
        <w:rPr>
          <w:rFonts w:ascii="Franklin Gothic Book" w:hAnsi="Franklin Gothic Book"/>
        </w:rPr>
        <w:t xml:space="preserve"> test</w:t>
      </w:r>
      <w:r w:rsidR="002056CD" w:rsidRPr="00A735D2">
        <w:rPr>
          <w:rFonts w:ascii="Franklin Gothic Book" w:hAnsi="Franklin Gothic Book"/>
        </w:rPr>
        <w:t>s for early ER+, HER- breast cancer</w:t>
      </w:r>
    </w:p>
    <w:p w14:paraId="69F92771" w14:textId="29E5ED94" w:rsidR="002056CD" w:rsidRPr="00A735D2" w:rsidRDefault="002056CD" w:rsidP="002056CD">
      <w:pPr>
        <w:rPr>
          <w:rFonts w:ascii="Franklin Gothic Book" w:hAnsi="Franklin Gothic Book"/>
        </w:rPr>
      </w:pPr>
      <w:r w:rsidRPr="00A735D2">
        <w:rPr>
          <w:rFonts w:ascii="Franklin Gothic Book" w:hAnsi="Franklin Gothic Book"/>
        </w:rPr>
        <w:t xml:space="preserve">MSAC requested a comparison with of </w:t>
      </w:r>
      <w:r w:rsidR="00D50E5C" w:rsidRPr="00A735D2">
        <w:rPr>
          <w:rFonts w:ascii="Franklin Gothic Book" w:hAnsi="Franklin Gothic Book"/>
        </w:rPr>
        <w:t>EndoPredict</w:t>
      </w:r>
      <w:r w:rsidR="005F1260" w:rsidRPr="005F1260">
        <w:rPr>
          <w:rFonts w:ascii="Franklin Gothic Book" w:hAnsi="Franklin Gothic Book"/>
          <w:vertAlign w:val="superscript"/>
        </w:rPr>
        <w:t>®</w:t>
      </w:r>
      <w:r w:rsidRPr="00A735D2">
        <w:rPr>
          <w:rFonts w:ascii="Franklin Gothic Book" w:hAnsi="Franklin Gothic Book"/>
        </w:rPr>
        <w:t xml:space="preserve"> with other relevant GEP</w:t>
      </w:r>
      <w:r w:rsidR="00AB1982" w:rsidRPr="00A735D2">
        <w:rPr>
          <w:rFonts w:ascii="Franklin Gothic Book" w:hAnsi="Franklin Gothic Book"/>
        </w:rPr>
        <w:t xml:space="preserve"> test</w:t>
      </w:r>
      <w:r w:rsidRPr="00A735D2">
        <w:rPr>
          <w:rFonts w:ascii="Franklin Gothic Book" w:hAnsi="Franklin Gothic Book"/>
        </w:rPr>
        <w:t>s. A comparison with other GEP</w:t>
      </w:r>
      <w:r w:rsidR="00AB1982" w:rsidRPr="00A735D2">
        <w:rPr>
          <w:rFonts w:ascii="Franklin Gothic Book" w:hAnsi="Franklin Gothic Book"/>
        </w:rPr>
        <w:t xml:space="preserve"> test</w:t>
      </w:r>
      <w:r w:rsidRPr="00A735D2">
        <w:rPr>
          <w:rFonts w:ascii="Franklin Gothic Book" w:hAnsi="Franklin Gothic Book"/>
        </w:rPr>
        <w:t xml:space="preserve">s was performed in an earlier </w:t>
      </w:r>
      <w:r w:rsidR="00EC5F63">
        <w:rPr>
          <w:rFonts w:ascii="Franklin Gothic Book" w:hAnsi="Franklin Gothic Book"/>
        </w:rPr>
        <w:t>application</w:t>
      </w:r>
      <w:r w:rsidRPr="00A735D2">
        <w:rPr>
          <w:rFonts w:ascii="Franklin Gothic Book" w:hAnsi="Franklin Gothic Book"/>
        </w:rPr>
        <w:t xml:space="preserve">. There was no additional evidence of incremental prognostic value </w:t>
      </w:r>
      <w:r w:rsidR="00A442AF" w:rsidRPr="00A735D2">
        <w:rPr>
          <w:rFonts w:ascii="Franklin Gothic Book" w:hAnsi="Franklin Gothic Book"/>
        </w:rPr>
        <w:t xml:space="preserve">compared to other GEP tests </w:t>
      </w:r>
      <w:r w:rsidRPr="00A735D2">
        <w:rPr>
          <w:rFonts w:ascii="Franklin Gothic Book" w:hAnsi="Franklin Gothic Book"/>
        </w:rPr>
        <w:t>provided in the 1408.1</w:t>
      </w:r>
      <w:r w:rsidR="002E1C42">
        <w:rPr>
          <w:rFonts w:ascii="Franklin Gothic Book" w:hAnsi="Franklin Gothic Book"/>
        </w:rPr>
        <w:t xml:space="preserve"> </w:t>
      </w:r>
      <w:r w:rsidR="00197DB5">
        <w:rPr>
          <w:rFonts w:ascii="Franklin Gothic Book" w:hAnsi="Franklin Gothic Book"/>
          <w:iCs/>
        </w:rPr>
        <w:t>re-application</w:t>
      </w:r>
      <w:r w:rsidRPr="00A735D2">
        <w:rPr>
          <w:rFonts w:ascii="Franklin Gothic Book" w:hAnsi="Franklin Gothic Book"/>
        </w:rPr>
        <w:t>.</w:t>
      </w:r>
    </w:p>
    <w:p w14:paraId="166B12C3" w14:textId="77777777" w:rsidR="002056CD" w:rsidRPr="00A735D2" w:rsidRDefault="002056CD" w:rsidP="002056CD">
      <w:pPr>
        <w:pStyle w:val="Heading4"/>
        <w:rPr>
          <w:rFonts w:ascii="Franklin Gothic Book" w:hAnsi="Franklin Gothic Book"/>
        </w:rPr>
      </w:pPr>
      <w:r w:rsidRPr="00A735D2">
        <w:rPr>
          <w:rFonts w:ascii="Franklin Gothic Book" w:hAnsi="Franklin Gothic Book"/>
        </w:rPr>
        <w:t>Comparative incremental prognostic value over current clinical practice</w:t>
      </w:r>
    </w:p>
    <w:p w14:paraId="24BB8E38" w14:textId="69B37E38" w:rsidR="002056CD" w:rsidRDefault="002014DE" w:rsidP="00F80877">
      <w:pPr>
        <w:rPr>
          <w:rFonts w:ascii="Franklin Gothic Book" w:hAnsi="Franklin Gothic Book"/>
        </w:rPr>
      </w:pPr>
      <w:r>
        <w:rPr>
          <w:rFonts w:ascii="Franklin Gothic Book" w:hAnsi="Franklin Gothic Book"/>
        </w:rPr>
        <w:t xml:space="preserve">In 2021, </w:t>
      </w:r>
      <w:r w:rsidR="002056CD" w:rsidRPr="00A735D2">
        <w:rPr>
          <w:rFonts w:ascii="Franklin Gothic Book" w:hAnsi="Franklin Gothic Book"/>
        </w:rPr>
        <w:t xml:space="preserve">MSAC advised that incremental prognostic value for </w:t>
      </w:r>
      <w:r w:rsidR="00D50E5C" w:rsidRPr="00A735D2">
        <w:rPr>
          <w:rFonts w:ascii="Franklin Gothic Book" w:hAnsi="Franklin Gothic Book"/>
        </w:rPr>
        <w:t>EndoPredict</w:t>
      </w:r>
      <w:r w:rsidR="005F1260" w:rsidRPr="005F1260">
        <w:rPr>
          <w:rFonts w:ascii="Franklin Gothic Book" w:hAnsi="Franklin Gothic Book"/>
          <w:vertAlign w:val="superscript"/>
        </w:rPr>
        <w:t>®</w:t>
      </w:r>
      <w:r w:rsidR="002056CD" w:rsidRPr="00A735D2">
        <w:rPr>
          <w:rFonts w:ascii="Franklin Gothic Book" w:hAnsi="Franklin Gothic Book"/>
        </w:rPr>
        <w:t xml:space="preserve"> above what is currently used in clinical practice must be shown. Incremental prognostic value was </w:t>
      </w:r>
      <w:r w:rsidR="004739B1" w:rsidRPr="00A735D2">
        <w:rPr>
          <w:rFonts w:ascii="Franklin Gothic Book" w:hAnsi="Franklin Gothic Book"/>
        </w:rPr>
        <w:t>presented</w:t>
      </w:r>
      <w:r w:rsidR="002056CD" w:rsidRPr="00A735D2">
        <w:rPr>
          <w:rFonts w:ascii="Franklin Gothic Book" w:hAnsi="Franklin Gothic Book"/>
        </w:rPr>
        <w:t xml:space="preserve"> in </w:t>
      </w:r>
      <w:r w:rsidR="004739B1" w:rsidRPr="00A735D2">
        <w:rPr>
          <w:rFonts w:ascii="Franklin Gothic Book" w:hAnsi="Franklin Gothic Book"/>
        </w:rPr>
        <w:t xml:space="preserve">the 1408 </w:t>
      </w:r>
      <w:r w:rsidR="00197DB5">
        <w:rPr>
          <w:rFonts w:ascii="Franklin Gothic Book" w:hAnsi="Franklin Gothic Book"/>
          <w:iCs/>
        </w:rPr>
        <w:t>application</w:t>
      </w:r>
      <w:r w:rsidR="002056CD" w:rsidRPr="00A735D2">
        <w:rPr>
          <w:rFonts w:ascii="Franklin Gothic Book" w:hAnsi="Franklin Gothic Book"/>
        </w:rPr>
        <w:t xml:space="preserve">. The 1408.1 </w:t>
      </w:r>
      <w:r>
        <w:rPr>
          <w:rFonts w:ascii="Franklin Gothic Book" w:hAnsi="Franklin Gothic Book"/>
          <w:iCs/>
        </w:rPr>
        <w:t>ADAR provided some new evidence of incremental prognostic value (</w:t>
      </w:r>
      <w:r w:rsidR="0073546A">
        <w:rPr>
          <w:rFonts w:ascii="Franklin Gothic Book" w:hAnsi="Franklin Gothic Book"/>
          <w:iCs/>
        </w:rPr>
        <w:fldChar w:fldCharType="begin"/>
      </w:r>
      <w:r w:rsidR="0073546A">
        <w:rPr>
          <w:rFonts w:ascii="Franklin Gothic Book" w:hAnsi="Franklin Gothic Book"/>
          <w:iCs/>
        </w:rPr>
        <w:instrText xml:space="preserve"> REF _Ref111038575  \* MERGEFORMAT </w:instrText>
      </w:r>
      <w:r w:rsidR="0073546A">
        <w:rPr>
          <w:rFonts w:ascii="Franklin Gothic Book" w:hAnsi="Franklin Gothic Book"/>
          <w:iCs/>
        </w:rPr>
        <w:fldChar w:fldCharType="separate"/>
      </w:r>
      <w:r w:rsidR="00943826" w:rsidRPr="00943826">
        <w:rPr>
          <w:rFonts w:ascii="Franklin Gothic Book" w:hAnsi="Franklin Gothic Book"/>
          <w:iCs/>
        </w:rPr>
        <w:t>Table 8</w:t>
      </w:r>
      <w:r w:rsidR="0073546A">
        <w:rPr>
          <w:rFonts w:ascii="Franklin Gothic Book" w:hAnsi="Franklin Gothic Book"/>
          <w:iCs/>
        </w:rPr>
        <w:fldChar w:fldCharType="end"/>
      </w:r>
      <w:r>
        <w:rPr>
          <w:rFonts w:ascii="Franklin Gothic Book" w:hAnsi="Franklin Gothic Book"/>
          <w:iCs/>
        </w:rPr>
        <w:t>)</w:t>
      </w:r>
      <w:r w:rsidR="002056CD" w:rsidRPr="0073546A">
        <w:rPr>
          <w:rFonts w:ascii="Franklin Gothic Book" w:hAnsi="Franklin Gothic Book"/>
          <w:iCs/>
        </w:rPr>
        <w:t>.</w:t>
      </w:r>
    </w:p>
    <w:p w14:paraId="3A37A2E3" w14:textId="1459E32F" w:rsidR="0073546A" w:rsidRDefault="0073546A" w:rsidP="00F80877">
      <w:pPr>
        <w:pStyle w:val="Caption"/>
        <w:keepLines/>
      </w:pPr>
      <w:bookmarkStart w:id="43" w:name="_Ref111038575"/>
      <w:r>
        <w:t xml:space="preserve">Table </w:t>
      </w:r>
      <w:fldSimple w:instr=" SEQ Table \* ARABIC ">
        <w:r w:rsidR="00943826">
          <w:rPr>
            <w:noProof/>
          </w:rPr>
          <w:t>8</w:t>
        </w:r>
      </w:fldSimple>
      <w:bookmarkEnd w:id="43"/>
      <w:r>
        <w:tab/>
      </w:r>
      <w:r w:rsidRPr="002014DE">
        <w:t>New evidence in the 1408.1 ADAR for incremental prognostic value: EndoPredict</w:t>
      </w:r>
      <w:r w:rsidRPr="002014DE">
        <w:rPr>
          <w:vertAlign w:val="superscript"/>
        </w:rPr>
        <w:t>®</w:t>
      </w:r>
      <w:r w:rsidRPr="002014DE">
        <w:t xml:space="preserve"> against distant recurrence at 10 years</w:t>
      </w:r>
    </w:p>
    <w:tbl>
      <w:tblPr>
        <w:tblStyle w:val="TableGrid10"/>
        <w:tblW w:w="5000" w:type="pct"/>
        <w:tblCellMar>
          <w:left w:w="0" w:type="dxa"/>
          <w:right w:w="0" w:type="dxa"/>
        </w:tblCellMar>
        <w:tblLook w:val="04A0" w:firstRow="1" w:lastRow="0" w:firstColumn="1" w:lastColumn="0" w:noHBand="0" w:noVBand="1"/>
        <w:tblCaption w:val="Summary of prognostic accuracy in women with ER+, HER2– primary breast cancer who have undergone surgical tumour removal who are at intermediate risk of distant recurrence based on clinical markers of disease: EndoPredict against distant recurrence at 10 years"/>
        <w:tblDescription w:val="Summary of prognostic accuracy in women with ER+, HER2– primary breast cancer who have undergone surgical tumour removal who are at intermediate risk of distant recurrence based on clinical markers of disease: EndoPredict against distant recurrence at 10 years"/>
      </w:tblPr>
      <w:tblGrid>
        <w:gridCol w:w="1835"/>
        <w:gridCol w:w="1135"/>
        <w:gridCol w:w="1561"/>
        <w:gridCol w:w="994"/>
        <w:gridCol w:w="993"/>
        <w:gridCol w:w="1561"/>
        <w:gridCol w:w="937"/>
      </w:tblGrid>
      <w:tr w:rsidR="0073546A" w:rsidRPr="00BF490A" w14:paraId="1AC89EB3" w14:textId="77777777" w:rsidTr="007640A0">
        <w:trPr>
          <w:cnfStyle w:val="100000000000" w:firstRow="1" w:lastRow="0" w:firstColumn="0" w:lastColumn="0" w:oddVBand="0" w:evenVBand="0" w:oddHBand="0" w:evenHBand="0" w:firstRowFirstColumn="0" w:firstRowLastColumn="0" w:lastRowFirstColumn="0" w:lastRowLastColumn="0"/>
          <w:trHeight w:val="300"/>
          <w:tblHeader/>
        </w:trPr>
        <w:tc>
          <w:tcPr>
            <w:tcW w:w="1833" w:type="dxa"/>
            <w:vMerge w:val="restart"/>
            <w:tcMar>
              <w:top w:w="0" w:type="dxa"/>
              <w:left w:w="57" w:type="dxa"/>
              <w:bottom w:w="0" w:type="dxa"/>
              <w:right w:w="57" w:type="dxa"/>
            </w:tcMar>
            <w:hideMark/>
          </w:tcPr>
          <w:p w14:paraId="5E992E42" w14:textId="326D667C" w:rsidR="0073546A" w:rsidRPr="00BF490A" w:rsidRDefault="0073546A" w:rsidP="00F80877">
            <w:pPr>
              <w:keepNext/>
              <w:keepLines/>
              <w:rPr>
                <w:rFonts w:ascii="Arial Narrow" w:hAnsi="Arial Narrow" w:cs="Tahoma"/>
                <w:b/>
              </w:rPr>
            </w:pPr>
            <w:r w:rsidRPr="00BF490A">
              <w:rPr>
                <w:rFonts w:ascii="Arial Narrow" w:hAnsi="Arial Narrow" w:cs="Tahoma"/>
                <w:b/>
              </w:rPr>
              <w:t>Study ID</w:t>
            </w:r>
          </w:p>
        </w:tc>
        <w:tc>
          <w:tcPr>
            <w:tcW w:w="1134" w:type="dxa"/>
            <w:vMerge w:val="restart"/>
            <w:tcMar>
              <w:top w:w="0" w:type="dxa"/>
              <w:left w:w="57" w:type="dxa"/>
              <w:bottom w:w="0" w:type="dxa"/>
              <w:right w:w="57" w:type="dxa"/>
            </w:tcMar>
            <w:hideMark/>
          </w:tcPr>
          <w:p w14:paraId="2A95D41C" w14:textId="77777777" w:rsidR="0073546A" w:rsidRPr="00BF490A" w:rsidRDefault="0073546A" w:rsidP="00F80877">
            <w:pPr>
              <w:keepNext/>
              <w:keepLines/>
              <w:rPr>
                <w:rFonts w:ascii="Arial Narrow" w:hAnsi="Arial Narrow" w:cs="Tahoma"/>
                <w:b/>
              </w:rPr>
            </w:pPr>
            <w:r w:rsidRPr="00BF490A">
              <w:rPr>
                <w:rFonts w:ascii="Arial Narrow" w:hAnsi="Arial Narrow" w:cs="Tahoma"/>
                <w:b/>
              </w:rPr>
              <w:t>Study</w:t>
            </w:r>
          </w:p>
          <w:p w14:paraId="35907F0E" w14:textId="50F70BE4" w:rsidR="0073546A" w:rsidRPr="00BF490A" w:rsidRDefault="0073546A" w:rsidP="00F80877">
            <w:pPr>
              <w:keepNext/>
              <w:keepLines/>
              <w:rPr>
                <w:rFonts w:ascii="Arial Narrow" w:hAnsi="Arial Narrow" w:cs="Tahoma"/>
                <w:b/>
              </w:rPr>
            </w:pPr>
            <w:r w:rsidRPr="00BF490A">
              <w:rPr>
                <w:rFonts w:ascii="Arial Narrow" w:hAnsi="Arial Narrow" w:cs="Tahoma"/>
                <w:b/>
              </w:rPr>
              <w:t>cohort</w:t>
            </w:r>
          </w:p>
        </w:tc>
        <w:tc>
          <w:tcPr>
            <w:tcW w:w="1559" w:type="dxa"/>
            <w:vMerge w:val="restart"/>
            <w:tcMar>
              <w:top w:w="0" w:type="dxa"/>
              <w:left w:w="57" w:type="dxa"/>
              <w:bottom w:w="0" w:type="dxa"/>
              <w:right w:w="57" w:type="dxa"/>
            </w:tcMar>
            <w:hideMark/>
          </w:tcPr>
          <w:p w14:paraId="39AC8EEA" w14:textId="77777777" w:rsidR="0073546A" w:rsidRPr="00BF490A" w:rsidRDefault="0073546A" w:rsidP="00F80877">
            <w:pPr>
              <w:keepNext/>
              <w:keepLines/>
              <w:rPr>
                <w:rFonts w:ascii="Arial Narrow" w:hAnsi="Arial Narrow" w:cs="Tahoma"/>
                <w:b/>
              </w:rPr>
            </w:pPr>
            <w:r w:rsidRPr="00BF490A">
              <w:rPr>
                <w:rFonts w:ascii="Arial Narrow" w:hAnsi="Arial Narrow" w:cs="Tahoma"/>
                <w:b/>
              </w:rPr>
              <w:t>Clinical markers /</w:t>
            </w:r>
          </w:p>
          <w:p w14:paraId="03671734" w14:textId="2BF37DDA" w:rsidR="0073546A" w:rsidRPr="00BF490A" w:rsidRDefault="0073546A" w:rsidP="00F80877">
            <w:pPr>
              <w:keepNext/>
              <w:keepLines/>
              <w:rPr>
                <w:rFonts w:ascii="Arial Narrow" w:hAnsi="Arial Narrow" w:cs="Tahoma"/>
                <w:b/>
              </w:rPr>
            </w:pPr>
            <w:r w:rsidRPr="00BF490A">
              <w:rPr>
                <w:rFonts w:ascii="Arial Narrow" w:hAnsi="Arial Narrow" w:cs="Tahoma"/>
                <w:b/>
              </w:rPr>
              <w:t>Prognostic tool</w:t>
            </w:r>
          </w:p>
        </w:tc>
        <w:tc>
          <w:tcPr>
            <w:tcW w:w="1985" w:type="dxa"/>
            <w:gridSpan w:val="2"/>
            <w:tcMar>
              <w:top w:w="0" w:type="dxa"/>
              <w:left w:w="57" w:type="dxa"/>
              <w:bottom w:w="0" w:type="dxa"/>
              <w:right w:w="57" w:type="dxa"/>
            </w:tcMar>
            <w:vAlign w:val="center"/>
            <w:hideMark/>
          </w:tcPr>
          <w:p w14:paraId="6C74C518" w14:textId="6EC9A2FD" w:rsidR="0073546A" w:rsidRPr="00BF490A" w:rsidRDefault="0073546A" w:rsidP="00F80877">
            <w:pPr>
              <w:keepNext/>
              <w:keepLines/>
              <w:jc w:val="center"/>
              <w:rPr>
                <w:rFonts w:ascii="Arial Narrow" w:hAnsi="Arial Narrow" w:cs="Tahoma"/>
                <w:b/>
              </w:rPr>
            </w:pPr>
            <w:r w:rsidRPr="00BF490A">
              <w:rPr>
                <w:rFonts w:ascii="Arial Narrow" w:hAnsi="Arial Narrow" w:cs="Tahoma"/>
                <w:b/>
              </w:rPr>
              <w:t xml:space="preserve">DRR % </w:t>
            </w:r>
            <w:r w:rsidRPr="00BF490A">
              <w:rPr>
                <w:rFonts w:ascii="Arial Narrow" w:hAnsi="Arial Narrow" w:cs="Tahoma"/>
                <w:b/>
                <w:vertAlign w:val="superscript"/>
              </w:rPr>
              <w:t>a</w:t>
            </w:r>
          </w:p>
        </w:tc>
        <w:tc>
          <w:tcPr>
            <w:tcW w:w="1559" w:type="dxa"/>
            <w:vMerge w:val="restart"/>
            <w:tcMar>
              <w:top w:w="0" w:type="dxa"/>
              <w:left w:w="57" w:type="dxa"/>
              <w:bottom w:w="0" w:type="dxa"/>
              <w:right w:w="57" w:type="dxa"/>
            </w:tcMar>
            <w:hideMark/>
          </w:tcPr>
          <w:p w14:paraId="43F5551D" w14:textId="77777777" w:rsidR="0073546A" w:rsidRPr="00BF490A" w:rsidRDefault="0073546A" w:rsidP="00F80877">
            <w:pPr>
              <w:keepNext/>
              <w:keepLines/>
              <w:jc w:val="center"/>
              <w:rPr>
                <w:rFonts w:ascii="Arial Narrow" w:hAnsi="Arial Narrow" w:cs="Tahoma"/>
                <w:b/>
              </w:rPr>
            </w:pPr>
            <w:r w:rsidRPr="00BF490A">
              <w:rPr>
                <w:rFonts w:ascii="Arial Narrow" w:hAnsi="Arial Narrow" w:cs="Tahoma"/>
                <w:b/>
              </w:rPr>
              <w:t>HR</w:t>
            </w:r>
          </w:p>
          <w:p w14:paraId="56BA24AD" w14:textId="35CF17DF" w:rsidR="0073546A" w:rsidRPr="00BF490A" w:rsidRDefault="0073546A" w:rsidP="00F80877">
            <w:pPr>
              <w:keepNext/>
              <w:keepLines/>
              <w:jc w:val="center"/>
              <w:rPr>
                <w:rFonts w:ascii="Arial Narrow" w:hAnsi="Arial Narrow" w:cs="Tahoma"/>
                <w:b/>
              </w:rPr>
            </w:pPr>
            <w:r w:rsidRPr="00BF490A">
              <w:rPr>
                <w:rFonts w:ascii="Arial Narrow" w:hAnsi="Arial Narrow" w:cs="Tahoma"/>
                <w:b/>
              </w:rPr>
              <w:t>(95% CI)</w:t>
            </w:r>
          </w:p>
        </w:tc>
        <w:tc>
          <w:tcPr>
            <w:tcW w:w="936" w:type="dxa"/>
            <w:vMerge w:val="restart"/>
            <w:tcMar>
              <w:top w:w="0" w:type="dxa"/>
              <w:left w:w="57" w:type="dxa"/>
              <w:bottom w:w="0" w:type="dxa"/>
              <w:right w:w="57" w:type="dxa"/>
            </w:tcMar>
            <w:hideMark/>
          </w:tcPr>
          <w:p w14:paraId="6402E8B8" w14:textId="77777777" w:rsidR="0073546A" w:rsidRPr="00BF490A" w:rsidRDefault="0073546A" w:rsidP="00F80877">
            <w:pPr>
              <w:keepNext/>
              <w:keepLines/>
              <w:jc w:val="center"/>
              <w:rPr>
                <w:rFonts w:ascii="Arial Narrow" w:hAnsi="Arial Narrow" w:cs="Tahoma"/>
                <w:b/>
              </w:rPr>
            </w:pPr>
            <w:r w:rsidRPr="00BF490A">
              <w:rPr>
                <w:rFonts w:ascii="Arial Narrow" w:hAnsi="Arial Narrow" w:cs="Tahoma"/>
                <w:b/>
              </w:rPr>
              <w:t>p-value</w:t>
            </w:r>
          </w:p>
          <w:p w14:paraId="3E1DDD89" w14:textId="057F3866" w:rsidR="0073546A" w:rsidRPr="00BF490A" w:rsidRDefault="0073546A" w:rsidP="00F80877">
            <w:pPr>
              <w:keepNext/>
              <w:keepLines/>
              <w:jc w:val="center"/>
              <w:rPr>
                <w:rFonts w:ascii="Arial Narrow" w:hAnsi="Arial Narrow" w:cs="Tahoma"/>
                <w:b/>
              </w:rPr>
            </w:pPr>
            <w:r w:rsidRPr="00BF490A">
              <w:rPr>
                <w:rFonts w:ascii="Arial Narrow" w:hAnsi="Arial Narrow" w:cs="Tahoma"/>
                <w:b/>
              </w:rPr>
              <w:t>(</w:t>
            </w:r>
            <w:r w:rsidR="00457FE3" w:rsidRPr="00BF490A">
              <w:rPr>
                <w:rFonts w:ascii="Arial Narrow" w:hAnsi="Arial Narrow" w:cs="Tahoma"/>
                <w:b/>
              </w:rPr>
              <w:t>log r</w:t>
            </w:r>
            <w:r w:rsidRPr="00BF490A">
              <w:rPr>
                <w:rFonts w:ascii="Arial Narrow" w:hAnsi="Arial Narrow" w:cs="Tahoma"/>
                <w:b/>
              </w:rPr>
              <w:t>ank)</w:t>
            </w:r>
          </w:p>
        </w:tc>
      </w:tr>
      <w:tr w:rsidR="0073546A" w:rsidRPr="00BF490A" w14:paraId="28BAF6AE" w14:textId="77777777" w:rsidTr="007640A0">
        <w:trPr>
          <w:cnfStyle w:val="100000000000" w:firstRow="1" w:lastRow="0" w:firstColumn="0" w:lastColumn="0" w:oddVBand="0" w:evenVBand="0" w:oddHBand="0" w:evenHBand="0" w:firstRowFirstColumn="0" w:firstRowLastColumn="0" w:lastRowFirstColumn="0" w:lastRowLastColumn="0"/>
          <w:trHeight w:val="300"/>
          <w:tblHeader/>
        </w:trPr>
        <w:tc>
          <w:tcPr>
            <w:tcW w:w="1833" w:type="dxa"/>
            <w:vMerge/>
            <w:tcMar>
              <w:top w:w="0" w:type="dxa"/>
              <w:left w:w="57" w:type="dxa"/>
              <w:bottom w:w="0" w:type="dxa"/>
              <w:right w:w="57" w:type="dxa"/>
            </w:tcMar>
          </w:tcPr>
          <w:p w14:paraId="1D7CE8E9" w14:textId="77777777" w:rsidR="0073546A" w:rsidRPr="00BF490A" w:rsidRDefault="0073546A" w:rsidP="00F80877">
            <w:pPr>
              <w:keepNext/>
              <w:keepLines/>
              <w:rPr>
                <w:rFonts w:ascii="Arial Narrow" w:hAnsi="Arial Narrow" w:cs="Tahoma"/>
              </w:rPr>
            </w:pPr>
          </w:p>
        </w:tc>
        <w:tc>
          <w:tcPr>
            <w:tcW w:w="1134" w:type="dxa"/>
            <w:vMerge/>
            <w:tcMar>
              <w:top w:w="0" w:type="dxa"/>
              <w:left w:w="57" w:type="dxa"/>
              <w:bottom w:w="0" w:type="dxa"/>
              <w:right w:w="57" w:type="dxa"/>
            </w:tcMar>
            <w:hideMark/>
          </w:tcPr>
          <w:p w14:paraId="5BFFE8BE" w14:textId="5EA2E771" w:rsidR="0073546A" w:rsidRPr="00BF490A" w:rsidRDefault="0073546A" w:rsidP="00F80877">
            <w:pPr>
              <w:keepNext/>
              <w:keepLines/>
              <w:rPr>
                <w:rFonts w:ascii="Arial Narrow" w:hAnsi="Arial Narrow" w:cs="Tahoma"/>
              </w:rPr>
            </w:pPr>
          </w:p>
        </w:tc>
        <w:tc>
          <w:tcPr>
            <w:tcW w:w="1559" w:type="dxa"/>
            <w:vMerge/>
            <w:tcMar>
              <w:top w:w="0" w:type="dxa"/>
              <w:left w:w="57" w:type="dxa"/>
              <w:bottom w:w="0" w:type="dxa"/>
              <w:right w:w="57" w:type="dxa"/>
            </w:tcMar>
            <w:hideMark/>
          </w:tcPr>
          <w:p w14:paraId="0390A069" w14:textId="4BDEB402" w:rsidR="0073546A" w:rsidRPr="00BF490A" w:rsidRDefault="0073546A" w:rsidP="00F80877">
            <w:pPr>
              <w:keepNext/>
              <w:keepLines/>
              <w:rPr>
                <w:rFonts w:ascii="Arial Narrow" w:hAnsi="Arial Narrow" w:cs="Tahoma"/>
                <w:b/>
              </w:rPr>
            </w:pPr>
          </w:p>
        </w:tc>
        <w:tc>
          <w:tcPr>
            <w:tcW w:w="993" w:type="dxa"/>
            <w:tcMar>
              <w:top w:w="0" w:type="dxa"/>
              <w:left w:w="57" w:type="dxa"/>
              <w:bottom w:w="0" w:type="dxa"/>
              <w:right w:w="57" w:type="dxa"/>
            </w:tcMar>
            <w:vAlign w:val="center"/>
            <w:hideMark/>
          </w:tcPr>
          <w:p w14:paraId="5E669863" w14:textId="2D88A696" w:rsidR="0073546A" w:rsidRPr="00BF490A" w:rsidRDefault="0073546A" w:rsidP="00F80877">
            <w:pPr>
              <w:keepNext/>
              <w:keepLines/>
              <w:jc w:val="center"/>
              <w:rPr>
                <w:rFonts w:ascii="Arial Narrow" w:hAnsi="Arial Narrow" w:cs="Tahoma"/>
                <w:b/>
              </w:rPr>
            </w:pPr>
            <w:r w:rsidRPr="00BF490A">
              <w:rPr>
                <w:rFonts w:ascii="Arial Narrow" w:hAnsi="Arial Narrow" w:cs="Tahoma"/>
                <w:b/>
              </w:rPr>
              <w:t>Low risk</w:t>
            </w:r>
          </w:p>
        </w:tc>
        <w:tc>
          <w:tcPr>
            <w:tcW w:w="992" w:type="dxa"/>
            <w:tcMar>
              <w:top w:w="0" w:type="dxa"/>
              <w:left w:w="57" w:type="dxa"/>
              <w:bottom w:w="0" w:type="dxa"/>
              <w:right w:w="57" w:type="dxa"/>
            </w:tcMar>
            <w:vAlign w:val="center"/>
            <w:hideMark/>
          </w:tcPr>
          <w:p w14:paraId="20F0E94E" w14:textId="6E6BA387" w:rsidR="0073546A" w:rsidRPr="00BF490A" w:rsidRDefault="0073546A" w:rsidP="00F80877">
            <w:pPr>
              <w:keepNext/>
              <w:keepLines/>
              <w:jc w:val="center"/>
              <w:rPr>
                <w:rFonts w:ascii="Arial Narrow" w:hAnsi="Arial Narrow" w:cs="Tahoma"/>
                <w:b/>
              </w:rPr>
            </w:pPr>
            <w:r w:rsidRPr="00BF490A">
              <w:rPr>
                <w:rFonts w:ascii="Arial Narrow" w:hAnsi="Arial Narrow" w:cs="Tahoma"/>
                <w:b/>
              </w:rPr>
              <w:t>High risk</w:t>
            </w:r>
          </w:p>
        </w:tc>
        <w:tc>
          <w:tcPr>
            <w:tcW w:w="1559" w:type="dxa"/>
            <w:vMerge/>
            <w:tcMar>
              <w:top w:w="0" w:type="dxa"/>
              <w:left w:w="57" w:type="dxa"/>
              <w:bottom w:w="0" w:type="dxa"/>
              <w:right w:w="57" w:type="dxa"/>
            </w:tcMar>
            <w:hideMark/>
          </w:tcPr>
          <w:p w14:paraId="553318EC" w14:textId="76F584D2" w:rsidR="0073546A" w:rsidRPr="00BF490A" w:rsidRDefault="0073546A" w:rsidP="00F80877">
            <w:pPr>
              <w:keepNext/>
              <w:keepLines/>
              <w:jc w:val="center"/>
              <w:rPr>
                <w:rFonts w:ascii="Arial Narrow" w:hAnsi="Arial Narrow" w:cs="Tahoma"/>
                <w:b/>
              </w:rPr>
            </w:pPr>
          </w:p>
        </w:tc>
        <w:tc>
          <w:tcPr>
            <w:tcW w:w="936" w:type="dxa"/>
            <w:vMerge/>
            <w:tcMar>
              <w:top w:w="0" w:type="dxa"/>
              <w:left w:w="57" w:type="dxa"/>
              <w:bottom w:w="0" w:type="dxa"/>
              <w:right w:w="57" w:type="dxa"/>
            </w:tcMar>
            <w:hideMark/>
          </w:tcPr>
          <w:p w14:paraId="244FE96E" w14:textId="14E65977" w:rsidR="0073546A" w:rsidRPr="00BF490A" w:rsidRDefault="0073546A" w:rsidP="00F80877">
            <w:pPr>
              <w:keepNext/>
              <w:keepLines/>
              <w:jc w:val="center"/>
              <w:rPr>
                <w:rFonts w:ascii="Arial Narrow" w:hAnsi="Arial Narrow" w:cs="Tahoma"/>
                <w:b/>
              </w:rPr>
            </w:pPr>
          </w:p>
        </w:tc>
      </w:tr>
      <w:tr w:rsidR="002014DE" w:rsidRPr="00BF490A" w14:paraId="3F740B8A" w14:textId="77777777" w:rsidTr="007640A0">
        <w:trPr>
          <w:trHeight w:val="270"/>
        </w:trPr>
        <w:tc>
          <w:tcPr>
            <w:tcW w:w="1833" w:type="dxa"/>
            <w:tcMar>
              <w:top w:w="0" w:type="dxa"/>
              <w:left w:w="57" w:type="dxa"/>
              <w:bottom w:w="0" w:type="dxa"/>
              <w:right w:w="57" w:type="dxa"/>
            </w:tcMar>
          </w:tcPr>
          <w:p w14:paraId="79D3831A" w14:textId="55A914AA" w:rsidR="002014DE" w:rsidRPr="00BF490A" w:rsidRDefault="002014DE" w:rsidP="00F80877">
            <w:pPr>
              <w:keepNext/>
              <w:keepLines/>
              <w:rPr>
                <w:rFonts w:cs="Tahoma"/>
              </w:rPr>
            </w:pPr>
            <w:r w:rsidRPr="00BF490A">
              <w:rPr>
                <w:rFonts w:cs="Tahoma"/>
              </w:rPr>
              <w:t xml:space="preserve">Ettl 2020 </w:t>
            </w:r>
            <w:r w:rsidR="009F2FA8" w:rsidRPr="00BF490A">
              <w:rPr>
                <w:rFonts w:cs="Tahoma"/>
                <w:vertAlign w:val="superscript"/>
              </w:rPr>
              <w:t>f</w:t>
            </w:r>
          </w:p>
        </w:tc>
        <w:tc>
          <w:tcPr>
            <w:tcW w:w="1134" w:type="dxa"/>
            <w:tcMar>
              <w:top w:w="0" w:type="dxa"/>
              <w:left w:w="57" w:type="dxa"/>
              <w:bottom w:w="0" w:type="dxa"/>
              <w:right w:w="57" w:type="dxa"/>
            </w:tcMar>
            <w:hideMark/>
          </w:tcPr>
          <w:p w14:paraId="4259863D" w14:textId="77777777" w:rsidR="002014DE" w:rsidRPr="00BF490A" w:rsidRDefault="002014DE" w:rsidP="00F80877">
            <w:pPr>
              <w:keepNext/>
              <w:keepLines/>
              <w:rPr>
                <w:rFonts w:cs="Tahoma"/>
              </w:rPr>
            </w:pPr>
            <w:r w:rsidRPr="00BF490A">
              <w:rPr>
                <w:rFonts w:cs="Tahoma"/>
              </w:rPr>
              <w:t>ABCSG-6&amp;8</w:t>
            </w:r>
          </w:p>
        </w:tc>
        <w:tc>
          <w:tcPr>
            <w:tcW w:w="1559" w:type="dxa"/>
            <w:tcMar>
              <w:top w:w="0" w:type="dxa"/>
              <w:left w:w="57" w:type="dxa"/>
              <w:bottom w:w="0" w:type="dxa"/>
              <w:right w:w="57" w:type="dxa"/>
            </w:tcMar>
            <w:vAlign w:val="center"/>
            <w:hideMark/>
          </w:tcPr>
          <w:p w14:paraId="7F7FAD7F" w14:textId="77777777" w:rsidR="002014DE" w:rsidRPr="00BF490A" w:rsidRDefault="002014DE" w:rsidP="00F80877">
            <w:pPr>
              <w:keepNext/>
              <w:keepLines/>
              <w:rPr>
                <w:rFonts w:cs="Tahoma"/>
              </w:rPr>
            </w:pPr>
            <w:r w:rsidRPr="00BF490A">
              <w:rPr>
                <w:rFonts w:cs="Tahoma"/>
              </w:rPr>
              <w:t>EPclin</w:t>
            </w:r>
          </w:p>
        </w:tc>
        <w:tc>
          <w:tcPr>
            <w:tcW w:w="993" w:type="dxa"/>
            <w:tcMar>
              <w:top w:w="0" w:type="dxa"/>
              <w:left w:w="57" w:type="dxa"/>
              <w:bottom w:w="0" w:type="dxa"/>
              <w:right w:w="57" w:type="dxa"/>
            </w:tcMar>
            <w:vAlign w:val="center"/>
            <w:hideMark/>
          </w:tcPr>
          <w:p w14:paraId="602FCB15" w14:textId="7CE65731" w:rsidR="002014DE" w:rsidRPr="00BF490A" w:rsidRDefault="002014DE" w:rsidP="00F80877">
            <w:pPr>
              <w:keepNext/>
              <w:keepLines/>
              <w:jc w:val="center"/>
              <w:rPr>
                <w:rFonts w:cs="Tahoma"/>
              </w:rPr>
            </w:pPr>
            <w:r w:rsidRPr="00BF490A">
              <w:rPr>
                <w:rFonts w:cs="Tahoma"/>
              </w:rPr>
              <w:t xml:space="preserve">0.4 </w:t>
            </w:r>
            <w:r w:rsidR="009F2FA8" w:rsidRPr="00BF490A">
              <w:rPr>
                <w:rFonts w:cs="Tahoma"/>
                <w:vertAlign w:val="superscript"/>
              </w:rPr>
              <w:t>b</w:t>
            </w:r>
            <w:r w:rsidRPr="00BF490A">
              <w:rPr>
                <w:rFonts w:cs="Tahoma"/>
                <w:vertAlign w:val="superscript"/>
              </w:rPr>
              <w:t xml:space="preserve">, </w:t>
            </w:r>
            <w:r w:rsidR="009F2FA8" w:rsidRPr="00BF490A">
              <w:rPr>
                <w:rFonts w:cs="Tahoma"/>
                <w:vertAlign w:val="superscript"/>
              </w:rPr>
              <w:t>c</w:t>
            </w:r>
          </w:p>
        </w:tc>
        <w:tc>
          <w:tcPr>
            <w:tcW w:w="992" w:type="dxa"/>
            <w:tcMar>
              <w:top w:w="0" w:type="dxa"/>
              <w:left w:w="57" w:type="dxa"/>
              <w:bottom w:w="0" w:type="dxa"/>
              <w:right w:w="57" w:type="dxa"/>
            </w:tcMar>
            <w:vAlign w:val="center"/>
            <w:hideMark/>
          </w:tcPr>
          <w:p w14:paraId="248EDED7" w14:textId="7CDB9306" w:rsidR="002014DE" w:rsidRPr="00BF490A" w:rsidRDefault="002014DE" w:rsidP="00F80877">
            <w:pPr>
              <w:keepNext/>
              <w:keepLines/>
              <w:jc w:val="center"/>
              <w:rPr>
                <w:rFonts w:cs="Tahoma"/>
              </w:rPr>
            </w:pPr>
            <w:r w:rsidRPr="00BF490A">
              <w:rPr>
                <w:rFonts w:cs="Tahoma"/>
              </w:rPr>
              <w:t xml:space="preserve">2.4 </w:t>
            </w:r>
            <w:r w:rsidR="009F2FA8" w:rsidRPr="00BF490A">
              <w:rPr>
                <w:rFonts w:cs="Tahoma"/>
                <w:vertAlign w:val="superscript"/>
              </w:rPr>
              <w:t>b</w:t>
            </w:r>
            <w:r w:rsidRPr="00BF490A">
              <w:rPr>
                <w:rFonts w:cs="Tahoma"/>
                <w:vertAlign w:val="superscript"/>
              </w:rPr>
              <w:t xml:space="preserve">, </w:t>
            </w:r>
            <w:r w:rsidR="009F2FA8" w:rsidRPr="00BF490A">
              <w:rPr>
                <w:rFonts w:cs="Tahoma"/>
                <w:vertAlign w:val="superscript"/>
              </w:rPr>
              <w:t>c</w:t>
            </w:r>
          </w:p>
        </w:tc>
        <w:tc>
          <w:tcPr>
            <w:tcW w:w="1559" w:type="dxa"/>
            <w:tcMar>
              <w:top w:w="0" w:type="dxa"/>
              <w:left w:w="57" w:type="dxa"/>
              <w:bottom w:w="0" w:type="dxa"/>
              <w:right w:w="57" w:type="dxa"/>
            </w:tcMar>
            <w:vAlign w:val="center"/>
            <w:hideMark/>
          </w:tcPr>
          <w:p w14:paraId="18079B66" w14:textId="77777777" w:rsidR="002014DE" w:rsidRPr="00BF490A" w:rsidRDefault="002014DE" w:rsidP="00F80877">
            <w:pPr>
              <w:keepNext/>
              <w:keepLines/>
              <w:jc w:val="center"/>
              <w:rPr>
                <w:rFonts w:cs="Tahoma"/>
              </w:rPr>
            </w:pPr>
            <w:r w:rsidRPr="00BF490A">
              <w:rPr>
                <w:rFonts w:cs="Tahoma"/>
              </w:rPr>
              <w:t>5.18 (1.04, 25.74)</w:t>
            </w:r>
          </w:p>
        </w:tc>
        <w:tc>
          <w:tcPr>
            <w:tcW w:w="936" w:type="dxa"/>
            <w:tcMar>
              <w:top w:w="0" w:type="dxa"/>
              <w:left w:w="57" w:type="dxa"/>
              <w:bottom w:w="0" w:type="dxa"/>
              <w:right w:w="57" w:type="dxa"/>
            </w:tcMar>
            <w:vAlign w:val="center"/>
            <w:hideMark/>
          </w:tcPr>
          <w:p w14:paraId="76E161DB" w14:textId="77777777" w:rsidR="002014DE" w:rsidRPr="00BF490A" w:rsidRDefault="002014DE" w:rsidP="00F80877">
            <w:pPr>
              <w:keepNext/>
              <w:keepLines/>
              <w:jc w:val="center"/>
              <w:rPr>
                <w:rFonts w:cs="Tahoma"/>
              </w:rPr>
            </w:pPr>
            <w:r w:rsidRPr="00BF490A">
              <w:rPr>
                <w:rFonts w:cs="Tahoma"/>
              </w:rPr>
              <w:t>0.044</w:t>
            </w:r>
          </w:p>
        </w:tc>
      </w:tr>
      <w:tr w:rsidR="002014DE" w:rsidRPr="00BF490A" w14:paraId="69ACFBC1" w14:textId="77777777" w:rsidTr="007640A0">
        <w:trPr>
          <w:trHeight w:val="270"/>
        </w:trPr>
        <w:tc>
          <w:tcPr>
            <w:tcW w:w="1833" w:type="dxa"/>
            <w:tcMar>
              <w:top w:w="0" w:type="dxa"/>
              <w:left w:w="57" w:type="dxa"/>
              <w:bottom w:w="0" w:type="dxa"/>
              <w:right w:w="57" w:type="dxa"/>
            </w:tcMar>
            <w:hideMark/>
          </w:tcPr>
          <w:p w14:paraId="61EB8612" w14:textId="0D63FAC2" w:rsidR="002014DE" w:rsidRPr="00BF490A" w:rsidRDefault="002014DE" w:rsidP="00F80877">
            <w:pPr>
              <w:keepNext/>
              <w:keepLines/>
              <w:rPr>
                <w:rFonts w:cs="Tahoma"/>
              </w:rPr>
            </w:pPr>
            <w:r w:rsidRPr="00BF490A">
              <w:rPr>
                <w:rFonts w:cs="Tahoma"/>
              </w:rPr>
              <w:t xml:space="preserve">Penault-Llorca </w:t>
            </w:r>
            <w:r w:rsidR="009F2FA8" w:rsidRPr="00BF490A">
              <w:rPr>
                <w:rFonts w:cs="Tahoma"/>
                <w:vertAlign w:val="superscript"/>
              </w:rPr>
              <w:t>f</w:t>
            </w:r>
            <w:r w:rsidRPr="00BF490A">
              <w:rPr>
                <w:rFonts w:cs="Tahoma"/>
              </w:rPr>
              <w:t xml:space="preserve"> 2021</w:t>
            </w:r>
            <w:r w:rsidR="00784BAA" w:rsidRPr="00BF490A">
              <w:rPr>
                <w:rStyle w:val="FootnoteReference"/>
                <w:rFonts w:cs="Tahoma"/>
              </w:rPr>
              <w:footnoteReference w:id="8"/>
            </w:r>
          </w:p>
        </w:tc>
        <w:tc>
          <w:tcPr>
            <w:tcW w:w="1134" w:type="dxa"/>
            <w:tcMar>
              <w:top w:w="0" w:type="dxa"/>
              <w:left w:w="57" w:type="dxa"/>
              <w:bottom w:w="0" w:type="dxa"/>
              <w:right w:w="57" w:type="dxa"/>
            </w:tcMar>
            <w:hideMark/>
          </w:tcPr>
          <w:p w14:paraId="238351AF" w14:textId="77777777" w:rsidR="002014DE" w:rsidRPr="00BF490A" w:rsidRDefault="002014DE" w:rsidP="00F80877">
            <w:pPr>
              <w:keepNext/>
              <w:keepLines/>
              <w:rPr>
                <w:rFonts w:cs="Tahoma"/>
              </w:rPr>
            </w:pPr>
            <w:r w:rsidRPr="00BF490A">
              <w:rPr>
                <w:rFonts w:cs="Tahoma"/>
              </w:rPr>
              <w:t>UNIRAD</w:t>
            </w:r>
          </w:p>
        </w:tc>
        <w:tc>
          <w:tcPr>
            <w:tcW w:w="1559" w:type="dxa"/>
            <w:tcMar>
              <w:top w:w="0" w:type="dxa"/>
              <w:left w:w="57" w:type="dxa"/>
              <w:bottom w:w="0" w:type="dxa"/>
              <w:right w:w="57" w:type="dxa"/>
            </w:tcMar>
            <w:vAlign w:val="center"/>
            <w:hideMark/>
          </w:tcPr>
          <w:p w14:paraId="7FE164B0" w14:textId="77777777" w:rsidR="002014DE" w:rsidRPr="00BF490A" w:rsidRDefault="002014DE" w:rsidP="00F80877">
            <w:pPr>
              <w:keepNext/>
              <w:keepLines/>
              <w:rPr>
                <w:rFonts w:cs="Tahoma"/>
              </w:rPr>
            </w:pPr>
            <w:r w:rsidRPr="00BF490A">
              <w:rPr>
                <w:rFonts w:cs="Tahoma"/>
              </w:rPr>
              <w:t>EPclin</w:t>
            </w:r>
          </w:p>
        </w:tc>
        <w:tc>
          <w:tcPr>
            <w:tcW w:w="993" w:type="dxa"/>
            <w:tcMar>
              <w:top w:w="0" w:type="dxa"/>
              <w:left w:w="57" w:type="dxa"/>
              <w:bottom w:w="0" w:type="dxa"/>
              <w:right w:w="57" w:type="dxa"/>
            </w:tcMar>
            <w:vAlign w:val="center"/>
            <w:hideMark/>
          </w:tcPr>
          <w:p w14:paraId="04E0A409" w14:textId="0EA4425F" w:rsidR="002014DE" w:rsidRPr="00BF490A" w:rsidRDefault="002014DE" w:rsidP="00F80877">
            <w:pPr>
              <w:keepNext/>
              <w:keepLines/>
              <w:jc w:val="center"/>
              <w:rPr>
                <w:rFonts w:cs="Tahoma"/>
              </w:rPr>
            </w:pPr>
            <w:r w:rsidRPr="00BF490A">
              <w:rPr>
                <w:rFonts w:cs="Tahoma"/>
              </w:rPr>
              <w:t xml:space="preserve">0 </w:t>
            </w:r>
            <w:r w:rsidR="009F2FA8" w:rsidRPr="00BF490A">
              <w:rPr>
                <w:rFonts w:cs="Tahoma"/>
                <w:vertAlign w:val="superscript"/>
              </w:rPr>
              <w:t>d</w:t>
            </w:r>
          </w:p>
        </w:tc>
        <w:tc>
          <w:tcPr>
            <w:tcW w:w="992" w:type="dxa"/>
            <w:tcMar>
              <w:top w:w="0" w:type="dxa"/>
              <w:left w:w="57" w:type="dxa"/>
              <w:bottom w:w="0" w:type="dxa"/>
              <w:right w:w="57" w:type="dxa"/>
            </w:tcMar>
            <w:vAlign w:val="center"/>
            <w:hideMark/>
          </w:tcPr>
          <w:p w14:paraId="3901968E" w14:textId="4E92ED49" w:rsidR="002014DE" w:rsidRPr="00BF490A" w:rsidRDefault="002014DE" w:rsidP="00F80877">
            <w:pPr>
              <w:keepNext/>
              <w:keepLines/>
              <w:jc w:val="center"/>
              <w:rPr>
                <w:rFonts w:cs="Tahoma"/>
              </w:rPr>
            </w:pPr>
            <w:r w:rsidRPr="00BF490A">
              <w:rPr>
                <w:rFonts w:cs="Tahoma"/>
              </w:rPr>
              <w:t xml:space="preserve">5.4 </w:t>
            </w:r>
            <w:r w:rsidR="009F2FA8" w:rsidRPr="00BF490A">
              <w:rPr>
                <w:rFonts w:cs="Tahoma"/>
                <w:vertAlign w:val="superscript"/>
              </w:rPr>
              <w:t>d</w:t>
            </w:r>
          </w:p>
        </w:tc>
        <w:tc>
          <w:tcPr>
            <w:tcW w:w="1559" w:type="dxa"/>
            <w:tcMar>
              <w:top w:w="0" w:type="dxa"/>
              <w:left w:w="57" w:type="dxa"/>
              <w:bottom w:w="0" w:type="dxa"/>
              <w:right w:w="57" w:type="dxa"/>
            </w:tcMar>
            <w:vAlign w:val="center"/>
            <w:hideMark/>
          </w:tcPr>
          <w:p w14:paraId="0CF9A2A6" w14:textId="75A5DAE4" w:rsidR="002014DE" w:rsidRPr="00BF490A" w:rsidRDefault="002014DE" w:rsidP="00F80877">
            <w:pPr>
              <w:keepNext/>
              <w:keepLines/>
              <w:jc w:val="center"/>
              <w:rPr>
                <w:rFonts w:cs="Tahoma"/>
              </w:rPr>
            </w:pPr>
            <w:r w:rsidRPr="00BF490A">
              <w:rPr>
                <w:rFonts w:cs="Tahoma"/>
              </w:rPr>
              <w:t xml:space="preserve">N/A </w:t>
            </w:r>
            <w:r w:rsidR="009F2FA8" w:rsidRPr="00BF490A">
              <w:rPr>
                <w:rFonts w:cs="Tahoma"/>
                <w:vertAlign w:val="superscript"/>
              </w:rPr>
              <w:t>e</w:t>
            </w:r>
          </w:p>
        </w:tc>
        <w:tc>
          <w:tcPr>
            <w:tcW w:w="936" w:type="dxa"/>
            <w:tcMar>
              <w:top w:w="0" w:type="dxa"/>
              <w:left w:w="57" w:type="dxa"/>
              <w:bottom w:w="0" w:type="dxa"/>
              <w:right w:w="57" w:type="dxa"/>
            </w:tcMar>
            <w:vAlign w:val="center"/>
            <w:hideMark/>
          </w:tcPr>
          <w:p w14:paraId="5FE184B5" w14:textId="77777777" w:rsidR="002014DE" w:rsidRPr="00BF490A" w:rsidRDefault="002014DE" w:rsidP="00F80877">
            <w:pPr>
              <w:keepNext/>
              <w:keepLines/>
              <w:jc w:val="center"/>
              <w:rPr>
                <w:rFonts w:cs="Tahoma"/>
              </w:rPr>
            </w:pPr>
            <w:r w:rsidRPr="00BF490A">
              <w:rPr>
                <w:rFonts w:cs="Tahoma"/>
              </w:rPr>
              <w:t>0.0189</w:t>
            </w:r>
          </w:p>
        </w:tc>
      </w:tr>
    </w:tbl>
    <w:p w14:paraId="1D1B52B1" w14:textId="58D94B06" w:rsidR="00F80877" w:rsidRPr="002014DE" w:rsidRDefault="00F80877" w:rsidP="000F0726">
      <w:pPr>
        <w:pStyle w:val="Tablenotes0"/>
        <w:keepNext/>
        <w:spacing w:before="0"/>
      </w:pPr>
      <w:r w:rsidRPr="00F80877">
        <w:rPr>
          <w:vertAlign w:val="superscript"/>
        </w:rPr>
        <w:t>a</w:t>
      </w:r>
      <w:r w:rsidRPr="002014DE">
        <w:t xml:space="preserve"> Percentages indicate the Kaplan-Mei</w:t>
      </w:r>
      <w:r>
        <w:t>e</w:t>
      </w:r>
      <w:r w:rsidRPr="002014DE">
        <w:t>r survival estimate within 10 years</w:t>
      </w:r>
    </w:p>
    <w:p w14:paraId="3C4015AF" w14:textId="47F03A74" w:rsidR="00F80877" w:rsidRPr="002014DE" w:rsidRDefault="00F80877" w:rsidP="00F80877">
      <w:pPr>
        <w:pStyle w:val="Tablenotes0"/>
        <w:keepNext/>
      </w:pPr>
      <w:r w:rsidRPr="00F80877">
        <w:rPr>
          <w:vertAlign w:val="superscript"/>
        </w:rPr>
        <w:t>b</w:t>
      </w:r>
      <w:r w:rsidRPr="002014DE">
        <w:t xml:space="preserve"> Reported 3-year DMFS</w:t>
      </w:r>
    </w:p>
    <w:p w14:paraId="018CBC0F" w14:textId="65FF5FD0" w:rsidR="00F80877" w:rsidRPr="002014DE" w:rsidRDefault="00F80877" w:rsidP="00F80877">
      <w:pPr>
        <w:pStyle w:val="Tablenotes0"/>
        <w:keepNext/>
      </w:pPr>
      <w:r w:rsidRPr="00F80877">
        <w:rPr>
          <w:vertAlign w:val="superscript"/>
        </w:rPr>
        <w:t>c</w:t>
      </w:r>
      <w:r w:rsidRPr="002014DE">
        <w:t xml:space="preserve"> Recurrence risk calculated through subtraction of %DMFS from 100%</w:t>
      </w:r>
    </w:p>
    <w:p w14:paraId="0F174AFE" w14:textId="110B8914" w:rsidR="00F80877" w:rsidRPr="002014DE" w:rsidRDefault="00F80877" w:rsidP="00F80877">
      <w:pPr>
        <w:pStyle w:val="Tablenotes0"/>
        <w:keepNext/>
      </w:pPr>
      <w:r w:rsidRPr="00F80877">
        <w:rPr>
          <w:vertAlign w:val="superscript"/>
        </w:rPr>
        <w:t>d</w:t>
      </w:r>
      <w:r w:rsidRPr="002014DE">
        <w:t xml:space="preserve"> Reported rate of events at 60 months for MFS</w:t>
      </w:r>
    </w:p>
    <w:p w14:paraId="0BA4A6F4" w14:textId="68B540DE" w:rsidR="00F80877" w:rsidRPr="002014DE" w:rsidRDefault="00F80877" w:rsidP="00F80877">
      <w:pPr>
        <w:pStyle w:val="Tablenotes0"/>
        <w:keepNext/>
      </w:pPr>
      <w:r w:rsidRPr="00F80877">
        <w:rPr>
          <w:vertAlign w:val="superscript"/>
        </w:rPr>
        <w:t>e</w:t>
      </w:r>
      <w:r w:rsidRPr="002014DE">
        <w:t xml:space="preserve"> HR could not be calculated due to no events in the low</w:t>
      </w:r>
      <w:r>
        <w:t>-</w:t>
      </w:r>
      <w:r w:rsidRPr="002014DE">
        <w:t>risk group</w:t>
      </w:r>
    </w:p>
    <w:p w14:paraId="46A591DB" w14:textId="63E969C2" w:rsidR="00F80877" w:rsidRDefault="00F80877" w:rsidP="00F80877">
      <w:pPr>
        <w:pStyle w:val="Tablenotes0"/>
        <w:keepNext/>
      </w:pPr>
      <w:r w:rsidRPr="00F80877">
        <w:rPr>
          <w:vertAlign w:val="superscript"/>
        </w:rPr>
        <w:t>f</w:t>
      </w:r>
      <w:r w:rsidRPr="002014DE">
        <w:t xml:space="preserve"> This patient cohort includes patients who were treated with adjuvant/neoadjuvant chemotherapy</w:t>
      </w:r>
    </w:p>
    <w:p w14:paraId="2C42F973" w14:textId="6459C442" w:rsidR="002014DE" w:rsidRPr="002014DE" w:rsidRDefault="002014DE" w:rsidP="00F80877">
      <w:pPr>
        <w:pStyle w:val="Tablenotes0"/>
        <w:keepNext/>
      </w:pPr>
      <w:r w:rsidRPr="002014DE">
        <w:t>CI</w:t>
      </w:r>
      <w:r w:rsidR="0073546A">
        <w:t xml:space="preserve"> =</w:t>
      </w:r>
      <w:r w:rsidRPr="002014DE">
        <w:t xml:space="preserve"> confidence interval; DMFS</w:t>
      </w:r>
      <w:r w:rsidR="0073546A">
        <w:t xml:space="preserve"> =</w:t>
      </w:r>
      <w:r w:rsidRPr="002014DE">
        <w:t xml:space="preserve"> disease metastasis-free survival; DRR</w:t>
      </w:r>
      <w:r w:rsidR="0073546A">
        <w:t xml:space="preserve"> =</w:t>
      </w:r>
      <w:r w:rsidRPr="002014DE">
        <w:t xml:space="preserve"> distant recurrence risk; EPclin</w:t>
      </w:r>
      <w:r w:rsidR="0073546A">
        <w:t xml:space="preserve"> =</w:t>
      </w:r>
      <w:r w:rsidRPr="002014DE">
        <w:t xml:space="preserve"> EndoPredict </w:t>
      </w:r>
      <w:r w:rsidR="004C2EF0">
        <w:t xml:space="preserve">+ clinical algorithm </w:t>
      </w:r>
      <w:r w:rsidRPr="002014DE">
        <w:t>score, HR</w:t>
      </w:r>
      <w:r w:rsidR="0073546A">
        <w:t xml:space="preserve"> =</w:t>
      </w:r>
      <w:r w:rsidRPr="002014DE">
        <w:t xml:space="preserve"> hazard ratio; MFS</w:t>
      </w:r>
      <w:r w:rsidR="0073546A">
        <w:t xml:space="preserve"> =</w:t>
      </w:r>
      <w:r w:rsidRPr="002014DE">
        <w:t xml:space="preserve"> </w:t>
      </w:r>
      <w:r w:rsidR="0073546A" w:rsidRPr="002014DE">
        <w:t>metastasis</w:t>
      </w:r>
      <w:r w:rsidRPr="002014DE">
        <w:t xml:space="preserve"> free survival; N/A</w:t>
      </w:r>
      <w:r w:rsidR="0073546A">
        <w:t xml:space="preserve"> =</w:t>
      </w:r>
      <w:r w:rsidRPr="002014DE">
        <w:t xml:space="preserve"> not applicable</w:t>
      </w:r>
      <w:r w:rsidR="0073546A">
        <w:t>.</w:t>
      </w:r>
    </w:p>
    <w:p w14:paraId="6F1475C5" w14:textId="049355DF" w:rsidR="002014DE" w:rsidRPr="002014DE" w:rsidRDefault="0073546A" w:rsidP="002014DE">
      <w:pPr>
        <w:pStyle w:val="Tablenotes0"/>
      </w:pPr>
      <w:r w:rsidRPr="002014DE">
        <w:t xml:space="preserve">Source: </w:t>
      </w:r>
      <w:r>
        <w:t>1408.1 ADAR, Table 3.</w:t>
      </w:r>
    </w:p>
    <w:p w14:paraId="21F42D85" w14:textId="67B712CB" w:rsidR="0082114D" w:rsidRPr="00A735D2" w:rsidRDefault="001B5C58" w:rsidP="0082114D">
      <w:pPr>
        <w:spacing w:before="120"/>
        <w:rPr>
          <w:rFonts w:ascii="Franklin Gothic Book" w:eastAsia="Calibri" w:hAnsi="Franklin Gothic Book" w:cstheme="minorHAnsi"/>
        </w:rPr>
      </w:pPr>
      <w:r w:rsidRPr="00A735D2">
        <w:rPr>
          <w:rFonts w:ascii="Franklin Gothic Book" w:eastAsia="Calibri" w:hAnsi="Franklin Gothic Book" w:cstheme="minorHAnsi"/>
        </w:rPr>
        <w:lastRenderedPageBreak/>
        <w:t xml:space="preserve">Results </w:t>
      </w:r>
      <w:r w:rsidR="00EE6AF1" w:rsidRPr="00A735D2">
        <w:rPr>
          <w:rFonts w:ascii="Franklin Gothic Book" w:eastAsia="Calibri" w:hAnsi="Franklin Gothic Book" w:cstheme="minorHAnsi"/>
        </w:rPr>
        <w:t xml:space="preserve">based on the data presented in the 1408 </w:t>
      </w:r>
      <w:r w:rsidR="00197DB5">
        <w:rPr>
          <w:rFonts w:ascii="Franklin Gothic Book" w:hAnsi="Franklin Gothic Book"/>
          <w:iCs/>
        </w:rPr>
        <w:t>application</w:t>
      </w:r>
      <w:r w:rsidR="00EE6AF1" w:rsidRPr="00A735D2">
        <w:rPr>
          <w:rFonts w:ascii="Franklin Gothic Book" w:eastAsia="Calibri" w:hAnsi="Franklin Gothic Book" w:cstheme="minorHAnsi"/>
        </w:rPr>
        <w:t xml:space="preserve"> </w:t>
      </w:r>
      <w:r w:rsidRPr="00A735D2">
        <w:rPr>
          <w:rFonts w:ascii="Franklin Gothic Book" w:eastAsia="Calibri" w:hAnsi="Franklin Gothic Book" w:cstheme="minorHAnsi"/>
        </w:rPr>
        <w:t xml:space="preserve">are summarised </w:t>
      </w:r>
      <w:r w:rsidR="00EE6AF1" w:rsidRPr="00A735D2">
        <w:rPr>
          <w:rFonts w:ascii="Franklin Gothic Book" w:eastAsia="Calibri" w:hAnsi="Franklin Gothic Book" w:cstheme="minorHAnsi"/>
        </w:rPr>
        <w:t>below</w:t>
      </w:r>
      <w:r w:rsidRPr="00A735D2">
        <w:rPr>
          <w:rFonts w:ascii="Franklin Gothic Book" w:eastAsia="Calibri" w:hAnsi="Franklin Gothic Book" w:cstheme="minorHAnsi"/>
        </w:rPr>
        <w:t>.</w:t>
      </w:r>
    </w:p>
    <w:p w14:paraId="070A9E87" w14:textId="3A63B803" w:rsidR="0045660F" w:rsidRPr="00A735D2" w:rsidRDefault="0045660F" w:rsidP="0082114D">
      <w:pPr>
        <w:spacing w:before="120"/>
        <w:rPr>
          <w:rFonts w:ascii="Franklin Gothic Book" w:eastAsia="Calibri" w:hAnsi="Franklin Gothic Book" w:cstheme="minorHAnsi"/>
        </w:rPr>
      </w:pPr>
      <w:r w:rsidRPr="00A735D2">
        <w:rPr>
          <w:rFonts w:ascii="Franklin Gothic Book" w:eastAsia="Calibri" w:hAnsi="Franklin Gothic Book" w:cstheme="minorHAnsi"/>
        </w:rPr>
        <w:t xml:space="preserve">Data </w:t>
      </w:r>
      <w:r w:rsidR="0060509A" w:rsidRPr="00A735D2">
        <w:rPr>
          <w:rFonts w:ascii="Franklin Gothic Book" w:eastAsia="Calibri" w:hAnsi="Franklin Gothic Book" w:cstheme="minorHAnsi"/>
        </w:rPr>
        <w:t>are</w:t>
      </w:r>
      <w:r w:rsidRPr="00A735D2">
        <w:rPr>
          <w:rFonts w:ascii="Franklin Gothic Book" w:eastAsia="Calibri" w:hAnsi="Franklin Gothic Book" w:cstheme="minorHAnsi"/>
        </w:rPr>
        <w:t xml:space="preserve"> presented from the stud</w:t>
      </w:r>
      <w:r w:rsidR="00B66A8C" w:rsidRPr="00A735D2">
        <w:rPr>
          <w:rFonts w:ascii="Franklin Gothic Book" w:eastAsia="Calibri" w:hAnsi="Franklin Gothic Book" w:cstheme="minorHAnsi"/>
        </w:rPr>
        <w:t>ies</w:t>
      </w:r>
      <w:r w:rsidRPr="00A735D2">
        <w:rPr>
          <w:rFonts w:ascii="Franklin Gothic Book" w:eastAsia="Calibri" w:hAnsi="Franklin Gothic Book" w:cstheme="minorHAnsi"/>
        </w:rPr>
        <w:t xml:space="preserve"> by Filipits et al (2011)</w:t>
      </w:r>
      <w:r w:rsidR="002E1C42">
        <w:rPr>
          <w:rStyle w:val="FootnoteReference"/>
          <w:rFonts w:ascii="Franklin Gothic Book" w:eastAsia="Calibri" w:hAnsi="Franklin Gothic Book" w:cstheme="minorHAnsi"/>
        </w:rPr>
        <w:footnoteReference w:id="9"/>
      </w:r>
      <w:r w:rsidRPr="00A735D2">
        <w:rPr>
          <w:rFonts w:ascii="Franklin Gothic Book" w:eastAsia="Calibri" w:hAnsi="Franklin Gothic Book" w:cstheme="minorHAnsi"/>
        </w:rPr>
        <w:t xml:space="preserve"> and Dubsky et al (2013a)</w:t>
      </w:r>
      <w:r w:rsidR="002E1C42">
        <w:rPr>
          <w:rStyle w:val="FootnoteReference"/>
          <w:rFonts w:ascii="Franklin Gothic Book" w:hAnsi="Franklin Gothic Book"/>
        </w:rPr>
        <w:footnoteReference w:id="10"/>
      </w:r>
      <w:r w:rsidRPr="00A735D2">
        <w:rPr>
          <w:rFonts w:ascii="Franklin Gothic Book" w:eastAsia="Calibri" w:hAnsi="Franklin Gothic Book" w:cstheme="minorHAnsi"/>
        </w:rPr>
        <w:t xml:space="preserve"> as a summary of incremental prognostic value for </w:t>
      </w:r>
      <w:r w:rsidR="0060509A" w:rsidRPr="00A735D2">
        <w:rPr>
          <w:rFonts w:ascii="Franklin Gothic Book" w:eastAsia="Calibri" w:hAnsi="Franklin Gothic Book" w:cstheme="minorHAnsi"/>
        </w:rPr>
        <w:t xml:space="preserve">EP and </w:t>
      </w:r>
      <w:r w:rsidRPr="00A735D2">
        <w:rPr>
          <w:rFonts w:ascii="Franklin Gothic Book" w:eastAsia="Calibri" w:hAnsi="Franklin Gothic Book" w:cstheme="minorHAnsi"/>
        </w:rPr>
        <w:t xml:space="preserve">EPclin </w:t>
      </w:r>
      <w:r w:rsidR="001B5C58" w:rsidRPr="00A735D2">
        <w:rPr>
          <w:rFonts w:ascii="Franklin Gothic Book" w:eastAsia="Calibri" w:hAnsi="Franklin Gothic Book" w:cstheme="minorHAnsi"/>
        </w:rPr>
        <w:t xml:space="preserve">of </w:t>
      </w:r>
      <w:r w:rsidR="00A442AF" w:rsidRPr="00A735D2">
        <w:rPr>
          <w:rFonts w:ascii="Franklin Gothic Book" w:eastAsia="Calibri" w:hAnsi="Franklin Gothic Book" w:cstheme="minorHAnsi"/>
        </w:rPr>
        <w:t>distant recurrence (</w:t>
      </w:r>
      <w:r w:rsidR="001B5C58" w:rsidRPr="00A735D2">
        <w:rPr>
          <w:rFonts w:ascii="Franklin Gothic Book" w:eastAsia="Calibri" w:hAnsi="Franklin Gothic Book" w:cstheme="minorHAnsi"/>
        </w:rPr>
        <w:t>DR</w:t>
      </w:r>
      <w:r w:rsidR="00A442AF" w:rsidRPr="00A735D2">
        <w:rPr>
          <w:rFonts w:ascii="Franklin Gothic Book" w:eastAsia="Calibri" w:hAnsi="Franklin Gothic Book" w:cstheme="minorHAnsi"/>
        </w:rPr>
        <w:t>)</w:t>
      </w:r>
      <w:r w:rsidR="001B5C58" w:rsidRPr="00A735D2">
        <w:rPr>
          <w:rFonts w:ascii="Franklin Gothic Book" w:eastAsia="Calibri" w:hAnsi="Franklin Gothic Book" w:cstheme="minorHAnsi"/>
        </w:rPr>
        <w:t xml:space="preserve"> </w:t>
      </w:r>
      <w:r w:rsidRPr="00A735D2">
        <w:rPr>
          <w:rFonts w:ascii="Franklin Gothic Book" w:eastAsia="Calibri" w:hAnsi="Franklin Gothic Book" w:cstheme="minorHAnsi"/>
        </w:rPr>
        <w:t>in the ABCSG 6 and 8 populations.</w:t>
      </w:r>
    </w:p>
    <w:p w14:paraId="24F05D88" w14:textId="5F32A554" w:rsidR="001B5C58" w:rsidRPr="00A735D2" w:rsidRDefault="00877D9F" w:rsidP="0082114D">
      <w:pPr>
        <w:spacing w:before="120"/>
        <w:rPr>
          <w:rFonts w:ascii="Franklin Gothic Book" w:eastAsia="Calibri" w:hAnsi="Franklin Gothic Book" w:cstheme="minorHAnsi"/>
        </w:rPr>
      </w:pPr>
      <w:r w:rsidRPr="00A735D2">
        <w:rPr>
          <w:rFonts w:ascii="Franklin Gothic Book" w:eastAsia="Calibri" w:hAnsi="Franklin Gothic Book" w:cstheme="minorHAnsi"/>
        </w:rPr>
        <w:t xml:space="preserve">In a multivariate Cox analysis </w:t>
      </w:r>
      <w:r w:rsidR="0082114D" w:rsidRPr="00A735D2">
        <w:rPr>
          <w:rFonts w:ascii="Franklin Gothic Book" w:eastAsia="Calibri" w:hAnsi="Franklin Gothic Book" w:cstheme="minorHAnsi"/>
        </w:rPr>
        <w:t xml:space="preserve">EPclin </w:t>
      </w:r>
      <w:r w:rsidRPr="00A735D2">
        <w:rPr>
          <w:rFonts w:ascii="Franklin Gothic Book" w:eastAsia="Calibri" w:hAnsi="Franklin Gothic Book" w:cstheme="minorHAnsi"/>
        </w:rPr>
        <w:t xml:space="preserve">was </w:t>
      </w:r>
      <w:r w:rsidR="0082114D" w:rsidRPr="00A735D2">
        <w:rPr>
          <w:rFonts w:ascii="Franklin Gothic Book" w:eastAsia="Calibri" w:hAnsi="Franklin Gothic Book" w:cstheme="minorHAnsi"/>
        </w:rPr>
        <w:t>show</w:t>
      </w:r>
      <w:r w:rsidRPr="00A735D2">
        <w:rPr>
          <w:rFonts w:ascii="Franklin Gothic Book" w:eastAsia="Calibri" w:hAnsi="Franklin Gothic Book" w:cstheme="minorHAnsi"/>
        </w:rPr>
        <w:t xml:space="preserve">n to </w:t>
      </w:r>
      <w:r w:rsidR="00B851F1" w:rsidRPr="00A735D2">
        <w:rPr>
          <w:rFonts w:ascii="Franklin Gothic Book" w:eastAsia="Calibri" w:hAnsi="Franklin Gothic Book" w:cstheme="minorHAnsi"/>
        </w:rPr>
        <w:t>have</w:t>
      </w:r>
      <w:r w:rsidRPr="00A735D2">
        <w:rPr>
          <w:rFonts w:ascii="Franklin Gothic Book" w:eastAsia="Calibri" w:hAnsi="Franklin Gothic Book" w:cstheme="minorHAnsi"/>
        </w:rPr>
        <w:t xml:space="preserve"> independent </w:t>
      </w:r>
      <w:r w:rsidR="0082114D" w:rsidRPr="00A735D2">
        <w:rPr>
          <w:rFonts w:ascii="Franklin Gothic Book" w:eastAsia="Calibri" w:hAnsi="Franklin Gothic Book" w:cstheme="minorHAnsi"/>
        </w:rPr>
        <w:t>prognostic value</w:t>
      </w:r>
      <w:r w:rsidRPr="00A735D2">
        <w:rPr>
          <w:rFonts w:ascii="Franklin Gothic Book" w:eastAsia="Calibri" w:hAnsi="Franklin Gothic Book" w:cstheme="minorHAnsi"/>
        </w:rPr>
        <w:t xml:space="preserve">, showing statistical significance in independence from standard clinical markers tumour size, nodal status, tumour grade, quantitative ER, quantitative </w:t>
      </w:r>
      <w:r w:rsidR="00A442AF" w:rsidRPr="00A735D2">
        <w:rPr>
          <w:rFonts w:ascii="Franklin Gothic Book" w:hAnsi="Franklin Gothic Book"/>
        </w:rPr>
        <w:t>progesterone receptor (</w:t>
      </w:r>
      <w:r w:rsidRPr="00A735D2">
        <w:rPr>
          <w:rFonts w:ascii="Franklin Gothic Book" w:eastAsia="Calibri" w:hAnsi="Franklin Gothic Book" w:cstheme="minorHAnsi"/>
        </w:rPr>
        <w:t>PR</w:t>
      </w:r>
      <w:r w:rsidR="00A442AF" w:rsidRPr="00A735D2">
        <w:rPr>
          <w:rFonts w:ascii="Franklin Gothic Book" w:eastAsia="Calibri" w:hAnsi="Franklin Gothic Book" w:cstheme="minorHAnsi"/>
        </w:rPr>
        <w:t>)</w:t>
      </w:r>
      <w:r w:rsidRPr="00A735D2">
        <w:rPr>
          <w:rFonts w:ascii="Franklin Gothic Book" w:eastAsia="Calibri" w:hAnsi="Franklin Gothic Book" w:cstheme="minorHAnsi"/>
        </w:rPr>
        <w:t xml:space="preserve">, Ki67 and age. In the multivariate </w:t>
      </w:r>
      <w:r w:rsidR="00B66A8C" w:rsidRPr="00A735D2">
        <w:rPr>
          <w:rFonts w:ascii="Franklin Gothic Book" w:eastAsia="Calibri" w:hAnsi="Franklin Gothic Book" w:cstheme="minorHAnsi"/>
        </w:rPr>
        <w:t>analysis,</w:t>
      </w:r>
      <w:r w:rsidRPr="00A735D2">
        <w:rPr>
          <w:rFonts w:ascii="Franklin Gothic Book" w:eastAsia="Calibri" w:hAnsi="Franklin Gothic Book" w:cstheme="minorHAnsi"/>
        </w:rPr>
        <w:t xml:space="preserve"> only nodal status and EPclin showed statistically significant prognostic value</w:t>
      </w:r>
      <w:r w:rsidR="00B66A8C" w:rsidRPr="00A735D2">
        <w:rPr>
          <w:rFonts w:ascii="Franklin Gothic Book" w:eastAsia="Calibri" w:hAnsi="Franklin Gothic Book" w:cstheme="minorHAnsi"/>
        </w:rPr>
        <w:t xml:space="preserve"> (both p&lt;0.001)</w:t>
      </w:r>
      <w:r w:rsidRPr="00A735D2">
        <w:rPr>
          <w:rFonts w:ascii="Franklin Gothic Book" w:eastAsia="Calibri" w:hAnsi="Franklin Gothic Book" w:cstheme="minorHAnsi"/>
        </w:rPr>
        <w:t xml:space="preserve">. </w:t>
      </w:r>
      <w:r w:rsidR="001B5C58" w:rsidRPr="00A735D2">
        <w:rPr>
          <w:rFonts w:ascii="Franklin Gothic Book" w:eastAsia="Calibri" w:hAnsi="Franklin Gothic Book" w:cstheme="minorHAnsi"/>
        </w:rPr>
        <w:t>In a bivariate analysis, both Adjuvant!Online and EPclin showed statistically significant independent prognostic value</w:t>
      </w:r>
      <w:r w:rsidR="00B66A8C" w:rsidRPr="00A735D2">
        <w:rPr>
          <w:rFonts w:ascii="Franklin Gothic Book" w:eastAsia="Calibri" w:hAnsi="Franklin Gothic Book" w:cstheme="minorHAnsi"/>
        </w:rPr>
        <w:t xml:space="preserve"> (both p&lt;0.001)</w:t>
      </w:r>
      <w:r w:rsidR="001B5C58" w:rsidRPr="00A735D2">
        <w:rPr>
          <w:rFonts w:ascii="Franklin Gothic Book" w:eastAsia="Calibri" w:hAnsi="Franklin Gothic Book" w:cstheme="minorHAnsi"/>
        </w:rPr>
        <w:t xml:space="preserve">. </w:t>
      </w:r>
      <w:r w:rsidRPr="00A735D2">
        <w:rPr>
          <w:rFonts w:ascii="Franklin Gothic Book" w:eastAsia="Calibri" w:hAnsi="Franklin Gothic Book" w:cstheme="minorHAnsi"/>
        </w:rPr>
        <w:t xml:space="preserve">Results are </w:t>
      </w:r>
      <w:r w:rsidR="00B66A8C" w:rsidRPr="00A735D2">
        <w:rPr>
          <w:rFonts w:ascii="Franklin Gothic Book" w:eastAsia="Calibri" w:hAnsi="Franklin Gothic Book" w:cstheme="minorHAnsi"/>
        </w:rPr>
        <w:t>shown</w:t>
      </w:r>
      <w:r w:rsidRPr="00A735D2">
        <w:rPr>
          <w:rFonts w:ascii="Franklin Gothic Book" w:eastAsia="Calibri" w:hAnsi="Franklin Gothic Book" w:cstheme="minorHAnsi"/>
        </w:rPr>
        <w:t xml:space="preserve"> in</w:t>
      </w:r>
      <w:r w:rsidR="00BB3026" w:rsidRPr="00A735D2">
        <w:rPr>
          <w:rFonts w:ascii="Franklin Gothic Book" w:eastAsia="Calibri" w:hAnsi="Franklin Gothic Book" w:cstheme="minorHAnsi"/>
        </w:rPr>
        <w:t xml:space="preserve"> </w:t>
      </w:r>
      <w:r w:rsidR="00BB3026" w:rsidRPr="00A735D2">
        <w:rPr>
          <w:rFonts w:ascii="Franklin Gothic Book" w:eastAsia="Calibri" w:hAnsi="Franklin Gothic Book" w:cstheme="minorHAnsi"/>
        </w:rPr>
        <w:fldChar w:fldCharType="begin"/>
      </w:r>
      <w:r w:rsidR="00BB3026" w:rsidRPr="00A735D2">
        <w:rPr>
          <w:rFonts w:ascii="Franklin Gothic Book" w:eastAsia="Calibri" w:hAnsi="Franklin Gothic Book" w:cstheme="minorHAnsi"/>
        </w:rPr>
        <w:instrText xml:space="preserve"> REF _Ref102032655 \h </w:instrText>
      </w:r>
      <w:r w:rsidR="00A735D2">
        <w:rPr>
          <w:rFonts w:ascii="Franklin Gothic Book" w:eastAsia="Calibri" w:hAnsi="Franklin Gothic Book" w:cstheme="minorHAnsi"/>
        </w:rPr>
        <w:instrText xml:space="preserve"> \* MERGEFORMAT </w:instrText>
      </w:r>
      <w:r w:rsidR="00BB3026" w:rsidRPr="00A735D2">
        <w:rPr>
          <w:rFonts w:ascii="Franklin Gothic Book" w:eastAsia="Calibri" w:hAnsi="Franklin Gothic Book" w:cstheme="minorHAnsi"/>
        </w:rPr>
      </w:r>
      <w:r w:rsidR="00BB3026" w:rsidRPr="00A735D2">
        <w:rPr>
          <w:rFonts w:ascii="Franklin Gothic Book" w:eastAsia="Calibri" w:hAnsi="Franklin Gothic Book" w:cstheme="minorHAnsi"/>
        </w:rPr>
        <w:fldChar w:fldCharType="separate"/>
      </w:r>
      <w:r w:rsidR="00943826" w:rsidRPr="00943826">
        <w:rPr>
          <w:rFonts w:ascii="Franklin Gothic Book" w:hAnsi="Franklin Gothic Book"/>
        </w:rPr>
        <w:t>Figure</w:t>
      </w:r>
      <w:r w:rsidR="00943826">
        <w:t xml:space="preserve"> </w:t>
      </w:r>
      <w:r w:rsidR="00943826">
        <w:rPr>
          <w:noProof/>
        </w:rPr>
        <w:t>3</w:t>
      </w:r>
      <w:r w:rsidR="00BB3026" w:rsidRPr="00A735D2">
        <w:rPr>
          <w:rFonts w:ascii="Franklin Gothic Book" w:eastAsia="Calibri" w:hAnsi="Franklin Gothic Book" w:cstheme="minorHAnsi"/>
        </w:rPr>
        <w:fldChar w:fldCharType="end"/>
      </w:r>
      <w:r w:rsidRPr="00A735D2">
        <w:rPr>
          <w:rFonts w:ascii="Franklin Gothic Book" w:eastAsia="Calibri" w:hAnsi="Franklin Gothic Book" w:cstheme="minorHAnsi"/>
        </w:rPr>
        <w:t>.</w:t>
      </w:r>
    </w:p>
    <w:p w14:paraId="2EFA0CDA" w14:textId="77777777" w:rsidR="0082114D" w:rsidRPr="0082114D" w:rsidRDefault="0082114D" w:rsidP="0082114D">
      <w:pPr>
        <w:spacing w:before="120"/>
        <w:rPr>
          <w:rFonts w:ascii="Franklin Gothic Book" w:eastAsia="Calibri" w:hAnsi="Franklin Gothic Book" w:cs="Times New Roman"/>
        </w:rPr>
      </w:pPr>
      <w:r w:rsidRPr="0082114D">
        <w:rPr>
          <w:rFonts w:ascii="Franklin Gothic Book" w:eastAsia="Calibri" w:hAnsi="Franklin Gothic Book" w:cs="Times New Roman"/>
          <w:noProof/>
          <w:lang w:eastAsia="en-AU"/>
        </w:rPr>
        <w:drawing>
          <wp:inline distT="0" distB="0" distL="0" distR="0" wp14:anchorId="778605C7" wp14:editId="543F8C34">
            <wp:extent cx="5731510" cy="2724150"/>
            <wp:effectExtent l="0" t="0" r="2540" b="0"/>
            <wp:docPr id="12" name="Picture 12" descr="Multivariate Cox proportional hazard models for estimating the contribution of variables to predict distant recur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ultivariate Cox proportional hazard models for estimating the contribution of variables to predict distant recurrence"/>
                    <pic:cNvPicPr/>
                  </pic:nvPicPr>
                  <pic:blipFill>
                    <a:blip r:embed="rId13"/>
                    <a:stretch>
                      <a:fillRect/>
                    </a:stretch>
                  </pic:blipFill>
                  <pic:spPr>
                    <a:xfrm>
                      <a:off x="0" y="0"/>
                      <a:ext cx="5731510" cy="2724150"/>
                    </a:xfrm>
                    <a:prstGeom prst="rect">
                      <a:avLst/>
                    </a:prstGeom>
                  </pic:spPr>
                </pic:pic>
              </a:graphicData>
            </a:graphic>
          </wp:inline>
        </w:drawing>
      </w:r>
    </w:p>
    <w:p w14:paraId="52CCC781" w14:textId="1F31ADE7" w:rsidR="00FD4BAE" w:rsidRPr="001B4DDB" w:rsidRDefault="00B66A8C" w:rsidP="00077D16">
      <w:pPr>
        <w:pStyle w:val="Caption"/>
        <w:keepNext w:val="0"/>
      </w:pPr>
      <w:bookmarkStart w:id="44" w:name="_Ref102032655"/>
      <w:r>
        <w:t xml:space="preserve">Figure </w:t>
      </w:r>
      <w:fldSimple w:instr=" SEQ Figure_COM. \* ARABIC ">
        <w:r w:rsidR="00943826">
          <w:rPr>
            <w:noProof/>
          </w:rPr>
          <w:t>3</w:t>
        </w:r>
      </w:fldSimple>
      <w:bookmarkEnd w:id="44"/>
      <w:r w:rsidR="0082114D" w:rsidRPr="0082114D">
        <w:tab/>
        <w:t>Multivariate Cox proportional hazard models for estimating the contribution of variables to predict distant recurrence</w:t>
      </w:r>
    </w:p>
    <w:p w14:paraId="3E18EB2F" w14:textId="59E8CB51" w:rsidR="00C20A73" w:rsidRPr="001B4DDB" w:rsidRDefault="00C20A73" w:rsidP="00077D16">
      <w:pPr>
        <w:keepNext/>
        <w:spacing w:before="360"/>
        <w:rPr>
          <w:rFonts w:ascii="Franklin Gothic Book" w:hAnsi="Franklin Gothic Book"/>
          <w:i/>
        </w:rPr>
      </w:pPr>
      <w:r w:rsidRPr="001B4DDB">
        <w:rPr>
          <w:rFonts w:ascii="Franklin Gothic Book" w:hAnsi="Franklin Gothic Book"/>
          <w:i/>
        </w:rPr>
        <w:t>Distant recurrence at 0 to 10 years</w:t>
      </w:r>
    </w:p>
    <w:p w14:paraId="6C1489F6" w14:textId="2B32AAF4" w:rsidR="001B5C58" w:rsidRPr="001B4DDB" w:rsidRDefault="00876DF0" w:rsidP="00844998">
      <w:pPr>
        <w:rPr>
          <w:rFonts w:ascii="Franklin Gothic Book" w:hAnsi="Franklin Gothic Book"/>
        </w:rPr>
      </w:pPr>
      <w:r w:rsidRPr="001B4DDB">
        <w:rPr>
          <w:rFonts w:ascii="Franklin Gothic Book" w:hAnsi="Franklin Gothic Book"/>
        </w:rPr>
        <w:t xml:space="preserve">In </w:t>
      </w:r>
      <w:r w:rsidR="00232ECC" w:rsidRPr="001B4DDB">
        <w:rPr>
          <w:rFonts w:ascii="Franklin Gothic Book" w:hAnsi="Franklin Gothic Book"/>
        </w:rPr>
        <w:fldChar w:fldCharType="begin"/>
      </w:r>
      <w:r w:rsidR="00232ECC" w:rsidRPr="001B4DDB">
        <w:rPr>
          <w:rFonts w:ascii="Franklin Gothic Book" w:hAnsi="Franklin Gothic Book"/>
        </w:rPr>
        <w:instrText xml:space="preserve"> REF _Ref102032710 \h </w:instrText>
      </w:r>
      <w:r w:rsidR="001B4DDB">
        <w:rPr>
          <w:rFonts w:ascii="Franklin Gothic Book" w:hAnsi="Franklin Gothic Book"/>
        </w:rPr>
        <w:instrText xml:space="preserve"> \* MERGEFORMAT </w:instrText>
      </w:r>
      <w:r w:rsidR="00232ECC" w:rsidRPr="001B4DDB">
        <w:rPr>
          <w:rFonts w:ascii="Franklin Gothic Book" w:hAnsi="Franklin Gothic Book"/>
        </w:rPr>
      </w:r>
      <w:r w:rsidR="00232ECC" w:rsidRPr="001B4DDB">
        <w:rPr>
          <w:rFonts w:ascii="Franklin Gothic Book" w:hAnsi="Franklin Gothic Book"/>
        </w:rPr>
        <w:fldChar w:fldCharType="separate"/>
      </w:r>
      <w:r w:rsidR="00943826" w:rsidRPr="00943826">
        <w:rPr>
          <w:rFonts w:ascii="Franklin Gothic Book" w:hAnsi="Franklin Gothic Book"/>
        </w:rPr>
        <w:t xml:space="preserve">Figure </w:t>
      </w:r>
      <w:r w:rsidR="00943826" w:rsidRPr="00943826">
        <w:rPr>
          <w:rFonts w:ascii="Franklin Gothic Book" w:hAnsi="Franklin Gothic Book"/>
          <w:noProof/>
        </w:rPr>
        <w:t>4</w:t>
      </w:r>
      <w:r w:rsidR="00232ECC" w:rsidRPr="001B4DDB">
        <w:rPr>
          <w:rFonts w:ascii="Franklin Gothic Book" w:hAnsi="Franklin Gothic Book"/>
        </w:rPr>
        <w:fldChar w:fldCharType="end"/>
      </w:r>
      <w:r w:rsidR="00232ECC" w:rsidRPr="001B4DDB">
        <w:rPr>
          <w:rFonts w:ascii="Franklin Gothic Book" w:hAnsi="Franklin Gothic Book"/>
        </w:rPr>
        <w:t xml:space="preserve"> </w:t>
      </w:r>
      <w:r w:rsidRPr="001B4DDB">
        <w:rPr>
          <w:rFonts w:ascii="Franklin Gothic Book" w:hAnsi="Franklin Gothic Book"/>
        </w:rPr>
        <w:t xml:space="preserve">data from </w:t>
      </w:r>
      <w:r w:rsidR="001B5C58" w:rsidRPr="001B4DDB">
        <w:rPr>
          <w:rFonts w:ascii="Franklin Gothic Book" w:hAnsi="Franklin Gothic Book"/>
        </w:rPr>
        <w:t xml:space="preserve">a c-index analysis </w:t>
      </w:r>
      <w:r w:rsidRPr="001B4DDB">
        <w:rPr>
          <w:rFonts w:ascii="Franklin Gothic Book" w:hAnsi="Franklin Gothic Book"/>
        </w:rPr>
        <w:t xml:space="preserve">shows the incremental prognostic value of </w:t>
      </w:r>
      <w:r w:rsidR="00D50E5C" w:rsidRPr="001B4DDB">
        <w:rPr>
          <w:rFonts w:ascii="Franklin Gothic Book" w:hAnsi="Franklin Gothic Book"/>
        </w:rPr>
        <w:t>EndoPredict</w:t>
      </w:r>
      <w:r w:rsidR="005F1260" w:rsidRPr="005F1260">
        <w:rPr>
          <w:rFonts w:ascii="Franklin Gothic Book" w:hAnsi="Franklin Gothic Book"/>
          <w:vertAlign w:val="superscript"/>
        </w:rPr>
        <w:t>®</w:t>
      </w:r>
      <w:r w:rsidRPr="001B4DDB">
        <w:rPr>
          <w:rFonts w:ascii="Franklin Gothic Book" w:hAnsi="Franklin Gothic Book"/>
        </w:rPr>
        <w:t xml:space="preserve"> over conventional prognostic markers tumour size, nodal status, tumour grade, quantitative ER or PR, Ki67 and age for prediction of distan</w:t>
      </w:r>
      <w:r w:rsidR="001B5C58" w:rsidRPr="001B4DDB">
        <w:rPr>
          <w:rFonts w:ascii="Franklin Gothic Book" w:hAnsi="Franklin Gothic Book"/>
        </w:rPr>
        <w:t xml:space="preserve">t recurrence for up to 10 years. The EPclin score had higher c-indices than all combinations of clinicopathological variables tested (0.788 in ABCSG 6 and 0.732 in ABCSG 8). Multivariate HRs for DR are shown in </w:t>
      </w:r>
      <w:r w:rsidR="00BB3026" w:rsidRPr="001B4DDB">
        <w:rPr>
          <w:rFonts w:ascii="Franklin Gothic Book" w:hAnsi="Franklin Gothic Book"/>
        </w:rPr>
        <w:fldChar w:fldCharType="begin"/>
      </w:r>
      <w:r w:rsidR="00BB3026" w:rsidRPr="001B4DDB">
        <w:rPr>
          <w:rFonts w:ascii="Franklin Gothic Book" w:hAnsi="Franklin Gothic Book"/>
        </w:rPr>
        <w:instrText xml:space="preserve"> REF _Ref102032710 \h </w:instrText>
      </w:r>
      <w:r w:rsidR="001B4DDB">
        <w:rPr>
          <w:rFonts w:ascii="Franklin Gothic Book" w:hAnsi="Franklin Gothic Book"/>
        </w:rPr>
        <w:instrText xml:space="preserve"> \* MERGEFORMAT </w:instrText>
      </w:r>
      <w:r w:rsidR="00BB3026" w:rsidRPr="001B4DDB">
        <w:rPr>
          <w:rFonts w:ascii="Franklin Gothic Book" w:hAnsi="Franklin Gothic Book"/>
        </w:rPr>
      </w:r>
      <w:r w:rsidR="00BB3026" w:rsidRPr="001B4DDB">
        <w:rPr>
          <w:rFonts w:ascii="Franklin Gothic Book" w:hAnsi="Franklin Gothic Book"/>
        </w:rPr>
        <w:fldChar w:fldCharType="separate"/>
      </w:r>
      <w:r w:rsidR="00943826" w:rsidRPr="00943826">
        <w:rPr>
          <w:rFonts w:ascii="Franklin Gothic Book" w:hAnsi="Franklin Gothic Book"/>
        </w:rPr>
        <w:t xml:space="preserve">Figure </w:t>
      </w:r>
      <w:r w:rsidR="00943826" w:rsidRPr="00943826">
        <w:rPr>
          <w:rFonts w:ascii="Franklin Gothic Book" w:hAnsi="Franklin Gothic Book"/>
          <w:noProof/>
        </w:rPr>
        <w:t>4</w:t>
      </w:r>
      <w:r w:rsidR="00BB3026" w:rsidRPr="001B4DDB">
        <w:rPr>
          <w:rFonts w:ascii="Franklin Gothic Book" w:hAnsi="Franklin Gothic Book"/>
        </w:rPr>
        <w:fldChar w:fldCharType="end"/>
      </w:r>
      <w:r w:rsidR="00BB3026" w:rsidRPr="001B4DDB">
        <w:rPr>
          <w:rFonts w:ascii="Franklin Gothic Book" w:hAnsi="Franklin Gothic Book"/>
        </w:rPr>
        <w:t xml:space="preserve"> </w:t>
      </w:r>
      <w:r w:rsidR="001B5C58" w:rsidRPr="001B4DDB">
        <w:rPr>
          <w:rFonts w:ascii="Franklin Gothic Book" w:hAnsi="Franklin Gothic Book"/>
        </w:rPr>
        <w:t>(Filipits et al, 2011).</w:t>
      </w:r>
    </w:p>
    <w:p w14:paraId="10BF2F8D" w14:textId="77777777" w:rsidR="00876DF0" w:rsidRPr="00AA5709" w:rsidRDefault="00876DF0" w:rsidP="00876DF0">
      <w:pPr>
        <w:spacing w:before="120"/>
        <w:rPr>
          <w:rFonts w:ascii="Franklin Gothic Book" w:eastAsia="Calibri" w:hAnsi="Franklin Gothic Book" w:cs="Times New Roman"/>
        </w:rPr>
      </w:pPr>
      <w:r w:rsidRPr="00AA5709">
        <w:rPr>
          <w:rFonts w:ascii="Franklin Gothic Book" w:eastAsia="Calibri" w:hAnsi="Franklin Gothic Book" w:cs="Times New Roman"/>
          <w:noProof/>
          <w:lang w:eastAsia="en-AU"/>
        </w:rPr>
        <w:lastRenderedPageBreak/>
        <w:drawing>
          <wp:inline distT="0" distB="0" distL="0" distR="0" wp14:anchorId="7F62AA50" wp14:editId="29904727">
            <wp:extent cx="3276600" cy="5944152"/>
            <wp:effectExtent l="0" t="0" r="0" b="0"/>
            <wp:docPr id="17" name="Picture 17" descr="C-index indicating -the performance of combinations of different prognostic factors in the ABCSG-6 (A) and -8 (B)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index indicating -the performance of combinations of different prognostic factors in the ABCSG-6 (A) and -8 (B) studies."/>
                    <pic:cNvPicPr/>
                  </pic:nvPicPr>
                  <pic:blipFill>
                    <a:blip r:embed="rId14"/>
                    <a:stretch>
                      <a:fillRect/>
                    </a:stretch>
                  </pic:blipFill>
                  <pic:spPr>
                    <a:xfrm>
                      <a:off x="0" y="0"/>
                      <a:ext cx="3294408" cy="5976457"/>
                    </a:xfrm>
                    <a:prstGeom prst="rect">
                      <a:avLst/>
                    </a:prstGeom>
                  </pic:spPr>
                </pic:pic>
              </a:graphicData>
            </a:graphic>
          </wp:inline>
        </w:drawing>
      </w:r>
    </w:p>
    <w:p w14:paraId="0F46E7B8" w14:textId="6A0F52D2" w:rsidR="00B66A8C" w:rsidRDefault="00B66A8C" w:rsidP="00D817EE">
      <w:pPr>
        <w:pStyle w:val="Caption"/>
        <w:spacing w:before="0" w:after="0"/>
        <w:rPr>
          <w:rFonts w:eastAsia="Calibri" w:cs="Arial"/>
          <w:color w:val="1F3864" w:themeColor="accent1" w:themeShade="80"/>
          <w:sz w:val="18"/>
        </w:rPr>
      </w:pPr>
      <w:bookmarkStart w:id="45" w:name="_Ref102032710"/>
      <w:r>
        <w:t xml:space="preserve">Figure </w:t>
      </w:r>
      <w:fldSimple w:instr=" SEQ Figure_COM. \* ARABIC ">
        <w:r w:rsidR="00943826">
          <w:rPr>
            <w:noProof/>
          </w:rPr>
          <w:t>4</w:t>
        </w:r>
      </w:fldSimple>
      <w:bookmarkEnd w:id="45"/>
      <w:r>
        <w:tab/>
      </w:r>
      <w:r w:rsidRPr="00E5498C">
        <w:t xml:space="preserve">C-index indicating </w:t>
      </w:r>
      <w:r>
        <w:t>-</w:t>
      </w:r>
      <w:r w:rsidRPr="00E5498C">
        <w:t>the performance of combinations of different prognostic factors in the ABCSG-6 (A) and -8 (B) studies</w:t>
      </w:r>
    </w:p>
    <w:p w14:paraId="599E855A" w14:textId="3C203894" w:rsidR="00876DF0" w:rsidRPr="00844998" w:rsidRDefault="00876DF0" w:rsidP="004C2EF0">
      <w:pPr>
        <w:keepNext/>
        <w:spacing w:after="0"/>
        <w:jc w:val="both"/>
        <w:rPr>
          <w:rFonts w:ascii="Arial Narrow" w:eastAsia="Calibri" w:hAnsi="Arial Narrow" w:cs="Arial"/>
          <w:sz w:val="18"/>
        </w:rPr>
      </w:pPr>
      <w:r w:rsidRPr="00844998">
        <w:rPr>
          <w:rFonts w:ascii="Arial Narrow" w:eastAsia="Calibri" w:hAnsi="Arial Narrow" w:cs="Arial"/>
          <w:sz w:val="18"/>
        </w:rPr>
        <w:t>The values on the x-axis are unbiased estimates of the c-index of the linear combination of one or more variables by Cox regression. Statistical tests indicate whether the c-index increases significantly by addition of EP to a fixed set of clinicopathologic variables</w:t>
      </w:r>
      <w:r w:rsidR="000F0726">
        <w:rPr>
          <w:rFonts w:ascii="Arial Narrow" w:eastAsia="Calibri" w:hAnsi="Arial Narrow" w:cs="Arial"/>
          <w:sz w:val="18"/>
        </w:rPr>
        <w:t>.</w:t>
      </w:r>
    </w:p>
    <w:p w14:paraId="10C1FD23" w14:textId="1E1102FA" w:rsidR="004C2EF0" w:rsidRPr="00844998" w:rsidRDefault="004C2EF0" w:rsidP="004C2EF0">
      <w:pPr>
        <w:keepNext/>
        <w:spacing w:after="0"/>
        <w:jc w:val="both"/>
        <w:rPr>
          <w:rFonts w:ascii="Arial Narrow" w:eastAsia="Calibri" w:hAnsi="Arial Narrow" w:cs="Arial"/>
          <w:sz w:val="18"/>
        </w:rPr>
      </w:pPr>
      <w:r w:rsidRPr="00844998">
        <w:rPr>
          <w:rFonts w:ascii="Arial Narrow" w:eastAsia="Calibri" w:hAnsi="Arial Narrow" w:cs="Arial"/>
          <w:sz w:val="18"/>
        </w:rPr>
        <w:t xml:space="preserve">n = nodal status; t= </w:t>
      </w:r>
      <w:r w:rsidRPr="002D5D87">
        <w:rPr>
          <w:rFonts w:ascii="Arial Narrow" w:eastAsia="Calibri" w:hAnsi="Arial Narrow" w:cs="Arial"/>
          <w:sz w:val="18"/>
        </w:rPr>
        <w:t>tumour</w:t>
      </w:r>
      <w:r w:rsidRPr="00844998">
        <w:rPr>
          <w:rFonts w:ascii="Arial Narrow" w:eastAsia="Calibri" w:hAnsi="Arial Narrow" w:cs="Arial"/>
          <w:sz w:val="18"/>
        </w:rPr>
        <w:t xml:space="preserve"> size; g = grade; ER = estrogen receptor; EP = </w:t>
      </w:r>
      <w:r>
        <w:rPr>
          <w:rFonts w:ascii="Arial Narrow" w:eastAsia="Calibri" w:hAnsi="Arial Narrow" w:cs="Arial"/>
          <w:sz w:val="18"/>
        </w:rPr>
        <w:t>EndoPredict</w:t>
      </w:r>
      <w:r w:rsidRPr="005F1260">
        <w:rPr>
          <w:rFonts w:ascii="Arial Narrow" w:eastAsia="Calibri" w:hAnsi="Arial Narrow" w:cs="Arial"/>
          <w:sz w:val="18"/>
          <w:vertAlign w:val="superscript"/>
        </w:rPr>
        <w:t>®</w:t>
      </w:r>
      <w:r w:rsidRPr="0061230C">
        <w:rPr>
          <w:rFonts w:ascii="Arial Narrow" w:eastAsia="Calibri" w:hAnsi="Arial Narrow" w:cs="Arial"/>
          <w:sz w:val="18"/>
        </w:rPr>
        <w:t xml:space="preserve"> </w:t>
      </w:r>
      <w:r>
        <w:rPr>
          <w:rFonts w:ascii="Arial Narrow" w:eastAsia="Calibri" w:hAnsi="Arial Narrow" w:cs="Arial"/>
          <w:sz w:val="18"/>
        </w:rPr>
        <w:t>score (EP score)</w:t>
      </w:r>
      <w:r w:rsidR="0017008B">
        <w:rPr>
          <w:rFonts w:ascii="Arial Narrow" w:eastAsia="Calibri" w:hAnsi="Arial Narrow" w:cs="Arial"/>
          <w:sz w:val="18"/>
        </w:rPr>
        <w:t>.</w:t>
      </w:r>
    </w:p>
    <w:p w14:paraId="316EB6AC" w14:textId="3F14488A" w:rsidR="00876DF0" w:rsidRPr="00844998" w:rsidRDefault="00876DF0" w:rsidP="00D817EE">
      <w:pPr>
        <w:spacing w:after="360"/>
        <w:jc w:val="both"/>
        <w:rPr>
          <w:rFonts w:ascii="Arial Narrow" w:eastAsia="Calibri" w:hAnsi="Arial Narrow" w:cs="Arial"/>
          <w:sz w:val="18"/>
        </w:rPr>
      </w:pPr>
      <w:r w:rsidRPr="00844998">
        <w:rPr>
          <w:rFonts w:ascii="Arial Narrow" w:eastAsia="Calibri" w:hAnsi="Arial Narrow" w:cs="Arial"/>
          <w:sz w:val="18"/>
        </w:rPr>
        <w:t>Source: Filipits et al (2011)</w:t>
      </w:r>
    </w:p>
    <w:p w14:paraId="3DA37847" w14:textId="7FE68035" w:rsidR="00C20A73" w:rsidRPr="001B4DDB" w:rsidRDefault="00C20A73" w:rsidP="00077D16">
      <w:pPr>
        <w:keepNext/>
        <w:spacing w:before="360"/>
        <w:rPr>
          <w:rFonts w:ascii="Franklin Gothic Book" w:hAnsi="Franklin Gothic Book"/>
          <w:i/>
        </w:rPr>
      </w:pPr>
      <w:r w:rsidRPr="001B4DDB">
        <w:rPr>
          <w:rFonts w:ascii="Franklin Gothic Book" w:hAnsi="Franklin Gothic Book"/>
          <w:i/>
        </w:rPr>
        <w:t>Distant recurrence at &gt;5 years</w:t>
      </w:r>
    </w:p>
    <w:p w14:paraId="050313D3" w14:textId="53A83644" w:rsidR="00876DF0" w:rsidRPr="001B4DDB" w:rsidRDefault="001B5C58" w:rsidP="00844998">
      <w:pPr>
        <w:rPr>
          <w:rFonts w:ascii="Franklin Gothic Book" w:hAnsi="Franklin Gothic Book"/>
        </w:rPr>
      </w:pPr>
      <w:r w:rsidRPr="001B4DDB">
        <w:rPr>
          <w:rFonts w:ascii="Franklin Gothic Book" w:hAnsi="Franklin Gothic Book"/>
        </w:rPr>
        <w:t>Dubsky et al (2013a) confirmed incremental prognostic value with reanalysis to show late &gt;5</w:t>
      </w:r>
      <w:r w:rsidR="001B4DDB">
        <w:rPr>
          <w:rFonts w:ascii="Franklin Gothic Book" w:hAnsi="Franklin Gothic Book"/>
        </w:rPr>
        <w:t> </w:t>
      </w:r>
      <w:r w:rsidRPr="001B4DDB">
        <w:rPr>
          <w:rFonts w:ascii="Franklin Gothic Book" w:hAnsi="Franklin Gothic Book"/>
        </w:rPr>
        <w:t xml:space="preserve">year recurrence. C-index analysis showed that EPclin provided </w:t>
      </w:r>
      <w:r w:rsidR="00B851F1" w:rsidRPr="001B4DDB">
        <w:rPr>
          <w:rFonts w:ascii="Franklin Gothic Book" w:hAnsi="Franklin Gothic Book"/>
        </w:rPr>
        <w:t xml:space="preserve">statistically </w:t>
      </w:r>
      <w:r w:rsidRPr="001B4DDB">
        <w:rPr>
          <w:rFonts w:ascii="Franklin Gothic Book" w:hAnsi="Franklin Gothic Book"/>
        </w:rPr>
        <w:t>significant independent data over the conventional prognostic markers and Adjuvant!Online for &gt;5</w:t>
      </w:r>
      <w:r w:rsidR="00D817EE">
        <w:rPr>
          <w:rFonts w:ascii="Franklin Gothic Book" w:hAnsi="Franklin Gothic Book"/>
        </w:rPr>
        <w:t> </w:t>
      </w:r>
      <w:r w:rsidRPr="001B4DDB">
        <w:rPr>
          <w:rFonts w:ascii="Franklin Gothic Book" w:hAnsi="Franklin Gothic Book"/>
        </w:rPr>
        <w:t>year recurrence</w:t>
      </w:r>
      <w:r w:rsidR="0046241A" w:rsidRPr="001B4DDB">
        <w:rPr>
          <w:rFonts w:ascii="Franklin Gothic Book" w:hAnsi="Franklin Gothic Book"/>
        </w:rPr>
        <w:t xml:space="preserve"> (</w:t>
      </w:r>
      <w:r w:rsidR="0046241A" w:rsidRPr="001B4DDB">
        <w:rPr>
          <w:rFonts w:ascii="Franklin Gothic Book" w:hAnsi="Franklin Gothic Book"/>
        </w:rPr>
        <w:fldChar w:fldCharType="begin"/>
      </w:r>
      <w:r w:rsidR="0046241A" w:rsidRPr="001B4DDB">
        <w:rPr>
          <w:rFonts w:ascii="Franklin Gothic Book" w:hAnsi="Franklin Gothic Book"/>
        </w:rPr>
        <w:instrText xml:space="preserve"> REF _Ref102032765 \h </w:instrText>
      </w:r>
      <w:r w:rsidR="001B4DDB">
        <w:rPr>
          <w:rFonts w:ascii="Franklin Gothic Book" w:hAnsi="Franklin Gothic Book"/>
        </w:rPr>
        <w:instrText xml:space="preserve"> \* MERGEFORMAT </w:instrText>
      </w:r>
      <w:r w:rsidR="0046241A" w:rsidRPr="001B4DDB">
        <w:rPr>
          <w:rFonts w:ascii="Franklin Gothic Book" w:hAnsi="Franklin Gothic Book"/>
        </w:rPr>
      </w:r>
      <w:r w:rsidR="0046241A" w:rsidRPr="001B4DDB">
        <w:rPr>
          <w:rFonts w:ascii="Franklin Gothic Book" w:hAnsi="Franklin Gothic Book"/>
        </w:rPr>
        <w:fldChar w:fldCharType="separate"/>
      </w:r>
      <w:r w:rsidR="00943826" w:rsidRPr="00943826">
        <w:rPr>
          <w:rFonts w:ascii="Franklin Gothic Book" w:hAnsi="Franklin Gothic Book"/>
        </w:rPr>
        <w:t xml:space="preserve">Figure </w:t>
      </w:r>
      <w:r w:rsidR="00943826" w:rsidRPr="00943826">
        <w:rPr>
          <w:rFonts w:ascii="Franklin Gothic Book" w:hAnsi="Franklin Gothic Book"/>
          <w:noProof/>
        </w:rPr>
        <w:t>5</w:t>
      </w:r>
      <w:r w:rsidR="0046241A" w:rsidRPr="001B4DDB">
        <w:rPr>
          <w:rFonts w:ascii="Franklin Gothic Book" w:hAnsi="Franklin Gothic Book"/>
        </w:rPr>
        <w:fldChar w:fldCharType="end"/>
      </w:r>
      <w:r w:rsidR="0046241A" w:rsidRPr="001B4DDB">
        <w:rPr>
          <w:rFonts w:ascii="Franklin Gothic Book" w:hAnsi="Franklin Gothic Book"/>
        </w:rPr>
        <w:t>)</w:t>
      </w:r>
      <w:r w:rsidRPr="001B4DDB">
        <w:rPr>
          <w:rFonts w:ascii="Franklin Gothic Book" w:hAnsi="Franklin Gothic Book"/>
        </w:rPr>
        <w:t>.</w:t>
      </w:r>
    </w:p>
    <w:p w14:paraId="34BBD057" w14:textId="259311CE" w:rsidR="0045660F" w:rsidRDefault="0045660F" w:rsidP="0045660F">
      <w:pPr>
        <w:spacing w:before="120"/>
        <w:rPr>
          <w:rFonts w:ascii="Franklin Gothic Book" w:eastAsia="Calibri" w:hAnsi="Franklin Gothic Book" w:cs="Times New Roman"/>
        </w:rPr>
      </w:pPr>
      <w:r w:rsidRPr="00AA5709">
        <w:rPr>
          <w:rFonts w:ascii="Franklin Gothic Book" w:eastAsia="Calibri" w:hAnsi="Franklin Gothic Book" w:cs="Times New Roman"/>
          <w:noProof/>
          <w:lang w:eastAsia="en-AU"/>
        </w:rPr>
        <w:lastRenderedPageBreak/>
        <w:drawing>
          <wp:inline distT="0" distB="0" distL="0" distR="0" wp14:anchorId="28F87063" wp14:editId="4987A688">
            <wp:extent cx="3448050" cy="3290660"/>
            <wp:effectExtent l="0" t="0" r="0" b="5080"/>
            <wp:docPr id="18" name="Picture 18" descr="C-indices demonstrating the prognostic performance of different clinical and molecular parameters in 1702 ER+, HER- breast cancer patients (ABCSG 6 &amp; 8) after 5 years follow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indices demonstrating the prognostic performance of different clinical and molecular parameters in 1702 ER+, HER- breast cancer patients (ABCSG 6 &amp; 8) after 5 years follow up"/>
                    <pic:cNvPicPr/>
                  </pic:nvPicPr>
                  <pic:blipFill>
                    <a:blip r:embed="rId15"/>
                    <a:stretch>
                      <a:fillRect/>
                    </a:stretch>
                  </pic:blipFill>
                  <pic:spPr>
                    <a:xfrm>
                      <a:off x="0" y="0"/>
                      <a:ext cx="3460974" cy="3302994"/>
                    </a:xfrm>
                    <a:prstGeom prst="rect">
                      <a:avLst/>
                    </a:prstGeom>
                  </pic:spPr>
                </pic:pic>
              </a:graphicData>
            </a:graphic>
          </wp:inline>
        </w:drawing>
      </w:r>
    </w:p>
    <w:p w14:paraId="2026561C" w14:textId="0A0A3540" w:rsidR="00C62AC1" w:rsidRPr="00DD648E" w:rsidRDefault="00C62AC1" w:rsidP="004C2EF0">
      <w:pPr>
        <w:pStyle w:val="Caption"/>
        <w:spacing w:after="0"/>
        <w:rPr>
          <w:b w:val="0"/>
          <w:bCs w:val="0"/>
          <w:i/>
          <w:color w:val="1F3864" w:themeColor="accent1" w:themeShade="80"/>
        </w:rPr>
      </w:pPr>
      <w:bookmarkStart w:id="46" w:name="_Ref102032765"/>
      <w:r>
        <w:t xml:space="preserve">Figure </w:t>
      </w:r>
      <w:fldSimple w:instr=" SEQ Figure_COM. \* ARABIC ">
        <w:r w:rsidR="00943826">
          <w:rPr>
            <w:noProof/>
          </w:rPr>
          <w:t>5</w:t>
        </w:r>
      </w:fldSimple>
      <w:bookmarkEnd w:id="46"/>
      <w:r w:rsidRPr="00DD648E">
        <w:rPr>
          <w:b w:val="0"/>
          <w:bCs w:val="0"/>
          <w:i/>
          <w:color w:val="1F3864" w:themeColor="accent1" w:themeShade="80"/>
        </w:rPr>
        <w:tab/>
      </w:r>
      <w:r w:rsidRPr="00E5498C">
        <w:t>C-indices demonstrating the prognostic performance of different clinical and molecular parameters in 1702 ER+, HER- breast cancer patients (ABCSG 6 &amp; 8) after 5 years follow u</w:t>
      </w:r>
      <w:r w:rsidRPr="00A50527">
        <w:t>p</w:t>
      </w:r>
    </w:p>
    <w:p w14:paraId="709CCE34" w14:textId="77777777" w:rsidR="000F0726" w:rsidRPr="00844998" w:rsidRDefault="000F0726" w:rsidP="000F0726">
      <w:pPr>
        <w:keepNext/>
        <w:spacing w:after="0"/>
        <w:jc w:val="both"/>
        <w:rPr>
          <w:rFonts w:ascii="Arial Narrow" w:eastAsia="Calibri" w:hAnsi="Arial Narrow" w:cs="Arial"/>
          <w:sz w:val="18"/>
        </w:rPr>
      </w:pPr>
      <w:r w:rsidRPr="00844998">
        <w:rPr>
          <w:rFonts w:ascii="Arial Narrow" w:eastAsia="Calibri" w:hAnsi="Arial Narrow" w:cs="Arial"/>
          <w:sz w:val="18"/>
        </w:rPr>
        <w:t>The values on the x axis are unbiased estimates of the c-index of the linear combination of one or more variables by Cox regression. Statistical tests indicate whether the c-index increases significantly by addition of EP to a fixed set of clinico-pathological variables.</w:t>
      </w:r>
    </w:p>
    <w:p w14:paraId="24345733" w14:textId="0DABE559" w:rsidR="0045660F" w:rsidRPr="00844998" w:rsidRDefault="0045660F" w:rsidP="004C2EF0">
      <w:pPr>
        <w:keepNext/>
        <w:spacing w:after="0"/>
        <w:jc w:val="both"/>
        <w:rPr>
          <w:rFonts w:ascii="Arial Narrow" w:eastAsia="Calibri" w:hAnsi="Arial Narrow" w:cs="Arial"/>
          <w:sz w:val="18"/>
        </w:rPr>
      </w:pPr>
      <w:r w:rsidRPr="00844998">
        <w:rPr>
          <w:rFonts w:ascii="Arial Narrow" w:eastAsia="Calibri" w:hAnsi="Arial Narrow" w:cs="Arial"/>
          <w:sz w:val="18"/>
        </w:rPr>
        <w:t>EP</w:t>
      </w:r>
      <w:r w:rsidR="000F0726">
        <w:rPr>
          <w:rFonts w:ascii="Arial Narrow" w:eastAsia="Calibri" w:hAnsi="Arial Narrow" w:cs="Arial"/>
          <w:sz w:val="18"/>
        </w:rPr>
        <w:t xml:space="preserve"> =</w:t>
      </w:r>
      <w:r w:rsidRPr="00844998">
        <w:rPr>
          <w:rFonts w:ascii="Arial Narrow" w:eastAsia="Calibri" w:hAnsi="Arial Narrow" w:cs="Arial"/>
          <w:sz w:val="18"/>
        </w:rPr>
        <w:t xml:space="preserve"> </w:t>
      </w:r>
      <w:r w:rsidR="00D50E5C">
        <w:rPr>
          <w:rFonts w:ascii="Arial Narrow" w:eastAsia="Calibri" w:hAnsi="Arial Narrow" w:cs="Arial"/>
          <w:sz w:val="18"/>
        </w:rPr>
        <w:t>EndoPredict</w:t>
      </w:r>
      <w:r w:rsidR="005F1260" w:rsidRPr="005F1260">
        <w:rPr>
          <w:rFonts w:ascii="Arial Narrow" w:eastAsia="Calibri" w:hAnsi="Arial Narrow" w:cs="Arial"/>
          <w:sz w:val="18"/>
          <w:vertAlign w:val="superscript"/>
        </w:rPr>
        <w:t>®</w:t>
      </w:r>
      <w:r w:rsidRPr="00844998">
        <w:rPr>
          <w:rFonts w:ascii="Arial Narrow" w:eastAsia="Calibri" w:hAnsi="Arial Narrow" w:cs="Arial"/>
          <w:sz w:val="18"/>
        </w:rPr>
        <w:t xml:space="preserve"> </w:t>
      </w:r>
      <w:r w:rsidR="007F7EF8">
        <w:rPr>
          <w:rFonts w:ascii="Arial Narrow" w:eastAsia="Calibri" w:hAnsi="Arial Narrow" w:cs="Arial"/>
          <w:sz w:val="18"/>
        </w:rPr>
        <w:t xml:space="preserve">score </w:t>
      </w:r>
      <w:r w:rsidRPr="00844998">
        <w:rPr>
          <w:rFonts w:ascii="Arial Narrow" w:eastAsia="Calibri" w:hAnsi="Arial Narrow" w:cs="Arial"/>
          <w:sz w:val="18"/>
        </w:rPr>
        <w:t>(continuous); ER</w:t>
      </w:r>
      <w:r w:rsidR="000F0726">
        <w:rPr>
          <w:rFonts w:ascii="Arial Narrow" w:eastAsia="Calibri" w:hAnsi="Arial Narrow" w:cs="Arial"/>
          <w:sz w:val="18"/>
        </w:rPr>
        <w:t xml:space="preserve"> =</w:t>
      </w:r>
      <w:r w:rsidRPr="00844998">
        <w:rPr>
          <w:rFonts w:ascii="Arial Narrow" w:eastAsia="Calibri" w:hAnsi="Arial Narrow" w:cs="Arial"/>
          <w:sz w:val="18"/>
        </w:rPr>
        <w:t xml:space="preserve"> oestrogen receptor (categorical); G</w:t>
      </w:r>
      <w:r w:rsidR="000F0726">
        <w:rPr>
          <w:rFonts w:ascii="Arial Narrow" w:eastAsia="Calibri" w:hAnsi="Arial Narrow" w:cs="Arial"/>
          <w:sz w:val="18"/>
        </w:rPr>
        <w:t xml:space="preserve"> =</w:t>
      </w:r>
      <w:r w:rsidRPr="00844998">
        <w:rPr>
          <w:rFonts w:ascii="Arial Narrow" w:eastAsia="Calibri" w:hAnsi="Arial Narrow" w:cs="Arial"/>
          <w:sz w:val="18"/>
        </w:rPr>
        <w:t xml:space="preserve"> grade (categorical); N</w:t>
      </w:r>
      <w:r w:rsidR="000F0726">
        <w:rPr>
          <w:rFonts w:ascii="Arial Narrow" w:eastAsia="Calibri" w:hAnsi="Arial Narrow" w:cs="Arial"/>
          <w:sz w:val="18"/>
        </w:rPr>
        <w:t xml:space="preserve"> =</w:t>
      </w:r>
      <w:r w:rsidRPr="00844998">
        <w:rPr>
          <w:rFonts w:ascii="Arial Narrow" w:eastAsia="Calibri" w:hAnsi="Arial Narrow" w:cs="Arial"/>
          <w:sz w:val="18"/>
        </w:rPr>
        <w:t xml:space="preserve"> nodal status (categorical); T</w:t>
      </w:r>
      <w:r w:rsidR="000F0726">
        <w:rPr>
          <w:rFonts w:ascii="Arial Narrow" w:eastAsia="Calibri" w:hAnsi="Arial Narrow" w:cs="Arial"/>
          <w:sz w:val="18"/>
        </w:rPr>
        <w:t xml:space="preserve"> =</w:t>
      </w:r>
      <w:r w:rsidRPr="00844998">
        <w:rPr>
          <w:rFonts w:ascii="Arial Narrow" w:eastAsia="Calibri" w:hAnsi="Arial Narrow" w:cs="Arial"/>
          <w:sz w:val="18"/>
        </w:rPr>
        <w:t xml:space="preserve"> tumour size (categorical)</w:t>
      </w:r>
      <w:r w:rsidR="000F0726">
        <w:rPr>
          <w:rFonts w:ascii="Arial Narrow" w:eastAsia="Calibri" w:hAnsi="Arial Narrow" w:cs="Arial"/>
          <w:sz w:val="18"/>
        </w:rPr>
        <w:t>.</w:t>
      </w:r>
    </w:p>
    <w:p w14:paraId="6B6C7581" w14:textId="0E90E5F1" w:rsidR="0045660F" w:rsidRPr="001B4DDB" w:rsidRDefault="0045660F" w:rsidP="004C2EF0">
      <w:pPr>
        <w:spacing w:after="120"/>
        <w:jc w:val="both"/>
        <w:rPr>
          <w:rFonts w:ascii="Arial Narrow" w:eastAsia="Calibri" w:hAnsi="Arial Narrow" w:cs="Arial"/>
          <w:sz w:val="18"/>
        </w:rPr>
      </w:pPr>
      <w:r w:rsidRPr="00844998">
        <w:rPr>
          <w:rFonts w:ascii="Arial Narrow" w:eastAsia="Calibri" w:hAnsi="Arial Narrow" w:cs="Arial"/>
          <w:sz w:val="18"/>
        </w:rPr>
        <w:t>Source: Dubsky et al (2013</w:t>
      </w:r>
      <w:r w:rsidR="00C62AC1" w:rsidRPr="00844998">
        <w:rPr>
          <w:rFonts w:ascii="Arial Narrow" w:eastAsia="Calibri" w:hAnsi="Arial Narrow" w:cs="Arial"/>
          <w:sz w:val="18"/>
        </w:rPr>
        <w:t>a</w:t>
      </w:r>
      <w:r w:rsidRPr="00844998">
        <w:rPr>
          <w:rFonts w:ascii="Arial Narrow" w:eastAsia="Calibri" w:hAnsi="Arial Narrow" w:cs="Arial"/>
          <w:sz w:val="18"/>
        </w:rPr>
        <w:t>)</w:t>
      </w:r>
    </w:p>
    <w:p w14:paraId="4A4BC9D8" w14:textId="0D960494" w:rsidR="002056CD" w:rsidRPr="001B4DDB" w:rsidRDefault="002056CD" w:rsidP="001B4DDB">
      <w:pPr>
        <w:keepNext/>
        <w:tabs>
          <w:tab w:val="left" w:pos="720"/>
          <w:tab w:val="left" w:pos="1140"/>
        </w:tabs>
        <w:spacing w:before="360" w:after="120"/>
        <w:rPr>
          <w:rFonts w:ascii="Franklin Gothic Book" w:hAnsi="Franklin Gothic Book"/>
          <w:b/>
          <w:bCs/>
        </w:rPr>
      </w:pPr>
      <w:r w:rsidRPr="001B4DDB">
        <w:rPr>
          <w:rFonts w:ascii="Franklin Gothic Book" w:hAnsi="Franklin Gothic Book"/>
          <w:b/>
          <w:bCs/>
          <w:sz w:val="24"/>
          <w:szCs w:val="24"/>
        </w:rPr>
        <w:t>Clinical utility</w:t>
      </w:r>
    </w:p>
    <w:p w14:paraId="588B3298" w14:textId="168A4779" w:rsidR="002056CD" w:rsidRPr="001B4DDB" w:rsidRDefault="00545878" w:rsidP="002056CD">
      <w:pPr>
        <w:rPr>
          <w:rFonts w:ascii="Franklin Gothic Book" w:hAnsi="Franklin Gothic Book"/>
        </w:rPr>
      </w:pPr>
      <w:r>
        <w:rPr>
          <w:rFonts w:ascii="Franklin Gothic Book" w:hAnsi="Franklin Gothic Book"/>
        </w:rPr>
        <w:t>E</w:t>
      </w:r>
      <w:r w:rsidR="002056CD" w:rsidRPr="001B4DDB">
        <w:rPr>
          <w:rFonts w:ascii="Franklin Gothic Book" w:hAnsi="Franklin Gothic Book"/>
        </w:rPr>
        <w:t xml:space="preserve">vidence </w:t>
      </w:r>
      <w:r>
        <w:rPr>
          <w:rFonts w:ascii="Franklin Gothic Book" w:hAnsi="Franklin Gothic Book"/>
        </w:rPr>
        <w:t xml:space="preserve">for clinical utility, </w:t>
      </w:r>
      <w:r w:rsidR="002056CD" w:rsidRPr="001B4DDB">
        <w:rPr>
          <w:rFonts w:ascii="Franklin Gothic Book" w:hAnsi="Franklin Gothic Book"/>
        </w:rPr>
        <w:t xml:space="preserve">showing the impact of </w:t>
      </w:r>
      <w:r w:rsidR="00D50E5C" w:rsidRPr="001B4DDB">
        <w:rPr>
          <w:rFonts w:ascii="Franklin Gothic Book" w:hAnsi="Franklin Gothic Book"/>
        </w:rPr>
        <w:t>EndoPredict</w:t>
      </w:r>
      <w:r w:rsidR="005F1260" w:rsidRPr="005F1260">
        <w:rPr>
          <w:rFonts w:ascii="Franklin Gothic Book" w:hAnsi="Franklin Gothic Book"/>
          <w:vertAlign w:val="superscript"/>
        </w:rPr>
        <w:t>®</w:t>
      </w:r>
      <w:r w:rsidR="002056CD" w:rsidRPr="001B4DDB">
        <w:rPr>
          <w:rFonts w:ascii="Franklin Gothic Book" w:hAnsi="Franklin Gothic Book"/>
        </w:rPr>
        <w:t xml:space="preserve"> test results on clinical treatment decisions, </w:t>
      </w:r>
      <w:r>
        <w:rPr>
          <w:rFonts w:ascii="Franklin Gothic Book" w:hAnsi="Franklin Gothic Book"/>
        </w:rPr>
        <w:t>w</w:t>
      </w:r>
      <w:r w:rsidR="002056CD" w:rsidRPr="001B4DDB">
        <w:rPr>
          <w:rFonts w:ascii="Franklin Gothic Book" w:hAnsi="Franklin Gothic Book"/>
        </w:rPr>
        <w:t xml:space="preserve">as </w:t>
      </w:r>
      <w:r>
        <w:rPr>
          <w:rFonts w:ascii="Franklin Gothic Book" w:hAnsi="Franklin Gothic Book"/>
        </w:rPr>
        <w:t xml:space="preserve">provided </w:t>
      </w:r>
      <w:r w:rsidR="002056CD" w:rsidRPr="001B4DDB">
        <w:rPr>
          <w:rFonts w:ascii="Franklin Gothic Book" w:hAnsi="Franklin Gothic Book"/>
        </w:rPr>
        <w:t xml:space="preserve">in </w:t>
      </w:r>
      <w:r w:rsidR="002056CD" w:rsidRPr="001B4DDB">
        <w:rPr>
          <w:rFonts w:ascii="Franklin Gothic Book" w:hAnsi="Franklin Gothic Book"/>
          <w:i/>
        </w:rPr>
        <w:t>Step 3 Decision making</w:t>
      </w:r>
      <w:r w:rsidR="002056CD" w:rsidRPr="001B4DDB">
        <w:rPr>
          <w:rFonts w:ascii="Franklin Gothic Book" w:hAnsi="Franklin Gothic Book"/>
        </w:rPr>
        <w:t xml:space="preserve"> in the linked evidence assessment framework (</w:t>
      </w:r>
      <w:r w:rsidR="00A65524">
        <w:rPr>
          <w:rFonts w:ascii="Franklin Gothic Book" w:hAnsi="Franklin Gothic Book"/>
        </w:rPr>
        <w:t>Figure 6</w:t>
      </w:r>
      <w:r w:rsidR="002056CD" w:rsidRPr="001B4DDB">
        <w:rPr>
          <w:rFonts w:ascii="Franklin Gothic Book" w:hAnsi="Franklin Gothic Book"/>
        </w:rPr>
        <w:t>).</w:t>
      </w:r>
    </w:p>
    <w:p w14:paraId="6F20C3DD" w14:textId="77777777" w:rsidR="002056CD" w:rsidRDefault="002056CD" w:rsidP="002056CD">
      <w:r>
        <w:rPr>
          <w:noProof/>
          <w:lang w:eastAsia="en-AU"/>
        </w:rPr>
        <w:drawing>
          <wp:inline distT="0" distB="0" distL="0" distR="0" wp14:anchorId="722B8B55" wp14:editId="5825F09D">
            <wp:extent cx="5731510" cy="2150110"/>
            <wp:effectExtent l="0" t="0" r="2540" b="2540"/>
            <wp:docPr id="22" name="Picture 22" descr="Linked evidence assessmen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 evidence assessment framework"/>
                    <pic:cNvPicPr/>
                  </pic:nvPicPr>
                  <pic:blipFill>
                    <a:blip r:embed="rId16"/>
                    <a:stretch>
                      <a:fillRect/>
                    </a:stretch>
                  </pic:blipFill>
                  <pic:spPr>
                    <a:xfrm>
                      <a:off x="0" y="0"/>
                      <a:ext cx="5731510" cy="2150110"/>
                    </a:xfrm>
                    <a:prstGeom prst="rect">
                      <a:avLst/>
                    </a:prstGeom>
                  </pic:spPr>
                </pic:pic>
              </a:graphicData>
            </a:graphic>
          </wp:inline>
        </w:drawing>
      </w:r>
    </w:p>
    <w:p w14:paraId="5706DC89" w14:textId="70C6706A" w:rsidR="002056CD" w:rsidRDefault="002056CD" w:rsidP="006D0B2D">
      <w:pPr>
        <w:pStyle w:val="Caption"/>
        <w:keepNext w:val="0"/>
      </w:pPr>
      <w:bookmarkStart w:id="47" w:name="_Ref100141549"/>
      <w:r>
        <w:t xml:space="preserve">Figure </w:t>
      </w:r>
      <w:fldSimple w:instr=" SEQ Figure_COM. \* ARABIC ">
        <w:r w:rsidR="00943826">
          <w:rPr>
            <w:noProof/>
          </w:rPr>
          <w:t>6</w:t>
        </w:r>
      </w:fldSimple>
      <w:bookmarkEnd w:id="47"/>
      <w:r>
        <w:tab/>
        <w:t>Linked evidence assessment framework</w:t>
      </w:r>
    </w:p>
    <w:p w14:paraId="3D47594C" w14:textId="77777777" w:rsidR="002056CD" w:rsidRPr="001B4DDB" w:rsidRDefault="002056CD" w:rsidP="002056CD">
      <w:pPr>
        <w:pStyle w:val="Heading4"/>
        <w:rPr>
          <w:rFonts w:ascii="Franklin Gothic Book" w:hAnsi="Franklin Gothic Book"/>
        </w:rPr>
      </w:pPr>
      <w:r w:rsidRPr="001B4DDB">
        <w:rPr>
          <w:rFonts w:ascii="Franklin Gothic Book" w:hAnsi="Franklin Gothic Book"/>
        </w:rPr>
        <w:lastRenderedPageBreak/>
        <w:t>Change in management in Australia</w:t>
      </w:r>
    </w:p>
    <w:p w14:paraId="7539972A" w14:textId="08F36260" w:rsidR="002056CD" w:rsidRPr="001B4DDB" w:rsidRDefault="00B31E84" w:rsidP="002056CD">
      <w:pPr>
        <w:rPr>
          <w:rFonts w:ascii="Franklin Gothic Book" w:hAnsi="Franklin Gothic Book"/>
        </w:rPr>
      </w:pPr>
      <w:r w:rsidRPr="001B4DDB">
        <w:rPr>
          <w:rFonts w:ascii="Franklin Gothic Book" w:hAnsi="Franklin Gothic Book"/>
        </w:rPr>
        <w:t xml:space="preserve">Data from the PROSPER study were </w:t>
      </w:r>
      <w:r w:rsidR="00A442AF" w:rsidRPr="001B4DDB">
        <w:rPr>
          <w:rFonts w:ascii="Franklin Gothic Book" w:hAnsi="Franklin Gothic Book"/>
        </w:rPr>
        <w:t xml:space="preserve">provided in the 1408 pre-MSAC response and </w:t>
      </w:r>
      <w:r w:rsidRPr="001B4DDB">
        <w:rPr>
          <w:rFonts w:ascii="Franklin Gothic Book" w:hAnsi="Franklin Gothic Book"/>
        </w:rPr>
        <w:t xml:space="preserve">considered by MSAC in November 2019 (n=220, with n=197 in the MBS-eligible subgroup). The 1408.1 </w:t>
      </w:r>
      <w:r w:rsidR="00197DB5">
        <w:rPr>
          <w:rFonts w:ascii="Franklin Gothic Book" w:hAnsi="Franklin Gothic Book"/>
          <w:iCs/>
        </w:rPr>
        <w:t>re-application</w:t>
      </w:r>
      <w:r w:rsidRPr="001B4DDB">
        <w:rPr>
          <w:rFonts w:ascii="Franklin Gothic Book" w:hAnsi="Franklin Gothic Book"/>
        </w:rPr>
        <w:t xml:space="preserve"> included a</w:t>
      </w:r>
      <w:r w:rsidR="00EA194B" w:rsidRPr="001B4DDB">
        <w:rPr>
          <w:rFonts w:ascii="Franklin Gothic Book" w:hAnsi="Franklin Gothic Book"/>
        </w:rPr>
        <w:t xml:space="preserve"> reanalysis</w:t>
      </w:r>
      <w:r w:rsidRPr="001B4DDB">
        <w:rPr>
          <w:rFonts w:ascii="Franklin Gothic Book" w:hAnsi="Franklin Gothic Book"/>
        </w:rPr>
        <w:t xml:space="preserve"> of th</w:t>
      </w:r>
      <w:r w:rsidR="00C417C8" w:rsidRPr="001B4DDB">
        <w:rPr>
          <w:rFonts w:ascii="Franklin Gothic Book" w:hAnsi="Franklin Gothic Book"/>
        </w:rPr>
        <w:t>ese</w:t>
      </w:r>
      <w:r w:rsidRPr="001B4DDB">
        <w:rPr>
          <w:rFonts w:ascii="Franklin Gothic Book" w:hAnsi="Franklin Gothic Book"/>
        </w:rPr>
        <w:t xml:space="preserve"> data based on the </w:t>
      </w:r>
      <w:r w:rsidR="00134AA5" w:rsidRPr="001B4DDB">
        <w:rPr>
          <w:rFonts w:ascii="Franklin Gothic Book" w:hAnsi="Franklin Gothic Book"/>
        </w:rPr>
        <w:t xml:space="preserve">enlarged population in the </w:t>
      </w:r>
      <w:r w:rsidRPr="001B4DDB">
        <w:rPr>
          <w:rFonts w:ascii="Franklin Gothic Book" w:hAnsi="Franklin Gothic Book"/>
        </w:rPr>
        <w:t>publication by Di</w:t>
      </w:r>
      <w:r w:rsidR="00134AA5" w:rsidRPr="001B4DDB">
        <w:rPr>
          <w:rFonts w:ascii="Franklin Gothic Book" w:hAnsi="Franklin Gothic Book"/>
        </w:rPr>
        <w:t>n</w:t>
      </w:r>
      <w:r w:rsidRPr="001B4DDB">
        <w:rPr>
          <w:rFonts w:ascii="Franklin Gothic Book" w:hAnsi="Franklin Gothic Book"/>
        </w:rPr>
        <w:t>h et al (202</w:t>
      </w:r>
      <w:r w:rsidR="001E5F60">
        <w:rPr>
          <w:rFonts w:ascii="Franklin Gothic Book" w:hAnsi="Franklin Gothic Book"/>
        </w:rPr>
        <w:t>2</w:t>
      </w:r>
      <w:r w:rsidRPr="001B4DDB">
        <w:rPr>
          <w:rFonts w:ascii="Franklin Gothic Book" w:hAnsi="Franklin Gothic Book"/>
        </w:rPr>
        <w:t xml:space="preserve">) (n=233, with n=215 in the MBS-eligible subgroup). </w:t>
      </w:r>
      <w:r w:rsidR="002056CD" w:rsidRPr="001B4DDB">
        <w:rPr>
          <w:rFonts w:ascii="Franklin Gothic Book" w:hAnsi="Franklin Gothic Book"/>
        </w:rPr>
        <w:t xml:space="preserve">In the PROSPER study two cohorts of </w:t>
      </w:r>
      <w:r w:rsidR="002D5D87" w:rsidRPr="001B4DDB">
        <w:rPr>
          <w:rFonts w:ascii="Franklin Gothic Book" w:hAnsi="Franklin Gothic Book"/>
        </w:rPr>
        <w:t>patients were</w:t>
      </w:r>
      <w:r w:rsidR="002056CD" w:rsidRPr="001B4DDB">
        <w:rPr>
          <w:rFonts w:ascii="Franklin Gothic Book" w:hAnsi="Franklin Gothic Book"/>
        </w:rPr>
        <w:t xml:space="preserve"> recruited in a multicent</w:t>
      </w:r>
      <w:r w:rsidR="006A1781" w:rsidRPr="001B4DDB">
        <w:rPr>
          <w:rFonts w:ascii="Franklin Gothic Book" w:hAnsi="Franklin Gothic Book"/>
        </w:rPr>
        <w:t>r</w:t>
      </w:r>
      <w:r w:rsidR="002056CD" w:rsidRPr="001B4DDB">
        <w:rPr>
          <w:rFonts w:ascii="Franklin Gothic Book" w:hAnsi="Franklin Gothic Book"/>
        </w:rPr>
        <w:t xml:space="preserve">e Australian based trial. The first cohort (n = 123) was recruited from consecutive patients attending site 1, and cohort 2 (n = 110) was a group of selected patients attending sites 2 to 5. In cohort 2, patients were selected because it was more difficult to decide on their treatment pathway based on clinical and pathological features alone, and was similar to the intermediate risk proposed population for the proposed GEP. The first cohort ranged from low to high risk based on clinical and pathological characteristics alone. In Cohort 2 patients were more likely to be premenopausal, have larger tumour size, and have higher tumour grade when compared to cohort 1. All patients underwent EPclin risk assessment, and treatment recommendations by a </w:t>
      </w:r>
      <w:r w:rsidR="00112401" w:rsidRPr="001B4DDB">
        <w:rPr>
          <w:rFonts w:ascii="Franklin Gothic Book" w:hAnsi="Franklin Gothic Book"/>
        </w:rPr>
        <w:t>multidisciplinary team (</w:t>
      </w:r>
      <w:r w:rsidR="002056CD" w:rsidRPr="001B4DDB">
        <w:rPr>
          <w:rFonts w:ascii="Franklin Gothic Book" w:hAnsi="Franklin Gothic Book"/>
        </w:rPr>
        <w:t>MDT</w:t>
      </w:r>
      <w:r w:rsidR="00112401" w:rsidRPr="001B4DDB">
        <w:rPr>
          <w:rFonts w:ascii="Franklin Gothic Book" w:hAnsi="Franklin Gothic Book"/>
        </w:rPr>
        <w:t>)</w:t>
      </w:r>
      <w:r w:rsidR="002056CD" w:rsidRPr="001B4DDB">
        <w:rPr>
          <w:rFonts w:ascii="Franklin Gothic Book" w:hAnsi="Franklin Gothic Book"/>
        </w:rPr>
        <w:t xml:space="preserve"> were recorded before and after EPclin.</w:t>
      </w:r>
    </w:p>
    <w:p w14:paraId="3D692F4D" w14:textId="5A9627A4" w:rsidR="002056CD" w:rsidRPr="001B4DDB" w:rsidRDefault="002056CD" w:rsidP="002056CD">
      <w:pPr>
        <w:rPr>
          <w:rFonts w:ascii="Franklin Gothic Book" w:hAnsi="Franklin Gothic Book"/>
        </w:rPr>
      </w:pPr>
      <w:r w:rsidRPr="001B4DDB">
        <w:rPr>
          <w:rFonts w:ascii="Franklin Gothic Book" w:hAnsi="Franklin Gothic Book"/>
        </w:rPr>
        <w:t>In cohort 2, chemotherapy was added to the treatment regimen for 15 of 110 patients (13.6%) and chemotherapy was removed from the regimen for 28 of 110 patients (25.5%)</w:t>
      </w:r>
      <w:r w:rsidR="00377C64" w:rsidRPr="001B4DDB">
        <w:rPr>
          <w:rFonts w:ascii="Franklin Gothic Book" w:hAnsi="Franklin Gothic Book"/>
        </w:rPr>
        <w:t xml:space="preserve"> based on the results of EPClin</w:t>
      </w:r>
      <w:r w:rsidRPr="001B4DDB">
        <w:rPr>
          <w:rFonts w:ascii="Franklin Gothic Book" w:hAnsi="Franklin Gothic Book"/>
        </w:rPr>
        <w:t>. There were recommendation changes in 39.1% of all patients in Cohort 2, a similar rate to intermediate risk cohort in a French study by Penault-Llorca et al (2020) (3</w:t>
      </w:r>
      <w:r w:rsidR="00C36FBA" w:rsidRPr="001B4DDB">
        <w:rPr>
          <w:rFonts w:ascii="Franklin Gothic Book" w:hAnsi="Franklin Gothic Book"/>
        </w:rPr>
        <w:t>4.</w:t>
      </w:r>
      <w:r w:rsidRPr="001B4DDB">
        <w:rPr>
          <w:rFonts w:ascii="Franklin Gothic Book" w:hAnsi="Franklin Gothic Book"/>
        </w:rPr>
        <w:t>5%)</w:t>
      </w:r>
      <w:r w:rsidR="00C36FBA" w:rsidRPr="001B4DDB">
        <w:rPr>
          <w:rFonts w:ascii="Franklin Gothic Book" w:hAnsi="Franklin Gothic Book"/>
        </w:rPr>
        <w:t xml:space="preserve"> following </w:t>
      </w:r>
      <w:r w:rsidR="00D50E5C" w:rsidRPr="001B4DDB">
        <w:rPr>
          <w:rFonts w:ascii="Franklin Gothic Book" w:hAnsi="Franklin Gothic Book"/>
        </w:rPr>
        <w:t>EndoPredict</w:t>
      </w:r>
      <w:r w:rsidR="005F1260" w:rsidRPr="005F1260">
        <w:rPr>
          <w:rFonts w:ascii="Franklin Gothic Book" w:hAnsi="Franklin Gothic Book"/>
          <w:vertAlign w:val="superscript"/>
        </w:rPr>
        <w:t>®</w:t>
      </w:r>
      <w:r w:rsidRPr="001B4DDB">
        <w:rPr>
          <w:rFonts w:ascii="Franklin Gothic Book" w:hAnsi="Franklin Gothic Book"/>
        </w:rPr>
        <w:t xml:space="preserve"> </w:t>
      </w:r>
      <w:r w:rsidR="00C36FBA" w:rsidRPr="001B4DDB">
        <w:rPr>
          <w:rFonts w:ascii="Franklin Gothic Book" w:hAnsi="Franklin Gothic Book"/>
        </w:rPr>
        <w:t>(</w:t>
      </w:r>
      <w:r w:rsidR="00232ECC" w:rsidRPr="001B4DDB">
        <w:rPr>
          <w:rFonts w:ascii="Franklin Gothic Book" w:hAnsi="Franklin Gothic Book"/>
        </w:rPr>
        <w:fldChar w:fldCharType="begin"/>
      </w:r>
      <w:r w:rsidR="00232ECC" w:rsidRPr="001B4DDB">
        <w:rPr>
          <w:rFonts w:ascii="Franklin Gothic Book" w:hAnsi="Franklin Gothic Book"/>
        </w:rPr>
        <w:instrText xml:space="preserve"> REF _Ref100141590 \h </w:instrText>
      </w:r>
      <w:r w:rsidR="001B4DDB">
        <w:rPr>
          <w:rFonts w:ascii="Franklin Gothic Book" w:hAnsi="Franklin Gothic Book"/>
        </w:rPr>
        <w:instrText xml:space="preserve"> \* MERGEFORMAT </w:instrText>
      </w:r>
      <w:r w:rsidR="00232ECC" w:rsidRPr="001B4DDB">
        <w:rPr>
          <w:rFonts w:ascii="Franklin Gothic Book" w:hAnsi="Franklin Gothic Book"/>
        </w:rPr>
      </w:r>
      <w:r w:rsidR="00232ECC" w:rsidRPr="001B4DDB">
        <w:rPr>
          <w:rFonts w:ascii="Franklin Gothic Book" w:hAnsi="Franklin Gothic Book"/>
        </w:rPr>
        <w:fldChar w:fldCharType="separate"/>
      </w:r>
      <w:r w:rsidR="00943826" w:rsidRPr="00943826">
        <w:rPr>
          <w:rFonts w:ascii="Franklin Gothic Book" w:hAnsi="Franklin Gothic Book"/>
        </w:rPr>
        <w:t xml:space="preserve">Table </w:t>
      </w:r>
      <w:r w:rsidR="00943826" w:rsidRPr="00943826">
        <w:rPr>
          <w:rFonts w:ascii="Franklin Gothic Book" w:hAnsi="Franklin Gothic Book"/>
          <w:noProof/>
        </w:rPr>
        <w:t>9</w:t>
      </w:r>
      <w:r w:rsidR="00232ECC" w:rsidRPr="001B4DDB">
        <w:rPr>
          <w:rFonts w:ascii="Franklin Gothic Book" w:hAnsi="Franklin Gothic Book"/>
        </w:rPr>
        <w:fldChar w:fldCharType="end"/>
      </w:r>
      <w:r w:rsidR="00C36FBA" w:rsidRPr="001B4DDB">
        <w:rPr>
          <w:rFonts w:ascii="Franklin Gothic Book" w:hAnsi="Franklin Gothic Book"/>
        </w:rPr>
        <w:t>)</w:t>
      </w:r>
      <w:r w:rsidRPr="001B4DDB">
        <w:rPr>
          <w:rFonts w:ascii="Franklin Gothic Book" w:hAnsi="Franklin Gothic Book"/>
        </w:rPr>
        <w:t>. In the PROSPER cohort 1, there were treatment recommendation changes in 8.9% of the total group, with 6 of 123 (6.5%) patients adding chemotherapy and 3 of 123 (2.4%) withdrawing chemotherapy.</w:t>
      </w:r>
    </w:p>
    <w:p w14:paraId="54F3BFE9" w14:textId="4DB473EC" w:rsidR="00C36FBA" w:rsidRPr="001B4DDB" w:rsidRDefault="002056CD" w:rsidP="002056CD">
      <w:pPr>
        <w:rPr>
          <w:rFonts w:ascii="Franklin Gothic Book" w:hAnsi="Franklin Gothic Book"/>
        </w:rPr>
      </w:pPr>
      <w:r w:rsidRPr="001B4DDB">
        <w:rPr>
          <w:rFonts w:ascii="Franklin Gothic Book" w:hAnsi="Franklin Gothic Book"/>
        </w:rPr>
        <w:t xml:space="preserve">The </w:t>
      </w:r>
      <w:r w:rsidR="00197DB5">
        <w:rPr>
          <w:rFonts w:ascii="Franklin Gothic Book" w:hAnsi="Franklin Gothic Book"/>
        </w:rPr>
        <w:t>c</w:t>
      </w:r>
      <w:r w:rsidR="002E1C42">
        <w:rPr>
          <w:rFonts w:ascii="Franklin Gothic Book" w:hAnsi="Franklin Gothic Book"/>
        </w:rPr>
        <w:t>ommentary</w:t>
      </w:r>
      <w:r w:rsidRPr="001B4DDB">
        <w:rPr>
          <w:rFonts w:ascii="Franklin Gothic Book" w:hAnsi="Franklin Gothic Book"/>
        </w:rPr>
        <w:t xml:space="preserve"> </w:t>
      </w:r>
      <w:r w:rsidR="00197DB5">
        <w:rPr>
          <w:rFonts w:ascii="Franklin Gothic Book" w:hAnsi="Franklin Gothic Book"/>
        </w:rPr>
        <w:t>presented</w:t>
      </w:r>
      <w:r w:rsidRPr="001B4DDB">
        <w:rPr>
          <w:rFonts w:ascii="Franklin Gothic Book" w:hAnsi="Franklin Gothic Book"/>
        </w:rPr>
        <w:t xml:space="preserve"> additional analysis of change in management of the group meeting the proposed MBS eligibility criteria using the data from the PROSPER data spreadsheet </w:t>
      </w:r>
      <w:r w:rsidR="00815375">
        <w:rPr>
          <w:rFonts w:ascii="Franklin Gothic Book" w:hAnsi="Franklin Gothic Book"/>
        </w:rPr>
        <w:t xml:space="preserve">provided with the </w:t>
      </w:r>
      <w:r w:rsidR="00815375">
        <w:rPr>
          <w:rFonts w:ascii="Franklin Gothic Book" w:hAnsi="Franklin Gothic Book"/>
          <w:iCs/>
        </w:rPr>
        <w:t>re-application</w:t>
      </w:r>
      <w:r w:rsidRPr="001B4DDB">
        <w:rPr>
          <w:rFonts w:ascii="Franklin Gothic Book" w:hAnsi="Franklin Gothic Book"/>
        </w:rPr>
        <w:t>.</w:t>
      </w:r>
      <w:r w:rsidR="007A11EB" w:rsidRPr="001B4DDB">
        <w:rPr>
          <w:rFonts w:ascii="Franklin Gothic Book" w:hAnsi="Franklin Gothic Book"/>
        </w:rPr>
        <w:t xml:space="preserve"> There was an overall reduction in the uptake of chemotherapy.</w:t>
      </w:r>
      <w:r w:rsidRPr="001B4DDB">
        <w:rPr>
          <w:rFonts w:ascii="Franklin Gothic Book" w:hAnsi="Franklin Gothic Book"/>
        </w:rPr>
        <w:t xml:space="preserve"> </w:t>
      </w:r>
      <w:r w:rsidR="00C36FBA" w:rsidRPr="001B4DDB">
        <w:rPr>
          <w:rFonts w:ascii="Franklin Gothic Book" w:hAnsi="Franklin Gothic Book"/>
        </w:rPr>
        <w:t xml:space="preserve">In the group of </w:t>
      </w:r>
      <w:r w:rsidR="007A11EB" w:rsidRPr="001B4DDB">
        <w:rPr>
          <w:rFonts w:ascii="Franklin Gothic Book" w:hAnsi="Franklin Gothic Book"/>
        </w:rPr>
        <w:t xml:space="preserve">215 patients, 29 (13.5%) did not undergo adjuvant chemotherapy that was initially recommended, and 15 (7.0%) added chemotherapy to their treatment that was not initially recommended, following </w:t>
      </w:r>
      <w:r w:rsidR="00D50E5C" w:rsidRPr="001B4DDB">
        <w:rPr>
          <w:rFonts w:ascii="Franklin Gothic Book" w:hAnsi="Franklin Gothic Book"/>
        </w:rPr>
        <w:t>EndoPredict</w:t>
      </w:r>
      <w:r w:rsidR="005F1260" w:rsidRPr="005F1260">
        <w:rPr>
          <w:rFonts w:ascii="Franklin Gothic Book" w:hAnsi="Franklin Gothic Book"/>
          <w:vertAlign w:val="superscript"/>
        </w:rPr>
        <w:t>®</w:t>
      </w:r>
      <w:r w:rsidR="007A11EB" w:rsidRPr="001B4DDB">
        <w:rPr>
          <w:rFonts w:ascii="Franklin Gothic Book" w:hAnsi="Franklin Gothic Book"/>
        </w:rPr>
        <w:t>.</w:t>
      </w:r>
    </w:p>
    <w:p w14:paraId="07487F5B" w14:textId="1D285DD9" w:rsidR="002056CD" w:rsidRPr="001B4DDB" w:rsidRDefault="002056CD" w:rsidP="002056CD">
      <w:pPr>
        <w:rPr>
          <w:rFonts w:ascii="Franklin Gothic Book" w:hAnsi="Franklin Gothic Book"/>
        </w:rPr>
      </w:pPr>
      <w:r w:rsidRPr="001B4DDB">
        <w:rPr>
          <w:rFonts w:ascii="Franklin Gothic Book" w:hAnsi="Franklin Gothic Book"/>
        </w:rPr>
        <w:t xml:space="preserve">The analysis in </w:t>
      </w:r>
      <w:r w:rsidRPr="001B4DDB">
        <w:rPr>
          <w:rFonts w:ascii="Franklin Gothic Book" w:hAnsi="Franklin Gothic Book"/>
        </w:rPr>
        <w:fldChar w:fldCharType="begin"/>
      </w:r>
      <w:r w:rsidRPr="001B4DDB">
        <w:rPr>
          <w:rFonts w:ascii="Franklin Gothic Book" w:hAnsi="Franklin Gothic Book"/>
        </w:rPr>
        <w:instrText xml:space="preserve"> REF _Ref100141590 \h </w:instrText>
      </w:r>
      <w:r w:rsidR="001B4DDB">
        <w:rPr>
          <w:rFonts w:ascii="Franklin Gothic Book" w:hAnsi="Franklin Gothic Book"/>
        </w:rPr>
        <w:instrText xml:space="preserve"> \* MERGEFORMAT </w:instrText>
      </w:r>
      <w:r w:rsidRPr="001B4DDB">
        <w:rPr>
          <w:rFonts w:ascii="Franklin Gothic Book" w:hAnsi="Franklin Gothic Book"/>
        </w:rPr>
      </w:r>
      <w:r w:rsidRPr="001B4DDB">
        <w:rPr>
          <w:rFonts w:ascii="Franklin Gothic Book" w:hAnsi="Franklin Gothic Book"/>
        </w:rPr>
        <w:fldChar w:fldCharType="separate"/>
      </w:r>
      <w:r w:rsidR="00943826" w:rsidRPr="00943826">
        <w:rPr>
          <w:rFonts w:ascii="Franklin Gothic Book" w:hAnsi="Franklin Gothic Book"/>
        </w:rPr>
        <w:t xml:space="preserve">Table </w:t>
      </w:r>
      <w:r w:rsidR="00943826" w:rsidRPr="00943826">
        <w:rPr>
          <w:rFonts w:ascii="Franklin Gothic Book" w:hAnsi="Franklin Gothic Book"/>
          <w:noProof/>
        </w:rPr>
        <w:t>9</w:t>
      </w:r>
      <w:r w:rsidRPr="001B4DDB">
        <w:rPr>
          <w:rFonts w:ascii="Franklin Gothic Book" w:hAnsi="Franklin Gothic Book"/>
        </w:rPr>
        <w:fldChar w:fldCharType="end"/>
      </w:r>
      <w:r w:rsidRPr="001B4DDB">
        <w:rPr>
          <w:rFonts w:ascii="Franklin Gothic Book" w:hAnsi="Franklin Gothic Book"/>
        </w:rPr>
        <w:t xml:space="preserve"> estimates the number of final treatment decisions for the whole that were not likely to be impacted by EPclin. Out of 103 initially high</w:t>
      </w:r>
      <w:r w:rsidR="00077D16">
        <w:rPr>
          <w:rFonts w:ascii="Franklin Gothic Book" w:hAnsi="Franklin Gothic Book"/>
        </w:rPr>
        <w:t>-</w:t>
      </w:r>
      <w:r w:rsidRPr="001B4DDB">
        <w:rPr>
          <w:rFonts w:ascii="Franklin Gothic Book" w:hAnsi="Franklin Gothic Book"/>
        </w:rPr>
        <w:t xml:space="preserve">risk patients recommended for chemotherapy following EPclin, 15 decided against the recommendation. These patient decisions were unlikely to be influenced by EPclin as MDT recommendations did not change following </w:t>
      </w:r>
      <w:r w:rsidR="00D50E5C" w:rsidRPr="001B4DDB">
        <w:rPr>
          <w:rFonts w:ascii="Franklin Gothic Book" w:hAnsi="Franklin Gothic Book"/>
        </w:rPr>
        <w:t>EndoPredict</w:t>
      </w:r>
      <w:r w:rsidR="005F1260" w:rsidRPr="005F1260">
        <w:rPr>
          <w:rFonts w:ascii="Franklin Gothic Book" w:hAnsi="Franklin Gothic Book"/>
          <w:vertAlign w:val="superscript"/>
        </w:rPr>
        <w:t>®</w:t>
      </w:r>
      <w:r w:rsidRPr="001B4DDB">
        <w:rPr>
          <w:rFonts w:ascii="Franklin Gothic Book" w:hAnsi="Franklin Gothic Book"/>
        </w:rPr>
        <w:t>. Out of the 56 initially low</w:t>
      </w:r>
      <w:r w:rsidR="00077D16">
        <w:rPr>
          <w:rFonts w:ascii="Franklin Gothic Book" w:hAnsi="Franklin Gothic Book"/>
        </w:rPr>
        <w:t>-</w:t>
      </w:r>
      <w:r w:rsidRPr="001B4DDB">
        <w:rPr>
          <w:rFonts w:ascii="Franklin Gothic Book" w:hAnsi="Franklin Gothic Book"/>
        </w:rPr>
        <w:t>risk patients recommended for hormone therapy alone following EPclin, four opted for chemotherapy. Similarly, these four patients were unlikely to be influenced by EPclin. The resultant estimates for rates of change in management are 21.5% in the high</w:t>
      </w:r>
      <w:r w:rsidR="00077D16">
        <w:rPr>
          <w:rFonts w:ascii="Franklin Gothic Book" w:hAnsi="Franklin Gothic Book"/>
        </w:rPr>
        <w:t>-</w:t>
      </w:r>
      <w:r w:rsidRPr="001B4DDB">
        <w:rPr>
          <w:rFonts w:ascii="Franklin Gothic Book" w:hAnsi="Franklin Gothic Book"/>
        </w:rPr>
        <w:t>risk group, and 18.8% in the low</w:t>
      </w:r>
      <w:r w:rsidR="00077D16">
        <w:rPr>
          <w:rFonts w:ascii="Franklin Gothic Book" w:hAnsi="Franklin Gothic Book"/>
        </w:rPr>
        <w:t>-</w:t>
      </w:r>
      <w:r w:rsidRPr="001B4DDB">
        <w:rPr>
          <w:rFonts w:ascii="Franklin Gothic Book" w:hAnsi="Franklin Gothic Book"/>
        </w:rPr>
        <w:t>risk group. This analysis reduces the overall change in management proportion from 29.2% (63/215 patients) to 20.5% (44/215 patients). The net reduction in chemotherapy is estimated to be -6.5%</w:t>
      </w:r>
      <w:r w:rsidRPr="001B4DDB">
        <w:rPr>
          <w:rStyle w:val="FootnoteReference"/>
          <w:rFonts w:ascii="Franklin Gothic Book" w:hAnsi="Franklin Gothic Book"/>
        </w:rPr>
        <w:footnoteReference w:id="11"/>
      </w:r>
      <w:r w:rsidRPr="001B4DDB">
        <w:rPr>
          <w:rFonts w:ascii="Franklin Gothic Book" w:hAnsi="Franklin Gothic Book"/>
        </w:rPr>
        <w:t>.</w:t>
      </w:r>
    </w:p>
    <w:p w14:paraId="034A8C7F" w14:textId="784800C2" w:rsidR="002056CD" w:rsidRPr="008F275D" w:rsidRDefault="002056CD" w:rsidP="00D04AA1">
      <w:pPr>
        <w:pStyle w:val="Caption"/>
        <w:keepLines/>
        <w:rPr>
          <w:rFonts w:ascii="Calibri Light" w:hAnsi="Calibri Light" w:cs="Calibri Light"/>
        </w:rPr>
      </w:pPr>
      <w:bookmarkStart w:id="48" w:name="_Ref100141590"/>
      <w:r>
        <w:lastRenderedPageBreak/>
        <w:t xml:space="preserve">Table </w:t>
      </w:r>
      <w:fldSimple w:instr=" SEQ Table \* ARABIC ">
        <w:r w:rsidR="00943826">
          <w:rPr>
            <w:noProof/>
          </w:rPr>
          <w:t>9</w:t>
        </w:r>
      </w:fldSimple>
      <w:bookmarkEnd w:id="48"/>
      <w:r w:rsidRPr="008F275D">
        <w:tab/>
        <w:t xml:space="preserve">Change in management decisions following </w:t>
      </w:r>
      <w:r w:rsidR="00D50E5C">
        <w:t>EndoPredict</w:t>
      </w:r>
      <w:r w:rsidR="005F1260" w:rsidRPr="005F1260">
        <w:rPr>
          <w:vertAlign w:val="superscript"/>
        </w:rPr>
        <w:t>®</w:t>
      </w:r>
    </w:p>
    <w:tbl>
      <w:tblPr>
        <w:tblStyle w:val="ASDTable1"/>
        <w:tblW w:w="0" w:type="auto"/>
        <w:tblLook w:val="04A0" w:firstRow="1" w:lastRow="0" w:firstColumn="1" w:lastColumn="0" w:noHBand="0" w:noVBand="1"/>
      </w:tblPr>
      <w:tblGrid>
        <w:gridCol w:w="1088"/>
        <w:gridCol w:w="1492"/>
        <w:gridCol w:w="2197"/>
        <w:gridCol w:w="2589"/>
        <w:gridCol w:w="1650"/>
      </w:tblGrid>
      <w:tr w:rsidR="008B734C" w:rsidRPr="008F275D" w14:paraId="17CB72EB" w14:textId="77777777" w:rsidTr="00844998">
        <w:trPr>
          <w:cnfStyle w:val="100000000000" w:firstRow="1" w:lastRow="0" w:firstColumn="0" w:lastColumn="0" w:oddVBand="0" w:evenVBand="0" w:oddHBand="0" w:evenHBand="0" w:firstRowFirstColumn="0" w:firstRowLastColumn="0" w:lastRowFirstColumn="0" w:lastRowLastColumn="0"/>
          <w:tblHeader w:val="0"/>
        </w:trPr>
        <w:tc>
          <w:tcPr>
            <w:tcW w:w="1088" w:type="dxa"/>
          </w:tcPr>
          <w:p w14:paraId="1009D75F" w14:textId="77777777" w:rsidR="008B734C" w:rsidRDefault="008B734C" w:rsidP="00D04AA1">
            <w:pPr>
              <w:keepNext/>
              <w:keepLines/>
              <w:spacing w:before="40" w:after="40"/>
              <w:rPr>
                <w:rFonts w:ascii="Arial Narrow" w:eastAsia="Times New Roman" w:hAnsi="Arial Narrow" w:cs="Tahoma"/>
              </w:rPr>
            </w:pPr>
            <w:r>
              <w:rPr>
                <w:rFonts w:ascii="Arial Narrow" w:eastAsia="Times New Roman" w:hAnsi="Arial Narrow" w:cs="Tahoma"/>
              </w:rPr>
              <w:t>Study</w:t>
            </w:r>
          </w:p>
          <w:p w14:paraId="71382276" w14:textId="637C12BB" w:rsidR="008B734C" w:rsidRPr="008F275D" w:rsidRDefault="008B734C" w:rsidP="00D04AA1">
            <w:pPr>
              <w:keepNext/>
              <w:keepLines/>
              <w:spacing w:before="40" w:after="40"/>
              <w:rPr>
                <w:rFonts w:ascii="Arial Narrow" w:eastAsia="Times New Roman" w:hAnsi="Arial Narrow" w:cs="Tahoma"/>
              </w:rPr>
            </w:pPr>
            <w:r>
              <w:rPr>
                <w:rFonts w:ascii="Arial Narrow" w:eastAsia="Times New Roman" w:hAnsi="Arial Narrow" w:cs="Tahoma"/>
              </w:rPr>
              <w:t>Patients</w:t>
            </w:r>
          </w:p>
        </w:tc>
        <w:tc>
          <w:tcPr>
            <w:tcW w:w="1492" w:type="dxa"/>
          </w:tcPr>
          <w:p w14:paraId="3CD5C4C8" w14:textId="2FA91D1C" w:rsidR="008B734C" w:rsidRPr="008F275D" w:rsidRDefault="008B734C" w:rsidP="002E1C42">
            <w:pPr>
              <w:keepNext/>
              <w:keepLines/>
              <w:spacing w:before="40" w:after="40"/>
              <w:rPr>
                <w:rFonts w:ascii="Arial Narrow" w:eastAsia="Times New Roman" w:hAnsi="Arial Narrow" w:cs="Tahoma"/>
              </w:rPr>
            </w:pPr>
            <w:r w:rsidRPr="008F275D">
              <w:rPr>
                <w:rFonts w:ascii="Arial Narrow" w:eastAsia="Times New Roman" w:hAnsi="Arial Narrow" w:cs="Tahoma"/>
              </w:rPr>
              <w:t>Initial MDT recommendation</w:t>
            </w:r>
          </w:p>
        </w:tc>
        <w:tc>
          <w:tcPr>
            <w:tcW w:w="2197" w:type="dxa"/>
          </w:tcPr>
          <w:p w14:paraId="250EF733" w14:textId="1BFF6CF6" w:rsidR="008B734C" w:rsidRPr="008F275D" w:rsidRDefault="008B734C" w:rsidP="002E1C42">
            <w:pPr>
              <w:keepNext/>
              <w:keepLines/>
              <w:tabs>
                <w:tab w:val="left" w:pos="1576"/>
              </w:tabs>
              <w:spacing w:before="40" w:after="40"/>
              <w:rPr>
                <w:rFonts w:ascii="Arial Narrow" w:eastAsia="Times New Roman" w:hAnsi="Arial Narrow" w:cs="Tahoma"/>
              </w:rPr>
            </w:pPr>
            <w:r w:rsidRPr="008F275D">
              <w:rPr>
                <w:rFonts w:ascii="Arial Narrow" w:eastAsia="Times New Roman" w:hAnsi="Arial Narrow" w:cs="Tahoma"/>
              </w:rPr>
              <w:t xml:space="preserve">MDT recommendation after </w:t>
            </w:r>
            <w:r w:rsidR="00D50E5C">
              <w:rPr>
                <w:rFonts w:ascii="Arial Narrow" w:eastAsia="Times New Roman" w:hAnsi="Arial Narrow" w:cs="Tahoma"/>
              </w:rPr>
              <w:t>EndoPredict</w:t>
            </w:r>
          </w:p>
        </w:tc>
        <w:tc>
          <w:tcPr>
            <w:tcW w:w="2589" w:type="dxa"/>
          </w:tcPr>
          <w:p w14:paraId="4A2E30AD" w14:textId="5CAE1A02" w:rsidR="008B734C" w:rsidRPr="008F275D" w:rsidRDefault="00607C68" w:rsidP="00D04AA1">
            <w:pPr>
              <w:keepNext/>
              <w:keepLines/>
              <w:tabs>
                <w:tab w:val="left" w:pos="1651"/>
              </w:tabs>
              <w:spacing w:before="40" w:after="40"/>
              <w:rPr>
                <w:rFonts w:ascii="Arial Narrow" w:eastAsia="Times New Roman" w:hAnsi="Arial Narrow" w:cs="Tahoma"/>
              </w:rPr>
            </w:pPr>
            <w:r>
              <w:rPr>
                <w:rFonts w:ascii="Arial Narrow" w:eastAsia="Times New Roman" w:hAnsi="Arial Narrow" w:cs="Tahoma"/>
              </w:rPr>
              <w:t>T</w:t>
            </w:r>
            <w:r w:rsidR="008B734C">
              <w:rPr>
                <w:rFonts w:ascii="Arial Narrow" w:eastAsia="Times New Roman" w:hAnsi="Arial Narrow" w:cs="Tahoma"/>
              </w:rPr>
              <w:t xml:space="preserve">reatment </w:t>
            </w:r>
            <w:r>
              <w:rPr>
                <w:rFonts w:ascii="Arial Narrow" w:eastAsia="Times New Roman" w:hAnsi="Arial Narrow" w:cs="Tahoma"/>
              </w:rPr>
              <w:t>given</w:t>
            </w:r>
          </w:p>
          <w:p w14:paraId="690E2BD2" w14:textId="3AC149D7" w:rsidR="008B734C" w:rsidRPr="008F275D" w:rsidRDefault="008B734C" w:rsidP="00D04AA1">
            <w:pPr>
              <w:keepNext/>
              <w:keepLines/>
              <w:tabs>
                <w:tab w:val="left" w:pos="1651"/>
              </w:tabs>
              <w:spacing w:before="40" w:after="40"/>
              <w:rPr>
                <w:rFonts w:ascii="Arial Narrow" w:eastAsia="Times New Roman" w:hAnsi="Arial Narrow" w:cs="Tahoma"/>
              </w:rPr>
            </w:pPr>
          </w:p>
        </w:tc>
        <w:tc>
          <w:tcPr>
            <w:tcW w:w="1650" w:type="dxa"/>
          </w:tcPr>
          <w:p w14:paraId="5FB4025C" w14:textId="77777777" w:rsidR="008B734C" w:rsidRPr="008F275D" w:rsidRDefault="008B734C" w:rsidP="00D04AA1">
            <w:pPr>
              <w:keepNext/>
              <w:keepLines/>
              <w:spacing w:before="40" w:after="40"/>
              <w:rPr>
                <w:rFonts w:ascii="Arial Narrow" w:eastAsia="Times New Roman" w:hAnsi="Arial Narrow" w:cs="Tahoma"/>
              </w:rPr>
            </w:pPr>
            <w:r w:rsidRPr="008F275D">
              <w:rPr>
                <w:rFonts w:ascii="Arial Narrow" w:eastAsia="Times New Roman" w:hAnsi="Arial Narrow" w:cs="Tahoma"/>
              </w:rPr>
              <w:t>Change in management</w:t>
            </w:r>
          </w:p>
        </w:tc>
      </w:tr>
      <w:tr w:rsidR="008B734C" w:rsidRPr="008F275D" w14:paraId="3BA6DBC6" w14:textId="77777777" w:rsidTr="00457FE3">
        <w:tc>
          <w:tcPr>
            <w:tcW w:w="1088" w:type="dxa"/>
            <w:vMerge w:val="restart"/>
          </w:tcPr>
          <w:p w14:paraId="6F36ADB1" w14:textId="3103D5C3" w:rsidR="008B734C" w:rsidRDefault="008B734C" w:rsidP="00D04AA1">
            <w:pPr>
              <w:keepNext/>
              <w:keepLines/>
              <w:spacing w:before="40" w:after="40"/>
              <w:rPr>
                <w:rFonts w:eastAsia="Times New Roman" w:cs="Tahoma"/>
              </w:rPr>
            </w:pPr>
            <w:r>
              <w:rPr>
                <w:rFonts w:eastAsia="Times New Roman" w:cs="Tahoma"/>
              </w:rPr>
              <w:t>PROSPER data spreadsheet</w:t>
            </w:r>
          </w:p>
          <w:p w14:paraId="33A45405" w14:textId="56B63533" w:rsidR="008B734C" w:rsidRPr="008F275D" w:rsidRDefault="008B734C" w:rsidP="00D04AA1">
            <w:pPr>
              <w:keepNext/>
              <w:keepLines/>
              <w:spacing w:before="40" w:after="40"/>
              <w:rPr>
                <w:rFonts w:eastAsia="Times New Roman" w:cs="Tahoma"/>
              </w:rPr>
            </w:pPr>
            <w:r>
              <w:rPr>
                <w:rFonts w:eastAsia="Times New Roman" w:cs="Tahoma"/>
              </w:rPr>
              <w:t>MBS eligible group n=215</w:t>
            </w:r>
          </w:p>
        </w:tc>
        <w:tc>
          <w:tcPr>
            <w:tcW w:w="1492" w:type="dxa"/>
            <w:vMerge w:val="restart"/>
          </w:tcPr>
          <w:p w14:paraId="73045FA2" w14:textId="118EF045" w:rsidR="008B734C" w:rsidRPr="008F275D" w:rsidRDefault="008B734C" w:rsidP="00D04AA1">
            <w:pPr>
              <w:keepNext/>
              <w:keepLines/>
              <w:spacing w:before="40" w:after="40"/>
              <w:rPr>
                <w:rFonts w:eastAsia="Times New Roman" w:cs="Tahoma"/>
              </w:rPr>
            </w:pPr>
            <w:r w:rsidRPr="008F275D">
              <w:rPr>
                <w:rFonts w:eastAsia="Times New Roman" w:cs="Tahoma"/>
              </w:rPr>
              <w:t>CTX [n=135]</w:t>
            </w:r>
          </w:p>
        </w:tc>
        <w:tc>
          <w:tcPr>
            <w:tcW w:w="2197" w:type="dxa"/>
            <w:vMerge w:val="restart"/>
          </w:tcPr>
          <w:p w14:paraId="09D5C7E2" w14:textId="0B85A3B9" w:rsidR="008B734C" w:rsidRPr="008F275D" w:rsidRDefault="008B734C" w:rsidP="002E1C42">
            <w:pPr>
              <w:keepNext/>
              <w:tabs>
                <w:tab w:val="left" w:pos="1321"/>
                <w:tab w:val="left" w:pos="1576"/>
              </w:tabs>
              <w:spacing w:before="40" w:after="40"/>
              <w:rPr>
                <w:rFonts w:eastAsia="Times New Roman" w:cs="Tahoma"/>
              </w:rPr>
            </w:pPr>
            <w:r w:rsidRPr="008F275D">
              <w:rPr>
                <w:rFonts w:eastAsia="Times New Roman" w:cs="Tahoma"/>
              </w:rPr>
              <w:t>CTX [n=103</w:t>
            </w:r>
            <w:r>
              <w:rPr>
                <w:rFonts w:eastAsia="Times New Roman" w:cs="Tahoma"/>
              </w:rPr>
              <w:t>]</w:t>
            </w:r>
            <w:r>
              <w:rPr>
                <w:rFonts w:eastAsia="Times New Roman" w:cs="Tahoma"/>
              </w:rPr>
              <w:tab/>
              <w:t>47.9%</w:t>
            </w:r>
          </w:p>
        </w:tc>
        <w:tc>
          <w:tcPr>
            <w:tcW w:w="2589" w:type="dxa"/>
            <w:tcBorders>
              <w:bottom w:val="single" w:sz="4" w:space="0" w:color="auto"/>
            </w:tcBorders>
          </w:tcPr>
          <w:p w14:paraId="6961F0A8" w14:textId="7F7D761F" w:rsidR="008B734C" w:rsidRPr="008F275D" w:rsidRDefault="008B734C" w:rsidP="00D04AA1">
            <w:pPr>
              <w:keepNext/>
              <w:keepLines/>
              <w:tabs>
                <w:tab w:val="left" w:pos="1651"/>
              </w:tabs>
              <w:spacing w:before="40" w:after="40"/>
              <w:rPr>
                <w:rFonts w:eastAsia="Times New Roman" w:cs="Tahoma"/>
              </w:rPr>
            </w:pPr>
            <w:r w:rsidRPr="008F275D">
              <w:rPr>
                <w:rFonts w:eastAsia="Times New Roman" w:cs="Tahoma"/>
              </w:rPr>
              <w:t>CTX [n=88</w:t>
            </w:r>
            <w:r>
              <w:rPr>
                <w:rFonts w:eastAsia="Times New Roman" w:cs="Tahoma"/>
              </w:rPr>
              <w:t>]</w:t>
            </w:r>
            <w:r>
              <w:rPr>
                <w:rFonts w:eastAsia="Times New Roman" w:cs="Tahoma"/>
              </w:rPr>
              <w:tab/>
              <w:t>40.9%</w:t>
            </w:r>
          </w:p>
        </w:tc>
        <w:tc>
          <w:tcPr>
            <w:tcW w:w="1650" w:type="dxa"/>
            <w:tcBorders>
              <w:bottom w:val="single" w:sz="4" w:space="0" w:color="auto"/>
            </w:tcBorders>
          </w:tcPr>
          <w:p w14:paraId="6D5A48C7" w14:textId="77777777" w:rsidR="008B734C" w:rsidRPr="008F275D" w:rsidRDefault="008B734C" w:rsidP="00D04AA1">
            <w:pPr>
              <w:keepNext/>
              <w:keepLines/>
              <w:spacing w:before="40" w:after="40"/>
              <w:rPr>
                <w:rFonts w:eastAsia="Times New Roman" w:cs="Tahoma"/>
              </w:rPr>
            </w:pPr>
            <w:r w:rsidRPr="008F275D">
              <w:rPr>
                <w:rFonts w:eastAsia="Times New Roman" w:cs="Tahoma"/>
              </w:rPr>
              <w:t>No</w:t>
            </w:r>
          </w:p>
        </w:tc>
      </w:tr>
      <w:tr w:rsidR="008B734C" w:rsidRPr="008F275D" w14:paraId="4B12D04F" w14:textId="77777777" w:rsidTr="00457FE3">
        <w:tc>
          <w:tcPr>
            <w:tcW w:w="1088" w:type="dxa"/>
            <w:vMerge/>
          </w:tcPr>
          <w:p w14:paraId="7B38C5D5" w14:textId="77777777" w:rsidR="008B734C" w:rsidRPr="008F275D" w:rsidRDefault="008B734C" w:rsidP="006B0BCC">
            <w:pPr>
              <w:keepNext/>
              <w:keepLines/>
              <w:spacing w:before="40" w:after="40"/>
              <w:rPr>
                <w:rFonts w:eastAsia="Times New Roman" w:cs="Tahoma"/>
              </w:rPr>
            </w:pPr>
          </w:p>
        </w:tc>
        <w:tc>
          <w:tcPr>
            <w:tcW w:w="1492" w:type="dxa"/>
            <w:vMerge/>
          </w:tcPr>
          <w:p w14:paraId="0B4A20E9" w14:textId="42380C33" w:rsidR="008B734C" w:rsidRPr="008F275D" w:rsidRDefault="008B734C" w:rsidP="006B0BCC">
            <w:pPr>
              <w:keepNext/>
              <w:keepLines/>
              <w:spacing w:before="40" w:after="40"/>
              <w:rPr>
                <w:rFonts w:eastAsia="Times New Roman" w:cs="Tahoma"/>
              </w:rPr>
            </w:pPr>
          </w:p>
        </w:tc>
        <w:tc>
          <w:tcPr>
            <w:tcW w:w="2197" w:type="dxa"/>
            <w:vMerge/>
          </w:tcPr>
          <w:p w14:paraId="35DD464A" w14:textId="77777777" w:rsidR="008B734C" w:rsidRPr="008F275D" w:rsidRDefault="008B734C">
            <w:pPr>
              <w:keepNext/>
              <w:keepLines/>
              <w:tabs>
                <w:tab w:val="left" w:pos="1576"/>
              </w:tabs>
              <w:spacing w:before="40" w:after="40"/>
              <w:rPr>
                <w:rFonts w:eastAsia="Times New Roman" w:cs="Tahoma"/>
              </w:rPr>
            </w:pPr>
          </w:p>
        </w:tc>
        <w:tc>
          <w:tcPr>
            <w:tcW w:w="2589" w:type="dxa"/>
            <w:shd w:val="clear" w:color="auto" w:fill="auto"/>
          </w:tcPr>
          <w:p w14:paraId="04DE4ED7" w14:textId="7AC4AA46" w:rsidR="008B734C" w:rsidRPr="008F275D" w:rsidRDefault="008B734C" w:rsidP="008B734C">
            <w:pPr>
              <w:keepNext/>
              <w:keepLines/>
              <w:tabs>
                <w:tab w:val="left" w:pos="1651"/>
              </w:tabs>
              <w:spacing w:before="40" w:after="40"/>
              <w:rPr>
                <w:rFonts w:eastAsia="Times New Roman" w:cs="Tahoma"/>
              </w:rPr>
            </w:pPr>
            <w:r w:rsidRPr="008F275D">
              <w:rPr>
                <w:rFonts w:eastAsia="Times New Roman" w:cs="Tahoma"/>
              </w:rPr>
              <w:t>No CTX [n=15</w:t>
            </w:r>
            <w:r>
              <w:rPr>
                <w:rFonts w:eastAsia="Times New Roman" w:cs="Tahoma"/>
              </w:rPr>
              <w:t>]</w:t>
            </w:r>
            <w:r>
              <w:rPr>
                <w:rFonts w:eastAsia="Times New Roman" w:cs="Tahoma"/>
              </w:rPr>
              <w:tab/>
              <w:t>7.0%</w:t>
            </w:r>
          </w:p>
        </w:tc>
        <w:tc>
          <w:tcPr>
            <w:tcW w:w="1650" w:type="dxa"/>
            <w:shd w:val="clear" w:color="auto" w:fill="auto"/>
          </w:tcPr>
          <w:p w14:paraId="5F834C4B" w14:textId="11B895D5" w:rsidR="008B734C" w:rsidRPr="008F275D" w:rsidRDefault="008B734C" w:rsidP="00371A42">
            <w:pPr>
              <w:keepNext/>
              <w:keepLines/>
              <w:spacing w:before="40" w:after="40"/>
              <w:rPr>
                <w:rFonts w:eastAsia="Times New Roman" w:cs="Tahoma"/>
              </w:rPr>
            </w:pPr>
            <w:r w:rsidRPr="008F275D">
              <w:rPr>
                <w:rFonts w:eastAsia="Times New Roman" w:cs="Tahoma"/>
              </w:rPr>
              <w:t xml:space="preserve">Yes, not likely due to </w:t>
            </w:r>
            <w:r w:rsidR="00D50E5C">
              <w:rPr>
                <w:rFonts w:eastAsia="Times New Roman" w:cs="Tahoma"/>
              </w:rPr>
              <w:t>EndoPredict</w:t>
            </w:r>
            <w:r w:rsidR="005F1260" w:rsidRPr="005F1260">
              <w:rPr>
                <w:rFonts w:eastAsia="Times New Roman" w:cs="Tahoma"/>
                <w:vertAlign w:val="superscript"/>
              </w:rPr>
              <w:t>®</w:t>
            </w:r>
          </w:p>
        </w:tc>
      </w:tr>
      <w:tr w:rsidR="008B734C" w:rsidRPr="008F275D" w14:paraId="33EDD5E3" w14:textId="77777777" w:rsidTr="00457FE3">
        <w:tc>
          <w:tcPr>
            <w:tcW w:w="1088" w:type="dxa"/>
            <w:vMerge/>
          </w:tcPr>
          <w:p w14:paraId="497410A3" w14:textId="77777777" w:rsidR="008B734C" w:rsidRPr="008F275D" w:rsidRDefault="008B734C" w:rsidP="006B0BCC">
            <w:pPr>
              <w:keepNext/>
              <w:keepLines/>
              <w:spacing w:before="40" w:after="40"/>
              <w:rPr>
                <w:rFonts w:eastAsia="Times New Roman" w:cs="Tahoma"/>
              </w:rPr>
            </w:pPr>
          </w:p>
        </w:tc>
        <w:tc>
          <w:tcPr>
            <w:tcW w:w="1492" w:type="dxa"/>
            <w:vMerge/>
          </w:tcPr>
          <w:p w14:paraId="2BCE323A" w14:textId="4C0A7D41" w:rsidR="008B734C" w:rsidRPr="008F275D" w:rsidRDefault="008B734C" w:rsidP="006B0BCC">
            <w:pPr>
              <w:keepNext/>
              <w:keepLines/>
              <w:spacing w:before="40" w:after="40"/>
              <w:rPr>
                <w:rFonts w:eastAsia="Times New Roman" w:cs="Tahoma"/>
              </w:rPr>
            </w:pPr>
          </w:p>
        </w:tc>
        <w:tc>
          <w:tcPr>
            <w:tcW w:w="2197" w:type="dxa"/>
            <w:vMerge w:val="restart"/>
          </w:tcPr>
          <w:p w14:paraId="2069B882" w14:textId="75ECE9E0" w:rsidR="008B734C" w:rsidRPr="008F275D" w:rsidRDefault="008B734C" w:rsidP="002E1C42">
            <w:pPr>
              <w:keepNext/>
              <w:tabs>
                <w:tab w:val="left" w:pos="1321"/>
                <w:tab w:val="left" w:pos="1576"/>
              </w:tabs>
              <w:spacing w:before="40" w:after="40"/>
              <w:rPr>
                <w:rFonts w:eastAsia="Times New Roman" w:cs="Tahoma"/>
              </w:rPr>
            </w:pPr>
            <w:r w:rsidRPr="008F275D">
              <w:rPr>
                <w:rFonts w:eastAsia="Times New Roman" w:cs="Tahoma"/>
              </w:rPr>
              <w:t>No CTX [n=32</w:t>
            </w:r>
            <w:r>
              <w:rPr>
                <w:rFonts w:eastAsia="Times New Roman" w:cs="Tahoma"/>
              </w:rPr>
              <w:t>]</w:t>
            </w:r>
            <w:r>
              <w:rPr>
                <w:rFonts w:eastAsia="Times New Roman" w:cs="Tahoma"/>
              </w:rPr>
              <w:tab/>
              <w:t>14.9%</w:t>
            </w:r>
          </w:p>
        </w:tc>
        <w:tc>
          <w:tcPr>
            <w:tcW w:w="2589" w:type="dxa"/>
            <w:tcBorders>
              <w:bottom w:val="single" w:sz="4" w:space="0" w:color="auto"/>
            </w:tcBorders>
          </w:tcPr>
          <w:p w14:paraId="12D81A1D" w14:textId="6BAA37A7" w:rsidR="008B734C" w:rsidRPr="008F275D" w:rsidRDefault="008B734C" w:rsidP="008B734C">
            <w:pPr>
              <w:keepNext/>
              <w:keepLines/>
              <w:tabs>
                <w:tab w:val="left" w:pos="1651"/>
              </w:tabs>
              <w:spacing w:before="40" w:after="40"/>
              <w:rPr>
                <w:rFonts w:eastAsia="Times New Roman" w:cs="Tahoma"/>
              </w:rPr>
            </w:pPr>
            <w:r w:rsidRPr="008F275D">
              <w:rPr>
                <w:rFonts w:eastAsia="Times New Roman" w:cs="Tahoma"/>
              </w:rPr>
              <w:t>CTX [n=3</w:t>
            </w:r>
            <w:r>
              <w:rPr>
                <w:rFonts w:eastAsia="Times New Roman" w:cs="Tahoma"/>
              </w:rPr>
              <w:t>]</w:t>
            </w:r>
            <w:r>
              <w:rPr>
                <w:rFonts w:eastAsia="Times New Roman" w:cs="Tahoma"/>
              </w:rPr>
              <w:tab/>
              <w:t>1.4%</w:t>
            </w:r>
            <w:r w:rsidRPr="008F275D">
              <w:rPr>
                <w:rFonts w:eastAsia="Times New Roman" w:cs="Tahoma"/>
              </w:rPr>
              <w:t>]</w:t>
            </w:r>
          </w:p>
        </w:tc>
        <w:tc>
          <w:tcPr>
            <w:tcW w:w="1650" w:type="dxa"/>
            <w:tcBorders>
              <w:bottom w:val="single" w:sz="4" w:space="0" w:color="auto"/>
            </w:tcBorders>
          </w:tcPr>
          <w:p w14:paraId="076E7792" w14:textId="2DDEEE81" w:rsidR="008B734C" w:rsidRPr="008F275D" w:rsidRDefault="008B734C" w:rsidP="006B0BCC">
            <w:pPr>
              <w:keepNext/>
              <w:keepLines/>
              <w:spacing w:before="40" w:after="40"/>
              <w:rPr>
                <w:rFonts w:eastAsia="Times New Roman" w:cs="Tahoma"/>
              </w:rPr>
            </w:pPr>
            <w:r w:rsidRPr="008F275D">
              <w:rPr>
                <w:rFonts w:eastAsia="Times New Roman" w:cs="Tahoma"/>
              </w:rPr>
              <w:t>No</w:t>
            </w:r>
          </w:p>
        </w:tc>
      </w:tr>
      <w:tr w:rsidR="008B734C" w:rsidRPr="008F275D" w14:paraId="2E963942" w14:textId="77777777" w:rsidTr="00457FE3">
        <w:tc>
          <w:tcPr>
            <w:tcW w:w="1088" w:type="dxa"/>
            <w:vMerge/>
          </w:tcPr>
          <w:p w14:paraId="4C33E456" w14:textId="77777777" w:rsidR="008B734C" w:rsidRPr="008F275D" w:rsidRDefault="008B734C" w:rsidP="006B0BCC">
            <w:pPr>
              <w:keepNext/>
              <w:keepLines/>
              <w:spacing w:before="40" w:after="40"/>
              <w:rPr>
                <w:rFonts w:eastAsia="Times New Roman" w:cs="Tahoma"/>
              </w:rPr>
            </w:pPr>
          </w:p>
        </w:tc>
        <w:tc>
          <w:tcPr>
            <w:tcW w:w="1492" w:type="dxa"/>
            <w:vMerge/>
          </w:tcPr>
          <w:p w14:paraId="463321A2" w14:textId="04AF17E2" w:rsidR="008B734C" w:rsidRPr="008F275D" w:rsidRDefault="008B734C" w:rsidP="006B0BCC">
            <w:pPr>
              <w:keepNext/>
              <w:keepLines/>
              <w:spacing w:before="40" w:after="40"/>
              <w:rPr>
                <w:rFonts w:eastAsia="Times New Roman" w:cs="Tahoma"/>
              </w:rPr>
            </w:pPr>
          </w:p>
        </w:tc>
        <w:tc>
          <w:tcPr>
            <w:tcW w:w="2197" w:type="dxa"/>
            <w:vMerge/>
          </w:tcPr>
          <w:p w14:paraId="329E1839" w14:textId="77777777" w:rsidR="008B734C" w:rsidRPr="008F275D" w:rsidRDefault="008B734C">
            <w:pPr>
              <w:keepNext/>
              <w:keepLines/>
              <w:tabs>
                <w:tab w:val="left" w:pos="1576"/>
              </w:tabs>
              <w:spacing w:before="40" w:after="40"/>
              <w:rPr>
                <w:rFonts w:eastAsia="Times New Roman" w:cs="Tahoma"/>
              </w:rPr>
            </w:pPr>
          </w:p>
        </w:tc>
        <w:tc>
          <w:tcPr>
            <w:tcW w:w="2589" w:type="dxa"/>
            <w:shd w:val="clear" w:color="auto" w:fill="auto"/>
          </w:tcPr>
          <w:p w14:paraId="76140A69" w14:textId="01810238" w:rsidR="008B734C" w:rsidRPr="008F275D" w:rsidRDefault="008B734C" w:rsidP="008B734C">
            <w:pPr>
              <w:keepNext/>
              <w:keepLines/>
              <w:tabs>
                <w:tab w:val="left" w:pos="1651"/>
              </w:tabs>
              <w:spacing w:before="40" w:after="40"/>
              <w:rPr>
                <w:rFonts w:eastAsia="Times New Roman" w:cs="Tahoma"/>
              </w:rPr>
            </w:pPr>
            <w:r w:rsidRPr="008F275D">
              <w:rPr>
                <w:rFonts w:eastAsia="Times New Roman" w:cs="Tahoma"/>
              </w:rPr>
              <w:t>No CTX [n=29</w:t>
            </w:r>
            <w:r>
              <w:rPr>
                <w:rFonts w:eastAsia="Times New Roman" w:cs="Tahoma"/>
              </w:rPr>
              <w:t>]</w:t>
            </w:r>
            <w:r>
              <w:rPr>
                <w:rFonts w:eastAsia="Times New Roman" w:cs="Tahoma"/>
              </w:rPr>
              <w:tab/>
              <w:t>13.5%</w:t>
            </w:r>
          </w:p>
        </w:tc>
        <w:tc>
          <w:tcPr>
            <w:tcW w:w="1650" w:type="dxa"/>
            <w:shd w:val="clear" w:color="auto" w:fill="auto"/>
          </w:tcPr>
          <w:p w14:paraId="79E057D3" w14:textId="5C7090C5" w:rsidR="008B734C" w:rsidRPr="008F275D" w:rsidRDefault="008B734C" w:rsidP="00371A42">
            <w:pPr>
              <w:keepNext/>
              <w:keepLines/>
              <w:spacing w:before="40" w:after="40"/>
              <w:rPr>
                <w:rFonts w:eastAsia="Times New Roman" w:cs="Tahoma"/>
              </w:rPr>
            </w:pPr>
            <w:r w:rsidRPr="008F275D">
              <w:rPr>
                <w:rFonts w:eastAsia="Times New Roman" w:cs="Tahoma"/>
              </w:rPr>
              <w:t>Yes</w:t>
            </w:r>
          </w:p>
        </w:tc>
      </w:tr>
      <w:tr w:rsidR="008B734C" w:rsidRPr="008F275D" w14:paraId="023518DF" w14:textId="77777777" w:rsidTr="00457FE3">
        <w:tc>
          <w:tcPr>
            <w:tcW w:w="1088" w:type="dxa"/>
            <w:vMerge/>
          </w:tcPr>
          <w:p w14:paraId="046D111C" w14:textId="77777777" w:rsidR="008B734C" w:rsidRPr="008F275D" w:rsidRDefault="008B734C" w:rsidP="006B0BCC">
            <w:pPr>
              <w:keepNext/>
              <w:keepLines/>
              <w:spacing w:before="40" w:after="40"/>
              <w:rPr>
                <w:rFonts w:eastAsia="Times New Roman" w:cs="Tahoma"/>
              </w:rPr>
            </w:pPr>
          </w:p>
        </w:tc>
        <w:tc>
          <w:tcPr>
            <w:tcW w:w="1492" w:type="dxa"/>
            <w:vMerge w:val="restart"/>
          </w:tcPr>
          <w:p w14:paraId="541F5957" w14:textId="7DCB89A9" w:rsidR="008B734C" w:rsidRPr="008F275D" w:rsidRDefault="008B734C" w:rsidP="006B0BCC">
            <w:pPr>
              <w:keepNext/>
              <w:keepLines/>
              <w:spacing w:before="40" w:after="40"/>
              <w:rPr>
                <w:rFonts w:eastAsia="Times New Roman" w:cs="Tahoma"/>
              </w:rPr>
            </w:pPr>
            <w:r w:rsidRPr="008F275D">
              <w:rPr>
                <w:rFonts w:eastAsia="Times New Roman" w:cs="Tahoma"/>
              </w:rPr>
              <w:t>No CTX [n=80]</w:t>
            </w:r>
          </w:p>
        </w:tc>
        <w:tc>
          <w:tcPr>
            <w:tcW w:w="2197" w:type="dxa"/>
            <w:vMerge w:val="restart"/>
          </w:tcPr>
          <w:p w14:paraId="51B33991" w14:textId="3DA0607A" w:rsidR="008B734C" w:rsidRPr="008F275D" w:rsidRDefault="008B734C" w:rsidP="002E1C42">
            <w:pPr>
              <w:keepNext/>
              <w:tabs>
                <w:tab w:val="left" w:pos="1321"/>
                <w:tab w:val="left" w:pos="1576"/>
              </w:tabs>
              <w:spacing w:before="40" w:after="40"/>
              <w:rPr>
                <w:rFonts w:eastAsia="Times New Roman" w:cs="Tahoma"/>
              </w:rPr>
            </w:pPr>
            <w:r w:rsidRPr="008F275D">
              <w:rPr>
                <w:rFonts w:eastAsia="Times New Roman" w:cs="Tahoma"/>
              </w:rPr>
              <w:t>CTX [n=24</w:t>
            </w:r>
            <w:r>
              <w:rPr>
                <w:rFonts w:eastAsia="Times New Roman" w:cs="Tahoma"/>
              </w:rPr>
              <w:t>]</w:t>
            </w:r>
            <w:r>
              <w:rPr>
                <w:rFonts w:eastAsia="Times New Roman" w:cs="Tahoma"/>
              </w:rPr>
              <w:tab/>
              <w:t>11.2%</w:t>
            </w:r>
          </w:p>
        </w:tc>
        <w:tc>
          <w:tcPr>
            <w:tcW w:w="2589" w:type="dxa"/>
            <w:shd w:val="clear" w:color="auto" w:fill="auto"/>
          </w:tcPr>
          <w:p w14:paraId="63B45D25" w14:textId="23FF9866" w:rsidR="008B734C" w:rsidRPr="008F275D" w:rsidRDefault="008B734C" w:rsidP="008B734C">
            <w:pPr>
              <w:keepNext/>
              <w:keepLines/>
              <w:tabs>
                <w:tab w:val="left" w:pos="1651"/>
              </w:tabs>
              <w:spacing w:before="40" w:after="40"/>
              <w:rPr>
                <w:rFonts w:eastAsia="Times New Roman" w:cs="Tahoma"/>
              </w:rPr>
            </w:pPr>
            <w:r w:rsidRPr="008F275D">
              <w:rPr>
                <w:rFonts w:eastAsia="Times New Roman" w:cs="Tahoma"/>
              </w:rPr>
              <w:t>CTX [n=15</w:t>
            </w:r>
            <w:r>
              <w:rPr>
                <w:rFonts w:eastAsia="Times New Roman" w:cs="Tahoma"/>
              </w:rPr>
              <w:t>]</w:t>
            </w:r>
            <w:r>
              <w:rPr>
                <w:rFonts w:eastAsia="Times New Roman" w:cs="Tahoma"/>
              </w:rPr>
              <w:tab/>
              <w:t>7.0%</w:t>
            </w:r>
          </w:p>
        </w:tc>
        <w:tc>
          <w:tcPr>
            <w:tcW w:w="1650" w:type="dxa"/>
            <w:shd w:val="clear" w:color="auto" w:fill="auto"/>
          </w:tcPr>
          <w:p w14:paraId="19663CBF" w14:textId="3736C698" w:rsidR="008B734C" w:rsidRPr="008F275D" w:rsidRDefault="008B734C" w:rsidP="00371A42">
            <w:pPr>
              <w:keepNext/>
              <w:keepLines/>
              <w:spacing w:before="40" w:after="40"/>
              <w:rPr>
                <w:rFonts w:eastAsia="Times New Roman" w:cs="Tahoma"/>
              </w:rPr>
            </w:pPr>
            <w:r w:rsidRPr="008F275D">
              <w:rPr>
                <w:rFonts w:eastAsia="Times New Roman" w:cs="Tahoma"/>
              </w:rPr>
              <w:t>Ye</w:t>
            </w:r>
            <w:r w:rsidR="00457FE3">
              <w:rPr>
                <w:rFonts w:eastAsia="Times New Roman" w:cs="Tahoma"/>
              </w:rPr>
              <w:t>s</w:t>
            </w:r>
          </w:p>
        </w:tc>
      </w:tr>
      <w:tr w:rsidR="008B734C" w:rsidRPr="008F275D" w14:paraId="20E5E786" w14:textId="77777777" w:rsidTr="00457FE3">
        <w:tc>
          <w:tcPr>
            <w:tcW w:w="1088" w:type="dxa"/>
            <w:vMerge/>
          </w:tcPr>
          <w:p w14:paraId="1E4E54CF" w14:textId="77777777" w:rsidR="008B734C" w:rsidRPr="008F275D" w:rsidRDefault="008B734C" w:rsidP="006B0BCC">
            <w:pPr>
              <w:keepNext/>
              <w:spacing w:before="40" w:after="40"/>
              <w:rPr>
                <w:rFonts w:eastAsia="Times New Roman" w:cs="Tahoma"/>
              </w:rPr>
            </w:pPr>
          </w:p>
        </w:tc>
        <w:tc>
          <w:tcPr>
            <w:tcW w:w="1492" w:type="dxa"/>
            <w:vMerge/>
          </w:tcPr>
          <w:p w14:paraId="4A07E04E" w14:textId="67360442" w:rsidR="008B734C" w:rsidRPr="008F275D" w:rsidRDefault="008B734C" w:rsidP="006B0BCC">
            <w:pPr>
              <w:keepNext/>
              <w:spacing w:before="40" w:after="40"/>
              <w:rPr>
                <w:rFonts w:eastAsia="Times New Roman" w:cs="Tahoma"/>
              </w:rPr>
            </w:pPr>
          </w:p>
        </w:tc>
        <w:tc>
          <w:tcPr>
            <w:tcW w:w="2197" w:type="dxa"/>
            <w:vMerge/>
          </w:tcPr>
          <w:p w14:paraId="2B34DA25" w14:textId="77777777" w:rsidR="008B734C" w:rsidRPr="008F275D" w:rsidRDefault="008B734C">
            <w:pPr>
              <w:keepNext/>
              <w:tabs>
                <w:tab w:val="left" w:pos="1576"/>
              </w:tabs>
              <w:spacing w:before="40" w:after="40"/>
              <w:rPr>
                <w:rFonts w:eastAsia="Times New Roman" w:cs="Tahoma"/>
              </w:rPr>
            </w:pPr>
          </w:p>
        </w:tc>
        <w:tc>
          <w:tcPr>
            <w:tcW w:w="2589" w:type="dxa"/>
            <w:tcBorders>
              <w:bottom w:val="single" w:sz="4" w:space="0" w:color="auto"/>
            </w:tcBorders>
          </w:tcPr>
          <w:p w14:paraId="25A184B3" w14:textId="3CB38301" w:rsidR="008B734C" w:rsidRPr="008F275D" w:rsidRDefault="008B734C" w:rsidP="008B734C">
            <w:pPr>
              <w:keepNext/>
              <w:tabs>
                <w:tab w:val="left" w:pos="1651"/>
              </w:tabs>
              <w:spacing w:before="40" w:after="40"/>
              <w:rPr>
                <w:rFonts w:eastAsia="Times New Roman" w:cs="Tahoma"/>
              </w:rPr>
            </w:pPr>
            <w:r w:rsidRPr="008F275D">
              <w:rPr>
                <w:rFonts w:eastAsia="Times New Roman" w:cs="Tahoma"/>
              </w:rPr>
              <w:t>No CTX [n=9</w:t>
            </w:r>
            <w:r>
              <w:rPr>
                <w:rFonts w:eastAsia="Times New Roman" w:cs="Tahoma"/>
              </w:rPr>
              <w:t>]</w:t>
            </w:r>
            <w:r>
              <w:rPr>
                <w:rFonts w:eastAsia="Times New Roman" w:cs="Tahoma"/>
              </w:rPr>
              <w:tab/>
              <w:t>4.2%</w:t>
            </w:r>
          </w:p>
        </w:tc>
        <w:tc>
          <w:tcPr>
            <w:tcW w:w="1650" w:type="dxa"/>
            <w:tcBorders>
              <w:bottom w:val="single" w:sz="4" w:space="0" w:color="auto"/>
            </w:tcBorders>
          </w:tcPr>
          <w:p w14:paraId="406C96E7" w14:textId="77777777" w:rsidR="008B734C" w:rsidRPr="008F275D" w:rsidRDefault="008B734C" w:rsidP="006B0BCC">
            <w:pPr>
              <w:keepNext/>
              <w:spacing w:before="40" w:after="40"/>
              <w:rPr>
                <w:rFonts w:eastAsia="Times New Roman" w:cs="Tahoma"/>
              </w:rPr>
            </w:pPr>
            <w:r w:rsidRPr="008F275D">
              <w:rPr>
                <w:rFonts w:eastAsia="Times New Roman" w:cs="Tahoma"/>
              </w:rPr>
              <w:t>No</w:t>
            </w:r>
          </w:p>
        </w:tc>
      </w:tr>
      <w:tr w:rsidR="008B734C" w:rsidRPr="008F275D" w14:paraId="42B14962" w14:textId="77777777" w:rsidTr="00457FE3">
        <w:tc>
          <w:tcPr>
            <w:tcW w:w="1088" w:type="dxa"/>
            <w:vMerge/>
          </w:tcPr>
          <w:p w14:paraId="466321E9" w14:textId="77777777" w:rsidR="008B734C" w:rsidRPr="008F275D" w:rsidRDefault="008B734C" w:rsidP="006B0BCC">
            <w:pPr>
              <w:keepNext/>
              <w:spacing w:before="40" w:after="40"/>
              <w:rPr>
                <w:rFonts w:eastAsia="Times New Roman" w:cs="Tahoma"/>
              </w:rPr>
            </w:pPr>
          </w:p>
        </w:tc>
        <w:tc>
          <w:tcPr>
            <w:tcW w:w="1492" w:type="dxa"/>
            <w:vMerge/>
          </w:tcPr>
          <w:p w14:paraId="2EEFBDB9" w14:textId="3E185434" w:rsidR="008B734C" w:rsidRPr="008F275D" w:rsidRDefault="008B734C" w:rsidP="006B0BCC">
            <w:pPr>
              <w:keepNext/>
              <w:spacing w:before="40" w:after="40"/>
              <w:rPr>
                <w:rFonts w:eastAsia="Times New Roman" w:cs="Tahoma"/>
              </w:rPr>
            </w:pPr>
          </w:p>
        </w:tc>
        <w:tc>
          <w:tcPr>
            <w:tcW w:w="2197" w:type="dxa"/>
            <w:vMerge w:val="restart"/>
          </w:tcPr>
          <w:p w14:paraId="3E4E24F8" w14:textId="6ACE535C" w:rsidR="008B734C" w:rsidRPr="008F275D" w:rsidRDefault="008B734C" w:rsidP="002E1C42">
            <w:pPr>
              <w:keepNext/>
              <w:tabs>
                <w:tab w:val="left" w:pos="1321"/>
                <w:tab w:val="left" w:pos="1576"/>
              </w:tabs>
              <w:spacing w:before="40" w:after="40"/>
              <w:rPr>
                <w:rFonts w:eastAsia="Times New Roman" w:cs="Tahoma"/>
              </w:rPr>
            </w:pPr>
            <w:r w:rsidRPr="008F275D">
              <w:rPr>
                <w:rFonts w:eastAsia="Times New Roman" w:cs="Tahoma"/>
              </w:rPr>
              <w:t>No CTX [n=56</w:t>
            </w:r>
            <w:r>
              <w:rPr>
                <w:rFonts w:eastAsia="Times New Roman" w:cs="Tahoma"/>
              </w:rPr>
              <w:t>]</w:t>
            </w:r>
            <w:r>
              <w:rPr>
                <w:rFonts w:eastAsia="Times New Roman" w:cs="Tahoma"/>
              </w:rPr>
              <w:tab/>
              <w:t>26.0%</w:t>
            </w:r>
          </w:p>
        </w:tc>
        <w:tc>
          <w:tcPr>
            <w:tcW w:w="2589" w:type="dxa"/>
            <w:shd w:val="clear" w:color="auto" w:fill="auto"/>
          </w:tcPr>
          <w:p w14:paraId="56ED11DD" w14:textId="42EE4C01" w:rsidR="008B734C" w:rsidRPr="008F275D" w:rsidRDefault="008B734C" w:rsidP="008B734C">
            <w:pPr>
              <w:keepNext/>
              <w:tabs>
                <w:tab w:val="left" w:pos="1651"/>
              </w:tabs>
              <w:spacing w:before="40" w:after="40"/>
              <w:rPr>
                <w:rFonts w:eastAsia="Times New Roman" w:cs="Tahoma"/>
              </w:rPr>
            </w:pPr>
            <w:r w:rsidRPr="008F275D">
              <w:rPr>
                <w:rFonts w:eastAsia="Times New Roman" w:cs="Tahoma"/>
              </w:rPr>
              <w:t>CTX [n=4</w:t>
            </w:r>
            <w:r>
              <w:rPr>
                <w:rFonts w:eastAsia="Times New Roman" w:cs="Tahoma"/>
              </w:rPr>
              <w:t>]</w:t>
            </w:r>
            <w:r>
              <w:rPr>
                <w:rFonts w:eastAsia="Times New Roman" w:cs="Tahoma"/>
              </w:rPr>
              <w:tab/>
              <w:t>1.9%</w:t>
            </w:r>
          </w:p>
        </w:tc>
        <w:tc>
          <w:tcPr>
            <w:tcW w:w="1650" w:type="dxa"/>
            <w:shd w:val="clear" w:color="auto" w:fill="auto"/>
          </w:tcPr>
          <w:p w14:paraId="5FD327F8" w14:textId="7158D090" w:rsidR="008B734C" w:rsidRPr="008F275D" w:rsidRDefault="008B734C" w:rsidP="00371A42">
            <w:pPr>
              <w:keepNext/>
              <w:spacing w:before="40" w:after="40"/>
              <w:rPr>
                <w:rFonts w:eastAsia="Times New Roman" w:cs="Tahoma"/>
              </w:rPr>
            </w:pPr>
            <w:r w:rsidRPr="008F275D">
              <w:rPr>
                <w:rFonts w:eastAsia="Times New Roman" w:cs="Tahoma"/>
              </w:rPr>
              <w:t xml:space="preserve">Yes, not likely due to </w:t>
            </w:r>
            <w:r w:rsidR="00D50E5C">
              <w:rPr>
                <w:rFonts w:eastAsia="Times New Roman" w:cs="Tahoma"/>
              </w:rPr>
              <w:t>EndoPredict</w:t>
            </w:r>
            <w:r w:rsidR="005F1260" w:rsidRPr="005F1260">
              <w:rPr>
                <w:rFonts w:eastAsia="Times New Roman" w:cs="Tahoma"/>
                <w:vertAlign w:val="superscript"/>
              </w:rPr>
              <w:t>®</w:t>
            </w:r>
          </w:p>
        </w:tc>
      </w:tr>
      <w:tr w:rsidR="008B734C" w:rsidRPr="008F275D" w14:paraId="24502E3E" w14:textId="77777777" w:rsidTr="00844998">
        <w:tc>
          <w:tcPr>
            <w:tcW w:w="1088" w:type="dxa"/>
            <w:vMerge/>
          </w:tcPr>
          <w:p w14:paraId="263EF2A6" w14:textId="77777777" w:rsidR="008B734C" w:rsidRPr="008F275D" w:rsidRDefault="008B734C" w:rsidP="006B0BCC">
            <w:pPr>
              <w:keepNext/>
              <w:spacing w:before="40" w:after="40"/>
              <w:rPr>
                <w:rFonts w:eastAsia="Times New Roman" w:cs="Tahoma"/>
              </w:rPr>
            </w:pPr>
          </w:p>
        </w:tc>
        <w:tc>
          <w:tcPr>
            <w:tcW w:w="1492" w:type="dxa"/>
            <w:vMerge/>
          </w:tcPr>
          <w:p w14:paraId="26590AD9" w14:textId="6418CB5F" w:rsidR="008B734C" w:rsidRPr="008F275D" w:rsidRDefault="008B734C" w:rsidP="006B0BCC">
            <w:pPr>
              <w:keepNext/>
              <w:spacing w:before="40" w:after="40"/>
              <w:rPr>
                <w:rFonts w:eastAsia="Times New Roman" w:cs="Tahoma"/>
              </w:rPr>
            </w:pPr>
          </w:p>
        </w:tc>
        <w:tc>
          <w:tcPr>
            <w:tcW w:w="2197" w:type="dxa"/>
            <w:vMerge/>
          </w:tcPr>
          <w:p w14:paraId="4101DCEE" w14:textId="77777777" w:rsidR="008B734C" w:rsidRPr="008F275D" w:rsidRDefault="008B734C">
            <w:pPr>
              <w:keepNext/>
              <w:tabs>
                <w:tab w:val="left" w:pos="1576"/>
              </w:tabs>
              <w:spacing w:before="40" w:after="40"/>
              <w:rPr>
                <w:rFonts w:eastAsia="Times New Roman" w:cs="Tahoma"/>
              </w:rPr>
            </w:pPr>
          </w:p>
        </w:tc>
        <w:tc>
          <w:tcPr>
            <w:tcW w:w="2589" w:type="dxa"/>
          </w:tcPr>
          <w:p w14:paraId="7F8575D7" w14:textId="34E1AD45" w:rsidR="008B734C" w:rsidRPr="008F275D" w:rsidRDefault="008B734C" w:rsidP="008B734C">
            <w:pPr>
              <w:keepNext/>
              <w:tabs>
                <w:tab w:val="left" w:pos="1651"/>
              </w:tabs>
              <w:spacing w:before="40" w:after="40"/>
              <w:rPr>
                <w:rFonts w:eastAsia="Times New Roman" w:cs="Tahoma"/>
              </w:rPr>
            </w:pPr>
            <w:r w:rsidRPr="008F275D">
              <w:rPr>
                <w:rFonts w:eastAsia="Times New Roman" w:cs="Tahoma"/>
              </w:rPr>
              <w:t>No CTX [n=52</w:t>
            </w:r>
            <w:r>
              <w:rPr>
                <w:rFonts w:eastAsia="Times New Roman" w:cs="Tahoma"/>
              </w:rPr>
              <w:t>]</w:t>
            </w:r>
            <w:r>
              <w:rPr>
                <w:rFonts w:eastAsia="Times New Roman" w:cs="Tahoma"/>
              </w:rPr>
              <w:tab/>
              <w:t>24.2%</w:t>
            </w:r>
          </w:p>
        </w:tc>
        <w:tc>
          <w:tcPr>
            <w:tcW w:w="1650" w:type="dxa"/>
          </w:tcPr>
          <w:p w14:paraId="3E06C213" w14:textId="1E3F99F5" w:rsidR="008B734C" w:rsidRPr="008F275D" w:rsidRDefault="008B734C" w:rsidP="00C417C8">
            <w:pPr>
              <w:keepNext/>
              <w:spacing w:before="40" w:after="40"/>
              <w:rPr>
                <w:rFonts w:eastAsia="Times New Roman" w:cs="Tahoma"/>
              </w:rPr>
            </w:pPr>
            <w:r w:rsidRPr="008F275D">
              <w:rPr>
                <w:rFonts w:eastAsia="Times New Roman" w:cs="Tahoma"/>
              </w:rPr>
              <w:t>No</w:t>
            </w:r>
          </w:p>
        </w:tc>
      </w:tr>
      <w:tr w:rsidR="008B734C" w:rsidRPr="008C2C69" w14:paraId="6E0B1421" w14:textId="77777777" w:rsidTr="00457FE3">
        <w:tc>
          <w:tcPr>
            <w:tcW w:w="1088" w:type="dxa"/>
            <w:vMerge w:val="restart"/>
          </w:tcPr>
          <w:p w14:paraId="22222C4E" w14:textId="484090D2" w:rsidR="008B734C" w:rsidRPr="008C2C69" w:rsidRDefault="008B734C" w:rsidP="002A0008">
            <w:pPr>
              <w:keepNext/>
              <w:spacing w:before="40" w:after="40"/>
              <w:rPr>
                <w:rFonts w:cs="Tahoma"/>
              </w:rPr>
            </w:pPr>
            <w:r w:rsidRPr="008C2C69">
              <w:rPr>
                <w:rFonts w:cs="Tahoma"/>
              </w:rPr>
              <w:t>Penault-Llorca et al 2020</w:t>
            </w:r>
            <w:r w:rsidR="00607C68" w:rsidRPr="00844998">
              <w:rPr>
                <w:rFonts w:cs="Tahoma"/>
                <w:vertAlign w:val="superscript"/>
              </w:rPr>
              <w:t>a</w:t>
            </w:r>
            <w:r w:rsidRPr="008C2C69">
              <w:rPr>
                <w:rFonts w:cs="Tahoma"/>
              </w:rPr>
              <w:t xml:space="preserve"> – intermediate risk population</w:t>
            </w:r>
            <w:r w:rsidRPr="008C2C69">
              <w:rPr>
                <w:rFonts w:cs="Tahoma"/>
              </w:rPr>
              <w:br/>
              <w:t>n=200</w:t>
            </w:r>
          </w:p>
        </w:tc>
        <w:tc>
          <w:tcPr>
            <w:tcW w:w="1492" w:type="dxa"/>
            <w:vMerge w:val="restart"/>
          </w:tcPr>
          <w:p w14:paraId="140A6F66" w14:textId="77777777" w:rsidR="008B734C" w:rsidRPr="008C2C69" w:rsidRDefault="008B734C" w:rsidP="002A0008">
            <w:pPr>
              <w:keepNext/>
              <w:spacing w:before="40" w:after="40"/>
              <w:rPr>
                <w:rFonts w:cs="Tahoma"/>
              </w:rPr>
            </w:pPr>
            <w:r>
              <w:rPr>
                <w:rFonts w:cs="Tahoma"/>
              </w:rPr>
              <w:t>CTX [n=95]</w:t>
            </w:r>
          </w:p>
        </w:tc>
        <w:tc>
          <w:tcPr>
            <w:tcW w:w="2197" w:type="dxa"/>
            <w:vMerge w:val="restart"/>
          </w:tcPr>
          <w:p w14:paraId="6F606555" w14:textId="6E5584D9" w:rsidR="008B734C" w:rsidRPr="008C2C69" w:rsidRDefault="008B734C" w:rsidP="00844998">
            <w:pPr>
              <w:keepNext/>
              <w:tabs>
                <w:tab w:val="left" w:pos="1321"/>
                <w:tab w:val="left" w:pos="1554"/>
              </w:tabs>
              <w:spacing w:before="40" w:after="40"/>
              <w:rPr>
                <w:rFonts w:cs="Tahoma"/>
              </w:rPr>
            </w:pPr>
            <w:r w:rsidRPr="008C2C69">
              <w:rPr>
                <w:rFonts w:cs="Tahoma"/>
              </w:rPr>
              <w:t>CTX [n=</w:t>
            </w:r>
            <w:r>
              <w:rPr>
                <w:rFonts w:cs="Tahoma"/>
              </w:rPr>
              <w:t>40</w:t>
            </w:r>
            <w:r w:rsidRPr="008C2C69">
              <w:rPr>
                <w:rFonts w:cs="Tahoma"/>
              </w:rPr>
              <w:t>]</w:t>
            </w:r>
            <w:r>
              <w:rPr>
                <w:rFonts w:cs="Tahoma"/>
              </w:rPr>
              <w:tab/>
              <w:t>20.0%</w:t>
            </w:r>
          </w:p>
        </w:tc>
        <w:tc>
          <w:tcPr>
            <w:tcW w:w="2589" w:type="dxa"/>
            <w:tcBorders>
              <w:bottom w:val="single" w:sz="4" w:space="0" w:color="auto"/>
            </w:tcBorders>
          </w:tcPr>
          <w:p w14:paraId="601C6071" w14:textId="20060CEF" w:rsidR="008B734C" w:rsidRPr="008C2C69" w:rsidRDefault="008B734C" w:rsidP="00844998">
            <w:pPr>
              <w:keepNext/>
              <w:tabs>
                <w:tab w:val="left" w:pos="1591"/>
                <w:tab w:val="left" w:pos="1651"/>
              </w:tabs>
              <w:spacing w:before="40" w:after="40"/>
              <w:rPr>
                <w:rFonts w:cs="Tahoma"/>
              </w:rPr>
            </w:pPr>
            <w:r>
              <w:rPr>
                <w:rFonts w:cs="Tahoma"/>
              </w:rPr>
              <w:t>CTX [n=37]</w:t>
            </w:r>
            <w:r>
              <w:rPr>
                <w:rFonts w:cs="Tahoma"/>
              </w:rPr>
              <w:tab/>
            </w:r>
            <w:r>
              <w:rPr>
                <w:rFonts w:cs="Tahoma"/>
              </w:rPr>
              <w:tab/>
              <w:t>18.5%</w:t>
            </w:r>
          </w:p>
        </w:tc>
        <w:tc>
          <w:tcPr>
            <w:tcW w:w="1650" w:type="dxa"/>
            <w:tcBorders>
              <w:bottom w:val="single" w:sz="4" w:space="0" w:color="auto"/>
            </w:tcBorders>
          </w:tcPr>
          <w:p w14:paraId="3BACC4EA" w14:textId="77777777" w:rsidR="008B734C" w:rsidRPr="008C2C69" w:rsidRDefault="008B734C" w:rsidP="002A0008">
            <w:pPr>
              <w:keepNext/>
              <w:spacing w:before="40" w:after="40"/>
              <w:rPr>
                <w:rFonts w:cs="Tahoma"/>
              </w:rPr>
            </w:pPr>
            <w:r>
              <w:rPr>
                <w:rFonts w:cs="Tahoma"/>
              </w:rPr>
              <w:t>No</w:t>
            </w:r>
          </w:p>
        </w:tc>
      </w:tr>
      <w:tr w:rsidR="008B734C" w:rsidRPr="008C2C69" w14:paraId="2CC2BC97" w14:textId="77777777" w:rsidTr="00457FE3">
        <w:tc>
          <w:tcPr>
            <w:tcW w:w="1088" w:type="dxa"/>
            <w:vMerge/>
          </w:tcPr>
          <w:p w14:paraId="3A102F00" w14:textId="77777777" w:rsidR="008B734C" w:rsidRPr="008C2C69" w:rsidRDefault="008B734C" w:rsidP="002A0008">
            <w:pPr>
              <w:keepNext/>
              <w:spacing w:before="40" w:after="40"/>
              <w:rPr>
                <w:rFonts w:cs="Tahoma"/>
              </w:rPr>
            </w:pPr>
          </w:p>
        </w:tc>
        <w:tc>
          <w:tcPr>
            <w:tcW w:w="0" w:type="dxa"/>
            <w:vMerge/>
          </w:tcPr>
          <w:p w14:paraId="19E7D3F7" w14:textId="77777777" w:rsidR="008B734C" w:rsidRPr="008C2C69" w:rsidRDefault="008B734C" w:rsidP="002A0008">
            <w:pPr>
              <w:keepNext/>
              <w:spacing w:before="40" w:after="40"/>
              <w:rPr>
                <w:rFonts w:cs="Tahoma"/>
              </w:rPr>
            </w:pPr>
          </w:p>
        </w:tc>
        <w:tc>
          <w:tcPr>
            <w:tcW w:w="2197" w:type="dxa"/>
            <w:vMerge/>
          </w:tcPr>
          <w:p w14:paraId="6DBB70B6" w14:textId="77777777" w:rsidR="008B734C" w:rsidRPr="008C2C69" w:rsidRDefault="008B734C" w:rsidP="00844998">
            <w:pPr>
              <w:keepNext/>
              <w:tabs>
                <w:tab w:val="left" w:pos="1321"/>
                <w:tab w:val="left" w:pos="1554"/>
              </w:tabs>
              <w:spacing w:before="40" w:after="40"/>
              <w:rPr>
                <w:rFonts w:cs="Tahoma"/>
              </w:rPr>
            </w:pPr>
          </w:p>
        </w:tc>
        <w:tc>
          <w:tcPr>
            <w:tcW w:w="2589" w:type="dxa"/>
            <w:shd w:val="clear" w:color="auto" w:fill="auto"/>
          </w:tcPr>
          <w:p w14:paraId="4ADFE8FB" w14:textId="19A99D30" w:rsidR="008B734C" w:rsidRPr="008C2C69" w:rsidRDefault="008B734C" w:rsidP="00844998">
            <w:pPr>
              <w:keepNext/>
              <w:tabs>
                <w:tab w:val="left" w:pos="1591"/>
                <w:tab w:val="left" w:pos="1651"/>
              </w:tabs>
              <w:spacing w:before="40" w:after="40"/>
              <w:rPr>
                <w:rFonts w:cs="Tahoma"/>
              </w:rPr>
            </w:pPr>
            <w:r>
              <w:rPr>
                <w:rFonts w:cs="Tahoma"/>
              </w:rPr>
              <w:t>No CTX [n=3]</w:t>
            </w:r>
            <w:r>
              <w:rPr>
                <w:rFonts w:cs="Tahoma"/>
              </w:rPr>
              <w:tab/>
            </w:r>
            <w:r>
              <w:rPr>
                <w:rFonts w:cs="Tahoma"/>
              </w:rPr>
              <w:tab/>
              <w:t>1.5%</w:t>
            </w:r>
          </w:p>
        </w:tc>
        <w:tc>
          <w:tcPr>
            <w:tcW w:w="1650" w:type="dxa"/>
            <w:shd w:val="clear" w:color="auto" w:fill="auto"/>
          </w:tcPr>
          <w:p w14:paraId="0AF9D08F" w14:textId="77460963" w:rsidR="008B734C" w:rsidRPr="008C2C69" w:rsidRDefault="008B734C" w:rsidP="002A0008">
            <w:pPr>
              <w:keepNext/>
              <w:spacing w:before="40" w:after="40"/>
              <w:rPr>
                <w:rFonts w:cs="Tahoma"/>
              </w:rPr>
            </w:pPr>
            <w:r w:rsidRPr="00D61449">
              <w:rPr>
                <w:rFonts w:cs="Tahoma"/>
              </w:rPr>
              <w:t xml:space="preserve">Yes, not likely due to </w:t>
            </w:r>
            <w:r w:rsidR="00D50E5C">
              <w:rPr>
                <w:rFonts w:cs="Tahoma"/>
              </w:rPr>
              <w:t>EndoPredict</w:t>
            </w:r>
            <w:r w:rsidR="005F1260" w:rsidRPr="005F1260">
              <w:rPr>
                <w:rFonts w:cs="Tahoma"/>
                <w:vertAlign w:val="superscript"/>
              </w:rPr>
              <w:t>®</w:t>
            </w:r>
          </w:p>
        </w:tc>
      </w:tr>
      <w:tr w:rsidR="008B734C" w:rsidRPr="008C2C69" w14:paraId="67B3C2FA" w14:textId="77777777" w:rsidTr="00457FE3">
        <w:tc>
          <w:tcPr>
            <w:tcW w:w="1088" w:type="dxa"/>
            <w:vMerge/>
          </w:tcPr>
          <w:p w14:paraId="45C9C100" w14:textId="77777777" w:rsidR="008B734C" w:rsidRPr="008C2C69" w:rsidRDefault="008B734C" w:rsidP="002A0008">
            <w:pPr>
              <w:keepNext/>
              <w:spacing w:before="40" w:after="40"/>
              <w:rPr>
                <w:rFonts w:cs="Tahoma"/>
              </w:rPr>
            </w:pPr>
          </w:p>
        </w:tc>
        <w:tc>
          <w:tcPr>
            <w:tcW w:w="1492" w:type="dxa"/>
            <w:vMerge/>
          </w:tcPr>
          <w:p w14:paraId="67FDF62A" w14:textId="77777777" w:rsidR="008B734C" w:rsidRPr="008C2C69" w:rsidRDefault="008B734C" w:rsidP="002A0008">
            <w:pPr>
              <w:keepNext/>
              <w:spacing w:before="40" w:after="40"/>
              <w:rPr>
                <w:rFonts w:cs="Tahoma"/>
              </w:rPr>
            </w:pPr>
          </w:p>
        </w:tc>
        <w:tc>
          <w:tcPr>
            <w:tcW w:w="2197" w:type="dxa"/>
            <w:vMerge w:val="restart"/>
          </w:tcPr>
          <w:p w14:paraId="14D988F2" w14:textId="61D66C25" w:rsidR="008B734C" w:rsidRPr="008C2C69" w:rsidRDefault="008B734C" w:rsidP="00844998">
            <w:pPr>
              <w:keepNext/>
              <w:tabs>
                <w:tab w:val="left" w:pos="1321"/>
                <w:tab w:val="left" w:pos="1554"/>
              </w:tabs>
              <w:spacing w:before="40" w:after="40"/>
              <w:rPr>
                <w:rFonts w:cs="Tahoma"/>
              </w:rPr>
            </w:pPr>
            <w:r w:rsidRPr="008C2C69">
              <w:rPr>
                <w:rFonts w:cs="Tahoma"/>
              </w:rPr>
              <w:t>No CTX [n=</w:t>
            </w:r>
            <w:r>
              <w:rPr>
                <w:rFonts w:cs="Tahoma"/>
              </w:rPr>
              <w:t>55</w:t>
            </w:r>
            <w:r w:rsidRPr="008C2C69">
              <w:rPr>
                <w:rFonts w:cs="Tahoma"/>
              </w:rPr>
              <w:t>]</w:t>
            </w:r>
            <w:r>
              <w:rPr>
                <w:rFonts w:cs="Tahoma"/>
              </w:rPr>
              <w:tab/>
              <w:t>27.5%</w:t>
            </w:r>
          </w:p>
        </w:tc>
        <w:tc>
          <w:tcPr>
            <w:tcW w:w="2589" w:type="dxa"/>
            <w:tcBorders>
              <w:bottom w:val="single" w:sz="4" w:space="0" w:color="auto"/>
            </w:tcBorders>
          </w:tcPr>
          <w:p w14:paraId="78675DAA" w14:textId="506ABB3F" w:rsidR="008B734C" w:rsidRPr="008C2C69" w:rsidRDefault="008B734C" w:rsidP="00844998">
            <w:pPr>
              <w:keepNext/>
              <w:tabs>
                <w:tab w:val="left" w:pos="1591"/>
                <w:tab w:val="left" w:pos="1651"/>
              </w:tabs>
              <w:spacing w:before="40" w:after="40"/>
              <w:rPr>
                <w:rFonts w:cs="Tahoma"/>
              </w:rPr>
            </w:pPr>
            <w:r>
              <w:rPr>
                <w:rFonts w:cs="Tahoma"/>
              </w:rPr>
              <w:t>CTX [n=1]</w:t>
            </w:r>
            <w:r>
              <w:rPr>
                <w:rFonts w:cs="Tahoma"/>
              </w:rPr>
              <w:tab/>
            </w:r>
            <w:r>
              <w:rPr>
                <w:rFonts w:cs="Tahoma"/>
              </w:rPr>
              <w:tab/>
              <w:t>0.5%</w:t>
            </w:r>
          </w:p>
        </w:tc>
        <w:tc>
          <w:tcPr>
            <w:tcW w:w="1650" w:type="dxa"/>
            <w:tcBorders>
              <w:bottom w:val="single" w:sz="4" w:space="0" w:color="auto"/>
            </w:tcBorders>
          </w:tcPr>
          <w:p w14:paraId="308133FA" w14:textId="77777777" w:rsidR="008B734C" w:rsidRPr="008C2C69" w:rsidRDefault="008B734C" w:rsidP="002A0008">
            <w:pPr>
              <w:keepNext/>
              <w:spacing w:before="40" w:after="40"/>
              <w:rPr>
                <w:rFonts w:cs="Tahoma"/>
              </w:rPr>
            </w:pPr>
            <w:r>
              <w:rPr>
                <w:rFonts w:cs="Tahoma"/>
              </w:rPr>
              <w:t>No</w:t>
            </w:r>
          </w:p>
        </w:tc>
      </w:tr>
      <w:tr w:rsidR="008B734C" w:rsidRPr="008C2C69" w14:paraId="73568D52" w14:textId="77777777" w:rsidTr="00457FE3">
        <w:tc>
          <w:tcPr>
            <w:tcW w:w="1088" w:type="dxa"/>
            <w:vMerge/>
          </w:tcPr>
          <w:p w14:paraId="764BE3C2" w14:textId="77777777" w:rsidR="008B734C" w:rsidRPr="008C2C69" w:rsidRDefault="008B734C" w:rsidP="002A0008">
            <w:pPr>
              <w:keepNext/>
              <w:spacing w:before="40" w:after="40"/>
              <w:rPr>
                <w:rFonts w:cs="Tahoma"/>
              </w:rPr>
            </w:pPr>
          </w:p>
        </w:tc>
        <w:tc>
          <w:tcPr>
            <w:tcW w:w="0" w:type="dxa"/>
            <w:vMerge/>
          </w:tcPr>
          <w:p w14:paraId="586D7BBE" w14:textId="77777777" w:rsidR="008B734C" w:rsidRPr="008C2C69" w:rsidRDefault="008B734C" w:rsidP="002A0008">
            <w:pPr>
              <w:keepNext/>
              <w:spacing w:before="40" w:after="40"/>
              <w:rPr>
                <w:rFonts w:cs="Tahoma"/>
              </w:rPr>
            </w:pPr>
          </w:p>
        </w:tc>
        <w:tc>
          <w:tcPr>
            <w:tcW w:w="2197" w:type="dxa"/>
            <w:vMerge/>
          </w:tcPr>
          <w:p w14:paraId="7B310202" w14:textId="77777777" w:rsidR="008B734C" w:rsidRPr="008C2C69" w:rsidRDefault="008B734C" w:rsidP="00844998">
            <w:pPr>
              <w:keepNext/>
              <w:tabs>
                <w:tab w:val="left" w:pos="1321"/>
                <w:tab w:val="left" w:pos="1554"/>
              </w:tabs>
              <w:spacing w:before="40" w:after="40"/>
              <w:rPr>
                <w:rFonts w:cs="Tahoma"/>
              </w:rPr>
            </w:pPr>
          </w:p>
        </w:tc>
        <w:tc>
          <w:tcPr>
            <w:tcW w:w="2589" w:type="dxa"/>
            <w:shd w:val="clear" w:color="auto" w:fill="auto"/>
          </w:tcPr>
          <w:p w14:paraId="22270CB3" w14:textId="2E7CD0FD" w:rsidR="008B734C" w:rsidRPr="008C2C69" w:rsidRDefault="008B734C" w:rsidP="00844998">
            <w:pPr>
              <w:keepNext/>
              <w:tabs>
                <w:tab w:val="left" w:pos="1591"/>
                <w:tab w:val="left" w:pos="1651"/>
              </w:tabs>
              <w:spacing w:before="40" w:after="40"/>
              <w:rPr>
                <w:rFonts w:cs="Tahoma"/>
              </w:rPr>
            </w:pPr>
            <w:r>
              <w:rPr>
                <w:rFonts w:cs="Tahoma"/>
              </w:rPr>
              <w:t>No CTX [n=54]</w:t>
            </w:r>
            <w:r>
              <w:rPr>
                <w:rFonts w:cs="Tahoma"/>
              </w:rPr>
              <w:tab/>
            </w:r>
            <w:r>
              <w:rPr>
                <w:rFonts w:cs="Tahoma"/>
              </w:rPr>
              <w:tab/>
              <w:t>27.0%</w:t>
            </w:r>
          </w:p>
        </w:tc>
        <w:tc>
          <w:tcPr>
            <w:tcW w:w="1650" w:type="dxa"/>
            <w:shd w:val="clear" w:color="auto" w:fill="auto"/>
          </w:tcPr>
          <w:p w14:paraId="4F1F002D" w14:textId="77777777" w:rsidR="008B734C" w:rsidRPr="008C2C69" w:rsidRDefault="008B734C" w:rsidP="002A0008">
            <w:pPr>
              <w:keepNext/>
              <w:spacing w:before="40" w:after="40"/>
              <w:rPr>
                <w:rFonts w:cs="Tahoma"/>
              </w:rPr>
            </w:pPr>
            <w:r>
              <w:rPr>
                <w:rFonts w:cs="Tahoma"/>
              </w:rPr>
              <w:t>Yes</w:t>
            </w:r>
          </w:p>
        </w:tc>
      </w:tr>
      <w:tr w:rsidR="008B734C" w:rsidRPr="008C2C69" w14:paraId="6BBEE60E" w14:textId="77777777" w:rsidTr="00457FE3">
        <w:tc>
          <w:tcPr>
            <w:tcW w:w="1088" w:type="dxa"/>
            <w:vMerge/>
          </w:tcPr>
          <w:p w14:paraId="5A786DDC" w14:textId="77777777" w:rsidR="008B734C" w:rsidRPr="008C2C69" w:rsidRDefault="008B734C" w:rsidP="002A0008">
            <w:pPr>
              <w:keepNext/>
              <w:spacing w:before="40" w:after="40"/>
              <w:rPr>
                <w:rFonts w:cs="Tahoma"/>
              </w:rPr>
            </w:pPr>
          </w:p>
        </w:tc>
        <w:tc>
          <w:tcPr>
            <w:tcW w:w="0" w:type="dxa"/>
            <w:vMerge w:val="restart"/>
          </w:tcPr>
          <w:p w14:paraId="591B807D" w14:textId="77777777" w:rsidR="008B734C" w:rsidRPr="008C2C69" w:rsidRDefault="008B734C" w:rsidP="002A0008">
            <w:pPr>
              <w:keepNext/>
              <w:spacing w:before="40" w:after="40"/>
              <w:rPr>
                <w:rFonts w:cs="Tahoma"/>
              </w:rPr>
            </w:pPr>
            <w:r>
              <w:rPr>
                <w:rFonts w:cs="Tahoma"/>
              </w:rPr>
              <w:t>No CTX [n=105]</w:t>
            </w:r>
          </w:p>
        </w:tc>
        <w:tc>
          <w:tcPr>
            <w:tcW w:w="2197" w:type="dxa"/>
            <w:vMerge w:val="restart"/>
          </w:tcPr>
          <w:p w14:paraId="0F1D2703" w14:textId="79FFB642" w:rsidR="008B734C" w:rsidRPr="008C2C69" w:rsidRDefault="008B734C" w:rsidP="00844998">
            <w:pPr>
              <w:keepNext/>
              <w:tabs>
                <w:tab w:val="left" w:pos="1321"/>
                <w:tab w:val="left" w:pos="1554"/>
              </w:tabs>
              <w:spacing w:before="40" w:after="40"/>
              <w:rPr>
                <w:rFonts w:cs="Tahoma"/>
              </w:rPr>
            </w:pPr>
            <w:r w:rsidRPr="008C2C69">
              <w:rPr>
                <w:rFonts w:cs="Tahoma"/>
              </w:rPr>
              <w:t>CTX [n=</w:t>
            </w:r>
            <w:r>
              <w:rPr>
                <w:rFonts w:cs="Tahoma"/>
              </w:rPr>
              <w:t>20</w:t>
            </w:r>
            <w:r w:rsidRPr="008C2C69">
              <w:rPr>
                <w:rFonts w:cs="Tahoma"/>
              </w:rPr>
              <w:t>]</w:t>
            </w:r>
            <w:r>
              <w:rPr>
                <w:rFonts w:cs="Tahoma"/>
              </w:rPr>
              <w:tab/>
              <w:t>10%</w:t>
            </w:r>
          </w:p>
        </w:tc>
        <w:tc>
          <w:tcPr>
            <w:tcW w:w="2589" w:type="dxa"/>
            <w:shd w:val="clear" w:color="auto" w:fill="auto"/>
          </w:tcPr>
          <w:p w14:paraId="6C6E4B45" w14:textId="5BF97745" w:rsidR="008B734C" w:rsidRPr="008C2C69" w:rsidRDefault="008B734C" w:rsidP="00844998">
            <w:pPr>
              <w:keepNext/>
              <w:tabs>
                <w:tab w:val="left" w:pos="1591"/>
                <w:tab w:val="left" w:pos="1651"/>
              </w:tabs>
              <w:spacing w:before="40" w:after="40"/>
              <w:rPr>
                <w:rFonts w:cs="Tahoma"/>
              </w:rPr>
            </w:pPr>
            <w:r>
              <w:rPr>
                <w:rFonts w:cs="Tahoma"/>
              </w:rPr>
              <w:t>CTX [n=15]</w:t>
            </w:r>
            <w:r>
              <w:rPr>
                <w:rFonts w:cs="Tahoma"/>
              </w:rPr>
              <w:tab/>
            </w:r>
            <w:r>
              <w:rPr>
                <w:rFonts w:cs="Tahoma"/>
              </w:rPr>
              <w:tab/>
              <w:t>7.5%</w:t>
            </w:r>
          </w:p>
        </w:tc>
        <w:tc>
          <w:tcPr>
            <w:tcW w:w="1650" w:type="dxa"/>
            <w:shd w:val="clear" w:color="auto" w:fill="auto"/>
          </w:tcPr>
          <w:p w14:paraId="5E4A8436" w14:textId="77777777" w:rsidR="008B734C" w:rsidRPr="008C2C69" w:rsidRDefault="008B734C" w:rsidP="002A0008">
            <w:pPr>
              <w:keepNext/>
              <w:spacing w:before="40" w:after="40"/>
              <w:rPr>
                <w:rFonts w:cs="Tahoma"/>
              </w:rPr>
            </w:pPr>
            <w:r>
              <w:rPr>
                <w:rFonts w:cs="Tahoma"/>
              </w:rPr>
              <w:t>Yes</w:t>
            </w:r>
          </w:p>
        </w:tc>
      </w:tr>
      <w:tr w:rsidR="008B734C" w:rsidRPr="008C2C69" w14:paraId="239730A6" w14:textId="77777777" w:rsidTr="00D04AA1">
        <w:tc>
          <w:tcPr>
            <w:tcW w:w="1088" w:type="dxa"/>
            <w:vMerge/>
          </w:tcPr>
          <w:p w14:paraId="158C8A25" w14:textId="77777777" w:rsidR="008B734C" w:rsidRPr="008C2C69" w:rsidRDefault="008B734C" w:rsidP="002A0008">
            <w:pPr>
              <w:keepNext/>
              <w:spacing w:before="40" w:after="40"/>
              <w:rPr>
                <w:rFonts w:cs="Tahoma"/>
              </w:rPr>
            </w:pPr>
          </w:p>
        </w:tc>
        <w:tc>
          <w:tcPr>
            <w:tcW w:w="1492" w:type="dxa"/>
            <w:vMerge/>
          </w:tcPr>
          <w:p w14:paraId="4B9C6603" w14:textId="77777777" w:rsidR="008B734C" w:rsidRPr="008C2C69" w:rsidRDefault="008B734C" w:rsidP="002A0008">
            <w:pPr>
              <w:keepNext/>
              <w:spacing w:before="40" w:after="40"/>
              <w:rPr>
                <w:rFonts w:cs="Tahoma"/>
              </w:rPr>
            </w:pPr>
          </w:p>
        </w:tc>
        <w:tc>
          <w:tcPr>
            <w:tcW w:w="2197" w:type="dxa"/>
            <w:vMerge/>
          </w:tcPr>
          <w:p w14:paraId="4A026040" w14:textId="77777777" w:rsidR="008B734C" w:rsidRPr="008C2C69" w:rsidRDefault="008B734C" w:rsidP="00844998">
            <w:pPr>
              <w:keepNext/>
              <w:tabs>
                <w:tab w:val="left" w:pos="1321"/>
                <w:tab w:val="left" w:pos="1554"/>
              </w:tabs>
              <w:spacing w:before="40" w:after="40"/>
              <w:rPr>
                <w:rFonts w:cs="Tahoma"/>
              </w:rPr>
            </w:pPr>
          </w:p>
        </w:tc>
        <w:tc>
          <w:tcPr>
            <w:tcW w:w="2589" w:type="dxa"/>
          </w:tcPr>
          <w:p w14:paraId="583344F3" w14:textId="4B78E8B9" w:rsidR="008B734C" w:rsidRPr="008C2C69" w:rsidRDefault="008B734C" w:rsidP="00844998">
            <w:pPr>
              <w:keepNext/>
              <w:tabs>
                <w:tab w:val="left" w:pos="1591"/>
                <w:tab w:val="left" w:pos="1651"/>
              </w:tabs>
              <w:spacing w:before="40" w:after="40"/>
              <w:rPr>
                <w:rFonts w:cs="Tahoma"/>
              </w:rPr>
            </w:pPr>
            <w:r>
              <w:rPr>
                <w:rFonts w:cs="Tahoma"/>
              </w:rPr>
              <w:t>No CTX [n=5]</w:t>
            </w:r>
            <w:r>
              <w:rPr>
                <w:rFonts w:cs="Tahoma"/>
              </w:rPr>
              <w:tab/>
            </w:r>
            <w:r>
              <w:rPr>
                <w:rFonts w:cs="Tahoma"/>
              </w:rPr>
              <w:tab/>
              <w:t>2.5%</w:t>
            </w:r>
          </w:p>
        </w:tc>
        <w:tc>
          <w:tcPr>
            <w:tcW w:w="1650" w:type="dxa"/>
          </w:tcPr>
          <w:p w14:paraId="41E905FA" w14:textId="77777777" w:rsidR="008B734C" w:rsidRPr="008C2C69" w:rsidRDefault="008B734C" w:rsidP="002A0008">
            <w:pPr>
              <w:keepNext/>
              <w:spacing w:before="40" w:after="40"/>
              <w:rPr>
                <w:rFonts w:cs="Tahoma"/>
              </w:rPr>
            </w:pPr>
            <w:r>
              <w:rPr>
                <w:rFonts w:cs="Tahoma"/>
              </w:rPr>
              <w:t>No</w:t>
            </w:r>
          </w:p>
        </w:tc>
      </w:tr>
      <w:tr w:rsidR="008B734C" w:rsidRPr="008C2C69" w14:paraId="33847ABC" w14:textId="77777777" w:rsidTr="00D04AA1">
        <w:tc>
          <w:tcPr>
            <w:tcW w:w="1088" w:type="dxa"/>
            <w:vMerge/>
          </w:tcPr>
          <w:p w14:paraId="7A320833" w14:textId="77777777" w:rsidR="008B734C" w:rsidRPr="008C2C69" w:rsidRDefault="008B734C" w:rsidP="002A0008">
            <w:pPr>
              <w:keepNext/>
              <w:spacing w:before="40" w:after="40"/>
              <w:rPr>
                <w:rFonts w:cs="Tahoma"/>
              </w:rPr>
            </w:pPr>
          </w:p>
        </w:tc>
        <w:tc>
          <w:tcPr>
            <w:tcW w:w="1492" w:type="dxa"/>
            <w:vMerge/>
          </w:tcPr>
          <w:p w14:paraId="6C7179B2" w14:textId="77777777" w:rsidR="008B734C" w:rsidRPr="008C2C69" w:rsidRDefault="008B734C" w:rsidP="002A0008">
            <w:pPr>
              <w:keepNext/>
              <w:spacing w:before="40" w:after="40"/>
              <w:rPr>
                <w:rFonts w:cs="Tahoma"/>
              </w:rPr>
            </w:pPr>
          </w:p>
        </w:tc>
        <w:tc>
          <w:tcPr>
            <w:tcW w:w="2197" w:type="dxa"/>
            <w:vMerge w:val="restart"/>
          </w:tcPr>
          <w:p w14:paraId="58569487" w14:textId="61FFF49D" w:rsidR="008B734C" w:rsidRPr="008C2C69" w:rsidRDefault="008B734C" w:rsidP="00844998">
            <w:pPr>
              <w:keepNext/>
              <w:tabs>
                <w:tab w:val="left" w:pos="1321"/>
                <w:tab w:val="left" w:pos="1554"/>
              </w:tabs>
              <w:spacing w:before="40" w:after="40"/>
              <w:rPr>
                <w:rFonts w:cs="Tahoma"/>
              </w:rPr>
            </w:pPr>
            <w:r w:rsidRPr="008C2C69">
              <w:rPr>
                <w:rFonts w:cs="Tahoma"/>
              </w:rPr>
              <w:t>No CTX [n=</w:t>
            </w:r>
            <w:r>
              <w:rPr>
                <w:rFonts w:cs="Tahoma"/>
              </w:rPr>
              <w:t>85</w:t>
            </w:r>
            <w:r w:rsidRPr="008C2C69">
              <w:rPr>
                <w:rFonts w:cs="Tahoma"/>
              </w:rPr>
              <w:t>]</w:t>
            </w:r>
            <w:r>
              <w:rPr>
                <w:rFonts w:cs="Tahoma"/>
              </w:rPr>
              <w:tab/>
              <w:t>42.5%</w:t>
            </w:r>
          </w:p>
        </w:tc>
        <w:tc>
          <w:tcPr>
            <w:tcW w:w="2589" w:type="dxa"/>
          </w:tcPr>
          <w:p w14:paraId="0C8CEA6B" w14:textId="166FB774" w:rsidR="008B734C" w:rsidRPr="008C2C69" w:rsidRDefault="008B734C" w:rsidP="00844998">
            <w:pPr>
              <w:keepNext/>
              <w:tabs>
                <w:tab w:val="left" w:pos="1591"/>
                <w:tab w:val="left" w:pos="1651"/>
              </w:tabs>
              <w:spacing w:before="40" w:after="40"/>
              <w:rPr>
                <w:rFonts w:cs="Tahoma"/>
              </w:rPr>
            </w:pPr>
            <w:r>
              <w:rPr>
                <w:rFonts w:cs="Tahoma"/>
              </w:rPr>
              <w:t>CTX [n=0]</w:t>
            </w:r>
            <w:r>
              <w:rPr>
                <w:rFonts w:cs="Tahoma"/>
              </w:rPr>
              <w:tab/>
            </w:r>
            <w:r>
              <w:rPr>
                <w:rFonts w:cs="Tahoma"/>
              </w:rPr>
              <w:tab/>
              <w:t>0%</w:t>
            </w:r>
          </w:p>
        </w:tc>
        <w:tc>
          <w:tcPr>
            <w:tcW w:w="1650" w:type="dxa"/>
          </w:tcPr>
          <w:p w14:paraId="1509C984" w14:textId="6500BB49" w:rsidR="008B734C" w:rsidRPr="008C2C69" w:rsidRDefault="008B734C" w:rsidP="002A0008">
            <w:pPr>
              <w:keepNext/>
              <w:spacing w:before="40" w:after="40"/>
              <w:rPr>
                <w:rFonts w:cs="Tahoma"/>
              </w:rPr>
            </w:pPr>
            <w:r>
              <w:rPr>
                <w:rFonts w:cs="Tahoma"/>
              </w:rPr>
              <w:t>No</w:t>
            </w:r>
          </w:p>
        </w:tc>
      </w:tr>
      <w:tr w:rsidR="008B734C" w:rsidRPr="008C2C69" w14:paraId="36663774" w14:textId="77777777" w:rsidTr="00D04AA1">
        <w:tc>
          <w:tcPr>
            <w:tcW w:w="1088" w:type="dxa"/>
            <w:vMerge/>
          </w:tcPr>
          <w:p w14:paraId="7C655775" w14:textId="77777777" w:rsidR="008B734C" w:rsidRPr="008C2C69" w:rsidRDefault="008B734C" w:rsidP="002A0008">
            <w:pPr>
              <w:keepNext/>
              <w:spacing w:before="40" w:after="40"/>
              <w:rPr>
                <w:rFonts w:cs="Tahoma"/>
              </w:rPr>
            </w:pPr>
          </w:p>
        </w:tc>
        <w:tc>
          <w:tcPr>
            <w:tcW w:w="1492" w:type="dxa"/>
            <w:vMerge/>
          </w:tcPr>
          <w:p w14:paraId="56D9298D" w14:textId="77777777" w:rsidR="008B734C" w:rsidRPr="008C2C69" w:rsidRDefault="008B734C" w:rsidP="002A0008">
            <w:pPr>
              <w:keepNext/>
              <w:spacing w:before="40" w:after="40"/>
              <w:rPr>
                <w:rFonts w:cs="Tahoma"/>
              </w:rPr>
            </w:pPr>
          </w:p>
        </w:tc>
        <w:tc>
          <w:tcPr>
            <w:tcW w:w="2197" w:type="dxa"/>
            <w:vMerge/>
          </w:tcPr>
          <w:p w14:paraId="641BDE69" w14:textId="77777777" w:rsidR="008B734C" w:rsidRPr="008C2C69" w:rsidRDefault="008B734C" w:rsidP="00844998">
            <w:pPr>
              <w:keepNext/>
              <w:tabs>
                <w:tab w:val="left" w:pos="1321"/>
                <w:tab w:val="left" w:pos="1554"/>
              </w:tabs>
              <w:spacing w:before="40" w:after="40"/>
              <w:rPr>
                <w:rFonts w:cs="Tahoma"/>
              </w:rPr>
            </w:pPr>
          </w:p>
        </w:tc>
        <w:tc>
          <w:tcPr>
            <w:tcW w:w="2589" w:type="dxa"/>
          </w:tcPr>
          <w:p w14:paraId="1C305A55" w14:textId="34B7488C" w:rsidR="008B734C" w:rsidRPr="008C2C69" w:rsidRDefault="008B734C" w:rsidP="00844998">
            <w:pPr>
              <w:keepNext/>
              <w:tabs>
                <w:tab w:val="left" w:pos="1591"/>
                <w:tab w:val="left" w:pos="1651"/>
              </w:tabs>
              <w:spacing w:before="40" w:after="40"/>
              <w:rPr>
                <w:rFonts w:cs="Tahoma"/>
              </w:rPr>
            </w:pPr>
            <w:r>
              <w:rPr>
                <w:rFonts w:cs="Tahoma"/>
              </w:rPr>
              <w:t>No CTX [n=85]</w:t>
            </w:r>
            <w:r>
              <w:rPr>
                <w:rFonts w:cs="Tahoma"/>
              </w:rPr>
              <w:tab/>
            </w:r>
            <w:r>
              <w:rPr>
                <w:rFonts w:cs="Tahoma"/>
              </w:rPr>
              <w:tab/>
              <w:t>42.5%</w:t>
            </w:r>
          </w:p>
        </w:tc>
        <w:tc>
          <w:tcPr>
            <w:tcW w:w="1650" w:type="dxa"/>
          </w:tcPr>
          <w:p w14:paraId="06062FD8" w14:textId="16AF1A89" w:rsidR="008B734C" w:rsidRPr="008C2C69" w:rsidRDefault="008B734C" w:rsidP="002A0008">
            <w:pPr>
              <w:keepNext/>
              <w:spacing w:before="40" w:after="40"/>
              <w:rPr>
                <w:rFonts w:cs="Tahoma"/>
              </w:rPr>
            </w:pPr>
            <w:r>
              <w:rPr>
                <w:rFonts w:cs="Tahoma"/>
              </w:rPr>
              <w:t>N</w:t>
            </w:r>
            <w:r w:rsidR="006F14B4">
              <w:rPr>
                <w:rFonts w:cs="Tahoma"/>
              </w:rPr>
              <w:t>o</w:t>
            </w:r>
          </w:p>
        </w:tc>
      </w:tr>
      <w:tr w:rsidR="008B734C" w:rsidRPr="008C2C69" w14:paraId="7CD7BB43" w14:textId="77777777" w:rsidTr="00457FE3">
        <w:tc>
          <w:tcPr>
            <w:tcW w:w="1088" w:type="dxa"/>
            <w:vMerge w:val="restart"/>
          </w:tcPr>
          <w:p w14:paraId="0A6A29A5" w14:textId="77777777" w:rsidR="008B734C" w:rsidRPr="008C2C69" w:rsidRDefault="008B734C" w:rsidP="002A0008">
            <w:pPr>
              <w:keepNext/>
              <w:spacing w:before="40" w:after="40"/>
              <w:rPr>
                <w:rFonts w:cs="Tahoma"/>
              </w:rPr>
            </w:pPr>
            <w:r w:rsidRPr="008C2C69">
              <w:rPr>
                <w:rFonts w:cs="Tahoma"/>
              </w:rPr>
              <w:t>Ettl et al 2021 – combined low, intermediate and high risk population</w:t>
            </w:r>
          </w:p>
          <w:p w14:paraId="25CC63E1" w14:textId="77777777" w:rsidR="008B734C" w:rsidRPr="008C2C69" w:rsidRDefault="008B734C" w:rsidP="002A0008">
            <w:pPr>
              <w:keepNext/>
              <w:spacing w:before="40" w:after="40"/>
              <w:rPr>
                <w:rFonts w:cs="Tahoma"/>
              </w:rPr>
            </w:pPr>
            <w:r w:rsidRPr="008C2C69">
              <w:rPr>
                <w:rFonts w:cs="Tahoma"/>
              </w:rPr>
              <w:t>n=373</w:t>
            </w:r>
          </w:p>
        </w:tc>
        <w:tc>
          <w:tcPr>
            <w:tcW w:w="1492" w:type="dxa"/>
            <w:vMerge w:val="restart"/>
          </w:tcPr>
          <w:p w14:paraId="2D206669" w14:textId="77777777" w:rsidR="008B734C" w:rsidRPr="008C2C69" w:rsidRDefault="008B734C" w:rsidP="002A0008">
            <w:pPr>
              <w:keepNext/>
              <w:spacing w:before="40" w:after="40"/>
              <w:rPr>
                <w:rFonts w:cs="Tahoma"/>
              </w:rPr>
            </w:pPr>
            <w:r>
              <w:rPr>
                <w:rFonts w:cs="Tahoma"/>
              </w:rPr>
              <w:t>CTX [n=NR]</w:t>
            </w:r>
          </w:p>
        </w:tc>
        <w:tc>
          <w:tcPr>
            <w:tcW w:w="2197" w:type="dxa"/>
            <w:vMerge w:val="restart"/>
          </w:tcPr>
          <w:p w14:paraId="4F05A269" w14:textId="335827F1" w:rsidR="008B734C" w:rsidRPr="008C2C69" w:rsidRDefault="008B734C" w:rsidP="00844998">
            <w:pPr>
              <w:keepNext/>
              <w:tabs>
                <w:tab w:val="left" w:pos="1321"/>
                <w:tab w:val="left" w:pos="1554"/>
              </w:tabs>
              <w:spacing w:before="40" w:after="40"/>
              <w:rPr>
                <w:rFonts w:cs="Tahoma"/>
              </w:rPr>
            </w:pPr>
            <w:r>
              <w:rPr>
                <w:rFonts w:cs="Tahoma"/>
              </w:rPr>
              <w:t>CTX [n=128]</w:t>
            </w:r>
            <w:r>
              <w:rPr>
                <w:rFonts w:cs="Tahoma"/>
              </w:rPr>
              <w:tab/>
              <w:t>34.3%</w:t>
            </w:r>
          </w:p>
        </w:tc>
        <w:tc>
          <w:tcPr>
            <w:tcW w:w="2589" w:type="dxa"/>
            <w:tcBorders>
              <w:bottom w:val="single" w:sz="4" w:space="0" w:color="auto"/>
            </w:tcBorders>
          </w:tcPr>
          <w:p w14:paraId="26346EF0" w14:textId="0CCE49F8" w:rsidR="008B734C" w:rsidRPr="008C2C69" w:rsidRDefault="008B734C" w:rsidP="00844998">
            <w:pPr>
              <w:keepNext/>
              <w:tabs>
                <w:tab w:val="left" w:pos="1591"/>
                <w:tab w:val="left" w:pos="1651"/>
              </w:tabs>
              <w:spacing w:before="40" w:after="40"/>
              <w:rPr>
                <w:rFonts w:cs="Tahoma"/>
              </w:rPr>
            </w:pPr>
            <w:r>
              <w:rPr>
                <w:rFonts w:cs="Tahoma"/>
              </w:rPr>
              <w:t>CTX [n=92]</w:t>
            </w:r>
            <w:r>
              <w:rPr>
                <w:rFonts w:cs="Tahoma"/>
              </w:rPr>
              <w:tab/>
            </w:r>
            <w:r>
              <w:rPr>
                <w:rFonts w:cs="Tahoma"/>
              </w:rPr>
              <w:tab/>
              <w:t>24.7%</w:t>
            </w:r>
          </w:p>
        </w:tc>
        <w:tc>
          <w:tcPr>
            <w:tcW w:w="1650" w:type="dxa"/>
            <w:tcBorders>
              <w:bottom w:val="single" w:sz="4" w:space="0" w:color="auto"/>
            </w:tcBorders>
          </w:tcPr>
          <w:p w14:paraId="4490AA08" w14:textId="5699B4BD" w:rsidR="008B734C" w:rsidRPr="008C2C69" w:rsidRDefault="008B734C" w:rsidP="002A0008">
            <w:pPr>
              <w:keepNext/>
              <w:spacing w:before="40" w:after="40"/>
              <w:rPr>
                <w:rFonts w:cs="Tahoma"/>
              </w:rPr>
            </w:pPr>
            <w:r>
              <w:rPr>
                <w:rFonts w:cs="Tahoma"/>
              </w:rPr>
              <w:t>No</w:t>
            </w:r>
          </w:p>
        </w:tc>
      </w:tr>
      <w:tr w:rsidR="008B734C" w:rsidRPr="008C2C69" w14:paraId="61973FAE" w14:textId="77777777" w:rsidTr="00457FE3">
        <w:tc>
          <w:tcPr>
            <w:tcW w:w="1088" w:type="dxa"/>
            <w:vMerge/>
          </w:tcPr>
          <w:p w14:paraId="7B37E8AE" w14:textId="77777777" w:rsidR="008B734C" w:rsidRPr="008C2C69" w:rsidRDefault="008B734C" w:rsidP="002A0008">
            <w:pPr>
              <w:keepNext/>
              <w:spacing w:before="40" w:after="40"/>
              <w:rPr>
                <w:rFonts w:cs="Tahoma"/>
              </w:rPr>
            </w:pPr>
          </w:p>
        </w:tc>
        <w:tc>
          <w:tcPr>
            <w:tcW w:w="0" w:type="dxa"/>
            <w:vMerge/>
          </w:tcPr>
          <w:p w14:paraId="2AE6586B" w14:textId="77777777" w:rsidR="008B734C" w:rsidRPr="008C2C69" w:rsidRDefault="008B734C" w:rsidP="002A0008">
            <w:pPr>
              <w:keepNext/>
              <w:spacing w:before="40" w:after="40"/>
              <w:rPr>
                <w:rFonts w:cs="Tahoma"/>
              </w:rPr>
            </w:pPr>
          </w:p>
        </w:tc>
        <w:tc>
          <w:tcPr>
            <w:tcW w:w="2197" w:type="dxa"/>
            <w:vMerge/>
          </w:tcPr>
          <w:p w14:paraId="61DAC86D" w14:textId="77777777" w:rsidR="008B734C" w:rsidRPr="008C2C69" w:rsidRDefault="008B734C" w:rsidP="00844998">
            <w:pPr>
              <w:keepNext/>
              <w:tabs>
                <w:tab w:val="left" w:pos="1321"/>
                <w:tab w:val="left" w:pos="1554"/>
              </w:tabs>
              <w:spacing w:before="40" w:after="40"/>
              <w:rPr>
                <w:rFonts w:cs="Tahoma"/>
              </w:rPr>
            </w:pPr>
          </w:p>
        </w:tc>
        <w:tc>
          <w:tcPr>
            <w:tcW w:w="2589" w:type="dxa"/>
            <w:shd w:val="clear" w:color="auto" w:fill="auto"/>
          </w:tcPr>
          <w:p w14:paraId="2147E959" w14:textId="5E3E7140" w:rsidR="008B734C" w:rsidRPr="008C2C69" w:rsidRDefault="008B734C" w:rsidP="00844998">
            <w:pPr>
              <w:keepNext/>
              <w:tabs>
                <w:tab w:val="left" w:pos="1591"/>
                <w:tab w:val="left" w:pos="1651"/>
              </w:tabs>
              <w:spacing w:before="40" w:after="40"/>
              <w:rPr>
                <w:rFonts w:cs="Tahoma"/>
              </w:rPr>
            </w:pPr>
            <w:r>
              <w:rPr>
                <w:rFonts w:cs="Tahoma"/>
              </w:rPr>
              <w:t>No CTX [n=36]</w:t>
            </w:r>
            <w:r>
              <w:rPr>
                <w:rFonts w:cs="Tahoma"/>
              </w:rPr>
              <w:tab/>
            </w:r>
            <w:r>
              <w:rPr>
                <w:rFonts w:cs="Tahoma"/>
              </w:rPr>
              <w:tab/>
              <w:t>9.7%</w:t>
            </w:r>
          </w:p>
        </w:tc>
        <w:tc>
          <w:tcPr>
            <w:tcW w:w="1650" w:type="dxa"/>
            <w:shd w:val="clear" w:color="auto" w:fill="auto"/>
          </w:tcPr>
          <w:p w14:paraId="5ECFB673" w14:textId="54E31C84" w:rsidR="008B734C" w:rsidRPr="008C2C69" w:rsidRDefault="008B734C" w:rsidP="002A0008">
            <w:pPr>
              <w:keepNext/>
              <w:spacing w:before="40" w:after="40"/>
              <w:rPr>
                <w:rFonts w:cs="Tahoma"/>
              </w:rPr>
            </w:pPr>
            <w:r>
              <w:rPr>
                <w:rFonts w:cs="Tahoma"/>
              </w:rPr>
              <w:t>Yes, unknown impact of</w:t>
            </w:r>
            <w:r w:rsidRPr="00030EBC">
              <w:rPr>
                <w:rFonts w:cs="Tahoma"/>
              </w:rPr>
              <w:t xml:space="preserve"> </w:t>
            </w:r>
            <w:r w:rsidR="00D50E5C">
              <w:rPr>
                <w:rFonts w:cs="Tahoma"/>
              </w:rPr>
              <w:t>EndoPredict</w:t>
            </w:r>
            <w:r w:rsidR="005F1260" w:rsidRPr="005F1260">
              <w:rPr>
                <w:rFonts w:cs="Tahoma"/>
                <w:vertAlign w:val="superscript"/>
              </w:rPr>
              <w:t>®</w:t>
            </w:r>
          </w:p>
        </w:tc>
      </w:tr>
      <w:tr w:rsidR="008B734C" w:rsidRPr="008C2C69" w14:paraId="5F5166C9" w14:textId="77777777" w:rsidTr="00D04AA1">
        <w:tc>
          <w:tcPr>
            <w:tcW w:w="1088" w:type="dxa"/>
            <w:vMerge/>
          </w:tcPr>
          <w:p w14:paraId="0272D141" w14:textId="77777777" w:rsidR="008B734C" w:rsidRPr="008C2C69" w:rsidRDefault="008B734C" w:rsidP="002A0008">
            <w:pPr>
              <w:keepNext/>
              <w:spacing w:before="40" w:after="40"/>
              <w:rPr>
                <w:rFonts w:cs="Tahoma"/>
              </w:rPr>
            </w:pPr>
          </w:p>
        </w:tc>
        <w:tc>
          <w:tcPr>
            <w:tcW w:w="1492" w:type="dxa"/>
            <w:vMerge/>
          </w:tcPr>
          <w:p w14:paraId="09D25254" w14:textId="77777777" w:rsidR="008B734C" w:rsidRPr="008C2C69" w:rsidRDefault="008B734C" w:rsidP="002A0008">
            <w:pPr>
              <w:keepNext/>
              <w:spacing w:before="40" w:after="40"/>
              <w:rPr>
                <w:rFonts w:cs="Tahoma"/>
              </w:rPr>
            </w:pPr>
          </w:p>
        </w:tc>
        <w:tc>
          <w:tcPr>
            <w:tcW w:w="2197" w:type="dxa"/>
            <w:vMerge w:val="restart"/>
          </w:tcPr>
          <w:p w14:paraId="64AD1E55" w14:textId="77777777" w:rsidR="008B734C" w:rsidRPr="008C2C69" w:rsidRDefault="008B734C" w:rsidP="00844998">
            <w:pPr>
              <w:keepNext/>
              <w:tabs>
                <w:tab w:val="left" w:pos="1321"/>
                <w:tab w:val="left" w:pos="1554"/>
              </w:tabs>
              <w:spacing w:before="40" w:after="40"/>
              <w:rPr>
                <w:rFonts w:cs="Tahoma"/>
              </w:rPr>
            </w:pPr>
            <w:r>
              <w:rPr>
                <w:rFonts w:cs="Tahoma"/>
              </w:rPr>
              <w:t>No CTX [NA]</w:t>
            </w:r>
          </w:p>
        </w:tc>
        <w:tc>
          <w:tcPr>
            <w:tcW w:w="2589" w:type="dxa"/>
          </w:tcPr>
          <w:p w14:paraId="60718E17" w14:textId="77777777" w:rsidR="008B734C" w:rsidRPr="008C2C69" w:rsidRDefault="008B734C" w:rsidP="00844998">
            <w:pPr>
              <w:keepNext/>
              <w:tabs>
                <w:tab w:val="left" w:pos="1591"/>
                <w:tab w:val="left" w:pos="1651"/>
              </w:tabs>
              <w:spacing w:before="40" w:after="40"/>
              <w:rPr>
                <w:rFonts w:cs="Tahoma"/>
              </w:rPr>
            </w:pPr>
            <w:r>
              <w:rPr>
                <w:rFonts w:cs="Tahoma"/>
              </w:rPr>
              <w:t>NA</w:t>
            </w:r>
          </w:p>
        </w:tc>
        <w:tc>
          <w:tcPr>
            <w:tcW w:w="1650" w:type="dxa"/>
          </w:tcPr>
          <w:p w14:paraId="7F64F67F" w14:textId="77777777" w:rsidR="008B734C" w:rsidRPr="008C2C69" w:rsidRDefault="008B734C" w:rsidP="002A0008">
            <w:pPr>
              <w:keepNext/>
              <w:spacing w:before="40" w:after="40"/>
              <w:rPr>
                <w:rFonts w:cs="Tahoma"/>
              </w:rPr>
            </w:pPr>
            <w:r>
              <w:rPr>
                <w:rFonts w:cs="Tahoma"/>
              </w:rPr>
              <w:t>NA</w:t>
            </w:r>
          </w:p>
        </w:tc>
      </w:tr>
      <w:tr w:rsidR="008B734C" w:rsidRPr="008C2C69" w14:paraId="48027AA6" w14:textId="77777777" w:rsidTr="00D04AA1">
        <w:tc>
          <w:tcPr>
            <w:tcW w:w="1088" w:type="dxa"/>
            <w:vMerge/>
          </w:tcPr>
          <w:p w14:paraId="50E12893" w14:textId="77777777" w:rsidR="008B734C" w:rsidRPr="008C2C69" w:rsidRDefault="008B734C" w:rsidP="002A0008">
            <w:pPr>
              <w:keepNext/>
              <w:spacing w:before="40" w:after="40"/>
              <w:rPr>
                <w:rFonts w:cs="Tahoma"/>
              </w:rPr>
            </w:pPr>
          </w:p>
        </w:tc>
        <w:tc>
          <w:tcPr>
            <w:tcW w:w="1492" w:type="dxa"/>
            <w:vMerge/>
          </w:tcPr>
          <w:p w14:paraId="68DE7D65" w14:textId="77777777" w:rsidR="008B734C" w:rsidRPr="008C2C69" w:rsidRDefault="008B734C" w:rsidP="002A0008">
            <w:pPr>
              <w:keepNext/>
              <w:spacing w:before="40" w:after="40"/>
              <w:rPr>
                <w:rFonts w:cs="Tahoma"/>
              </w:rPr>
            </w:pPr>
          </w:p>
        </w:tc>
        <w:tc>
          <w:tcPr>
            <w:tcW w:w="2197" w:type="dxa"/>
            <w:vMerge/>
          </w:tcPr>
          <w:p w14:paraId="3A7D7E68" w14:textId="77777777" w:rsidR="008B734C" w:rsidRPr="008C2C69" w:rsidRDefault="008B734C" w:rsidP="00844998">
            <w:pPr>
              <w:keepNext/>
              <w:tabs>
                <w:tab w:val="left" w:pos="1321"/>
                <w:tab w:val="left" w:pos="1554"/>
              </w:tabs>
              <w:spacing w:before="40" w:after="40"/>
              <w:rPr>
                <w:rFonts w:cs="Tahoma"/>
              </w:rPr>
            </w:pPr>
          </w:p>
        </w:tc>
        <w:tc>
          <w:tcPr>
            <w:tcW w:w="2589" w:type="dxa"/>
          </w:tcPr>
          <w:p w14:paraId="7B673923" w14:textId="77777777" w:rsidR="008B734C" w:rsidRPr="008C2C69" w:rsidRDefault="008B734C" w:rsidP="00844998">
            <w:pPr>
              <w:keepNext/>
              <w:tabs>
                <w:tab w:val="left" w:pos="1591"/>
                <w:tab w:val="left" w:pos="1651"/>
              </w:tabs>
              <w:spacing w:before="40" w:after="40"/>
              <w:rPr>
                <w:rFonts w:cs="Tahoma"/>
              </w:rPr>
            </w:pPr>
            <w:r>
              <w:rPr>
                <w:rFonts w:cs="Tahoma"/>
              </w:rPr>
              <w:t>NA</w:t>
            </w:r>
          </w:p>
        </w:tc>
        <w:tc>
          <w:tcPr>
            <w:tcW w:w="1650" w:type="dxa"/>
          </w:tcPr>
          <w:p w14:paraId="4208005B" w14:textId="77777777" w:rsidR="008B734C" w:rsidRPr="008C2C69" w:rsidRDefault="008B734C" w:rsidP="002A0008">
            <w:pPr>
              <w:keepNext/>
              <w:spacing w:before="40" w:after="40"/>
              <w:rPr>
                <w:rFonts w:cs="Tahoma"/>
              </w:rPr>
            </w:pPr>
            <w:r>
              <w:rPr>
                <w:rFonts w:cs="Tahoma"/>
              </w:rPr>
              <w:t>NA</w:t>
            </w:r>
          </w:p>
        </w:tc>
      </w:tr>
      <w:tr w:rsidR="008B734C" w:rsidRPr="008C2C69" w14:paraId="552869DA" w14:textId="77777777" w:rsidTr="00D04AA1">
        <w:tc>
          <w:tcPr>
            <w:tcW w:w="1088" w:type="dxa"/>
            <w:vMerge/>
          </w:tcPr>
          <w:p w14:paraId="2228191C" w14:textId="77777777" w:rsidR="008B734C" w:rsidRPr="008C2C69" w:rsidRDefault="008B734C" w:rsidP="002A0008">
            <w:pPr>
              <w:keepNext/>
              <w:spacing w:before="40" w:after="40"/>
              <w:rPr>
                <w:rFonts w:cs="Tahoma"/>
              </w:rPr>
            </w:pPr>
          </w:p>
        </w:tc>
        <w:tc>
          <w:tcPr>
            <w:tcW w:w="1492" w:type="dxa"/>
            <w:vMerge w:val="restart"/>
          </w:tcPr>
          <w:p w14:paraId="775802BD" w14:textId="77777777" w:rsidR="008B734C" w:rsidRPr="008C2C69" w:rsidRDefault="008B734C" w:rsidP="002A0008">
            <w:pPr>
              <w:keepNext/>
              <w:spacing w:before="40" w:after="40"/>
              <w:rPr>
                <w:rFonts w:cs="Tahoma"/>
              </w:rPr>
            </w:pPr>
            <w:r>
              <w:rPr>
                <w:rFonts w:cs="Tahoma"/>
              </w:rPr>
              <w:t>No CTX [n=NR]</w:t>
            </w:r>
          </w:p>
        </w:tc>
        <w:tc>
          <w:tcPr>
            <w:tcW w:w="2197" w:type="dxa"/>
            <w:vMerge w:val="restart"/>
          </w:tcPr>
          <w:p w14:paraId="066DF603" w14:textId="77777777" w:rsidR="008B734C" w:rsidRPr="008C2C69" w:rsidRDefault="008B734C" w:rsidP="00844998">
            <w:pPr>
              <w:keepNext/>
              <w:tabs>
                <w:tab w:val="left" w:pos="1321"/>
                <w:tab w:val="left" w:pos="1554"/>
              </w:tabs>
              <w:spacing w:before="40" w:after="40"/>
              <w:rPr>
                <w:rFonts w:cs="Tahoma"/>
              </w:rPr>
            </w:pPr>
            <w:r>
              <w:rPr>
                <w:rFonts w:cs="Tahoma"/>
              </w:rPr>
              <w:t>CTX [NA]</w:t>
            </w:r>
          </w:p>
        </w:tc>
        <w:tc>
          <w:tcPr>
            <w:tcW w:w="2589" w:type="dxa"/>
          </w:tcPr>
          <w:p w14:paraId="4383938D" w14:textId="77777777" w:rsidR="008B734C" w:rsidRPr="008C2C69" w:rsidRDefault="008B734C" w:rsidP="00844998">
            <w:pPr>
              <w:keepNext/>
              <w:tabs>
                <w:tab w:val="left" w:pos="1591"/>
                <w:tab w:val="left" w:pos="1651"/>
              </w:tabs>
              <w:spacing w:before="40" w:after="40"/>
              <w:rPr>
                <w:rFonts w:cs="Tahoma"/>
              </w:rPr>
            </w:pPr>
            <w:r>
              <w:rPr>
                <w:rFonts w:cs="Tahoma"/>
              </w:rPr>
              <w:t>NA</w:t>
            </w:r>
          </w:p>
        </w:tc>
        <w:tc>
          <w:tcPr>
            <w:tcW w:w="1650" w:type="dxa"/>
          </w:tcPr>
          <w:p w14:paraId="29C0667C" w14:textId="77777777" w:rsidR="008B734C" w:rsidRPr="008C2C69" w:rsidRDefault="008B734C" w:rsidP="002A0008">
            <w:pPr>
              <w:keepNext/>
              <w:spacing w:before="40" w:after="40"/>
              <w:rPr>
                <w:rFonts w:cs="Tahoma"/>
              </w:rPr>
            </w:pPr>
            <w:r>
              <w:rPr>
                <w:rFonts w:cs="Tahoma"/>
              </w:rPr>
              <w:t>NA</w:t>
            </w:r>
          </w:p>
        </w:tc>
      </w:tr>
      <w:tr w:rsidR="008B734C" w:rsidRPr="008C2C69" w14:paraId="099AE30E" w14:textId="77777777" w:rsidTr="00457FE3">
        <w:tc>
          <w:tcPr>
            <w:tcW w:w="1088" w:type="dxa"/>
            <w:vMerge/>
          </w:tcPr>
          <w:p w14:paraId="0A71C2FD" w14:textId="77777777" w:rsidR="008B734C" w:rsidRPr="008C2C69" w:rsidRDefault="008B734C" w:rsidP="002A0008">
            <w:pPr>
              <w:keepNext/>
              <w:spacing w:before="40" w:after="40"/>
              <w:rPr>
                <w:rFonts w:cs="Tahoma"/>
              </w:rPr>
            </w:pPr>
          </w:p>
        </w:tc>
        <w:tc>
          <w:tcPr>
            <w:tcW w:w="1492" w:type="dxa"/>
            <w:vMerge/>
          </w:tcPr>
          <w:p w14:paraId="495221E0" w14:textId="77777777" w:rsidR="008B734C" w:rsidRPr="008C2C69" w:rsidRDefault="008B734C" w:rsidP="002A0008">
            <w:pPr>
              <w:keepNext/>
              <w:spacing w:before="40" w:after="40"/>
              <w:rPr>
                <w:rFonts w:cs="Tahoma"/>
              </w:rPr>
            </w:pPr>
          </w:p>
        </w:tc>
        <w:tc>
          <w:tcPr>
            <w:tcW w:w="2197" w:type="dxa"/>
            <w:vMerge/>
          </w:tcPr>
          <w:p w14:paraId="6EEA7087" w14:textId="77777777" w:rsidR="008B734C" w:rsidRPr="008C2C69" w:rsidRDefault="008B734C" w:rsidP="00844998">
            <w:pPr>
              <w:keepNext/>
              <w:tabs>
                <w:tab w:val="left" w:pos="1321"/>
                <w:tab w:val="left" w:pos="1554"/>
              </w:tabs>
              <w:spacing w:before="40" w:after="40"/>
              <w:rPr>
                <w:rFonts w:cs="Tahoma"/>
              </w:rPr>
            </w:pPr>
          </w:p>
        </w:tc>
        <w:tc>
          <w:tcPr>
            <w:tcW w:w="2589" w:type="dxa"/>
            <w:tcBorders>
              <w:bottom w:val="single" w:sz="4" w:space="0" w:color="auto"/>
            </w:tcBorders>
          </w:tcPr>
          <w:p w14:paraId="32EBE94C" w14:textId="77777777" w:rsidR="008B734C" w:rsidRPr="008C2C69" w:rsidRDefault="008B734C" w:rsidP="00844998">
            <w:pPr>
              <w:keepNext/>
              <w:tabs>
                <w:tab w:val="left" w:pos="1591"/>
                <w:tab w:val="left" w:pos="1651"/>
              </w:tabs>
              <w:spacing w:before="40" w:after="40"/>
              <w:rPr>
                <w:rFonts w:cs="Tahoma"/>
              </w:rPr>
            </w:pPr>
            <w:r>
              <w:rPr>
                <w:rFonts w:cs="Tahoma"/>
              </w:rPr>
              <w:t>NA</w:t>
            </w:r>
          </w:p>
        </w:tc>
        <w:tc>
          <w:tcPr>
            <w:tcW w:w="1650" w:type="dxa"/>
            <w:tcBorders>
              <w:bottom w:val="single" w:sz="4" w:space="0" w:color="auto"/>
            </w:tcBorders>
          </w:tcPr>
          <w:p w14:paraId="1F61E500" w14:textId="77777777" w:rsidR="008B734C" w:rsidRPr="008C2C69" w:rsidRDefault="008B734C" w:rsidP="002A0008">
            <w:pPr>
              <w:keepNext/>
              <w:spacing w:before="40" w:after="40"/>
              <w:rPr>
                <w:rFonts w:cs="Tahoma"/>
              </w:rPr>
            </w:pPr>
            <w:r>
              <w:rPr>
                <w:rFonts w:cs="Tahoma"/>
              </w:rPr>
              <w:t>NA</w:t>
            </w:r>
          </w:p>
        </w:tc>
      </w:tr>
      <w:tr w:rsidR="008B734C" w:rsidRPr="008C2C69" w14:paraId="3E6E353A" w14:textId="77777777" w:rsidTr="00457FE3">
        <w:tc>
          <w:tcPr>
            <w:tcW w:w="1088" w:type="dxa"/>
            <w:vMerge/>
          </w:tcPr>
          <w:p w14:paraId="16055074" w14:textId="77777777" w:rsidR="008B734C" w:rsidRPr="008C2C69" w:rsidRDefault="008B734C" w:rsidP="002A0008">
            <w:pPr>
              <w:keepNext/>
              <w:spacing w:before="40" w:after="40"/>
              <w:rPr>
                <w:rFonts w:cs="Tahoma"/>
              </w:rPr>
            </w:pPr>
          </w:p>
        </w:tc>
        <w:tc>
          <w:tcPr>
            <w:tcW w:w="0" w:type="dxa"/>
            <w:vMerge/>
          </w:tcPr>
          <w:p w14:paraId="64EC26BD" w14:textId="77777777" w:rsidR="008B734C" w:rsidRPr="008C2C69" w:rsidRDefault="008B734C" w:rsidP="002A0008">
            <w:pPr>
              <w:keepNext/>
              <w:spacing w:before="40" w:after="40"/>
              <w:rPr>
                <w:rFonts w:cs="Tahoma"/>
              </w:rPr>
            </w:pPr>
          </w:p>
        </w:tc>
        <w:tc>
          <w:tcPr>
            <w:tcW w:w="2197" w:type="dxa"/>
            <w:vMerge w:val="restart"/>
          </w:tcPr>
          <w:p w14:paraId="52970E21" w14:textId="32040F63" w:rsidR="008B734C" w:rsidRPr="008C2C69" w:rsidRDefault="008B734C" w:rsidP="00844998">
            <w:pPr>
              <w:keepNext/>
              <w:tabs>
                <w:tab w:val="left" w:pos="1321"/>
                <w:tab w:val="left" w:pos="1554"/>
              </w:tabs>
              <w:spacing w:before="40" w:after="40"/>
              <w:rPr>
                <w:rFonts w:cs="Tahoma"/>
              </w:rPr>
            </w:pPr>
            <w:r>
              <w:rPr>
                <w:rFonts w:cs="Tahoma"/>
              </w:rPr>
              <w:t>No CTX [n=245]</w:t>
            </w:r>
            <w:r>
              <w:rPr>
                <w:rFonts w:cs="Tahoma"/>
              </w:rPr>
              <w:tab/>
              <w:t>65.7%</w:t>
            </w:r>
          </w:p>
        </w:tc>
        <w:tc>
          <w:tcPr>
            <w:tcW w:w="2589" w:type="dxa"/>
            <w:shd w:val="clear" w:color="auto" w:fill="auto"/>
          </w:tcPr>
          <w:p w14:paraId="0805F04B" w14:textId="579E6D96" w:rsidR="008B734C" w:rsidRPr="008C2C69" w:rsidRDefault="008B734C" w:rsidP="00844998">
            <w:pPr>
              <w:keepNext/>
              <w:tabs>
                <w:tab w:val="left" w:pos="1591"/>
                <w:tab w:val="left" w:pos="1651"/>
              </w:tabs>
              <w:spacing w:before="40" w:after="40"/>
              <w:rPr>
                <w:rFonts w:cs="Tahoma"/>
              </w:rPr>
            </w:pPr>
            <w:r>
              <w:rPr>
                <w:rFonts w:cs="Tahoma"/>
              </w:rPr>
              <w:t>CTX [n=3]</w:t>
            </w:r>
            <w:r>
              <w:rPr>
                <w:rFonts w:cs="Tahoma"/>
              </w:rPr>
              <w:tab/>
            </w:r>
            <w:r>
              <w:rPr>
                <w:rFonts w:cs="Tahoma"/>
              </w:rPr>
              <w:tab/>
              <w:t>0.8%</w:t>
            </w:r>
          </w:p>
        </w:tc>
        <w:tc>
          <w:tcPr>
            <w:tcW w:w="1650" w:type="dxa"/>
            <w:shd w:val="clear" w:color="auto" w:fill="auto"/>
          </w:tcPr>
          <w:p w14:paraId="66E01ABA" w14:textId="27C9D00B" w:rsidR="008B734C" w:rsidRPr="008C2C69" w:rsidRDefault="008B734C" w:rsidP="002A0008">
            <w:pPr>
              <w:keepNext/>
              <w:spacing w:before="40" w:after="40"/>
              <w:rPr>
                <w:rFonts w:cs="Tahoma"/>
              </w:rPr>
            </w:pPr>
            <w:r>
              <w:rPr>
                <w:rFonts w:cs="Tahoma"/>
              </w:rPr>
              <w:t xml:space="preserve">Yes, unknown impact of </w:t>
            </w:r>
            <w:r w:rsidR="00D50E5C">
              <w:rPr>
                <w:rFonts w:cs="Tahoma"/>
              </w:rPr>
              <w:t>EndoPredict</w:t>
            </w:r>
            <w:r w:rsidR="005F1260" w:rsidRPr="005F1260">
              <w:rPr>
                <w:rFonts w:cs="Tahoma"/>
                <w:vertAlign w:val="superscript"/>
              </w:rPr>
              <w:t>®</w:t>
            </w:r>
          </w:p>
        </w:tc>
      </w:tr>
      <w:tr w:rsidR="008B734C" w:rsidRPr="008C2C69" w14:paraId="7D05E9BB" w14:textId="77777777" w:rsidTr="00D04AA1">
        <w:tc>
          <w:tcPr>
            <w:tcW w:w="1088" w:type="dxa"/>
            <w:vMerge/>
          </w:tcPr>
          <w:p w14:paraId="24FCBBE0" w14:textId="77777777" w:rsidR="008B734C" w:rsidRPr="008C2C69" w:rsidRDefault="008B734C" w:rsidP="002A0008">
            <w:pPr>
              <w:keepNext/>
              <w:spacing w:before="40" w:after="40"/>
              <w:rPr>
                <w:rFonts w:cs="Tahoma"/>
              </w:rPr>
            </w:pPr>
          </w:p>
        </w:tc>
        <w:tc>
          <w:tcPr>
            <w:tcW w:w="1492" w:type="dxa"/>
            <w:vMerge/>
          </w:tcPr>
          <w:p w14:paraId="0EC056FF" w14:textId="77777777" w:rsidR="008B734C" w:rsidRPr="008C2C69" w:rsidRDefault="008B734C" w:rsidP="002A0008">
            <w:pPr>
              <w:keepNext/>
              <w:spacing w:before="40" w:after="40"/>
              <w:rPr>
                <w:rFonts w:cs="Tahoma"/>
              </w:rPr>
            </w:pPr>
          </w:p>
        </w:tc>
        <w:tc>
          <w:tcPr>
            <w:tcW w:w="2197" w:type="dxa"/>
            <w:vMerge/>
          </w:tcPr>
          <w:p w14:paraId="03D62738" w14:textId="77777777" w:rsidR="008B734C" w:rsidRPr="008C2C69" w:rsidRDefault="008B734C" w:rsidP="00844998">
            <w:pPr>
              <w:keepNext/>
              <w:tabs>
                <w:tab w:val="left" w:pos="1321"/>
                <w:tab w:val="left" w:pos="1554"/>
              </w:tabs>
              <w:spacing w:before="40" w:after="40"/>
              <w:rPr>
                <w:rFonts w:cs="Tahoma"/>
              </w:rPr>
            </w:pPr>
          </w:p>
        </w:tc>
        <w:tc>
          <w:tcPr>
            <w:tcW w:w="2589" w:type="dxa"/>
          </w:tcPr>
          <w:p w14:paraId="49AB33C2" w14:textId="29056250" w:rsidR="008B734C" w:rsidRPr="008C2C69" w:rsidRDefault="008B734C" w:rsidP="00844998">
            <w:pPr>
              <w:keepNext/>
              <w:tabs>
                <w:tab w:val="left" w:pos="1591"/>
                <w:tab w:val="left" w:pos="1651"/>
              </w:tabs>
              <w:spacing w:before="40" w:after="40"/>
              <w:rPr>
                <w:rFonts w:cs="Tahoma"/>
              </w:rPr>
            </w:pPr>
            <w:r>
              <w:rPr>
                <w:rFonts w:cs="Tahoma"/>
              </w:rPr>
              <w:t>No CTX [n=242]</w:t>
            </w:r>
            <w:r>
              <w:rPr>
                <w:rFonts w:cs="Tahoma"/>
              </w:rPr>
              <w:tab/>
            </w:r>
            <w:r>
              <w:rPr>
                <w:rFonts w:cs="Tahoma"/>
              </w:rPr>
              <w:tab/>
              <w:t>64.9%</w:t>
            </w:r>
          </w:p>
        </w:tc>
        <w:tc>
          <w:tcPr>
            <w:tcW w:w="1650" w:type="dxa"/>
          </w:tcPr>
          <w:p w14:paraId="47ED7DF5" w14:textId="6EB33907" w:rsidR="008B734C" w:rsidRPr="008C2C69" w:rsidRDefault="008B734C" w:rsidP="002A0008">
            <w:pPr>
              <w:keepNext/>
              <w:spacing w:before="40" w:after="40"/>
              <w:rPr>
                <w:rFonts w:cs="Tahoma"/>
              </w:rPr>
            </w:pPr>
            <w:r>
              <w:rPr>
                <w:rFonts w:cs="Tahoma"/>
              </w:rPr>
              <w:t>No</w:t>
            </w:r>
          </w:p>
        </w:tc>
      </w:tr>
    </w:tbl>
    <w:p w14:paraId="010FBDFC" w14:textId="1E3216A7" w:rsidR="00607C68" w:rsidRDefault="00607C68" w:rsidP="00077D16">
      <w:pPr>
        <w:pStyle w:val="Tablenotes0"/>
        <w:keepNext/>
      </w:pPr>
      <w:r w:rsidRPr="004C2EF0">
        <w:rPr>
          <w:vertAlign w:val="superscript"/>
        </w:rPr>
        <w:t>a</w:t>
      </w:r>
      <w:r>
        <w:t xml:space="preserve"> This data was presented in the 1408 </w:t>
      </w:r>
      <w:r w:rsidR="00815375">
        <w:t>application</w:t>
      </w:r>
      <w:r>
        <w:t>, but in a different format.</w:t>
      </w:r>
    </w:p>
    <w:p w14:paraId="638751E5" w14:textId="595DAAD6" w:rsidR="004C2EF0" w:rsidRPr="008F275D" w:rsidRDefault="004C2EF0" w:rsidP="00077D16">
      <w:pPr>
        <w:pStyle w:val="Tablenotes0"/>
        <w:keepNext/>
      </w:pPr>
      <w:r>
        <w:t>CT</w:t>
      </w:r>
      <w:r w:rsidRPr="008F275D">
        <w:t>X = chemotherapy; MDT = multidisciplinary team</w:t>
      </w:r>
      <w:r>
        <w:t>; NA = not available.</w:t>
      </w:r>
    </w:p>
    <w:p w14:paraId="6D1EB6EE" w14:textId="02F29A24" w:rsidR="00D73AEE" w:rsidRPr="00D73AEE" w:rsidRDefault="00D73AEE" w:rsidP="00D73AEE">
      <w:pPr>
        <w:pStyle w:val="Tablenotes0"/>
      </w:pPr>
      <w:r w:rsidRPr="00D73AEE">
        <w:t>Source: Constructed during the evaluation using the ‘Attachment 3_PROSPER final analysis.xlsx’ workbook included in the 1408.1</w:t>
      </w:r>
      <w:r w:rsidR="00815375">
        <w:t xml:space="preserve"> re-application</w:t>
      </w:r>
      <w:r w:rsidRPr="00D73AEE">
        <w:t>.</w:t>
      </w:r>
    </w:p>
    <w:p w14:paraId="3942CF5E" w14:textId="77777777" w:rsidR="002056CD" w:rsidRPr="001B4DDB" w:rsidRDefault="002056CD" w:rsidP="002056CD">
      <w:pPr>
        <w:pStyle w:val="Heading4"/>
        <w:rPr>
          <w:rFonts w:ascii="Franklin Gothic Book" w:hAnsi="Franklin Gothic Book"/>
        </w:rPr>
      </w:pPr>
      <w:r w:rsidRPr="001B4DDB">
        <w:rPr>
          <w:rFonts w:ascii="Franklin Gothic Book" w:hAnsi="Franklin Gothic Book"/>
        </w:rPr>
        <w:t>Change in management within Australia compared to other countries</w:t>
      </w:r>
    </w:p>
    <w:p w14:paraId="531A1B32" w14:textId="043EF28B" w:rsidR="002056CD" w:rsidRPr="001B4DDB" w:rsidRDefault="002056CD" w:rsidP="002056CD">
      <w:pPr>
        <w:rPr>
          <w:rFonts w:ascii="Franklin Gothic Book" w:hAnsi="Franklin Gothic Book"/>
        </w:rPr>
      </w:pPr>
      <w:r w:rsidRPr="001B4DDB">
        <w:rPr>
          <w:rFonts w:ascii="Franklin Gothic Book" w:hAnsi="Franklin Gothic Book"/>
        </w:rPr>
        <w:t xml:space="preserve">The </w:t>
      </w:r>
      <w:r w:rsidR="00B766DC" w:rsidRPr="001B4DDB">
        <w:rPr>
          <w:rFonts w:ascii="Franklin Gothic Book" w:hAnsi="Franklin Gothic Book"/>
        </w:rPr>
        <w:t>a</w:t>
      </w:r>
      <w:r w:rsidRPr="001B4DDB">
        <w:rPr>
          <w:rFonts w:ascii="Franklin Gothic Book" w:hAnsi="Franklin Gothic Book"/>
        </w:rPr>
        <w:t xml:space="preserve">pplicant provided evidence of the impact of </w:t>
      </w:r>
      <w:r w:rsidR="00D50E5C" w:rsidRPr="001B4DDB">
        <w:rPr>
          <w:rFonts w:ascii="Franklin Gothic Book" w:hAnsi="Franklin Gothic Book"/>
        </w:rPr>
        <w:t>EndoPredict</w:t>
      </w:r>
      <w:r w:rsidR="005F1260" w:rsidRPr="005F1260">
        <w:rPr>
          <w:rFonts w:ascii="Franklin Gothic Book" w:hAnsi="Franklin Gothic Book"/>
          <w:vertAlign w:val="superscript"/>
        </w:rPr>
        <w:t>®</w:t>
      </w:r>
      <w:r w:rsidRPr="001B4DDB">
        <w:rPr>
          <w:rFonts w:ascii="Franklin Gothic Book" w:hAnsi="Franklin Gothic Book"/>
        </w:rPr>
        <w:t xml:space="preserve"> on the change in management of breast cancer patients from two prospective studies, one performed in Germany</w:t>
      </w:r>
      <w:r w:rsidR="00550FC7" w:rsidRPr="001B4DDB">
        <w:rPr>
          <w:rFonts w:ascii="Franklin Gothic Book" w:hAnsi="Franklin Gothic Book"/>
        </w:rPr>
        <w:t>,</w:t>
      </w:r>
      <w:r w:rsidRPr="001B4DDB">
        <w:rPr>
          <w:rFonts w:ascii="Franklin Gothic Book" w:hAnsi="Franklin Gothic Book"/>
        </w:rPr>
        <w:t xml:space="preserve"> Ettl et al (2020)</w:t>
      </w:r>
      <w:r w:rsidR="00550FC7" w:rsidRPr="001B4DDB">
        <w:rPr>
          <w:rFonts w:ascii="Franklin Gothic Book" w:hAnsi="Franklin Gothic Book"/>
        </w:rPr>
        <w:t>,</w:t>
      </w:r>
      <w:r w:rsidRPr="001B4DDB">
        <w:rPr>
          <w:rFonts w:ascii="Franklin Gothic Book" w:hAnsi="Franklin Gothic Book"/>
        </w:rPr>
        <w:t xml:space="preserve"> and one in France</w:t>
      </w:r>
      <w:r w:rsidR="00550FC7" w:rsidRPr="001B4DDB">
        <w:rPr>
          <w:rFonts w:ascii="Franklin Gothic Book" w:hAnsi="Franklin Gothic Book"/>
        </w:rPr>
        <w:t>,</w:t>
      </w:r>
      <w:r w:rsidRPr="001B4DDB">
        <w:rPr>
          <w:rFonts w:ascii="Franklin Gothic Book" w:hAnsi="Franklin Gothic Book"/>
        </w:rPr>
        <w:t xml:space="preserve"> Penault-Llorca et al (2020). Earlier results of these two studies were reported in the 1408 </w:t>
      </w:r>
      <w:r w:rsidR="00815375">
        <w:rPr>
          <w:rFonts w:ascii="Franklin Gothic Book" w:hAnsi="Franklin Gothic Book"/>
          <w:iCs/>
        </w:rPr>
        <w:t>application</w:t>
      </w:r>
      <w:r w:rsidRPr="001B4DDB">
        <w:rPr>
          <w:rFonts w:ascii="Franklin Gothic Book" w:hAnsi="Franklin Gothic Book"/>
        </w:rPr>
        <w:t>.</w:t>
      </w:r>
    </w:p>
    <w:p w14:paraId="2B922309" w14:textId="37B7A052" w:rsidR="002056CD" w:rsidRPr="001B4DDB" w:rsidRDefault="002056CD" w:rsidP="002056CD">
      <w:pPr>
        <w:rPr>
          <w:rFonts w:ascii="Franklin Gothic Book" w:hAnsi="Franklin Gothic Book"/>
        </w:rPr>
      </w:pPr>
      <w:r w:rsidRPr="001B4DDB">
        <w:rPr>
          <w:rFonts w:ascii="Franklin Gothic Book" w:hAnsi="Franklin Gothic Book"/>
        </w:rPr>
        <w:t xml:space="preserve">The change in management outcomes for the two European studies are compared with the Australian outcomes in </w:t>
      </w:r>
      <w:r w:rsidR="00316690" w:rsidRPr="001B4DDB">
        <w:rPr>
          <w:rFonts w:ascii="Franklin Gothic Book" w:hAnsi="Franklin Gothic Book"/>
        </w:rPr>
        <w:fldChar w:fldCharType="begin"/>
      </w:r>
      <w:r w:rsidR="00316690" w:rsidRPr="001B4DDB">
        <w:rPr>
          <w:rFonts w:ascii="Franklin Gothic Book" w:hAnsi="Franklin Gothic Book"/>
        </w:rPr>
        <w:instrText xml:space="preserve"> REF _Ref100141590 \h </w:instrText>
      </w:r>
      <w:r w:rsidR="001B4DDB">
        <w:rPr>
          <w:rFonts w:ascii="Franklin Gothic Book" w:hAnsi="Franklin Gothic Book"/>
        </w:rPr>
        <w:instrText xml:space="preserve"> \* MERGEFORMAT </w:instrText>
      </w:r>
      <w:r w:rsidR="00316690" w:rsidRPr="001B4DDB">
        <w:rPr>
          <w:rFonts w:ascii="Franklin Gothic Book" w:hAnsi="Franklin Gothic Book"/>
        </w:rPr>
      </w:r>
      <w:r w:rsidR="00316690" w:rsidRPr="001B4DDB">
        <w:rPr>
          <w:rFonts w:ascii="Franklin Gothic Book" w:hAnsi="Franklin Gothic Book"/>
        </w:rPr>
        <w:fldChar w:fldCharType="separate"/>
      </w:r>
      <w:r w:rsidR="00943826" w:rsidRPr="00943826">
        <w:rPr>
          <w:rFonts w:ascii="Franklin Gothic Book" w:hAnsi="Franklin Gothic Book"/>
        </w:rPr>
        <w:t xml:space="preserve">Table </w:t>
      </w:r>
      <w:r w:rsidR="00943826" w:rsidRPr="00943826">
        <w:rPr>
          <w:rFonts w:ascii="Franklin Gothic Book" w:hAnsi="Franklin Gothic Book"/>
          <w:noProof/>
        </w:rPr>
        <w:t>9</w:t>
      </w:r>
      <w:r w:rsidR="00316690" w:rsidRPr="001B4DDB">
        <w:rPr>
          <w:rFonts w:ascii="Franklin Gothic Book" w:hAnsi="Franklin Gothic Book"/>
        </w:rPr>
        <w:fldChar w:fldCharType="end"/>
      </w:r>
      <w:r w:rsidRPr="001B4DDB">
        <w:rPr>
          <w:rFonts w:ascii="Franklin Gothic Book" w:hAnsi="Franklin Gothic Book"/>
        </w:rPr>
        <w:t>.</w:t>
      </w:r>
    </w:p>
    <w:p w14:paraId="2056C9E4" w14:textId="1E04F468" w:rsidR="002056CD" w:rsidRPr="001B4DDB" w:rsidRDefault="002056CD" w:rsidP="002056CD">
      <w:pPr>
        <w:rPr>
          <w:rFonts w:ascii="Franklin Gothic Book" w:hAnsi="Franklin Gothic Book"/>
        </w:rPr>
      </w:pPr>
      <w:r w:rsidRPr="001B4DDB">
        <w:rPr>
          <w:rFonts w:ascii="Franklin Gothic Book" w:hAnsi="Franklin Gothic Book"/>
        </w:rPr>
        <w:lastRenderedPageBreak/>
        <w:t>Penault-Llorca et al (2020) provided change in management evidence for patients who met the criteria of grade 2, or grade 3 and pT &lt;2</w:t>
      </w:r>
      <w:r w:rsidR="00877150">
        <w:rPr>
          <w:rFonts w:ascii="Franklin Gothic Book" w:hAnsi="Franklin Gothic Book"/>
        </w:rPr>
        <w:t> </w:t>
      </w:r>
      <w:r w:rsidRPr="001B4DDB">
        <w:rPr>
          <w:rFonts w:ascii="Franklin Gothic Book" w:hAnsi="Franklin Gothic Book"/>
        </w:rPr>
        <w:t>cm, or lobular histology, based on current guidelines. This patient cohort more closely aligns with the likely intermediate risk population eligible for a GEP</w:t>
      </w:r>
      <w:r w:rsidR="00E82DE9" w:rsidRPr="001B4DDB">
        <w:rPr>
          <w:rFonts w:ascii="Franklin Gothic Book" w:hAnsi="Franklin Gothic Book"/>
        </w:rPr>
        <w:t xml:space="preserve"> test</w:t>
      </w:r>
      <w:r w:rsidRPr="001B4DDB">
        <w:rPr>
          <w:rFonts w:ascii="Franklin Gothic Book" w:hAnsi="Franklin Gothic Book"/>
        </w:rPr>
        <w:t xml:space="preserve"> in Australia. The primary outcomes were the change in treatment recommendation following EPclin, and the impact of the treatment decision on patient anxiety and psychological distress.</w:t>
      </w:r>
    </w:p>
    <w:p w14:paraId="3C8BFD74" w14:textId="4B273EA6" w:rsidR="002056CD" w:rsidRPr="001B4DDB" w:rsidRDefault="002056CD" w:rsidP="002056CD">
      <w:pPr>
        <w:rPr>
          <w:rFonts w:ascii="Franklin Gothic Book" w:hAnsi="Franklin Gothic Book"/>
        </w:rPr>
      </w:pPr>
      <w:r w:rsidRPr="001B4DDB">
        <w:rPr>
          <w:rFonts w:ascii="Franklin Gothic Book" w:hAnsi="Franklin Gothic Book"/>
        </w:rPr>
        <w:t xml:space="preserve">Increased anxiety levels were associated with the change in treatment at the second decision point. As patients had already received a treatment recommendation, it was not possible to determine whether performing </w:t>
      </w:r>
      <w:r w:rsidR="00D50E5C" w:rsidRPr="001B4DDB">
        <w:rPr>
          <w:rFonts w:ascii="Franklin Gothic Book" w:hAnsi="Franklin Gothic Book"/>
        </w:rPr>
        <w:t>EndoPredict</w:t>
      </w:r>
      <w:r w:rsidR="005F1260" w:rsidRPr="005F1260">
        <w:rPr>
          <w:rFonts w:ascii="Franklin Gothic Book" w:hAnsi="Franklin Gothic Book"/>
          <w:vertAlign w:val="superscript"/>
        </w:rPr>
        <w:t>®</w:t>
      </w:r>
      <w:r w:rsidRPr="001B4DDB">
        <w:rPr>
          <w:rFonts w:ascii="Franklin Gothic Book" w:hAnsi="Franklin Gothic Book"/>
        </w:rPr>
        <w:t xml:space="preserve"> itself had an impact on decision</w:t>
      </w:r>
      <w:r w:rsidR="000A6C9B" w:rsidRPr="001B4DDB">
        <w:rPr>
          <w:rFonts w:ascii="Franklin Gothic Book" w:hAnsi="Franklin Gothic Book"/>
        </w:rPr>
        <w:t>-</w:t>
      </w:r>
      <w:r w:rsidRPr="001B4DDB">
        <w:rPr>
          <w:rFonts w:ascii="Franklin Gothic Book" w:hAnsi="Franklin Gothic Book"/>
        </w:rPr>
        <w:t>related anxiety, or whether it was related to changing their treatment plan. There was notable heterogeneity across recruitment sites in the rate of decision changes (χ</w:t>
      </w:r>
      <w:r w:rsidRPr="001B4DDB">
        <w:rPr>
          <w:rFonts w:ascii="Franklin Gothic Book" w:hAnsi="Franklin Gothic Book"/>
          <w:vertAlign w:val="superscript"/>
        </w:rPr>
        <w:t>2</w:t>
      </w:r>
      <w:r w:rsidRPr="001B4DDB">
        <w:rPr>
          <w:rFonts w:ascii="Franklin Gothic Book" w:hAnsi="Franklin Gothic Book"/>
        </w:rPr>
        <w:t xml:space="preserve"> p=0.003). The decision to withdraw chemotherapy varied from 12% to 70%, and to add chemotherapy varied between 0% and 24% at the </w:t>
      </w:r>
      <w:r w:rsidR="002A0008" w:rsidRPr="001B4DDB">
        <w:rPr>
          <w:rFonts w:ascii="Franklin Gothic Book" w:hAnsi="Franklin Gothic Book"/>
        </w:rPr>
        <w:t>Multidisciplinary Team Meeting 2 (</w:t>
      </w:r>
      <w:r w:rsidRPr="001B4DDB">
        <w:rPr>
          <w:rFonts w:ascii="Franklin Gothic Book" w:hAnsi="Franklin Gothic Book"/>
        </w:rPr>
        <w:t>MTM2</w:t>
      </w:r>
      <w:r w:rsidR="002A0008" w:rsidRPr="001B4DDB">
        <w:rPr>
          <w:rFonts w:ascii="Franklin Gothic Book" w:hAnsi="Franklin Gothic Book"/>
        </w:rPr>
        <w:t>)</w:t>
      </w:r>
      <w:r w:rsidRPr="001B4DDB">
        <w:rPr>
          <w:rFonts w:ascii="Franklin Gothic Book" w:hAnsi="Franklin Gothic Book"/>
        </w:rPr>
        <w:t xml:space="preserve"> time point. This variation was thought to reflect a variation in the application of intermediate criteria to the patient cohort. It could also reflect the clinician-patient relationship and how the clinician responded to the information provided by </w:t>
      </w:r>
      <w:r w:rsidR="00D50E5C" w:rsidRPr="001B4DDB">
        <w:rPr>
          <w:rFonts w:ascii="Franklin Gothic Book" w:hAnsi="Franklin Gothic Book"/>
        </w:rPr>
        <w:t>EndoPredict</w:t>
      </w:r>
      <w:r w:rsidR="005F1260" w:rsidRPr="005F1260">
        <w:rPr>
          <w:rFonts w:ascii="Franklin Gothic Book" w:hAnsi="Franklin Gothic Book"/>
          <w:vertAlign w:val="superscript"/>
        </w:rPr>
        <w:t>®</w:t>
      </w:r>
      <w:r w:rsidRPr="001B4DDB">
        <w:rPr>
          <w:rFonts w:ascii="Franklin Gothic Book" w:hAnsi="Franklin Gothic Book"/>
        </w:rPr>
        <w:t>.</w:t>
      </w:r>
    </w:p>
    <w:p w14:paraId="61872BDF" w14:textId="31E01DA9" w:rsidR="002056CD" w:rsidRPr="001B4DDB" w:rsidRDefault="002056CD" w:rsidP="002056CD">
      <w:pPr>
        <w:rPr>
          <w:rFonts w:ascii="Franklin Gothic Book" w:hAnsi="Franklin Gothic Book"/>
        </w:rPr>
      </w:pPr>
      <w:r w:rsidRPr="001B4DDB">
        <w:rPr>
          <w:rFonts w:ascii="Franklin Gothic Book" w:hAnsi="Franklin Gothic Book"/>
        </w:rPr>
        <w:t>Ettl et al reported outcomes for a group of breast cancer patients whose treatment was directed by their EPclin score. There w</w:t>
      </w:r>
      <w:r w:rsidR="000A6C9B" w:rsidRPr="001B4DDB">
        <w:rPr>
          <w:rFonts w:ascii="Franklin Gothic Book" w:hAnsi="Franklin Gothic Book"/>
        </w:rPr>
        <w:t>as</w:t>
      </w:r>
      <w:r w:rsidRPr="001B4DDB">
        <w:rPr>
          <w:rFonts w:ascii="Franklin Gothic Book" w:hAnsi="Franklin Gothic Book"/>
        </w:rPr>
        <w:t xml:space="preserve"> no treatment decision recorded before EPclin was performed. Therapy recommendations were made by a</w:t>
      </w:r>
      <w:r w:rsidR="00112401" w:rsidRPr="001B4DDB">
        <w:rPr>
          <w:rFonts w:ascii="Franklin Gothic Book" w:hAnsi="Franklin Gothic Book"/>
        </w:rPr>
        <w:t>n</w:t>
      </w:r>
      <w:r w:rsidRPr="001B4DDB">
        <w:rPr>
          <w:rFonts w:ascii="Franklin Gothic Book" w:hAnsi="Franklin Gothic Book"/>
        </w:rPr>
        <w:t xml:space="preserve"> MDT primarily based on EPclin risk classification taking comorbidities into account. Patient compliance rates were also measured. The authors reported that the rate of non-compliance of 28.1% </w:t>
      </w:r>
      <w:r w:rsidR="00EF607E" w:rsidRPr="001B4DDB">
        <w:rPr>
          <w:rFonts w:ascii="Franklin Gothic Book" w:hAnsi="Franklin Gothic Book"/>
        </w:rPr>
        <w:t xml:space="preserve">(36 of 128 </w:t>
      </w:r>
      <w:r w:rsidR="002D5D87" w:rsidRPr="001B4DDB">
        <w:rPr>
          <w:rFonts w:ascii="Franklin Gothic Book" w:hAnsi="Franklin Gothic Book"/>
        </w:rPr>
        <w:t>p</w:t>
      </w:r>
      <w:r w:rsidR="00EF607E" w:rsidRPr="001B4DDB">
        <w:rPr>
          <w:rFonts w:ascii="Franklin Gothic Book" w:hAnsi="Franklin Gothic Book"/>
        </w:rPr>
        <w:t xml:space="preserve">atients recommended for chemotherapy) </w:t>
      </w:r>
      <w:r w:rsidRPr="001B4DDB">
        <w:rPr>
          <w:rFonts w:ascii="Franklin Gothic Book" w:hAnsi="Franklin Gothic Book"/>
        </w:rPr>
        <w:t>for the high-risk group is similar to rates reported in other articles, for which estimates reach as high as 50% for not successfully completing adjuvant therapy over 5</w:t>
      </w:r>
      <w:r w:rsidR="00C90BA4" w:rsidRPr="001B4DDB">
        <w:rPr>
          <w:rFonts w:ascii="Franklin Gothic Book" w:hAnsi="Franklin Gothic Book"/>
        </w:rPr>
        <w:t>-</w:t>
      </w:r>
      <w:r w:rsidRPr="001B4DDB">
        <w:rPr>
          <w:rFonts w:ascii="Franklin Gothic Book" w:hAnsi="Franklin Gothic Book"/>
        </w:rPr>
        <w:t>year treatment periods. Reasons for non-compliance in the study were not reported.</w:t>
      </w:r>
    </w:p>
    <w:p w14:paraId="655B24B9" w14:textId="70268B14" w:rsidR="007E3316" w:rsidRPr="001B4DDB" w:rsidRDefault="00EF607E" w:rsidP="002056CD">
      <w:pPr>
        <w:rPr>
          <w:rFonts w:ascii="Franklin Gothic Book" w:hAnsi="Franklin Gothic Book"/>
        </w:rPr>
      </w:pPr>
      <w:r w:rsidRPr="001B4DDB">
        <w:rPr>
          <w:rFonts w:ascii="Franklin Gothic Book" w:hAnsi="Franklin Gothic Book"/>
        </w:rPr>
        <w:t xml:space="preserve">The proportion of patients recommended for adjuvant chemotherapy and the final treatment decisions for the non-Australian studies are illustrated in </w:t>
      </w:r>
      <w:r w:rsidR="00232ECC" w:rsidRPr="001B4DDB">
        <w:rPr>
          <w:rFonts w:ascii="Franklin Gothic Book" w:hAnsi="Franklin Gothic Book"/>
        </w:rPr>
        <w:fldChar w:fldCharType="begin"/>
      </w:r>
      <w:r w:rsidR="00232ECC" w:rsidRPr="001B4DDB">
        <w:rPr>
          <w:rFonts w:ascii="Franklin Gothic Book" w:hAnsi="Franklin Gothic Book"/>
        </w:rPr>
        <w:instrText xml:space="preserve"> REF _Ref100141590 \h </w:instrText>
      </w:r>
      <w:r w:rsidR="001B4DDB">
        <w:rPr>
          <w:rFonts w:ascii="Franklin Gothic Book" w:hAnsi="Franklin Gothic Book"/>
        </w:rPr>
        <w:instrText xml:space="preserve"> \* MERGEFORMAT </w:instrText>
      </w:r>
      <w:r w:rsidR="00232ECC" w:rsidRPr="001B4DDB">
        <w:rPr>
          <w:rFonts w:ascii="Franklin Gothic Book" w:hAnsi="Franklin Gothic Book"/>
        </w:rPr>
      </w:r>
      <w:r w:rsidR="00232ECC" w:rsidRPr="001B4DDB">
        <w:rPr>
          <w:rFonts w:ascii="Franklin Gothic Book" w:hAnsi="Franklin Gothic Book"/>
        </w:rPr>
        <w:fldChar w:fldCharType="separate"/>
      </w:r>
      <w:r w:rsidR="00943826" w:rsidRPr="00943826">
        <w:rPr>
          <w:rFonts w:ascii="Franklin Gothic Book" w:hAnsi="Franklin Gothic Book"/>
        </w:rPr>
        <w:t xml:space="preserve">Table </w:t>
      </w:r>
      <w:r w:rsidR="00943826" w:rsidRPr="00943826">
        <w:rPr>
          <w:rFonts w:ascii="Franklin Gothic Book" w:hAnsi="Franklin Gothic Book"/>
          <w:noProof/>
        </w:rPr>
        <w:t>9</w:t>
      </w:r>
      <w:r w:rsidR="00232ECC" w:rsidRPr="001B4DDB">
        <w:rPr>
          <w:rFonts w:ascii="Franklin Gothic Book" w:hAnsi="Franklin Gothic Book"/>
        </w:rPr>
        <w:fldChar w:fldCharType="end"/>
      </w:r>
      <w:r w:rsidRPr="001B4DDB">
        <w:rPr>
          <w:rFonts w:ascii="Franklin Gothic Book" w:hAnsi="Franklin Gothic Book"/>
        </w:rPr>
        <w:t xml:space="preserve">. In the </w:t>
      </w:r>
      <w:r w:rsidR="00C36FBA" w:rsidRPr="001B4DDB">
        <w:rPr>
          <w:rFonts w:ascii="Franklin Gothic Book" w:hAnsi="Franklin Gothic Book"/>
        </w:rPr>
        <w:t>French</w:t>
      </w:r>
      <w:r w:rsidRPr="001B4DDB">
        <w:rPr>
          <w:rFonts w:ascii="Franklin Gothic Book" w:hAnsi="Franklin Gothic Book"/>
        </w:rPr>
        <w:t xml:space="preserve"> study, there was an overall reduction in uptake of chemotherapy</w:t>
      </w:r>
      <w:r w:rsidR="007E3316" w:rsidRPr="001B4DDB">
        <w:rPr>
          <w:rFonts w:ascii="Franklin Gothic Book" w:hAnsi="Franklin Gothic Book"/>
        </w:rPr>
        <w:t>, after MTM2 recommendations and patient choice were taken into account</w:t>
      </w:r>
      <w:r w:rsidRPr="001B4DDB">
        <w:rPr>
          <w:rFonts w:ascii="Franklin Gothic Book" w:hAnsi="Franklin Gothic Book"/>
        </w:rPr>
        <w:t>. Fifty-four out of 200 (27.0%) patients had chemotherapy removed from their treatment, and 15 of 200 (7.5%) patients had chemotherapy added to their treatment as a result of their EPclin result</w:t>
      </w:r>
      <w:r w:rsidR="007E3316" w:rsidRPr="001B4DDB">
        <w:rPr>
          <w:rFonts w:ascii="Franklin Gothic Book" w:hAnsi="Franklin Gothic Book"/>
        </w:rPr>
        <w:t xml:space="preserve"> (Penault-Llorca et al, 2020)</w:t>
      </w:r>
      <w:r w:rsidRPr="001B4DDB">
        <w:rPr>
          <w:rFonts w:ascii="Franklin Gothic Book" w:hAnsi="Franklin Gothic Book"/>
        </w:rPr>
        <w:t>.</w:t>
      </w:r>
      <w:r w:rsidR="007E3316" w:rsidRPr="001B4DDB">
        <w:rPr>
          <w:rFonts w:ascii="Franklin Gothic Book" w:hAnsi="Franklin Gothic Book"/>
        </w:rPr>
        <w:t xml:space="preserve"> </w:t>
      </w:r>
      <w:r w:rsidR="006E3962" w:rsidRPr="001B4DDB">
        <w:rPr>
          <w:rFonts w:ascii="Franklin Gothic Book" w:hAnsi="Franklin Gothic Book"/>
        </w:rPr>
        <w:t xml:space="preserve">These proportions compare with 13.5% and 7.0% respectively in the MBS eligible group of the PROSPER study. </w:t>
      </w:r>
      <w:r w:rsidR="009F1B8C" w:rsidRPr="001B4DDB">
        <w:rPr>
          <w:rFonts w:ascii="Franklin Gothic Book" w:hAnsi="Franklin Gothic Book"/>
        </w:rPr>
        <w:t xml:space="preserve">Patient choice reduced the number of changes following </w:t>
      </w:r>
      <w:r w:rsidR="00D50E5C" w:rsidRPr="001B4DDB">
        <w:rPr>
          <w:rFonts w:ascii="Franklin Gothic Book" w:hAnsi="Franklin Gothic Book"/>
        </w:rPr>
        <w:t>EndoPredict</w:t>
      </w:r>
      <w:r w:rsidR="005F1260" w:rsidRPr="005F1260">
        <w:rPr>
          <w:rFonts w:ascii="Franklin Gothic Book" w:hAnsi="Franklin Gothic Book"/>
          <w:vertAlign w:val="superscript"/>
        </w:rPr>
        <w:t>®</w:t>
      </w:r>
      <w:r w:rsidR="009F1B8C" w:rsidRPr="001B4DDB">
        <w:rPr>
          <w:rFonts w:ascii="Franklin Gothic Book" w:hAnsi="Franklin Gothic Book"/>
        </w:rPr>
        <w:t xml:space="preserve"> recommendations. </w:t>
      </w:r>
      <w:r w:rsidR="007E3316" w:rsidRPr="001B4DDB">
        <w:rPr>
          <w:rFonts w:ascii="Franklin Gothic Book" w:hAnsi="Franklin Gothic Book"/>
        </w:rPr>
        <w:t xml:space="preserve">Of the 200 patients, </w:t>
      </w:r>
      <w:r w:rsidR="009F1B8C" w:rsidRPr="001B4DDB">
        <w:rPr>
          <w:rFonts w:ascii="Franklin Gothic Book" w:hAnsi="Franklin Gothic Book"/>
        </w:rPr>
        <w:t>eight (4.0%) opted for no chemotherapy when it was recommended, and one (0.5%) opted to add chemotherapy when it was not recommended following their EPclin result.</w:t>
      </w:r>
    </w:p>
    <w:p w14:paraId="735E6E69" w14:textId="318FD0E7" w:rsidR="00EF607E" w:rsidRPr="001B4DDB" w:rsidRDefault="007E3316" w:rsidP="002056CD">
      <w:pPr>
        <w:rPr>
          <w:rFonts w:ascii="Franklin Gothic Book" w:hAnsi="Franklin Gothic Book"/>
        </w:rPr>
      </w:pPr>
      <w:r w:rsidRPr="001B4DDB">
        <w:rPr>
          <w:rFonts w:ascii="Franklin Gothic Book" w:hAnsi="Franklin Gothic Book"/>
        </w:rPr>
        <w:t xml:space="preserve">In the </w:t>
      </w:r>
      <w:r w:rsidR="00C36FBA" w:rsidRPr="001B4DDB">
        <w:rPr>
          <w:rFonts w:ascii="Franklin Gothic Book" w:hAnsi="Franklin Gothic Book"/>
        </w:rPr>
        <w:t>German</w:t>
      </w:r>
      <w:r w:rsidRPr="001B4DDB">
        <w:rPr>
          <w:rFonts w:ascii="Franklin Gothic Book" w:hAnsi="Franklin Gothic Book"/>
        </w:rPr>
        <w:t xml:space="preserve"> study there was a change in management after treatment recommendations, as a result of patient choices. Of those recommended chemotherapy, 36 of 373 (9.7%) patients refused the recommended chemotherapy, and three of 373 (0.8%) patients decided to undergo chemotherapy when it was not recommended following their EPclin result.</w:t>
      </w:r>
    </w:p>
    <w:p w14:paraId="31E26FA5" w14:textId="77777777" w:rsidR="002056CD" w:rsidRPr="001B4DDB" w:rsidRDefault="002056CD" w:rsidP="00844998">
      <w:pPr>
        <w:keepNext/>
        <w:tabs>
          <w:tab w:val="left" w:pos="720"/>
          <w:tab w:val="left" w:pos="1140"/>
        </w:tabs>
        <w:spacing w:before="240" w:after="120"/>
        <w:rPr>
          <w:rFonts w:ascii="Franklin Gothic Book" w:hAnsi="Franklin Gothic Book"/>
          <w:b/>
          <w:bCs/>
        </w:rPr>
      </w:pPr>
      <w:r w:rsidRPr="001B4DDB">
        <w:rPr>
          <w:rFonts w:ascii="Franklin Gothic Book" w:hAnsi="Franklin Gothic Book"/>
          <w:b/>
          <w:bCs/>
          <w:sz w:val="24"/>
          <w:szCs w:val="24"/>
        </w:rPr>
        <w:t>Health outcomes</w:t>
      </w:r>
    </w:p>
    <w:p w14:paraId="56E1E834" w14:textId="09A314B7" w:rsidR="002056CD" w:rsidRPr="001B4DDB" w:rsidRDefault="00545878" w:rsidP="002056CD">
      <w:pPr>
        <w:rPr>
          <w:rFonts w:ascii="Franklin Gothic Book" w:hAnsi="Franklin Gothic Book"/>
        </w:rPr>
      </w:pPr>
      <w:r>
        <w:rPr>
          <w:rFonts w:ascii="Franklin Gothic Book" w:hAnsi="Franklin Gothic Book"/>
        </w:rPr>
        <w:t>E</w:t>
      </w:r>
      <w:r w:rsidR="002056CD" w:rsidRPr="001B4DDB">
        <w:rPr>
          <w:rFonts w:ascii="Franklin Gothic Book" w:hAnsi="Franklin Gothic Book"/>
        </w:rPr>
        <w:t xml:space="preserve">vidence showing </w:t>
      </w:r>
      <w:r>
        <w:rPr>
          <w:rFonts w:ascii="Franklin Gothic Book" w:hAnsi="Franklin Gothic Book"/>
        </w:rPr>
        <w:t xml:space="preserve">consequences for </w:t>
      </w:r>
      <w:r w:rsidR="002056CD" w:rsidRPr="001B4DDB">
        <w:rPr>
          <w:rFonts w:ascii="Franklin Gothic Book" w:hAnsi="Franklin Gothic Book"/>
        </w:rPr>
        <w:t xml:space="preserve">health outcomes following treatment decisions that were directed by the test results, </w:t>
      </w:r>
      <w:r>
        <w:rPr>
          <w:rFonts w:ascii="Franklin Gothic Book" w:hAnsi="Franklin Gothic Book"/>
        </w:rPr>
        <w:t>w</w:t>
      </w:r>
      <w:r w:rsidR="002056CD" w:rsidRPr="001B4DDB">
        <w:rPr>
          <w:rFonts w:ascii="Franklin Gothic Book" w:hAnsi="Franklin Gothic Book"/>
        </w:rPr>
        <w:t xml:space="preserve">as </w:t>
      </w:r>
      <w:r>
        <w:rPr>
          <w:rFonts w:ascii="Franklin Gothic Book" w:hAnsi="Franklin Gothic Book"/>
        </w:rPr>
        <w:t xml:space="preserve">provided </w:t>
      </w:r>
      <w:r w:rsidR="002056CD" w:rsidRPr="001B4DDB">
        <w:rPr>
          <w:rFonts w:ascii="Franklin Gothic Book" w:hAnsi="Franklin Gothic Book"/>
        </w:rPr>
        <w:t xml:space="preserve">in </w:t>
      </w:r>
      <w:r w:rsidR="002056CD" w:rsidRPr="00545878">
        <w:rPr>
          <w:rFonts w:ascii="Franklin Gothic Book" w:hAnsi="Franklin Gothic Book"/>
          <w:i/>
          <w:iCs/>
        </w:rPr>
        <w:t>Step 4 Association</w:t>
      </w:r>
      <w:r w:rsidR="002056CD" w:rsidRPr="001B4DDB">
        <w:rPr>
          <w:rFonts w:ascii="Franklin Gothic Book" w:hAnsi="Franklin Gothic Book"/>
        </w:rPr>
        <w:t xml:space="preserve"> in the assessment framework (</w:t>
      </w:r>
      <w:r w:rsidR="002056CD" w:rsidRPr="001B4DDB">
        <w:rPr>
          <w:rFonts w:ascii="Franklin Gothic Book" w:hAnsi="Franklin Gothic Book"/>
        </w:rPr>
        <w:fldChar w:fldCharType="begin"/>
      </w:r>
      <w:r w:rsidR="002056CD" w:rsidRPr="001B4DDB">
        <w:rPr>
          <w:rFonts w:ascii="Franklin Gothic Book" w:hAnsi="Franklin Gothic Book"/>
        </w:rPr>
        <w:instrText xml:space="preserve"> REF _Ref100141646 \h </w:instrText>
      </w:r>
      <w:r w:rsidR="001B4DDB">
        <w:rPr>
          <w:rFonts w:ascii="Franklin Gothic Book" w:hAnsi="Franklin Gothic Book"/>
        </w:rPr>
        <w:instrText xml:space="preserve"> \* MERGEFORMAT </w:instrText>
      </w:r>
      <w:r w:rsidR="002056CD" w:rsidRPr="001B4DDB">
        <w:rPr>
          <w:rFonts w:ascii="Franklin Gothic Book" w:hAnsi="Franklin Gothic Book"/>
        </w:rPr>
      </w:r>
      <w:r w:rsidR="002056CD" w:rsidRPr="001B4DDB">
        <w:rPr>
          <w:rFonts w:ascii="Franklin Gothic Book" w:hAnsi="Franklin Gothic Book"/>
        </w:rPr>
        <w:fldChar w:fldCharType="separate"/>
      </w:r>
      <w:r w:rsidR="00943826" w:rsidRPr="00943826">
        <w:rPr>
          <w:rFonts w:ascii="Franklin Gothic Book" w:hAnsi="Franklin Gothic Book"/>
        </w:rPr>
        <w:t>Figure</w:t>
      </w:r>
      <w:r w:rsidR="00943826">
        <w:t xml:space="preserve"> </w:t>
      </w:r>
      <w:r w:rsidR="00943826">
        <w:rPr>
          <w:noProof/>
        </w:rPr>
        <w:t>7</w:t>
      </w:r>
      <w:r w:rsidR="002056CD" w:rsidRPr="001B4DDB">
        <w:rPr>
          <w:rFonts w:ascii="Franklin Gothic Book" w:hAnsi="Franklin Gothic Book"/>
        </w:rPr>
        <w:fldChar w:fldCharType="end"/>
      </w:r>
      <w:r w:rsidR="002056CD" w:rsidRPr="001B4DDB">
        <w:rPr>
          <w:rFonts w:ascii="Franklin Gothic Book" w:hAnsi="Franklin Gothic Book"/>
        </w:rPr>
        <w:t>).</w:t>
      </w:r>
    </w:p>
    <w:p w14:paraId="3395F5DF" w14:textId="77777777" w:rsidR="002056CD" w:rsidRDefault="002056CD" w:rsidP="002056CD">
      <w:r>
        <w:rPr>
          <w:noProof/>
          <w:lang w:eastAsia="en-AU"/>
        </w:rPr>
        <w:lastRenderedPageBreak/>
        <w:drawing>
          <wp:inline distT="0" distB="0" distL="0" distR="0" wp14:anchorId="407B2F17" wp14:editId="00AC10E2">
            <wp:extent cx="5638800" cy="2070350"/>
            <wp:effectExtent l="0" t="0" r="0" b="6350"/>
            <wp:docPr id="23" name="Picture 23" descr="Linked evidence assessmen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inked evidence assessment framework"/>
                    <pic:cNvPicPr/>
                  </pic:nvPicPr>
                  <pic:blipFill>
                    <a:blip r:embed="rId17"/>
                    <a:stretch>
                      <a:fillRect/>
                    </a:stretch>
                  </pic:blipFill>
                  <pic:spPr>
                    <a:xfrm>
                      <a:off x="0" y="0"/>
                      <a:ext cx="5649448" cy="2074259"/>
                    </a:xfrm>
                    <a:prstGeom prst="rect">
                      <a:avLst/>
                    </a:prstGeom>
                  </pic:spPr>
                </pic:pic>
              </a:graphicData>
            </a:graphic>
          </wp:inline>
        </w:drawing>
      </w:r>
    </w:p>
    <w:p w14:paraId="1B0643D5" w14:textId="2552FE79" w:rsidR="002056CD" w:rsidRDefault="002056CD" w:rsidP="002056CD">
      <w:pPr>
        <w:pStyle w:val="Caption"/>
      </w:pPr>
      <w:bookmarkStart w:id="49" w:name="_Ref100141646"/>
      <w:r>
        <w:t xml:space="preserve">Figure </w:t>
      </w:r>
      <w:fldSimple w:instr=" SEQ Figure_COM. \* ARABIC ">
        <w:r w:rsidR="00943826">
          <w:rPr>
            <w:noProof/>
          </w:rPr>
          <w:t>7</w:t>
        </w:r>
      </w:fldSimple>
      <w:bookmarkEnd w:id="49"/>
      <w:r>
        <w:tab/>
        <w:t>Linked evidence assessment framework</w:t>
      </w:r>
    </w:p>
    <w:p w14:paraId="6D8C2BFD" w14:textId="6F888E32" w:rsidR="002056CD" w:rsidRPr="001B4DDB" w:rsidRDefault="009312CE" w:rsidP="001B4DDB">
      <w:pPr>
        <w:spacing w:before="360"/>
        <w:rPr>
          <w:rFonts w:ascii="Franklin Gothic Book" w:hAnsi="Franklin Gothic Book"/>
        </w:rPr>
      </w:pPr>
      <w:r>
        <w:rPr>
          <w:rFonts w:ascii="Franklin Gothic Book" w:hAnsi="Franklin Gothic Book"/>
        </w:rPr>
        <w:t>The health o</w:t>
      </w:r>
      <w:r w:rsidR="002056CD" w:rsidRPr="001B4DDB">
        <w:rPr>
          <w:rFonts w:ascii="Franklin Gothic Book" w:hAnsi="Franklin Gothic Book"/>
        </w:rPr>
        <w:t xml:space="preserve">utcomes </w:t>
      </w:r>
      <w:r>
        <w:rPr>
          <w:rFonts w:ascii="Franklin Gothic Book" w:hAnsi="Franklin Gothic Book"/>
        </w:rPr>
        <w:t>repo</w:t>
      </w:r>
      <w:r w:rsidR="00656E94">
        <w:rPr>
          <w:rFonts w:ascii="Franklin Gothic Book" w:hAnsi="Franklin Gothic Book"/>
        </w:rPr>
        <w:t>r</w:t>
      </w:r>
      <w:r>
        <w:rPr>
          <w:rFonts w:ascii="Franklin Gothic Book" w:hAnsi="Franklin Gothic Book"/>
        </w:rPr>
        <w:t xml:space="preserve">ted </w:t>
      </w:r>
      <w:r w:rsidR="002056CD" w:rsidRPr="001B4DDB">
        <w:rPr>
          <w:rFonts w:ascii="Franklin Gothic Book" w:hAnsi="Franklin Gothic Book"/>
        </w:rPr>
        <w:t xml:space="preserve">include recurrence and survival rates following treatment directed by EPclin, and psychological impact of </w:t>
      </w:r>
      <w:r w:rsidR="00D50E5C" w:rsidRPr="001B4DDB">
        <w:rPr>
          <w:rFonts w:ascii="Franklin Gothic Book" w:hAnsi="Franklin Gothic Book"/>
        </w:rPr>
        <w:t>EndoPredict</w:t>
      </w:r>
      <w:r w:rsidR="005F1260" w:rsidRPr="005F1260">
        <w:rPr>
          <w:rFonts w:ascii="Franklin Gothic Book" w:hAnsi="Franklin Gothic Book"/>
          <w:vertAlign w:val="superscript"/>
        </w:rPr>
        <w:t>®</w:t>
      </w:r>
      <w:r w:rsidR="002056CD" w:rsidRPr="001B4DDB">
        <w:rPr>
          <w:rFonts w:ascii="Franklin Gothic Book" w:hAnsi="Franklin Gothic Book"/>
        </w:rPr>
        <w:t>.</w:t>
      </w:r>
    </w:p>
    <w:p w14:paraId="35807362" w14:textId="7D2F697B" w:rsidR="002056CD" w:rsidRPr="001B4DDB" w:rsidRDefault="002056CD" w:rsidP="002056CD">
      <w:pPr>
        <w:pStyle w:val="Heading4"/>
        <w:rPr>
          <w:rFonts w:ascii="Franklin Gothic Book" w:hAnsi="Franklin Gothic Book"/>
        </w:rPr>
      </w:pPr>
      <w:r w:rsidRPr="001B4DDB">
        <w:rPr>
          <w:rFonts w:ascii="Franklin Gothic Book" w:hAnsi="Franklin Gothic Book"/>
        </w:rPr>
        <w:t xml:space="preserve">Disease free survival following treatment decision using </w:t>
      </w:r>
      <w:r w:rsidR="00D50E5C" w:rsidRPr="001B4DDB">
        <w:rPr>
          <w:rFonts w:ascii="Franklin Gothic Book" w:hAnsi="Franklin Gothic Book"/>
        </w:rPr>
        <w:t>EndoPredict</w:t>
      </w:r>
      <w:r w:rsidR="005F1260" w:rsidRPr="005F1260">
        <w:rPr>
          <w:rFonts w:ascii="Franklin Gothic Book" w:hAnsi="Franklin Gothic Book"/>
          <w:vertAlign w:val="superscript"/>
        </w:rPr>
        <w:t>®</w:t>
      </w:r>
    </w:p>
    <w:p w14:paraId="1BD754CA" w14:textId="0673BBDC" w:rsidR="002056CD" w:rsidRPr="001B4DDB" w:rsidRDefault="002056CD" w:rsidP="002056CD">
      <w:pPr>
        <w:rPr>
          <w:rFonts w:ascii="Franklin Gothic Book" w:hAnsi="Franklin Gothic Book"/>
        </w:rPr>
      </w:pPr>
      <w:r w:rsidRPr="001B4DDB">
        <w:rPr>
          <w:rFonts w:ascii="Franklin Gothic Book" w:hAnsi="Franklin Gothic Book"/>
        </w:rPr>
        <w:t xml:space="preserve">Treatment benefit was reported in Ettl et al (2020) in EPclin risk subgroups at a 3-year follow-up time point. Ettl et al reported outcomes for a </w:t>
      </w:r>
      <w:r w:rsidR="0046241A" w:rsidRPr="001B4DDB">
        <w:rPr>
          <w:rFonts w:ascii="Franklin Gothic Book" w:hAnsi="Franklin Gothic Book"/>
        </w:rPr>
        <w:t xml:space="preserve">case series </w:t>
      </w:r>
      <w:r w:rsidRPr="001B4DDB">
        <w:rPr>
          <w:rFonts w:ascii="Franklin Gothic Book" w:hAnsi="Franklin Gothic Book"/>
        </w:rPr>
        <w:t>of breast cancer patients whose treatment was directed by their EPclin score.</w:t>
      </w:r>
    </w:p>
    <w:p w14:paraId="2EDC8939" w14:textId="602F68EC" w:rsidR="002056CD" w:rsidRPr="001B4DDB" w:rsidRDefault="002056CD" w:rsidP="002056CD">
      <w:pPr>
        <w:rPr>
          <w:rFonts w:ascii="Franklin Gothic Book" w:hAnsi="Franklin Gothic Book"/>
        </w:rPr>
      </w:pPr>
      <w:r w:rsidRPr="001B4DDB">
        <w:rPr>
          <w:rFonts w:ascii="Franklin Gothic Book" w:hAnsi="Franklin Gothic Book"/>
        </w:rPr>
        <w:t>In the high</w:t>
      </w:r>
      <w:r w:rsidR="00077D16">
        <w:rPr>
          <w:rFonts w:ascii="Franklin Gothic Book" w:hAnsi="Franklin Gothic Book"/>
        </w:rPr>
        <w:t>-</w:t>
      </w:r>
      <w:r w:rsidRPr="001B4DDB">
        <w:rPr>
          <w:rFonts w:ascii="Franklin Gothic Book" w:hAnsi="Franklin Gothic Book"/>
        </w:rPr>
        <w:t xml:space="preserve">risk group </w:t>
      </w:r>
      <w:r w:rsidR="0046241A" w:rsidRPr="001B4DDB">
        <w:rPr>
          <w:rFonts w:ascii="Franklin Gothic Book" w:hAnsi="Franklin Gothic Book"/>
        </w:rPr>
        <w:t xml:space="preserve">(those with EPclin score over 3.3) </w:t>
      </w:r>
      <w:r w:rsidRPr="001B4DDB">
        <w:rPr>
          <w:rFonts w:ascii="Franklin Gothic Book" w:hAnsi="Franklin Gothic Book"/>
        </w:rPr>
        <w:t>the 3-year disease free survival (DFS) and distant metastasis-free survival (DMFS) were 94.9% (95%CI 90.9</w:t>
      </w:r>
      <w:r w:rsidR="00601B11" w:rsidRPr="001B4DDB">
        <w:rPr>
          <w:rFonts w:ascii="Franklin Gothic Book" w:hAnsi="Franklin Gothic Book"/>
        </w:rPr>
        <w:t>%</w:t>
      </w:r>
      <w:r w:rsidRPr="001B4DDB">
        <w:rPr>
          <w:rFonts w:ascii="Franklin Gothic Book" w:hAnsi="Franklin Gothic Book"/>
        </w:rPr>
        <w:t>, 99.0%) and 97.6% (95%CI 95.0</w:t>
      </w:r>
      <w:r w:rsidR="00601B11" w:rsidRPr="001B4DDB">
        <w:rPr>
          <w:rFonts w:ascii="Franklin Gothic Book" w:hAnsi="Franklin Gothic Book"/>
        </w:rPr>
        <w:t>%</w:t>
      </w:r>
      <w:r w:rsidRPr="001B4DDB">
        <w:rPr>
          <w:rFonts w:ascii="Franklin Gothic Book" w:hAnsi="Franklin Gothic Book"/>
        </w:rPr>
        <w:t xml:space="preserve">, 100%) respectively. The </w:t>
      </w:r>
      <w:r w:rsidR="00EF6682" w:rsidRPr="001B4DDB">
        <w:rPr>
          <w:rFonts w:ascii="Franklin Gothic Book" w:hAnsi="Franklin Gothic Book"/>
        </w:rPr>
        <w:t>hazard ratio (</w:t>
      </w:r>
      <w:r w:rsidRPr="001B4DDB">
        <w:rPr>
          <w:rFonts w:ascii="Franklin Gothic Book" w:hAnsi="Franklin Gothic Book"/>
        </w:rPr>
        <w:t>HR</w:t>
      </w:r>
      <w:r w:rsidR="00EF6682" w:rsidRPr="001B4DDB">
        <w:rPr>
          <w:rFonts w:ascii="Franklin Gothic Book" w:hAnsi="Franklin Gothic Book"/>
        </w:rPr>
        <w:t>)</w:t>
      </w:r>
      <w:r w:rsidRPr="001B4DDB">
        <w:rPr>
          <w:rFonts w:ascii="Franklin Gothic Book" w:hAnsi="Franklin Gothic Book"/>
        </w:rPr>
        <w:t xml:space="preserve"> for DR in the high-risk group was significantly higher </w:t>
      </w:r>
      <w:r w:rsidR="00BF3B7A" w:rsidRPr="001B4DDB">
        <w:rPr>
          <w:rFonts w:ascii="Franklin Gothic Book" w:hAnsi="Franklin Gothic Book"/>
        </w:rPr>
        <w:t xml:space="preserve">compared to </w:t>
      </w:r>
      <w:r w:rsidRPr="001B4DDB">
        <w:rPr>
          <w:rFonts w:ascii="Franklin Gothic Book" w:hAnsi="Franklin Gothic Book"/>
        </w:rPr>
        <w:t>that in the low-risk group (HR 5.18; 95%CI 1.04, 25.74; p=0.0443)</w:t>
      </w:r>
      <w:r w:rsidR="0046241A" w:rsidRPr="001B4DDB">
        <w:rPr>
          <w:rFonts w:ascii="Franklin Gothic Book" w:hAnsi="Franklin Gothic Book"/>
        </w:rPr>
        <w:t xml:space="preserve"> (i.e. the adjuvant chemotherapy used did not </w:t>
      </w:r>
      <w:r w:rsidR="00BF3B7A" w:rsidRPr="001B4DDB">
        <w:rPr>
          <w:rFonts w:ascii="Franklin Gothic Book" w:hAnsi="Franklin Gothic Book"/>
        </w:rPr>
        <w:t xml:space="preserve">completely </w:t>
      </w:r>
      <w:r w:rsidR="0046241A" w:rsidRPr="001B4DDB">
        <w:rPr>
          <w:rFonts w:ascii="Franklin Gothic Book" w:hAnsi="Franklin Gothic Book"/>
        </w:rPr>
        <w:t>compensate for the higher baseline risk of DR)</w:t>
      </w:r>
      <w:r w:rsidRPr="001B4DDB">
        <w:rPr>
          <w:rFonts w:ascii="Franklin Gothic Book" w:hAnsi="Franklin Gothic Book"/>
        </w:rPr>
        <w:t>.</w:t>
      </w:r>
    </w:p>
    <w:p w14:paraId="5D892041" w14:textId="06FBBAF7" w:rsidR="002056CD" w:rsidRPr="001B4DDB" w:rsidRDefault="002056CD" w:rsidP="002056CD">
      <w:pPr>
        <w:rPr>
          <w:rFonts w:ascii="Franklin Gothic Book" w:hAnsi="Franklin Gothic Book"/>
        </w:rPr>
      </w:pPr>
      <w:r w:rsidRPr="001B4DDB">
        <w:rPr>
          <w:rFonts w:ascii="Franklin Gothic Book" w:hAnsi="Franklin Gothic Book"/>
        </w:rPr>
        <w:t>In the low</w:t>
      </w:r>
      <w:r w:rsidR="00077D16">
        <w:rPr>
          <w:rFonts w:ascii="Franklin Gothic Book" w:hAnsi="Franklin Gothic Book"/>
        </w:rPr>
        <w:t>-</w:t>
      </w:r>
      <w:r w:rsidRPr="001B4DDB">
        <w:rPr>
          <w:rFonts w:ascii="Franklin Gothic Book" w:hAnsi="Franklin Gothic Book"/>
        </w:rPr>
        <w:t>risk group the DFS and DMFS were 96.6% (95%CI 94.2</w:t>
      </w:r>
      <w:r w:rsidR="00601B11" w:rsidRPr="001B4DDB">
        <w:rPr>
          <w:rFonts w:ascii="Franklin Gothic Book" w:hAnsi="Franklin Gothic Book"/>
        </w:rPr>
        <w:t>%</w:t>
      </w:r>
      <w:r w:rsidRPr="001B4DDB">
        <w:rPr>
          <w:rFonts w:ascii="Franklin Gothic Book" w:hAnsi="Franklin Gothic Book"/>
        </w:rPr>
        <w:t>, 99.1%) and 99.6% (95%CI 98.7</w:t>
      </w:r>
      <w:r w:rsidR="00601B11" w:rsidRPr="001B4DDB">
        <w:rPr>
          <w:rFonts w:ascii="Franklin Gothic Book" w:hAnsi="Franklin Gothic Book"/>
        </w:rPr>
        <w:t>%</w:t>
      </w:r>
      <w:r w:rsidRPr="001B4DDB">
        <w:rPr>
          <w:rFonts w:ascii="Franklin Gothic Book" w:hAnsi="Franklin Gothic Book"/>
        </w:rPr>
        <w:t>, 100%) respectively. Authors claimed the data supports the argument that EPclin low-risk patients can safely avoid chemotherapy.</w:t>
      </w:r>
    </w:p>
    <w:p w14:paraId="70A74191" w14:textId="0E6871E4" w:rsidR="002056CD" w:rsidRPr="001B4DDB" w:rsidRDefault="0046241A" w:rsidP="002056CD">
      <w:pPr>
        <w:rPr>
          <w:rFonts w:ascii="Franklin Gothic Book" w:hAnsi="Franklin Gothic Book"/>
        </w:rPr>
      </w:pPr>
      <w:r w:rsidRPr="001B4DDB">
        <w:rPr>
          <w:rFonts w:ascii="Franklin Gothic Book" w:hAnsi="Franklin Gothic Book"/>
        </w:rPr>
        <w:t>Although all patients received EPclin, a comparison was made in the EPclin high</w:t>
      </w:r>
      <w:r w:rsidR="00077D16">
        <w:rPr>
          <w:rFonts w:ascii="Franklin Gothic Book" w:hAnsi="Franklin Gothic Book"/>
        </w:rPr>
        <w:t>-</w:t>
      </w:r>
      <w:r w:rsidRPr="001B4DDB">
        <w:rPr>
          <w:rFonts w:ascii="Franklin Gothic Book" w:hAnsi="Franklin Gothic Book"/>
        </w:rPr>
        <w:t>risk group between those who followed recommendation to undergo chemotherapy, versus those who chose not to under</w:t>
      </w:r>
      <w:r w:rsidR="001D2403" w:rsidRPr="001B4DDB">
        <w:rPr>
          <w:rFonts w:ascii="Franklin Gothic Book" w:hAnsi="Franklin Gothic Book"/>
        </w:rPr>
        <w:t xml:space="preserve">take the recommended </w:t>
      </w:r>
      <w:r w:rsidR="002D5D87" w:rsidRPr="001B4DDB">
        <w:rPr>
          <w:rFonts w:ascii="Franklin Gothic Book" w:hAnsi="Franklin Gothic Book"/>
        </w:rPr>
        <w:t>chemotherapy. The</w:t>
      </w:r>
      <w:r w:rsidR="002056CD" w:rsidRPr="001B4DDB">
        <w:rPr>
          <w:rFonts w:ascii="Franklin Gothic Book" w:hAnsi="Franklin Gothic Book"/>
        </w:rPr>
        <w:t xml:space="preserve"> authors found that for EPclin high</w:t>
      </w:r>
      <w:r w:rsidR="00077D16">
        <w:rPr>
          <w:rFonts w:ascii="Franklin Gothic Book" w:hAnsi="Franklin Gothic Book"/>
        </w:rPr>
        <w:t>-</w:t>
      </w:r>
      <w:r w:rsidR="002056CD" w:rsidRPr="001B4DDB">
        <w:rPr>
          <w:rFonts w:ascii="Franklin Gothic Book" w:hAnsi="Franklin Gothic Book"/>
        </w:rPr>
        <w:t>risk patients who underwent chemotherapy, there was a 68% reduction in relapse, compared to those who decided not to undertake the recommended chemotherapy (HR 0.32; 95%CI 0.10, 1.05; p=0.061). Although this outcome is a positive indicator of the effectiveness of EPclin risk allocation, the result did not reach statistical significance</w:t>
      </w:r>
      <w:r w:rsidR="001D2403" w:rsidRPr="001B4DDB">
        <w:rPr>
          <w:rFonts w:ascii="Franklin Gothic Book" w:hAnsi="Franklin Gothic Book"/>
        </w:rPr>
        <w:t xml:space="preserve"> (likely due to the small sample size, as only 36 patients did not receive the recommended adjuvant chemotherapy)</w:t>
      </w:r>
      <w:r w:rsidR="002056CD" w:rsidRPr="001B4DDB">
        <w:rPr>
          <w:rFonts w:ascii="Franklin Gothic Book" w:hAnsi="Franklin Gothic Book"/>
        </w:rPr>
        <w:t>. The data were only collected for a median follow-up period of 41.9 months (&lt;5 years) so the difference in late DR between high</w:t>
      </w:r>
      <w:r w:rsidR="00077D16">
        <w:rPr>
          <w:rFonts w:ascii="Franklin Gothic Book" w:hAnsi="Franklin Gothic Book"/>
        </w:rPr>
        <w:t>-</w:t>
      </w:r>
      <w:r w:rsidR="002056CD" w:rsidRPr="001B4DDB">
        <w:rPr>
          <w:rFonts w:ascii="Franklin Gothic Book" w:hAnsi="Franklin Gothic Book"/>
        </w:rPr>
        <w:t>risk groups cannot yet be determined (</w:t>
      </w:r>
      <w:r w:rsidR="002056CD" w:rsidRPr="001B4DDB">
        <w:rPr>
          <w:rFonts w:ascii="Franklin Gothic Book" w:hAnsi="Franklin Gothic Book"/>
        </w:rPr>
        <w:fldChar w:fldCharType="begin"/>
      </w:r>
      <w:r w:rsidR="002056CD" w:rsidRPr="001B4DDB">
        <w:rPr>
          <w:rFonts w:ascii="Franklin Gothic Book" w:hAnsi="Franklin Gothic Book"/>
        </w:rPr>
        <w:instrText xml:space="preserve"> REF _Ref100141677 \h </w:instrText>
      </w:r>
      <w:r w:rsidR="001B4DDB">
        <w:rPr>
          <w:rFonts w:ascii="Franklin Gothic Book" w:hAnsi="Franklin Gothic Book"/>
        </w:rPr>
        <w:instrText xml:space="preserve"> \* MERGEFORMAT </w:instrText>
      </w:r>
      <w:r w:rsidR="002056CD" w:rsidRPr="001B4DDB">
        <w:rPr>
          <w:rFonts w:ascii="Franklin Gothic Book" w:hAnsi="Franklin Gothic Book"/>
        </w:rPr>
      </w:r>
      <w:r w:rsidR="002056CD" w:rsidRPr="001B4DDB">
        <w:rPr>
          <w:rFonts w:ascii="Franklin Gothic Book" w:hAnsi="Franklin Gothic Book"/>
        </w:rPr>
        <w:fldChar w:fldCharType="separate"/>
      </w:r>
      <w:r w:rsidR="00943826" w:rsidRPr="00943826">
        <w:rPr>
          <w:rFonts w:ascii="Franklin Gothic Book" w:hAnsi="Franklin Gothic Book"/>
        </w:rPr>
        <w:t xml:space="preserve">Figure </w:t>
      </w:r>
      <w:r w:rsidR="00943826" w:rsidRPr="00943826">
        <w:rPr>
          <w:rFonts w:ascii="Franklin Gothic Book" w:hAnsi="Franklin Gothic Book"/>
          <w:noProof/>
        </w:rPr>
        <w:t>8</w:t>
      </w:r>
      <w:r w:rsidR="002056CD" w:rsidRPr="001B4DDB">
        <w:rPr>
          <w:rFonts w:ascii="Franklin Gothic Book" w:hAnsi="Franklin Gothic Book"/>
        </w:rPr>
        <w:fldChar w:fldCharType="end"/>
      </w:r>
      <w:r w:rsidR="002056CD" w:rsidRPr="001B4DDB">
        <w:rPr>
          <w:rFonts w:ascii="Franklin Gothic Book" w:hAnsi="Franklin Gothic Book"/>
        </w:rPr>
        <w:t>).</w:t>
      </w:r>
    </w:p>
    <w:p w14:paraId="5B8B3D5A" w14:textId="1835576C" w:rsidR="002056CD" w:rsidRPr="001B4DDB" w:rsidRDefault="002056CD" w:rsidP="002056CD">
      <w:pPr>
        <w:rPr>
          <w:rFonts w:ascii="Franklin Gothic Book" w:hAnsi="Franklin Gothic Book"/>
        </w:rPr>
      </w:pPr>
      <w:r w:rsidRPr="001B4DDB">
        <w:rPr>
          <w:rFonts w:ascii="Franklin Gothic Book" w:hAnsi="Franklin Gothic Book"/>
        </w:rPr>
        <w:t xml:space="preserve">As none of the </w:t>
      </w:r>
      <w:r w:rsidR="001D2403" w:rsidRPr="001B4DDB">
        <w:rPr>
          <w:rFonts w:ascii="Franklin Gothic Book" w:hAnsi="Franklin Gothic Book"/>
        </w:rPr>
        <w:t xml:space="preserve">EPclin </w:t>
      </w:r>
      <w:r w:rsidRPr="001B4DDB">
        <w:rPr>
          <w:rFonts w:ascii="Franklin Gothic Book" w:hAnsi="Franklin Gothic Book"/>
        </w:rPr>
        <w:t>low</w:t>
      </w:r>
      <w:r w:rsidR="00077D16">
        <w:rPr>
          <w:rFonts w:ascii="Franklin Gothic Book" w:hAnsi="Franklin Gothic Book"/>
        </w:rPr>
        <w:t>-</w:t>
      </w:r>
      <w:r w:rsidRPr="001B4DDB">
        <w:rPr>
          <w:rFonts w:ascii="Franklin Gothic Book" w:hAnsi="Franklin Gothic Book"/>
        </w:rPr>
        <w:t>risk group were given chemotherapy, a comparison of DMFS and DFS between EPclin high</w:t>
      </w:r>
      <w:r w:rsidR="00077D16">
        <w:rPr>
          <w:rFonts w:ascii="Franklin Gothic Book" w:hAnsi="Franklin Gothic Book"/>
        </w:rPr>
        <w:t>-</w:t>
      </w:r>
      <w:r w:rsidRPr="001B4DDB">
        <w:rPr>
          <w:rFonts w:ascii="Franklin Gothic Book" w:hAnsi="Franklin Gothic Book"/>
        </w:rPr>
        <w:t xml:space="preserve"> and low</w:t>
      </w:r>
      <w:r w:rsidR="00077D16">
        <w:rPr>
          <w:rFonts w:ascii="Franklin Gothic Book" w:hAnsi="Franklin Gothic Book"/>
        </w:rPr>
        <w:t>-</w:t>
      </w:r>
      <w:r w:rsidRPr="001B4DDB">
        <w:rPr>
          <w:rFonts w:ascii="Franklin Gothic Book" w:hAnsi="Franklin Gothic Book"/>
        </w:rPr>
        <w:t xml:space="preserve">risk groups who were given or withheld from chemotherapy cannot be conducted so a predictive </w:t>
      </w:r>
      <w:r w:rsidR="003A6E9E">
        <w:rPr>
          <w:rFonts w:ascii="Franklin Gothic Book" w:hAnsi="Franklin Gothic Book"/>
        </w:rPr>
        <w:t>value</w:t>
      </w:r>
      <w:r w:rsidRPr="001B4DDB">
        <w:rPr>
          <w:rFonts w:ascii="Franklin Gothic Book" w:hAnsi="Franklin Gothic Book"/>
        </w:rPr>
        <w:t xml:space="preserve"> cannot be shown. The study cohort was not specifically intermediate risk prior to EPclin, the applicability of the results to the Australian early breast cancer population is uncertain.</w:t>
      </w:r>
      <w:r w:rsidR="001D2403" w:rsidRPr="001B4DDB">
        <w:rPr>
          <w:rFonts w:ascii="Franklin Gothic Book" w:hAnsi="Franklin Gothic Book"/>
        </w:rPr>
        <w:t xml:space="preserve"> Furthermore, </w:t>
      </w:r>
      <w:r w:rsidR="002D5D87" w:rsidRPr="001B4DDB">
        <w:rPr>
          <w:rFonts w:ascii="Franklin Gothic Book" w:hAnsi="Franklin Gothic Book"/>
        </w:rPr>
        <w:t>given</w:t>
      </w:r>
      <w:r w:rsidR="001D2403" w:rsidRPr="001B4DDB">
        <w:rPr>
          <w:rFonts w:ascii="Franklin Gothic Book" w:hAnsi="Franklin Gothic Book"/>
        </w:rPr>
        <w:t xml:space="preserve"> all patients received EPclin, no comparisons can be made against likely health outcomes resulting from not using EPclin.</w:t>
      </w:r>
    </w:p>
    <w:p w14:paraId="07BD9245" w14:textId="77777777" w:rsidR="002056CD" w:rsidRDefault="002056CD" w:rsidP="002056CD">
      <w:pPr>
        <w:keepNext/>
      </w:pPr>
      <w:r>
        <w:rPr>
          <w:noProof/>
          <w:lang w:eastAsia="en-AU"/>
        </w:rPr>
        <w:lastRenderedPageBreak/>
        <w:drawing>
          <wp:inline distT="0" distB="0" distL="0" distR="0" wp14:anchorId="7BB3555D" wp14:editId="7F53804F">
            <wp:extent cx="3381375" cy="2967204"/>
            <wp:effectExtent l="0" t="0" r="0" b="5080"/>
            <wp:docPr id="21" name="Picture 21" descr="Kaplan-Meier estimates of DFS of EPclin high-risk patients of those who received adjuvant chemotherapy, and for those who were not compliant with recommended chem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Kaplan-Meier estimates of DFS of EPclin high-risk patients of those who received adjuvant chemotherapy, and for those who were not compliant with recommended chemotherapy"/>
                    <pic:cNvPicPr/>
                  </pic:nvPicPr>
                  <pic:blipFill>
                    <a:blip r:embed="rId18"/>
                    <a:stretch>
                      <a:fillRect/>
                    </a:stretch>
                  </pic:blipFill>
                  <pic:spPr>
                    <a:xfrm>
                      <a:off x="0" y="0"/>
                      <a:ext cx="3410420" cy="2992691"/>
                    </a:xfrm>
                    <a:prstGeom prst="rect">
                      <a:avLst/>
                    </a:prstGeom>
                  </pic:spPr>
                </pic:pic>
              </a:graphicData>
            </a:graphic>
          </wp:inline>
        </w:drawing>
      </w:r>
    </w:p>
    <w:p w14:paraId="0EA11C1D" w14:textId="64B0AD43" w:rsidR="002056CD" w:rsidRDefault="002056CD" w:rsidP="00077D16">
      <w:pPr>
        <w:pStyle w:val="Caption"/>
        <w:spacing w:after="0"/>
      </w:pPr>
      <w:bookmarkStart w:id="50" w:name="_Ref100141677"/>
      <w:r>
        <w:t xml:space="preserve">Figure </w:t>
      </w:r>
      <w:fldSimple w:instr=" SEQ Figure_COM. \* ARABIC ">
        <w:r w:rsidR="00943826">
          <w:rPr>
            <w:noProof/>
          </w:rPr>
          <w:t>8</w:t>
        </w:r>
      </w:fldSimple>
      <w:bookmarkEnd w:id="50"/>
      <w:r>
        <w:tab/>
        <w:t>Kaplan-Meier estimates of DFS of EPclin high-risk patients of those who received adjuvant chemotherapy, and for those who were not compliant with recommended chemotherapy</w:t>
      </w:r>
    </w:p>
    <w:p w14:paraId="55C03D1B" w14:textId="566C219A" w:rsidR="002056CD" w:rsidRDefault="002056CD" w:rsidP="00077D16">
      <w:pPr>
        <w:pStyle w:val="Tablenotes0"/>
        <w:keepNext/>
        <w:spacing w:before="0"/>
      </w:pPr>
      <w:r>
        <w:t>CTX = chemotherapy; DFS = disease free survival; HR = hazard ratio</w:t>
      </w:r>
      <w:r w:rsidR="000F0726">
        <w:t>.</w:t>
      </w:r>
    </w:p>
    <w:p w14:paraId="4AF513F8" w14:textId="52296585" w:rsidR="002056CD" w:rsidRDefault="002056CD" w:rsidP="002056CD">
      <w:pPr>
        <w:pStyle w:val="Tablenotes0"/>
      </w:pPr>
      <w:r>
        <w:t>Source: Ettl et al 2020</w:t>
      </w:r>
    </w:p>
    <w:p w14:paraId="370BDECC" w14:textId="1EEE9829" w:rsidR="002056CD" w:rsidRPr="001B4DDB" w:rsidRDefault="002056CD" w:rsidP="002056CD">
      <w:pPr>
        <w:pStyle w:val="Heading4"/>
        <w:rPr>
          <w:rFonts w:ascii="Franklin Gothic Book" w:hAnsi="Franklin Gothic Book"/>
        </w:rPr>
      </w:pPr>
      <w:r w:rsidRPr="001B4DDB">
        <w:rPr>
          <w:rFonts w:ascii="Franklin Gothic Book" w:hAnsi="Franklin Gothic Book"/>
        </w:rPr>
        <w:t xml:space="preserve">Psychological impact of </w:t>
      </w:r>
      <w:r w:rsidR="00D50E5C" w:rsidRPr="001B4DDB">
        <w:rPr>
          <w:rFonts w:ascii="Franklin Gothic Book" w:hAnsi="Franklin Gothic Book"/>
        </w:rPr>
        <w:t>EndoPredict</w:t>
      </w:r>
      <w:r w:rsidR="005F1260" w:rsidRPr="005F1260">
        <w:rPr>
          <w:rFonts w:ascii="Franklin Gothic Book" w:hAnsi="Franklin Gothic Book"/>
          <w:vertAlign w:val="superscript"/>
        </w:rPr>
        <w:t>®</w:t>
      </w:r>
    </w:p>
    <w:p w14:paraId="5D6EF972" w14:textId="425015C4" w:rsidR="002056CD" w:rsidRPr="001B4DDB" w:rsidRDefault="002056CD" w:rsidP="002056CD">
      <w:pPr>
        <w:rPr>
          <w:rFonts w:ascii="Franklin Gothic Book" w:hAnsi="Franklin Gothic Book"/>
        </w:rPr>
      </w:pPr>
      <w:r w:rsidRPr="001B4DDB">
        <w:rPr>
          <w:rFonts w:ascii="Franklin Gothic Book" w:hAnsi="Franklin Gothic Book"/>
        </w:rPr>
        <w:t>Penault-Llorca et al (2020) provided change in management evidence for patients who met the criteria of grade 2, or grade 3 and pT &lt;2</w:t>
      </w:r>
      <w:r w:rsidR="00877150">
        <w:rPr>
          <w:rFonts w:ascii="Franklin Gothic Book" w:hAnsi="Franklin Gothic Book"/>
        </w:rPr>
        <w:t> </w:t>
      </w:r>
      <w:r w:rsidRPr="001B4DDB">
        <w:rPr>
          <w:rFonts w:ascii="Franklin Gothic Book" w:hAnsi="Franklin Gothic Book"/>
        </w:rPr>
        <w:t xml:space="preserve">cm, or lobular histology, based on current guidelines. This patient cohort more closely aligns with the likely intermediate risk population </w:t>
      </w:r>
      <w:r w:rsidR="008158EF" w:rsidRPr="001B4DDB">
        <w:rPr>
          <w:rFonts w:ascii="Franklin Gothic Book" w:hAnsi="Franklin Gothic Book"/>
        </w:rPr>
        <w:t xml:space="preserve">proposed to be </w:t>
      </w:r>
      <w:r w:rsidRPr="001B4DDB">
        <w:rPr>
          <w:rFonts w:ascii="Franklin Gothic Book" w:hAnsi="Franklin Gothic Book"/>
        </w:rPr>
        <w:t xml:space="preserve">eligible for a GEP </w:t>
      </w:r>
      <w:r w:rsidR="0047119D" w:rsidRPr="001B4DDB">
        <w:rPr>
          <w:rFonts w:ascii="Franklin Gothic Book" w:hAnsi="Franklin Gothic Book"/>
        </w:rPr>
        <w:t xml:space="preserve">test </w:t>
      </w:r>
      <w:r w:rsidRPr="001B4DDB">
        <w:rPr>
          <w:rFonts w:ascii="Franklin Gothic Book" w:hAnsi="Franklin Gothic Book"/>
        </w:rPr>
        <w:t xml:space="preserve">in Australia. One of the primary outcomes was the impact of </w:t>
      </w:r>
      <w:r w:rsidR="00D50E5C" w:rsidRPr="001B4DDB">
        <w:rPr>
          <w:rFonts w:ascii="Franklin Gothic Book" w:hAnsi="Franklin Gothic Book"/>
        </w:rPr>
        <w:t>EndoPredict</w:t>
      </w:r>
      <w:r w:rsidR="005F1260" w:rsidRPr="005F1260">
        <w:rPr>
          <w:rFonts w:ascii="Franklin Gothic Book" w:hAnsi="Franklin Gothic Book"/>
          <w:vertAlign w:val="superscript"/>
        </w:rPr>
        <w:t>®</w:t>
      </w:r>
      <w:r w:rsidRPr="001B4DDB">
        <w:rPr>
          <w:rFonts w:ascii="Franklin Gothic Book" w:hAnsi="Franklin Gothic Book"/>
        </w:rPr>
        <w:t xml:space="preserve"> on patient anxiety and psychological distress related to treatment decision making.</w:t>
      </w:r>
    </w:p>
    <w:p w14:paraId="0564733E" w14:textId="155FD4E0" w:rsidR="002056CD" w:rsidRPr="001B4DDB" w:rsidRDefault="002056CD" w:rsidP="002056CD">
      <w:pPr>
        <w:rPr>
          <w:rFonts w:ascii="Franklin Gothic Book" w:hAnsi="Franklin Gothic Book"/>
        </w:rPr>
      </w:pPr>
      <w:r w:rsidRPr="001B4DDB">
        <w:rPr>
          <w:rFonts w:ascii="Franklin Gothic Book" w:hAnsi="Franklin Gothic Book"/>
        </w:rPr>
        <w:t xml:space="preserve">Patients were given initial treatment recommendations after the first decision time point (MTM 1) after the MDT met. Increased anxiety levels were associated with the change in treatment at the second decision point (MTM 2), which followed the EPclin test. As patients had already been given a treatment recommendation, it was not possible to determine whether performing </w:t>
      </w:r>
      <w:r w:rsidR="00D50E5C" w:rsidRPr="001B4DDB">
        <w:rPr>
          <w:rFonts w:ascii="Franklin Gothic Book" w:hAnsi="Franklin Gothic Book"/>
        </w:rPr>
        <w:t>EndoPredict</w:t>
      </w:r>
      <w:r w:rsidR="005F1260" w:rsidRPr="005F1260">
        <w:rPr>
          <w:rFonts w:ascii="Franklin Gothic Book" w:hAnsi="Franklin Gothic Book"/>
          <w:vertAlign w:val="superscript"/>
        </w:rPr>
        <w:t>®</w:t>
      </w:r>
      <w:r w:rsidRPr="001B4DDB">
        <w:rPr>
          <w:rFonts w:ascii="Franklin Gothic Book" w:hAnsi="Franklin Gothic Book"/>
        </w:rPr>
        <w:t xml:space="preserve"> itself had an impact on decision</w:t>
      </w:r>
      <w:r w:rsidR="008158EF" w:rsidRPr="001B4DDB">
        <w:rPr>
          <w:rFonts w:ascii="Franklin Gothic Book" w:hAnsi="Franklin Gothic Book"/>
        </w:rPr>
        <w:t>-</w:t>
      </w:r>
      <w:r w:rsidRPr="001B4DDB">
        <w:rPr>
          <w:rFonts w:ascii="Franklin Gothic Book" w:hAnsi="Franklin Gothic Book"/>
        </w:rPr>
        <w:t>related anxiety, or whether it was related to changing their treatment plan.</w:t>
      </w:r>
    </w:p>
    <w:p w14:paraId="79A5C96B" w14:textId="18765298" w:rsidR="002056CD" w:rsidRPr="001B4DDB" w:rsidRDefault="002056CD" w:rsidP="00FD541E">
      <w:pPr>
        <w:pStyle w:val="Heading4"/>
        <w:rPr>
          <w:rFonts w:ascii="Franklin Gothic Book" w:hAnsi="Franklin Gothic Book"/>
        </w:rPr>
      </w:pPr>
      <w:r w:rsidRPr="001B4DDB">
        <w:rPr>
          <w:rFonts w:ascii="Franklin Gothic Book" w:hAnsi="Franklin Gothic Book"/>
        </w:rPr>
        <w:t xml:space="preserve">Treatment benefit predictive </w:t>
      </w:r>
      <w:r w:rsidR="003A6E9E">
        <w:rPr>
          <w:rFonts w:ascii="Franklin Gothic Book" w:hAnsi="Franklin Gothic Book"/>
        </w:rPr>
        <w:t>value</w:t>
      </w:r>
      <w:r w:rsidRPr="001B4DDB">
        <w:rPr>
          <w:rFonts w:ascii="Franklin Gothic Book" w:hAnsi="Franklin Gothic Book"/>
        </w:rPr>
        <w:t xml:space="preserve"> of </w:t>
      </w:r>
      <w:r w:rsidR="00D50E5C" w:rsidRPr="001B4DDB">
        <w:rPr>
          <w:rFonts w:ascii="Franklin Gothic Book" w:hAnsi="Franklin Gothic Book"/>
        </w:rPr>
        <w:t>EndoPredict</w:t>
      </w:r>
      <w:r w:rsidR="005F1260" w:rsidRPr="005F1260">
        <w:rPr>
          <w:rFonts w:ascii="Franklin Gothic Book" w:hAnsi="Franklin Gothic Book"/>
          <w:vertAlign w:val="superscript"/>
        </w:rPr>
        <w:t>®</w:t>
      </w:r>
      <w:r w:rsidRPr="001B4DDB">
        <w:rPr>
          <w:rFonts w:ascii="Franklin Gothic Book" w:hAnsi="Franklin Gothic Book"/>
        </w:rPr>
        <w:t xml:space="preserve"> in high</w:t>
      </w:r>
      <w:r w:rsidR="00077D16">
        <w:rPr>
          <w:rFonts w:ascii="Franklin Gothic Book" w:hAnsi="Franklin Gothic Book"/>
        </w:rPr>
        <w:t>-</w:t>
      </w:r>
      <w:r w:rsidRPr="001B4DDB">
        <w:rPr>
          <w:rFonts w:ascii="Franklin Gothic Book" w:hAnsi="Franklin Gothic Book"/>
        </w:rPr>
        <w:t>risk versus low</w:t>
      </w:r>
      <w:r w:rsidR="00077D16">
        <w:rPr>
          <w:rFonts w:ascii="Franklin Gothic Book" w:hAnsi="Franklin Gothic Book"/>
        </w:rPr>
        <w:t>-</w:t>
      </w:r>
      <w:r w:rsidRPr="001B4DDB">
        <w:rPr>
          <w:rFonts w:ascii="Franklin Gothic Book" w:hAnsi="Franklin Gothic Book"/>
        </w:rPr>
        <w:t>risk patients</w:t>
      </w:r>
    </w:p>
    <w:p w14:paraId="70491C40" w14:textId="550CE097" w:rsidR="001D2403" w:rsidRPr="001B4DDB" w:rsidRDefault="001D2403" w:rsidP="002056CD">
      <w:pPr>
        <w:rPr>
          <w:rFonts w:ascii="Franklin Gothic Book" w:hAnsi="Franklin Gothic Book"/>
          <w:noProof/>
          <w:lang w:eastAsia="en-AU"/>
        </w:rPr>
      </w:pPr>
      <w:r w:rsidRPr="001B4DDB">
        <w:rPr>
          <w:rFonts w:ascii="Franklin Gothic Book" w:hAnsi="Franklin Gothic Book"/>
          <w:noProof/>
          <w:lang w:eastAsia="en-AU"/>
        </w:rPr>
        <w:t>Chemotherapy has been reported to reduce the risk of recurrence in breast cancer by approximately one third, but the size of this benefit depends on the absolute risk of recurrence without chemotherapy. Given that the EPclin score can determine which patients are at a low risk of recurrence (and therefore a low absolute benefit of adding chemotherapy), those at low risk should be able to avoid chemotherapy and have non-inferior health outcomes.</w:t>
      </w:r>
    </w:p>
    <w:p w14:paraId="682CFB0A" w14:textId="0E4B540F" w:rsidR="002056CD" w:rsidRPr="001B4DDB" w:rsidRDefault="00EF6682" w:rsidP="002056CD">
      <w:pPr>
        <w:rPr>
          <w:rFonts w:ascii="Franklin Gothic Book" w:hAnsi="Franklin Gothic Book"/>
          <w:noProof/>
          <w:lang w:eastAsia="en-AU"/>
        </w:rPr>
      </w:pPr>
      <w:r w:rsidRPr="001B4DDB">
        <w:rPr>
          <w:rFonts w:ascii="Franklin Gothic Book" w:hAnsi="Franklin Gothic Book"/>
          <w:noProof/>
          <w:lang w:eastAsia="en-AU"/>
        </w:rPr>
        <w:t>During the evaluation of the 1408.</w:t>
      </w:r>
      <w:r w:rsidR="004677DC" w:rsidRPr="001B4DDB">
        <w:rPr>
          <w:rFonts w:ascii="Franklin Gothic Book" w:hAnsi="Franklin Gothic Book"/>
          <w:noProof/>
          <w:lang w:eastAsia="en-AU"/>
        </w:rPr>
        <w:t xml:space="preserve">1 </w:t>
      </w:r>
      <w:r w:rsidR="00815375">
        <w:rPr>
          <w:rFonts w:ascii="Franklin Gothic Book" w:hAnsi="Franklin Gothic Book"/>
          <w:iCs/>
        </w:rPr>
        <w:t>re-application</w:t>
      </w:r>
      <w:r w:rsidRPr="001B4DDB">
        <w:rPr>
          <w:rFonts w:ascii="Franklin Gothic Book" w:hAnsi="Franklin Gothic Book"/>
          <w:noProof/>
          <w:lang w:eastAsia="en-AU"/>
        </w:rPr>
        <w:t xml:space="preserve">, </w:t>
      </w:r>
      <w:r w:rsidR="000D075D" w:rsidRPr="001B4DDB">
        <w:rPr>
          <w:rFonts w:ascii="Franklin Gothic Book" w:hAnsi="Franklin Gothic Book"/>
          <w:noProof/>
          <w:lang w:eastAsia="en-AU"/>
        </w:rPr>
        <w:t xml:space="preserve">particular attention was given to </w:t>
      </w:r>
      <w:r w:rsidR="002056CD" w:rsidRPr="001B4DDB">
        <w:rPr>
          <w:rFonts w:ascii="Franklin Gothic Book" w:hAnsi="Franklin Gothic Book"/>
          <w:noProof/>
          <w:lang w:eastAsia="en-AU"/>
        </w:rPr>
        <w:t xml:space="preserve">the </w:t>
      </w:r>
      <w:r w:rsidR="000D075D" w:rsidRPr="001B4DDB">
        <w:rPr>
          <w:rFonts w:ascii="Franklin Gothic Book" w:hAnsi="Franklin Gothic Book"/>
          <w:noProof/>
          <w:lang w:eastAsia="en-AU"/>
        </w:rPr>
        <w:t xml:space="preserve">previously considered </w:t>
      </w:r>
      <w:r w:rsidR="002056CD" w:rsidRPr="001B4DDB">
        <w:rPr>
          <w:rFonts w:ascii="Franklin Gothic Book" w:hAnsi="Franklin Gothic Book"/>
          <w:noProof/>
          <w:lang w:eastAsia="en-AU"/>
        </w:rPr>
        <w:t>article by Sestak et al (2019)</w:t>
      </w:r>
      <w:r w:rsidR="001E5F60" w:rsidRPr="001E5F60">
        <w:rPr>
          <w:rStyle w:val="FootnoteReference"/>
          <w:rFonts w:ascii="Franklin Gothic Book" w:hAnsi="Franklin Gothic Book"/>
          <w:noProof/>
          <w:lang w:eastAsia="en-AU"/>
        </w:rPr>
        <w:t xml:space="preserve"> </w:t>
      </w:r>
      <w:r w:rsidR="001E5F60" w:rsidRPr="001B4DDB">
        <w:rPr>
          <w:rStyle w:val="FootnoteReference"/>
          <w:rFonts w:ascii="Franklin Gothic Book" w:hAnsi="Franklin Gothic Book"/>
          <w:noProof/>
          <w:lang w:eastAsia="en-AU"/>
        </w:rPr>
        <w:footnoteReference w:id="12"/>
      </w:r>
      <w:r w:rsidR="002056CD" w:rsidRPr="001B4DDB">
        <w:rPr>
          <w:rFonts w:ascii="Franklin Gothic Book" w:hAnsi="Franklin Gothic Book"/>
          <w:noProof/>
          <w:lang w:eastAsia="en-AU"/>
        </w:rPr>
        <w:t xml:space="preserve">, as the article claims to show that </w:t>
      </w:r>
      <w:r w:rsidR="00D50E5C" w:rsidRPr="001B4DDB">
        <w:rPr>
          <w:rFonts w:ascii="Franklin Gothic Book" w:hAnsi="Franklin Gothic Book"/>
          <w:noProof/>
          <w:lang w:eastAsia="en-AU"/>
        </w:rPr>
        <w:t>EndoPredict</w:t>
      </w:r>
      <w:r w:rsidR="005F1260" w:rsidRPr="005F1260">
        <w:rPr>
          <w:rFonts w:ascii="Franklin Gothic Book" w:hAnsi="Franklin Gothic Book"/>
          <w:noProof/>
          <w:vertAlign w:val="superscript"/>
          <w:lang w:eastAsia="en-AU"/>
        </w:rPr>
        <w:t>®</w:t>
      </w:r>
      <w:r w:rsidR="002056CD" w:rsidRPr="001B4DDB">
        <w:rPr>
          <w:rFonts w:ascii="Franklin Gothic Book" w:hAnsi="Franklin Gothic Book"/>
          <w:noProof/>
          <w:lang w:eastAsia="en-AU"/>
        </w:rPr>
        <w:t xml:space="preserve"> </w:t>
      </w:r>
      <w:r w:rsidR="001D2403" w:rsidRPr="001B4DDB">
        <w:rPr>
          <w:rFonts w:ascii="Franklin Gothic Book" w:hAnsi="Franklin Gothic Book"/>
          <w:noProof/>
          <w:lang w:eastAsia="en-AU"/>
        </w:rPr>
        <w:t>is able to predict the benefit of chemotherapy (</w:t>
      </w:r>
      <w:r w:rsidR="00645C08" w:rsidRPr="001B4DDB">
        <w:rPr>
          <w:rFonts w:ascii="Franklin Gothic Book" w:hAnsi="Franklin Gothic Book"/>
          <w:noProof/>
          <w:lang w:eastAsia="en-AU"/>
        </w:rPr>
        <w:t>i</w:t>
      </w:r>
      <w:r w:rsidR="001D2403" w:rsidRPr="001B4DDB">
        <w:rPr>
          <w:rFonts w:ascii="Franklin Gothic Book" w:hAnsi="Franklin Gothic Book"/>
          <w:noProof/>
          <w:lang w:eastAsia="en-AU"/>
        </w:rPr>
        <w:t xml:space="preserve">.e. the difference in risk of DR </w:t>
      </w:r>
      <w:r w:rsidR="001D2403" w:rsidRPr="001B4DDB">
        <w:rPr>
          <w:rFonts w:ascii="Franklin Gothic Book" w:hAnsi="Franklin Gothic Book"/>
          <w:noProof/>
          <w:lang w:eastAsia="en-AU"/>
        </w:rPr>
        <w:lastRenderedPageBreak/>
        <w:t>within 10 years by treatment group)</w:t>
      </w:r>
      <w:r w:rsidR="002056CD" w:rsidRPr="001B4DDB">
        <w:rPr>
          <w:rFonts w:ascii="Franklin Gothic Book" w:hAnsi="Franklin Gothic Book"/>
          <w:noProof/>
          <w:lang w:eastAsia="en-AU"/>
        </w:rPr>
        <w:t>.</w:t>
      </w:r>
      <w:r w:rsidR="001D2403" w:rsidRPr="001B4DDB">
        <w:rPr>
          <w:rFonts w:ascii="Franklin Gothic Book" w:hAnsi="Franklin Gothic Book"/>
          <w:noProof/>
          <w:lang w:eastAsia="en-AU"/>
        </w:rPr>
        <w:t xml:space="preserve"> Not only does </w:t>
      </w:r>
      <w:r w:rsidR="000D075D" w:rsidRPr="001B4DDB">
        <w:rPr>
          <w:rFonts w:ascii="Franklin Gothic Book" w:hAnsi="Franklin Gothic Book"/>
          <w:noProof/>
          <w:lang w:eastAsia="en-AU"/>
        </w:rPr>
        <w:t xml:space="preserve">this study claim that </w:t>
      </w:r>
      <w:r w:rsidR="001D2403" w:rsidRPr="001B4DDB">
        <w:rPr>
          <w:rFonts w:ascii="Franklin Gothic Book" w:hAnsi="Franklin Gothic Book"/>
          <w:noProof/>
          <w:lang w:eastAsia="en-AU"/>
        </w:rPr>
        <w:t>the test predict</w:t>
      </w:r>
      <w:r w:rsidR="000D075D" w:rsidRPr="001B4DDB">
        <w:rPr>
          <w:rFonts w:ascii="Franklin Gothic Book" w:hAnsi="Franklin Gothic Book"/>
          <w:noProof/>
          <w:lang w:eastAsia="en-AU"/>
        </w:rPr>
        <w:t>s</w:t>
      </w:r>
      <w:r w:rsidR="001D2403" w:rsidRPr="001B4DDB">
        <w:rPr>
          <w:rFonts w:ascii="Franklin Gothic Book" w:hAnsi="Franklin Gothic Book"/>
          <w:noProof/>
          <w:lang w:eastAsia="en-AU"/>
        </w:rPr>
        <w:t xml:space="preserve"> the risk of recurrence in patients treated with either endocrine therapy alone or endocrine therapy plus chemotherapy, </w:t>
      </w:r>
      <w:r w:rsidR="000D075D" w:rsidRPr="001B4DDB">
        <w:rPr>
          <w:rFonts w:ascii="Franklin Gothic Book" w:hAnsi="Franklin Gothic Book"/>
          <w:noProof/>
          <w:lang w:eastAsia="en-AU"/>
        </w:rPr>
        <w:t xml:space="preserve">it also claims that </w:t>
      </w:r>
      <w:r w:rsidR="001D2403" w:rsidRPr="001B4DDB">
        <w:rPr>
          <w:rFonts w:ascii="Franklin Gothic Book" w:hAnsi="Franklin Gothic Book"/>
          <w:noProof/>
          <w:lang w:eastAsia="en-AU"/>
        </w:rPr>
        <w:t>there is also a treatment by EPclin risk group interaction.</w:t>
      </w:r>
      <w:r w:rsidR="002056CD" w:rsidRPr="001B4DDB">
        <w:rPr>
          <w:rFonts w:ascii="Franklin Gothic Book" w:hAnsi="Franklin Gothic Book"/>
          <w:noProof/>
          <w:lang w:eastAsia="en-AU"/>
        </w:rPr>
        <w:t xml:space="preserve"> </w:t>
      </w:r>
      <w:r w:rsidR="009973E6" w:rsidRPr="001B4DDB">
        <w:rPr>
          <w:rFonts w:ascii="Franklin Gothic Book" w:hAnsi="Franklin Gothic Book"/>
          <w:noProof/>
          <w:lang w:eastAsia="en-AU"/>
        </w:rPr>
        <w:t xml:space="preserve">An </w:t>
      </w:r>
      <w:r w:rsidR="00E40478" w:rsidRPr="001B4DDB">
        <w:rPr>
          <w:rFonts w:ascii="Franklin Gothic Book" w:hAnsi="Franklin Gothic Book"/>
          <w:noProof/>
          <w:lang w:eastAsia="en-AU"/>
        </w:rPr>
        <w:t xml:space="preserve">EPclin score of 3.3 </w:t>
      </w:r>
      <w:r w:rsidR="009973E6" w:rsidRPr="001B4DDB">
        <w:rPr>
          <w:rFonts w:ascii="Franklin Gothic Book" w:hAnsi="Franklin Gothic Book"/>
          <w:noProof/>
          <w:lang w:eastAsia="en-AU"/>
        </w:rPr>
        <w:t xml:space="preserve">is used as the </w:t>
      </w:r>
      <w:r w:rsidR="00E40478" w:rsidRPr="001B4DDB">
        <w:rPr>
          <w:rFonts w:ascii="Franklin Gothic Book" w:hAnsi="Franklin Gothic Book"/>
          <w:noProof/>
          <w:lang w:eastAsia="en-AU"/>
        </w:rPr>
        <w:t>threshold between high and low risk of distant recurrence.</w:t>
      </w:r>
    </w:p>
    <w:p w14:paraId="70DB67F9" w14:textId="297C2346" w:rsidR="00645C08" w:rsidRPr="001B4DDB" w:rsidRDefault="002056CD" w:rsidP="002056CD">
      <w:pPr>
        <w:rPr>
          <w:rFonts w:ascii="Franklin Gothic Book" w:hAnsi="Franklin Gothic Book"/>
          <w:noProof/>
          <w:lang w:eastAsia="en-AU"/>
        </w:rPr>
      </w:pPr>
      <w:r w:rsidRPr="001B4DDB">
        <w:rPr>
          <w:rFonts w:ascii="Franklin Gothic Book" w:hAnsi="Franklin Gothic Book"/>
          <w:noProof/>
          <w:lang w:eastAsia="en-AU"/>
        </w:rPr>
        <w:t xml:space="preserve">The study by Sestak et al (2019) </w:t>
      </w:r>
      <w:r w:rsidR="00DB33AD" w:rsidRPr="001B4DDB">
        <w:rPr>
          <w:rFonts w:ascii="Franklin Gothic Book" w:hAnsi="Franklin Gothic Book"/>
          <w:noProof/>
          <w:lang w:eastAsia="en-AU"/>
        </w:rPr>
        <w:t xml:space="preserve">performed a retrospective analysis </w:t>
      </w:r>
      <w:r w:rsidR="00645C08" w:rsidRPr="001B4DDB">
        <w:rPr>
          <w:rFonts w:ascii="Franklin Gothic Book" w:hAnsi="Franklin Gothic Book"/>
          <w:noProof/>
          <w:lang w:eastAsia="en-AU"/>
        </w:rPr>
        <w:t>including five trials, two of which included patients who had been randomised to receive endocrine therapy plus one of two regimens of adjuvant chemotherapy (fluorouracil, epirubicin, and/or cyclophosphamide) (GEICAM 2003-02 and 9906 trials), and three of which included patients who had received endocrine therapy alone (ABCSG-6, ABCSG-8 and TransATAC).</w:t>
      </w:r>
    </w:p>
    <w:p w14:paraId="45568BE8" w14:textId="1A4F279F" w:rsidR="00645C08" w:rsidRPr="001B4DDB" w:rsidRDefault="002056CD" w:rsidP="002056CD">
      <w:pPr>
        <w:rPr>
          <w:rFonts w:ascii="Franklin Gothic Book" w:hAnsi="Franklin Gothic Book"/>
          <w:noProof/>
          <w:lang w:eastAsia="en-AU"/>
        </w:rPr>
      </w:pPr>
      <w:r w:rsidRPr="001B4DDB">
        <w:rPr>
          <w:rFonts w:ascii="Franklin Gothic Book" w:hAnsi="Franklin Gothic Book"/>
          <w:noProof/>
          <w:lang w:eastAsia="en-AU"/>
        </w:rPr>
        <w:t xml:space="preserve">The study reported that women receiving endocrine therapy alone had larger 10-year DR risks with increasing EPclin scores than those who received endocrine and chemotherapy. For example, women given endocrine therapy alone with an EPclin score of 5 had a 10-year risk of </w:t>
      </w:r>
      <w:r w:rsidR="00BA73D0" w:rsidRPr="001B4DDB">
        <w:rPr>
          <w:rFonts w:ascii="Franklin Gothic Book" w:hAnsi="Franklin Gothic Book"/>
          <w:noProof/>
          <w:lang w:eastAsia="en-AU"/>
        </w:rPr>
        <w:t xml:space="preserve">DR of </w:t>
      </w:r>
      <w:r w:rsidRPr="001B4DDB">
        <w:rPr>
          <w:rFonts w:ascii="Franklin Gothic Book" w:hAnsi="Franklin Gothic Book"/>
          <w:noProof/>
          <w:lang w:eastAsia="en-AU"/>
        </w:rPr>
        <w:t>46% compared to 26% for women who were given endocrine and chemotherapy, a relative risk difference of 44%</w:t>
      </w:r>
      <w:r w:rsidR="001B37E8" w:rsidRPr="001B4DDB">
        <w:rPr>
          <w:rStyle w:val="FootnoteReference"/>
          <w:rFonts w:ascii="Franklin Gothic Book" w:hAnsi="Franklin Gothic Book"/>
          <w:noProof/>
          <w:lang w:eastAsia="en-AU"/>
        </w:rPr>
        <w:footnoteReference w:id="13"/>
      </w:r>
      <w:r w:rsidRPr="001B4DDB">
        <w:rPr>
          <w:rFonts w:ascii="Franklin Gothic Book" w:hAnsi="Franklin Gothic Book"/>
          <w:noProof/>
          <w:lang w:eastAsia="en-AU"/>
        </w:rPr>
        <w:t>. Based on this risk comparison, women with a EPclin score of 5 should be recommended for chemotherapy. For women with low EPclin scores, ie those at low risk of recurrence (scores 1-3), the differences in 10-year DR were not statistically significant</w:t>
      </w:r>
      <w:r w:rsidR="00645C08" w:rsidRPr="001B4DDB">
        <w:rPr>
          <w:rFonts w:ascii="Franklin Gothic Book" w:hAnsi="Franklin Gothic Book"/>
          <w:noProof/>
          <w:lang w:eastAsia="en-AU"/>
        </w:rPr>
        <w:t xml:space="preserve"> between treatment groups</w:t>
      </w:r>
      <w:r w:rsidRPr="001B4DDB">
        <w:rPr>
          <w:rFonts w:ascii="Franklin Gothic Book" w:hAnsi="Franklin Gothic Book"/>
          <w:noProof/>
          <w:lang w:eastAsia="en-AU"/>
        </w:rPr>
        <w:t>. The relationship between chemotherapy benefit and EPclin as a continuous variable was tested statistically with an interaction test, showing a statistically significant interaction (p=0.022).</w:t>
      </w:r>
    </w:p>
    <w:p w14:paraId="3845305C" w14:textId="1EAB46EB" w:rsidR="002056CD" w:rsidRPr="001B4DDB" w:rsidRDefault="002056CD" w:rsidP="002056CD">
      <w:pPr>
        <w:rPr>
          <w:rFonts w:ascii="Franklin Gothic Book" w:hAnsi="Franklin Gothic Book"/>
          <w:noProof/>
          <w:lang w:eastAsia="en-AU"/>
        </w:rPr>
      </w:pPr>
      <w:r w:rsidRPr="001B4DDB">
        <w:rPr>
          <w:rFonts w:ascii="Franklin Gothic Book" w:hAnsi="Franklin Gothic Book"/>
          <w:noProof/>
          <w:lang w:eastAsia="en-AU"/>
        </w:rPr>
        <w:t xml:space="preserve">Time periods of 0-5 years and 5-10 years were investigated separately. There was a difference in </w:t>
      </w:r>
      <w:r w:rsidR="003A6E9E">
        <w:rPr>
          <w:rFonts w:ascii="Franklin Gothic Book" w:hAnsi="Franklin Gothic Book"/>
          <w:noProof/>
          <w:lang w:eastAsia="en-AU"/>
        </w:rPr>
        <w:t>outcomes</w:t>
      </w:r>
      <w:r w:rsidRPr="001B4DDB">
        <w:rPr>
          <w:rFonts w:ascii="Franklin Gothic Book" w:hAnsi="Franklin Gothic Book"/>
          <w:noProof/>
          <w:lang w:eastAsia="en-AU"/>
        </w:rPr>
        <w:t xml:space="preserve"> for women on endocrine therapy alone compared to those on endocrine and chemotherapy. EPclin was more prognostic for late recurrence for those on </w:t>
      </w:r>
      <w:r w:rsidR="00B66B09" w:rsidRPr="001B4DDB">
        <w:rPr>
          <w:rFonts w:ascii="Franklin Gothic Book" w:hAnsi="Franklin Gothic Book"/>
          <w:noProof/>
          <w:lang w:eastAsia="en-AU"/>
        </w:rPr>
        <w:t>e</w:t>
      </w:r>
      <w:r w:rsidRPr="001B4DDB">
        <w:rPr>
          <w:rFonts w:ascii="Franklin Gothic Book" w:hAnsi="Franklin Gothic Book"/>
          <w:noProof/>
          <w:lang w:eastAsia="en-AU"/>
        </w:rPr>
        <w:t xml:space="preserve">ndocrine </w:t>
      </w:r>
      <w:r w:rsidR="00B66B09" w:rsidRPr="001B4DDB">
        <w:rPr>
          <w:rFonts w:ascii="Franklin Gothic Book" w:hAnsi="Franklin Gothic Book"/>
          <w:noProof/>
          <w:lang w:eastAsia="en-AU"/>
        </w:rPr>
        <w:t xml:space="preserve">therapy </w:t>
      </w:r>
      <w:r w:rsidRPr="001B4DDB">
        <w:rPr>
          <w:rFonts w:ascii="Franklin Gothic Book" w:hAnsi="Franklin Gothic Book"/>
          <w:noProof/>
          <w:lang w:eastAsia="en-AU"/>
        </w:rPr>
        <w:t>alone than for early recurrence (0-5 years: HR 2.76 vs 5-10 years: HR 2.85; p&gt;0.05). In women who received both therapies</w:t>
      </w:r>
      <w:r w:rsidR="00B66B09" w:rsidRPr="001B4DDB">
        <w:rPr>
          <w:rFonts w:ascii="Franklin Gothic Book" w:hAnsi="Franklin Gothic Book"/>
          <w:noProof/>
          <w:lang w:eastAsia="en-AU"/>
        </w:rPr>
        <w:t>,</w:t>
      </w:r>
      <w:r w:rsidRPr="001B4DDB">
        <w:rPr>
          <w:rFonts w:ascii="Franklin Gothic Book" w:hAnsi="Franklin Gothic Book"/>
          <w:noProof/>
          <w:lang w:eastAsia="en-AU"/>
        </w:rPr>
        <w:t xml:space="preserve"> EPclin was more prognostic for early tha</w:t>
      </w:r>
      <w:r w:rsidR="00B66B09" w:rsidRPr="001B4DDB">
        <w:rPr>
          <w:rFonts w:ascii="Franklin Gothic Book" w:hAnsi="Franklin Gothic Book"/>
          <w:noProof/>
          <w:lang w:eastAsia="en-AU"/>
        </w:rPr>
        <w:t>n</w:t>
      </w:r>
      <w:r w:rsidRPr="001B4DDB">
        <w:rPr>
          <w:rFonts w:ascii="Franklin Gothic Book" w:hAnsi="Franklin Gothic Book"/>
          <w:noProof/>
          <w:lang w:eastAsia="en-AU"/>
        </w:rPr>
        <w:t xml:space="preserve"> late recurrence (0-5 year: HR 2.49 vs 5-10 years: HR 1.86; p&gt;0.05). These results did not reach statistical significance.</w:t>
      </w:r>
    </w:p>
    <w:p w14:paraId="515D11B0" w14:textId="210CE1B7" w:rsidR="002056CD" w:rsidRPr="001B4DDB" w:rsidRDefault="002056CD" w:rsidP="002056CD">
      <w:pPr>
        <w:rPr>
          <w:rFonts w:ascii="Franklin Gothic Book" w:hAnsi="Franklin Gothic Book"/>
          <w:noProof/>
          <w:lang w:eastAsia="en-AU"/>
        </w:rPr>
      </w:pPr>
      <w:r w:rsidRPr="001B4DDB">
        <w:rPr>
          <w:rFonts w:ascii="Franklin Gothic Book" w:hAnsi="Franklin Gothic Book"/>
          <w:noProof/>
          <w:lang w:eastAsia="en-AU"/>
        </w:rPr>
        <w:t xml:space="preserve">The 10-year risk of recurrence by EPclin score is compared between therapy groups in </w:t>
      </w:r>
      <w:r w:rsidRPr="001B4DDB">
        <w:rPr>
          <w:rFonts w:ascii="Franklin Gothic Book" w:hAnsi="Franklin Gothic Book"/>
          <w:noProof/>
          <w:lang w:eastAsia="en-AU"/>
        </w:rPr>
        <w:fldChar w:fldCharType="begin"/>
      </w:r>
      <w:r w:rsidRPr="001B4DDB">
        <w:rPr>
          <w:rFonts w:ascii="Franklin Gothic Book" w:hAnsi="Franklin Gothic Book"/>
          <w:noProof/>
          <w:lang w:eastAsia="en-AU"/>
        </w:rPr>
        <w:instrText xml:space="preserve"> REF _Ref100139653 \h </w:instrText>
      </w:r>
      <w:r w:rsidR="001B4DDB">
        <w:rPr>
          <w:rFonts w:ascii="Franklin Gothic Book" w:hAnsi="Franklin Gothic Book"/>
          <w:noProof/>
          <w:lang w:eastAsia="en-AU"/>
        </w:rPr>
        <w:instrText xml:space="preserve"> \* MERGEFORMAT </w:instrText>
      </w:r>
      <w:r w:rsidRPr="001B4DDB">
        <w:rPr>
          <w:rFonts w:ascii="Franklin Gothic Book" w:hAnsi="Franklin Gothic Book"/>
          <w:noProof/>
          <w:lang w:eastAsia="en-AU"/>
        </w:rPr>
      </w:r>
      <w:r w:rsidRPr="001B4DDB">
        <w:rPr>
          <w:rFonts w:ascii="Franklin Gothic Book" w:hAnsi="Franklin Gothic Book"/>
          <w:noProof/>
          <w:lang w:eastAsia="en-AU"/>
        </w:rPr>
        <w:fldChar w:fldCharType="separate"/>
      </w:r>
      <w:r w:rsidR="00943826" w:rsidRPr="00943826">
        <w:rPr>
          <w:rFonts w:ascii="Franklin Gothic Book" w:hAnsi="Franklin Gothic Book"/>
        </w:rPr>
        <w:t xml:space="preserve">Table </w:t>
      </w:r>
      <w:r w:rsidR="00943826" w:rsidRPr="00943826">
        <w:rPr>
          <w:rFonts w:ascii="Franklin Gothic Book" w:hAnsi="Franklin Gothic Book"/>
          <w:noProof/>
        </w:rPr>
        <w:t>10</w:t>
      </w:r>
      <w:r w:rsidRPr="001B4DDB">
        <w:rPr>
          <w:rFonts w:ascii="Franklin Gothic Book" w:hAnsi="Franklin Gothic Book"/>
          <w:noProof/>
          <w:lang w:eastAsia="en-AU"/>
        </w:rPr>
        <w:fldChar w:fldCharType="end"/>
      </w:r>
      <w:r w:rsidRPr="001B4DDB">
        <w:rPr>
          <w:rFonts w:ascii="Franklin Gothic Book" w:hAnsi="Franklin Gothic Book"/>
          <w:noProof/>
          <w:lang w:eastAsia="en-AU"/>
        </w:rPr>
        <w:t>.</w:t>
      </w:r>
    </w:p>
    <w:p w14:paraId="75A5626D" w14:textId="027D3868" w:rsidR="00645C08" w:rsidRPr="001B4DDB" w:rsidRDefault="00462829" w:rsidP="002056CD">
      <w:pPr>
        <w:rPr>
          <w:rFonts w:ascii="Franklin Gothic Book" w:hAnsi="Franklin Gothic Book"/>
          <w:noProof/>
          <w:lang w:eastAsia="en-AU"/>
        </w:rPr>
      </w:pPr>
      <w:bookmarkStart w:id="51" w:name="_Hlk102999862"/>
      <w:r w:rsidRPr="001B4DDB">
        <w:rPr>
          <w:rFonts w:ascii="Franklin Gothic Book" w:hAnsi="Franklin Gothic Book"/>
          <w:noProof/>
          <w:lang w:eastAsia="en-AU"/>
        </w:rPr>
        <w:t xml:space="preserve">As previously, </w:t>
      </w:r>
      <w:r w:rsidR="00645C08" w:rsidRPr="001B4DDB">
        <w:rPr>
          <w:rFonts w:ascii="Franklin Gothic Book" w:hAnsi="Franklin Gothic Book"/>
          <w:noProof/>
          <w:lang w:eastAsia="en-AU"/>
        </w:rPr>
        <w:t>these data are retrospective and from an indirect comparison</w:t>
      </w:r>
      <w:r w:rsidRPr="001B4DDB">
        <w:rPr>
          <w:rFonts w:ascii="Franklin Gothic Book" w:hAnsi="Franklin Gothic Book"/>
          <w:noProof/>
          <w:lang w:eastAsia="en-AU"/>
        </w:rPr>
        <w:t xml:space="preserve">. </w:t>
      </w:r>
      <w:r w:rsidRPr="001B4DDB">
        <w:rPr>
          <w:rFonts w:ascii="Franklin Gothic Book" w:hAnsi="Franklin Gothic Book"/>
        </w:rPr>
        <w:t xml:space="preserve">No new evidence was submitted for the predictive </w:t>
      </w:r>
      <w:r w:rsidR="003A6E9E">
        <w:rPr>
          <w:rFonts w:ascii="Franklin Gothic Book" w:hAnsi="Franklin Gothic Book"/>
        </w:rPr>
        <w:t>value</w:t>
      </w:r>
      <w:r w:rsidRPr="001B4DDB">
        <w:rPr>
          <w:rFonts w:ascii="Franklin Gothic Book" w:hAnsi="Franklin Gothic Book"/>
        </w:rPr>
        <w:t xml:space="preserve"> of EndoPredict</w:t>
      </w:r>
      <w:r w:rsidR="005F1260" w:rsidRPr="005F1260">
        <w:rPr>
          <w:rFonts w:ascii="Franklin Gothic Book" w:hAnsi="Franklin Gothic Book"/>
          <w:vertAlign w:val="superscript"/>
        </w:rPr>
        <w:t>®</w:t>
      </w:r>
      <w:r w:rsidRPr="001B4DDB">
        <w:rPr>
          <w:rFonts w:ascii="Franklin Gothic Book" w:hAnsi="Franklin Gothic Book"/>
        </w:rPr>
        <w:t xml:space="preserve">. In particular, no results from prospective randomised trials were provided to support the claim for predictive </w:t>
      </w:r>
      <w:r w:rsidR="003A6E9E">
        <w:rPr>
          <w:rFonts w:ascii="Franklin Gothic Book" w:hAnsi="Franklin Gothic Book"/>
        </w:rPr>
        <w:t>value</w:t>
      </w:r>
      <w:r w:rsidR="00645C08" w:rsidRPr="001B4DDB">
        <w:rPr>
          <w:rFonts w:ascii="Franklin Gothic Book" w:hAnsi="Franklin Gothic Book"/>
          <w:noProof/>
          <w:lang w:eastAsia="en-AU"/>
        </w:rPr>
        <w:t>.</w:t>
      </w:r>
    </w:p>
    <w:p w14:paraId="7A7C65B9" w14:textId="2397890C" w:rsidR="002056CD" w:rsidRDefault="002056CD" w:rsidP="00BE0DC8">
      <w:pPr>
        <w:pStyle w:val="Caption"/>
        <w:spacing w:before="240"/>
        <w:rPr>
          <w:noProof/>
          <w:lang w:eastAsia="en-AU"/>
        </w:rPr>
      </w:pPr>
      <w:bookmarkStart w:id="52" w:name="_Ref100139653"/>
      <w:bookmarkEnd w:id="51"/>
      <w:r>
        <w:t xml:space="preserve">Table </w:t>
      </w:r>
      <w:fldSimple w:instr=" SEQ Table \* ARABIC ">
        <w:r w:rsidR="00943826">
          <w:rPr>
            <w:noProof/>
          </w:rPr>
          <w:t>10</w:t>
        </w:r>
      </w:fldSimple>
      <w:bookmarkEnd w:id="52"/>
      <w:r>
        <w:tab/>
        <w:t>10-year risk (%; 95%CI), absolute risk differences and relative risk differences</w:t>
      </w:r>
      <w:r w:rsidR="00DA3090">
        <w:t xml:space="preserve"> in chemotherapy benefit</w:t>
      </w:r>
    </w:p>
    <w:tbl>
      <w:tblPr>
        <w:tblStyle w:val="TableGrid"/>
        <w:tblW w:w="9067" w:type="dxa"/>
        <w:tblLook w:val="04A0" w:firstRow="1" w:lastRow="0" w:firstColumn="1" w:lastColumn="0" w:noHBand="0" w:noVBand="1"/>
      </w:tblPr>
      <w:tblGrid>
        <w:gridCol w:w="988"/>
        <w:gridCol w:w="1559"/>
        <w:gridCol w:w="2126"/>
        <w:gridCol w:w="1985"/>
        <w:gridCol w:w="2409"/>
      </w:tblGrid>
      <w:tr w:rsidR="00BE0DC8" w14:paraId="73BB3F84" w14:textId="77777777" w:rsidTr="00BE0DC8">
        <w:trPr>
          <w:cnfStyle w:val="100000000000" w:firstRow="1" w:lastRow="0" w:firstColumn="0" w:lastColumn="0" w:oddVBand="0" w:evenVBand="0" w:oddHBand="0" w:evenHBand="0" w:firstRowFirstColumn="0" w:firstRowLastColumn="0" w:lastRowFirstColumn="0" w:lastRowLastColumn="0"/>
        </w:trPr>
        <w:tc>
          <w:tcPr>
            <w:tcW w:w="988" w:type="dxa"/>
          </w:tcPr>
          <w:p w14:paraId="572E2CA9" w14:textId="7DE1BAC3" w:rsidR="00BE0DC8" w:rsidRPr="00601B11" w:rsidRDefault="00BE0DC8" w:rsidP="00077D16">
            <w:pPr>
              <w:pStyle w:val="TableHeading1"/>
              <w:keepNext/>
              <w:jc w:val="center"/>
              <w:rPr>
                <w:b/>
                <w:bCs/>
                <w:noProof/>
                <w:lang w:eastAsia="en-AU"/>
              </w:rPr>
            </w:pPr>
            <w:r>
              <w:rPr>
                <w:b/>
                <w:bCs/>
                <w:noProof/>
                <w:lang w:eastAsia="en-AU"/>
              </w:rPr>
              <w:t>EPclin risk class</w:t>
            </w:r>
          </w:p>
        </w:tc>
        <w:tc>
          <w:tcPr>
            <w:tcW w:w="1559" w:type="dxa"/>
          </w:tcPr>
          <w:p w14:paraId="115773C7" w14:textId="1604F4C0" w:rsidR="00BE0DC8" w:rsidRPr="00601B11" w:rsidRDefault="00BE0DC8" w:rsidP="00077D16">
            <w:pPr>
              <w:pStyle w:val="TableHeading1"/>
              <w:keepNext/>
              <w:jc w:val="center"/>
              <w:rPr>
                <w:b/>
                <w:bCs/>
                <w:noProof/>
                <w:lang w:eastAsia="en-AU"/>
              </w:rPr>
            </w:pPr>
            <w:r w:rsidRPr="00601B11">
              <w:rPr>
                <w:b/>
                <w:bCs/>
                <w:noProof/>
                <w:lang w:eastAsia="en-AU"/>
              </w:rPr>
              <w:t>EPclin score</w:t>
            </w:r>
          </w:p>
        </w:tc>
        <w:tc>
          <w:tcPr>
            <w:tcW w:w="2126" w:type="dxa"/>
          </w:tcPr>
          <w:p w14:paraId="63015FA6" w14:textId="182A200D" w:rsidR="00BE0DC8" w:rsidRPr="00601B11" w:rsidRDefault="00BE0DC8" w:rsidP="00077D16">
            <w:pPr>
              <w:pStyle w:val="TableHeading1"/>
              <w:keepNext/>
              <w:jc w:val="center"/>
              <w:rPr>
                <w:b/>
                <w:bCs/>
                <w:noProof/>
                <w:lang w:eastAsia="en-AU"/>
              </w:rPr>
            </w:pPr>
            <w:r w:rsidRPr="00601B11">
              <w:rPr>
                <w:b/>
                <w:bCs/>
                <w:noProof/>
                <w:lang w:eastAsia="en-AU"/>
              </w:rPr>
              <w:t>ET</w:t>
            </w:r>
            <w:r>
              <w:rPr>
                <w:b/>
                <w:bCs/>
                <w:noProof/>
                <w:lang w:eastAsia="en-AU"/>
              </w:rPr>
              <w:br/>
              <w:t>[A]</w:t>
            </w:r>
          </w:p>
        </w:tc>
        <w:tc>
          <w:tcPr>
            <w:tcW w:w="1985" w:type="dxa"/>
          </w:tcPr>
          <w:p w14:paraId="46BF52A6" w14:textId="7B24B480" w:rsidR="00BE0DC8" w:rsidRPr="00601B11" w:rsidRDefault="00BE0DC8" w:rsidP="00077D16">
            <w:pPr>
              <w:pStyle w:val="TableHeading1"/>
              <w:keepNext/>
              <w:jc w:val="center"/>
              <w:rPr>
                <w:b/>
                <w:bCs/>
                <w:noProof/>
                <w:lang w:eastAsia="en-AU"/>
              </w:rPr>
            </w:pPr>
            <w:r w:rsidRPr="00601B11">
              <w:rPr>
                <w:b/>
                <w:bCs/>
                <w:noProof/>
                <w:lang w:eastAsia="en-AU"/>
              </w:rPr>
              <w:t>ET + CTX</w:t>
            </w:r>
            <w:r>
              <w:rPr>
                <w:b/>
                <w:bCs/>
                <w:noProof/>
                <w:lang w:eastAsia="en-AU"/>
              </w:rPr>
              <w:br/>
              <w:t>[B]</w:t>
            </w:r>
          </w:p>
        </w:tc>
        <w:tc>
          <w:tcPr>
            <w:tcW w:w="2409" w:type="dxa"/>
          </w:tcPr>
          <w:p w14:paraId="34D280FF" w14:textId="2C095E61" w:rsidR="00BE0DC8" w:rsidRPr="00601B11" w:rsidRDefault="00BE0DC8" w:rsidP="00077D16">
            <w:pPr>
              <w:pStyle w:val="TableHeading1"/>
              <w:keepNext/>
              <w:jc w:val="center"/>
              <w:rPr>
                <w:b/>
                <w:bCs/>
                <w:noProof/>
                <w:lang w:eastAsia="en-AU"/>
              </w:rPr>
            </w:pPr>
            <w:r>
              <w:rPr>
                <w:b/>
                <w:bCs/>
                <w:noProof/>
                <w:lang w:eastAsia="en-AU"/>
              </w:rPr>
              <w:t>Risk difference [A – B]</w:t>
            </w:r>
            <w:r>
              <w:rPr>
                <w:b/>
                <w:bCs/>
                <w:noProof/>
                <w:lang w:eastAsia="en-AU"/>
              </w:rPr>
              <w:br/>
              <w:t>(</w:t>
            </w:r>
            <w:r w:rsidR="00077D16">
              <w:rPr>
                <w:b/>
                <w:bCs/>
                <w:noProof/>
                <w:lang w:eastAsia="en-AU"/>
              </w:rPr>
              <w:t>a</w:t>
            </w:r>
            <w:r w:rsidRPr="00601B11">
              <w:rPr>
                <w:b/>
                <w:bCs/>
                <w:noProof/>
                <w:lang w:eastAsia="en-AU"/>
              </w:rPr>
              <w:t xml:space="preserve">bsolute </w:t>
            </w:r>
            <w:r>
              <w:rPr>
                <w:b/>
                <w:bCs/>
                <w:noProof/>
                <w:lang w:eastAsia="en-AU"/>
              </w:rPr>
              <w:t>benefit of CTX)</w:t>
            </w:r>
          </w:p>
        </w:tc>
      </w:tr>
      <w:tr w:rsidR="00BE0DC8" w14:paraId="3162CD05" w14:textId="77777777" w:rsidTr="00BE0DC8">
        <w:tc>
          <w:tcPr>
            <w:tcW w:w="988" w:type="dxa"/>
            <w:vMerge w:val="restart"/>
          </w:tcPr>
          <w:p w14:paraId="0345C301" w14:textId="0B33ACF7" w:rsidR="00BE0DC8" w:rsidRDefault="00BE0DC8" w:rsidP="00077D16">
            <w:pPr>
              <w:pStyle w:val="TableText0"/>
              <w:keepNext/>
              <w:jc w:val="center"/>
              <w:rPr>
                <w:noProof/>
                <w:lang w:eastAsia="en-AU"/>
              </w:rPr>
            </w:pPr>
            <w:r>
              <w:rPr>
                <w:noProof/>
                <w:lang w:eastAsia="en-AU"/>
              </w:rPr>
              <w:t>Low</w:t>
            </w:r>
          </w:p>
        </w:tc>
        <w:tc>
          <w:tcPr>
            <w:tcW w:w="1559" w:type="dxa"/>
          </w:tcPr>
          <w:p w14:paraId="71808FCE" w14:textId="21743C9B" w:rsidR="00BE0DC8" w:rsidRDefault="00BE0DC8" w:rsidP="00077D16">
            <w:pPr>
              <w:pStyle w:val="TableText0"/>
              <w:keepNext/>
              <w:jc w:val="center"/>
              <w:rPr>
                <w:noProof/>
                <w:lang w:eastAsia="en-AU"/>
              </w:rPr>
            </w:pPr>
            <w:r>
              <w:rPr>
                <w:noProof/>
                <w:lang w:eastAsia="en-AU"/>
              </w:rPr>
              <w:t>1</w:t>
            </w:r>
          </w:p>
        </w:tc>
        <w:tc>
          <w:tcPr>
            <w:tcW w:w="2126" w:type="dxa"/>
          </w:tcPr>
          <w:p w14:paraId="6C19BE8E" w14:textId="77777777" w:rsidR="00BE0DC8" w:rsidRDefault="00BE0DC8" w:rsidP="00077D16">
            <w:pPr>
              <w:pStyle w:val="TableText0"/>
              <w:keepNext/>
              <w:jc w:val="center"/>
              <w:rPr>
                <w:noProof/>
                <w:lang w:eastAsia="en-AU"/>
              </w:rPr>
            </w:pPr>
            <w:r>
              <w:rPr>
                <w:noProof/>
                <w:lang w:eastAsia="en-AU"/>
              </w:rPr>
              <w:t>1.0% (0.6, 1.4)</w:t>
            </w:r>
          </w:p>
        </w:tc>
        <w:tc>
          <w:tcPr>
            <w:tcW w:w="1985" w:type="dxa"/>
          </w:tcPr>
          <w:p w14:paraId="32B03D01" w14:textId="77777777" w:rsidR="00BE0DC8" w:rsidRDefault="00BE0DC8" w:rsidP="00077D16">
            <w:pPr>
              <w:pStyle w:val="TableText0"/>
              <w:keepNext/>
              <w:jc w:val="center"/>
              <w:rPr>
                <w:noProof/>
                <w:lang w:eastAsia="en-AU"/>
              </w:rPr>
            </w:pPr>
            <w:r>
              <w:rPr>
                <w:noProof/>
                <w:lang w:eastAsia="en-AU"/>
              </w:rPr>
              <w:t>1.1% (0.5, 1.7)</w:t>
            </w:r>
          </w:p>
        </w:tc>
        <w:tc>
          <w:tcPr>
            <w:tcW w:w="2409" w:type="dxa"/>
          </w:tcPr>
          <w:p w14:paraId="2E212D1A" w14:textId="77777777" w:rsidR="00BE0DC8" w:rsidRDefault="00BE0DC8" w:rsidP="00077D16">
            <w:pPr>
              <w:pStyle w:val="TableText0"/>
              <w:keepNext/>
              <w:jc w:val="center"/>
              <w:rPr>
                <w:noProof/>
                <w:lang w:eastAsia="en-AU"/>
              </w:rPr>
            </w:pPr>
            <w:r>
              <w:rPr>
                <w:noProof/>
                <w:lang w:eastAsia="en-AU"/>
              </w:rPr>
              <w:t>-0.1%</w:t>
            </w:r>
          </w:p>
        </w:tc>
      </w:tr>
      <w:tr w:rsidR="00BE0DC8" w14:paraId="7D9C3B9C" w14:textId="77777777" w:rsidTr="00BE0DC8">
        <w:tc>
          <w:tcPr>
            <w:tcW w:w="988" w:type="dxa"/>
            <w:vMerge/>
          </w:tcPr>
          <w:p w14:paraId="6788B13E" w14:textId="77777777" w:rsidR="00BE0DC8" w:rsidRDefault="00BE0DC8" w:rsidP="00077D16">
            <w:pPr>
              <w:pStyle w:val="TableText0"/>
              <w:keepNext/>
              <w:jc w:val="center"/>
              <w:rPr>
                <w:noProof/>
                <w:lang w:eastAsia="en-AU"/>
              </w:rPr>
            </w:pPr>
          </w:p>
        </w:tc>
        <w:tc>
          <w:tcPr>
            <w:tcW w:w="1559" w:type="dxa"/>
          </w:tcPr>
          <w:p w14:paraId="365FF429" w14:textId="2656B5C9" w:rsidR="00BE0DC8" w:rsidRDefault="00BE0DC8" w:rsidP="00077D16">
            <w:pPr>
              <w:pStyle w:val="TableText0"/>
              <w:keepNext/>
              <w:jc w:val="center"/>
              <w:rPr>
                <w:noProof/>
                <w:lang w:eastAsia="en-AU"/>
              </w:rPr>
            </w:pPr>
            <w:r>
              <w:rPr>
                <w:noProof/>
                <w:lang w:eastAsia="en-AU"/>
              </w:rPr>
              <w:t>2</w:t>
            </w:r>
          </w:p>
        </w:tc>
        <w:tc>
          <w:tcPr>
            <w:tcW w:w="2126" w:type="dxa"/>
          </w:tcPr>
          <w:p w14:paraId="1A269D57" w14:textId="77777777" w:rsidR="00BE0DC8" w:rsidRDefault="00BE0DC8" w:rsidP="00077D16">
            <w:pPr>
              <w:pStyle w:val="TableText0"/>
              <w:keepNext/>
              <w:jc w:val="center"/>
              <w:rPr>
                <w:noProof/>
                <w:lang w:eastAsia="en-AU"/>
              </w:rPr>
            </w:pPr>
            <w:r>
              <w:rPr>
                <w:noProof/>
                <w:lang w:eastAsia="en-AU"/>
              </w:rPr>
              <w:t>2.8% (2.1, 3.5)</w:t>
            </w:r>
          </w:p>
        </w:tc>
        <w:tc>
          <w:tcPr>
            <w:tcW w:w="1985" w:type="dxa"/>
          </w:tcPr>
          <w:p w14:paraId="566EE147" w14:textId="77777777" w:rsidR="00BE0DC8" w:rsidRDefault="00BE0DC8" w:rsidP="00077D16">
            <w:pPr>
              <w:pStyle w:val="TableText0"/>
              <w:keepNext/>
              <w:jc w:val="center"/>
              <w:rPr>
                <w:noProof/>
                <w:lang w:eastAsia="en-AU"/>
              </w:rPr>
            </w:pPr>
            <w:r>
              <w:rPr>
                <w:noProof/>
                <w:lang w:eastAsia="en-AU"/>
              </w:rPr>
              <w:t>2.5% (1.5, 3.5))</w:t>
            </w:r>
          </w:p>
        </w:tc>
        <w:tc>
          <w:tcPr>
            <w:tcW w:w="2409" w:type="dxa"/>
          </w:tcPr>
          <w:p w14:paraId="76C5565A" w14:textId="77777777" w:rsidR="00BE0DC8" w:rsidRDefault="00BE0DC8" w:rsidP="00077D16">
            <w:pPr>
              <w:pStyle w:val="TableText0"/>
              <w:keepNext/>
              <w:jc w:val="center"/>
              <w:rPr>
                <w:noProof/>
                <w:lang w:eastAsia="en-AU"/>
              </w:rPr>
            </w:pPr>
            <w:r>
              <w:rPr>
                <w:noProof/>
                <w:lang w:eastAsia="en-AU"/>
              </w:rPr>
              <w:t>0.3%</w:t>
            </w:r>
          </w:p>
        </w:tc>
      </w:tr>
      <w:tr w:rsidR="00BE0DC8" w14:paraId="50B17472" w14:textId="77777777" w:rsidTr="00BE0DC8">
        <w:tc>
          <w:tcPr>
            <w:tcW w:w="988" w:type="dxa"/>
            <w:vMerge/>
          </w:tcPr>
          <w:p w14:paraId="025ACD7C" w14:textId="77777777" w:rsidR="00BE0DC8" w:rsidRDefault="00BE0DC8" w:rsidP="00077D16">
            <w:pPr>
              <w:pStyle w:val="TableText0"/>
              <w:keepNext/>
              <w:jc w:val="center"/>
              <w:rPr>
                <w:noProof/>
                <w:lang w:eastAsia="en-AU"/>
              </w:rPr>
            </w:pPr>
          </w:p>
        </w:tc>
        <w:tc>
          <w:tcPr>
            <w:tcW w:w="1559" w:type="dxa"/>
          </w:tcPr>
          <w:p w14:paraId="6DA7DBC9" w14:textId="02048479" w:rsidR="00BE0DC8" w:rsidRDefault="00BE0DC8" w:rsidP="00077D16">
            <w:pPr>
              <w:pStyle w:val="TableText0"/>
              <w:keepNext/>
              <w:jc w:val="center"/>
              <w:rPr>
                <w:noProof/>
                <w:lang w:eastAsia="en-AU"/>
              </w:rPr>
            </w:pPr>
            <w:r>
              <w:rPr>
                <w:noProof/>
                <w:lang w:eastAsia="en-AU"/>
              </w:rPr>
              <w:t>3</w:t>
            </w:r>
          </w:p>
        </w:tc>
        <w:tc>
          <w:tcPr>
            <w:tcW w:w="2126" w:type="dxa"/>
          </w:tcPr>
          <w:p w14:paraId="5BA7A1A2" w14:textId="77777777" w:rsidR="00BE0DC8" w:rsidRDefault="00BE0DC8" w:rsidP="00077D16">
            <w:pPr>
              <w:pStyle w:val="TableText0"/>
              <w:keepNext/>
              <w:jc w:val="center"/>
              <w:rPr>
                <w:noProof/>
                <w:lang w:eastAsia="en-AU"/>
              </w:rPr>
            </w:pPr>
            <w:r>
              <w:rPr>
                <w:noProof/>
                <w:lang w:eastAsia="en-AU"/>
              </w:rPr>
              <w:t>7.6% (6.4, 8.8)</w:t>
            </w:r>
          </w:p>
        </w:tc>
        <w:tc>
          <w:tcPr>
            <w:tcW w:w="1985" w:type="dxa"/>
          </w:tcPr>
          <w:p w14:paraId="48F0A82E" w14:textId="77777777" w:rsidR="00BE0DC8" w:rsidRDefault="00BE0DC8" w:rsidP="00077D16">
            <w:pPr>
              <w:pStyle w:val="TableText0"/>
              <w:keepNext/>
              <w:jc w:val="center"/>
              <w:rPr>
                <w:noProof/>
                <w:lang w:eastAsia="en-AU"/>
              </w:rPr>
            </w:pPr>
            <w:r>
              <w:rPr>
                <w:noProof/>
                <w:lang w:eastAsia="en-AU"/>
              </w:rPr>
              <w:t>5.7% (4.1, 7.2)</w:t>
            </w:r>
          </w:p>
        </w:tc>
        <w:tc>
          <w:tcPr>
            <w:tcW w:w="2409" w:type="dxa"/>
          </w:tcPr>
          <w:p w14:paraId="5370CEDE" w14:textId="77777777" w:rsidR="00BE0DC8" w:rsidRDefault="00BE0DC8" w:rsidP="00077D16">
            <w:pPr>
              <w:pStyle w:val="TableText0"/>
              <w:keepNext/>
              <w:jc w:val="center"/>
              <w:rPr>
                <w:noProof/>
                <w:lang w:eastAsia="en-AU"/>
              </w:rPr>
            </w:pPr>
            <w:r>
              <w:rPr>
                <w:noProof/>
                <w:lang w:eastAsia="en-AU"/>
              </w:rPr>
              <w:t>1.9%</w:t>
            </w:r>
          </w:p>
        </w:tc>
      </w:tr>
      <w:tr w:rsidR="00BE0DC8" w14:paraId="50B5D936" w14:textId="77777777" w:rsidTr="00BE0DC8">
        <w:tc>
          <w:tcPr>
            <w:tcW w:w="988" w:type="dxa"/>
            <w:vMerge w:val="restart"/>
          </w:tcPr>
          <w:p w14:paraId="4781593A" w14:textId="14948C6F" w:rsidR="00BE0DC8" w:rsidRDefault="00BE0DC8" w:rsidP="00077D16">
            <w:pPr>
              <w:pStyle w:val="TableText0"/>
              <w:keepNext/>
              <w:jc w:val="center"/>
              <w:rPr>
                <w:noProof/>
                <w:lang w:eastAsia="en-AU"/>
              </w:rPr>
            </w:pPr>
            <w:r>
              <w:rPr>
                <w:noProof/>
                <w:lang w:eastAsia="en-AU"/>
              </w:rPr>
              <w:t>High</w:t>
            </w:r>
          </w:p>
        </w:tc>
        <w:tc>
          <w:tcPr>
            <w:tcW w:w="1559" w:type="dxa"/>
          </w:tcPr>
          <w:p w14:paraId="4848D44C" w14:textId="2617D82B" w:rsidR="00BE0DC8" w:rsidRDefault="00BE0DC8" w:rsidP="00077D16">
            <w:pPr>
              <w:pStyle w:val="TableText0"/>
              <w:keepNext/>
              <w:jc w:val="center"/>
              <w:rPr>
                <w:noProof/>
                <w:lang w:eastAsia="en-AU"/>
              </w:rPr>
            </w:pPr>
            <w:r>
              <w:rPr>
                <w:noProof/>
                <w:lang w:eastAsia="en-AU"/>
              </w:rPr>
              <w:t>3.3</w:t>
            </w:r>
          </w:p>
        </w:tc>
        <w:tc>
          <w:tcPr>
            <w:tcW w:w="2126" w:type="dxa"/>
          </w:tcPr>
          <w:p w14:paraId="2D05335D" w14:textId="52754031" w:rsidR="00BE0DC8" w:rsidRDefault="00BE0DC8" w:rsidP="00077D16">
            <w:pPr>
              <w:pStyle w:val="TableText0"/>
              <w:keepNext/>
              <w:jc w:val="center"/>
              <w:rPr>
                <w:noProof/>
                <w:lang w:eastAsia="en-AU"/>
              </w:rPr>
            </w:pPr>
            <w:r>
              <w:rPr>
                <w:noProof/>
                <w:lang w:eastAsia="en-AU"/>
              </w:rPr>
              <w:t>10.2% (8.9, 11.6)</w:t>
            </w:r>
          </w:p>
        </w:tc>
        <w:tc>
          <w:tcPr>
            <w:tcW w:w="1985" w:type="dxa"/>
          </w:tcPr>
          <w:p w14:paraId="3B9042C3" w14:textId="413AAAEB" w:rsidR="00BE0DC8" w:rsidRDefault="00BE0DC8" w:rsidP="00077D16">
            <w:pPr>
              <w:pStyle w:val="TableText0"/>
              <w:keepNext/>
              <w:jc w:val="center"/>
              <w:rPr>
                <w:noProof/>
                <w:lang w:eastAsia="en-AU"/>
              </w:rPr>
            </w:pPr>
            <w:r>
              <w:rPr>
                <w:noProof/>
                <w:lang w:eastAsia="en-AU"/>
              </w:rPr>
              <w:t>7.2% (5.4, 8.9)</w:t>
            </w:r>
          </w:p>
        </w:tc>
        <w:tc>
          <w:tcPr>
            <w:tcW w:w="2409" w:type="dxa"/>
          </w:tcPr>
          <w:p w14:paraId="285E13B9" w14:textId="3FBC453C" w:rsidR="00BE0DC8" w:rsidRDefault="00BE0DC8" w:rsidP="00077D16">
            <w:pPr>
              <w:pStyle w:val="TableText0"/>
              <w:keepNext/>
              <w:jc w:val="center"/>
              <w:rPr>
                <w:noProof/>
                <w:lang w:eastAsia="en-AU"/>
              </w:rPr>
            </w:pPr>
            <w:r>
              <w:rPr>
                <w:noProof/>
                <w:lang w:eastAsia="en-AU"/>
              </w:rPr>
              <w:t>3.0%</w:t>
            </w:r>
          </w:p>
        </w:tc>
      </w:tr>
      <w:tr w:rsidR="00BE0DC8" w14:paraId="39CB3EA9" w14:textId="77777777" w:rsidTr="00BE0DC8">
        <w:tc>
          <w:tcPr>
            <w:tcW w:w="988" w:type="dxa"/>
            <w:vMerge/>
          </w:tcPr>
          <w:p w14:paraId="6D7F151E" w14:textId="77777777" w:rsidR="00BE0DC8" w:rsidRDefault="00BE0DC8" w:rsidP="00077D16">
            <w:pPr>
              <w:pStyle w:val="TableText0"/>
              <w:keepNext/>
              <w:jc w:val="center"/>
              <w:rPr>
                <w:noProof/>
                <w:lang w:eastAsia="en-AU"/>
              </w:rPr>
            </w:pPr>
          </w:p>
        </w:tc>
        <w:tc>
          <w:tcPr>
            <w:tcW w:w="1559" w:type="dxa"/>
          </w:tcPr>
          <w:p w14:paraId="42CD0ADC" w14:textId="7089B203" w:rsidR="00BE0DC8" w:rsidRDefault="00BE0DC8" w:rsidP="00077D16">
            <w:pPr>
              <w:pStyle w:val="TableText0"/>
              <w:keepNext/>
              <w:jc w:val="center"/>
              <w:rPr>
                <w:noProof/>
                <w:lang w:eastAsia="en-AU"/>
              </w:rPr>
            </w:pPr>
            <w:r>
              <w:rPr>
                <w:noProof/>
                <w:lang w:eastAsia="en-AU"/>
              </w:rPr>
              <w:t>4</w:t>
            </w:r>
          </w:p>
        </w:tc>
        <w:tc>
          <w:tcPr>
            <w:tcW w:w="2126" w:type="dxa"/>
          </w:tcPr>
          <w:p w14:paraId="4F2684C5" w14:textId="77777777" w:rsidR="00BE0DC8" w:rsidRDefault="00BE0DC8" w:rsidP="00077D16">
            <w:pPr>
              <w:pStyle w:val="TableText0"/>
              <w:keepNext/>
              <w:jc w:val="center"/>
              <w:rPr>
                <w:noProof/>
                <w:lang w:eastAsia="en-AU"/>
              </w:rPr>
            </w:pPr>
            <w:r>
              <w:rPr>
                <w:noProof/>
                <w:lang w:eastAsia="en-AU"/>
              </w:rPr>
              <w:t>19.8% (17.6, 22.0)</w:t>
            </w:r>
          </w:p>
        </w:tc>
        <w:tc>
          <w:tcPr>
            <w:tcW w:w="1985" w:type="dxa"/>
          </w:tcPr>
          <w:p w14:paraId="13C05428" w14:textId="77777777" w:rsidR="00BE0DC8" w:rsidRDefault="00BE0DC8" w:rsidP="00077D16">
            <w:pPr>
              <w:pStyle w:val="TableText0"/>
              <w:keepNext/>
              <w:jc w:val="center"/>
              <w:rPr>
                <w:noProof/>
                <w:lang w:eastAsia="en-AU"/>
              </w:rPr>
            </w:pPr>
            <w:r>
              <w:rPr>
                <w:noProof/>
                <w:lang w:eastAsia="en-AU"/>
              </w:rPr>
              <w:t>12.4% (10.1, 14.6)</w:t>
            </w:r>
          </w:p>
        </w:tc>
        <w:tc>
          <w:tcPr>
            <w:tcW w:w="2409" w:type="dxa"/>
          </w:tcPr>
          <w:p w14:paraId="54694D29" w14:textId="77777777" w:rsidR="00BE0DC8" w:rsidRDefault="00BE0DC8" w:rsidP="00077D16">
            <w:pPr>
              <w:pStyle w:val="TableText0"/>
              <w:keepNext/>
              <w:jc w:val="center"/>
              <w:rPr>
                <w:noProof/>
                <w:lang w:eastAsia="en-AU"/>
              </w:rPr>
            </w:pPr>
            <w:r>
              <w:rPr>
                <w:noProof/>
                <w:lang w:eastAsia="en-AU"/>
              </w:rPr>
              <w:t>7.4%</w:t>
            </w:r>
          </w:p>
        </w:tc>
      </w:tr>
      <w:tr w:rsidR="00BE0DC8" w14:paraId="369ACB36" w14:textId="77777777" w:rsidTr="00BE0DC8">
        <w:tc>
          <w:tcPr>
            <w:tcW w:w="988" w:type="dxa"/>
            <w:vMerge/>
          </w:tcPr>
          <w:p w14:paraId="7E5DA4E6" w14:textId="77777777" w:rsidR="00BE0DC8" w:rsidRDefault="00BE0DC8" w:rsidP="00077D16">
            <w:pPr>
              <w:pStyle w:val="TableText0"/>
              <w:keepNext/>
              <w:jc w:val="center"/>
              <w:rPr>
                <w:noProof/>
                <w:lang w:eastAsia="en-AU"/>
              </w:rPr>
            </w:pPr>
          </w:p>
        </w:tc>
        <w:tc>
          <w:tcPr>
            <w:tcW w:w="1559" w:type="dxa"/>
          </w:tcPr>
          <w:p w14:paraId="452FA84B" w14:textId="3F5A1829" w:rsidR="00BE0DC8" w:rsidRDefault="00BE0DC8" w:rsidP="00077D16">
            <w:pPr>
              <w:pStyle w:val="TableText0"/>
              <w:keepNext/>
              <w:jc w:val="center"/>
              <w:rPr>
                <w:noProof/>
                <w:lang w:eastAsia="en-AU"/>
              </w:rPr>
            </w:pPr>
            <w:r>
              <w:rPr>
                <w:noProof/>
                <w:lang w:eastAsia="en-AU"/>
              </w:rPr>
              <w:t>5</w:t>
            </w:r>
          </w:p>
        </w:tc>
        <w:tc>
          <w:tcPr>
            <w:tcW w:w="2126" w:type="dxa"/>
          </w:tcPr>
          <w:p w14:paraId="5058295A" w14:textId="77777777" w:rsidR="00BE0DC8" w:rsidRDefault="00BE0DC8" w:rsidP="00077D16">
            <w:pPr>
              <w:pStyle w:val="TableText0"/>
              <w:keepNext/>
              <w:jc w:val="center"/>
              <w:rPr>
                <w:noProof/>
                <w:lang w:eastAsia="en-AU"/>
              </w:rPr>
            </w:pPr>
            <w:r>
              <w:rPr>
                <w:noProof/>
                <w:lang w:eastAsia="en-AU"/>
              </w:rPr>
              <w:t>46.1% (40.2, 51.4)</w:t>
            </w:r>
          </w:p>
        </w:tc>
        <w:tc>
          <w:tcPr>
            <w:tcW w:w="1985" w:type="dxa"/>
          </w:tcPr>
          <w:p w14:paraId="61372EF2" w14:textId="77777777" w:rsidR="00BE0DC8" w:rsidRDefault="00BE0DC8" w:rsidP="00077D16">
            <w:pPr>
              <w:pStyle w:val="TableText0"/>
              <w:keepNext/>
              <w:jc w:val="center"/>
              <w:rPr>
                <w:noProof/>
                <w:lang w:eastAsia="en-AU"/>
              </w:rPr>
            </w:pPr>
            <w:r>
              <w:rPr>
                <w:noProof/>
                <w:lang w:eastAsia="en-AU"/>
              </w:rPr>
              <w:t>25.8% (22.0, 29.5)</w:t>
            </w:r>
          </w:p>
        </w:tc>
        <w:tc>
          <w:tcPr>
            <w:tcW w:w="2409" w:type="dxa"/>
          </w:tcPr>
          <w:p w14:paraId="1D10DE2C" w14:textId="77777777" w:rsidR="00BE0DC8" w:rsidRDefault="00BE0DC8" w:rsidP="00077D16">
            <w:pPr>
              <w:pStyle w:val="TableText0"/>
              <w:keepNext/>
              <w:jc w:val="center"/>
              <w:rPr>
                <w:noProof/>
                <w:lang w:eastAsia="en-AU"/>
              </w:rPr>
            </w:pPr>
            <w:r>
              <w:rPr>
                <w:noProof/>
                <w:lang w:eastAsia="en-AU"/>
              </w:rPr>
              <w:t>20.3%</w:t>
            </w:r>
          </w:p>
        </w:tc>
      </w:tr>
      <w:tr w:rsidR="00BE0DC8" w14:paraId="266D2F1C" w14:textId="77777777" w:rsidTr="00BE0DC8">
        <w:tc>
          <w:tcPr>
            <w:tcW w:w="988" w:type="dxa"/>
            <w:vMerge/>
          </w:tcPr>
          <w:p w14:paraId="3A1F6082" w14:textId="77777777" w:rsidR="00BE0DC8" w:rsidRDefault="00BE0DC8" w:rsidP="00077D16">
            <w:pPr>
              <w:pStyle w:val="TableText0"/>
              <w:keepNext/>
              <w:jc w:val="center"/>
              <w:rPr>
                <w:noProof/>
                <w:lang w:eastAsia="en-AU"/>
              </w:rPr>
            </w:pPr>
          </w:p>
        </w:tc>
        <w:tc>
          <w:tcPr>
            <w:tcW w:w="1559" w:type="dxa"/>
          </w:tcPr>
          <w:p w14:paraId="6B72B28D" w14:textId="698BFABF" w:rsidR="00BE0DC8" w:rsidRDefault="00BE0DC8" w:rsidP="00077D16">
            <w:pPr>
              <w:pStyle w:val="TableText0"/>
              <w:keepNext/>
              <w:jc w:val="center"/>
              <w:rPr>
                <w:noProof/>
                <w:lang w:eastAsia="en-AU"/>
              </w:rPr>
            </w:pPr>
            <w:r>
              <w:rPr>
                <w:noProof/>
                <w:lang w:eastAsia="en-AU"/>
              </w:rPr>
              <w:t>6</w:t>
            </w:r>
          </w:p>
        </w:tc>
        <w:tc>
          <w:tcPr>
            <w:tcW w:w="2126" w:type="dxa"/>
          </w:tcPr>
          <w:p w14:paraId="2A38C68E" w14:textId="77777777" w:rsidR="00BE0DC8" w:rsidRDefault="00BE0DC8" w:rsidP="00077D16">
            <w:pPr>
              <w:pStyle w:val="TableText0"/>
              <w:keepNext/>
              <w:jc w:val="center"/>
              <w:rPr>
                <w:noProof/>
                <w:lang w:eastAsia="en-AU"/>
              </w:rPr>
            </w:pPr>
            <w:r>
              <w:rPr>
                <w:noProof/>
                <w:lang w:eastAsia="en-AU"/>
              </w:rPr>
              <w:t>82.2% (72.1, 88.6)</w:t>
            </w:r>
          </w:p>
        </w:tc>
        <w:tc>
          <w:tcPr>
            <w:tcW w:w="1985" w:type="dxa"/>
          </w:tcPr>
          <w:p w14:paraId="5F260ED3" w14:textId="77777777" w:rsidR="00BE0DC8" w:rsidRDefault="00BE0DC8" w:rsidP="00077D16">
            <w:pPr>
              <w:pStyle w:val="TableText0"/>
              <w:keepNext/>
              <w:jc w:val="center"/>
              <w:rPr>
                <w:noProof/>
                <w:lang w:eastAsia="en-AU"/>
              </w:rPr>
            </w:pPr>
            <w:r>
              <w:rPr>
                <w:noProof/>
                <w:lang w:eastAsia="en-AU"/>
              </w:rPr>
              <w:t>49.2% (40.5, 56.7)</w:t>
            </w:r>
          </w:p>
        </w:tc>
        <w:tc>
          <w:tcPr>
            <w:tcW w:w="2409" w:type="dxa"/>
          </w:tcPr>
          <w:p w14:paraId="52139B4E" w14:textId="77777777" w:rsidR="00BE0DC8" w:rsidRDefault="00BE0DC8" w:rsidP="00077D16">
            <w:pPr>
              <w:pStyle w:val="TableText0"/>
              <w:keepNext/>
              <w:jc w:val="center"/>
              <w:rPr>
                <w:noProof/>
                <w:lang w:eastAsia="en-AU"/>
              </w:rPr>
            </w:pPr>
            <w:r>
              <w:rPr>
                <w:noProof/>
                <w:lang w:eastAsia="en-AU"/>
              </w:rPr>
              <w:t>33.0%</w:t>
            </w:r>
          </w:p>
        </w:tc>
      </w:tr>
    </w:tbl>
    <w:p w14:paraId="45B506BC" w14:textId="17FF8E64" w:rsidR="002056CD" w:rsidRDefault="002056CD" w:rsidP="00077D16">
      <w:pPr>
        <w:pStyle w:val="Tablenotes0"/>
        <w:keepNext/>
        <w:spacing w:before="0" w:after="0"/>
        <w:contextualSpacing w:val="0"/>
        <w:rPr>
          <w:noProof/>
          <w:lang w:eastAsia="en-AU"/>
        </w:rPr>
      </w:pPr>
      <w:r>
        <w:rPr>
          <w:noProof/>
          <w:lang w:eastAsia="en-AU"/>
        </w:rPr>
        <w:t xml:space="preserve">CI = confidence interval; DR = distant recurrence; </w:t>
      </w:r>
      <w:r w:rsidRPr="00BE49E7">
        <w:rPr>
          <w:noProof/>
          <w:lang w:eastAsia="en-AU"/>
        </w:rPr>
        <w:t xml:space="preserve">ET </w:t>
      </w:r>
      <w:r>
        <w:rPr>
          <w:noProof/>
          <w:lang w:eastAsia="en-AU"/>
        </w:rPr>
        <w:t xml:space="preserve">= </w:t>
      </w:r>
      <w:r w:rsidRPr="00BE49E7">
        <w:rPr>
          <w:noProof/>
          <w:lang w:eastAsia="en-AU"/>
        </w:rPr>
        <w:t>endocrine therapy</w:t>
      </w:r>
      <w:r>
        <w:rPr>
          <w:noProof/>
          <w:lang w:eastAsia="en-AU"/>
        </w:rPr>
        <w:t>;</w:t>
      </w:r>
      <w:r w:rsidRPr="00BE49E7">
        <w:rPr>
          <w:noProof/>
          <w:lang w:eastAsia="en-AU"/>
        </w:rPr>
        <w:t xml:space="preserve"> ET + C</w:t>
      </w:r>
      <w:r w:rsidR="00D04AA1">
        <w:rPr>
          <w:noProof/>
          <w:lang w:eastAsia="en-AU"/>
        </w:rPr>
        <w:t>TX</w:t>
      </w:r>
      <w:r>
        <w:rPr>
          <w:noProof/>
          <w:lang w:eastAsia="en-AU"/>
        </w:rPr>
        <w:t xml:space="preserve"> =</w:t>
      </w:r>
      <w:r w:rsidRPr="00BE49E7">
        <w:rPr>
          <w:noProof/>
          <w:lang w:eastAsia="en-AU"/>
        </w:rPr>
        <w:t xml:space="preserve"> endocrine therapy plus chemotherapy</w:t>
      </w:r>
      <w:r>
        <w:rPr>
          <w:noProof/>
          <w:lang w:eastAsia="en-AU"/>
        </w:rPr>
        <w:t>;</w:t>
      </w:r>
      <w:r w:rsidRPr="00BE49E7">
        <w:rPr>
          <w:noProof/>
          <w:lang w:eastAsia="en-AU"/>
        </w:rPr>
        <w:t xml:space="preserve"> EPclin </w:t>
      </w:r>
      <w:r>
        <w:rPr>
          <w:noProof/>
          <w:lang w:eastAsia="en-AU"/>
        </w:rPr>
        <w:t xml:space="preserve">= </w:t>
      </w:r>
      <w:r w:rsidR="00D50E5C">
        <w:rPr>
          <w:noProof/>
          <w:lang w:eastAsia="en-AU"/>
        </w:rPr>
        <w:t>EndoPredict</w:t>
      </w:r>
      <w:r w:rsidR="005F1260" w:rsidRPr="005F1260">
        <w:rPr>
          <w:noProof/>
          <w:vertAlign w:val="superscript"/>
          <w:lang w:eastAsia="en-AU"/>
        </w:rPr>
        <w:t>®</w:t>
      </w:r>
      <w:r w:rsidRPr="00BE49E7">
        <w:rPr>
          <w:noProof/>
          <w:lang w:eastAsia="en-AU"/>
        </w:rPr>
        <w:t xml:space="preserve"> </w:t>
      </w:r>
      <w:r w:rsidR="004C2EF0">
        <w:t xml:space="preserve">+ clinical algorithm </w:t>
      </w:r>
      <w:r w:rsidR="00D04AA1">
        <w:rPr>
          <w:noProof/>
          <w:lang w:eastAsia="en-AU"/>
        </w:rPr>
        <w:t>score</w:t>
      </w:r>
      <w:r w:rsidR="000F0726">
        <w:rPr>
          <w:noProof/>
          <w:lang w:eastAsia="en-AU"/>
        </w:rPr>
        <w:t>.</w:t>
      </w:r>
    </w:p>
    <w:p w14:paraId="4CD031AA" w14:textId="77777777" w:rsidR="002056CD" w:rsidRDefault="002056CD" w:rsidP="00BE0DC8">
      <w:pPr>
        <w:pStyle w:val="Tablenotes0"/>
        <w:spacing w:before="0"/>
        <w:rPr>
          <w:noProof/>
          <w:lang w:eastAsia="en-AU"/>
        </w:rPr>
      </w:pPr>
      <w:r>
        <w:rPr>
          <w:noProof/>
          <w:lang w:eastAsia="en-AU"/>
        </w:rPr>
        <w:t>Source: Modified from Sestak et al (2019)</w:t>
      </w:r>
    </w:p>
    <w:p w14:paraId="6A0E18A7" w14:textId="78C4CBE6" w:rsidR="002056CD" w:rsidRPr="001B4DDB" w:rsidRDefault="000D6F52" w:rsidP="00077D16">
      <w:pPr>
        <w:keepNext/>
        <w:rPr>
          <w:rFonts w:ascii="Franklin Gothic Book" w:hAnsi="Franklin Gothic Book"/>
          <w:b/>
          <w:i/>
        </w:rPr>
      </w:pPr>
      <w:r w:rsidRPr="001B4DDB">
        <w:rPr>
          <w:rFonts w:ascii="Franklin Gothic Book" w:hAnsi="Franklin Gothic Book"/>
          <w:b/>
          <w:i/>
        </w:rPr>
        <w:lastRenderedPageBreak/>
        <w:t>Comments on Sestak et al</w:t>
      </w:r>
      <w:r w:rsidR="008A5FE8" w:rsidRPr="001B4DDB">
        <w:rPr>
          <w:rFonts w:ascii="Franklin Gothic Book" w:hAnsi="Franklin Gothic Book"/>
          <w:b/>
          <w:i/>
        </w:rPr>
        <w:t xml:space="preserve"> 2019</w:t>
      </w:r>
    </w:p>
    <w:p w14:paraId="39D4ACF7" w14:textId="7956D4C7" w:rsidR="002056CD" w:rsidRPr="001B4DDB" w:rsidRDefault="002056CD" w:rsidP="002056CD">
      <w:pPr>
        <w:rPr>
          <w:rFonts w:ascii="Franklin Gothic Book" w:hAnsi="Franklin Gothic Book"/>
          <w:noProof/>
          <w:lang w:eastAsia="en-AU"/>
        </w:rPr>
      </w:pPr>
      <w:r w:rsidRPr="001B4DDB">
        <w:rPr>
          <w:rFonts w:ascii="Franklin Gothic Book" w:hAnsi="Franklin Gothic Book"/>
          <w:noProof/>
          <w:lang w:eastAsia="en-AU"/>
        </w:rPr>
        <w:t xml:space="preserve">The </w:t>
      </w:r>
      <w:r w:rsidR="00814F04" w:rsidRPr="001B4DDB">
        <w:rPr>
          <w:rFonts w:ascii="Franklin Gothic Book" w:hAnsi="Franklin Gothic Book"/>
          <w:noProof/>
          <w:lang w:eastAsia="en-AU"/>
        </w:rPr>
        <w:t xml:space="preserve">previously considered </w:t>
      </w:r>
      <w:r w:rsidRPr="001B4DDB">
        <w:rPr>
          <w:rFonts w:ascii="Franklin Gothic Book" w:hAnsi="Franklin Gothic Book"/>
          <w:noProof/>
          <w:lang w:eastAsia="en-AU"/>
        </w:rPr>
        <w:t>retrospective analysis by Sestak et al (2019) included patients who were postmenopausal and premenopausal, and those who had received either endocrine therapy alone or endocrine plus chemotherapy followng 5 years of endocrine treatment, albeit from different trials. Differences in the trials increases uncertainty in between arm comparisons, thereby potentially decreasing the internal validity of the study. Retrospective study design can also introduce selective population bias.</w:t>
      </w:r>
    </w:p>
    <w:p w14:paraId="2EFC4198" w14:textId="5D5CC8D4" w:rsidR="002056CD" w:rsidRPr="001B4DDB" w:rsidRDefault="002056CD" w:rsidP="002056CD">
      <w:pPr>
        <w:rPr>
          <w:rFonts w:ascii="Franklin Gothic Book" w:hAnsi="Franklin Gothic Book"/>
          <w:noProof/>
          <w:lang w:eastAsia="en-AU"/>
        </w:rPr>
      </w:pPr>
      <w:r w:rsidRPr="001B4DDB">
        <w:rPr>
          <w:rFonts w:ascii="Franklin Gothic Book" w:hAnsi="Franklin Gothic Book"/>
          <w:noProof/>
          <w:lang w:eastAsia="en-AU"/>
        </w:rPr>
        <w:t>When popu</w:t>
      </w:r>
      <w:r w:rsidR="00394717" w:rsidRPr="001B4DDB">
        <w:rPr>
          <w:rFonts w:ascii="Franklin Gothic Book" w:hAnsi="Franklin Gothic Book"/>
          <w:noProof/>
          <w:lang w:eastAsia="en-AU"/>
        </w:rPr>
        <w:t>l</w:t>
      </w:r>
      <w:r w:rsidRPr="001B4DDB">
        <w:rPr>
          <w:rFonts w:ascii="Franklin Gothic Book" w:hAnsi="Franklin Gothic Book"/>
          <w:noProof/>
          <w:lang w:eastAsia="en-AU"/>
        </w:rPr>
        <w:t xml:space="preserve">ations </w:t>
      </w:r>
      <w:r w:rsidR="00394717" w:rsidRPr="001B4DDB">
        <w:rPr>
          <w:rFonts w:ascii="Franklin Gothic Book" w:hAnsi="Franklin Gothic Book"/>
          <w:noProof/>
          <w:lang w:eastAsia="en-AU"/>
        </w:rPr>
        <w:t xml:space="preserve">were compared </w:t>
      </w:r>
      <w:r w:rsidRPr="001B4DDB">
        <w:rPr>
          <w:rFonts w:ascii="Franklin Gothic Book" w:hAnsi="Franklin Gothic Book"/>
          <w:noProof/>
          <w:lang w:eastAsia="en-AU"/>
        </w:rPr>
        <w:t>between trial arms, those receiving chemotherapy were more likely to be of younger age, have a later tumour stage and larger number of positive nodes than those receiving endocrine therapy alone. The fact that the po</w:t>
      </w:r>
      <w:r w:rsidR="00394717" w:rsidRPr="001B4DDB">
        <w:rPr>
          <w:rFonts w:ascii="Franklin Gothic Book" w:hAnsi="Franklin Gothic Book"/>
          <w:noProof/>
          <w:lang w:eastAsia="en-AU"/>
        </w:rPr>
        <w:t>p</w:t>
      </w:r>
      <w:r w:rsidRPr="001B4DDB">
        <w:rPr>
          <w:rFonts w:ascii="Franklin Gothic Book" w:hAnsi="Franklin Gothic Book"/>
          <w:noProof/>
          <w:lang w:eastAsia="en-AU"/>
        </w:rPr>
        <w:t>ulation had received five years of endocrine therapy before beginning chemotherapy also differentiates this study population from the indicated population.</w:t>
      </w:r>
    </w:p>
    <w:p w14:paraId="7306CA90" w14:textId="43ED4E2F" w:rsidR="002056CD" w:rsidRPr="001B4DDB" w:rsidRDefault="002056CD" w:rsidP="002056CD">
      <w:pPr>
        <w:rPr>
          <w:rFonts w:ascii="Franklin Gothic Book" w:hAnsi="Franklin Gothic Book"/>
        </w:rPr>
      </w:pPr>
      <w:r w:rsidRPr="001B4DDB">
        <w:rPr>
          <w:rFonts w:ascii="Franklin Gothic Book" w:hAnsi="Franklin Gothic Book"/>
          <w:noProof/>
          <w:lang w:eastAsia="en-AU"/>
        </w:rPr>
        <w:t>As with the increme</w:t>
      </w:r>
      <w:r w:rsidR="000D6F52" w:rsidRPr="001B4DDB">
        <w:rPr>
          <w:rFonts w:ascii="Franklin Gothic Book" w:hAnsi="Franklin Gothic Book"/>
          <w:noProof/>
          <w:lang w:eastAsia="en-AU"/>
        </w:rPr>
        <w:t>n</w:t>
      </w:r>
      <w:r w:rsidRPr="001B4DDB">
        <w:rPr>
          <w:rFonts w:ascii="Franklin Gothic Book" w:hAnsi="Franklin Gothic Book"/>
          <w:noProof/>
          <w:lang w:eastAsia="en-AU"/>
        </w:rPr>
        <w:t>tal prognostic evidence, those given an EPclin score were not previously stratified by clinical and pathological characteristics into low, intermediate and high risk, and therefore the results cannot be directly applied to the Australian intermediate risk population proposed for the new GEP</w:t>
      </w:r>
      <w:r w:rsidR="008A5FE8" w:rsidRPr="001B4DDB">
        <w:rPr>
          <w:rFonts w:ascii="Franklin Gothic Book" w:hAnsi="Franklin Gothic Book"/>
          <w:noProof/>
          <w:lang w:eastAsia="en-AU"/>
        </w:rPr>
        <w:t xml:space="preserve"> test</w:t>
      </w:r>
      <w:r w:rsidRPr="001B4DDB">
        <w:rPr>
          <w:rFonts w:ascii="Franklin Gothic Book" w:hAnsi="Franklin Gothic Book"/>
          <w:noProof/>
          <w:lang w:eastAsia="en-AU"/>
        </w:rPr>
        <w:t>. For example, there may be reduced applicabil</w:t>
      </w:r>
      <w:r w:rsidR="00C059C4" w:rsidRPr="001B4DDB">
        <w:rPr>
          <w:rFonts w:ascii="Franklin Gothic Book" w:hAnsi="Franklin Gothic Book"/>
          <w:noProof/>
          <w:lang w:eastAsia="en-AU"/>
        </w:rPr>
        <w:t>i</w:t>
      </w:r>
      <w:r w:rsidRPr="001B4DDB">
        <w:rPr>
          <w:rFonts w:ascii="Franklin Gothic Book" w:hAnsi="Franklin Gothic Book"/>
          <w:noProof/>
          <w:lang w:eastAsia="en-AU"/>
        </w:rPr>
        <w:t>ty of recurrence estimates, by EPclin score to the proposed population (i.e.</w:t>
      </w:r>
      <w:r w:rsidR="00C059C4" w:rsidRPr="001B4DDB">
        <w:rPr>
          <w:rFonts w:ascii="Franklin Gothic Book" w:hAnsi="Franklin Gothic Book"/>
          <w:noProof/>
          <w:lang w:eastAsia="en-AU"/>
        </w:rPr>
        <w:t xml:space="preserve"> </w:t>
      </w:r>
      <w:r w:rsidRPr="001B4DDB">
        <w:rPr>
          <w:rFonts w:ascii="Franklin Gothic Book" w:hAnsi="Franklin Gothic Book"/>
          <w:noProof/>
          <w:lang w:eastAsia="en-AU"/>
        </w:rPr>
        <w:t>would a patient with a score of 6 in the proposed Australian popualtion have a 10-year risk of 82.2% with ET alone, or 49.2% with ET + CTX).</w:t>
      </w:r>
    </w:p>
    <w:p w14:paraId="5EAAD00A" w14:textId="42064DBF" w:rsidR="00592218" w:rsidRPr="001B4DDB" w:rsidRDefault="00F851B9" w:rsidP="00844998">
      <w:pPr>
        <w:pStyle w:val="Heading4"/>
        <w:rPr>
          <w:rFonts w:ascii="Franklin Gothic Book" w:hAnsi="Franklin Gothic Book"/>
        </w:rPr>
      </w:pPr>
      <w:r w:rsidRPr="001B4DDB">
        <w:rPr>
          <w:rFonts w:ascii="Franklin Gothic Book" w:hAnsi="Franklin Gothic Book"/>
        </w:rPr>
        <w:t xml:space="preserve">Estimated </w:t>
      </w:r>
      <w:r w:rsidR="00FD541E" w:rsidRPr="001B4DDB">
        <w:rPr>
          <w:rFonts w:ascii="Franklin Gothic Book" w:hAnsi="Franklin Gothic Book"/>
        </w:rPr>
        <w:t xml:space="preserve">treatment benefit predictive </w:t>
      </w:r>
      <w:r w:rsidR="003A6E9E">
        <w:rPr>
          <w:rFonts w:ascii="Franklin Gothic Book" w:hAnsi="Franklin Gothic Book"/>
        </w:rPr>
        <w:t>value</w:t>
      </w:r>
      <w:r w:rsidR="00592218" w:rsidRPr="001B4DDB">
        <w:rPr>
          <w:rFonts w:ascii="Franklin Gothic Book" w:hAnsi="Franklin Gothic Book"/>
        </w:rPr>
        <w:t xml:space="preserve"> of </w:t>
      </w:r>
      <w:r w:rsidR="00D50E5C" w:rsidRPr="001B4DDB">
        <w:rPr>
          <w:rFonts w:ascii="Franklin Gothic Book" w:hAnsi="Franklin Gothic Book"/>
        </w:rPr>
        <w:t>EndoPredict</w:t>
      </w:r>
      <w:r w:rsidR="005F1260" w:rsidRPr="005F1260">
        <w:rPr>
          <w:rFonts w:ascii="Franklin Gothic Book" w:hAnsi="Franklin Gothic Book"/>
          <w:vertAlign w:val="superscript"/>
        </w:rPr>
        <w:t>®</w:t>
      </w:r>
      <w:r w:rsidRPr="001B4DDB">
        <w:rPr>
          <w:rFonts w:ascii="Franklin Gothic Book" w:hAnsi="Franklin Gothic Book"/>
        </w:rPr>
        <w:t xml:space="preserve"> from the linked evidence approach</w:t>
      </w:r>
    </w:p>
    <w:p w14:paraId="59FC07F7" w14:textId="06E173CE" w:rsidR="00592218" w:rsidRPr="001B4DDB" w:rsidRDefault="00592218" w:rsidP="00592218">
      <w:pPr>
        <w:rPr>
          <w:rFonts w:ascii="Franklin Gothic Book" w:hAnsi="Franklin Gothic Book"/>
        </w:rPr>
      </w:pPr>
      <w:bookmarkStart w:id="53" w:name="_Hlk103003759"/>
      <w:r w:rsidRPr="001B4DDB">
        <w:rPr>
          <w:rFonts w:ascii="Franklin Gothic Book" w:hAnsi="Franklin Gothic Book"/>
        </w:rPr>
        <w:t xml:space="preserve">Linking the </w:t>
      </w:r>
      <w:r w:rsidR="00814F04" w:rsidRPr="001B4DDB">
        <w:rPr>
          <w:rFonts w:ascii="Franklin Gothic Book" w:hAnsi="Franklin Gothic Book"/>
        </w:rPr>
        <w:t xml:space="preserve">updated </w:t>
      </w:r>
      <w:r w:rsidRPr="001B4DDB">
        <w:rPr>
          <w:rFonts w:ascii="Franklin Gothic Book" w:hAnsi="Franklin Gothic Book"/>
        </w:rPr>
        <w:t>change in management data by Din</w:t>
      </w:r>
      <w:r w:rsidR="001E5F60">
        <w:rPr>
          <w:rFonts w:ascii="Franklin Gothic Book" w:hAnsi="Franklin Gothic Book"/>
        </w:rPr>
        <w:t>h</w:t>
      </w:r>
      <w:r w:rsidRPr="001B4DDB">
        <w:rPr>
          <w:rFonts w:ascii="Franklin Gothic Book" w:hAnsi="Franklin Gothic Book"/>
        </w:rPr>
        <w:t xml:space="preserve"> et al. (2022) and the </w:t>
      </w:r>
      <w:r w:rsidR="00814F04" w:rsidRPr="001B4DDB">
        <w:rPr>
          <w:rFonts w:ascii="Franklin Gothic Book" w:hAnsi="Franklin Gothic Book"/>
        </w:rPr>
        <w:t xml:space="preserve">previously </w:t>
      </w:r>
      <w:r w:rsidR="00FD541E" w:rsidRPr="001B4DDB">
        <w:rPr>
          <w:rFonts w:ascii="Franklin Gothic Book" w:hAnsi="Franklin Gothic Book"/>
        </w:rPr>
        <w:t>considered</w:t>
      </w:r>
      <w:r w:rsidR="00814F04" w:rsidRPr="001B4DDB">
        <w:rPr>
          <w:rFonts w:ascii="Franklin Gothic Book" w:hAnsi="Franklin Gothic Book"/>
        </w:rPr>
        <w:t xml:space="preserve"> </w:t>
      </w:r>
      <w:r w:rsidRPr="001B4DDB">
        <w:rPr>
          <w:rFonts w:ascii="Franklin Gothic Book" w:hAnsi="Franklin Gothic Book"/>
        </w:rPr>
        <w:t>predictive information by Sestak et al. (2019), if 1000 patients at intermediate risk of breast cancer use EndoPredict</w:t>
      </w:r>
      <w:r w:rsidR="005F1260" w:rsidRPr="005F1260">
        <w:rPr>
          <w:rFonts w:ascii="Franklin Gothic Book" w:hAnsi="Franklin Gothic Book"/>
          <w:vertAlign w:val="superscript"/>
        </w:rPr>
        <w:t>®</w:t>
      </w:r>
      <w:r w:rsidRPr="001B4DDB">
        <w:rPr>
          <w:rFonts w:ascii="Franklin Gothic Book" w:hAnsi="Franklin Gothic Book"/>
        </w:rPr>
        <w:t>:</w:t>
      </w:r>
      <w:bookmarkEnd w:id="53"/>
    </w:p>
    <w:p w14:paraId="34CA83FF" w14:textId="52FA7DC9" w:rsidR="00592218" w:rsidRPr="001B4DDB" w:rsidRDefault="00592218" w:rsidP="00844998">
      <w:pPr>
        <w:tabs>
          <w:tab w:val="left" w:pos="993"/>
        </w:tabs>
        <w:ind w:left="720" w:hanging="294"/>
        <w:rPr>
          <w:rFonts w:ascii="Franklin Gothic Book" w:hAnsi="Franklin Gothic Book" w:cstheme="minorHAnsi"/>
          <w:iCs/>
        </w:rPr>
      </w:pPr>
      <w:bookmarkStart w:id="54" w:name="_Hlk103003869"/>
      <w:r w:rsidRPr="001B4DDB">
        <w:rPr>
          <w:rFonts w:ascii="Franklin Gothic Book" w:hAnsi="Franklin Gothic Book" w:cstheme="minorHAnsi"/>
          <w:iCs/>
        </w:rPr>
        <w:t>•</w:t>
      </w:r>
      <w:r w:rsidRPr="001B4DDB">
        <w:rPr>
          <w:rFonts w:ascii="Franklin Gothic Book" w:hAnsi="Franklin Gothic Book" w:cstheme="minorHAnsi"/>
          <w:iCs/>
        </w:rPr>
        <w:tab/>
        <w:t xml:space="preserve">740 patients receive an EPclin score </w:t>
      </w:r>
      <w:r w:rsidR="00BC34C7" w:rsidRPr="001B4DDB">
        <w:rPr>
          <w:rFonts w:ascii="Franklin Gothic Book" w:hAnsi="Franklin Gothic Book" w:cstheme="minorHAnsi"/>
          <w:iCs/>
        </w:rPr>
        <w:t>that</w:t>
      </w:r>
      <w:r w:rsidRPr="001B4DDB">
        <w:rPr>
          <w:rFonts w:ascii="Franklin Gothic Book" w:hAnsi="Franklin Gothic Book" w:cstheme="minorHAnsi"/>
          <w:iCs/>
        </w:rPr>
        <w:t xml:space="preserve"> is consistent with the treatment recommended by a multidisciplinary team (MDT)</w:t>
      </w:r>
    </w:p>
    <w:p w14:paraId="58368B60" w14:textId="5E5227E2" w:rsidR="00592218" w:rsidRPr="001B4DDB" w:rsidRDefault="00592218" w:rsidP="00844998">
      <w:pPr>
        <w:tabs>
          <w:tab w:val="left" w:pos="993"/>
        </w:tabs>
        <w:ind w:left="720" w:hanging="294"/>
        <w:rPr>
          <w:rFonts w:ascii="Franklin Gothic Book" w:hAnsi="Franklin Gothic Book" w:cstheme="minorHAnsi"/>
          <w:iCs/>
        </w:rPr>
      </w:pPr>
      <w:r w:rsidRPr="001B4DDB">
        <w:rPr>
          <w:rFonts w:ascii="Franklin Gothic Book" w:hAnsi="Franklin Gothic Book" w:cstheme="minorHAnsi"/>
          <w:iCs/>
        </w:rPr>
        <w:t>•</w:t>
      </w:r>
      <w:r w:rsidRPr="001B4DDB">
        <w:rPr>
          <w:rFonts w:ascii="Franklin Gothic Book" w:hAnsi="Franklin Gothic Book" w:cstheme="minorHAnsi"/>
          <w:iCs/>
        </w:rPr>
        <w:tab/>
        <w:t>149 patients have their classification of high risk (from MDT) downgraded to low risk by EPclin. 135 of these patients follow the EPclin suggestion that they may safely avoid chemotherapy</w:t>
      </w:r>
      <w:r w:rsidR="00F56E36" w:rsidRPr="001B4DDB">
        <w:rPr>
          <w:rFonts w:ascii="Franklin Gothic Book" w:hAnsi="Franklin Gothic Book" w:cstheme="minorHAnsi"/>
          <w:iCs/>
        </w:rPr>
        <w:t>, and avoid adverse events associated with chemotherapy</w:t>
      </w:r>
      <w:r w:rsidRPr="001B4DDB">
        <w:rPr>
          <w:rFonts w:ascii="Franklin Gothic Book" w:hAnsi="Franklin Gothic Book" w:cstheme="minorHAnsi"/>
          <w:iCs/>
        </w:rPr>
        <w:t xml:space="preserve">. No additional cases of recurrence are likely due to the avoidance of chemotherapy. </w:t>
      </w:r>
    </w:p>
    <w:p w14:paraId="1EF6857B" w14:textId="2FC4F171" w:rsidR="00592218" w:rsidRPr="001B4DDB" w:rsidRDefault="00592218">
      <w:pPr>
        <w:tabs>
          <w:tab w:val="left" w:pos="993"/>
        </w:tabs>
        <w:ind w:left="720" w:hanging="294"/>
        <w:rPr>
          <w:rFonts w:ascii="Franklin Gothic Book" w:hAnsi="Franklin Gothic Book" w:cstheme="minorHAnsi"/>
          <w:iCs/>
        </w:rPr>
      </w:pPr>
      <w:r w:rsidRPr="001B4DDB">
        <w:rPr>
          <w:rFonts w:ascii="Franklin Gothic Book" w:hAnsi="Franklin Gothic Book" w:cstheme="minorHAnsi"/>
          <w:iCs/>
        </w:rPr>
        <w:t>•</w:t>
      </w:r>
      <w:r w:rsidRPr="001B4DDB">
        <w:rPr>
          <w:rFonts w:ascii="Franklin Gothic Book" w:hAnsi="Franklin Gothic Book" w:cstheme="minorHAnsi"/>
          <w:iCs/>
        </w:rPr>
        <w:tab/>
        <w:t xml:space="preserve">112 patients have their classification of low risk (from MDT) upgraded to high risk by EPclin. 70 of these patients follow the EPclin suggestion that they would benefit from chemotherapy. </w:t>
      </w:r>
      <w:r w:rsidR="00F56E36" w:rsidRPr="001B4DDB">
        <w:rPr>
          <w:rFonts w:ascii="Franklin Gothic Book" w:hAnsi="Franklin Gothic Book" w:cstheme="minorHAnsi"/>
          <w:iCs/>
        </w:rPr>
        <w:t>Four</w:t>
      </w:r>
      <w:r w:rsidRPr="001B4DDB">
        <w:rPr>
          <w:rFonts w:ascii="Franklin Gothic Book" w:hAnsi="Franklin Gothic Book" w:cstheme="minorHAnsi"/>
          <w:iCs/>
        </w:rPr>
        <w:t xml:space="preserve"> patients benefit from the addition of chemotherapy by avoiding distant recurrence within 10 years, which they would have had in the absence of chemotherapy.</w:t>
      </w:r>
    </w:p>
    <w:p w14:paraId="316F4E79" w14:textId="524D1A20" w:rsidR="00FD541E" w:rsidRPr="001B4DDB" w:rsidRDefault="00FD541E" w:rsidP="00844998">
      <w:pPr>
        <w:tabs>
          <w:tab w:val="left" w:pos="993"/>
        </w:tabs>
        <w:rPr>
          <w:rFonts w:ascii="Franklin Gothic Book" w:hAnsi="Franklin Gothic Book" w:cstheme="minorHAnsi"/>
          <w:iCs/>
        </w:rPr>
      </w:pPr>
      <w:r w:rsidRPr="001B4DDB">
        <w:rPr>
          <w:rFonts w:ascii="Franklin Gothic Book" w:hAnsi="Franklin Gothic Book" w:cstheme="minorHAnsi"/>
          <w:iCs/>
        </w:rPr>
        <w:t xml:space="preserve">The evidence for treatment </w:t>
      </w:r>
      <w:proofErr w:type="gramStart"/>
      <w:r w:rsidRPr="001B4DDB">
        <w:rPr>
          <w:rFonts w:ascii="Franklin Gothic Book" w:hAnsi="Franklin Gothic Book" w:cstheme="minorHAnsi"/>
          <w:iCs/>
        </w:rPr>
        <w:t>benefit</w:t>
      </w:r>
      <w:proofErr w:type="gramEnd"/>
      <w:r w:rsidRPr="001B4DDB">
        <w:rPr>
          <w:rFonts w:ascii="Franklin Gothic Book" w:hAnsi="Franklin Gothic Book" w:cstheme="minorHAnsi"/>
          <w:iCs/>
        </w:rPr>
        <w:t xml:space="preserve"> predictive </w:t>
      </w:r>
      <w:r w:rsidR="003A6E9E">
        <w:rPr>
          <w:rFonts w:ascii="Franklin Gothic Book" w:hAnsi="Franklin Gothic Book" w:cstheme="minorHAnsi"/>
          <w:iCs/>
        </w:rPr>
        <w:t>value</w:t>
      </w:r>
      <w:r w:rsidRPr="001B4DDB">
        <w:rPr>
          <w:rFonts w:ascii="Franklin Gothic Book" w:hAnsi="Franklin Gothic Book" w:cstheme="minorHAnsi"/>
          <w:iCs/>
        </w:rPr>
        <w:t xml:space="preserve"> comes only from retrospective data from an indirect comparison – a prospective randomised trial directly assessing health outcomes is lacking. Considering the issues with the evidence, no strong conclusions could be drawn, noting that MSAC previously considered that “</w:t>
      </w:r>
      <w:r w:rsidRPr="00815375">
        <w:rPr>
          <w:rFonts w:ascii="Franklin Gothic Book" w:hAnsi="Franklin Gothic Book" w:cstheme="minorHAnsi"/>
          <w:i/>
        </w:rPr>
        <w:t>the retrospective analysis of three cohorts derived from four randomised clinical trials … could not be relied upon for decision making</w:t>
      </w:r>
      <w:r w:rsidRPr="001B4DDB">
        <w:rPr>
          <w:rFonts w:ascii="Franklin Gothic Book" w:hAnsi="Franklin Gothic Book" w:cstheme="minorHAnsi"/>
          <w:iCs/>
        </w:rPr>
        <w:t>” (1408 PSD</w:t>
      </w:r>
      <w:r w:rsidR="00E3774A">
        <w:rPr>
          <w:rFonts w:ascii="Franklin Gothic Book" w:hAnsi="Franklin Gothic Book" w:cstheme="minorHAnsi"/>
          <w:iCs/>
        </w:rPr>
        <w:t>, July 2021</w:t>
      </w:r>
      <w:r w:rsidRPr="001B4DDB">
        <w:rPr>
          <w:rFonts w:ascii="Franklin Gothic Book" w:hAnsi="Franklin Gothic Book" w:cstheme="minorHAnsi"/>
          <w:iCs/>
        </w:rPr>
        <w:t>).</w:t>
      </w:r>
    </w:p>
    <w:p w14:paraId="222A772F" w14:textId="47D67B40" w:rsidR="002056CD" w:rsidRPr="001B4DDB" w:rsidRDefault="002056CD" w:rsidP="002056CD">
      <w:pPr>
        <w:pStyle w:val="Heading2"/>
        <w:rPr>
          <w:rFonts w:ascii="Franklin Gothic Medium" w:hAnsi="Franklin Gothic Medium" w:cstheme="majorBidi"/>
        </w:rPr>
      </w:pPr>
      <w:bookmarkStart w:id="55" w:name="_Toc69491425"/>
      <w:bookmarkStart w:id="56" w:name="_Toc102569859"/>
      <w:bookmarkEnd w:id="54"/>
      <w:r w:rsidRPr="001B4DDB">
        <w:rPr>
          <w:rFonts w:ascii="Franklin Gothic Medium" w:hAnsi="Franklin Gothic Medium" w:cstheme="majorBidi"/>
        </w:rPr>
        <w:lastRenderedPageBreak/>
        <w:t>1</w:t>
      </w:r>
      <w:r w:rsidR="006A153F">
        <w:rPr>
          <w:rFonts w:ascii="Franklin Gothic Medium" w:hAnsi="Franklin Gothic Medium" w:cstheme="majorBidi"/>
        </w:rPr>
        <w:t>3</w:t>
      </w:r>
      <w:r w:rsidRPr="001B4DDB">
        <w:rPr>
          <w:rFonts w:ascii="Franklin Gothic Medium" w:hAnsi="Franklin Gothic Medium" w:cstheme="majorBidi"/>
        </w:rPr>
        <w:t>.</w:t>
      </w:r>
      <w:r w:rsidRPr="001B4DDB">
        <w:rPr>
          <w:rFonts w:ascii="Franklin Gothic Medium" w:hAnsi="Franklin Gothic Medium" w:cstheme="majorBidi"/>
        </w:rPr>
        <w:tab/>
        <w:t>Economic evaluation</w:t>
      </w:r>
      <w:bookmarkEnd w:id="55"/>
      <w:bookmarkEnd w:id="56"/>
    </w:p>
    <w:p w14:paraId="522B15F2" w14:textId="5F451CD8" w:rsidR="002056CD" w:rsidRPr="001B4DDB" w:rsidRDefault="002056CD" w:rsidP="00077D16">
      <w:pPr>
        <w:keepNext/>
        <w:rPr>
          <w:rFonts w:ascii="Franklin Gothic Book" w:hAnsi="Franklin Gothic Book"/>
        </w:rPr>
      </w:pPr>
      <w:bookmarkStart w:id="57" w:name="_Ref69725820"/>
      <w:r w:rsidRPr="001B4DDB">
        <w:rPr>
          <w:rFonts w:ascii="Franklin Gothic Book" w:hAnsi="Franklin Gothic Book"/>
        </w:rPr>
        <w:t xml:space="preserve">The </w:t>
      </w:r>
      <w:r w:rsidR="00DE5FBA" w:rsidRPr="001B4DDB">
        <w:rPr>
          <w:rFonts w:ascii="Franklin Gothic Book" w:hAnsi="Franklin Gothic Book"/>
        </w:rPr>
        <w:t xml:space="preserve">1408.1 </w:t>
      </w:r>
      <w:r w:rsidR="00815375">
        <w:rPr>
          <w:rFonts w:ascii="Franklin Gothic Book" w:hAnsi="Franklin Gothic Book"/>
          <w:iCs/>
        </w:rPr>
        <w:t>re-application</w:t>
      </w:r>
      <w:r w:rsidR="00DE5FBA" w:rsidRPr="001B4DDB">
        <w:rPr>
          <w:rFonts w:ascii="Franklin Gothic Book" w:hAnsi="Franklin Gothic Book"/>
        </w:rPr>
        <w:t xml:space="preserve"> </w:t>
      </w:r>
      <w:r w:rsidRPr="001B4DDB">
        <w:rPr>
          <w:rFonts w:ascii="Franklin Gothic Book" w:hAnsi="Franklin Gothic Book"/>
        </w:rPr>
        <w:t xml:space="preserve">presented an updated cost-utility analysis that compared treatment decisions with </w:t>
      </w:r>
      <w:r w:rsidR="00D50E5C" w:rsidRPr="001B4DDB">
        <w:rPr>
          <w:rFonts w:ascii="Franklin Gothic Book" w:hAnsi="Franklin Gothic Book"/>
        </w:rPr>
        <w:t>EndoPredict</w:t>
      </w:r>
      <w:r w:rsidR="005F1260" w:rsidRPr="005F1260">
        <w:rPr>
          <w:rFonts w:ascii="Franklin Gothic Book" w:hAnsi="Franklin Gothic Book"/>
          <w:vertAlign w:val="superscript"/>
        </w:rPr>
        <w:t>®</w:t>
      </w:r>
      <w:r w:rsidRPr="001B4DDB">
        <w:rPr>
          <w:rFonts w:ascii="Franklin Gothic Book" w:hAnsi="Franklin Gothic Book"/>
        </w:rPr>
        <w:t xml:space="preserve"> relative to the current standard of care, where treatment decisions are based on MDT. The analysis was updated to:</w:t>
      </w:r>
    </w:p>
    <w:p w14:paraId="59F5D6E1" w14:textId="3D9F859C" w:rsidR="002056CD" w:rsidRPr="001B4DDB" w:rsidRDefault="002056CD" w:rsidP="00E95EED">
      <w:pPr>
        <w:numPr>
          <w:ilvl w:val="0"/>
          <w:numId w:val="24"/>
        </w:numPr>
        <w:spacing w:before="120"/>
        <w:rPr>
          <w:rFonts w:ascii="Franklin Gothic Book" w:hAnsi="Franklin Gothic Book"/>
        </w:rPr>
      </w:pPr>
      <w:r w:rsidRPr="001B4DDB">
        <w:rPr>
          <w:rFonts w:ascii="Franklin Gothic Book" w:hAnsi="Franklin Gothic Book"/>
        </w:rPr>
        <w:t xml:space="preserve">incorporate data from the final analysis of the PROSPER study (compared to the interim </w:t>
      </w:r>
      <w:r w:rsidR="005543C2" w:rsidRPr="001B4DDB">
        <w:rPr>
          <w:rFonts w:ascii="Franklin Gothic Book" w:hAnsi="Franklin Gothic Book"/>
        </w:rPr>
        <w:t>analyses considered by MSAC in</w:t>
      </w:r>
      <w:r w:rsidRPr="001B4DDB">
        <w:rPr>
          <w:rFonts w:ascii="Franklin Gothic Book" w:hAnsi="Franklin Gothic Book"/>
        </w:rPr>
        <w:t xml:space="preserve"> November 2019</w:t>
      </w:r>
      <w:proofErr w:type="gramStart"/>
      <w:r w:rsidRPr="001B4DDB">
        <w:rPr>
          <w:rFonts w:ascii="Franklin Gothic Book" w:hAnsi="Franklin Gothic Book"/>
        </w:rPr>
        <w:t>);</w:t>
      </w:r>
      <w:proofErr w:type="gramEnd"/>
    </w:p>
    <w:p w14:paraId="47415A24" w14:textId="0CDC64CF" w:rsidR="002056CD" w:rsidRPr="001B4DDB" w:rsidRDefault="002056CD" w:rsidP="00E95EED">
      <w:pPr>
        <w:numPr>
          <w:ilvl w:val="0"/>
          <w:numId w:val="24"/>
        </w:numPr>
        <w:spacing w:before="120"/>
        <w:rPr>
          <w:rFonts w:ascii="Franklin Gothic Book" w:hAnsi="Franklin Gothic Book"/>
        </w:rPr>
      </w:pPr>
      <w:r w:rsidRPr="001B4DDB">
        <w:rPr>
          <w:rFonts w:ascii="Franklin Gothic Book" w:hAnsi="Franklin Gothic Book"/>
        </w:rPr>
        <w:t xml:space="preserve">apply a lower average </w:t>
      </w:r>
      <w:r w:rsidR="005543C2" w:rsidRPr="001B4DDB">
        <w:rPr>
          <w:rFonts w:ascii="Franklin Gothic Book" w:hAnsi="Franklin Gothic Book"/>
        </w:rPr>
        <w:t xml:space="preserve">fee per service that includes </w:t>
      </w:r>
      <w:r w:rsidR="00D50E5C" w:rsidRPr="001B4DDB">
        <w:rPr>
          <w:rFonts w:ascii="Franklin Gothic Book" w:hAnsi="Franklin Gothic Book"/>
        </w:rPr>
        <w:t>EndoPredict</w:t>
      </w:r>
      <w:r w:rsidR="005F1260" w:rsidRPr="005F1260">
        <w:rPr>
          <w:rFonts w:ascii="Franklin Gothic Book" w:hAnsi="Franklin Gothic Book"/>
          <w:vertAlign w:val="superscript"/>
        </w:rPr>
        <w:t>®</w:t>
      </w:r>
      <w:r w:rsidRPr="001B4DDB">
        <w:rPr>
          <w:rFonts w:ascii="Franklin Gothic Book" w:hAnsi="Franklin Gothic Book"/>
        </w:rPr>
        <w:t xml:space="preserve"> (reduced from </w:t>
      </w:r>
      <w:r w:rsidRPr="00F54557">
        <w:rPr>
          <w:rFonts w:ascii="Franklin Gothic Book" w:hAnsi="Franklin Gothic Book"/>
        </w:rPr>
        <w:t>$</w:t>
      </w:r>
      <w:r w:rsidR="00AE3E5D" w:rsidRPr="00AE3E5D">
        <w:rPr>
          <w:rFonts w:ascii="Franklin Gothic Book" w:hAnsi="Franklin Gothic Book" w:hint="eastAsia"/>
          <w:color w:val="000000"/>
          <w:w w:val="15"/>
          <w:shd w:val="solid" w:color="000000" w:fill="000000"/>
          <w:fitText w:val="83" w:id="-1437332472"/>
          <w14:textFill>
            <w14:solidFill>
              <w14:srgbClr w14:val="000000">
                <w14:alpha w14:val="100000"/>
              </w14:srgbClr>
            </w14:solidFill>
          </w14:textFill>
        </w:rPr>
        <w:t xml:space="preserve">　</w:t>
      </w:r>
      <w:proofErr w:type="gramStart"/>
      <w:r w:rsidR="00AE3E5D" w:rsidRPr="00AE3E5D">
        <w:rPr>
          <w:rFonts w:ascii="Franklin Gothic Book" w:hAnsi="Franklin Gothic Book"/>
          <w:color w:val="000000"/>
          <w:w w:val="15"/>
          <w:shd w:val="solid" w:color="000000" w:fill="000000"/>
          <w:fitText w:val="83" w:id="-1437332472"/>
          <w14:textFill>
            <w14:solidFill>
              <w14:srgbClr w14:val="000000">
                <w14:alpha w14:val="100000"/>
              </w14:srgbClr>
            </w14:solidFill>
          </w14:textFill>
        </w:rPr>
        <w:t>|</w:t>
      </w:r>
      <w:r w:rsidR="00AE3E5D" w:rsidRPr="00AE3E5D">
        <w:rPr>
          <w:rFonts w:ascii="Franklin Gothic Book" w:hAnsi="Franklin Gothic Book" w:hint="eastAsia"/>
          <w:color w:val="000000"/>
          <w:spacing w:val="1"/>
          <w:w w:val="15"/>
          <w:shd w:val="solid" w:color="000000" w:fill="000000"/>
          <w:fitText w:val="83" w:id="-1437332472"/>
          <w14:textFill>
            <w14:solidFill>
              <w14:srgbClr w14:val="000000">
                <w14:alpha w14:val="100000"/>
              </w14:srgbClr>
            </w14:solidFill>
          </w14:textFill>
        </w:rPr>
        <w:t xml:space="preserve">　</w:t>
      </w:r>
      <w:r w:rsidRPr="00F54557">
        <w:rPr>
          <w:rFonts w:ascii="Franklin Gothic Book" w:hAnsi="Franklin Gothic Book"/>
        </w:rPr>
        <w:t xml:space="preserve"> to</w:t>
      </w:r>
      <w:proofErr w:type="gramEnd"/>
      <w:r w:rsidRPr="00F54557">
        <w:rPr>
          <w:rFonts w:ascii="Franklin Gothic Book" w:hAnsi="Franklin Gothic Book"/>
        </w:rPr>
        <w:t xml:space="preserve"> $</w:t>
      </w:r>
      <w:r w:rsidR="00AE3E5D" w:rsidRPr="00AE3E5D">
        <w:rPr>
          <w:rFonts w:ascii="Franklin Gothic Book" w:hAnsi="Franklin Gothic Book"/>
          <w:color w:val="000000"/>
          <w:shd w:val="solid" w:color="000000" w:fill="000000"/>
          <w14:textFill>
            <w14:solidFill>
              <w14:srgbClr w14:val="000000">
                <w14:alpha w14:val="100000"/>
              </w14:srgbClr>
            </w14:solidFill>
          </w14:textFill>
        </w:rPr>
        <w:t>|</w:t>
      </w:r>
      <w:r w:rsidRPr="001B4DDB">
        <w:rPr>
          <w:rFonts w:ascii="Franklin Gothic Book" w:hAnsi="Franklin Gothic Book"/>
        </w:rPr>
        <w:t xml:space="preserve">), </w:t>
      </w:r>
      <w:r w:rsidR="00DE70E9">
        <w:rPr>
          <w:rFonts w:ascii="Franklin Gothic Book" w:hAnsi="Franklin Gothic Book"/>
        </w:rPr>
        <w:t xml:space="preserve">reflecting </w:t>
      </w:r>
      <w:r w:rsidRPr="001B4DDB">
        <w:rPr>
          <w:rFonts w:ascii="Franklin Gothic Book" w:hAnsi="Franklin Gothic Book"/>
        </w:rPr>
        <w:t xml:space="preserve">the volume-based </w:t>
      </w:r>
      <w:r w:rsidR="00DE5FBA" w:rsidRPr="001B4DDB">
        <w:rPr>
          <w:rFonts w:ascii="Franklin Gothic Book" w:hAnsi="Franklin Gothic Book"/>
        </w:rPr>
        <w:t xml:space="preserve">fee </w:t>
      </w:r>
      <w:r w:rsidR="00DE70E9">
        <w:rPr>
          <w:rFonts w:ascii="Franklin Gothic Book" w:hAnsi="Franklin Gothic Book"/>
        </w:rPr>
        <w:t>structure</w:t>
      </w:r>
      <w:r w:rsidRPr="001B4DDB">
        <w:rPr>
          <w:rFonts w:ascii="Franklin Gothic Book" w:hAnsi="Franklin Gothic Book"/>
        </w:rPr>
        <w:t xml:space="preserve"> proposed and expected use over the first five years of listing (see below for further detail on how this was estimated); and</w:t>
      </w:r>
    </w:p>
    <w:p w14:paraId="312C0034" w14:textId="53230FBA" w:rsidR="002056CD" w:rsidRPr="001B4DDB" w:rsidRDefault="002D5D87" w:rsidP="00E95EED">
      <w:pPr>
        <w:numPr>
          <w:ilvl w:val="0"/>
          <w:numId w:val="24"/>
        </w:numPr>
        <w:spacing w:before="120"/>
        <w:rPr>
          <w:rFonts w:ascii="Franklin Gothic Book" w:hAnsi="Franklin Gothic Book"/>
        </w:rPr>
      </w:pPr>
      <w:r w:rsidRPr="001B4DDB">
        <w:rPr>
          <w:rFonts w:ascii="Franklin Gothic Book" w:hAnsi="Franklin Gothic Book"/>
        </w:rPr>
        <w:t>Incorporate</w:t>
      </w:r>
      <w:r w:rsidR="002056CD" w:rsidRPr="001B4DDB">
        <w:rPr>
          <w:rFonts w:ascii="Franklin Gothic Book" w:hAnsi="Franklin Gothic Book"/>
        </w:rPr>
        <w:t xml:space="preserve"> other minor updates to costs and ABS life tables.</w:t>
      </w:r>
    </w:p>
    <w:p w14:paraId="00109EAA" w14:textId="791CCBA8" w:rsidR="002056CD" w:rsidRPr="001246A4" w:rsidRDefault="001E5F60" w:rsidP="002056CD">
      <w:pPr>
        <w:spacing w:before="360"/>
        <w:rPr>
          <w:rFonts w:ascii="Franklin Gothic Book" w:hAnsi="Franklin Gothic Book"/>
          <w:iCs/>
        </w:rPr>
      </w:pPr>
      <w:r w:rsidRPr="001246A4">
        <w:rPr>
          <w:rFonts w:ascii="Franklin Gothic Book" w:hAnsi="Franklin Gothic Book"/>
          <w:iCs/>
        </w:rPr>
        <w:t xml:space="preserve">The </w:t>
      </w:r>
      <w:r w:rsidR="006A2C29" w:rsidRPr="001246A4">
        <w:rPr>
          <w:rFonts w:ascii="Franklin Gothic Book" w:hAnsi="Franklin Gothic Book"/>
          <w:iCs/>
        </w:rPr>
        <w:t>c</w:t>
      </w:r>
      <w:r w:rsidRPr="001246A4">
        <w:rPr>
          <w:rFonts w:ascii="Franklin Gothic Book" w:hAnsi="Franklin Gothic Book"/>
          <w:iCs/>
        </w:rPr>
        <w:t>ommentary noted that, a</w:t>
      </w:r>
      <w:r w:rsidR="002056CD" w:rsidRPr="001246A4">
        <w:rPr>
          <w:rFonts w:ascii="Franklin Gothic Book" w:hAnsi="Franklin Gothic Book"/>
          <w:iCs/>
        </w:rPr>
        <w:t xml:space="preserve">s described in </w:t>
      </w:r>
      <w:r w:rsidR="002056CD" w:rsidRPr="001246A4">
        <w:rPr>
          <w:rFonts w:ascii="Franklin Gothic Book" w:hAnsi="Franklin Gothic Book"/>
          <w:iCs/>
        </w:rPr>
        <w:fldChar w:fldCharType="begin"/>
      </w:r>
      <w:r w:rsidR="002056CD" w:rsidRPr="001246A4">
        <w:rPr>
          <w:rFonts w:ascii="Franklin Gothic Book" w:hAnsi="Franklin Gothic Book"/>
          <w:iCs/>
        </w:rPr>
        <w:instrText xml:space="preserve"> REF _Ref100130959 \h  \* MERGEFORMAT </w:instrText>
      </w:r>
      <w:r w:rsidR="002056CD" w:rsidRPr="001246A4">
        <w:rPr>
          <w:rFonts w:ascii="Franklin Gothic Book" w:hAnsi="Franklin Gothic Book"/>
          <w:iCs/>
        </w:rPr>
      </w:r>
      <w:r w:rsidR="002056CD" w:rsidRPr="001246A4">
        <w:rPr>
          <w:rFonts w:ascii="Franklin Gothic Book" w:hAnsi="Franklin Gothic Book"/>
          <w:iCs/>
        </w:rPr>
        <w:fldChar w:fldCharType="separate"/>
      </w:r>
      <w:r w:rsidR="00943826" w:rsidRPr="00943826">
        <w:rPr>
          <w:rFonts w:ascii="Franklin Gothic Book" w:hAnsi="Franklin Gothic Book"/>
          <w:iCs/>
        </w:rPr>
        <w:t>Table 3</w:t>
      </w:r>
      <w:r w:rsidR="002056CD" w:rsidRPr="001246A4">
        <w:rPr>
          <w:rFonts w:ascii="Franklin Gothic Book" w:hAnsi="Franklin Gothic Book"/>
          <w:iCs/>
        </w:rPr>
        <w:fldChar w:fldCharType="end"/>
      </w:r>
      <w:r w:rsidR="002056CD" w:rsidRPr="001246A4">
        <w:rPr>
          <w:rFonts w:ascii="Franklin Gothic Book" w:hAnsi="Franklin Gothic Book"/>
          <w:iCs/>
        </w:rPr>
        <w:t xml:space="preserve">, </w:t>
      </w:r>
      <w:proofErr w:type="gramStart"/>
      <w:r w:rsidR="002056CD" w:rsidRPr="001246A4">
        <w:rPr>
          <w:rFonts w:ascii="Franklin Gothic Book" w:hAnsi="Franklin Gothic Book"/>
          <w:iCs/>
        </w:rPr>
        <w:t>a number of</w:t>
      </w:r>
      <w:proofErr w:type="gramEnd"/>
      <w:r w:rsidR="002056CD" w:rsidRPr="001246A4">
        <w:rPr>
          <w:rFonts w:ascii="Franklin Gothic Book" w:hAnsi="Franklin Gothic Book"/>
          <w:iCs/>
        </w:rPr>
        <w:t xml:space="preserve"> economic matters of concern raised during the previous consideration of </w:t>
      </w:r>
      <w:r w:rsidR="00D50E5C" w:rsidRPr="001246A4">
        <w:rPr>
          <w:rFonts w:ascii="Franklin Gothic Book" w:hAnsi="Franklin Gothic Book"/>
          <w:iCs/>
        </w:rPr>
        <w:t>EndoPredict</w:t>
      </w:r>
      <w:r w:rsidR="005F1260" w:rsidRPr="005F1260">
        <w:rPr>
          <w:rFonts w:ascii="Franklin Gothic Book" w:hAnsi="Franklin Gothic Book"/>
          <w:iCs/>
          <w:vertAlign w:val="superscript"/>
        </w:rPr>
        <w:t>®</w:t>
      </w:r>
      <w:r w:rsidR="002056CD" w:rsidRPr="001246A4">
        <w:rPr>
          <w:rFonts w:ascii="Franklin Gothic Book" w:hAnsi="Franklin Gothic Book"/>
          <w:iCs/>
        </w:rPr>
        <w:t xml:space="preserve"> were not addressed</w:t>
      </w:r>
      <w:r w:rsidR="00883BF4" w:rsidRPr="001246A4">
        <w:rPr>
          <w:rFonts w:ascii="Franklin Gothic Book" w:hAnsi="Franklin Gothic Book"/>
          <w:iCs/>
        </w:rPr>
        <w:t xml:space="preserve"> in </w:t>
      </w:r>
      <w:r w:rsidR="00B978EB" w:rsidRPr="001246A4">
        <w:rPr>
          <w:rFonts w:ascii="Franklin Gothic Book" w:hAnsi="Franklin Gothic Book"/>
          <w:iCs/>
        </w:rPr>
        <w:t>the</w:t>
      </w:r>
      <w:r w:rsidR="00883BF4" w:rsidRPr="001246A4">
        <w:rPr>
          <w:rFonts w:ascii="Franklin Gothic Book" w:hAnsi="Franklin Gothic Book"/>
          <w:iCs/>
        </w:rPr>
        <w:t xml:space="preserve"> 1408.1</w:t>
      </w:r>
      <w:r w:rsidR="00B978EB" w:rsidRPr="001246A4">
        <w:rPr>
          <w:rFonts w:ascii="Franklin Gothic Book" w:hAnsi="Franklin Gothic Book"/>
          <w:iCs/>
        </w:rPr>
        <w:t xml:space="preserve"> </w:t>
      </w:r>
      <w:r w:rsidR="00815375">
        <w:rPr>
          <w:rFonts w:ascii="Franklin Gothic Book" w:hAnsi="Franklin Gothic Book"/>
          <w:iCs/>
        </w:rPr>
        <w:t>re-application</w:t>
      </w:r>
      <w:r w:rsidR="002056CD" w:rsidRPr="001246A4">
        <w:rPr>
          <w:rFonts w:ascii="Franklin Gothic Book" w:hAnsi="Franklin Gothic Book"/>
          <w:iCs/>
        </w:rPr>
        <w:t>. Th</w:t>
      </w:r>
      <w:r>
        <w:rPr>
          <w:rFonts w:ascii="Franklin Gothic Book" w:hAnsi="Franklin Gothic Book"/>
          <w:iCs/>
        </w:rPr>
        <w:t xml:space="preserve">e </w:t>
      </w:r>
      <w:r w:rsidR="006A2C29">
        <w:rPr>
          <w:rFonts w:ascii="Franklin Gothic Book" w:hAnsi="Franklin Gothic Book"/>
          <w:iCs/>
        </w:rPr>
        <w:t>c</w:t>
      </w:r>
      <w:r>
        <w:rPr>
          <w:rFonts w:ascii="Franklin Gothic Book" w:hAnsi="Franklin Gothic Book"/>
          <w:iCs/>
        </w:rPr>
        <w:t>ommentary considered th</w:t>
      </w:r>
      <w:r w:rsidR="002056CD" w:rsidRPr="001246A4">
        <w:rPr>
          <w:rFonts w:ascii="Franklin Gothic Book" w:hAnsi="Franklin Gothic Book"/>
          <w:iCs/>
        </w:rPr>
        <w:t>is was not reasonable.</w:t>
      </w:r>
    </w:p>
    <w:p w14:paraId="18A39615" w14:textId="7E6253BC" w:rsidR="002056CD" w:rsidRPr="001B4DDB" w:rsidRDefault="002056CD" w:rsidP="002056CD">
      <w:pPr>
        <w:rPr>
          <w:rFonts w:ascii="Franklin Gothic Book" w:hAnsi="Franklin Gothic Book"/>
        </w:rPr>
      </w:pPr>
      <w:r w:rsidRPr="001B4DDB">
        <w:rPr>
          <w:rFonts w:ascii="Franklin Gothic Book" w:hAnsi="Franklin Gothic Book"/>
        </w:rPr>
        <w:t xml:space="preserve">A summary of the key components of the economic evaluation is presented in </w:t>
      </w:r>
      <w:r w:rsidRPr="001B4DDB">
        <w:rPr>
          <w:rFonts w:ascii="Franklin Gothic Book" w:hAnsi="Franklin Gothic Book"/>
        </w:rPr>
        <w:fldChar w:fldCharType="begin"/>
      </w:r>
      <w:r w:rsidRPr="001B4DDB">
        <w:rPr>
          <w:rFonts w:ascii="Franklin Gothic Book" w:hAnsi="Franklin Gothic Book"/>
        </w:rPr>
        <w:instrText xml:space="preserve"> REF _Ref100130280 \h  \* MERGEFORMAT </w:instrText>
      </w:r>
      <w:r w:rsidRPr="001B4DDB">
        <w:rPr>
          <w:rFonts w:ascii="Franklin Gothic Book" w:hAnsi="Franklin Gothic Book"/>
        </w:rPr>
      </w:r>
      <w:r w:rsidRPr="001B4DDB">
        <w:rPr>
          <w:rFonts w:ascii="Franklin Gothic Book" w:hAnsi="Franklin Gothic Book"/>
        </w:rPr>
        <w:fldChar w:fldCharType="separate"/>
      </w:r>
      <w:r w:rsidR="00943826" w:rsidRPr="00943826">
        <w:rPr>
          <w:rFonts w:ascii="Franklin Gothic Book" w:hAnsi="Franklin Gothic Book"/>
        </w:rPr>
        <w:t>Table 11</w:t>
      </w:r>
      <w:r w:rsidRPr="001B4DDB">
        <w:rPr>
          <w:rFonts w:ascii="Franklin Gothic Book" w:hAnsi="Franklin Gothic Book"/>
        </w:rPr>
        <w:fldChar w:fldCharType="end"/>
      </w:r>
      <w:r w:rsidRPr="001B4DDB">
        <w:rPr>
          <w:rFonts w:ascii="Franklin Gothic Book" w:hAnsi="Franklin Gothic Book"/>
        </w:rPr>
        <w:t>.</w:t>
      </w:r>
    </w:p>
    <w:p w14:paraId="56C1718E" w14:textId="13591A98" w:rsidR="002056CD" w:rsidRPr="00C227CD" w:rsidRDefault="002056CD" w:rsidP="00594776">
      <w:pPr>
        <w:keepNext/>
        <w:keepLines/>
        <w:spacing w:before="360" w:after="120" w:line="240" w:lineRule="auto"/>
        <w:rPr>
          <w:rFonts w:ascii="Arial Narrow" w:eastAsia="Times New Roman" w:hAnsi="Arial Narrow" w:cs="Times New Roman"/>
          <w:b/>
          <w:bCs/>
          <w:sz w:val="20"/>
          <w:szCs w:val="20"/>
        </w:rPr>
      </w:pPr>
      <w:bookmarkStart w:id="58" w:name="_Ref100130280"/>
      <w:r w:rsidRPr="00C227CD">
        <w:rPr>
          <w:rFonts w:ascii="Arial Narrow" w:eastAsia="Times New Roman" w:hAnsi="Arial Narrow" w:cs="Times New Roman"/>
          <w:b/>
          <w:bCs/>
          <w:sz w:val="20"/>
          <w:szCs w:val="20"/>
        </w:rPr>
        <w:t xml:space="preserve">Table </w:t>
      </w:r>
      <w:r w:rsidRPr="00C227CD">
        <w:rPr>
          <w:rFonts w:ascii="Arial Narrow" w:eastAsia="Times New Roman" w:hAnsi="Arial Narrow" w:cs="Times New Roman"/>
          <w:b/>
          <w:bCs/>
          <w:sz w:val="20"/>
          <w:szCs w:val="20"/>
        </w:rPr>
        <w:fldChar w:fldCharType="begin"/>
      </w:r>
      <w:r w:rsidRPr="00C227CD">
        <w:rPr>
          <w:rFonts w:ascii="Arial Narrow" w:eastAsia="Times New Roman" w:hAnsi="Arial Narrow" w:cs="Times New Roman"/>
          <w:b/>
          <w:bCs/>
          <w:sz w:val="20"/>
          <w:szCs w:val="20"/>
        </w:rPr>
        <w:instrText xml:space="preserve"> SEQ Table \* ARABIC </w:instrText>
      </w:r>
      <w:r w:rsidRPr="00C227CD">
        <w:rPr>
          <w:rFonts w:ascii="Arial Narrow" w:eastAsia="Times New Roman" w:hAnsi="Arial Narrow" w:cs="Times New Roman"/>
          <w:b/>
          <w:bCs/>
          <w:sz w:val="20"/>
          <w:szCs w:val="20"/>
        </w:rPr>
        <w:fldChar w:fldCharType="separate"/>
      </w:r>
      <w:r w:rsidR="00943826">
        <w:rPr>
          <w:rFonts w:ascii="Arial Narrow" w:eastAsia="Times New Roman" w:hAnsi="Arial Narrow" w:cs="Times New Roman"/>
          <w:b/>
          <w:bCs/>
          <w:noProof/>
          <w:sz w:val="20"/>
          <w:szCs w:val="20"/>
        </w:rPr>
        <w:t>11</w:t>
      </w:r>
      <w:r w:rsidRPr="00C227CD">
        <w:rPr>
          <w:rFonts w:ascii="Arial Narrow" w:eastAsia="Times New Roman" w:hAnsi="Arial Narrow" w:cs="Times New Roman"/>
          <w:b/>
          <w:bCs/>
          <w:noProof/>
          <w:sz w:val="20"/>
          <w:szCs w:val="20"/>
        </w:rPr>
        <w:fldChar w:fldCharType="end"/>
      </w:r>
      <w:bookmarkEnd w:id="58"/>
      <w:r w:rsidRPr="00C227CD">
        <w:rPr>
          <w:rFonts w:ascii="Arial Narrow" w:eastAsia="Times New Roman" w:hAnsi="Arial Narrow" w:cs="Times New Roman"/>
          <w:b/>
          <w:bCs/>
          <w:sz w:val="20"/>
          <w:szCs w:val="20"/>
        </w:rPr>
        <w:t>: Summary of the economic evaluation</w:t>
      </w:r>
    </w:p>
    <w:tbl>
      <w:tblPr>
        <w:tblStyle w:val="TableGrid10"/>
        <w:tblW w:w="5000" w:type="pct"/>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697"/>
        <w:gridCol w:w="7319"/>
      </w:tblGrid>
      <w:tr w:rsidR="002056CD" w:rsidRPr="00C227CD" w14:paraId="311CC950" w14:textId="77777777" w:rsidTr="006B0BCC">
        <w:trPr>
          <w:cnfStyle w:val="100000000000" w:firstRow="1" w:lastRow="0" w:firstColumn="0" w:lastColumn="0" w:oddVBand="0" w:evenVBand="0" w:oddHBand="0" w:evenHBand="0" w:firstRowFirstColumn="0" w:firstRowLastColumn="0" w:lastRowFirstColumn="0" w:lastRowLastColumn="0"/>
          <w:tblHeader/>
        </w:trPr>
        <w:tc>
          <w:tcPr>
            <w:tcW w:w="941" w:type="pct"/>
          </w:tcPr>
          <w:p w14:paraId="562E387C" w14:textId="77777777" w:rsidR="002056CD" w:rsidRPr="00C227CD" w:rsidRDefault="002056CD" w:rsidP="005543C2">
            <w:pPr>
              <w:spacing w:after="60"/>
              <w:rPr>
                <w:rFonts w:ascii="Arial Narrow" w:hAnsi="Arial Narrow"/>
                <w:b/>
              </w:rPr>
            </w:pPr>
            <w:r w:rsidRPr="00C227CD">
              <w:rPr>
                <w:rFonts w:ascii="Arial Narrow" w:hAnsi="Arial Narrow"/>
                <w:b/>
              </w:rPr>
              <w:t>Component</w:t>
            </w:r>
          </w:p>
        </w:tc>
        <w:tc>
          <w:tcPr>
            <w:tcW w:w="4059" w:type="pct"/>
          </w:tcPr>
          <w:p w14:paraId="4639C3E4" w14:textId="77777777" w:rsidR="002056CD" w:rsidRPr="00C227CD" w:rsidRDefault="002056CD" w:rsidP="005543C2">
            <w:pPr>
              <w:spacing w:after="60"/>
              <w:rPr>
                <w:rFonts w:ascii="Arial Narrow" w:hAnsi="Arial Narrow"/>
                <w:b/>
              </w:rPr>
            </w:pPr>
            <w:r w:rsidRPr="00C227CD">
              <w:rPr>
                <w:rFonts w:ascii="Arial Narrow" w:hAnsi="Arial Narrow"/>
                <w:b/>
              </w:rPr>
              <w:t>Description</w:t>
            </w:r>
          </w:p>
        </w:tc>
      </w:tr>
      <w:tr w:rsidR="002056CD" w:rsidRPr="00C227CD" w14:paraId="41435C43" w14:textId="77777777" w:rsidTr="006B0BCC">
        <w:tc>
          <w:tcPr>
            <w:tcW w:w="941" w:type="pct"/>
            <w:shd w:val="clear" w:color="auto" w:fill="F2F2F2" w:themeFill="background1" w:themeFillShade="F2"/>
          </w:tcPr>
          <w:p w14:paraId="3863C07B" w14:textId="77777777" w:rsidR="002056CD" w:rsidRPr="00C227CD" w:rsidRDefault="002056CD" w:rsidP="005543C2">
            <w:r w:rsidRPr="00C227CD">
              <w:t>Perspective</w:t>
            </w:r>
          </w:p>
        </w:tc>
        <w:tc>
          <w:tcPr>
            <w:tcW w:w="4059" w:type="pct"/>
            <w:shd w:val="clear" w:color="auto" w:fill="F2F2F2" w:themeFill="background1" w:themeFillShade="F2"/>
          </w:tcPr>
          <w:p w14:paraId="65DBEDEC" w14:textId="085B2891" w:rsidR="002056CD" w:rsidRPr="00C227CD" w:rsidRDefault="002056CD" w:rsidP="005543C2">
            <w:pPr>
              <w:rPr>
                <w:i/>
              </w:rPr>
            </w:pPr>
            <w:r w:rsidRPr="00C227CD">
              <w:t>Health care system perspective</w:t>
            </w:r>
          </w:p>
        </w:tc>
      </w:tr>
      <w:tr w:rsidR="002056CD" w:rsidRPr="00C227CD" w14:paraId="031A861B" w14:textId="77777777" w:rsidTr="006B0BCC">
        <w:tc>
          <w:tcPr>
            <w:tcW w:w="941" w:type="pct"/>
            <w:shd w:val="clear" w:color="auto" w:fill="F2F2F2" w:themeFill="background1" w:themeFillShade="F2"/>
          </w:tcPr>
          <w:p w14:paraId="503754E6" w14:textId="77777777" w:rsidR="002056CD" w:rsidRPr="00C227CD" w:rsidRDefault="002056CD" w:rsidP="005543C2">
            <w:r w:rsidRPr="00C227CD">
              <w:t>Comparator</w:t>
            </w:r>
          </w:p>
        </w:tc>
        <w:tc>
          <w:tcPr>
            <w:tcW w:w="4059" w:type="pct"/>
            <w:shd w:val="clear" w:color="auto" w:fill="F2F2F2" w:themeFill="background1" w:themeFillShade="F2"/>
          </w:tcPr>
          <w:p w14:paraId="75C0DE3B" w14:textId="2C300810" w:rsidR="002056CD" w:rsidRPr="00C227CD" w:rsidRDefault="002056CD" w:rsidP="005543C2">
            <w:r w:rsidRPr="00C227CD">
              <w:t>Standard of care (treatment decisions based on MDT)</w:t>
            </w:r>
          </w:p>
        </w:tc>
      </w:tr>
      <w:tr w:rsidR="002056CD" w:rsidRPr="00C227CD" w14:paraId="3DE185B3" w14:textId="77777777" w:rsidTr="006B0BCC">
        <w:tc>
          <w:tcPr>
            <w:tcW w:w="941" w:type="pct"/>
            <w:shd w:val="clear" w:color="auto" w:fill="F2F2F2" w:themeFill="background1" w:themeFillShade="F2"/>
          </w:tcPr>
          <w:p w14:paraId="2B977946" w14:textId="77777777" w:rsidR="002056CD" w:rsidRPr="00C227CD" w:rsidRDefault="002056CD" w:rsidP="005543C2">
            <w:r w:rsidRPr="00C227CD">
              <w:t>Type(s) of analysis</w:t>
            </w:r>
          </w:p>
        </w:tc>
        <w:tc>
          <w:tcPr>
            <w:tcW w:w="4059" w:type="pct"/>
            <w:shd w:val="clear" w:color="auto" w:fill="F2F2F2" w:themeFill="background1" w:themeFillShade="F2"/>
          </w:tcPr>
          <w:p w14:paraId="6D144680" w14:textId="77777777" w:rsidR="002056CD" w:rsidRPr="00C227CD" w:rsidRDefault="002056CD" w:rsidP="005543C2">
            <w:r w:rsidRPr="00C227CD">
              <w:t>Cost-utility analysis</w:t>
            </w:r>
          </w:p>
        </w:tc>
      </w:tr>
      <w:tr w:rsidR="002056CD" w:rsidRPr="00C227CD" w14:paraId="71D9BCDD" w14:textId="77777777" w:rsidTr="006B0BCC">
        <w:tc>
          <w:tcPr>
            <w:tcW w:w="941" w:type="pct"/>
            <w:shd w:val="clear" w:color="auto" w:fill="F2F2F2" w:themeFill="background1" w:themeFillShade="F2"/>
          </w:tcPr>
          <w:p w14:paraId="0FD2FEC5" w14:textId="77777777" w:rsidR="002056CD" w:rsidRPr="00C227CD" w:rsidRDefault="002056CD" w:rsidP="005543C2">
            <w:r w:rsidRPr="00C227CD">
              <w:t>Outcomes</w:t>
            </w:r>
          </w:p>
        </w:tc>
        <w:tc>
          <w:tcPr>
            <w:tcW w:w="4059" w:type="pct"/>
            <w:shd w:val="clear" w:color="auto" w:fill="F2F2F2" w:themeFill="background1" w:themeFillShade="F2"/>
          </w:tcPr>
          <w:p w14:paraId="2C847DC5" w14:textId="77777777" w:rsidR="002056CD" w:rsidRPr="00C227CD" w:rsidRDefault="002056CD" w:rsidP="005543C2">
            <w:r w:rsidRPr="00C227CD">
              <w:t>Quality-adjusted life years</w:t>
            </w:r>
          </w:p>
        </w:tc>
      </w:tr>
      <w:tr w:rsidR="002056CD" w:rsidRPr="00C227CD" w14:paraId="45CF2668" w14:textId="77777777" w:rsidTr="006B0BCC">
        <w:tc>
          <w:tcPr>
            <w:tcW w:w="941" w:type="pct"/>
            <w:shd w:val="clear" w:color="auto" w:fill="F2F2F2" w:themeFill="background1" w:themeFillShade="F2"/>
          </w:tcPr>
          <w:p w14:paraId="492F635E" w14:textId="77777777" w:rsidR="002056CD" w:rsidRPr="00C227CD" w:rsidRDefault="002056CD" w:rsidP="005543C2">
            <w:r w:rsidRPr="00C227CD">
              <w:t>Time horizon</w:t>
            </w:r>
          </w:p>
        </w:tc>
        <w:tc>
          <w:tcPr>
            <w:tcW w:w="4059" w:type="pct"/>
            <w:shd w:val="clear" w:color="auto" w:fill="F2F2F2" w:themeFill="background1" w:themeFillShade="F2"/>
          </w:tcPr>
          <w:p w14:paraId="3A03FB5E" w14:textId="1BFA907C" w:rsidR="002056CD" w:rsidRPr="00C227CD" w:rsidRDefault="002056CD" w:rsidP="00A67D4E">
            <w:pPr>
              <w:rPr>
                <w:i/>
              </w:rPr>
            </w:pPr>
            <w:r w:rsidRPr="00C227CD">
              <w:t xml:space="preserve">Lifetime (50 years). </w:t>
            </w:r>
            <w:r w:rsidRPr="00C227CD">
              <w:rPr>
                <w:i/>
              </w:rPr>
              <w:t xml:space="preserve">While this was unchanged from the </w:t>
            </w:r>
            <w:r w:rsidR="005543C2">
              <w:rPr>
                <w:i/>
              </w:rPr>
              <w:t>1408</w:t>
            </w:r>
            <w:r w:rsidR="00DE5FBA">
              <w:rPr>
                <w:i/>
              </w:rPr>
              <w:t xml:space="preserve"> </w:t>
            </w:r>
            <w:r w:rsidR="00815375">
              <w:rPr>
                <w:i/>
              </w:rPr>
              <w:t>application</w:t>
            </w:r>
            <w:r w:rsidRPr="00C227CD">
              <w:rPr>
                <w:i/>
              </w:rPr>
              <w:t xml:space="preserve">, this was longer than the 30-year time horizons applied in other </w:t>
            </w:r>
            <w:r w:rsidR="00A67D4E">
              <w:rPr>
                <w:i/>
              </w:rPr>
              <w:t>application</w:t>
            </w:r>
            <w:r w:rsidR="00A67D4E" w:rsidRPr="00C227CD">
              <w:rPr>
                <w:i/>
              </w:rPr>
              <w:t xml:space="preserve">s </w:t>
            </w:r>
            <w:r w:rsidRPr="00C227CD">
              <w:rPr>
                <w:i/>
              </w:rPr>
              <w:t xml:space="preserve">for GEP tests presented to MSAC. </w:t>
            </w:r>
            <w:r w:rsidRPr="00C227CD">
              <w:rPr>
                <w:i/>
                <w:vertAlign w:val="superscript"/>
              </w:rPr>
              <w:t>a</w:t>
            </w:r>
          </w:p>
        </w:tc>
      </w:tr>
      <w:tr w:rsidR="002056CD" w:rsidRPr="00C227CD" w14:paraId="3078829E" w14:textId="77777777" w:rsidTr="006B0BCC">
        <w:tc>
          <w:tcPr>
            <w:tcW w:w="941" w:type="pct"/>
            <w:shd w:val="clear" w:color="auto" w:fill="F2F2F2" w:themeFill="background1" w:themeFillShade="F2"/>
          </w:tcPr>
          <w:p w14:paraId="370134C8" w14:textId="77777777" w:rsidR="002056CD" w:rsidRPr="00C227CD" w:rsidRDefault="002056CD" w:rsidP="005543C2">
            <w:r w:rsidRPr="00C227CD">
              <w:t>Computational method</w:t>
            </w:r>
          </w:p>
        </w:tc>
        <w:tc>
          <w:tcPr>
            <w:tcW w:w="4059" w:type="pct"/>
            <w:shd w:val="clear" w:color="auto" w:fill="F2F2F2" w:themeFill="background1" w:themeFillShade="F2"/>
          </w:tcPr>
          <w:p w14:paraId="44529DB2" w14:textId="49B208EE" w:rsidR="002056CD" w:rsidRPr="00C227CD" w:rsidRDefault="002056CD" w:rsidP="005543C2">
            <w:r w:rsidRPr="00C227CD">
              <w:t>Hybrid decision tree-Markov model</w:t>
            </w:r>
          </w:p>
        </w:tc>
      </w:tr>
      <w:tr w:rsidR="002056CD" w:rsidRPr="00C227CD" w14:paraId="14B1EE3F" w14:textId="77777777" w:rsidTr="006B0BCC">
        <w:tc>
          <w:tcPr>
            <w:tcW w:w="941" w:type="pct"/>
          </w:tcPr>
          <w:p w14:paraId="1A37AFC8" w14:textId="77777777" w:rsidR="002056CD" w:rsidRPr="00C227CD" w:rsidRDefault="002056CD" w:rsidP="005543C2">
            <w:r w:rsidRPr="00C227CD">
              <w:t>Generation of the base case</w:t>
            </w:r>
          </w:p>
        </w:tc>
        <w:tc>
          <w:tcPr>
            <w:tcW w:w="4059" w:type="pct"/>
          </w:tcPr>
          <w:p w14:paraId="655F50F7" w14:textId="7B9C892E" w:rsidR="002056CD" w:rsidRPr="00C227CD" w:rsidRDefault="002056CD" w:rsidP="005543C2">
            <w:r w:rsidRPr="00C227CD">
              <w:t xml:space="preserve">Modelled. The base case ICER presented in the </w:t>
            </w:r>
            <w:r w:rsidR="005543C2">
              <w:t xml:space="preserve">1408 </w:t>
            </w:r>
            <w:r w:rsidR="00815375">
              <w:t>application</w:t>
            </w:r>
            <w:r w:rsidR="00815375" w:rsidRPr="00C227CD">
              <w:t xml:space="preserve"> </w:t>
            </w:r>
            <w:r w:rsidRPr="00C227CD">
              <w:t xml:space="preserve">formed the basis of the stepped analysis. The second step incorporated model updates to costs (except </w:t>
            </w:r>
            <w:r w:rsidR="00D50E5C">
              <w:t>EndoPredict</w:t>
            </w:r>
            <w:r w:rsidR="005F1260" w:rsidRPr="005F1260">
              <w:rPr>
                <w:vertAlign w:val="superscript"/>
              </w:rPr>
              <w:t>®</w:t>
            </w:r>
            <w:r w:rsidRPr="00C227CD">
              <w:t xml:space="preserve">), life tables and PROSPER data. Subsequent steps (3−5) varied the cost of </w:t>
            </w:r>
            <w:r w:rsidR="00D50E5C">
              <w:t>EndoPredict</w:t>
            </w:r>
            <w:r w:rsidR="005F1260" w:rsidRPr="005F1260">
              <w:rPr>
                <w:vertAlign w:val="superscript"/>
              </w:rPr>
              <w:t>®</w:t>
            </w:r>
            <w:r w:rsidRPr="00C227CD">
              <w:t>.</w:t>
            </w:r>
          </w:p>
        </w:tc>
      </w:tr>
      <w:tr w:rsidR="002056CD" w:rsidRPr="00C227CD" w14:paraId="3D7DC117" w14:textId="77777777" w:rsidTr="006B0BCC">
        <w:tc>
          <w:tcPr>
            <w:tcW w:w="941" w:type="pct"/>
            <w:shd w:val="clear" w:color="auto" w:fill="F2F2F2" w:themeFill="background1" w:themeFillShade="F2"/>
          </w:tcPr>
          <w:p w14:paraId="090DAA8D" w14:textId="77777777" w:rsidR="002056CD" w:rsidRPr="00C227CD" w:rsidRDefault="002056CD" w:rsidP="005543C2">
            <w:r w:rsidRPr="00C227CD">
              <w:t>Health states</w:t>
            </w:r>
          </w:p>
        </w:tc>
        <w:tc>
          <w:tcPr>
            <w:tcW w:w="4059" w:type="pct"/>
            <w:shd w:val="clear" w:color="auto" w:fill="F2F2F2" w:themeFill="background1" w:themeFillShade="F2"/>
          </w:tcPr>
          <w:p w14:paraId="6C549785" w14:textId="77777777" w:rsidR="002056CD" w:rsidRPr="00C227CD" w:rsidRDefault="002056CD" w:rsidP="005543C2">
            <w:r w:rsidRPr="00C227CD">
              <w:t>The decision-tree component of the model separates patients by risk of recurrence (high or low) and by lymph node status (positive or negative) – so four groups are modelled:</w:t>
            </w:r>
          </w:p>
          <w:p w14:paraId="0445C148" w14:textId="4E0D785D" w:rsidR="002056CD" w:rsidRPr="00C227CD" w:rsidRDefault="002056CD" w:rsidP="005543C2">
            <w:pPr>
              <w:numPr>
                <w:ilvl w:val="0"/>
                <w:numId w:val="23"/>
              </w:numPr>
            </w:pPr>
            <w:r w:rsidRPr="00C227CD">
              <w:t xml:space="preserve">lymph node negative with a low risk of </w:t>
            </w:r>
            <w:proofErr w:type="gramStart"/>
            <w:r w:rsidRPr="00C227CD">
              <w:t>recurrence;</w:t>
            </w:r>
            <w:proofErr w:type="gramEnd"/>
          </w:p>
          <w:p w14:paraId="0314934B" w14:textId="75CF62D2" w:rsidR="002056CD" w:rsidRPr="00C227CD" w:rsidRDefault="002056CD" w:rsidP="005543C2">
            <w:pPr>
              <w:numPr>
                <w:ilvl w:val="0"/>
                <w:numId w:val="23"/>
              </w:numPr>
            </w:pPr>
            <w:r w:rsidRPr="00C227CD">
              <w:t xml:space="preserve">lymph node negative with a high risk of </w:t>
            </w:r>
            <w:proofErr w:type="gramStart"/>
            <w:r w:rsidRPr="00C227CD">
              <w:t>recurrence;</w:t>
            </w:r>
            <w:proofErr w:type="gramEnd"/>
          </w:p>
          <w:p w14:paraId="47635732" w14:textId="77777777" w:rsidR="002056CD" w:rsidRPr="00C227CD" w:rsidRDefault="002056CD" w:rsidP="005543C2">
            <w:pPr>
              <w:numPr>
                <w:ilvl w:val="0"/>
                <w:numId w:val="23"/>
              </w:numPr>
            </w:pPr>
            <w:r w:rsidRPr="00C227CD">
              <w:t>lymph node positive with a low risk of recurrence; and</w:t>
            </w:r>
          </w:p>
          <w:p w14:paraId="491506C9" w14:textId="77777777" w:rsidR="002056CD" w:rsidRPr="00C227CD" w:rsidRDefault="002056CD" w:rsidP="005543C2">
            <w:pPr>
              <w:numPr>
                <w:ilvl w:val="0"/>
                <w:numId w:val="23"/>
              </w:numPr>
            </w:pPr>
            <w:r w:rsidRPr="00C227CD">
              <w:t>lymph node positive with a high risk of recurrence.</w:t>
            </w:r>
          </w:p>
          <w:p w14:paraId="46B233E5" w14:textId="1FC4012D" w:rsidR="002056CD" w:rsidRPr="00C227CD" w:rsidRDefault="002056CD" w:rsidP="005543C2">
            <w:r w:rsidRPr="00C227CD">
              <w:t xml:space="preserve">For each group, outcomes are generated for two different treatment options: ET alone, or ET + CTX using a Markov model. The Markov health states </w:t>
            </w:r>
            <w:r w:rsidR="00A739A8">
              <w:t>are</w:t>
            </w:r>
            <w:r w:rsidRPr="00C227CD">
              <w:t>: No distant recurrence, Distant recurrence, Cancer death, Natural death.</w:t>
            </w:r>
          </w:p>
        </w:tc>
      </w:tr>
      <w:tr w:rsidR="002056CD" w:rsidRPr="00C227CD" w14:paraId="703AEE83" w14:textId="77777777" w:rsidTr="006B0BCC">
        <w:tc>
          <w:tcPr>
            <w:tcW w:w="941" w:type="pct"/>
            <w:shd w:val="clear" w:color="auto" w:fill="F2F2F2" w:themeFill="background1" w:themeFillShade="F2"/>
          </w:tcPr>
          <w:p w14:paraId="1C657496" w14:textId="77777777" w:rsidR="002056CD" w:rsidRPr="00C227CD" w:rsidRDefault="002056CD" w:rsidP="005543C2">
            <w:r w:rsidRPr="00C227CD">
              <w:t>Cycle length</w:t>
            </w:r>
          </w:p>
        </w:tc>
        <w:tc>
          <w:tcPr>
            <w:tcW w:w="4059" w:type="pct"/>
            <w:shd w:val="clear" w:color="auto" w:fill="F2F2F2" w:themeFill="background1" w:themeFillShade="F2"/>
          </w:tcPr>
          <w:p w14:paraId="7B36612D" w14:textId="77777777" w:rsidR="002056CD" w:rsidRPr="00C227CD" w:rsidRDefault="002056CD" w:rsidP="005543C2">
            <w:r w:rsidRPr="00C227CD">
              <w:t>1 year</w:t>
            </w:r>
          </w:p>
        </w:tc>
      </w:tr>
      <w:tr w:rsidR="002056CD" w:rsidRPr="00A739A8" w14:paraId="4125A86A" w14:textId="77777777" w:rsidTr="006B0BCC">
        <w:tc>
          <w:tcPr>
            <w:tcW w:w="941" w:type="pct"/>
          </w:tcPr>
          <w:p w14:paraId="1FDCF879" w14:textId="77777777" w:rsidR="002056CD" w:rsidRPr="00C227CD" w:rsidRDefault="002056CD" w:rsidP="005543C2">
            <w:r w:rsidRPr="00C227CD">
              <w:t xml:space="preserve">Transition probabilities </w:t>
            </w:r>
            <w:r w:rsidRPr="00C227CD">
              <w:rPr>
                <w:vertAlign w:val="superscript"/>
              </w:rPr>
              <w:t>a</w:t>
            </w:r>
          </w:p>
        </w:tc>
        <w:tc>
          <w:tcPr>
            <w:tcW w:w="4059" w:type="pct"/>
          </w:tcPr>
          <w:p w14:paraId="7B350E8C" w14:textId="1B483638" w:rsidR="002056CD" w:rsidRPr="00C227CD" w:rsidRDefault="002056CD" w:rsidP="005543C2">
            <w:pPr>
              <w:rPr>
                <w:i/>
              </w:rPr>
            </w:pPr>
            <w:r w:rsidRPr="00C227CD">
              <w:t>The decision tree probabilities, which separate patients by risk of recurrence and lymph node status, were updated using the final analysis of the PROSPER study.</w:t>
            </w:r>
          </w:p>
          <w:p w14:paraId="3D7C13D6" w14:textId="3820CC48" w:rsidR="002056CD" w:rsidRPr="00C227CD" w:rsidRDefault="002056CD" w:rsidP="005543C2">
            <w:r w:rsidRPr="00C227CD">
              <w:t xml:space="preserve">The </w:t>
            </w:r>
            <w:r w:rsidR="00D50E5C">
              <w:t>EndoPredict</w:t>
            </w:r>
            <w:r w:rsidR="005F1260" w:rsidRPr="005F1260">
              <w:rPr>
                <w:vertAlign w:val="superscript"/>
              </w:rPr>
              <w:t>®</w:t>
            </w:r>
            <w:r w:rsidRPr="00C227CD">
              <w:t xml:space="preserve"> EPclin scores reported for each patient in PROSPER were also updated in line with the final analysis. As per the </w:t>
            </w:r>
            <w:r w:rsidR="005543C2">
              <w:t>1408</w:t>
            </w:r>
            <w:r w:rsidR="000C6697">
              <w:t xml:space="preserve"> </w:t>
            </w:r>
            <w:r w:rsidR="00815375">
              <w:t>application</w:t>
            </w:r>
            <w:r w:rsidRPr="00C227CD">
              <w:t>, these scores were transformed for each patient into a 10-year risk of recurrence on ET and ET + CTX, based on Sestak et al. (</w:t>
            </w:r>
            <w:proofErr w:type="gramStart"/>
            <w:r w:rsidRPr="00C227CD">
              <w:t>2019)</w:t>
            </w:r>
            <w:r w:rsidRPr="00C227CD">
              <w:rPr>
                <w:vertAlign w:val="superscript"/>
              </w:rPr>
              <w:t>b</w:t>
            </w:r>
            <w:r w:rsidRPr="00C227CD">
              <w:t>.</w:t>
            </w:r>
            <w:proofErr w:type="gramEnd"/>
            <w:r w:rsidRPr="00C227CD">
              <w:t xml:space="preserve"> </w:t>
            </w:r>
            <w:r w:rsidRPr="00C227CD">
              <w:rPr>
                <w:i/>
              </w:rPr>
              <w:t>ESC previously considered that the assumption of a perfect relationship between EPclin score and 10-year risk of recurrence was inappropriate</w:t>
            </w:r>
            <w:r w:rsidR="00361DB3">
              <w:rPr>
                <w:i/>
              </w:rPr>
              <w:t xml:space="preserve"> (PSD November 2019, p18)</w:t>
            </w:r>
            <w:r w:rsidRPr="00C227CD">
              <w:rPr>
                <w:i/>
              </w:rPr>
              <w:t xml:space="preserve">. This approach also </w:t>
            </w:r>
            <w:r w:rsidRPr="00C227CD">
              <w:rPr>
                <w:i/>
              </w:rPr>
              <w:lastRenderedPageBreak/>
              <w:t xml:space="preserve">incorporates a predictive effect of </w:t>
            </w:r>
            <w:r w:rsidR="00D50E5C">
              <w:rPr>
                <w:i/>
              </w:rPr>
              <w:t>EndoPredict</w:t>
            </w:r>
            <w:r w:rsidR="005F1260" w:rsidRPr="005F1260">
              <w:rPr>
                <w:i/>
                <w:vertAlign w:val="superscript"/>
              </w:rPr>
              <w:t>®</w:t>
            </w:r>
            <w:r w:rsidRPr="00C227CD">
              <w:rPr>
                <w:i/>
              </w:rPr>
              <w:t>, where the relative treatment effect of chemotherapy is higher in those classified as high risk (45% decrease in risk of recurrence) than those classed as low risk (26% decrease in risk of recurrence). This may not be reasonable as MSAC recently confirmed that it did not accept that predictive value had been adequately demonstrated (</w:t>
            </w:r>
            <w:r w:rsidR="00361DB3">
              <w:rPr>
                <w:i/>
              </w:rPr>
              <w:t>PSD July 2021, p1</w:t>
            </w:r>
            <w:r w:rsidRPr="00C227CD">
              <w:rPr>
                <w:i/>
              </w:rPr>
              <w:t>).</w:t>
            </w:r>
          </w:p>
          <w:p w14:paraId="5C11BFB3" w14:textId="5D49A88B" w:rsidR="002056CD" w:rsidRPr="00C227CD" w:rsidRDefault="002056CD" w:rsidP="005543C2">
            <w:r w:rsidRPr="00C227CD">
              <w:t xml:space="preserve">The assumption that treatment decisions following </w:t>
            </w:r>
            <w:r w:rsidR="00D50E5C">
              <w:t>EndoPredict</w:t>
            </w:r>
            <w:r w:rsidR="005F1260" w:rsidRPr="005F1260">
              <w:rPr>
                <w:vertAlign w:val="superscript"/>
              </w:rPr>
              <w:t>®</w:t>
            </w:r>
            <w:r w:rsidRPr="00C227CD">
              <w:t xml:space="preserve"> aligned with the EPclin risk classification</w:t>
            </w:r>
            <w:r w:rsidR="000C6697">
              <w:t xml:space="preserve"> was maintained</w:t>
            </w:r>
            <w:r w:rsidRPr="00C227CD">
              <w:t xml:space="preserve"> (</w:t>
            </w:r>
            <w:proofErr w:type="gramStart"/>
            <w:r w:rsidRPr="00C227CD">
              <w:t>i.e.</w:t>
            </w:r>
            <w:proofErr w:type="gramEnd"/>
            <w:r w:rsidRPr="00C227CD">
              <w:t xml:space="preserve"> all patients with a high risk classification were assumed to receive ET + CTX, while </w:t>
            </w:r>
            <w:r w:rsidR="00175362">
              <w:t xml:space="preserve">all </w:t>
            </w:r>
            <w:r w:rsidRPr="00C227CD">
              <w:t xml:space="preserve">patients with a low risk classification were assumed to receive ET alone). </w:t>
            </w:r>
            <w:r w:rsidRPr="00C227CD">
              <w:rPr>
                <w:i/>
              </w:rPr>
              <w:t xml:space="preserve">ESC </w:t>
            </w:r>
            <w:r w:rsidR="00594776">
              <w:rPr>
                <w:i/>
              </w:rPr>
              <w:t xml:space="preserve">previously </w:t>
            </w:r>
            <w:r w:rsidRPr="00C227CD">
              <w:rPr>
                <w:i/>
              </w:rPr>
              <w:t>considered that this may not be supported by the evidence</w:t>
            </w:r>
            <w:r w:rsidR="00361DB3">
              <w:rPr>
                <w:i/>
              </w:rPr>
              <w:t xml:space="preserve"> (PSD November 2019, p18)</w:t>
            </w:r>
            <w:r w:rsidRPr="00C227CD">
              <w:rPr>
                <w:i/>
              </w:rPr>
              <w:t>.</w:t>
            </w:r>
          </w:p>
          <w:p w14:paraId="2FF41064" w14:textId="77777777" w:rsidR="002056CD" w:rsidRPr="00C227CD" w:rsidRDefault="002056CD" w:rsidP="005543C2">
            <w:r w:rsidRPr="00C227CD">
              <w:t>Background mortality was based on ABS life tables (2018−2020).</w:t>
            </w:r>
          </w:p>
        </w:tc>
      </w:tr>
      <w:tr w:rsidR="002056CD" w:rsidRPr="00C227CD" w14:paraId="621D7885" w14:textId="77777777" w:rsidTr="006B0BCC">
        <w:tc>
          <w:tcPr>
            <w:tcW w:w="941" w:type="pct"/>
            <w:shd w:val="clear" w:color="auto" w:fill="F2F2F2" w:themeFill="background1" w:themeFillShade="F2"/>
          </w:tcPr>
          <w:p w14:paraId="5CBACD69" w14:textId="77777777" w:rsidR="002056CD" w:rsidRPr="00C227CD" w:rsidRDefault="002056CD" w:rsidP="005543C2">
            <w:r w:rsidRPr="00C227CD">
              <w:lastRenderedPageBreak/>
              <w:t>Extrapolation</w:t>
            </w:r>
          </w:p>
        </w:tc>
        <w:tc>
          <w:tcPr>
            <w:tcW w:w="4059" w:type="pct"/>
            <w:shd w:val="clear" w:color="auto" w:fill="F2F2F2" w:themeFill="background1" w:themeFillShade="F2"/>
          </w:tcPr>
          <w:p w14:paraId="05672C5C" w14:textId="5D02BC36" w:rsidR="002056CD" w:rsidRPr="00C227CD" w:rsidRDefault="002056CD" w:rsidP="007C123F">
            <w:pPr>
              <w:rPr>
                <w:i/>
              </w:rPr>
            </w:pPr>
            <w:r w:rsidRPr="00C227CD">
              <w:t xml:space="preserve">The transition probabilities derived from the 10-year risks of recurrence were assumed to continue beyond 10 years to the model time horizon (50 years). </w:t>
            </w:r>
            <w:r w:rsidRPr="00C227CD">
              <w:rPr>
                <w:i/>
              </w:rPr>
              <w:t xml:space="preserve">This approach was unchanged from the </w:t>
            </w:r>
            <w:r w:rsidR="007C123F">
              <w:rPr>
                <w:i/>
              </w:rPr>
              <w:t xml:space="preserve">1408 </w:t>
            </w:r>
            <w:r w:rsidR="00815375">
              <w:rPr>
                <w:i/>
              </w:rPr>
              <w:t>application</w:t>
            </w:r>
            <w:r w:rsidR="00815375" w:rsidRPr="00C227CD">
              <w:rPr>
                <w:i/>
              </w:rPr>
              <w:t xml:space="preserve"> </w:t>
            </w:r>
            <w:r w:rsidRPr="00C227CD">
              <w:rPr>
                <w:i/>
              </w:rPr>
              <w:t>and is not reasonable, as ESC had previously considered that the extrapolation of the 10-year rate to 50 years was inappropriate</w:t>
            </w:r>
            <w:r w:rsidR="00361DB3">
              <w:rPr>
                <w:i/>
              </w:rPr>
              <w:t xml:space="preserve"> (PSD November 2019, p18)</w:t>
            </w:r>
            <w:r w:rsidRPr="00C227CD">
              <w:rPr>
                <w:i/>
              </w:rPr>
              <w:t>.</w:t>
            </w:r>
          </w:p>
        </w:tc>
      </w:tr>
      <w:tr w:rsidR="002056CD" w:rsidRPr="00C227CD" w14:paraId="2448B715" w14:textId="77777777" w:rsidTr="006B0BCC">
        <w:tc>
          <w:tcPr>
            <w:tcW w:w="941" w:type="pct"/>
            <w:shd w:val="clear" w:color="auto" w:fill="F2F2F2" w:themeFill="background1" w:themeFillShade="F2"/>
          </w:tcPr>
          <w:p w14:paraId="1FA581E0" w14:textId="77777777" w:rsidR="002056CD" w:rsidRPr="00C227CD" w:rsidRDefault="002056CD" w:rsidP="005543C2">
            <w:r w:rsidRPr="00C227CD">
              <w:t>Health-related quality of life</w:t>
            </w:r>
          </w:p>
        </w:tc>
        <w:tc>
          <w:tcPr>
            <w:tcW w:w="4059" w:type="pct"/>
            <w:shd w:val="clear" w:color="auto" w:fill="F2F2F2" w:themeFill="background1" w:themeFillShade="F2"/>
          </w:tcPr>
          <w:p w14:paraId="2B743602" w14:textId="4CFB3C1B" w:rsidR="002056CD" w:rsidRPr="00C227CD" w:rsidRDefault="002056CD" w:rsidP="007C123F">
            <w:r w:rsidRPr="00C227CD">
              <w:t>Health state utilities were applied for the ‘No distant recurrence’ (0.989) and ‘Distant recurrence’ (0.796) health states, based on Verry et al. (</w:t>
            </w:r>
            <w:proofErr w:type="gramStart"/>
            <w:r w:rsidRPr="00C227CD">
              <w:t>2012)</w:t>
            </w:r>
            <w:r w:rsidRPr="00C227CD">
              <w:rPr>
                <w:vertAlign w:val="superscript"/>
              </w:rPr>
              <w:t>c</w:t>
            </w:r>
            <w:r w:rsidRPr="00C227CD">
              <w:t>.</w:t>
            </w:r>
            <w:proofErr w:type="gramEnd"/>
            <w:r w:rsidRPr="00C227CD">
              <w:t xml:space="preserve"> </w:t>
            </w:r>
            <w:r w:rsidRPr="00C227CD">
              <w:rPr>
                <w:i/>
              </w:rPr>
              <w:t>These were unchanged from the</w:t>
            </w:r>
            <w:r w:rsidR="007C123F">
              <w:rPr>
                <w:i/>
              </w:rPr>
              <w:t xml:space="preserve">1408 </w:t>
            </w:r>
            <w:r w:rsidR="00815375">
              <w:rPr>
                <w:i/>
              </w:rPr>
              <w:t>application</w:t>
            </w:r>
            <w:r w:rsidRPr="00C227CD">
              <w:rPr>
                <w:i/>
              </w:rPr>
              <w:t>. ESC had previously considered that the values used may not be reflective of the health states and were unrealistically high</w:t>
            </w:r>
            <w:r w:rsidR="00361DB3">
              <w:rPr>
                <w:i/>
              </w:rPr>
              <w:t xml:space="preserve"> (PSD November 2019, p18)</w:t>
            </w:r>
            <w:r w:rsidRPr="00C227CD">
              <w:rPr>
                <w:i/>
              </w:rPr>
              <w:t xml:space="preserve">. This was not addressed. </w:t>
            </w:r>
            <w:r w:rsidRPr="00C227CD">
              <w:t xml:space="preserve">Utility decrements were applied for adverse events related to adjuvant chemotherapy (0.124) (Lidgren et al. </w:t>
            </w:r>
            <w:proofErr w:type="gramStart"/>
            <w:r w:rsidRPr="00C227CD">
              <w:t>2007)</w:t>
            </w:r>
            <w:r w:rsidRPr="00C227CD">
              <w:rPr>
                <w:vertAlign w:val="superscript"/>
              </w:rPr>
              <w:t>d</w:t>
            </w:r>
            <w:proofErr w:type="gramEnd"/>
            <w:r w:rsidRPr="00C227CD">
              <w:t>, and for the development of local recurrence (0.078) (Verry et al. 2012)</w:t>
            </w:r>
            <w:r w:rsidRPr="00C227CD">
              <w:rPr>
                <w:vertAlign w:val="superscript"/>
              </w:rPr>
              <w:t>c</w:t>
            </w:r>
            <w:r w:rsidRPr="00C227CD">
              <w:t>.</w:t>
            </w:r>
          </w:p>
        </w:tc>
      </w:tr>
      <w:tr w:rsidR="002056CD" w:rsidRPr="00C227CD" w14:paraId="6304F5EF" w14:textId="77777777" w:rsidTr="006B0BCC">
        <w:tc>
          <w:tcPr>
            <w:tcW w:w="941" w:type="pct"/>
            <w:shd w:val="clear" w:color="auto" w:fill="F2F2F2" w:themeFill="background1" w:themeFillShade="F2"/>
          </w:tcPr>
          <w:p w14:paraId="14A457A1" w14:textId="77777777" w:rsidR="002056CD" w:rsidRPr="00C227CD" w:rsidRDefault="002056CD" w:rsidP="005543C2">
            <w:r w:rsidRPr="00C227CD">
              <w:t>Discount rate</w:t>
            </w:r>
          </w:p>
        </w:tc>
        <w:tc>
          <w:tcPr>
            <w:tcW w:w="4059" w:type="pct"/>
            <w:shd w:val="clear" w:color="auto" w:fill="F2F2F2" w:themeFill="background1" w:themeFillShade="F2"/>
          </w:tcPr>
          <w:p w14:paraId="7FC27B66" w14:textId="77777777" w:rsidR="002056CD" w:rsidRPr="00C227CD" w:rsidRDefault="002056CD" w:rsidP="005543C2">
            <w:r w:rsidRPr="00F54557">
              <w:t>5%</w:t>
            </w:r>
            <w:r w:rsidRPr="00C227CD">
              <w:t xml:space="preserve"> for both costs and outcomes</w:t>
            </w:r>
          </w:p>
        </w:tc>
      </w:tr>
      <w:tr w:rsidR="002056CD" w:rsidRPr="00C227CD" w14:paraId="7761EE9A" w14:textId="77777777" w:rsidTr="006B0BCC">
        <w:tc>
          <w:tcPr>
            <w:tcW w:w="941" w:type="pct"/>
            <w:shd w:val="clear" w:color="auto" w:fill="F2F2F2" w:themeFill="background1" w:themeFillShade="F2"/>
          </w:tcPr>
          <w:p w14:paraId="505BB1A8" w14:textId="77777777" w:rsidR="002056CD" w:rsidRPr="00C227CD" w:rsidRDefault="002056CD" w:rsidP="005543C2">
            <w:r w:rsidRPr="00C227CD">
              <w:t>Software</w:t>
            </w:r>
          </w:p>
        </w:tc>
        <w:tc>
          <w:tcPr>
            <w:tcW w:w="4059" w:type="pct"/>
            <w:shd w:val="clear" w:color="auto" w:fill="F2F2F2" w:themeFill="background1" w:themeFillShade="F2"/>
          </w:tcPr>
          <w:p w14:paraId="68BB6015" w14:textId="77777777" w:rsidR="002056CD" w:rsidRPr="00C227CD" w:rsidRDefault="002056CD" w:rsidP="005543C2">
            <w:r w:rsidRPr="00C227CD">
              <w:t>TreeAge Pro</w:t>
            </w:r>
          </w:p>
        </w:tc>
      </w:tr>
    </w:tbl>
    <w:p w14:paraId="69C02801" w14:textId="5D3DC581" w:rsidR="002056CD" w:rsidRPr="00C227CD" w:rsidRDefault="002056CD" w:rsidP="002056CD">
      <w:pPr>
        <w:keepLines/>
        <w:spacing w:after="360" w:line="240" w:lineRule="auto"/>
        <w:contextualSpacing/>
        <w:rPr>
          <w:rFonts w:ascii="Arial Narrow" w:eastAsia="Times New Roman" w:hAnsi="Arial Narrow" w:cs="Times New Roman"/>
          <w:color w:val="000000"/>
          <w:sz w:val="18"/>
          <w:szCs w:val="18"/>
          <w:lang w:eastAsia="en-AU"/>
        </w:rPr>
      </w:pPr>
      <w:r>
        <w:rPr>
          <w:rFonts w:ascii="Arial Narrow" w:eastAsia="Times New Roman" w:hAnsi="Arial Narrow" w:cs="Times New Roman"/>
          <w:color w:val="000000"/>
          <w:sz w:val="18"/>
          <w:szCs w:val="18"/>
          <w:lang w:eastAsia="en-AU"/>
        </w:rPr>
        <w:t xml:space="preserve">Note: </w:t>
      </w:r>
      <w:r w:rsidRPr="002A28BB">
        <w:rPr>
          <w:rFonts w:ascii="Arial Narrow" w:eastAsia="Times New Roman" w:hAnsi="Arial Narrow" w:cs="Times New Roman"/>
          <w:color w:val="000000"/>
          <w:sz w:val="18"/>
          <w:szCs w:val="18"/>
          <w:shd w:val="clear" w:color="auto" w:fill="F2F2F2" w:themeFill="background1" w:themeFillShade="F2"/>
          <w:lang w:eastAsia="en-AU"/>
        </w:rPr>
        <w:t>Shaded</w:t>
      </w:r>
      <w:r>
        <w:rPr>
          <w:rFonts w:ascii="Arial Narrow" w:eastAsia="Times New Roman" w:hAnsi="Arial Narrow" w:cs="Times New Roman"/>
          <w:color w:val="000000"/>
          <w:sz w:val="18"/>
          <w:szCs w:val="18"/>
          <w:lang w:eastAsia="en-AU"/>
        </w:rPr>
        <w:t xml:space="preserve"> cells depict components that are unchanged from the </w:t>
      </w:r>
      <w:r w:rsidR="00D0661C">
        <w:rPr>
          <w:rFonts w:ascii="Arial Narrow" w:eastAsia="Times New Roman" w:hAnsi="Arial Narrow" w:cs="Times New Roman"/>
          <w:color w:val="000000"/>
          <w:sz w:val="18"/>
          <w:szCs w:val="18"/>
          <w:lang w:eastAsia="en-AU"/>
        </w:rPr>
        <w:t xml:space="preserve">1408 </w:t>
      </w:r>
      <w:r w:rsidR="00815375">
        <w:rPr>
          <w:rFonts w:ascii="Arial Narrow" w:eastAsia="Times New Roman" w:hAnsi="Arial Narrow" w:cs="Times New Roman"/>
          <w:color w:val="000000"/>
          <w:sz w:val="18"/>
          <w:szCs w:val="18"/>
          <w:lang w:eastAsia="en-AU"/>
        </w:rPr>
        <w:t>application</w:t>
      </w:r>
      <w:r>
        <w:rPr>
          <w:rFonts w:ascii="Arial Narrow" w:eastAsia="Times New Roman" w:hAnsi="Arial Narrow" w:cs="Times New Roman"/>
          <w:color w:val="000000"/>
          <w:sz w:val="18"/>
          <w:szCs w:val="18"/>
          <w:lang w:eastAsia="en-AU"/>
        </w:rPr>
        <w:t>.</w:t>
      </w:r>
    </w:p>
    <w:p w14:paraId="1E0F0F36" w14:textId="77777777" w:rsidR="002056CD" w:rsidRPr="00C227CD" w:rsidRDefault="002056CD" w:rsidP="002056CD">
      <w:pPr>
        <w:keepLines/>
        <w:spacing w:after="360" w:line="240" w:lineRule="auto"/>
        <w:contextualSpacing/>
        <w:rPr>
          <w:rFonts w:ascii="Arial Narrow" w:eastAsia="Times New Roman" w:hAnsi="Arial Narrow" w:cs="Times New Roman"/>
          <w:color w:val="000000"/>
          <w:sz w:val="18"/>
          <w:szCs w:val="18"/>
          <w:lang w:eastAsia="en-AU"/>
        </w:rPr>
      </w:pPr>
      <w:r w:rsidRPr="00C227CD">
        <w:rPr>
          <w:rFonts w:ascii="Arial Narrow" w:eastAsia="Times New Roman" w:hAnsi="Arial Narrow" w:cs="Times New Roman"/>
          <w:color w:val="000000"/>
          <w:sz w:val="18"/>
          <w:szCs w:val="18"/>
          <w:vertAlign w:val="superscript"/>
          <w:lang w:eastAsia="en-AU"/>
        </w:rPr>
        <w:t>a</w:t>
      </w:r>
      <w:r w:rsidRPr="00C227CD">
        <w:rPr>
          <w:rFonts w:ascii="Arial Narrow" w:eastAsia="Times New Roman" w:hAnsi="Arial Narrow" w:cs="Times New Roman"/>
          <w:color w:val="000000"/>
          <w:sz w:val="18"/>
          <w:szCs w:val="18"/>
          <w:lang w:eastAsia="en-AU"/>
        </w:rPr>
        <w:t xml:space="preserve"> MSAC Application 1376.1, March 2018 MSAC Meeting PSD; MSAC Application 1473, November 2017 MSAC Meeting PSD; and MSAC Application 1342, November 2013 MSAC Meeting PSD.</w:t>
      </w:r>
    </w:p>
    <w:p w14:paraId="42C73A7F" w14:textId="7AE359FF" w:rsidR="002056CD" w:rsidRPr="00C227CD" w:rsidRDefault="002056CD" w:rsidP="002056CD">
      <w:pPr>
        <w:keepLines/>
        <w:spacing w:after="360" w:line="240" w:lineRule="auto"/>
        <w:contextualSpacing/>
        <w:rPr>
          <w:rFonts w:ascii="Arial Narrow" w:eastAsia="Times New Roman" w:hAnsi="Arial Narrow" w:cs="Times New Roman"/>
          <w:color w:val="000000"/>
          <w:sz w:val="18"/>
          <w:szCs w:val="18"/>
          <w:lang w:eastAsia="en-AU"/>
        </w:rPr>
      </w:pPr>
      <w:r w:rsidRPr="00C227CD">
        <w:rPr>
          <w:rFonts w:ascii="Arial Narrow" w:eastAsia="Times New Roman" w:hAnsi="Arial Narrow" w:cs="Times New Roman"/>
          <w:color w:val="000000"/>
          <w:sz w:val="18"/>
          <w:szCs w:val="18"/>
          <w:vertAlign w:val="superscript"/>
          <w:lang w:eastAsia="en-AU"/>
        </w:rPr>
        <w:t xml:space="preserve">b </w:t>
      </w:r>
      <w:r w:rsidRPr="00C227CD">
        <w:rPr>
          <w:rFonts w:ascii="Arial Narrow" w:eastAsia="Times New Roman" w:hAnsi="Arial Narrow" w:cs="Times New Roman"/>
          <w:color w:val="000000"/>
          <w:sz w:val="18"/>
          <w:szCs w:val="18"/>
          <w:lang w:eastAsia="en-AU"/>
        </w:rPr>
        <w:t>Sestak I, Martin M, Dubsky P, Kronenwett R, Rojo F, Cuzick J, et al. Prediction of chemotherapy benefit by EndoPredict in patients with breast cancer who received adjuvant endocrine therapy plus chemotherapy or endocrine therapy alone. Breast Cancer Res Treat. 2019 Jul;176(2):377-86.</w:t>
      </w:r>
    </w:p>
    <w:p w14:paraId="701BF698" w14:textId="77777777" w:rsidR="002056CD" w:rsidRPr="00C227CD" w:rsidRDefault="002056CD" w:rsidP="002056CD">
      <w:pPr>
        <w:keepLines/>
        <w:spacing w:after="360" w:line="240" w:lineRule="auto"/>
        <w:contextualSpacing/>
        <w:rPr>
          <w:rFonts w:ascii="Arial Narrow" w:eastAsia="Times New Roman" w:hAnsi="Arial Narrow" w:cs="Times New Roman"/>
          <w:color w:val="000000"/>
          <w:sz w:val="18"/>
          <w:szCs w:val="18"/>
          <w:lang w:eastAsia="en-AU"/>
        </w:rPr>
      </w:pPr>
      <w:r w:rsidRPr="00C227CD">
        <w:rPr>
          <w:rFonts w:ascii="Arial Narrow" w:eastAsia="Times New Roman" w:hAnsi="Arial Narrow" w:cs="Times New Roman"/>
          <w:color w:val="000000"/>
          <w:sz w:val="18"/>
          <w:szCs w:val="18"/>
          <w:vertAlign w:val="superscript"/>
          <w:lang w:eastAsia="en-AU"/>
        </w:rPr>
        <w:t>c</w:t>
      </w:r>
      <w:r w:rsidRPr="00C227CD">
        <w:rPr>
          <w:rFonts w:ascii="Arial Narrow" w:eastAsia="Times New Roman" w:hAnsi="Arial Narrow" w:cs="Times New Roman"/>
          <w:color w:val="000000"/>
          <w:sz w:val="18"/>
          <w:szCs w:val="18"/>
          <w:lang w:eastAsia="en-AU"/>
        </w:rPr>
        <w:t xml:space="preserve"> Verry H, Lord SJ, Martin A, Gill G, Lee CK, Howard K, et al. Effectiveness and cost-effectiveness of sentinel lymph node biopsy compared with axillary node dissection in patients with early-stage breast cancer: a decision model analysis. Br J Cancer. 2012 Mar 13;106(6):1045-52.</w:t>
      </w:r>
    </w:p>
    <w:p w14:paraId="7BD02AF6" w14:textId="77777777" w:rsidR="002056CD" w:rsidRDefault="002056CD" w:rsidP="000F0726">
      <w:pPr>
        <w:keepLines/>
        <w:spacing w:after="0" w:line="240" w:lineRule="auto"/>
        <w:rPr>
          <w:rFonts w:ascii="Arial Narrow" w:eastAsia="Times New Roman" w:hAnsi="Arial Narrow" w:cs="Times New Roman"/>
          <w:color w:val="000000"/>
          <w:sz w:val="18"/>
          <w:szCs w:val="18"/>
          <w:lang w:eastAsia="en-AU"/>
        </w:rPr>
      </w:pPr>
      <w:r w:rsidRPr="00C227CD">
        <w:rPr>
          <w:rFonts w:ascii="Arial Narrow" w:eastAsia="Times New Roman" w:hAnsi="Arial Narrow" w:cs="Times New Roman"/>
          <w:color w:val="000000"/>
          <w:sz w:val="18"/>
          <w:szCs w:val="18"/>
          <w:vertAlign w:val="superscript"/>
          <w:lang w:eastAsia="en-AU"/>
        </w:rPr>
        <w:t>d</w:t>
      </w:r>
      <w:r w:rsidRPr="00C227CD">
        <w:rPr>
          <w:rFonts w:ascii="Arial Narrow" w:eastAsia="Times New Roman" w:hAnsi="Arial Narrow" w:cs="Times New Roman"/>
          <w:color w:val="000000"/>
          <w:sz w:val="18"/>
          <w:szCs w:val="18"/>
          <w:lang w:eastAsia="en-AU"/>
        </w:rPr>
        <w:t xml:space="preserve"> Lidgren M, Wilking N, Jonsson B, Rehnberg C. Health related quality of life in different states of breast cancer. Qual Life Res. 2007 Aug;16(6):1073-81.</w:t>
      </w:r>
    </w:p>
    <w:p w14:paraId="3310E829" w14:textId="77777777" w:rsidR="000F0726" w:rsidRPr="00C227CD" w:rsidRDefault="000F0726" w:rsidP="000F0726">
      <w:pPr>
        <w:keepLines/>
        <w:spacing w:after="360" w:line="240" w:lineRule="auto"/>
        <w:contextualSpacing/>
        <w:rPr>
          <w:rFonts w:ascii="Arial Narrow" w:eastAsia="Times New Roman" w:hAnsi="Arial Narrow" w:cs="Times New Roman"/>
          <w:color w:val="000000"/>
          <w:sz w:val="18"/>
          <w:szCs w:val="18"/>
          <w:lang w:eastAsia="en-AU"/>
        </w:rPr>
      </w:pPr>
      <w:r w:rsidRPr="00C227CD">
        <w:rPr>
          <w:rFonts w:ascii="Arial Narrow" w:eastAsia="Times New Roman" w:hAnsi="Arial Narrow" w:cs="Times New Roman"/>
          <w:color w:val="000000"/>
          <w:sz w:val="18"/>
          <w:szCs w:val="18"/>
          <w:lang w:eastAsia="en-AU"/>
        </w:rPr>
        <w:t>ET = endocrine therapy; ET + CTX = endocrine and chemotherapy; GEP = gene expression profile; ICER = incremental cost-effectiveness ratio; MDT = multidisciplinary team.</w:t>
      </w:r>
    </w:p>
    <w:p w14:paraId="7419C508" w14:textId="77777777" w:rsidR="000F0726" w:rsidRDefault="000F0726" w:rsidP="000F0726">
      <w:pPr>
        <w:keepLines/>
        <w:spacing w:after="240" w:line="240" w:lineRule="auto"/>
        <w:rPr>
          <w:rFonts w:ascii="Arial Narrow" w:eastAsia="Times New Roman" w:hAnsi="Arial Narrow" w:cs="Times New Roman"/>
          <w:color w:val="000000"/>
          <w:sz w:val="18"/>
          <w:szCs w:val="18"/>
          <w:lang w:eastAsia="en-AU"/>
        </w:rPr>
      </w:pPr>
      <w:r w:rsidRPr="00C227CD">
        <w:rPr>
          <w:rFonts w:ascii="Arial Narrow" w:eastAsia="Times New Roman" w:hAnsi="Arial Narrow" w:cs="Times New Roman"/>
          <w:color w:val="000000"/>
          <w:sz w:val="18"/>
          <w:szCs w:val="18"/>
          <w:lang w:eastAsia="en-AU"/>
        </w:rPr>
        <w:t>Source: Constructed during the evaluation.</w:t>
      </w:r>
    </w:p>
    <w:p w14:paraId="359B0B49" w14:textId="7870F545" w:rsidR="007C2FE6" w:rsidRPr="007640A0" w:rsidRDefault="002056CD" w:rsidP="007C2FE6">
      <w:pPr>
        <w:spacing w:before="240"/>
        <w:rPr>
          <w:rFonts w:ascii="Franklin Gothic Book" w:hAnsi="Franklin Gothic Book"/>
        </w:rPr>
      </w:pPr>
      <w:r w:rsidRPr="001B4DDB">
        <w:rPr>
          <w:rFonts w:ascii="Franklin Gothic Book" w:hAnsi="Franklin Gothic Book"/>
        </w:rPr>
        <w:t xml:space="preserve">The </w:t>
      </w:r>
      <w:r w:rsidR="007C123F" w:rsidRPr="001B4DDB">
        <w:rPr>
          <w:rFonts w:ascii="Franklin Gothic Book" w:hAnsi="Franklin Gothic Book"/>
        </w:rPr>
        <w:t>fee per service that included</w:t>
      </w:r>
      <w:r w:rsidRPr="001B4DDB">
        <w:rPr>
          <w:rFonts w:ascii="Franklin Gothic Book" w:hAnsi="Franklin Gothic Book"/>
        </w:rPr>
        <w:t xml:space="preserve"> </w:t>
      </w:r>
      <w:r w:rsidR="00D50E5C" w:rsidRPr="001B4DDB">
        <w:rPr>
          <w:rFonts w:ascii="Franklin Gothic Book" w:hAnsi="Franklin Gothic Book"/>
        </w:rPr>
        <w:t>EndoPredict</w:t>
      </w:r>
      <w:r w:rsidR="005F1260" w:rsidRPr="005F1260">
        <w:rPr>
          <w:rFonts w:ascii="Franklin Gothic Book" w:hAnsi="Franklin Gothic Book"/>
          <w:vertAlign w:val="superscript"/>
        </w:rPr>
        <w:t>®</w:t>
      </w:r>
      <w:r w:rsidRPr="001B4DDB">
        <w:rPr>
          <w:rFonts w:ascii="Franklin Gothic Book" w:hAnsi="Franklin Gothic Book"/>
        </w:rPr>
        <w:t xml:space="preserve"> applied in the base case analysis </w:t>
      </w:r>
      <w:r w:rsidRPr="008E4BC3">
        <w:rPr>
          <w:rFonts w:ascii="Franklin Gothic Book" w:hAnsi="Franklin Gothic Book"/>
        </w:rPr>
        <w:t>was</w:t>
      </w:r>
      <w:r w:rsidRPr="00F54557">
        <w:rPr>
          <w:rFonts w:ascii="Franklin Gothic Book" w:hAnsi="Franklin Gothic Book"/>
        </w:rPr>
        <w:t xml:space="preserve"> $</w:t>
      </w:r>
      <w:r w:rsidR="00AE3E5D" w:rsidRPr="00AE3E5D">
        <w:rPr>
          <w:rFonts w:ascii="Franklin Gothic Book" w:hAnsi="Franklin Gothic Book"/>
          <w:color w:val="000000"/>
          <w:w w:val="64"/>
          <w:shd w:val="solid" w:color="000000" w:fill="000000"/>
          <w:fitText w:val="429" w:id="-1437332471"/>
          <w14:textFill>
            <w14:solidFill>
              <w14:srgbClr w14:val="000000">
                <w14:alpha w14:val="100000"/>
              </w14:srgbClr>
            </w14:solidFill>
          </w14:textFill>
        </w:rPr>
        <w:t>|||||</w:t>
      </w:r>
      <w:r w:rsidR="00AE3E5D" w:rsidRPr="00AE3E5D">
        <w:rPr>
          <w:rFonts w:ascii="Franklin Gothic Book" w:hAnsi="Franklin Gothic Book"/>
          <w:color w:val="000000"/>
          <w:spacing w:val="6"/>
          <w:w w:val="64"/>
          <w:shd w:val="solid" w:color="000000" w:fill="000000"/>
          <w:fitText w:val="429" w:id="-1437332471"/>
          <w14:textFill>
            <w14:solidFill>
              <w14:srgbClr w14:val="000000">
                <w14:alpha w14:val="100000"/>
              </w14:srgbClr>
            </w14:solidFill>
          </w14:textFill>
        </w:rPr>
        <w:t>|</w:t>
      </w:r>
      <w:r w:rsidRPr="00F54557">
        <w:rPr>
          <w:rFonts w:ascii="Franklin Gothic Book" w:hAnsi="Franklin Gothic Book"/>
        </w:rPr>
        <w:t>.</w:t>
      </w:r>
      <w:r w:rsidRPr="001B4DDB">
        <w:rPr>
          <w:rFonts w:ascii="Franklin Gothic Book" w:hAnsi="Franklin Gothic Book"/>
        </w:rPr>
        <w:t xml:space="preserve"> The </w:t>
      </w:r>
      <w:r w:rsidR="001246A4">
        <w:rPr>
          <w:rFonts w:ascii="Franklin Gothic Book" w:hAnsi="Franklin Gothic Book"/>
        </w:rPr>
        <w:t>applicant</w:t>
      </w:r>
      <w:r w:rsidRPr="001B4DDB">
        <w:rPr>
          <w:rFonts w:ascii="Franklin Gothic Book" w:hAnsi="Franklin Gothic Book"/>
        </w:rPr>
        <w:t xml:space="preserve"> proposed a volume</w:t>
      </w:r>
      <w:r w:rsidR="007C123F" w:rsidRPr="001B4DDB">
        <w:rPr>
          <w:rFonts w:ascii="Franklin Gothic Book" w:hAnsi="Franklin Gothic Book"/>
        </w:rPr>
        <w:t>-based</w:t>
      </w:r>
      <w:r w:rsidRPr="001B4DDB">
        <w:rPr>
          <w:rFonts w:ascii="Franklin Gothic Book" w:hAnsi="Franklin Gothic Book"/>
        </w:rPr>
        <w:t xml:space="preserve"> fee structure, where the total number of services claimed in the previous year determines the fee (see </w:t>
      </w:r>
      <w:r w:rsidR="009312CE">
        <w:rPr>
          <w:rFonts w:ascii="Franklin Gothic Book" w:hAnsi="Franklin Gothic Book"/>
        </w:rPr>
        <w:t>Table</w:t>
      </w:r>
      <w:r w:rsidRPr="001B4DDB">
        <w:rPr>
          <w:rFonts w:ascii="Franklin Gothic Book" w:hAnsi="Franklin Gothic Book"/>
        </w:rPr>
        <w:t xml:space="preserve"> 4 for further detail). In the first year of listing</w:t>
      </w:r>
      <w:r w:rsidR="00175362" w:rsidRPr="001B4DDB">
        <w:rPr>
          <w:rFonts w:ascii="Franklin Gothic Book" w:hAnsi="Franklin Gothic Book"/>
        </w:rPr>
        <w:t>,</w:t>
      </w:r>
      <w:r w:rsidRPr="001B4DDB">
        <w:rPr>
          <w:rFonts w:ascii="Franklin Gothic Book" w:hAnsi="Franklin Gothic Book"/>
        </w:rPr>
        <w:t xml:space="preserve"> the fee is based on expected use in that year. The fee applied in the economic an</w:t>
      </w:r>
      <w:r w:rsidR="00175362" w:rsidRPr="001B4DDB">
        <w:rPr>
          <w:rFonts w:ascii="Franklin Gothic Book" w:hAnsi="Franklin Gothic Book"/>
        </w:rPr>
        <w:t>a</w:t>
      </w:r>
      <w:r w:rsidRPr="001B4DDB">
        <w:rPr>
          <w:rFonts w:ascii="Franklin Gothic Book" w:hAnsi="Franklin Gothic Book"/>
        </w:rPr>
        <w:t xml:space="preserve">lysis reflects the average charged over the first five years of MBS listing, assuming that the fee charged in Years 1−3 is </w:t>
      </w:r>
      <w:r w:rsidRPr="00F54557">
        <w:rPr>
          <w:rFonts w:ascii="Franklin Gothic Book" w:hAnsi="Franklin Gothic Book"/>
        </w:rPr>
        <w:t>$</w:t>
      </w:r>
      <w:r w:rsidR="00AE3E5D" w:rsidRPr="00AE3E5D">
        <w:rPr>
          <w:rFonts w:ascii="Franklin Gothic Book" w:hAnsi="Franklin Gothic Book"/>
          <w:color w:val="000000"/>
          <w:w w:val="67"/>
          <w:shd w:val="solid" w:color="000000" w:fill="000000"/>
          <w:fitText w:val="443" w:id="-1437332470"/>
          <w14:textFill>
            <w14:solidFill>
              <w14:srgbClr w14:val="000000">
                <w14:alpha w14:val="100000"/>
              </w14:srgbClr>
            </w14:solidFill>
          </w14:textFill>
        </w:rPr>
        <w:t>||||||</w:t>
      </w:r>
      <w:r w:rsidRPr="001B4DDB">
        <w:rPr>
          <w:rFonts w:ascii="Franklin Gothic Book" w:hAnsi="Franklin Gothic Book"/>
        </w:rPr>
        <w:t xml:space="preserve"> (based on 3,112−4,665 services in the first two years of listing) </w:t>
      </w:r>
      <w:r w:rsidRPr="00D76968">
        <w:rPr>
          <w:rFonts w:ascii="Franklin Gothic Book" w:hAnsi="Franklin Gothic Book"/>
        </w:rPr>
        <w:t xml:space="preserve">and </w:t>
      </w:r>
      <w:r w:rsidRPr="00F54557">
        <w:rPr>
          <w:rFonts w:ascii="Franklin Gothic Book" w:hAnsi="Franklin Gothic Book"/>
        </w:rPr>
        <w:t>$</w:t>
      </w:r>
      <w:r w:rsidR="00AE3E5D" w:rsidRPr="00AE3E5D">
        <w:rPr>
          <w:rFonts w:ascii="Franklin Gothic Book" w:hAnsi="Franklin Gothic Book"/>
          <w:color w:val="000000"/>
          <w:w w:val="67"/>
          <w:shd w:val="solid" w:color="000000" w:fill="000000"/>
          <w:fitText w:val="443" w:id="-1437332469"/>
          <w14:textFill>
            <w14:solidFill>
              <w14:srgbClr w14:val="000000">
                <w14:alpha w14:val="100000"/>
              </w14:srgbClr>
            </w14:solidFill>
          </w14:textFill>
        </w:rPr>
        <w:t>||||||</w:t>
      </w:r>
      <w:r w:rsidRPr="00D76968">
        <w:rPr>
          <w:rFonts w:ascii="Franklin Gothic Book" w:hAnsi="Franklin Gothic Book"/>
        </w:rPr>
        <w:t xml:space="preserve"> in Years 4 and 5 (based on ≥4,666 services in the third and subsequent years</w:t>
      </w:r>
      <w:r w:rsidRPr="007640A0">
        <w:rPr>
          <w:rFonts w:ascii="Franklin Gothic Book" w:hAnsi="Franklin Gothic Book"/>
        </w:rPr>
        <w:t>) (</w:t>
      </w:r>
      <w:r w:rsidR="00350631">
        <w:rPr>
          <w:rFonts w:ascii="Franklin Gothic Book" w:hAnsi="Franklin Gothic Book"/>
        </w:rPr>
        <w:t>Table 12</w:t>
      </w:r>
      <w:r w:rsidRPr="007640A0">
        <w:rPr>
          <w:rFonts w:ascii="Franklin Gothic Book" w:hAnsi="Franklin Gothic Book"/>
        </w:rPr>
        <w:t>).</w:t>
      </w:r>
      <w:r w:rsidRPr="00D76968">
        <w:rPr>
          <w:rFonts w:ascii="Franklin Gothic Book" w:hAnsi="Franklin Gothic Book"/>
        </w:rPr>
        <w:t xml:space="preserve"> </w:t>
      </w:r>
      <w:r w:rsidR="001E5F60" w:rsidRPr="007640A0">
        <w:rPr>
          <w:rFonts w:ascii="Franklin Gothic Book" w:hAnsi="Franklin Gothic Book"/>
        </w:rPr>
        <w:t>The</w:t>
      </w:r>
      <w:r w:rsidR="001E5F60" w:rsidRPr="003F20EB">
        <w:rPr>
          <w:rFonts w:ascii="Franklin Gothic Book" w:hAnsi="Franklin Gothic Book"/>
          <w:iCs/>
        </w:rPr>
        <w:t xml:space="preserve"> </w:t>
      </w:r>
      <w:r w:rsidR="006A2C29" w:rsidRPr="006A2C29">
        <w:rPr>
          <w:rFonts w:ascii="Franklin Gothic Book" w:hAnsi="Franklin Gothic Book"/>
          <w:iCs/>
        </w:rPr>
        <w:t>c</w:t>
      </w:r>
      <w:r w:rsidR="001E5F60" w:rsidRPr="006A2C29">
        <w:rPr>
          <w:rFonts w:ascii="Franklin Gothic Book" w:hAnsi="Franklin Gothic Book"/>
          <w:iCs/>
        </w:rPr>
        <w:t xml:space="preserve">ommentary noted </w:t>
      </w:r>
      <w:r w:rsidRPr="006A2C29">
        <w:rPr>
          <w:rFonts w:ascii="Franklin Gothic Book" w:hAnsi="Franklin Gothic Book"/>
          <w:iCs/>
        </w:rPr>
        <w:t>there is substantial uncertainty in the use</w:t>
      </w:r>
      <w:r w:rsidR="007C123F" w:rsidRPr="006A2C29">
        <w:rPr>
          <w:rFonts w:ascii="Franklin Gothic Book" w:hAnsi="Franklin Gothic Book"/>
          <w:iCs/>
        </w:rPr>
        <w:t xml:space="preserve"> of </w:t>
      </w:r>
      <w:r w:rsidR="00D50E5C" w:rsidRPr="006A2C29">
        <w:rPr>
          <w:rFonts w:ascii="Franklin Gothic Book" w:hAnsi="Franklin Gothic Book"/>
          <w:iCs/>
        </w:rPr>
        <w:t>EndoPredict</w:t>
      </w:r>
      <w:r w:rsidR="005F1260" w:rsidRPr="005F1260">
        <w:rPr>
          <w:rFonts w:ascii="Franklin Gothic Book" w:hAnsi="Franklin Gothic Book"/>
          <w:iCs/>
          <w:vertAlign w:val="superscript"/>
        </w:rPr>
        <w:t>®</w:t>
      </w:r>
      <w:r w:rsidRPr="006A2C29">
        <w:rPr>
          <w:rFonts w:ascii="Franklin Gothic Book" w:hAnsi="Franklin Gothic Book"/>
          <w:iCs/>
        </w:rPr>
        <w:t xml:space="preserve"> estimated, and so use in the first year of listing may be substantially higher (and exceeding 4,666 services). If use is at this level, the cost in Years 2 and 3 would reduce to reflect the increase in use, and the average charged over the five</w:t>
      </w:r>
      <w:r w:rsidR="00457FE3">
        <w:rPr>
          <w:rFonts w:ascii="Franklin Gothic Book" w:hAnsi="Franklin Gothic Book"/>
          <w:iCs/>
        </w:rPr>
        <w:t>-</w:t>
      </w:r>
      <w:r w:rsidRPr="006A2C29">
        <w:rPr>
          <w:rFonts w:ascii="Franklin Gothic Book" w:hAnsi="Franklin Gothic Book"/>
          <w:iCs/>
        </w:rPr>
        <w:t xml:space="preserve">year period would decrease to </w:t>
      </w:r>
      <w:r w:rsidRPr="00F54557">
        <w:rPr>
          <w:rFonts w:ascii="Franklin Gothic Book" w:hAnsi="Franklin Gothic Book"/>
          <w:iCs/>
        </w:rPr>
        <w:t>$</w:t>
      </w:r>
      <w:r w:rsidR="00AE3E5D" w:rsidRPr="00AE3E5D">
        <w:rPr>
          <w:rFonts w:ascii="Franklin Gothic Book" w:hAnsi="Franklin Gothic Book"/>
          <w:iCs/>
          <w:color w:val="000000"/>
          <w:w w:val="67"/>
          <w:shd w:val="solid" w:color="000000" w:fill="000000"/>
          <w:fitText w:val="443" w:id="-1437332468"/>
          <w14:textFill>
            <w14:solidFill>
              <w14:srgbClr w14:val="000000">
                <w14:alpha w14:val="100000"/>
              </w14:srgbClr>
            </w14:solidFill>
          </w14:textFill>
        </w:rPr>
        <w:t>||||||</w:t>
      </w:r>
      <w:r w:rsidRPr="00F54557">
        <w:rPr>
          <w:rFonts w:ascii="Franklin Gothic Book" w:hAnsi="Franklin Gothic Book"/>
          <w:iCs/>
        </w:rPr>
        <w:t>.</w:t>
      </w:r>
      <w:bookmarkStart w:id="59" w:name="_Ref100130320"/>
      <w:r w:rsidR="007C2FE6">
        <w:rPr>
          <w:rFonts w:ascii="Arial Narrow" w:eastAsia="Times New Roman" w:hAnsi="Arial Narrow" w:cs="Times New Roman"/>
          <w:b/>
          <w:bCs/>
          <w:sz w:val="20"/>
          <w:szCs w:val="20"/>
        </w:rPr>
        <w:br w:type="page"/>
      </w:r>
    </w:p>
    <w:p w14:paraId="28D6CF8D" w14:textId="06A76AAE" w:rsidR="002056CD" w:rsidRPr="00C227CD" w:rsidRDefault="002056CD" w:rsidP="002056CD">
      <w:pPr>
        <w:keepNext/>
        <w:spacing w:before="360" w:after="120" w:line="240" w:lineRule="auto"/>
        <w:rPr>
          <w:rFonts w:ascii="Arial Narrow" w:eastAsia="Times New Roman" w:hAnsi="Arial Narrow" w:cs="Times New Roman"/>
          <w:b/>
          <w:bCs/>
          <w:sz w:val="20"/>
          <w:szCs w:val="20"/>
        </w:rPr>
      </w:pPr>
      <w:r w:rsidRPr="00C227CD">
        <w:rPr>
          <w:rFonts w:ascii="Arial Narrow" w:eastAsia="Times New Roman" w:hAnsi="Arial Narrow" w:cs="Times New Roman"/>
          <w:b/>
          <w:bCs/>
          <w:sz w:val="20"/>
          <w:szCs w:val="20"/>
        </w:rPr>
        <w:lastRenderedPageBreak/>
        <w:t xml:space="preserve">Table </w:t>
      </w:r>
      <w:r w:rsidRPr="00C227CD">
        <w:rPr>
          <w:rFonts w:ascii="Arial Narrow" w:eastAsia="Times New Roman" w:hAnsi="Arial Narrow" w:cs="Times New Roman"/>
          <w:b/>
          <w:bCs/>
          <w:sz w:val="20"/>
          <w:szCs w:val="20"/>
        </w:rPr>
        <w:fldChar w:fldCharType="begin"/>
      </w:r>
      <w:r w:rsidRPr="00C227CD">
        <w:rPr>
          <w:rFonts w:ascii="Arial Narrow" w:eastAsia="Times New Roman" w:hAnsi="Arial Narrow" w:cs="Times New Roman"/>
          <w:b/>
          <w:bCs/>
          <w:sz w:val="20"/>
          <w:szCs w:val="20"/>
        </w:rPr>
        <w:instrText xml:space="preserve"> SEQ Table \* ARABIC </w:instrText>
      </w:r>
      <w:r w:rsidRPr="00C227CD">
        <w:rPr>
          <w:rFonts w:ascii="Arial Narrow" w:eastAsia="Times New Roman" w:hAnsi="Arial Narrow" w:cs="Times New Roman"/>
          <w:b/>
          <w:bCs/>
          <w:sz w:val="20"/>
          <w:szCs w:val="20"/>
        </w:rPr>
        <w:fldChar w:fldCharType="separate"/>
      </w:r>
      <w:r w:rsidR="00943826">
        <w:rPr>
          <w:rFonts w:ascii="Arial Narrow" w:eastAsia="Times New Roman" w:hAnsi="Arial Narrow" w:cs="Times New Roman"/>
          <w:b/>
          <w:bCs/>
          <w:noProof/>
          <w:sz w:val="20"/>
          <w:szCs w:val="20"/>
        </w:rPr>
        <w:t>12</w:t>
      </w:r>
      <w:r w:rsidRPr="00C227CD">
        <w:rPr>
          <w:rFonts w:ascii="Arial Narrow" w:eastAsia="Times New Roman" w:hAnsi="Arial Narrow" w:cs="Times New Roman"/>
          <w:b/>
          <w:bCs/>
          <w:noProof/>
          <w:sz w:val="20"/>
          <w:szCs w:val="20"/>
        </w:rPr>
        <w:fldChar w:fldCharType="end"/>
      </w:r>
      <w:bookmarkEnd w:id="59"/>
      <w:r w:rsidRPr="00C227CD">
        <w:rPr>
          <w:rFonts w:ascii="Arial Narrow" w:eastAsia="Times New Roman" w:hAnsi="Arial Narrow" w:cs="Times New Roman"/>
          <w:b/>
          <w:bCs/>
          <w:sz w:val="20"/>
          <w:szCs w:val="20"/>
        </w:rPr>
        <w:t xml:space="preserve">: Derivation of </w:t>
      </w:r>
      <w:r w:rsidR="00D50E5C">
        <w:rPr>
          <w:rFonts w:ascii="Arial Narrow" w:eastAsia="Times New Roman" w:hAnsi="Arial Narrow" w:cs="Times New Roman"/>
          <w:b/>
          <w:bCs/>
          <w:sz w:val="20"/>
          <w:szCs w:val="20"/>
        </w:rPr>
        <w:t>EndoPredict</w:t>
      </w:r>
      <w:r w:rsidR="005F1260" w:rsidRPr="005F1260">
        <w:rPr>
          <w:rFonts w:ascii="Arial Narrow" w:eastAsia="Times New Roman" w:hAnsi="Arial Narrow" w:cs="Times New Roman"/>
          <w:b/>
          <w:bCs/>
          <w:sz w:val="20"/>
          <w:szCs w:val="20"/>
          <w:vertAlign w:val="superscript"/>
        </w:rPr>
        <w:t>®</w:t>
      </w:r>
      <w:r w:rsidRPr="00C227CD">
        <w:rPr>
          <w:rFonts w:ascii="Arial Narrow" w:eastAsia="Times New Roman" w:hAnsi="Arial Narrow" w:cs="Times New Roman"/>
          <w:b/>
          <w:bCs/>
          <w:sz w:val="20"/>
          <w:szCs w:val="20"/>
        </w:rPr>
        <w:t xml:space="preserve"> fee applied in the economic analysis</w:t>
      </w:r>
    </w:p>
    <w:tbl>
      <w:tblPr>
        <w:tblStyle w:val="ASDTable2"/>
        <w:tblW w:w="0" w:type="auto"/>
        <w:tblLook w:val="04A0" w:firstRow="1" w:lastRow="0" w:firstColumn="1" w:lastColumn="0" w:noHBand="0" w:noVBand="1"/>
      </w:tblPr>
      <w:tblGrid>
        <w:gridCol w:w="2302"/>
        <w:gridCol w:w="1116"/>
        <w:gridCol w:w="1117"/>
        <w:gridCol w:w="1118"/>
        <w:gridCol w:w="1117"/>
        <w:gridCol w:w="1117"/>
        <w:gridCol w:w="1129"/>
      </w:tblGrid>
      <w:tr w:rsidR="002056CD" w:rsidRPr="00C227CD" w14:paraId="1D908CB8" w14:textId="77777777" w:rsidTr="006B0BCC">
        <w:tc>
          <w:tcPr>
            <w:tcW w:w="2302" w:type="dxa"/>
          </w:tcPr>
          <w:p w14:paraId="53E52B23" w14:textId="77777777" w:rsidR="002056CD" w:rsidRPr="00C227CD" w:rsidRDefault="002056CD" w:rsidP="006B0BCC">
            <w:pPr>
              <w:keepNext/>
              <w:rPr>
                <w:rFonts w:ascii="Arial Narrow" w:eastAsiaTheme="majorEastAsia" w:hAnsi="Arial Narrow" w:cs="Times New Roman"/>
                <w:b/>
                <w:sz w:val="20"/>
                <w:szCs w:val="24"/>
                <w:lang w:val="en-US" w:eastAsia="en-AU"/>
              </w:rPr>
            </w:pPr>
          </w:p>
        </w:tc>
        <w:tc>
          <w:tcPr>
            <w:tcW w:w="1116" w:type="dxa"/>
          </w:tcPr>
          <w:p w14:paraId="19B4D288" w14:textId="77777777" w:rsidR="002056CD" w:rsidRPr="00C227CD" w:rsidRDefault="002056CD" w:rsidP="006B0BCC">
            <w:pPr>
              <w:keepNext/>
              <w:jc w:val="center"/>
              <w:rPr>
                <w:rFonts w:ascii="Arial Narrow" w:eastAsiaTheme="majorEastAsia" w:hAnsi="Arial Narrow" w:cs="Times New Roman"/>
                <w:b/>
                <w:sz w:val="20"/>
                <w:szCs w:val="24"/>
                <w:lang w:val="en-US" w:eastAsia="en-AU"/>
              </w:rPr>
            </w:pPr>
            <w:r w:rsidRPr="00C227CD">
              <w:rPr>
                <w:rFonts w:ascii="Arial Narrow" w:eastAsiaTheme="majorEastAsia" w:hAnsi="Arial Narrow" w:cs="Times New Roman"/>
                <w:b/>
                <w:sz w:val="20"/>
                <w:szCs w:val="24"/>
                <w:lang w:val="en-US" w:eastAsia="en-AU"/>
              </w:rPr>
              <w:t>2023</w:t>
            </w:r>
          </w:p>
        </w:tc>
        <w:tc>
          <w:tcPr>
            <w:tcW w:w="1117" w:type="dxa"/>
          </w:tcPr>
          <w:p w14:paraId="48FD65B3" w14:textId="77777777" w:rsidR="002056CD" w:rsidRPr="00C227CD" w:rsidRDefault="002056CD" w:rsidP="006B0BCC">
            <w:pPr>
              <w:keepNext/>
              <w:jc w:val="center"/>
              <w:rPr>
                <w:rFonts w:ascii="Arial Narrow" w:eastAsiaTheme="majorEastAsia" w:hAnsi="Arial Narrow" w:cs="Times New Roman"/>
                <w:b/>
                <w:sz w:val="20"/>
                <w:szCs w:val="24"/>
                <w:lang w:val="en-US" w:eastAsia="en-AU"/>
              </w:rPr>
            </w:pPr>
            <w:r w:rsidRPr="00C227CD">
              <w:rPr>
                <w:rFonts w:ascii="Arial Narrow" w:eastAsiaTheme="majorEastAsia" w:hAnsi="Arial Narrow" w:cs="Times New Roman"/>
                <w:b/>
                <w:sz w:val="20"/>
                <w:szCs w:val="24"/>
                <w:lang w:val="en-US" w:eastAsia="en-AU"/>
              </w:rPr>
              <w:t>2024</w:t>
            </w:r>
          </w:p>
        </w:tc>
        <w:tc>
          <w:tcPr>
            <w:tcW w:w="1118" w:type="dxa"/>
          </w:tcPr>
          <w:p w14:paraId="3C336A01" w14:textId="77777777" w:rsidR="002056CD" w:rsidRPr="00C227CD" w:rsidRDefault="002056CD" w:rsidP="006B0BCC">
            <w:pPr>
              <w:keepNext/>
              <w:jc w:val="center"/>
              <w:rPr>
                <w:rFonts w:ascii="Arial Narrow" w:eastAsiaTheme="majorEastAsia" w:hAnsi="Arial Narrow" w:cs="Times New Roman"/>
                <w:b/>
                <w:sz w:val="20"/>
                <w:szCs w:val="24"/>
                <w:lang w:val="en-US" w:eastAsia="en-AU"/>
              </w:rPr>
            </w:pPr>
            <w:r w:rsidRPr="00C227CD">
              <w:rPr>
                <w:rFonts w:ascii="Arial Narrow" w:eastAsiaTheme="majorEastAsia" w:hAnsi="Arial Narrow" w:cs="Times New Roman"/>
                <w:b/>
                <w:sz w:val="20"/>
                <w:szCs w:val="24"/>
                <w:lang w:val="en-US" w:eastAsia="en-AU"/>
              </w:rPr>
              <w:t>2025</w:t>
            </w:r>
          </w:p>
        </w:tc>
        <w:tc>
          <w:tcPr>
            <w:tcW w:w="1117" w:type="dxa"/>
          </w:tcPr>
          <w:p w14:paraId="1B768A5F" w14:textId="77777777" w:rsidR="002056CD" w:rsidRPr="00C227CD" w:rsidRDefault="002056CD" w:rsidP="006B0BCC">
            <w:pPr>
              <w:keepNext/>
              <w:jc w:val="center"/>
              <w:rPr>
                <w:rFonts w:ascii="Arial Narrow" w:eastAsiaTheme="majorEastAsia" w:hAnsi="Arial Narrow" w:cs="Times New Roman"/>
                <w:b/>
                <w:sz w:val="20"/>
                <w:szCs w:val="24"/>
                <w:lang w:val="en-US" w:eastAsia="en-AU"/>
              </w:rPr>
            </w:pPr>
            <w:r w:rsidRPr="00C227CD">
              <w:rPr>
                <w:rFonts w:ascii="Arial Narrow" w:eastAsiaTheme="majorEastAsia" w:hAnsi="Arial Narrow" w:cs="Times New Roman"/>
                <w:b/>
                <w:sz w:val="20"/>
                <w:szCs w:val="24"/>
                <w:lang w:val="en-US" w:eastAsia="en-AU"/>
              </w:rPr>
              <w:t>2026</w:t>
            </w:r>
          </w:p>
        </w:tc>
        <w:tc>
          <w:tcPr>
            <w:tcW w:w="1117" w:type="dxa"/>
          </w:tcPr>
          <w:p w14:paraId="2DA72878" w14:textId="77777777" w:rsidR="002056CD" w:rsidRPr="00C227CD" w:rsidRDefault="002056CD" w:rsidP="006B0BCC">
            <w:pPr>
              <w:keepNext/>
              <w:jc w:val="center"/>
              <w:rPr>
                <w:rFonts w:ascii="Arial Narrow" w:eastAsiaTheme="majorEastAsia" w:hAnsi="Arial Narrow" w:cs="Times New Roman"/>
                <w:b/>
                <w:sz w:val="20"/>
                <w:szCs w:val="24"/>
                <w:lang w:val="en-US" w:eastAsia="en-AU"/>
              </w:rPr>
            </w:pPr>
            <w:r w:rsidRPr="00C227CD">
              <w:rPr>
                <w:rFonts w:ascii="Arial Narrow" w:eastAsiaTheme="majorEastAsia" w:hAnsi="Arial Narrow" w:cs="Times New Roman"/>
                <w:b/>
                <w:sz w:val="20"/>
                <w:szCs w:val="24"/>
                <w:lang w:val="en-US" w:eastAsia="en-AU"/>
              </w:rPr>
              <w:t>2027</w:t>
            </w:r>
          </w:p>
        </w:tc>
        <w:tc>
          <w:tcPr>
            <w:tcW w:w="1129" w:type="dxa"/>
          </w:tcPr>
          <w:p w14:paraId="00C841CA" w14:textId="77777777" w:rsidR="002056CD" w:rsidRPr="00C227CD" w:rsidRDefault="002056CD" w:rsidP="006B0BCC">
            <w:pPr>
              <w:keepNext/>
              <w:jc w:val="center"/>
              <w:rPr>
                <w:rFonts w:ascii="Arial Narrow" w:eastAsiaTheme="majorEastAsia" w:hAnsi="Arial Narrow" w:cs="Times New Roman"/>
                <w:b/>
                <w:sz w:val="20"/>
                <w:szCs w:val="24"/>
                <w:lang w:val="en-US" w:eastAsia="en-AU"/>
              </w:rPr>
            </w:pPr>
            <w:r w:rsidRPr="00C227CD">
              <w:rPr>
                <w:rFonts w:ascii="Arial Narrow" w:eastAsiaTheme="majorEastAsia" w:hAnsi="Arial Narrow" w:cs="Times New Roman"/>
                <w:b/>
                <w:sz w:val="20"/>
                <w:szCs w:val="24"/>
                <w:lang w:val="en-US" w:eastAsia="en-AU"/>
              </w:rPr>
              <w:t>2023−2027</w:t>
            </w:r>
          </w:p>
        </w:tc>
      </w:tr>
      <w:tr w:rsidR="002056CD" w:rsidRPr="00C227CD" w14:paraId="16C5799D" w14:textId="77777777" w:rsidTr="00AE3E5D">
        <w:tc>
          <w:tcPr>
            <w:tcW w:w="2302" w:type="dxa"/>
          </w:tcPr>
          <w:p w14:paraId="4D733A5F" w14:textId="77777777" w:rsidR="002056CD" w:rsidRPr="00C227CD" w:rsidRDefault="002056CD" w:rsidP="006B0BCC">
            <w:pPr>
              <w:spacing w:before="40" w:after="40"/>
              <w:rPr>
                <w:rFonts w:ascii="Arial Narrow" w:hAnsi="Arial Narrow"/>
                <w:sz w:val="20"/>
              </w:rPr>
            </w:pPr>
            <w:r w:rsidRPr="00C227CD">
              <w:rPr>
                <w:rFonts w:ascii="Arial Narrow" w:hAnsi="Arial Narrow"/>
                <w:sz w:val="20"/>
              </w:rPr>
              <w:t>Expected use</w:t>
            </w:r>
          </w:p>
        </w:tc>
        <w:tc>
          <w:tcPr>
            <w:tcW w:w="1116" w:type="dxa"/>
            <w:tcBorders>
              <w:bottom w:val="single" w:sz="4" w:space="0" w:color="auto"/>
            </w:tcBorders>
          </w:tcPr>
          <w:p w14:paraId="58933773" w14:textId="77777777" w:rsidR="002056CD" w:rsidRPr="00C227CD" w:rsidRDefault="002056CD" w:rsidP="006B0BCC">
            <w:pPr>
              <w:spacing w:before="40" w:after="40"/>
              <w:jc w:val="center"/>
              <w:rPr>
                <w:rFonts w:ascii="Arial Narrow" w:hAnsi="Arial Narrow"/>
                <w:sz w:val="20"/>
              </w:rPr>
            </w:pPr>
            <w:r w:rsidRPr="00C227CD">
              <w:rPr>
                <w:rFonts w:ascii="Arial Narrow" w:hAnsi="Arial Narrow"/>
                <w:sz w:val="20"/>
              </w:rPr>
              <w:t>3,276</w:t>
            </w:r>
          </w:p>
        </w:tc>
        <w:tc>
          <w:tcPr>
            <w:tcW w:w="1117" w:type="dxa"/>
            <w:tcBorders>
              <w:bottom w:val="single" w:sz="4" w:space="0" w:color="auto"/>
            </w:tcBorders>
          </w:tcPr>
          <w:p w14:paraId="22C30C59" w14:textId="77777777" w:rsidR="002056CD" w:rsidRPr="00C227CD" w:rsidRDefault="002056CD" w:rsidP="006B0BCC">
            <w:pPr>
              <w:spacing w:before="40" w:after="40"/>
              <w:jc w:val="center"/>
              <w:rPr>
                <w:rFonts w:ascii="Arial Narrow" w:hAnsi="Arial Narrow"/>
                <w:sz w:val="20"/>
              </w:rPr>
            </w:pPr>
            <w:r w:rsidRPr="00C227CD">
              <w:rPr>
                <w:rFonts w:ascii="Arial Narrow" w:hAnsi="Arial Narrow"/>
                <w:sz w:val="20"/>
              </w:rPr>
              <w:t>3,950</w:t>
            </w:r>
          </w:p>
        </w:tc>
        <w:tc>
          <w:tcPr>
            <w:tcW w:w="1118" w:type="dxa"/>
            <w:tcBorders>
              <w:bottom w:val="single" w:sz="4" w:space="0" w:color="auto"/>
            </w:tcBorders>
          </w:tcPr>
          <w:p w14:paraId="2FBD7671" w14:textId="77777777" w:rsidR="002056CD" w:rsidRPr="00C227CD" w:rsidRDefault="002056CD" w:rsidP="006B0BCC">
            <w:pPr>
              <w:spacing w:before="40" w:after="40"/>
              <w:jc w:val="center"/>
              <w:rPr>
                <w:rFonts w:ascii="Arial Narrow" w:hAnsi="Arial Narrow"/>
                <w:sz w:val="20"/>
              </w:rPr>
            </w:pPr>
            <w:r w:rsidRPr="00C227CD">
              <w:rPr>
                <w:rFonts w:ascii="Arial Narrow" w:hAnsi="Arial Narrow"/>
                <w:sz w:val="20"/>
              </w:rPr>
              <w:t>4,666</w:t>
            </w:r>
          </w:p>
        </w:tc>
        <w:tc>
          <w:tcPr>
            <w:tcW w:w="1117" w:type="dxa"/>
            <w:tcBorders>
              <w:bottom w:val="single" w:sz="4" w:space="0" w:color="auto"/>
            </w:tcBorders>
          </w:tcPr>
          <w:p w14:paraId="1275AB2A" w14:textId="77777777" w:rsidR="002056CD" w:rsidRPr="00C227CD" w:rsidRDefault="002056CD" w:rsidP="006B0BCC">
            <w:pPr>
              <w:spacing w:before="40" w:after="40"/>
              <w:jc w:val="center"/>
              <w:rPr>
                <w:rFonts w:ascii="Arial Narrow" w:hAnsi="Arial Narrow"/>
                <w:sz w:val="20"/>
              </w:rPr>
            </w:pPr>
            <w:r w:rsidRPr="00C227CD">
              <w:rPr>
                <w:rFonts w:ascii="Arial Narrow" w:hAnsi="Arial Narrow"/>
                <w:sz w:val="20"/>
              </w:rPr>
              <w:t>4,823</w:t>
            </w:r>
          </w:p>
        </w:tc>
        <w:tc>
          <w:tcPr>
            <w:tcW w:w="1117" w:type="dxa"/>
            <w:tcBorders>
              <w:bottom w:val="single" w:sz="4" w:space="0" w:color="auto"/>
            </w:tcBorders>
          </w:tcPr>
          <w:p w14:paraId="47342321" w14:textId="77777777" w:rsidR="002056CD" w:rsidRPr="00C227CD" w:rsidRDefault="002056CD" w:rsidP="006B0BCC">
            <w:pPr>
              <w:spacing w:before="40" w:after="40"/>
              <w:jc w:val="center"/>
              <w:rPr>
                <w:rFonts w:ascii="Arial Narrow" w:hAnsi="Arial Narrow"/>
                <w:sz w:val="20"/>
              </w:rPr>
            </w:pPr>
            <w:r w:rsidRPr="00C227CD">
              <w:rPr>
                <w:rFonts w:ascii="Arial Narrow" w:hAnsi="Arial Narrow"/>
                <w:sz w:val="20"/>
              </w:rPr>
              <w:t>4,984</w:t>
            </w:r>
          </w:p>
        </w:tc>
        <w:tc>
          <w:tcPr>
            <w:tcW w:w="1129" w:type="dxa"/>
            <w:tcBorders>
              <w:bottom w:val="single" w:sz="4" w:space="0" w:color="auto"/>
            </w:tcBorders>
          </w:tcPr>
          <w:p w14:paraId="36347DA8" w14:textId="77777777" w:rsidR="002056CD" w:rsidRPr="00C227CD" w:rsidRDefault="002056CD" w:rsidP="006B0BCC">
            <w:pPr>
              <w:spacing w:before="40" w:after="40"/>
              <w:jc w:val="center"/>
              <w:rPr>
                <w:rFonts w:ascii="Arial Narrow" w:hAnsi="Arial Narrow"/>
                <w:sz w:val="20"/>
              </w:rPr>
            </w:pPr>
            <w:r w:rsidRPr="00C227CD">
              <w:rPr>
                <w:rFonts w:ascii="Arial Narrow" w:hAnsi="Arial Narrow"/>
                <w:sz w:val="20"/>
              </w:rPr>
              <w:t>21,699</w:t>
            </w:r>
          </w:p>
        </w:tc>
      </w:tr>
      <w:tr w:rsidR="002056CD" w:rsidRPr="00C227CD" w14:paraId="1B4DF964" w14:textId="77777777" w:rsidTr="00AE3E5D">
        <w:tc>
          <w:tcPr>
            <w:tcW w:w="2302" w:type="dxa"/>
          </w:tcPr>
          <w:p w14:paraId="30D73EDF" w14:textId="77777777" w:rsidR="002056CD" w:rsidRPr="00FF3024" w:rsidRDefault="002056CD" w:rsidP="006B0BCC">
            <w:pPr>
              <w:spacing w:before="40" w:after="40"/>
              <w:rPr>
                <w:rFonts w:ascii="Arial Narrow" w:hAnsi="Arial Narrow"/>
                <w:sz w:val="20"/>
              </w:rPr>
            </w:pPr>
            <w:r w:rsidRPr="00FF3024">
              <w:rPr>
                <w:rFonts w:ascii="Arial Narrow" w:hAnsi="Arial Narrow"/>
                <w:sz w:val="20"/>
              </w:rPr>
              <w:t xml:space="preserve">MBS fee </w:t>
            </w:r>
            <w:r w:rsidRPr="00FF3024">
              <w:rPr>
                <w:rFonts w:ascii="Arial Narrow" w:hAnsi="Arial Narrow"/>
                <w:sz w:val="20"/>
                <w:vertAlign w:val="superscript"/>
              </w:rPr>
              <w:t>a</w:t>
            </w:r>
          </w:p>
        </w:tc>
        <w:tc>
          <w:tcPr>
            <w:tcW w:w="1116" w:type="dxa"/>
            <w:tcBorders>
              <w:bottom w:val="single" w:sz="4" w:space="0" w:color="auto"/>
            </w:tcBorders>
            <w:shd w:val="solid" w:color="000000" w:fill="000000"/>
          </w:tcPr>
          <w:p w14:paraId="4C93CBC0" w14:textId="43948C9A" w:rsidR="002056CD" w:rsidRPr="00F54557" w:rsidRDefault="00AE3E5D" w:rsidP="006B0BCC">
            <w:pPr>
              <w:spacing w:before="40" w:after="40"/>
              <w:jc w:val="right"/>
              <w:rPr>
                <w:rFonts w:ascii="Arial Narrow" w:hAnsi="Arial Narrow"/>
                <w:sz w:val="20"/>
                <w:highlight w:val="red"/>
              </w:rPr>
            </w:pPr>
            <w:r w:rsidRPr="00AE3E5D">
              <w:rPr>
                <w:rFonts w:ascii="Arial Narrow" w:hAnsi="Arial Narrow"/>
                <w:color w:val="000000"/>
                <w:sz w:val="20"/>
                <w14:textFill>
                  <w14:solidFill>
                    <w14:srgbClr w14:val="000000">
                      <w14:alpha w14:val="100000"/>
                    </w14:srgbClr>
                  </w14:solidFill>
                </w14:textFill>
              </w:rPr>
              <w:t>|</w:t>
            </w:r>
          </w:p>
        </w:tc>
        <w:tc>
          <w:tcPr>
            <w:tcW w:w="1117" w:type="dxa"/>
            <w:tcBorders>
              <w:bottom w:val="single" w:sz="4" w:space="0" w:color="auto"/>
            </w:tcBorders>
            <w:shd w:val="solid" w:color="000000" w:fill="000000"/>
          </w:tcPr>
          <w:p w14:paraId="5CFC5D50" w14:textId="36A779F4" w:rsidR="002056CD" w:rsidRPr="00F54557" w:rsidRDefault="00AE3E5D" w:rsidP="006B0BCC">
            <w:pPr>
              <w:spacing w:before="40" w:after="40"/>
              <w:jc w:val="right"/>
              <w:rPr>
                <w:rFonts w:ascii="Arial Narrow" w:hAnsi="Arial Narrow"/>
                <w:sz w:val="20"/>
                <w:highlight w:val="red"/>
              </w:rPr>
            </w:pPr>
            <w:r w:rsidRPr="00AE3E5D">
              <w:rPr>
                <w:rFonts w:ascii="Arial Narrow" w:hAnsi="Arial Narrow"/>
                <w:color w:val="000000"/>
                <w:sz w:val="20"/>
                <w14:textFill>
                  <w14:solidFill>
                    <w14:srgbClr w14:val="000000">
                      <w14:alpha w14:val="100000"/>
                    </w14:srgbClr>
                  </w14:solidFill>
                </w14:textFill>
              </w:rPr>
              <w:t>|</w:t>
            </w:r>
          </w:p>
        </w:tc>
        <w:tc>
          <w:tcPr>
            <w:tcW w:w="1118" w:type="dxa"/>
            <w:tcBorders>
              <w:bottom w:val="single" w:sz="4" w:space="0" w:color="auto"/>
            </w:tcBorders>
            <w:shd w:val="solid" w:color="000000" w:fill="000000"/>
          </w:tcPr>
          <w:p w14:paraId="5894BABA" w14:textId="5B5FE528" w:rsidR="002056CD" w:rsidRPr="00F54557" w:rsidRDefault="00AE3E5D" w:rsidP="006B0BCC">
            <w:pPr>
              <w:spacing w:before="40" w:after="40"/>
              <w:jc w:val="right"/>
              <w:rPr>
                <w:rFonts w:ascii="Arial Narrow" w:hAnsi="Arial Narrow"/>
                <w:sz w:val="20"/>
                <w:highlight w:val="red"/>
              </w:rPr>
            </w:pPr>
            <w:r w:rsidRPr="00AE3E5D">
              <w:rPr>
                <w:rFonts w:ascii="Arial Narrow" w:hAnsi="Arial Narrow"/>
                <w:color w:val="000000"/>
                <w:sz w:val="20"/>
                <w14:textFill>
                  <w14:solidFill>
                    <w14:srgbClr w14:val="000000">
                      <w14:alpha w14:val="100000"/>
                    </w14:srgbClr>
                  </w14:solidFill>
                </w14:textFill>
              </w:rPr>
              <w:t>|</w:t>
            </w:r>
          </w:p>
        </w:tc>
        <w:tc>
          <w:tcPr>
            <w:tcW w:w="1117" w:type="dxa"/>
            <w:tcBorders>
              <w:bottom w:val="single" w:sz="4" w:space="0" w:color="auto"/>
            </w:tcBorders>
            <w:shd w:val="solid" w:color="000000" w:fill="000000"/>
          </w:tcPr>
          <w:p w14:paraId="5CCC444A" w14:textId="234D3D20" w:rsidR="002056CD" w:rsidRPr="00F54557" w:rsidRDefault="00AE3E5D" w:rsidP="006B0BCC">
            <w:pPr>
              <w:spacing w:before="40" w:after="40"/>
              <w:jc w:val="right"/>
              <w:rPr>
                <w:rFonts w:ascii="Arial Narrow" w:hAnsi="Arial Narrow"/>
                <w:sz w:val="20"/>
                <w:highlight w:val="red"/>
              </w:rPr>
            </w:pPr>
            <w:r w:rsidRPr="00AE3E5D">
              <w:rPr>
                <w:rFonts w:ascii="Arial Narrow" w:hAnsi="Arial Narrow"/>
                <w:color w:val="000000"/>
                <w:sz w:val="20"/>
                <w14:textFill>
                  <w14:solidFill>
                    <w14:srgbClr w14:val="000000">
                      <w14:alpha w14:val="100000"/>
                    </w14:srgbClr>
                  </w14:solidFill>
                </w14:textFill>
              </w:rPr>
              <w:t>|</w:t>
            </w:r>
          </w:p>
        </w:tc>
        <w:tc>
          <w:tcPr>
            <w:tcW w:w="1117" w:type="dxa"/>
            <w:tcBorders>
              <w:bottom w:val="single" w:sz="4" w:space="0" w:color="auto"/>
            </w:tcBorders>
            <w:shd w:val="solid" w:color="000000" w:fill="000000"/>
          </w:tcPr>
          <w:p w14:paraId="2364B91B" w14:textId="069F8131" w:rsidR="002056CD" w:rsidRPr="00F54557" w:rsidRDefault="00AE3E5D" w:rsidP="006B0BCC">
            <w:pPr>
              <w:spacing w:before="40" w:after="40"/>
              <w:jc w:val="right"/>
              <w:rPr>
                <w:rFonts w:ascii="Arial Narrow" w:hAnsi="Arial Narrow"/>
                <w:sz w:val="20"/>
                <w:highlight w:val="red"/>
              </w:rPr>
            </w:pPr>
            <w:r w:rsidRPr="00AE3E5D">
              <w:rPr>
                <w:rFonts w:ascii="Arial Narrow" w:hAnsi="Arial Narrow"/>
                <w:color w:val="000000"/>
                <w:sz w:val="20"/>
                <w14:textFill>
                  <w14:solidFill>
                    <w14:srgbClr w14:val="000000">
                      <w14:alpha w14:val="100000"/>
                    </w14:srgbClr>
                  </w14:solidFill>
                </w14:textFill>
              </w:rPr>
              <w:t>|</w:t>
            </w:r>
          </w:p>
        </w:tc>
        <w:tc>
          <w:tcPr>
            <w:tcW w:w="1129" w:type="dxa"/>
            <w:tcBorders>
              <w:bottom w:val="single" w:sz="4" w:space="0" w:color="auto"/>
            </w:tcBorders>
            <w:shd w:val="solid" w:color="000000" w:fill="000000"/>
          </w:tcPr>
          <w:p w14:paraId="6A1DFBB3" w14:textId="27EA5CE6" w:rsidR="002056CD" w:rsidRPr="00F54557" w:rsidRDefault="00AE3E5D" w:rsidP="006B0BCC">
            <w:pPr>
              <w:spacing w:before="40" w:after="40"/>
              <w:jc w:val="right"/>
              <w:rPr>
                <w:rFonts w:ascii="Arial Narrow" w:hAnsi="Arial Narrow"/>
                <w:sz w:val="20"/>
                <w:highlight w:val="red"/>
              </w:rPr>
            </w:pPr>
            <w:r w:rsidRPr="00AE3E5D">
              <w:rPr>
                <w:rFonts w:ascii="Arial Narrow" w:hAnsi="Arial Narrow"/>
                <w:color w:val="000000"/>
                <w:sz w:val="20"/>
                <w14:textFill>
                  <w14:solidFill>
                    <w14:srgbClr w14:val="000000">
                      <w14:alpha w14:val="100000"/>
                    </w14:srgbClr>
                  </w14:solidFill>
                </w14:textFill>
              </w:rPr>
              <w:t>|</w:t>
            </w:r>
          </w:p>
        </w:tc>
      </w:tr>
      <w:tr w:rsidR="002056CD" w:rsidRPr="00C227CD" w14:paraId="1CAD0763" w14:textId="77777777" w:rsidTr="00AE3E5D">
        <w:tc>
          <w:tcPr>
            <w:tcW w:w="2302" w:type="dxa"/>
          </w:tcPr>
          <w:p w14:paraId="1965325E" w14:textId="77777777" w:rsidR="002056CD" w:rsidRPr="00FF3024" w:rsidRDefault="002056CD" w:rsidP="006B0BCC">
            <w:pPr>
              <w:spacing w:before="40" w:after="40"/>
              <w:rPr>
                <w:rFonts w:ascii="Arial Narrow" w:hAnsi="Arial Narrow"/>
                <w:sz w:val="20"/>
              </w:rPr>
            </w:pPr>
            <w:r w:rsidRPr="00FF3024">
              <w:rPr>
                <w:rFonts w:ascii="Arial Narrow" w:hAnsi="Arial Narrow"/>
                <w:sz w:val="20"/>
              </w:rPr>
              <w:t>Total cost</w:t>
            </w:r>
          </w:p>
        </w:tc>
        <w:tc>
          <w:tcPr>
            <w:tcW w:w="1116" w:type="dxa"/>
            <w:shd w:val="solid" w:color="000000" w:fill="000000"/>
          </w:tcPr>
          <w:p w14:paraId="5A4A0D19" w14:textId="236AE7CC" w:rsidR="002056CD" w:rsidRPr="00F54557" w:rsidRDefault="00AE3E5D" w:rsidP="006B0BCC">
            <w:pPr>
              <w:spacing w:before="40" w:after="40"/>
              <w:jc w:val="right"/>
              <w:rPr>
                <w:rFonts w:ascii="Arial Narrow" w:hAnsi="Arial Narrow"/>
                <w:sz w:val="20"/>
                <w:highlight w:val="red"/>
              </w:rPr>
            </w:pPr>
            <w:r w:rsidRPr="00AE3E5D">
              <w:rPr>
                <w:rFonts w:ascii="Arial Narrow" w:hAnsi="Arial Narrow"/>
                <w:color w:val="000000"/>
                <w:sz w:val="20"/>
                <w14:textFill>
                  <w14:solidFill>
                    <w14:srgbClr w14:val="000000">
                      <w14:alpha w14:val="100000"/>
                    </w14:srgbClr>
                  </w14:solidFill>
                </w14:textFill>
              </w:rPr>
              <w:t>|</w:t>
            </w:r>
          </w:p>
        </w:tc>
        <w:tc>
          <w:tcPr>
            <w:tcW w:w="1117" w:type="dxa"/>
            <w:shd w:val="solid" w:color="000000" w:fill="000000"/>
          </w:tcPr>
          <w:p w14:paraId="65E566D3" w14:textId="56665C83" w:rsidR="002056CD" w:rsidRPr="00F54557" w:rsidRDefault="00AE3E5D" w:rsidP="006B0BCC">
            <w:pPr>
              <w:spacing w:before="40" w:after="40"/>
              <w:jc w:val="right"/>
              <w:rPr>
                <w:rFonts w:ascii="Arial Narrow" w:hAnsi="Arial Narrow"/>
                <w:sz w:val="20"/>
                <w:highlight w:val="red"/>
              </w:rPr>
            </w:pPr>
            <w:r w:rsidRPr="00AE3E5D">
              <w:rPr>
                <w:rFonts w:ascii="Arial Narrow" w:hAnsi="Arial Narrow"/>
                <w:color w:val="000000"/>
                <w:sz w:val="20"/>
                <w14:textFill>
                  <w14:solidFill>
                    <w14:srgbClr w14:val="000000">
                      <w14:alpha w14:val="100000"/>
                    </w14:srgbClr>
                  </w14:solidFill>
                </w14:textFill>
              </w:rPr>
              <w:t>|</w:t>
            </w:r>
          </w:p>
        </w:tc>
        <w:tc>
          <w:tcPr>
            <w:tcW w:w="1118" w:type="dxa"/>
            <w:shd w:val="solid" w:color="000000" w:fill="000000"/>
          </w:tcPr>
          <w:p w14:paraId="2CA69853" w14:textId="214E6917" w:rsidR="002056CD" w:rsidRPr="00F54557" w:rsidRDefault="00AE3E5D" w:rsidP="006B0BCC">
            <w:pPr>
              <w:spacing w:before="40" w:after="40"/>
              <w:jc w:val="right"/>
              <w:rPr>
                <w:rFonts w:ascii="Arial Narrow" w:hAnsi="Arial Narrow"/>
                <w:sz w:val="20"/>
                <w:highlight w:val="red"/>
              </w:rPr>
            </w:pPr>
            <w:r w:rsidRPr="00AE3E5D">
              <w:rPr>
                <w:rFonts w:ascii="Arial Narrow" w:hAnsi="Arial Narrow"/>
                <w:color w:val="000000"/>
                <w:sz w:val="20"/>
                <w14:textFill>
                  <w14:solidFill>
                    <w14:srgbClr w14:val="000000">
                      <w14:alpha w14:val="100000"/>
                    </w14:srgbClr>
                  </w14:solidFill>
                </w14:textFill>
              </w:rPr>
              <w:t>|</w:t>
            </w:r>
          </w:p>
        </w:tc>
        <w:tc>
          <w:tcPr>
            <w:tcW w:w="1117" w:type="dxa"/>
            <w:shd w:val="solid" w:color="000000" w:fill="000000"/>
          </w:tcPr>
          <w:p w14:paraId="0E2E82AB" w14:textId="67BC01E3" w:rsidR="002056CD" w:rsidRPr="00F54557" w:rsidRDefault="00AE3E5D" w:rsidP="006B0BCC">
            <w:pPr>
              <w:spacing w:before="40" w:after="40"/>
              <w:jc w:val="right"/>
              <w:rPr>
                <w:rFonts w:ascii="Arial Narrow" w:hAnsi="Arial Narrow"/>
                <w:sz w:val="20"/>
                <w:highlight w:val="red"/>
              </w:rPr>
            </w:pPr>
            <w:r w:rsidRPr="00AE3E5D">
              <w:rPr>
                <w:rFonts w:ascii="Arial Narrow" w:hAnsi="Arial Narrow"/>
                <w:color w:val="000000"/>
                <w:sz w:val="20"/>
                <w14:textFill>
                  <w14:solidFill>
                    <w14:srgbClr w14:val="000000">
                      <w14:alpha w14:val="100000"/>
                    </w14:srgbClr>
                  </w14:solidFill>
                </w14:textFill>
              </w:rPr>
              <w:t>|</w:t>
            </w:r>
          </w:p>
        </w:tc>
        <w:tc>
          <w:tcPr>
            <w:tcW w:w="1117" w:type="dxa"/>
            <w:shd w:val="solid" w:color="000000" w:fill="000000"/>
          </w:tcPr>
          <w:p w14:paraId="29579DC8" w14:textId="258826D5" w:rsidR="002056CD" w:rsidRPr="00F54557" w:rsidRDefault="00AE3E5D" w:rsidP="006B0BCC">
            <w:pPr>
              <w:spacing w:before="40" w:after="40"/>
              <w:jc w:val="right"/>
              <w:rPr>
                <w:rFonts w:ascii="Arial Narrow" w:hAnsi="Arial Narrow"/>
                <w:sz w:val="20"/>
                <w:highlight w:val="red"/>
              </w:rPr>
            </w:pPr>
            <w:r w:rsidRPr="00AE3E5D">
              <w:rPr>
                <w:rFonts w:ascii="Arial Narrow" w:hAnsi="Arial Narrow"/>
                <w:color w:val="000000"/>
                <w:sz w:val="20"/>
                <w14:textFill>
                  <w14:solidFill>
                    <w14:srgbClr w14:val="000000">
                      <w14:alpha w14:val="100000"/>
                    </w14:srgbClr>
                  </w14:solidFill>
                </w14:textFill>
              </w:rPr>
              <w:t>|</w:t>
            </w:r>
          </w:p>
        </w:tc>
        <w:tc>
          <w:tcPr>
            <w:tcW w:w="1129" w:type="dxa"/>
            <w:shd w:val="solid" w:color="000000" w:fill="000000"/>
          </w:tcPr>
          <w:p w14:paraId="214CDC52" w14:textId="3A5DEBCE" w:rsidR="002056CD" w:rsidRPr="00F54557" w:rsidRDefault="00AE3E5D" w:rsidP="006B0BCC">
            <w:pPr>
              <w:spacing w:before="40" w:after="40"/>
              <w:jc w:val="right"/>
              <w:rPr>
                <w:rFonts w:ascii="Arial Narrow" w:hAnsi="Arial Narrow"/>
                <w:sz w:val="20"/>
                <w:highlight w:val="red"/>
              </w:rPr>
            </w:pPr>
            <w:r w:rsidRPr="00AE3E5D">
              <w:rPr>
                <w:rFonts w:ascii="Arial Narrow" w:hAnsi="Arial Narrow"/>
                <w:color w:val="000000"/>
                <w:sz w:val="20"/>
                <w14:textFill>
                  <w14:solidFill>
                    <w14:srgbClr w14:val="000000">
                      <w14:alpha w14:val="100000"/>
                    </w14:srgbClr>
                  </w14:solidFill>
                </w14:textFill>
              </w:rPr>
              <w:t>|</w:t>
            </w:r>
          </w:p>
        </w:tc>
      </w:tr>
    </w:tbl>
    <w:p w14:paraId="0A5FAB4C" w14:textId="77777777" w:rsidR="007916BD" w:rsidRPr="00C227CD" w:rsidRDefault="007916BD" w:rsidP="007916BD">
      <w:pPr>
        <w:keepLines/>
        <w:spacing w:after="360" w:line="240" w:lineRule="auto"/>
        <w:contextualSpacing/>
        <w:rPr>
          <w:rFonts w:ascii="Arial Narrow" w:eastAsia="Times New Roman" w:hAnsi="Arial Narrow" w:cs="Times New Roman"/>
          <w:sz w:val="18"/>
          <w:szCs w:val="18"/>
          <w:lang w:eastAsia="en-AU"/>
        </w:rPr>
      </w:pPr>
      <w:proofErr w:type="gramStart"/>
      <w:r w:rsidRPr="00C227CD">
        <w:rPr>
          <w:rFonts w:ascii="Arial Narrow" w:eastAsia="Times New Roman" w:hAnsi="Arial Narrow" w:cs="Times New Roman"/>
          <w:sz w:val="18"/>
          <w:szCs w:val="18"/>
          <w:vertAlign w:val="superscript"/>
          <w:lang w:eastAsia="en-AU"/>
        </w:rPr>
        <w:t>a</w:t>
      </w:r>
      <w:proofErr w:type="gramEnd"/>
      <w:r w:rsidRPr="00C227CD">
        <w:rPr>
          <w:rFonts w:ascii="Arial Narrow" w:eastAsia="Times New Roman" w:hAnsi="Arial Narrow" w:cs="Times New Roman"/>
          <w:sz w:val="18"/>
          <w:szCs w:val="18"/>
          <w:lang w:eastAsia="en-AU"/>
        </w:rPr>
        <w:t xml:space="preserve"> MBS fee is set based on use in the previous year. In the first year of listing, the fee is set based on expected use within that year.</w:t>
      </w:r>
    </w:p>
    <w:p w14:paraId="133B4AEB" w14:textId="36D8313E" w:rsidR="007916BD" w:rsidRDefault="007916BD" w:rsidP="007916BD">
      <w:pPr>
        <w:keepLines/>
        <w:spacing w:after="0" w:line="240" w:lineRule="auto"/>
        <w:rPr>
          <w:rFonts w:ascii="Arial Narrow" w:eastAsia="Times New Roman" w:hAnsi="Arial Narrow" w:cs="Times New Roman"/>
          <w:sz w:val="18"/>
          <w:szCs w:val="18"/>
          <w:lang w:eastAsia="en-AU"/>
        </w:rPr>
      </w:pPr>
      <w:r w:rsidRPr="00C227CD">
        <w:rPr>
          <w:rFonts w:ascii="Arial Narrow" w:eastAsia="Times New Roman" w:hAnsi="Arial Narrow" w:cs="Times New Roman"/>
          <w:sz w:val="18"/>
          <w:szCs w:val="18"/>
          <w:vertAlign w:val="superscript"/>
          <w:lang w:eastAsia="en-AU"/>
        </w:rPr>
        <w:t>b</w:t>
      </w:r>
      <w:r w:rsidRPr="00C227CD">
        <w:rPr>
          <w:rFonts w:ascii="Arial Narrow" w:eastAsia="Times New Roman" w:hAnsi="Arial Narrow" w:cs="Times New Roman"/>
          <w:sz w:val="18"/>
          <w:szCs w:val="18"/>
          <w:lang w:eastAsia="en-AU"/>
        </w:rPr>
        <w:t xml:space="preserve"> T</w:t>
      </w:r>
      <w:r>
        <w:rPr>
          <w:rFonts w:ascii="Arial Narrow" w:eastAsia="Times New Roman" w:hAnsi="Arial Narrow" w:cs="Times New Roman"/>
          <w:sz w:val="18"/>
          <w:szCs w:val="18"/>
          <w:lang w:eastAsia="en-AU"/>
        </w:rPr>
        <w:t>o</w:t>
      </w:r>
      <w:r w:rsidRPr="00C227CD">
        <w:rPr>
          <w:rFonts w:ascii="Arial Narrow" w:eastAsia="Times New Roman" w:hAnsi="Arial Narrow" w:cs="Times New Roman"/>
          <w:sz w:val="18"/>
          <w:szCs w:val="18"/>
          <w:lang w:eastAsia="en-AU"/>
        </w:rPr>
        <w:t>tal cost divided by the total number of services over 2023−2027.</w:t>
      </w:r>
    </w:p>
    <w:p w14:paraId="35013363" w14:textId="7283DB55" w:rsidR="002056CD" w:rsidRPr="00C227CD" w:rsidRDefault="002056CD" w:rsidP="007916BD">
      <w:pPr>
        <w:keepLines/>
        <w:spacing w:after="240" w:line="240" w:lineRule="auto"/>
        <w:rPr>
          <w:rFonts w:ascii="Arial Narrow" w:eastAsia="Times New Roman" w:hAnsi="Arial Narrow" w:cs="Times New Roman"/>
          <w:sz w:val="18"/>
          <w:szCs w:val="18"/>
          <w:lang w:eastAsia="en-AU"/>
        </w:rPr>
      </w:pPr>
      <w:r w:rsidRPr="00C227CD">
        <w:rPr>
          <w:rFonts w:ascii="Arial Narrow" w:eastAsia="Times New Roman" w:hAnsi="Arial Narrow" w:cs="Times New Roman"/>
          <w:sz w:val="18"/>
          <w:szCs w:val="18"/>
          <w:lang w:eastAsia="en-AU"/>
        </w:rPr>
        <w:t>Sou</w:t>
      </w:r>
      <w:r w:rsidR="007916BD">
        <w:rPr>
          <w:rFonts w:ascii="Arial Narrow" w:eastAsia="Times New Roman" w:hAnsi="Arial Narrow" w:cs="Times New Roman"/>
          <w:sz w:val="18"/>
          <w:szCs w:val="18"/>
          <w:lang w:eastAsia="en-AU"/>
        </w:rPr>
        <w:t>r</w:t>
      </w:r>
      <w:r w:rsidRPr="00C227CD">
        <w:rPr>
          <w:rFonts w:ascii="Arial Narrow" w:eastAsia="Times New Roman" w:hAnsi="Arial Narrow" w:cs="Times New Roman"/>
          <w:sz w:val="18"/>
          <w:szCs w:val="18"/>
          <w:lang w:eastAsia="en-AU"/>
        </w:rPr>
        <w:t xml:space="preserve">ce: Constructed during the evaluation </w:t>
      </w:r>
      <w:r w:rsidRPr="00C227CD">
        <w:rPr>
          <w:rFonts w:ascii="Arial Narrow" w:eastAsia="Times New Roman" w:hAnsi="Arial Narrow" w:cs="Times New Roman"/>
          <w:color w:val="000000"/>
          <w:sz w:val="18"/>
          <w:szCs w:val="18"/>
          <w:lang w:eastAsia="en-AU"/>
        </w:rPr>
        <w:t xml:space="preserve">using the ‘Attachment 6_EndoPredict_budget impact.xlsx’ workbook included in the </w:t>
      </w:r>
      <w:r w:rsidR="00D0661C">
        <w:rPr>
          <w:rFonts w:ascii="Arial Narrow" w:eastAsia="Times New Roman" w:hAnsi="Arial Narrow" w:cs="Times New Roman"/>
          <w:color w:val="000000"/>
          <w:sz w:val="18"/>
          <w:szCs w:val="18"/>
          <w:lang w:eastAsia="en-AU"/>
        </w:rPr>
        <w:t xml:space="preserve">1408.1 </w:t>
      </w:r>
      <w:r w:rsidR="00815375">
        <w:rPr>
          <w:rFonts w:ascii="Arial Narrow" w:eastAsia="Times New Roman" w:hAnsi="Arial Narrow" w:cs="Times New Roman"/>
          <w:color w:val="000000"/>
          <w:sz w:val="18"/>
          <w:szCs w:val="18"/>
          <w:lang w:eastAsia="en-AU"/>
        </w:rPr>
        <w:t>re-application</w:t>
      </w:r>
      <w:r w:rsidRPr="00C227CD">
        <w:rPr>
          <w:rFonts w:ascii="Arial Narrow" w:eastAsia="Times New Roman" w:hAnsi="Arial Narrow" w:cs="Times New Roman"/>
          <w:sz w:val="18"/>
          <w:szCs w:val="18"/>
          <w:lang w:eastAsia="en-AU"/>
        </w:rPr>
        <w:t>.</w:t>
      </w:r>
    </w:p>
    <w:p w14:paraId="658AE958" w14:textId="549E95E4" w:rsidR="002056CD" w:rsidRPr="001246A4" w:rsidRDefault="007031F8" w:rsidP="007916BD">
      <w:pPr>
        <w:spacing w:before="240"/>
        <w:rPr>
          <w:rFonts w:ascii="Franklin Gothic Book" w:hAnsi="Franklin Gothic Book"/>
          <w:iCs/>
        </w:rPr>
      </w:pPr>
      <w:r w:rsidRPr="001246A4">
        <w:rPr>
          <w:rFonts w:ascii="Franklin Gothic Book" w:hAnsi="Franklin Gothic Book"/>
          <w:iCs/>
        </w:rPr>
        <w:t xml:space="preserve">The </w:t>
      </w:r>
      <w:r w:rsidR="006A2C29" w:rsidRPr="001246A4">
        <w:rPr>
          <w:rFonts w:ascii="Franklin Gothic Book" w:hAnsi="Franklin Gothic Book"/>
          <w:iCs/>
        </w:rPr>
        <w:t>c</w:t>
      </w:r>
      <w:r w:rsidRPr="001246A4">
        <w:rPr>
          <w:rFonts w:ascii="Franklin Gothic Book" w:hAnsi="Franklin Gothic Book"/>
          <w:iCs/>
        </w:rPr>
        <w:t>ommentary considered that c</w:t>
      </w:r>
      <w:r w:rsidR="002056CD" w:rsidRPr="001246A4">
        <w:rPr>
          <w:rFonts w:ascii="Franklin Gothic Book" w:hAnsi="Franklin Gothic Book"/>
          <w:iCs/>
        </w:rPr>
        <w:t xml:space="preserve">osts for treating local and distant recurrences remained based on the Verry et al. (2012) study (updated for inflation). This approach assumes that treatment practices have not changed since publication and reflect current practice. Resource use and </w:t>
      </w:r>
      <w:r w:rsidR="00AC0345" w:rsidRPr="001246A4">
        <w:rPr>
          <w:rFonts w:ascii="Franklin Gothic Book" w:hAnsi="Franklin Gothic Book"/>
          <w:iCs/>
        </w:rPr>
        <w:t xml:space="preserve">unit </w:t>
      </w:r>
      <w:r w:rsidR="002056CD" w:rsidRPr="001246A4">
        <w:rPr>
          <w:rFonts w:ascii="Franklin Gothic Book" w:hAnsi="Franklin Gothic Book"/>
          <w:iCs/>
        </w:rPr>
        <w:t>cost</w:t>
      </w:r>
      <w:r w:rsidR="00AC0345" w:rsidRPr="001246A4">
        <w:rPr>
          <w:rFonts w:ascii="Franklin Gothic Book" w:hAnsi="Franklin Gothic Book"/>
          <w:iCs/>
        </w:rPr>
        <w:t>s have</w:t>
      </w:r>
      <w:r w:rsidR="002056CD" w:rsidRPr="001246A4">
        <w:rPr>
          <w:rFonts w:ascii="Franklin Gothic Book" w:hAnsi="Franklin Gothic Book"/>
          <w:iCs/>
        </w:rPr>
        <w:t xml:space="preserve"> likely changed over this period, and </w:t>
      </w:r>
      <w:r w:rsidR="00AC0345" w:rsidRPr="001246A4">
        <w:rPr>
          <w:rFonts w:ascii="Franklin Gothic Book" w:hAnsi="Franklin Gothic Book"/>
          <w:iCs/>
        </w:rPr>
        <w:t xml:space="preserve">unit cost </w:t>
      </w:r>
      <w:r w:rsidR="002056CD" w:rsidRPr="001246A4">
        <w:rPr>
          <w:rFonts w:ascii="Franklin Gothic Book" w:hAnsi="Franklin Gothic Book"/>
          <w:iCs/>
        </w:rPr>
        <w:t>changes may not be consistent with changes based on the consumer price index.</w:t>
      </w:r>
    </w:p>
    <w:p w14:paraId="1D26CDFB" w14:textId="222B52A5" w:rsidR="002056CD" w:rsidRPr="007031F8" w:rsidRDefault="002056CD" w:rsidP="002056CD">
      <w:pPr>
        <w:rPr>
          <w:rFonts w:ascii="Franklin Gothic Book" w:hAnsi="Franklin Gothic Book"/>
          <w:iCs/>
        </w:rPr>
      </w:pPr>
      <w:r w:rsidRPr="00D76968">
        <w:rPr>
          <w:rFonts w:ascii="Franklin Gothic Book" w:hAnsi="Franklin Gothic Book"/>
        </w:rPr>
        <w:t xml:space="preserve">The results of the stepped economic analysis are presented in </w:t>
      </w:r>
      <w:r w:rsidRPr="00D76968">
        <w:rPr>
          <w:rFonts w:ascii="Franklin Gothic Book" w:hAnsi="Franklin Gothic Book"/>
        </w:rPr>
        <w:fldChar w:fldCharType="begin"/>
      </w:r>
      <w:r w:rsidRPr="00D76968">
        <w:rPr>
          <w:rFonts w:ascii="Franklin Gothic Book" w:hAnsi="Franklin Gothic Book"/>
        </w:rPr>
        <w:instrText xml:space="preserve"> REF _Ref100130337 \h  \* MERGEFORMAT </w:instrText>
      </w:r>
      <w:r w:rsidRPr="00D76968">
        <w:rPr>
          <w:rFonts w:ascii="Franklin Gothic Book" w:hAnsi="Franklin Gothic Book"/>
        </w:rPr>
      </w:r>
      <w:r w:rsidRPr="00D76968">
        <w:rPr>
          <w:rFonts w:ascii="Franklin Gothic Book" w:hAnsi="Franklin Gothic Book"/>
        </w:rPr>
        <w:fldChar w:fldCharType="separate"/>
      </w:r>
      <w:r w:rsidR="00943826" w:rsidRPr="00943826">
        <w:rPr>
          <w:rFonts w:ascii="Franklin Gothic Book" w:hAnsi="Franklin Gothic Book"/>
        </w:rPr>
        <w:t>Table 13</w:t>
      </w:r>
      <w:r w:rsidRPr="00D76968">
        <w:rPr>
          <w:rFonts w:ascii="Franklin Gothic Book" w:hAnsi="Franklin Gothic Book"/>
        </w:rPr>
        <w:fldChar w:fldCharType="end"/>
      </w:r>
      <w:r w:rsidRPr="00D76968">
        <w:rPr>
          <w:rFonts w:ascii="Franklin Gothic Book" w:hAnsi="Franklin Gothic Book"/>
        </w:rPr>
        <w:t xml:space="preserve">. </w:t>
      </w:r>
      <w:r w:rsidRPr="001246A4">
        <w:rPr>
          <w:rFonts w:ascii="Franklin Gothic Book" w:hAnsi="Franklin Gothic Book"/>
          <w:iCs/>
        </w:rPr>
        <w:t>The</w:t>
      </w:r>
      <w:r w:rsidR="007031F8" w:rsidRPr="001246A4">
        <w:rPr>
          <w:rFonts w:ascii="Franklin Gothic Book" w:hAnsi="Franklin Gothic Book"/>
          <w:iCs/>
        </w:rPr>
        <w:t xml:space="preserve"> </w:t>
      </w:r>
      <w:r w:rsidR="006A2C29" w:rsidRPr="001246A4">
        <w:rPr>
          <w:rFonts w:ascii="Franklin Gothic Book" w:hAnsi="Franklin Gothic Book"/>
          <w:iCs/>
        </w:rPr>
        <w:t>c</w:t>
      </w:r>
      <w:r w:rsidR="007031F8" w:rsidRPr="001246A4">
        <w:rPr>
          <w:rFonts w:ascii="Franklin Gothic Book" w:hAnsi="Franklin Gothic Book"/>
          <w:iCs/>
        </w:rPr>
        <w:t>ommentary noted the</w:t>
      </w:r>
      <w:r w:rsidRPr="001246A4">
        <w:rPr>
          <w:rFonts w:ascii="Franklin Gothic Book" w:hAnsi="Franklin Gothic Book"/>
          <w:iCs/>
        </w:rPr>
        <w:t xml:space="preserve"> changes that had the most effect on the incremental cost-effectiveness ratio (ICER) were the updated PROSPER data and the reduced fee. The base case analysis was correct</w:t>
      </w:r>
      <w:r w:rsidR="00AC0345" w:rsidRPr="001246A4">
        <w:rPr>
          <w:rFonts w:ascii="Franklin Gothic Book" w:hAnsi="Franklin Gothic Book"/>
          <w:iCs/>
        </w:rPr>
        <w:t>ed</w:t>
      </w:r>
      <w:r w:rsidRPr="001246A4">
        <w:rPr>
          <w:rFonts w:ascii="Franklin Gothic Book" w:hAnsi="Franklin Gothic Book"/>
          <w:iCs/>
        </w:rPr>
        <w:t xml:space="preserve"> during the evaluation to account for a transcription error in the life table data applied.</w:t>
      </w:r>
    </w:p>
    <w:p w14:paraId="74B8D712" w14:textId="6BC62986" w:rsidR="002056CD" w:rsidRPr="00F54557" w:rsidRDefault="002056CD" w:rsidP="002056CD">
      <w:pPr>
        <w:keepNext/>
        <w:spacing w:before="360" w:after="120" w:line="240" w:lineRule="auto"/>
        <w:rPr>
          <w:rFonts w:ascii="Arial Narrow" w:eastAsia="Times New Roman" w:hAnsi="Arial Narrow" w:cs="Times New Roman"/>
          <w:b/>
          <w:bCs/>
          <w:sz w:val="20"/>
          <w:szCs w:val="20"/>
        </w:rPr>
      </w:pPr>
      <w:bookmarkStart w:id="60" w:name="_Ref100130337"/>
      <w:r w:rsidRPr="00F54557">
        <w:rPr>
          <w:rFonts w:ascii="Arial Narrow" w:eastAsia="Times New Roman" w:hAnsi="Arial Narrow" w:cs="Times New Roman"/>
          <w:b/>
          <w:bCs/>
          <w:sz w:val="20"/>
          <w:szCs w:val="20"/>
        </w:rPr>
        <w:t xml:space="preserve">Table </w:t>
      </w:r>
      <w:r w:rsidRPr="00F54557">
        <w:rPr>
          <w:rFonts w:ascii="Arial Narrow" w:eastAsia="Times New Roman" w:hAnsi="Arial Narrow" w:cs="Times New Roman"/>
          <w:b/>
          <w:bCs/>
          <w:sz w:val="20"/>
          <w:szCs w:val="20"/>
        </w:rPr>
        <w:fldChar w:fldCharType="begin"/>
      </w:r>
      <w:r w:rsidRPr="00F54557">
        <w:rPr>
          <w:rFonts w:ascii="Arial Narrow" w:eastAsia="Times New Roman" w:hAnsi="Arial Narrow" w:cs="Times New Roman"/>
          <w:b/>
          <w:bCs/>
          <w:sz w:val="20"/>
          <w:szCs w:val="20"/>
        </w:rPr>
        <w:instrText xml:space="preserve"> SEQ Table \* ARABIC </w:instrText>
      </w:r>
      <w:r w:rsidRPr="00F54557">
        <w:rPr>
          <w:rFonts w:ascii="Arial Narrow" w:eastAsia="Times New Roman" w:hAnsi="Arial Narrow" w:cs="Times New Roman"/>
          <w:b/>
          <w:bCs/>
          <w:noProof/>
          <w:sz w:val="20"/>
          <w:szCs w:val="20"/>
        </w:rPr>
        <w:fldChar w:fldCharType="separate"/>
      </w:r>
      <w:r w:rsidR="00943826">
        <w:rPr>
          <w:rFonts w:ascii="Arial Narrow" w:eastAsia="Times New Roman" w:hAnsi="Arial Narrow" w:cs="Times New Roman"/>
          <w:b/>
          <w:bCs/>
          <w:noProof/>
          <w:sz w:val="20"/>
          <w:szCs w:val="20"/>
        </w:rPr>
        <w:t>13</w:t>
      </w:r>
      <w:r w:rsidRPr="00F54557">
        <w:rPr>
          <w:rFonts w:ascii="Arial Narrow" w:eastAsia="Times New Roman" w:hAnsi="Arial Narrow" w:cs="Times New Roman"/>
          <w:b/>
          <w:bCs/>
          <w:noProof/>
          <w:sz w:val="20"/>
          <w:szCs w:val="20"/>
        </w:rPr>
        <w:fldChar w:fldCharType="end"/>
      </w:r>
      <w:bookmarkEnd w:id="60"/>
      <w:r w:rsidRPr="00F54557">
        <w:rPr>
          <w:rFonts w:ascii="Arial Narrow" w:eastAsia="Times New Roman" w:hAnsi="Arial Narrow" w:cs="Times New Roman"/>
          <w:b/>
          <w:bCs/>
          <w:sz w:val="20"/>
          <w:szCs w:val="20"/>
        </w:rPr>
        <w:t>: Updated incremental costs and effectiveness</w:t>
      </w:r>
    </w:p>
    <w:tbl>
      <w:tblPr>
        <w:tblStyle w:val="TableGrid11"/>
        <w:tblW w:w="9072" w:type="dxa"/>
        <w:tblLayout w:type="fixed"/>
        <w:tblLook w:val="04A0" w:firstRow="1" w:lastRow="0" w:firstColumn="1" w:lastColumn="0" w:noHBand="0" w:noVBand="1"/>
        <w:tblCaption w:val="Incremental costs and effectiveness"/>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410"/>
        <w:gridCol w:w="1325"/>
        <w:gridCol w:w="1325"/>
        <w:gridCol w:w="1456"/>
        <w:gridCol w:w="1417"/>
        <w:gridCol w:w="1139"/>
      </w:tblGrid>
      <w:tr w:rsidR="002056CD" w:rsidRPr="00325CE0" w14:paraId="23D0E2C8" w14:textId="77777777" w:rsidTr="00F54557">
        <w:trPr>
          <w:cnfStyle w:val="100000000000" w:firstRow="1" w:lastRow="0" w:firstColumn="0" w:lastColumn="0" w:oddVBand="0" w:evenVBand="0" w:oddHBand="0" w:evenHBand="0" w:firstRowFirstColumn="0" w:firstRowLastColumn="0" w:lastRowFirstColumn="0" w:lastRowLastColumn="0"/>
          <w:tblHeader/>
        </w:trPr>
        <w:tc>
          <w:tcPr>
            <w:tcW w:w="2410" w:type="dxa"/>
          </w:tcPr>
          <w:p w14:paraId="721FB2EA" w14:textId="77777777" w:rsidR="002056CD" w:rsidRPr="00F54557" w:rsidRDefault="002056CD" w:rsidP="006B0BCC">
            <w:pPr>
              <w:keepNext/>
              <w:spacing w:before="20" w:after="20"/>
            </w:pPr>
          </w:p>
        </w:tc>
        <w:tc>
          <w:tcPr>
            <w:tcW w:w="1325" w:type="dxa"/>
            <w:tcBorders>
              <w:bottom w:val="single" w:sz="4" w:space="0" w:color="auto"/>
            </w:tcBorders>
          </w:tcPr>
          <w:p w14:paraId="451FB212" w14:textId="77777777" w:rsidR="002056CD" w:rsidRPr="00F54557" w:rsidRDefault="002056CD" w:rsidP="006B0BCC">
            <w:pPr>
              <w:keepNext/>
              <w:spacing w:before="20" w:after="20"/>
              <w:jc w:val="center"/>
              <w:rPr>
                <w:b/>
              </w:rPr>
            </w:pPr>
            <w:r w:rsidRPr="00F54557">
              <w:rPr>
                <w:b/>
              </w:rPr>
              <w:t>Cost</w:t>
            </w:r>
          </w:p>
        </w:tc>
        <w:tc>
          <w:tcPr>
            <w:tcW w:w="1325" w:type="dxa"/>
            <w:tcBorders>
              <w:bottom w:val="single" w:sz="4" w:space="0" w:color="auto"/>
            </w:tcBorders>
          </w:tcPr>
          <w:p w14:paraId="6BFF2824" w14:textId="77777777" w:rsidR="002056CD" w:rsidRPr="00FF3024" w:rsidRDefault="002056CD" w:rsidP="006B0BCC">
            <w:pPr>
              <w:keepNext/>
              <w:spacing w:before="20" w:after="20"/>
              <w:jc w:val="center"/>
              <w:rPr>
                <w:b/>
              </w:rPr>
            </w:pPr>
            <w:r w:rsidRPr="00FF3024">
              <w:rPr>
                <w:b/>
              </w:rPr>
              <w:t>Incremental cost</w:t>
            </w:r>
          </w:p>
        </w:tc>
        <w:tc>
          <w:tcPr>
            <w:tcW w:w="1456" w:type="dxa"/>
            <w:tcBorders>
              <w:bottom w:val="single" w:sz="4" w:space="0" w:color="auto"/>
            </w:tcBorders>
          </w:tcPr>
          <w:p w14:paraId="36B3D17C" w14:textId="77777777" w:rsidR="002056CD" w:rsidRPr="00FF3024" w:rsidRDefault="002056CD" w:rsidP="006B0BCC">
            <w:pPr>
              <w:keepNext/>
              <w:spacing w:before="20" w:after="20"/>
              <w:jc w:val="center"/>
              <w:rPr>
                <w:b/>
              </w:rPr>
            </w:pPr>
            <w:r w:rsidRPr="00FF3024">
              <w:rPr>
                <w:b/>
              </w:rPr>
              <w:t>Effectiveness (QALYs)</w:t>
            </w:r>
          </w:p>
        </w:tc>
        <w:tc>
          <w:tcPr>
            <w:tcW w:w="1417" w:type="dxa"/>
            <w:tcBorders>
              <w:bottom w:val="single" w:sz="4" w:space="0" w:color="auto"/>
            </w:tcBorders>
          </w:tcPr>
          <w:p w14:paraId="2B7844CF" w14:textId="77777777" w:rsidR="002056CD" w:rsidRPr="00FF3024" w:rsidRDefault="002056CD" w:rsidP="006B0BCC">
            <w:pPr>
              <w:keepNext/>
              <w:spacing w:before="20" w:after="20"/>
              <w:jc w:val="center"/>
              <w:rPr>
                <w:b/>
              </w:rPr>
            </w:pPr>
            <w:r w:rsidRPr="00FF3024">
              <w:rPr>
                <w:b/>
              </w:rPr>
              <w:t>Incremental effectiveness</w:t>
            </w:r>
          </w:p>
        </w:tc>
        <w:tc>
          <w:tcPr>
            <w:tcW w:w="1139" w:type="dxa"/>
          </w:tcPr>
          <w:p w14:paraId="3FF48CF8" w14:textId="77777777" w:rsidR="002056CD" w:rsidRPr="00FF3024" w:rsidRDefault="002056CD" w:rsidP="006B0BCC">
            <w:pPr>
              <w:keepNext/>
              <w:spacing w:before="20" w:after="20"/>
              <w:jc w:val="center"/>
              <w:rPr>
                <w:b/>
              </w:rPr>
            </w:pPr>
            <w:r w:rsidRPr="00FF3024">
              <w:rPr>
                <w:b/>
              </w:rPr>
              <w:t>ICER</w:t>
            </w:r>
          </w:p>
        </w:tc>
      </w:tr>
      <w:tr w:rsidR="002056CD" w:rsidRPr="00325CE0" w14:paraId="46EC8A5F" w14:textId="77777777" w:rsidTr="006B0BCC">
        <w:tc>
          <w:tcPr>
            <w:tcW w:w="9072" w:type="dxa"/>
            <w:gridSpan w:val="6"/>
          </w:tcPr>
          <w:p w14:paraId="1F98E095" w14:textId="7B34501F" w:rsidR="002056CD" w:rsidRPr="00F54557" w:rsidRDefault="002056CD" w:rsidP="006B0BCC">
            <w:pPr>
              <w:keepNext/>
              <w:spacing w:before="20" w:after="20"/>
            </w:pPr>
            <w:r w:rsidRPr="00FF3024">
              <w:t>Interim analysis of PROSPER (June 2019)</w:t>
            </w:r>
            <w:r w:rsidR="00E635DF" w:rsidRPr="00F54557">
              <w:t xml:space="preserve"> (</w:t>
            </w:r>
            <w:r w:rsidR="00D50E5C" w:rsidRPr="00F54557">
              <w:t>EndoPredict</w:t>
            </w:r>
            <w:r w:rsidR="005F1260" w:rsidRPr="00F54557">
              <w:rPr>
                <w:vertAlign w:val="superscript"/>
              </w:rPr>
              <w:t>®</w:t>
            </w:r>
            <w:r w:rsidR="00E635DF" w:rsidRPr="00F54557">
              <w:t xml:space="preserve"> fee: $</w:t>
            </w:r>
            <w:r w:rsidR="00AE3E5D" w:rsidRPr="00AE3E5D">
              <w:rPr>
                <w:color w:val="000000"/>
                <w:spacing w:val="54"/>
                <w:shd w:val="solid" w:color="000000" w:fill="000000"/>
                <w:fitText w:val="333" w:id="-1437332467"/>
                <w14:textFill>
                  <w14:solidFill>
                    <w14:srgbClr w14:val="000000">
                      <w14:alpha w14:val="100000"/>
                    </w14:srgbClr>
                  </w14:solidFill>
                </w14:textFill>
              </w:rPr>
              <w:t>|||</w:t>
            </w:r>
            <w:r w:rsidR="00AE3E5D" w:rsidRPr="00AE3E5D">
              <w:rPr>
                <w:color w:val="000000"/>
                <w:spacing w:val="1"/>
                <w:shd w:val="solid" w:color="000000" w:fill="000000"/>
                <w:fitText w:val="333" w:id="-1437332467"/>
                <w14:textFill>
                  <w14:solidFill>
                    <w14:srgbClr w14:val="000000">
                      <w14:alpha w14:val="100000"/>
                    </w14:srgbClr>
                  </w14:solidFill>
                </w14:textFill>
              </w:rPr>
              <w:t>|</w:t>
            </w:r>
            <w:r w:rsidR="00E635DF" w:rsidRPr="00F54557">
              <w:t>)</w:t>
            </w:r>
          </w:p>
        </w:tc>
      </w:tr>
      <w:tr w:rsidR="002056CD" w:rsidRPr="00325CE0" w14:paraId="52DAA5AE" w14:textId="77777777" w:rsidTr="00AE3E5D">
        <w:tc>
          <w:tcPr>
            <w:tcW w:w="2410" w:type="dxa"/>
          </w:tcPr>
          <w:p w14:paraId="7B853AF8" w14:textId="1CEF0A50" w:rsidR="002056CD" w:rsidRPr="00FF3024" w:rsidRDefault="00D50E5C" w:rsidP="006B0BCC">
            <w:pPr>
              <w:keepNext/>
              <w:spacing w:before="20" w:after="20"/>
            </w:pPr>
            <w:r w:rsidRPr="00FF3024">
              <w:t>EndoPredict</w:t>
            </w:r>
            <w:r w:rsidR="005F1260" w:rsidRPr="00FF3024">
              <w:rPr>
                <w:vertAlign w:val="superscript"/>
              </w:rPr>
              <w:t>®</w:t>
            </w:r>
          </w:p>
        </w:tc>
        <w:tc>
          <w:tcPr>
            <w:tcW w:w="1325" w:type="dxa"/>
            <w:tcBorders>
              <w:top w:val="single" w:sz="4" w:space="0" w:color="auto"/>
            </w:tcBorders>
            <w:shd w:val="solid" w:color="000000" w:fill="000000"/>
          </w:tcPr>
          <w:p w14:paraId="413441D7" w14:textId="0324E35A" w:rsidR="002056CD" w:rsidRPr="00F54557" w:rsidRDefault="00AE3E5D" w:rsidP="006B0BCC">
            <w:pPr>
              <w:keepNext/>
              <w:spacing w:before="20" w:after="20"/>
              <w:jc w:val="right"/>
              <w:rPr>
                <w:highlight w:val="red"/>
              </w:rPr>
            </w:pPr>
            <w:r w:rsidRPr="00AE3E5D">
              <w:rPr>
                <w:color w:val="000000"/>
                <w14:textFill>
                  <w14:solidFill>
                    <w14:srgbClr w14:val="000000">
                      <w14:alpha w14:val="100000"/>
                    </w14:srgbClr>
                  </w14:solidFill>
                </w14:textFill>
              </w:rPr>
              <w:t>|</w:t>
            </w:r>
          </w:p>
        </w:tc>
        <w:tc>
          <w:tcPr>
            <w:tcW w:w="1325" w:type="dxa"/>
            <w:vMerge w:val="restart"/>
            <w:tcBorders>
              <w:top w:val="single" w:sz="4" w:space="0" w:color="auto"/>
            </w:tcBorders>
            <w:shd w:val="solid" w:color="000000" w:fill="000000"/>
          </w:tcPr>
          <w:p w14:paraId="0CCEB7CA" w14:textId="49314261" w:rsidR="002056CD" w:rsidRPr="00F54557" w:rsidRDefault="00AE3E5D" w:rsidP="006B0BCC">
            <w:pPr>
              <w:keepNext/>
              <w:spacing w:before="20" w:after="20"/>
              <w:jc w:val="right"/>
              <w:rPr>
                <w:highlight w:val="red"/>
              </w:rPr>
            </w:pPr>
            <w:r w:rsidRPr="00AE3E5D">
              <w:rPr>
                <w:color w:val="000000"/>
                <w14:textFill>
                  <w14:solidFill>
                    <w14:srgbClr w14:val="000000">
                      <w14:alpha w14:val="100000"/>
                    </w14:srgbClr>
                  </w14:solidFill>
                </w14:textFill>
              </w:rPr>
              <w:t>|</w:t>
            </w:r>
          </w:p>
        </w:tc>
        <w:tc>
          <w:tcPr>
            <w:tcW w:w="1456" w:type="dxa"/>
            <w:tcBorders>
              <w:top w:val="single" w:sz="4" w:space="0" w:color="auto"/>
            </w:tcBorders>
          </w:tcPr>
          <w:p w14:paraId="716D7C53" w14:textId="3B08F3D2" w:rsidR="002056CD" w:rsidRPr="00F54557" w:rsidRDefault="002056CD" w:rsidP="006B0BCC">
            <w:pPr>
              <w:keepNext/>
              <w:spacing w:before="20" w:after="20"/>
              <w:jc w:val="right"/>
            </w:pPr>
            <w:r w:rsidRPr="00F54557">
              <w:t>13.8</w:t>
            </w:r>
            <w:r w:rsidR="00087EAA" w:rsidRPr="00F54557">
              <w:t>7</w:t>
            </w:r>
            <w:r w:rsidRPr="00F54557">
              <w:t>8</w:t>
            </w:r>
          </w:p>
        </w:tc>
        <w:tc>
          <w:tcPr>
            <w:tcW w:w="1417" w:type="dxa"/>
            <w:vMerge w:val="restart"/>
            <w:tcBorders>
              <w:top w:val="single" w:sz="4" w:space="0" w:color="auto"/>
            </w:tcBorders>
          </w:tcPr>
          <w:p w14:paraId="104761FC" w14:textId="0ECD395B" w:rsidR="002056CD" w:rsidRPr="00F54557" w:rsidRDefault="002056CD" w:rsidP="006B0BCC">
            <w:pPr>
              <w:keepNext/>
              <w:spacing w:before="20" w:after="20"/>
              <w:jc w:val="right"/>
            </w:pPr>
            <w:r w:rsidRPr="00F54557">
              <w:t>0.0</w:t>
            </w:r>
            <w:r w:rsidR="00087EAA" w:rsidRPr="00F54557">
              <w:t>6</w:t>
            </w:r>
            <w:r w:rsidRPr="00F54557">
              <w:t>7</w:t>
            </w:r>
          </w:p>
        </w:tc>
        <w:tc>
          <w:tcPr>
            <w:tcW w:w="1139" w:type="dxa"/>
            <w:vMerge w:val="restart"/>
            <w:shd w:val="solid" w:color="000000" w:fill="000000"/>
          </w:tcPr>
          <w:p w14:paraId="1D86AE55" w14:textId="07682F32" w:rsidR="002056CD" w:rsidRPr="00F54557" w:rsidRDefault="00AE3E5D" w:rsidP="006B0BCC">
            <w:pPr>
              <w:keepNext/>
              <w:spacing w:before="20" w:after="20"/>
              <w:jc w:val="right"/>
              <w:rPr>
                <w:highlight w:val="red"/>
              </w:rPr>
            </w:pPr>
            <w:r w:rsidRPr="00AE3E5D">
              <w:rPr>
                <w:color w:val="000000"/>
                <w14:textFill>
                  <w14:solidFill>
                    <w14:srgbClr w14:val="000000">
                      <w14:alpha w14:val="100000"/>
                    </w14:srgbClr>
                  </w14:solidFill>
                </w14:textFill>
              </w:rPr>
              <w:t>|</w:t>
            </w:r>
          </w:p>
        </w:tc>
      </w:tr>
      <w:tr w:rsidR="002056CD" w:rsidRPr="00325CE0" w14:paraId="3C28EA91" w14:textId="77777777" w:rsidTr="00AE3E5D">
        <w:tc>
          <w:tcPr>
            <w:tcW w:w="2410" w:type="dxa"/>
          </w:tcPr>
          <w:p w14:paraId="2912E3E5" w14:textId="77777777" w:rsidR="002056CD" w:rsidRPr="00FF3024" w:rsidRDefault="002056CD" w:rsidP="006B0BCC">
            <w:pPr>
              <w:spacing w:before="20" w:after="20"/>
            </w:pPr>
            <w:r w:rsidRPr="00FF3024">
              <w:t>SOC (MDT)</w:t>
            </w:r>
          </w:p>
        </w:tc>
        <w:tc>
          <w:tcPr>
            <w:tcW w:w="1325" w:type="dxa"/>
            <w:tcBorders>
              <w:bottom w:val="single" w:sz="4" w:space="0" w:color="auto"/>
            </w:tcBorders>
          </w:tcPr>
          <w:p w14:paraId="54BDA04E" w14:textId="77777777" w:rsidR="002056CD" w:rsidRPr="00F54557" w:rsidRDefault="002056CD" w:rsidP="006B0BCC">
            <w:pPr>
              <w:spacing w:before="20" w:after="20"/>
              <w:jc w:val="right"/>
            </w:pPr>
            <w:r w:rsidRPr="00F54557">
              <w:t>$23,803.36</w:t>
            </w:r>
          </w:p>
        </w:tc>
        <w:tc>
          <w:tcPr>
            <w:tcW w:w="1325" w:type="dxa"/>
            <w:vMerge/>
            <w:tcBorders>
              <w:bottom w:val="single" w:sz="4" w:space="0" w:color="auto"/>
            </w:tcBorders>
            <w:shd w:val="solid" w:color="000000" w:fill="000000"/>
          </w:tcPr>
          <w:p w14:paraId="09BBC18E" w14:textId="77777777" w:rsidR="002056CD" w:rsidRPr="00F54557" w:rsidRDefault="002056CD" w:rsidP="006B0BCC">
            <w:pPr>
              <w:spacing w:before="20" w:after="20"/>
              <w:jc w:val="right"/>
            </w:pPr>
          </w:p>
        </w:tc>
        <w:tc>
          <w:tcPr>
            <w:tcW w:w="1456" w:type="dxa"/>
            <w:tcBorders>
              <w:bottom w:val="single" w:sz="4" w:space="0" w:color="auto"/>
            </w:tcBorders>
          </w:tcPr>
          <w:p w14:paraId="02FD29AD" w14:textId="048AE0E9" w:rsidR="002056CD" w:rsidRPr="00F54557" w:rsidRDefault="002056CD" w:rsidP="006B0BCC">
            <w:pPr>
              <w:spacing w:before="20" w:after="20"/>
              <w:jc w:val="right"/>
            </w:pPr>
            <w:r w:rsidRPr="00F54557">
              <w:t>13.8</w:t>
            </w:r>
            <w:r w:rsidR="00087EAA" w:rsidRPr="00F54557">
              <w:t>1</w:t>
            </w:r>
            <w:r w:rsidRPr="00F54557">
              <w:t>1</w:t>
            </w:r>
          </w:p>
        </w:tc>
        <w:tc>
          <w:tcPr>
            <w:tcW w:w="1417" w:type="dxa"/>
            <w:vMerge/>
            <w:tcBorders>
              <w:bottom w:val="single" w:sz="4" w:space="0" w:color="auto"/>
            </w:tcBorders>
            <w:vAlign w:val="bottom"/>
          </w:tcPr>
          <w:p w14:paraId="45347118" w14:textId="77777777" w:rsidR="002056CD" w:rsidRPr="00F54557" w:rsidRDefault="002056CD" w:rsidP="006B0BCC">
            <w:pPr>
              <w:spacing w:before="20" w:after="20"/>
              <w:jc w:val="right"/>
            </w:pPr>
          </w:p>
        </w:tc>
        <w:tc>
          <w:tcPr>
            <w:tcW w:w="1139" w:type="dxa"/>
            <w:vMerge/>
            <w:shd w:val="solid" w:color="000000" w:fill="000000"/>
            <w:vAlign w:val="bottom"/>
          </w:tcPr>
          <w:p w14:paraId="07E375C0" w14:textId="77777777" w:rsidR="002056CD" w:rsidRPr="00F54557" w:rsidRDefault="002056CD" w:rsidP="006B0BCC">
            <w:pPr>
              <w:spacing w:before="20" w:after="20"/>
              <w:jc w:val="right"/>
            </w:pPr>
          </w:p>
        </w:tc>
      </w:tr>
      <w:tr w:rsidR="002056CD" w:rsidRPr="00325CE0" w14:paraId="0DB86D3D" w14:textId="77777777" w:rsidTr="00AE3E5D">
        <w:tc>
          <w:tcPr>
            <w:tcW w:w="2410" w:type="dxa"/>
            <w:tcBorders>
              <w:right w:val="nil"/>
            </w:tcBorders>
          </w:tcPr>
          <w:p w14:paraId="08BB8FC6" w14:textId="77777777" w:rsidR="002056CD" w:rsidRPr="00FF3024" w:rsidRDefault="002056CD" w:rsidP="006B0BCC">
            <w:pPr>
              <w:keepNext/>
              <w:spacing w:before="20" w:after="20"/>
              <w:rPr>
                <w:i/>
              </w:rPr>
            </w:pPr>
            <w:r w:rsidRPr="00FF3024">
              <w:rPr>
                <w:i/>
              </w:rPr>
              <w:t xml:space="preserve">Final analysis of PROSPER </w:t>
            </w:r>
            <w:r w:rsidRPr="00FF3024">
              <w:rPr>
                <w:i/>
                <w:vertAlign w:val="superscript"/>
              </w:rPr>
              <w:t>a</w:t>
            </w:r>
          </w:p>
        </w:tc>
        <w:tc>
          <w:tcPr>
            <w:tcW w:w="1325" w:type="dxa"/>
            <w:tcBorders>
              <w:top w:val="single" w:sz="4" w:space="0" w:color="auto"/>
              <w:left w:val="nil"/>
              <w:bottom w:val="single" w:sz="4" w:space="0" w:color="auto"/>
              <w:right w:val="nil"/>
            </w:tcBorders>
          </w:tcPr>
          <w:p w14:paraId="1E876344" w14:textId="77777777" w:rsidR="002056CD" w:rsidRPr="00F54557" w:rsidRDefault="002056CD" w:rsidP="006B0BCC">
            <w:pPr>
              <w:keepNext/>
              <w:spacing w:before="20" w:after="20"/>
              <w:jc w:val="right"/>
              <w:rPr>
                <w:i/>
              </w:rPr>
            </w:pPr>
          </w:p>
        </w:tc>
        <w:tc>
          <w:tcPr>
            <w:tcW w:w="1325" w:type="dxa"/>
            <w:tcBorders>
              <w:top w:val="single" w:sz="4" w:space="0" w:color="auto"/>
              <w:left w:val="nil"/>
              <w:bottom w:val="single" w:sz="4" w:space="0" w:color="auto"/>
              <w:right w:val="nil"/>
            </w:tcBorders>
          </w:tcPr>
          <w:p w14:paraId="4AF7F45B" w14:textId="77777777" w:rsidR="002056CD" w:rsidRPr="00F54557" w:rsidRDefault="002056CD" w:rsidP="006B0BCC">
            <w:pPr>
              <w:keepNext/>
              <w:spacing w:before="20" w:after="20"/>
              <w:jc w:val="right"/>
              <w:rPr>
                <w:i/>
              </w:rPr>
            </w:pPr>
          </w:p>
        </w:tc>
        <w:tc>
          <w:tcPr>
            <w:tcW w:w="1456" w:type="dxa"/>
            <w:tcBorders>
              <w:top w:val="single" w:sz="4" w:space="0" w:color="auto"/>
              <w:left w:val="nil"/>
              <w:bottom w:val="single" w:sz="4" w:space="0" w:color="auto"/>
              <w:right w:val="nil"/>
            </w:tcBorders>
          </w:tcPr>
          <w:p w14:paraId="256619EE" w14:textId="77777777" w:rsidR="002056CD" w:rsidRPr="00F54557" w:rsidRDefault="002056CD" w:rsidP="006B0BCC">
            <w:pPr>
              <w:keepNext/>
              <w:spacing w:before="20" w:after="20"/>
              <w:jc w:val="right"/>
              <w:rPr>
                <w:i/>
              </w:rPr>
            </w:pPr>
          </w:p>
        </w:tc>
        <w:tc>
          <w:tcPr>
            <w:tcW w:w="1417" w:type="dxa"/>
            <w:tcBorders>
              <w:top w:val="single" w:sz="4" w:space="0" w:color="auto"/>
              <w:left w:val="nil"/>
              <w:bottom w:val="single" w:sz="4" w:space="0" w:color="auto"/>
              <w:right w:val="nil"/>
            </w:tcBorders>
          </w:tcPr>
          <w:p w14:paraId="58FD9541" w14:textId="77777777" w:rsidR="002056CD" w:rsidRPr="00F54557" w:rsidRDefault="002056CD" w:rsidP="006B0BCC">
            <w:pPr>
              <w:keepNext/>
              <w:spacing w:before="20" w:after="20"/>
              <w:jc w:val="right"/>
              <w:rPr>
                <w:i/>
              </w:rPr>
            </w:pPr>
          </w:p>
        </w:tc>
        <w:tc>
          <w:tcPr>
            <w:tcW w:w="1139" w:type="dxa"/>
            <w:tcBorders>
              <w:top w:val="nil"/>
              <w:left w:val="nil"/>
              <w:bottom w:val="single" w:sz="4" w:space="0" w:color="auto"/>
            </w:tcBorders>
          </w:tcPr>
          <w:p w14:paraId="1353B7A2" w14:textId="77777777" w:rsidR="002056CD" w:rsidRPr="00F54557" w:rsidRDefault="002056CD" w:rsidP="006B0BCC">
            <w:pPr>
              <w:keepNext/>
              <w:spacing w:before="20" w:after="20"/>
              <w:jc w:val="right"/>
              <w:rPr>
                <w:i/>
              </w:rPr>
            </w:pPr>
          </w:p>
        </w:tc>
      </w:tr>
      <w:tr w:rsidR="002056CD" w:rsidRPr="00325CE0" w14:paraId="51E03702" w14:textId="77777777" w:rsidTr="00AE3E5D">
        <w:tc>
          <w:tcPr>
            <w:tcW w:w="2410" w:type="dxa"/>
          </w:tcPr>
          <w:p w14:paraId="77437727" w14:textId="196B5191" w:rsidR="002056CD" w:rsidRPr="00FF3024" w:rsidRDefault="00D50E5C" w:rsidP="006B0BCC">
            <w:pPr>
              <w:keepNext/>
              <w:spacing w:before="20" w:after="20"/>
              <w:rPr>
                <w:i/>
              </w:rPr>
            </w:pPr>
            <w:r w:rsidRPr="00FF3024">
              <w:rPr>
                <w:i/>
              </w:rPr>
              <w:t>EndoPredict</w:t>
            </w:r>
            <w:r w:rsidR="005F1260" w:rsidRPr="00FF3024">
              <w:rPr>
                <w:i/>
                <w:vertAlign w:val="superscript"/>
              </w:rPr>
              <w:t>®</w:t>
            </w:r>
          </w:p>
        </w:tc>
        <w:tc>
          <w:tcPr>
            <w:tcW w:w="1325" w:type="dxa"/>
            <w:tcBorders>
              <w:top w:val="single" w:sz="4" w:space="0" w:color="auto"/>
            </w:tcBorders>
            <w:shd w:val="solid" w:color="000000" w:fill="000000"/>
          </w:tcPr>
          <w:p w14:paraId="723F03A2" w14:textId="7AA788AA" w:rsidR="002056CD" w:rsidRPr="00F54557" w:rsidRDefault="00AE3E5D" w:rsidP="006B0BCC">
            <w:pPr>
              <w:keepNext/>
              <w:spacing w:before="20" w:after="20"/>
              <w:jc w:val="right"/>
              <w:rPr>
                <w:i/>
                <w:highlight w:val="red"/>
              </w:rPr>
            </w:pPr>
            <w:r w:rsidRPr="00AE3E5D">
              <w:rPr>
                <w:i/>
                <w:color w:val="000000"/>
                <w14:textFill>
                  <w14:solidFill>
                    <w14:srgbClr w14:val="000000">
                      <w14:alpha w14:val="100000"/>
                    </w14:srgbClr>
                  </w14:solidFill>
                </w14:textFill>
              </w:rPr>
              <w:t>|</w:t>
            </w:r>
          </w:p>
        </w:tc>
        <w:tc>
          <w:tcPr>
            <w:tcW w:w="1325" w:type="dxa"/>
            <w:vMerge w:val="restart"/>
            <w:tcBorders>
              <w:top w:val="single" w:sz="4" w:space="0" w:color="auto"/>
            </w:tcBorders>
            <w:shd w:val="solid" w:color="000000" w:fill="000000"/>
          </w:tcPr>
          <w:p w14:paraId="767B506A" w14:textId="11E22B2A" w:rsidR="002056CD" w:rsidRPr="00F54557" w:rsidRDefault="00AE3E5D" w:rsidP="006B0BCC">
            <w:pPr>
              <w:keepNext/>
              <w:spacing w:before="20" w:after="20"/>
              <w:jc w:val="right"/>
              <w:rPr>
                <w:i/>
              </w:rPr>
            </w:pPr>
            <w:r w:rsidRPr="00AE3E5D">
              <w:rPr>
                <w:i/>
                <w:color w:val="000000"/>
                <w14:textFill>
                  <w14:solidFill>
                    <w14:srgbClr w14:val="000000">
                      <w14:alpha w14:val="100000"/>
                    </w14:srgbClr>
                  </w14:solidFill>
                </w14:textFill>
              </w:rPr>
              <w:t>|</w:t>
            </w:r>
          </w:p>
        </w:tc>
        <w:tc>
          <w:tcPr>
            <w:tcW w:w="1456" w:type="dxa"/>
            <w:tcBorders>
              <w:top w:val="single" w:sz="4" w:space="0" w:color="auto"/>
            </w:tcBorders>
          </w:tcPr>
          <w:p w14:paraId="73C8E85E" w14:textId="4571D8AA" w:rsidR="002056CD" w:rsidRPr="00F54557" w:rsidRDefault="002056CD" w:rsidP="006B0BCC">
            <w:pPr>
              <w:keepNext/>
              <w:spacing w:before="20" w:after="20"/>
              <w:jc w:val="right"/>
              <w:rPr>
                <w:i/>
              </w:rPr>
            </w:pPr>
            <w:r w:rsidRPr="00F54557">
              <w:rPr>
                <w:i/>
              </w:rPr>
              <w:t>13.93</w:t>
            </w:r>
            <w:r w:rsidR="00087EAA" w:rsidRPr="00F54557">
              <w:rPr>
                <w:i/>
              </w:rPr>
              <w:t>5</w:t>
            </w:r>
          </w:p>
        </w:tc>
        <w:tc>
          <w:tcPr>
            <w:tcW w:w="1417" w:type="dxa"/>
            <w:vMerge w:val="restart"/>
            <w:tcBorders>
              <w:top w:val="single" w:sz="4" w:space="0" w:color="auto"/>
            </w:tcBorders>
          </w:tcPr>
          <w:p w14:paraId="7D8753B5" w14:textId="78EC4EF2" w:rsidR="002056CD" w:rsidRPr="00F54557" w:rsidRDefault="002056CD" w:rsidP="00087EAA">
            <w:pPr>
              <w:keepNext/>
              <w:spacing w:before="20" w:after="20"/>
              <w:jc w:val="right"/>
              <w:rPr>
                <w:i/>
              </w:rPr>
            </w:pPr>
            <w:r w:rsidRPr="00F54557">
              <w:rPr>
                <w:i/>
              </w:rPr>
              <w:t>0.0</w:t>
            </w:r>
            <w:r w:rsidR="00087EAA" w:rsidRPr="00F54557">
              <w:rPr>
                <w:i/>
              </w:rPr>
              <w:t>79</w:t>
            </w:r>
          </w:p>
        </w:tc>
        <w:tc>
          <w:tcPr>
            <w:tcW w:w="1139" w:type="dxa"/>
            <w:vMerge w:val="restart"/>
            <w:tcBorders>
              <w:top w:val="single" w:sz="4" w:space="0" w:color="auto"/>
            </w:tcBorders>
            <w:shd w:val="solid" w:color="000000" w:fill="000000"/>
          </w:tcPr>
          <w:p w14:paraId="4BA346CE" w14:textId="5D4EC57F" w:rsidR="002056CD" w:rsidRPr="00F54557" w:rsidRDefault="00AE3E5D" w:rsidP="006B0BCC">
            <w:pPr>
              <w:keepNext/>
              <w:spacing w:before="20" w:after="20"/>
              <w:jc w:val="right"/>
              <w:rPr>
                <w:i/>
                <w:highlight w:val="red"/>
              </w:rPr>
            </w:pPr>
            <w:r w:rsidRPr="00AE3E5D">
              <w:rPr>
                <w:i/>
                <w:color w:val="000000"/>
                <w14:textFill>
                  <w14:solidFill>
                    <w14:srgbClr w14:val="000000">
                      <w14:alpha w14:val="100000"/>
                    </w14:srgbClr>
                  </w14:solidFill>
                </w14:textFill>
              </w:rPr>
              <w:t>|</w:t>
            </w:r>
          </w:p>
        </w:tc>
      </w:tr>
      <w:tr w:rsidR="002056CD" w:rsidRPr="00325CE0" w14:paraId="341BFDD6" w14:textId="77777777" w:rsidTr="00AE3E5D">
        <w:tc>
          <w:tcPr>
            <w:tcW w:w="2410" w:type="dxa"/>
          </w:tcPr>
          <w:p w14:paraId="21AB3054" w14:textId="77777777" w:rsidR="002056CD" w:rsidRPr="00FF3024" w:rsidRDefault="002056CD" w:rsidP="006B0BCC">
            <w:pPr>
              <w:spacing w:before="20" w:after="20"/>
              <w:rPr>
                <w:i/>
              </w:rPr>
            </w:pPr>
            <w:r w:rsidRPr="00FF3024">
              <w:rPr>
                <w:i/>
              </w:rPr>
              <w:t>SOC (MDT)</w:t>
            </w:r>
          </w:p>
        </w:tc>
        <w:tc>
          <w:tcPr>
            <w:tcW w:w="1325" w:type="dxa"/>
            <w:tcBorders>
              <w:bottom w:val="single" w:sz="4" w:space="0" w:color="auto"/>
            </w:tcBorders>
          </w:tcPr>
          <w:p w14:paraId="3F69CFDF" w14:textId="77777777" w:rsidR="002056CD" w:rsidRPr="00F54557" w:rsidRDefault="002056CD" w:rsidP="006B0BCC">
            <w:pPr>
              <w:spacing w:before="20" w:after="20"/>
              <w:jc w:val="right"/>
              <w:rPr>
                <w:i/>
              </w:rPr>
            </w:pPr>
            <w:r w:rsidRPr="00F54557">
              <w:rPr>
                <w:i/>
              </w:rPr>
              <w:t>$23,473.62</w:t>
            </w:r>
          </w:p>
        </w:tc>
        <w:tc>
          <w:tcPr>
            <w:tcW w:w="1325" w:type="dxa"/>
            <w:vMerge/>
            <w:tcBorders>
              <w:bottom w:val="single" w:sz="4" w:space="0" w:color="auto"/>
            </w:tcBorders>
            <w:shd w:val="solid" w:color="000000" w:fill="000000"/>
          </w:tcPr>
          <w:p w14:paraId="5958712E" w14:textId="77777777" w:rsidR="002056CD" w:rsidRPr="00F54557" w:rsidRDefault="002056CD" w:rsidP="006B0BCC">
            <w:pPr>
              <w:spacing w:before="20" w:after="20"/>
              <w:jc w:val="right"/>
              <w:rPr>
                <w:i/>
              </w:rPr>
            </w:pPr>
          </w:p>
        </w:tc>
        <w:tc>
          <w:tcPr>
            <w:tcW w:w="1456" w:type="dxa"/>
            <w:tcBorders>
              <w:bottom w:val="single" w:sz="4" w:space="0" w:color="auto"/>
            </w:tcBorders>
          </w:tcPr>
          <w:p w14:paraId="30FAE361" w14:textId="78F04408" w:rsidR="002056CD" w:rsidRPr="00F54557" w:rsidRDefault="002056CD" w:rsidP="006B0BCC">
            <w:pPr>
              <w:spacing w:before="20" w:after="20"/>
              <w:jc w:val="right"/>
              <w:rPr>
                <w:i/>
              </w:rPr>
            </w:pPr>
            <w:r w:rsidRPr="00F54557">
              <w:rPr>
                <w:i/>
              </w:rPr>
              <w:t>13.8</w:t>
            </w:r>
            <w:r w:rsidR="00087EAA" w:rsidRPr="00F54557">
              <w:rPr>
                <w:i/>
              </w:rPr>
              <w:t>5</w:t>
            </w:r>
            <w:r w:rsidRPr="00F54557">
              <w:rPr>
                <w:i/>
              </w:rPr>
              <w:t>6</w:t>
            </w:r>
          </w:p>
        </w:tc>
        <w:tc>
          <w:tcPr>
            <w:tcW w:w="1417" w:type="dxa"/>
            <w:vMerge/>
            <w:tcBorders>
              <w:bottom w:val="single" w:sz="4" w:space="0" w:color="auto"/>
            </w:tcBorders>
          </w:tcPr>
          <w:p w14:paraId="23F1C8C5" w14:textId="77777777" w:rsidR="002056CD" w:rsidRPr="00F54557" w:rsidRDefault="002056CD" w:rsidP="006B0BCC">
            <w:pPr>
              <w:spacing w:before="20" w:after="20"/>
              <w:jc w:val="right"/>
              <w:rPr>
                <w:i/>
              </w:rPr>
            </w:pPr>
          </w:p>
        </w:tc>
        <w:tc>
          <w:tcPr>
            <w:tcW w:w="1139" w:type="dxa"/>
            <w:vMerge/>
            <w:tcBorders>
              <w:bottom w:val="single" w:sz="4" w:space="0" w:color="auto"/>
            </w:tcBorders>
            <w:shd w:val="solid" w:color="000000" w:fill="000000"/>
          </w:tcPr>
          <w:p w14:paraId="0DB000D1" w14:textId="77777777" w:rsidR="002056CD" w:rsidRPr="00F54557" w:rsidRDefault="002056CD" w:rsidP="006B0BCC">
            <w:pPr>
              <w:spacing w:before="20" w:after="20"/>
              <w:jc w:val="right"/>
              <w:rPr>
                <w:i/>
              </w:rPr>
            </w:pPr>
          </w:p>
        </w:tc>
      </w:tr>
      <w:tr w:rsidR="002056CD" w:rsidRPr="00325CE0" w14:paraId="78E30EC9" w14:textId="77777777" w:rsidTr="006B0BCC">
        <w:tc>
          <w:tcPr>
            <w:tcW w:w="9072" w:type="dxa"/>
            <w:gridSpan w:val="6"/>
          </w:tcPr>
          <w:p w14:paraId="30E5BF27" w14:textId="4532E887" w:rsidR="002056CD" w:rsidRPr="00FF3024" w:rsidRDefault="00506DA9" w:rsidP="00506DA9">
            <w:pPr>
              <w:keepNext/>
              <w:spacing w:before="20" w:after="20"/>
              <w:rPr>
                <w:i/>
              </w:rPr>
            </w:pPr>
            <w:r w:rsidRPr="00FF3024">
              <w:t xml:space="preserve">Inclusion of other model updates </w:t>
            </w:r>
            <w:r w:rsidR="00E635DF" w:rsidRPr="00FF3024">
              <w:rPr>
                <w:i/>
              </w:rPr>
              <w:t>(corrected)</w:t>
            </w:r>
            <w:r w:rsidR="00E635DF" w:rsidRPr="00FF3024">
              <w:rPr>
                <w:i/>
                <w:vertAlign w:val="superscript"/>
              </w:rPr>
              <w:t>b</w:t>
            </w:r>
          </w:p>
        </w:tc>
      </w:tr>
      <w:tr w:rsidR="00087EAA" w:rsidRPr="00325CE0" w14:paraId="0BA420C1" w14:textId="77777777" w:rsidTr="00AE3E5D">
        <w:tc>
          <w:tcPr>
            <w:tcW w:w="2410" w:type="dxa"/>
          </w:tcPr>
          <w:p w14:paraId="39BB2A22" w14:textId="4524EB7C" w:rsidR="00087EAA" w:rsidRPr="00FF3024" w:rsidRDefault="00D50E5C" w:rsidP="00087EAA">
            <w:pPr>
              <w:keepNext/>
              <w:spacing w:before="20" w:after="20"/>
            </w:pPr>
            <w:r w:rsidRPr="00FF3024">
              <w:t>EndoPredict</w:t>
            </w:r>
            <w:r w:rsidR="005F1260" w:rsidRPr="00FF3024">
              <w:rPr>
                <w:vertAlign w:val="superscript"/>
              </w:rPr>
              <w:t>®</w:t>
            </w:r>
          </w:p>
        </w:tc>
        <w:tc>
          <w:tcPr>
            <w:tcW w:w="1325" w:type="dxa"/>
            <w:tcBorders>
              <w:top w:val="single" w:sz="4" w:space="0" w:color="auto"/>
            </w:tcBorders>
            <w:shd w:val="solid" w:color="000000" w:fill="000000"/>
          </w:tcPr>
          <w:p w14:paraId="5C4C3098" w14:textId="331DC462" w:rsidR="00087EAA" w:rsidRPr="00F54557" w:rsidRDefault="00AE3E5D" w:rsidP="00087EAA">
            <w:pPr>
              <w:keepNext/>
              <w:spacing w:before="20" w:after="20"/>
              <w:jc w:val="right"/>
              <w:rPr>
                <w:i/>
                <w:highlight w:val="red"/>
              </w:rPr>
            </w:pPr>
            <w:r w:rsidRPr="00AE3E5D">
              <w:rPr>
                <w:i/>
                <w:color w:val="000000"/>
                <w14:textFill>
                  <w14:solidFill>
                    <w14:srgbClr w14:val="000000">
                      <w14:alpha w14:val="100000"/>
                    </w14:srgbClr>
                  </w14:solidFill>
                </w14:textFill>
              </w:rPr>
              <w:t>|</w:t>
            </w:r>
          </w:p>
        </w:tc>
        <w:tc>
          <w:tcPr>
            <w:tcW w:w="1325" w:type="dxa"/>
            <w:vMerge w:val="restart"/>
            <w:tcBorders>
              <w:top w:val="single" w:sz="4" w:space="0" w:color="auto"/>
            </w:tcBorders>
            <w:shd w:val="solid" w:color="000000" w:fill="000000"/>
          </w:tcPr>
          <w:p w14:paraId="71F113AD" w14:textId="1DD20A40" w:rsidR="00087EAA" w:rsidRPr="00F54557" w:rsidRDefault="00AE3E5D" w:rsidP="00087EAA">
            <w:pPr>
              <w:keepNext/>
              <w:spacing w:before="20" w:after="20"/>
              <w:jc w:val="right"/>
              <w:rPr>
                <w:i/>
                <w:highlight w:val="red"/>
              </w:rPr>
            </w:pPr>
            <w:r w:rsidRPr="00AE3E5D">
              <w:rPr>
                <w:i/>
                <w:color w:val="000000"/>
                <w14:textFill>
                  <w14:solidFill>
                    <w14:srgbClr w14:val="000000">
                      <w14:alpha w14:val="100000"/>
                    </w14:srgbClr>
                  </w14:solidFill>
                </w14:textFill>
              </w:rPr>
              <w:t>|</w:t>
            </w:r>
          </w:p>
        </w:tc>
        <w:tc>
          <w:tcPr>
            <w:tcW w:w="1456" w:type="dxa"/>
            <w:tcBorders>
              <w:top w:val="single" w:sz="4" w:space="0" w:color="auto"/>
            </w:tcBorders>
          </w:tcPr>
          <w:p w14:paraId="488CD998" w14:textId="00BDAACD" w:rsidR="00087EAA" w:rsidRPr="00F54557" w:rsidRDefault="00087EAA" w:rsidP="00087EAA">
            <w:pPr>
              <w:keepNext/>
              <w:spacing w:before="20" w:after="20"/>
              <w:jc w:val="right"/>
              <w:rPr>
                <w:i/>
              </w:rPr>
            </w:pPr>
            <w:r w:rsidRPr="00F54557">
              <w:rPr>
                <w:i/>
              </w:rPr>
              <w:t>14.044</w:t>
            </w:r>
          </w:p>
        </w:tc>
        <w:tc>
          <w:tcPr>
            <w:tcW w:w="1417" w:type="dxa"/>
            <w:vMerge w:val="restart"/>
            <w:tcBorders>
              <w:top w:val="single" w:sz="4" w:space="0" w:color="auto"/>
            </w:tcBorders>
          </w:tcPr>
          <w:p w14:paraId="5E847EE6" w14:textId="074E3D16" w:rsidR="00087EAA" w:rsidRPr="00F54557" w:rsidRDefault="00087EAA" w:rsidP="00087EAA">
            <w:pPr>
              <w:keepNext/>
              <w:spacing w:before="20" w:after="20"/>
              <w:jc w:val="right"/>
              <w:rPr>
                <w:i/>
              </w:rPr>
            </w:pPr>
            <w:r w:rsidRPr="00F54557">
              <w:rPr>
                <w:i/>
              </w:rPr>
              <w:t>0.080</w:t>
            </w:r>
          </w:p>
        </w:tc>
        <w:tc>
          <w:tcPr>
            <w:tcW w:w="1139" w:type="dxa"/>
            <w:vMerge w:val="restart"/>
            <w:tcBorders>
              <w:top w:val="single" w:sz="4" w:space="0" w:color="auto"/>
            </w:tcBorders>
            <w:shd w:val="solid" w:color="000000" w:fill="000000"/>
          </w:tcPr>
          <w:p w14:paraId="1C051FDD" w14:textId="48F7E5DA" w:rsidR="00087EAA" w:rsidRPr="00F54557" w:rsidRDefault="00AE3E5D" w:rsidP="00087EAA">
            <w:pPr>
              <w:keepNext/>
              <w:spacing w:before="20" w:after="20"/>
              <w:jc w:val="right"/>
              <w:rPr>
                <w:i/>
                <w:highlight w:val="red"/>
              </w:rPr>
            </w:pPr>
            <w:r w:rsidRPr="00AE3E5D">
              <w:rPr>
                <w:i/>
                <w:color w:val="000000"/>
                <w14:textFill>
                  <w14:solidFill>
                    <w14:srgbClr w14:val="000000">
                      <w14:alpha w14:val="100000"/>
                    </w14:srgbClr>
                  </w14:solidFill>
                </w14:textFill>
              </w:rPr>
              <w:t>|</w:t>
            </w:r>
          </w:p>
        </w:tc>
      </w:tr>
      <w:tr w:rsidR="00087EAA" w:rsidRPr="00325CE0" w14:paraId="771A2219" w14:textId="77777777" w:rsidTr="00AE3E5D">
        <w:tc>
          <w:tcPr>
            <w:tcW w:w="2410" w:type="dxa"/>
          </w:tcPr>
          <w:p w14:paraId="328939D2" w14:textId="77777777" w:rsidR="00087EAA" w:rsidRPr="00FF3024" w:rsidRDefault="00087EAA" w:rsidP="00087EAA">
            <w:pPr>
              <w:spacing w:before="20" w:after="20"/>
            </w:pPr>
            <w:r w:rsidRPr="00FF3024">
              <w:t>SOC (MDT)</w:t>
            </w:r>
          </w:p>
        </w:tc>
        <w:tc>
          <w:tcPr>
            <w:tcW w:w="1325" w:type="dxa"/>
            <w:tcBorders>
              <w:bottom w:val="single" w:sz="4" w:space="0" w:color="auto"/>
            </w:tcBorders>
          </w:tcPr>
          <w:p w14:paraId="557BFF7C" w14:textId="54FFA115" w:rsidR="00087EAA" w:rsidRPr="00F54557" w:rsidRDefault="00087EAA" w:rsidP="00087EAA">
            <w:pPr>
              <w:spacing w:before="20" w:after="20"/>
              <w:jc w:val="right"/>
              <w:rPr>
                <w:i/>
              </w:rPr>
            </w:pPr>
            <w:r w:rsidRPr="00F54557">
              <w:rPr>
                <w:i/>
              </w:rPr>
              <w:t>$24,182.05</w:t>
            </w:r>
          </w:p>
        </w:tc>
        <w:tc>
          <w:tcPr>
            <w:tcW w:w="1325" w:type="dxa"/>
            <w:vMerge/>
            <w:tcBorders>
              <w:bottom w:val="single" w:sz="4" w:space="0" w:color="auto"/>
            </w:tcBorders>
            <w:shd w:val="solid" w:color="000000" w:fill="000000"/>
          </w:tcPr>
          <w:p w14:paraId="11051BDB" w14:textId="77777777" w:rsidR="00087EAA" w:rsidRPr="00F54557" w:rsidRDefault="00087EAA" w:rsidP="00087EAA">
            <w:pPr>
              <w:spacing w:before="20" w:after="20"/>
              <w:jc w:val="right"/>
              <w:rPr>
                <w:i/>
              </w:rPr>
            </w:pPr>
          </w:p>
        </w:tc>
        <w:tc>
          <w:tcPr>
            <w:tcW w:w="1456" w:type="dxa"/>
            <w:tcBorders>
              <w:bottom w:val="single" w:sz="4" w:space="0" w:color="auto"/>
            </w:tcBorders>
          </w:tcPr>
          <w:p w14:paraId="0C0A51F1" w14:textId="6DD37E7D" w:rsidR="00087EAA" w:rsidRPr="00F54557" w:rsidRDefault="00087EAA" w:rsidP="00087EAA">
            <w:pPr>
              <w:spacing w:before="20" w:after="20"/>
              <w:jc w:val="right"/>
              <w:rPr>
                <w:i/>
              </w:rPr>
            </w:pPr>
            <w:r w:rsidRPr="00F54557">
              <w:rPr>
                <w:i/>
              </w:rPr>
              <w:t>13.964</w:t>
            </w:r>
          </w:p>
        </w:tc>
        <w:tc>
          <w:tcPr>
            <w:tcW w:w="1417" w:type="dxa"/>
            <w:vMerge/>
            <w:tcBorders>
              <w:bottom w:val="single" w:sz="4" w:space="0" w:color="auto"/>
            </w:tcBorders>
          </w:tcPr>
          <w:p w14:paraId="02F63291" w14:textId="77777777" w:rsidR="00087EAA" w:rsidRPr="00F54557" w:rsidRDefault="00087EAA" w:rsidP="00087EAA">
            <w:pPr>
              <w:spacing w:before="20" w:after="20"/>
              <w:jc w:val="right"/>
              <w:rPr>
                <w:i/>
              </w:rPr>
            </w:pPr>
          </w:p>
        </w:tc>
        <w:tc>
          <w:tcPr>
            <w:tcW w:w="1139" w:type="dxa"/>
            <w:vMerge/>
            <w:tcBorders>
              <w:bottom w:val="single" w:sz="4" w:space="0" w:color="auto"/>
            </w:tcBorders>
            <w:shd w:val="solid" w:color="000000" w:fill="000000"/>
          </w:tcPr>
          <w:p w14:paraId="39FE9801" w14:textId="77777777" w:rsidR="00087EAA" w:rsidRPr="00F54557" w:rsidRDefault="00087EAA" w:rsidP="00087EAA">
            <w:pPr>
              <w:spacing w:before="20" w:after="20"/>
              <w:jc w:val="right"/>
              <w:rPr>
                <w:i/>
              </w:rPr>
            </w:pPr>
          </w:p>
        </w:tc>
      </w:tr>
      <w:tr w:rsidR="00087EAA" w:rsidRPr="00325CE0" w14:paraId="18038468" w14:textId="77777777" w:rsidTr="006B0BCC">
        <w:tc>
          <w:tcPr>
            <w:tcW w:w="9072" w:type="dxa"/>
            <w:gridSpan w:val="6"/>
          </w:tcPr>
          <w:p w14:paraId="409B11B8" w14:textId="651E6F02" w:rsidR="00087EAA" w:rsidRPr="00F54557" w:rsidRDefault="00087EAA" w:rsidP="00E635DF">
            <w:pPr>
              <w:keepNext/>
              <w:spacing w:before="20" w:after="20"/>
            </w:pPr>
            <w:r w:rsidRPr="00FF3024">
              <w:t xml:space="preserve">Updated model with proposed Year 1 </w:t>
            </w:r>
            <w:r w:rsidR="00E635DF" w:rsidRPr="00FF3024">
              <w:t>fee</w:t>
            </w:r>
            <w:r w:rsidR="00E635DF" w:rsidRPr="00F54557">
              <w:t xml:space="preserve"> </w:t>
            </w:r>
            <w:r w:rsidRPr="00F54557">
              <w:t>($</w:t>
            </w:r>
            <w:r w:rsidR="000539B3" w:rsidRPr="000539B3">
              <w:rPr>
                <w:color w:val="000000"/>
                <w:spacing w:val="49"/>
                <w:shd w:val="solid" w:color="000000" w:fill="000000"/>
                <w:fitText w:val="320" w:id="-1417403392"/>
                <w14:textFill>
                  <w14:solidFill>
                    <w14:srgbClr w14:val="000000">
                      <w14:alpha w14:val="100000"/>
                    </w14:srgbClr>
                  </w14:solidFill>
                </w14:textFill>
              </w:rPr>
              <w:t>|||</w:t>
            </w:r>
            <w:r w:rsidR="000539B3" w:rsidRPr="000539B3">
              <w:rPr>
                <w:color w:val="000000"/>
                <w:spacing w:val="3"/>
                <w:shd w:val="solid" w:color="000000" w:fill="000000"/>
                <w:fitText w:val="320" w:id="-1417403392"/>
                <w14:textFill>
                  <w14:solidFill>
                    <w14:srgbClr w14:val="000000">
                      <w14:alpha w14:val="100000"/>
                    </w14:srgbClr>
                  </w14:solidFill>
                </w14:textFill>
              </w:rPr>
              <w:t>|</w:t>
            </w:r>
            <w:r w:rsidRPr="00F54557">
              <w:t>)</w:t>
            </w:r>
            <w:r w:rsidRPr="00F54557">
              <w:rPr>
                <w:i/>
              </w:rPr>
              <w:t xml:space="preserve"> (</w:t>
            </w:r>
            <w:r w:rsidRPr="00FF3024">
              <w:rPr>
                <w:i/>
              </w:rPr>
              <w:t>corrected)</w:t>
            </w:r>
            <w:r w:rsidRPr="00FF3024">
              <w:rPr>
                <w:i/>
                <w:vertAlign w:val="superscript"/>
              </w:rPr>
              <w:t>b</w:t>
            </w:r>
          </w:p>
        </w:tc>
      </w:tr>
      <w:tr w:rsidR="00E635DF" w:rsidRPr="00325CE0" w14:paraId="07C4F39B" w14:textId="77777777" w:rsidTr="00AE3E5D">
        <w:tc>
          <w:tcPr>
            <w:tcW w:w="2410" w:type="dxa"/>
          </w:tcPr>
          <w:p w14:paraId="59FB44F9" w14:textId="346ADCA6" w:rsidR="00E635DF" w:rsidRPr="00FF3024" w:rsidRDefault="00D50E5C" w:rsidP="00E635DF">
            <w:pPr>
              <w:keepNext/>
              <w:spacing w:before="20" w:after="20"/>
            </w:pPr>
            <w:r w:rsidRPr="00FF3024">
              <w:t>EndoPredict</w:t>
            </w:r>
            <w:r w:rsidR="005F1260" w:rsidRPr="00FF3024">
              <w:rPr>
                <w:vertAlign w:val="superscript"/>
              </w:rPr>
              <w:t>®</w:t>
            </w:r>
          </w:p>
        </w:tc>
        <w:tc>
          <w:tcPr>
            <w:tcW w:w="1325" w:type="dxa"/>
            <w:tcBorders>
              <w:top w:val="single" w:sz="4" w:space="0" w:color="auto"/>
            </w:tcBorders>
            <w:shd w:val="solid" w:color="000000" w:fill="000000"/>
          </w:tcPr>
          <w:p w14:paraId="1791F155" w14:textId="1031375E" w:rsidR="00E635DF" w:rsidRPr="00F54557" w:rsidRDefault="00AE3E5D" w:rsidP="00E635DF">
            <w:pPr>
              <w:keepNext/>
              <w:spacing w:before="20" w:after="20"/>
              <w:jc w:val="right"/>
              <w:rPr>
                <w:i/>
                <w:highlight w:val="red"/>
              </w:rPr>
            </w:pPr>
            <w:r w:rsidRPr="00AE3E5D">
              <w:rPr>
                <w:i/>
                <w:color w:val="000000"/>
                <w14:textFill>
                  <w14:solidFill>
                    <w14:srgbClr w14:val="000000">
                      <w14:alpha w14:val="100000"/>
                    </w14:srgbClr>
                  </w14:solidFill>
                </w14:textFill>
              </w:rPr>
              <w:t>|</w:t>
            </w:r>
          </w:p>
        </w:tc>
        <w:tc>
          <w:tcPr>
            <w:tcW w:w="1325" w:type="dxa"/>
            <w:vMerge w:val="restart"/>
            <w:tcBorders>
              <w:top w:val="single" w:sz="4" w:space="0" w:color="auto"/>
            </w:tcBorders>
            <w:shd w:val="solid" w:color="000000" w:fill="000000"/>
          </w:tcPr>
          <w:p w14:paraId="54E3FA6E" w14:textId="0CB0FF2A" w:rsidR="00E635DF" w:rsidRPr="00F54557" w:rsidRDefault="00AE3E5D" w:rsidP="00E635DF">
            <w:pPr>
              <w:keepNext/>
              <w:spacing w:before="20" w:after="20"/>
              <w:jc w:val="right"/>
              <w:rPr>
                <w:i/>
              </w:rPr>
            </w:pPr>
            <w:r w:rsidRPr="00AE3E5D">
              <w:rPr>
                <w:i/>
                <w:color w:val="000000"/>
                <w14:textFill>
                  <w14:solidFill>
                    <w14:srgbClr w14:val="000000">
                      <w14:alpha w14:val="100000"/>
                    </w14:srgbClr>
                  </w14:solidFill>
                </w14:textFill>
              </w:rPr>
              <w:t>|</w:t>
            </w:r>
          </w:p>
        </w:tc>
        <w:tc>
          <w:tcPr>
            <w:tcW w:w="1456" w:type="dxa"/>
            <w:tcBorders>
              <w:top w:val="single" w:sz="4" w:space="0" w:color="auto"/>
            </w:tcBorders>
          </w:tcPr>
          <w:p w14:paraId="490B42C6" w14:textId="4A2454DF" w:rsidR="00E635DF" w:rsidRPr="00F54557" w:rsidRDefault="00E635DF" w:rsidP="00E635DF">
            <w:pPr>
              <w:keepNext/>
              <w:spacing w:before="20" w:after="20"/>
              <w:jc w:val="right"/>
            </w:pPr>
            <w:r w:rsidRPr="00F54557">
              <w:rPr>
                <w:i/>
              </w:rPr>
              <w:t>14.044</w:t>
            </w:r>
          </w:p>
        </w:tc>
        <w:tc>
          <w:tcPr>
            <w:tcW w:w="1417" w:type="dxa"/>
            <w:vMerge w:val="restart"/>
            <w:tcBorders>
              <w:top w:val="single" w:sz="4" w:space="0" w:color="auto"/>
            </w:tcBorders>
          </w:tcPr>
          <w:p w14:paraId="500D8696" w14:textId="6ED8BE82" w:rsidR="00E635DF" w:rsidRPr="00F54557" w:rsidRDefault="00E635DF" w:rsidP="00E635DF">
            <w:pPr>
              <w:keepNext/>
              <w:spacing w:before="20" w:after="20"/>
              <w:jc w:val="right"/>
            </w:pPr>
            <w:r w:rsidRPr="00F54557">
              <w:rPr>
                <w:i/>
              </w:rPr>
              <w:t>0.080</w:t>
            </w:r>
          </w:p>
        </w:tc>
        <w:tc>
          <w:tcPr>
            <w:tcW w:w="1139" w:type="dxa"/>
            <w:vMerge w:val="restart"/>
            <w:tcBorders>
              <w:top w:val="nil"/>
            </w:tcBorders>
            <w:shd w:val="solid" w:color="000000" w:fill="000000"/>
          </w:tcPr>
          <w:p w14:paraId="31F10E79" w14:textId="5A4552B1" w:rsidR="00E635DF" w:rsidRPr="00F54557" w:rsidRDefault="00AE3E5D" w:rsidP="00E635DF">
            <w:pPr>
              <w:keepNext/>
              <w:spacing w:before="20" w:after="20"/>
              <w:jc w:val="right"/>
              <w:rPr>
                <w:i/>
                <w:highlight w:val="red"/>
              </w:rPr>
            </w:pPr>
            <w:r w:rsidRPr="00AE3E5D">
              <w:rPr>
                <w:i/>
                <w:color w:val="000000"/>
                <w14:textFill>
                  <w14:solidFill>
                    <w14:srgbClr w14:val="000000">
                      <w14:alpha w14:val="100000"/>
                    </w14:srgbClr>
                  </w14:solidFill>
                </w14:textFill>
              </w:rPr>
              <w:t>|</w:t>
            </w:r>
          </w:p>
        </w:tc>
      </w:tr>
      <w:tr w:rsidR="00E635DF" w:rsidRPr="00325CE0" w14:paraId="35EB5F21" w14:textId="77777777" w:rsidTr="00AE3E5D">
        <w:tc>
          <w:tcPr>
            <w:tcW w:w="2410" w:type="dxa"/>
          </w:tcPr>
          <w:p w14:paraId="29C224E7" w14:textId="77777777" w:rsidR="00E635DF" w:rsidRPr="00FF3024" w:rsidRDefault="00E635DF" w:rsidP="00E635DF">
            <w:pPr>
              <w:spacing w:before="20" w:after="20"/>
            </w:pPr>
            <w:r w:rsidRPr="00FF3024">
              <w:t>SOC (MDT)</w:t>
            </w:r>
          </w:p>
        </w:tc>
        <w:tc>
          <w:tcPr>
            <w:tcW w:w="1325" w:type="dxa"/>
            <w:tcBorders>
              <w:bottom w:val="single" w:sz="4" w:space="0" w:color="auto"/>
            </w:tcBorders>
          </w:tcPr>
          <w:p w14:paraId="180E701C" w14:textId="15041D21" w:rsidR="00E635DF" w:rsidRPr="00F54557" w:rsidRDefault="00E635DF" w:rsidP="00E635DF">
            <w:pPr>
              <w:spacing w:before="20" w:after="20"/>
              <w:jc w:val="right"/>
              <w:rPr>
                <w:i/>
              </w:rPr>
            </w:pPr>
            <w:r w:rsidRPr="00F54557">
              <w:rPr>
                <w:i/>
              </w:rPr>
              <w:t>$24,182.05</w:t>
            </w:r>
          </w:p>
        </w:tc>
        <w:tc>
          <w:tcPr>
            <w:tcW w:w="1325" w:type="dxa"/>
            <w:vMerge/>
            <w:tcBorders>
              <w:bottom w:val="single" w:sz="4" w:space="0" w:color="auto"/>
            </w:tcBorders>
            <w:shd w:val="solid" w:color="000000" w:fill="000000"/>
          </w:tcPr>
          <w:p w14:paraId="7CEFB2DE" w14:textId="77777777" w:rsidR="00E635DF" w:rsidRPr="00F54557" w:rsidRDefault="00E635DF" w:rsidP="00E635DF">
            <w:pPr>
              <w:spacing w:before="20" w:after="20"/>
              <w:jc w:val="right"/>
            </w:pPr>
          </w:p>
        </w:tc>
        <w:tc>
          <w:tcPr>
            <w:tcW w:w="1456" w:type="dxa"/>
            <w:tcBorders>
              <w:bottom w:val="single" w:sz="4" w:space="0" w:color="auto"/>
            </w:tcBorders>
          </w:tcPr>
          <w:p w14:paraId="12ADE08B" w14:textId="59DE3BE0" w:rsidR="00E635DF" w:rsidRPr="00F54557" w:rsidRDefault="00E635DF" w:rsidP="00E635DF">
            <w:pPr>
              <w:spacing w:before="20" w:after="20"/>
              <w:jc w:val="right"/>
            </w:pPr>
            <w:r w:rsidRPr="00F54557">
              <w:rPr>
                <w:i/>
              </w:rPr>
              <w:t>13.964</w:t>
            </w:r>
          </w:p>
        </w:tc>
        <w:tc>
          <w:tcPr>
            <w:tcW w:w="1417" w:type="dxa"/>
            <w:vMerge/>
            <w:tcBorders>
              <w:bottom w:val="single" w:sz="4" w:space="0" w:color="auto"/>
            </w:tcBorders>
          </w:tcPr>
          <w:p w14:paraId="338BEB92" w14:textId="77777777" w:rsidR="00E635DF" w:rsidRPr="00F54557" w:rsidRDefault="00E635DF" w:rsidP="00E635DF">
            <w:pPr>
              <w:spacing w:before="20" w:after="20"/>
              <w:jc w:val="right"/>
            </w:pPr>
          </w:p>
        </w:tc>
        <w:tc>
          <w:tcPr>
            <w:tcW w:w="1139" w:type="dxa"/>
            <w:vMerge/>
            <w:tcBorders>
              <w:bottom w:val="single" w:sz="4" w:space="0" w:color="auto"/>
            </w:tcBorders>
            <w:shd w:val="solid" w:color="000000" w:fill="000000"/>
          </w:tcPr>
          <w:p w14:paraId="19D906ED" w14:textId="77777777" w:rsidR="00E635DF" w:rsidRPr="00F54557" w:rsidRDefault="00E635DF" w:rsidP="00E635DF">
            <w:pPr>
              <w:spacing w:before="20" w:after="20"/>
              <w:jc w:val="right"/>
            </w:pPr>
          </w:p>
        </w:tc>
      </w:tr>
      <w:tr w:rsidR="00E635DF" w:rsidRPr="00325CE0" w14:paraId="11AA41B3" w14:textId="77777777" w:rsidTr="006B0BCC">
        <w:tc>
          <w:tcPr>
            <w:tcW w:w="9072" w:type="dxa"/>
            <w:gridSpan w:val="6"/>
          </w:tcPr>
          <w:p w14:paraId="21AD5533" w14:textId="4A36CFEF" w:rsidR="00E635DF" w:rsidRPr="00F54557" w:rsidRDefault="00E635DF" w:rsidP="00E635DF">
            <w:pPr>
              <w:keepNext/>
              <w:spacing w:before="20" w:after="20"/>
            </w:pPr>
            <w:r w:rsidRPr="00FF3024">
              <w:t xml:space="preserve">Updated model with estimated Year 4 </w:t>
            </w:r>
            <w:proofErr w:type="gramStart"/>
            <w:r w:rsidRPr="00FF3024">
              <w:t>fee</w:t>
            </w:r>
            <w:proofErr w:type="gramEnd"/>
            <w:r w:rsidRPr="00FF3024">
              <w:t xml:space="preserve"> onwards</w:t>
            </w:r>
            <w:r w:rsidRPr="00F54557">
              <w:t xml:space="preserve"> ($</w:t>
            </w:r>
            <w:r w:rsidR="000539B3" w:rsidRPr="000539B3">
              <w:rPr>
                <w:color w:val="000000"/>
                <w:spacing w:val="49"/>
                <w:shd w:val="solid" w:color="000000" w:fill="000000"/>
                <w:fitText w:val="320" w:id="-1417403136"/>
                <w14:textFill>
                  <w14:solidFill>
                    <w14:srgbClr w14:val="000000">
                      <w14:alpha w14:val="100000"/>
                    </w14:srgbClr>
                  </w14:solidFill>
                </w14:textFill>
              </w:rPr>
              <w:t>|||</w:t>
            </w:r>
            <w:r w:rsidR="000539B3" w:rsidRPr="000539B3">
              <w:rPr>
                <w:color w:val="000000"/>
                <w:spacing w:val="3"/>
                <w:shd w:val="solid" w:color="000000" w:fill="000000"/>
                <w:fitText w:val="320" w:id="-1417403136"/>
                <w14:textFill>
                  <w14:solidFill>
                    <w14:srgbClr w14:val="000000">
                      <w14:alpha w14:val="100000"/>
                    </w14:srgbClr>
                  </w14:solidFill>
                </w14:textFill>
              </w:rPr>
              <w:t>|</w:t>
            </w:r>
            <w:r w:rsidRPr="00F54557">
              <w:t xml:space="preserve">) </w:t>
            </w:r>
            <w:r w:rsidRPr="00FF3024">
              <w:rPr>
                <w:i/>
              </w:rPr>
              <w:t>(corrected)</w:t>
            </w:r>
            <w:r w:rsidRPr="00FF3024">
              <w:rPr>
                <w:i/>
                <w:vertAlign w:val="superscript"/>
              </w:rPr>
              <w:t>b</w:t>
            </w:r>
          </w:p>
        </w:tc>
      </w:tr>
      <w:tr w:rsidR="00E635DF" w:rsidRPr="00325CE0" w14:paraId="01188492" w14:textId="77777777" w:rsidTr="00AE3E5D">
        <w:tc>
          <w:tcPr>
            <w:tcW w:w="2410" w:type="dxa"/>
          </w:tcPr>
          <w:p w14:paraId="4BA71E08" w14:textId="029F95AA" w:rsidR="00E635DF" w:rsidRPr="00FF3024" w:rsidRDefault="00D50E5C" w:rsidP="00E635DF">
            <w:pPr>
              <w:keepNext/>
              <w:spacing w:before="20" w:after="20"/>
            </w:pPr>
            <w:r w:rsidRPr="00FF3024">
              <w:t>EndoPredict</w:t>
            </w:r>
            <w:r w:rsidR="005F1260" w:rsidRPr="00FF3024">
              <w:rPr>
                <w:vertAlign w:val="superscript"/>
              </w:rPr>
              <w:t>®</w:t>
            </w:r>
          </w:p>
        </w:tc>
        <w:tc>
          <w:tcPr>
            <w:tcW w:w="1325" w:type="dxa"/>
            <w:tcBorders>
              <w:top w:val="single" w:sz="4" w:space="0" w:color="auto"/>
            </w:tcBorders>
            <w:shd w:val="solid" w:color="000000" w:fill="000000"/>
          </w:tcPr>
          <w:p w14:paraId="653806F9" w14:textId="7B79AD27" w:rsidR="00E635DF" w:rsidRPr="00F54557" w:rsidRDefault="00AE3E5D" w:rsidP="00E635DF">
            <w:pPr>
              <w:keepNext/>
              <w:spacing w:before="20" w:after="20"/>
              <w:jc w:val="right"/>
              <w:rPr>
                <w:i/>
                <w:highlight w:val="red"/>
              </w:rPr>
            </w:pPr>
            <w:r w:rsidRPr="00AE3E5D">
              <w:rPr>
                <w:i/>
                <w:color w:val="000000"/>
                <w14:textFill>
                  <w14:solidFill>
                    <w14:srgbClr w14:val="000000">
                      <w14:alpha w14:val="100000"/>
                    </w14:srgbClr>
                  </w14:solidFill>
                </w14:textFill>
              </w:rPr>
              <w:t>|</w:t>
            </w:r>
          </w:p>
        </w:tc>
        <w:tc>
          <w:tcPr>
            <w:tcW w:w="1325" w:type="dxa"/>
            <w:vMerge w:val="restart"/>
            <w:tcBorders>
              <w:top w:val="single" w:sz="4" w:space="0" w:color="auto"/>
            </w:tcBorders>
            <w:shd w:val="solid" w:color="000000" w:fill="000000"/>
          </w:tcPr>
          <w:p w14:paraId="31707824" w14:textId="19DF9D38" w:rsidR="00E635DF" w:rsidRPr="00F54557" w:rsidRDefault="00AE3E5D" w:rsidP="00E635DF">
            <w:pPr>
              <w:keepNext/>
              <w:spacing w:before="20" w:after="20"/>
              <w:jc w:val="right"/>
              <w:rPr>
                <w:i/>
                <w:highlight w:val="red"/>
              </w:rPr>
            </w:pPr>
            <w:r w:rsidRPr="00AE3E5D">
              <w:rPr>
                <w:i/>
                <w:color w:val="000000"/>
                <w14:textFill>
                  <w14:solidFill>
                    <w14:srgbClr w14:val="000000">
                      <w14:alpha w14:val="100000"/>
                    </w14:srgbClr>
                  </w14:solidFill>
                </w14:textFill>
              </w:rPr>
              <w:t>|</w:t>
            </w:r>
          </w:p>
        </w:tc>
        <w:tc>
          <w:tcPr>
            <w:tcW w:w="1456" w:type="dxa"/>
            <w:tcBorders>
              <w:top w:val="single" w:sz="4" w:space="0" w:color="auto"/>
            </w:tcBorders>
          </w:tcPr>
          <w:p w14:paraId="42BDD651" w14:textId="783A2951" w:rsidR="00E635DF" w:rsidRPr="00F54557" w:rsidRDefault="00E635DF" w:rsidP="00E635DF">
            <w:pPr>
              <w:keepNext/>
              <w:spacing w:before="20" w:after="20"/>
              <w:jc w:val="right"/>
              <w:rPr>
                <w:i/>
              </w:rPr>
            </w:pPr>
            <w:r w:rsidRPr="00F54557">
              <w:rPr>
                <w:i/>
              </w:rPr>
              <w:t>14.044</w:t>
            </w:r>
          </w:p>
        </w:tc>
        <w:tc>
          <w:tcPr>
            <w:tcW w:w="1417" w:type="dxa"/>
            <w:vMerge w:val="restart"/>
            <w:tcBorders>
              <w:top w:val="single" w:sz="4" w:space="0" w:color="auto"/>
            </w:tcBorders>
          </w:tcPr>
          <w:p w14:paraId="07D3C815" w14:textId="6A4FF1D9" w:rsidR="00E635DF" w:rsidRPr="00F54557" w:rsidRDefault="00E635DF" w:rsidP="00E635DF">
            <w:pPr>
              <w:keepNext/>
              <w:spacing w:before="20" w:after="20"/>
              <w:jc w:val="right"/>
              <w:rPr>
                <w:i/>
              </w:rPr>
            </w:pPr>
            <w:r w:rsidRPr="00F54557">
              <w:rPr>
                <w:i/>
              </w:rPr>
              <w:t>0.080</w:t>
            </w:r>
          </w:p>
        </w:tc>
        <w:tc>
          <w:tcPr>
            <w:tcW w:w="1139" w:type="dxa"/>
            <w:vMerge w:val="restart"/>
            <w:tcBorders>
              <w:top w:val="nil"/>
            </w:tcBorders>
            <w:shd w:val="solid" w:color="000000" w:fill="000000"/>
          </w:tcPr>
          <w:p w14:paraId="62AF7B42" w14:textId="2CA717D9" w:rsidR="00E635DF" w:rsidRPr="00F54557" w:rsidRDefault="00AE3E5D" w:rsidP="00E635DF">
            <w:pPr>
              <w:keepNext/>
              <w:spacing w:before="20" w:after="20"/>
              <w:jc w:val="right"/>
              <w:rPr>
                <w:i/>
                <w:highlight w:val="red"/>
              </w:rPr>
            </w:pPr>
            <w:r w:rsidRPr="00AE3E5D">
              <w:rPr>
                <w:i/>
                <w:color w:val="000000"/>
                <w14:textFill>
                  <w14:solidFill>
                    <w14:srgbClr w14:val="000000">
                      <w14:alpha w14:val="100000"/>
                    </w14:srgbClr>
                  </w14:solidFill>
                </w14:textFill>
              </w:rPr>
              <w:t>|</w:t>
            </w:r>
          </w:p>
        </w:tc>
      </w:tr>
      <w:tr w:rsidR="00E635DF" w:rsidRPr="00325CE0" w14:paraId="4B52559D" w14:textId="77777777" w:rsidTr="00AE3E5D">
        <w:tc>
          <w:tcPr>
            <w:tcW w:w="2410" w:type="dxa"/>
          </w:tcPr>
          <w:p w14:paraId="24A2969A" w14:textId="77777777" w:rsidR="00E635DF" w:rsidRPr="00FF3024" w:rsidRDefault="00E635DF" w:rsidP="00E635DF">
            <w:pPr>
              <w:spacing w:before="20" w:after="20"/>
            </w:pPr>
            <w:r w:rsidRPr="00FF3024">
              <w:t>SOC (MDT)</w:t>
            </w:r>
          </w:p>
        </w:tc>
        <w:tc>
          <w:tcPr>
            <w:tcW w:w="1325" w:type="dxa"/>
            <w:tcBorders>
              <w:bottom w:val="single" w:sz="4" w:space="0" w:color="auto"/>
            </w:tcBorders>
          </w:tcPr>
          <w:p w14:paraId="0C786951" w14:textId="068E5166" w:rsidR="00E635DF" w:rsidRPr="00F54557" w:rsidRDefault="00E635DF" w:rsidP="00E635DF">
            <w:pPr>
              <w:spacing w:before="20" w:after="20"/>
              <w:jc w:val="right"/>
              <w:rPr>
                <w:i/>
              </w:rPr>
            </w:pPr>
            <w:r w:rsidRPr="00F54557">
              <w:rPr>
                <w:i/>
              </w:rPr>
              <w:t>$24,182.05</w:t>
            </w:r>
          </w:p>
        </w:tc>
        <w:tc>
          <w:tcPr>
            <w:tcW w:w="1325" w:type="dxa"/>
            <w:vMerge/>
            <w:tcBorders>
              <w:bottom w:val="single" w:sz="4" w:space="0" w:color="auto"/>
            </w:tcBorders>
            <w:shd w:val="solid" w:color="000000" w:fill="000000"/>
          </w:tcPr>
          <w:p w14:paraId="026CFF77" w14:textId="77777777" w:rsidR="00E635DF" w:rsidRPr="00F54557" w:rsidRDefault="00E635DF" w:rsidP="00E635DF">
            <w:pPr>
              <w:spacing w:before="20" w:after="20"/>
              <w:jc w:val="right"/>
              <w:rPr>
                <w:i/>
              </w:rPr>
            </w:pPr>
          </w:p>
        </w:tc>
        <w:tc>
          <w:tcPr>
            <w:tcW w:w="1456" w:type="dxa"/>
            <w:tcBorders>
              <w:bottom w:val="single" w:sz="4" w:space="0" w:color="auto"/>
            </w:tcBorders>
          </w:tcPr>
          <w:p w14:paraId="2A912873" w14:textId="1CD55AFF" w:rsidR="00E635DF" w:rsidRPr="00F54557" w:rsidRDefault="00E635DF" w:rsidP="00E635DF">
            <w:pPr>
              <w:spacing w:before="20" w:after="20"/>
              <w:jc w:val="right"/>
              <w:rPr>
                <w:i/>
              </w:rPr>
            </w:pPr>
            <w:r w:rsidRPr="00F54557">
              <w:rPr>
                <w:i/>
              </w:rPr>
              <w:t>13.964</w:t>
            </w:r>
          </w:p>
        </w:tc>
        <w:tc>
          <w:tcPr>
            <w:tcW w:w="1417" w:type="dxa"/>
            <w:vMerge/>
            <w:tcBorders>
              <w:bottom w:val="single" w:sz="4" w:space="0" w:color="auto"/>
            </w:tcBorders>
          </w:tcPr>
          <w:p w14:paraId="1DC9860E" w14:textId="77777777" w:rsidR="00E635DF" w:rsidRPr="00F54557" w:rsidRDefault="00E635DF" w:rsidP="00E635DF">
            <w:pPr>
              <w:spacing w:before="20" w:after="20"/>
              <w:jc w:val="right"/>
              <w:rPr>
                <w:i/>
              </w:rPr>
            </w:pPr>
          </w:p>
        </w:tc>
        <w:tc>
          <w:tcPr>
            <w:tcW w:w="1139" w:type="dxa"/>
            <w:vMerge/>
            <w:tcBorders>
              <w:bottom w:val="single" w:sz="4" w:space="0" w:color="auto"/>
            </w:tcBorders>
            <w:shd w:val="solid" w:color="000000" w:fill="000000"/>
          </w:tcPr>
          <w:p w14:paraId="572897BF" w14:textId="77777777" w:rsidR="00E635DF" w:rsidRPr="00F54557" w:rsidRDefault="00E635DF" w:rsidP="00E635DF">
            <w:pPr>
              <w:spacing w:before="20" w:after="20"/>
              <w:jc w:val="right"/>
              <w:rPr>
                <w:i/>
              </w:rPr>
            </w:pPr>
          </w:p>
        </w:tc>
      </w:tr>
      <w:tr w:rsidR="00E635DF" w:rsidRPr="00325CE0" w14:paraId="3302B775" w14:textId="77777777" w:rsidTr="006B0BCC">
        <w:tc>
          <w:tcPr>
            <w:tcW w:w="9072" w:type="dxa"/>
            <w:gridSpan w:val="6"/>
          </w:tcPr>
          <w:p w14:paraId="30AB3450" w14:textId="356CDC63" w:rsidR="00E635DF" w:rsidRPr="00F54557" w:rsidRDefault="00E635DF" w:rsidP="00E635DF">
            <w:pPr>
              <w:keepNext/>
              <w:spacing w:before="20" w:after="20"/>
            </w:pPr>
            <w:r w:rsidRPr="00FF3024">
              <w:t>Updated model with estimated average fee per service</w:t>
            </w:r>
            <w:r w:rsidRPr="00F54557">
              <w:t xml:space="preserve"> ($</w:t>
            </w:r>
            <w:r w:rsidR="000539B3" w:rsidRPr="000539B3">
              <w:rPr>
                <w:color w:val="000000"/>
                <w:spacing w:val="29"/>
                <w:shd w:val="solid" w:color="000000" w:fill="000000"/>
                <w:fitText w:val="544" w:id="-1417403135"/>
                <w14:textFill>
                  <w14:solidFill>
                    <w14:srgbClr w14:val="000000">
                      <w14:alpha w14:val="100000"/>
                    </w14:srgbClr>
                  </w14:solidFill>
                </w14:textFill>
              </w:rPr>
              <w:t>|||||||</w:t>
            </w:r>
            <w:r w:rsidR="000539B3" w:rsidRPr="000539B3">
              <w:rPr>
                <w:color w:val="000000"/>
                <w:spacing w:val="1"/>
                <w:shd w:val="solid" w:color="000000" w:fill="000000"/>
                <w:fitText w:val="544" w:id="-1417403135"/>
                <w14:textFill>
                  <w14:solidFill>
                    <w14:srgbClr w14:val="000000">
                      <w14:alpha w14:val="100000"/>
                    </w14:srgbClr>
                  </w14:solidFill>
                </w14:textFill>
              </w:rPr>
              <w:t>|</w:t>
            </w:r>
            <w:r w:rsidRPr="00F54557">
              <w:t>)</w:t>
            </w:r>
            <w:r w:rsidR="003B0F35" w:rsidRPr="00F54557">
              <w:t xml:space="preserve"> [</w:t>
            </w:r>
            <w:r w:rsidR="003B0F35" w:rsidRPr="00FF3024">
              <w:t>base case analysis]</w:t>
            </w:r>
            <w:r w:rsidRPr="00FF3024">
              <w:t xml:space="preserve"> </w:t>
            </w:r>
            <w:r w:rsidRPr="00FF3024">
              <w:rPr>
                <w:i/>
              </w:rPr>
              <w:t>(corrected</w:t>
            </w:r>
            <w:r w:rsidRPr="00F54557">
              <w:rPr>
                <w:i/>
              </w:rPr>
              <w:t>)</w:t>
            </w:r>
            <w:r w:rsidRPr="00F54557">
              <w:rPr>
                <w:i/>
                <w:vertAlign w:val="superscript"/>
              </w:rPr>
              <w:t>b</w:t>
            </w:r>
          </w:p>
        </w:tc>
      </w:tr>
      <w:tr w:rsidR="00506DA9" w:rsidRPr="00325CE0" w14:paraId="5685B8E4" w14:textId="77777777" w:rsidTr="00AE3E5D">
        <w:tc>
          <w:tcPr>
            <w:tcW w:w="2410" w:type="dxa"/>
          </w:tcPr>
          <w:p w14:paraId="0A44C78B" w14:textId="3F3D4791" w:rsidR="00506DA9" w:rsidRPr="00FF3024" w:rsidRDefault="00D50E5C" w:rsidP="00506DA9">
            <w:pPr>
              <w:keepNext/>
              <w:spacing w:before="20" w:after="20"/>
            </w:pPr>
            <w:r w:rsidRPr="00FF3024">
              <w:t>EndoPredict</w:t>
            </w:r>
            <w:r w:rsidR="005F1260" w:rsidRPr="00FF3024">
              <w:rPr>
                <w:vertAlign w:val="superscript"/>
              </w:rPr>
              <w:t>®</w:t>
            </w:r>
          </w:p>
        </w:tc>
        <w:tc>
          <w:tcPr>
            <w:tcW w:w="1325" w:type="dxa"/>
            <w:tcBorders>
              <w:top w:val="single" w:sz="4" w:space="0" w:color="auto"/>
            </w:tcBorders>
            <w:shd w:val="solid" w:color="000000" w:fill="000000"/>
          </w:tcPr>
          <w:p w14:paraId="0BA7D047" w14:textId="29AE2CB5" w:rsidR="00506DA9" w:rsidRPr="00F54557" w:rsidRDefault="00AE3E5D" w:rsidP="00506DA9">
            <w:pPr>
              <w:keepNext/>
              <w:spacing w:before="20" w:after="20"/>
              <w:jc w:val="right"/>
              <w:rPr>
                <w:highlight w:val="red"/>
              </w:rPr>
            </w:pPr>
            <w:r w:rsidRPr="00AE3E5D">
              <w:rPr>
                <w:i/>
                <w:color w:val="000000"/>
                <w14:textFill>
                  <w14:solidFill>
                    <w14:srgbClr w14:val="000000">
                      <w14:alpha w14:val="100000"/>
                    </w14:srgbClr>
                  </w14:solidFill>
                </w14:textFill>
              </w:rPr>
              <w:t>|</w:t>
            </w:r>
          </w:p>
        </w:tc>
        <w:tc>
          <w:tcPr>
            <w:tcW w:w="1325" w:type="dxa"/>
            <w:vMerge w:val="restart"/>
            <w:tcBorders>
              <w:top w:val="single" w:sz="4" w:space="0" w:color="auto"/>
            </w:tcBorders>
            <w:shd w:val="solid" w:color="000000" w:fill="000000"/>
          </w:tcPr>
          <w:p w14:paraId="3FEDF0C9" w14:textId="46CA5420" w:rsidR="00506DA9" w:rsidRPr="00F54557" w:rsidRDefault="00AE3E5D" w:rsidP="00506DA9">
            <w:pPr>
              <w:keepNext/>
              <w:spacing w:before="20" w:after="20"/>
              <w:jc w:val="right"/>
              <w:rPr>
                <w:highlight w:val="red"/>
              </w:rPr>
            </w:pPr>
            <w:r w:rsidRPr="00AE3E5D">
              <w:rPr>
                <w:i/>
                <w:color w:val="000000"/>
                <w14:textFill>
                  <w14:solidFill>
                    <w14:srgbClr w14:val="000000">
                      <w14:alpha w14:val="100000"/>
                    </w14:srgbClr>
                  </w14:solidFill>
                </w14:textFill>
              </w:rPr>
              <w:t>|</w:t>
            </w:r>
          </w:p>
        </w:tc>
        <w:tc>
          <w:tcPr>
            <w:tcW w:w="1456" w:type="dxa"/>
            <w:tcBorders>
              <w:top w:val="single" w:sz="4" w:space="0" w:color="auto"/>
            </w:tcBorders>
          </w:tcPr>
          <w:p w14:paraId="263B2351" w14:textId="2CB7BA87" w:rsidR="00506DA9" w:rsidRPr="00F54557" w:rsidRDefault="00506DA9" w:rsidP="00506DA9">
            <w:pPr>
              <w:keepNext/>
              <w:spacing w:before="20" w:after="20"/>
              <w:jc w:val="right"/>
            </w:pPr>
            <w:r w:rsidRPr="00F54557">
              <w:rPr>
                <w:i/>
              </w:rPr>
              <w:t>14.044</w:t>
            </w:r>
          </w:p>
        </w:tc>
        <w:tc>
          <w:tcPr>
            <w:tcW w:w="1417" w:type="dxa"/>
            <w:vMerge w:val="restart"/>
            <w:tcBorders>
              <w:top w:val="single" w:sz="4" w:space="0" w:color="auto"/>
            </w:tcBorders>
          </w:tcPr>
          <w:p w14:paraId="45C69B2A" w14:textId="46421BDA" w:rsidR="00506DA9" w:rsidRPr="00F54557" w:rsidRDefault="00506DA9" w:rsidP="00506DA9">
            <w:pPr>
              <w:keepNext/>
              <w:spacing w:before="20" w:after="20"/>
              <w:jc w:val="right"/>
            </w:pPr>
            <w:r w:rsidRPr="00F54557">
              <w:rPr>
                <w:i/>
              </w:rPr>
              <w:t>0.08</w:t>
            </w:r>
          </w:p>
        </w:tc>
        <w:tc>
          <w:tcPr>
            <w:tcW w:w="1139" w:type="dxa"/>
            <w:vMerge w:val="restart"/>
            <w:tcBorders>
              <w:top w:val="nil"/>
            </w:tcBorders>
            <w:shd w:val="solid" w:color="000000" w:fill="000000"/>
          </w:tcPr>
          <w:p w14:paraId="6F3B71B2" w14:textId="56601B8F" w:rsidR="00506DA9" w:rsidRPr="00F54557" w:rsidRDefault="00AE3E5D" w:rsidP="00506DA9">
            <w:pPr>
              <w:keepNext/>
              <w:spacing w:before="20" w:after="20"/>
              <w:jc w:val="right"/>
              <w:rPr>
                <w:highlight w:val="red"/>
              </w:rPr>
            </w:pPr>
            <w:r w:rsidRPr="00AE3E5D">
              <w:rPr>
                <w:i/>
                <w:color w:val="000000"/>
                <w14:textFill>
                  <w14:solidFill>
                    <w14:srgbClr w14:val="000000">
                      <w14:alpha w14:val="100000"/>
                    </w14:srgbClr>
                  </w14:solidFill>
                </w14:textFill>
              </w:rPr>
              <w:t>|</w:t>
            </w:r>
          </w:p>
        </w:tc>
      </w:tr>
      <w:tr w:rsidR="00506DA9" w:rsidRPr="00325CE0" w14:paraId="5AA1A6ED" w14:textId="77777777" w:rsidTr="00AE3E5D">
        <w:tc>
          <w:tcPr>
            <w:tcW w:w="2410" w:type="dxa"/>
          </w:tcPr>
          <w:p w14:paraId="6312ED26" w14:textId="77777777" w:rsidR="00506DA9" w:rsidRPr="00FF3024" w:rsidRDefault="00506DA9" w:rsidP="00506DA9">
            <w:pPr>
              <w:spacing w:before="20" w:after="20"/>
            </w:pPr>
            <w:r w:rsidRPr="00FF3024">
              <w:t>SOC (MDT)</w:t>
            </w:r>
          </w:p>
        </w:tc>
        <w:tc>
          <w:tcPr>
            <w:tcW w:w="1325" w:type="dxa"/>
          </w:tcPr>
          <w:p w14:paraId="6820C157" w14:textId="56C1AABF" w:rsidR="00506DA9" w:rsidRPr="00F54557" w:rsidRDefault="00506DA9" w:rsidP="00506DA9">
            <w:pPr>
              <w:spacing w:before="20" w:after="20"/>
              <w:jc w:val="right"/>
            </w:pPr>
            <w:r w:rsidRPr="00F54557">
              <w:rPr>
                <w:i/>
              </w:rPr>
              <w:t>$24,182.05</w:t>
            </w:r>
          </w:p>
        </w:tc>
        <w:tc>
          <w:tcPr>
            <w:tcW w:w="1325" w:type="dxa"/>
            <w:vMerge/>
            <w:tcBorders>
              <w:bottom w:val="single" w:sz="4" w:space="0" w:color="auto"/>
            </w:tcBorders>
            <w:shd w:val="solid" w:color="000000" w:fill="000000"/>
          </w:tcPr>
          <w:p w14:paraId="4BA60E15" w14:textId="77777777" w:rsidR="00506DA9" w:rsidRPr="00F54557" w:rsidRDefault="00506DA9" w:rsidP="00506DA9">
            <w:pPr>
              <w:spacing w:before="20" w:after="20"/>
              <w:jc w:val="right"/>
            </w:pPr>
          </w:p>
        </w:tc>
        <w:tc>
          <w:tcPr>
            <w:tcW w:w="1456" w:type="dxa"/>
            <w:tcBorders>
              <w:bottom w:val="single" w:sz="4" w:space="0" w:color="auto"/>
            </w:tcBorders>
          </w:tcPr>
          <w:p w14:paraId="3C770F8D" w14:textId="639BD658" w:rsidR="00506DA9" w:rsidRPr="00F54557" w:rsidRDefault="00506DA9" w:rsidP="00506DA9">
            <w:pPr>
              <w:spacing w:before="20" w:after="20"/>
              <w:jc w:val="right"/>
            </w:pPr>
            <w:r w:rsidRPr="00F54557">
              <w:rPr>
                <w:i/>
              </w:rPr>
              <w:t>13.964</w:t>
            </w:r>
          </w:p>
        </w:tc>
        <w:tc>
          <w:tcPr>
            <w:tcW w:w="1417" w:type="dxa"/>
            <w:vMerge/>
            <w:tcBorders>
              <w:bottom w:val="single" w:sz="4" w:space="0" w:color="auto"/>
            </w:tcBorders>
          </w:tcPr>
          <w:p w14:paraId="3E9C587C" w14:textId="77777777" w:rsidR="00506DA9" w:rsidRPr="00F54557" w:rsidRDefault="00506DA9" w:rsidP="00506DA9">
            <w:pPr>
              <w:spacing w:before="20" w:after="20"/>
              <w:jc w:val="right"/>
            </w:pPr>
          </w:p>
        </w:tc>
        <w:tc>
          <w:tcPr>
            <w:tcW w:w="1139" w:type="dxa"/>
            <w:vMerge/>
            <w:tcBorders>
              <w:bottom w:val="single" w:sz="4" w:space="0" w:color="auto"/>
            </w:tcBorders>
            <w:shd w:val="solid" w:color="000000" w:fill="000000"/>
          </w:tcPr>
          <w:p w14:paraId="0EFB52BC" w14:textId="77777777" w:rsidR="00506DA9" w:rsidRPr="00F54557" w:rsidRDefault="00506DA9" w:rsidP="00506DA9">
            <w:pPr>
              <w:spacing w:before="20" w:after="20"/>
              <w:jc w:val="right"/>
            </w:pPr>
          </w:p>
        </w:tc>
      </w:tr>
    </w:tbl>
    <w:p w14:paraId="09DF8158" w14:textId="28649CC9" w:rsidR="002056CD" w:rsidRPr="00C227CD" w:rsidRDefault="002056CD" w:rsidP="002056CD">
      <w:pPr>
        <w:keepLines/>
        <w:spacing w:after="360" w:line="240" w:lineRule="auto"/>
        <w:contextualSpacing/>
        <w:rPr>
          <w:rFonts w:ascii="Arial Narrow" w:eastAsia="Times New Roman" w:hAnsi="Arial Narrow" w:cs="Times New Roman"/>
          <w:sz w:val="18"/>
          <w:szCs w:val="18"/>
          <w:lang w:eastAsia="en-AU"/>
        </w:rPr>
      </w:pPr>
      <w:r w:rsidRPr="00C227CD">
        <w:rPr>
          <w:rFonts w:ascii="Arial Narrow" w:eastAsia="Times New Roman" w:hAnsi="Arial Narrow" w:cs="Times New Roman"/>
          <w:sz w:val="18"/>
          <w:szCs w:val="18"/>
          <w:lang w:eastAsia="en-AU"/>
        </w:rPr>
        <w:t xml:space="preserve">Note: Text in </w:t>
      </w:r>
      <w:r w:rsidRPr="00C227CD">
        <w:rPr>
          <w:rFonts w:ascii="Arial Narrow" w:eastAsia="Times New Roman" w:hAnsi="Arial Narrow" w:cs="Times New Roman"/>
          <w:i/>
          <w:sz w:val="18"/>
          <w:szCs w:val="18"/>
          <w:lang w:eastAsia="en-AU"/>
        </w:rPr>
        <w:t>italics</w:t>
      </w:r>
      <w:r w:rsidRPr="00C227CD">
        <w:rPr>
          <w:rFonts w:ascii="Arial Narrow" w:eastAsia="Times New Roman" w:hAnsi="Arial Narrow" w:cs="Times New Roman"/>
          <w:sz w:val="18"/>
          <w:szCs w:val="18"/>
          <w:lang w:eastAsia="en-AU"/>
        </w:rPr>
        <w:t xml:space="preserve"> </w:t>
      </w:r>
      <w:r w:rsidR="0002370B">
        <w:rPr>
          <w:rFonts w:ascii="Arial Narrow" w:eastAsia="Times New Roman" w:hAnsi="Arial Narrow" w:cs="Times New Roman"/>
          <w:sz w:val="18"/>
          <w:szCs w:val="18"/>
          <w:lang w:eastAsia="en-AU"/>
        </w:rPr>
        <w:t>reflect modifications made</w:t>
      </w:r>
      <w:r w:rsidRPr="00C227CD">
        <w:rPr>
          <w:rFonts w:ascii="Arial Narrow" w:eastAsia="Times New Roman" w:hAnsi="Arial Narrow" w:cs="Times New Roman"/>
          <w:sz w:val="18"/>
          <w:szCs w:val="18"/>
          <w:lang w:eastAsia="en-AU"/>
        </w:rPr>
        <w:t xml:space="preserve"> during the evaluation. See specific notes for these additions.</w:t>
      </w:r>
    </w:p>
    <w:p w14:paraId="6576FBF2" w14:textId="77777777" w:rsidR="007916BD" w:rsidRPr="007031F8" w:rsidRDefault="007916BD" w:rsidP="007916BD">
      <w:pPr>
        <w:keepLines/>
        <w:spacing w:after="360" w:line="240" w:lineRule="auto"/>
        <w:contextualSpacing/>
        <w:rPr>
          <w:rFonts w:ascii="Arial Narrow" w:eastAsia="Times New Roman" w:hAnsi="Arial Narrow" w:cs="Times New Roman"/>
          <w:color w:val="000000"/>
          <w:sz w:val="18"/>
          <w:szCs w:val="18"/>
          <w:lang w:eastAsia="en-AU"/>
        </w:rPr>
      </w:pPr>
      <w:r w:rsidRPr="007031F8">
        <w:rPr>
          <w:rFonts w:ascii="Arial Narrow" w:eastAsia="Times New Roman" w:hAnsi="Arial Narrow" w:cs="Times New Roman"/>
          <w:color w:val="000000"/>
          <w:sz w:val="18"/>
          <w:szCs w:val="18"/>
          <w:vertAlign w:val="superscript"/>
          <w:lang w:eastAsia="en-AU"/>
        </w:rPr>
        <w:t>a</w:t>
      </w:r>
      <w:r w:rsidRPr="007031F8">
        <w:rPr>
          <w:rFonts w:ascii="Arial Narrow" w:eastAsia="Times New Roman" w:hAnsi="Arial Narrow" w:cs="Times New Roman"/>
          <w:color w:val="000000"/>
          <w:sz w:val="18"/>
          <w:szCs w:val="18"/>
          <w:lang w:eastAsia="en-AU"/>
        </w:rPr>
        <w:t xml:space="preserve"> </w:t>
      </w:r>
      <w:r w:rsidRPr="001246A4">
        <w:rPr>
          <w:rFonts w:ascii="Arial Narrow" w:eastAsia="Times New Roman" w:hAnsi="Arial Narrow" w:cs="Times New Roman"/>
          <w:color w:val="000000"/>
          <w:sz w:val="18"/>
          <w:szCs w:val="18"/>
          <w:lang w:eastAsia="en-AU"/>
        </w:rPr>
        <w:t>This step was added during the evaluation to allow the effect on the ICER due the updated PROSPER data to be distinguished from the other model updates.</w:t>
      </w:r>
    </w:p>
    <w:p w14:paraId="20AC5DC4" w14:textId="77777777" w:rsidR="007916BD" w:rsidRPr="001246A4" w:rsidRDefault="007916BD" w:rsidP="007916BD">
      <w:pPr>
        <w:keepLines/>
        <w:spacing w:after="0" w:line="240" w:lineRule="auto"/>
        <w:rPr>
          <w:rFonts w:ascii="Arial Narrow" w:eastAsia="Times New Roman" w:hAnsi="Arial Narrow" w:cs="Times New Roman"/>
          <w:color w:val="000000"/>
          <w:sz w:val="18"/>
          <w:szCs w:val="18"/>
          <w:lang w:eastAsia="en-AU"/>
        </w:rPr>
      </w:pPr>
      <w:r w:rsidRPr="007031F8">
        <w:rPr>
          <w:rFonts w:ascii="Arial Narrow" w:eastAsia="Times New Roman" w:hAnsi="Arial Narrow" w:cs="Times New Roman"/>
          <w:color w:val="000000"/>
          <w:sz w:val="18"/>
          <w:szCs w:val="18"/>
          <w:vertAlign w:val="superscript"/>
          <w:lang w:eastAsia="en-AU"/>
        </w:rPr>
        <w:t>b</w:t>
      </w:r>
      <w:r w:rsidRPr="007031F8">
        <w:rPr>
          <w:rFonts w:ascii="Arial Narrow" w:eastAsia="Times New Roman" w:hAnsi="Arial Narrow" w:cs="Times New Roman"/>
          <w:color w:val="000000"/>
          <w:sz w:val="18"/>
          <w:szCs w:val="18"/>
          <w:lang w:eastAsia="en-AU"/>
        </w:rPr>
        <w:t xml:space="preserve"> </w:t>
      </w:r>
      <w:proofErr w:type="gramStart"/>
      <w:r w:rsidRPr="001246A4">
        <w:rPr>
          <w:rFonts w:ascii="Arial Narrow" w:eastAsia="Times New Roman" w:hAnsi="Arial Narrow" w:cs="Times New Roman"/>
          <w:color w:val="000000"/>
          <w:sz w:val="18"/>
          <w:szCs w:val="18"/>
          <w:lang w:eastAsia="en-AU"/>
        </w:rPr>
        <w:t>The</w:t>
      </w:r>
      <w:proofErr w:type="gramEnd"/>
      <w:r w:rsidRPr="001246A4">
        <w:rPr>
          <w:rFonts w:ascii="Arial Narrow" w:eastAsia="Times New Roman" w:hAnsi="Arial Narrow" w:cs="Times New Roman"/>
          <w:color w:val="000000"/>
          <w:sz w:val="18"/>
          <w:szCs w:val="18"/>
          <w:lang w:eastAsia="en-AU"/>
        </w:rPr>
        <w:t xml:space="preserve"> analysis was corrected during the evaluation to account for an error in the updated life table data where the age of 2 was not included in the index column (and so all subsequent rows were in error).</w:t>
      </w:r>
    </w:p>
    <w:p w14:paraId="03363298" w14:textId="77777777" w:rsidR="007916BD" w:rsidRPr="00C227CD" w:rsidRDefault="007916BD" w:rsidP="007916BD">
      <w:pPr>
        <w:keepLines/>
        <w:spacing w:after="360" w:line="240" w:lineRule="auto"/>
        <w:contextualSpacing/>
        <w:rPr>
          <w:rFonts w:ascii="Arial Narrow" w:eastAsia="Times New Roman" w:hAnsi="Arial Narrow" w:cs="Times New Roman"/>
          <w:color w:val="000000"/>
          <w:sz w:val="18"/>
          <w:szCs w:val="18"/>
          <w:lang w:eastAsia="en-AU"/>
        </w:rPr>
      </w:pPr>
      <w:r w:rsidRPr="00C227CD">
        <w:rPr>
          <w:rFonts w:ascii="Arial Narrow" w:eastAsia="Times New Roman" w:hAnsi="Arial Narrow" w:cs="Times New Roman"/>
          <w:color w:val="000000"/>
          <w:sz w:val="18"/>
          <w:szCs w:val="18"/>
          <w:lang w:eastAsia="en-AU"/>
        </w:rPr>
        <w:t>ICER = incremental cost-effectiveness ratio; MDT = multidisciplinary team; QALY = quality-adjusted life year; SOC = standard of care.</w:t>
      </w:r>
    </w:p>
    <w:p w14:paraId="5E71BF9E" w14:textId="62E92A63" w:rsidR="002056CD" w:rsidRPr="00C227CD" w:rsidRDefault="002056CD" w:rsidP="007916BD">
      <w:pPr>
        <w:keepLines/>
        <w:spacing w:after="240" w:line="240" w:lineRule="auto"/>
        <w:rPr>
          <w:rFonts w:ascii="Arial Narrow" w:eastAsia="Times New Roman" w:hAnsi="Arial Narrow" w:cs="Times New Roman"/>
          <w:color w:val="000000"/>
          <w:sz w:val="18"/>
          <w:szCs w:val="18"/>
          <w:lang w:eastAsia="en-AU"/>
        </w:rPr>
      </w:pPr>
      <w:r w:rsidRPr="00C227CD">
        <w:rPr>
          <w:rFonts w:ascii="Arial Narrow" w:eastAsia="Times New Roman" w:hAnsi="Arial Narrow" w:cs="Times New Roman"/>
          <w:color w:val="000000"/>
          <w:sz w:val="18"/>
          <w:szCs w:val="18"/>
          <w:lang w:eastAsia="en-AU"/>
        </w:rPr>
        <w:t xml:space="preserve">Source: Adapted during the evaluation from Table 7, p24 of the </w:t>
      </w:r>
      <w:r w:rsidR="00D0661C">
        <w:rPr>
          <w:rFonts w:ascii="Arial Narrow" w:eastAsia="Times New Roman" w:hAnsi="Arial Narrow" w:cs="Times New Roman"/>
          <w:color w:val="000000"/>
          <w:sz w:val="18"/>
          <w:szCs w:val="18"/>
          <w:lang w:eastAsia="en-AU"/>
        </w:rPr>
        <w:t xml:space="preserve">1408.1 </w:t>
      </w:r>
      <w:r w:rsidR="00815375">
        <w:rPr>
          <w:rFonts w:ascii="Arial Narrow" w:eastAsia="Times New Roman" w:hAnsi="Arial Narrow" w:cs="Times New Roman"/>
          <w:color w:val="000000"/>
          <w:sz w:val="18"/>
          <w:szCs w:val="18"/>
          <w:lang w:eastAsia="en-AU"/>
        </w:rPr>
        <w:t>re-application</w:t>
      </w:r>
      <w:r w:rsidRPr="00C227CD">
        <w:rPr>
          <w:rFonts w:ascii="Arial Narrow" w:eastAsia="Times New Roman" w:hAnsi="Arial Narrow" w:cs="Times New Roman"/>
          <w:color w:val="000000"/>
          <w:sz w:val="18"/>
          <w:szCs w:val="18"/>
          <w:lang w:eastAsia="en-AU"/>
        </w:rPr>
        <w:t xml:space="preserve">. </w:t>
      </w:r>
    </w:p>
    <w:p w14:paraId="7915F692" w14:textId="3DC0C800" w:rsidR="002056CD" w:rsidRPr="001246A4" w:rsidRDefault="002056CD" w:rsidP="007916BD">
      <w:pPr>
        <w:spacing w:before="240"/>
        <w:rPr>
          <w:rFonts w:ascii="Franklin Gothic Book" w:hAnsi="Franklin Gothic Book"/>
          <w:iCs/>
        </w:rPr>
      </w:pPr>
      <w:r w:rsidRPr="001246A4">
        <w:rPr>
          <w:rFonts w:ascii="Franklin Gothic Book" w:hAnsi="Franklin Gothic Book"/>
          <w:iCs/>
        </w:rPr>
        <w:t xml:space="preserve">The key drivers of the </w:t>
      </w:r>
      <w:r w:rsidR="006A2C29">
        <w:rPr>
          <w:rFonts w:ascii="Franklin Gothic Book" w:hAnsi="Franklin Gothic Book"/>
          <w:iCs/>
        </w:rPr>
        <w:t>c</w:t>
      </w:r>
      <w:r w:rsidR="007031F8">
        <w:rPr>
          <w:rFonts w:ascii="Franklin Gothic Book" w:hAnsi="Franklin Gothic Book"/>
          <w:iCs/>
        </w:rPr>
        <w:t xml:space="preserve">ommentary’s corrected </w:t>
      </w:r>
      <w:r w:rsidRPr="001246A4">
        <w:rPr>
          <w:rFonts w:ascii="Franklin Gothic Book" w:hAnsi="Franklin Gothic Book"/>
          <w:iCs/>
        </w:rPr>
        <w:t xml:space="preserve">analysis are presented in </w:t>
      </w:r>
      <w:r w:rsidRPr="001246A4">
        <w:rPr>
          <w:rFonts w:ascii="Franklin Gothic Book" w:hAnsi="Franklin Gothic Book"/>
          <w:iCs/>
        </w:rPr>
        <w:fldChar w:fldCharType="begin"/>
      </w:r>
      <w:r w:rsidRPr="001246A4">
        <w:rPr>
          <w:rFonts w:ascii="Franklin Gothic Book" w:hAnsi="Franklin Gothic Book"/>
          <w:iCs/>
        </w:rPr>
        <w:instrText xml:space="preserve"> REF _Ref100130356 \h  \* MERGEFORMAT </w:instrText>
      </w:r>
      <w:r w:rsidRPr="001246A4">
        <w:rPr>
          <w:rFonts w:ascii="Franklin Gothic Book" w:hAnsi="Franklin Gothic Book"/>
          <w:iCs/>
        </w:rPr>
      </w:r>
      <w:r w:rsidRPr="001246A4">
        <w:rPr>
          <w:rFonts w:ascii="Franklin Gothic Book" w:hAnsi="Franklin Gothic Book"/>
          <w:iCs/>
        </w:rPr>
        <w:fldChar w:fldCharType="separate"/>
      </w:r>
      <w:r w:rsidR="00943826" w:rsidRPr="00943826">
        <w:rPr>
          <w:rFonts w:ascii="Franklin Gothic Book" w:hAnsi="Franklin Gothic Book"/>
          <w:iCs/>
        </w:rPr>
        <w:t xml:space="preserve">Table </w:t>
      </w:r>
      <w:r w:rsidR="00943826" w:rsidRPr="00943826">
        <w:rPr>
          <w:rFonts w:ascii="Franklin Gothic Book" w:hAnsi="Franklin Gothic Book"/>
          <w:iCs/>
          <w:noProof/>
        </w:rPr>
        <w:t>14</w:t>
      </w:r>
      <w:r w:rsidRPr="001246A4">
        <w:rPr>
          <w:rFonts w:ascii="Franklin Gothic Book" w:hAnsi="Franklin Gothic Book"/>
          <w:iCs/>
        </w:rPr>
        <w:fldChar w:fldCharType="end"/>
      </w:r>
      <w:r w:rsidRPr="001246A4">
        <w:rPr>
          <w:rFonts w:ascii="Franklin Gothic Book" w:hAnsi="Franklin Gothic Book"/>
          <w:iCs/>
        </w:rPr>
        <w:t>.</w:t>
      </w:r>
    </w:p>
    <w:p w14:paraId="5AA131AE" w14:textId="4F6D3708" w:rsidR="002056CD" w:rsidRPr="00C227CD" w:rsidRDefault="002056CD" w:rsidP="002056CD">
      <w:pPr>
        <w:keepNext/>
        <w:spacing w:before="360" w:after="120" w:line="240" w:lineRule="auto"/>
        <w:rPr>
          <w:rFonts w:ascii="Arial Narrow" w:eastAsia="Times New Roman" w:hAnsi="Arial Narrow" w:cs="Times New Roman"/>
          <w:b/>
          <w:bCs/>
          <w:sz w:val="20"/>
          <w:szCs w:val="20"/>
        </w:rPr>
      </w:pPr>
      <w:bookmarkStart w:id="61" w:name="_Ref100130356"/>
      <w:r w:rsidRPr="00C227CD">
        <w:rPr>
          <w:rFonts w:ascii="Arial Narrow" w:eastAsia="Times New Roman" w:hAnsi="Arial Narrow" w:cs="Times New Roman"/>
          <w:b/>
          <w:bCs/>
          <w:sz w:val="20"/>
          <w:szCs w:val="20"/>
        </w:rPr>
        <w:lastRenderedPageBreak/>
        <w:t xml:space="preserve">Table </w:t>
      </w:r>
      <w:r w:rsidRPr="00C227CD">
        <w:rPr>
          <w:rFonts w:ascii="Arial Narrow" w:eastAsia="Times New Roman" w:hAnsi="Arial Narrow" w:cs="Times New Roman"/>
          <w:b/>
          <w:bCs/>
          <w:sz w:val="20"/>
          <w:szCs w:val="20"/>
        </w:rPr>
        <w:fldChar w:fldCharType="begin"/>
      </w:r>
      <w:r w:rsidRPr="00C227CD">
        <w:rPr>
          <w:rFonts w:ascii="Arial Narrow" w:eastAsia="Times New Roman" w:hAnsi="Arial Narrow" w:cs="Times New Roman"/>
          <w:b/>
          <w:bCs/>
          <w:sz w:val="20"/>
          <w:szCs w:val="20"/>
        </w:rPr>
        <w:instrText xml:space="preserve"> SEQ Table \* ARABIC </w:instrText>
      </w:r>
      <w:r w:rsidRPr="00C227CD">
        <w:rPr>
          <w:rFonts w:ascii="Arial Narrow" w:eastAsia="Times New Roman" w:hAnsi="Arial Narrow" w:cs="Times New Roman"/>
          <w:b/>
          <w:bCs/>
          <w:sz w:val="20"/>
          <w:szCs w:val="20"/>
        </w:rPr>
        <w:fldChar w:fldCharType="separate"/>
      </w:r>
      <w:r w:rsidR="00943826">
        <w:rPr>
          <w:rFonts w:ascii="Arial Narrow" w:eastAsia="Times New Roman" w:hAnsi="Arial Narrow" w:cs="Times New Roman"/>
          <w:b/>
          <w:bCs/>
          <w:noProof/>
          <w:sz w:val="20"/>
          <w:szCs w:val="20"/>
        </w:rPr>
        <w:t>14</w:t>
      </w:r>
      <w:r w:rsidRPr="00C227CD">
        <w:rPr>
          <w:rFonts w:ascii="Arial Narrow" w:eastAsia="Times New Roman" w:hAnsi="Arial Narrow" w:cs="Times New Roman"/>
          <w:b/>
          <w:bCs/>
          <w:noProof/>
          <w:sz w:val="20"/>
          <w:szCs w:val="20"/>
        </w:rPr>
        <w:fldChar w:fldCharType="end"/>
      </w:r>
      <w:bookmarkEnd w:id="61"/>
      <w:r w:rsidRPr="00C227CD">
        <w:rPr>
          <w:rFonts w:ascii="Arial Narrow" w:eastAsia="Times New Roman" w:hAnsi="Arial Narrow" w:cs="Times New Roman"/>
          <w:b/>
          <w:bCs/>
          <w:sz w:val="20"/>
          <w:szCs w:val="20"/>
        </w:rPr>
        <w:t>: Key drivers of the model</w:t>
      </w:r>
    </w:p>
    <w:tbl>
      <w:tblPr>
        <w:tblStyle w:val="TableGrid10"/>
        <w:tblW w:w="5000" w:type="pct"/>
        <w:tblLayout w:type="fixed"/>
        <w:tblCellMar>
          <w:left w:w="28" w:type="dxa"/>
          <w:right w:w="28" w:type="dxa"/>
        </w:tblCellMar>
        <w:tblLook w:val="04A0" w:firstRow="1" w:lastRow="0" w:firstColumn="1" w:lastColumn="0" w:noHBand="0" w:noVBand="1"/>
      </w:tblPr>
      <w:tblGrid>
        <w:gridCol w:w="1838"/>
        <w:gridCol w:w="4962"/>
        <w:gridCol w:w="2216"/>
      </w:tblGrid>
      <w:tr w:rsidR="002056CD" w:rsidRPr="00C227CD" w14:paraId="22BD1DBB" w14:textId="77777777" w:rsidTr="006B0BCC">
        <w:trPr>
          <w:cnfStyle w:val="100000000000" w:firstRow="1" w:lastRow="0" w:firstColumn="0" w:lastColumn="0" w:oddVBand="0" w:evenVBand="0" w:oddHBand="0" w:evenHBand="0" w:firstRowFirstColumn="0" w:firstRowLastColumn="0" w:lastRowFirstColumn="0" w:lastRowLastColumn="0"/>
          <w:cantSplit/>
          <w:tblHeader/>
        </w:trPr>
        <w:tc>
          <w:tcPr>
            <w:tcW w:w="1019" w:type="pct"/>
            <w:shd w:val="clear" w:color="auto" w:fill="auto"/>
            <w:vAlign w:val="center"/>
          </w:tcPr>
          <w:p w14:paraId="74FBB6C0" w14:textId="77777777" w:rsidR="002056CD" w:rsidRPr="00C227CD" w:rsidRDefault="002056CD" w:rsidP="006B0BCC">
            <w:pPr>
              <w:keepNext/>
              <w:spacing w:after="0"/>
              <w:jc w:val="center"/>
              <w:rPr>
                <w:rFonts w:ascii="Arial Narrow" w:eastAsiaTheme="majorEastAsia" w:hAnsi="Arial Narrow"/>
                <w:b/>
                <w:szCs w:val="24"/>
                <w:lang w:val="en-US"/>
              </w:rPr>
            </w:pPr>
            <w:r w:rsidRPr="00C227CD">
              <w:rPr>
                <w:rFonts w:ascii="Arial Narrow" w:eastAsiaTheme="majorEastAsia" w:hAnsi="Arial Narrow"/>
                <w:b/>
                <w:szCs w:val="24"/>
                <w:lang w:val="en-US"/>
              </w:rPr>
              <w:t>Description</w:t>
            </w:r>
          </w:p>
        </w:tc>
        <w:tc>
          <w:tcPr>
            <w:tcW w:w="2752" w:type="pct"/>
            <w:shd w:val="clear" w:color="auto" w:fill="auto"/>
            <w:vAlign w:val="center"/>
          </w:tcPr>
          <w:p w14:paraId="779EDC15" w14:textId="77777777" w:rsidR="002056CD" w:rsidRPr="00C227CD" w:rsidRDefault="002056CD" w:rsidP="006B0BCC">
            <w:pPr>
              <w:keepNext/>
              <w:spacing w:after="0"/>
              <w:jc w:val="center"/>
              <w:rPr>
                <w:rFonts w:ascii="Arial Narrow" w:eastAsiaTheme="majorEastAsia" w:hAnsi="Arial Narrow"/>
                <w:b/>
                <w:szCs w:val="24"/>
                <w:lang w:val="en-US"/>
              </w:rPr>
            </w:pPr>
            <w:r w:rsidRPr="00C227CD">
              <w:rPr>
                <w:rFonts w:ascii="Arial Narrow" w:eastAsiaTheme="majorEastAsia" w:hAnsi="Arial Narrow"/>
                <w:b/>
                <w:szCs w:val="24"/>
                <w:lang w:val="en-US"/>
              </w:rPr>
              <w:t>Method/Value</w:t>
            </w:r>
          </w:p>
        </w:tc>
        <w:tc>
          <w:tcPr>
            <w:tcW w:w="1229" w:type="pct"/>
            <w:shd w:val="clear" w:color="auto" w:fill="auto"/>
            <w:vAlign w:val="center"/>
          </w:tcPr>
          <w:p w14:paraId="246E070B" w14:textId="77777777" w:rsidR="002056CD" w:rsidRPr="00C227CD" w:rsidRDefault="002056CD" w:rsidP="006B0BCC">
            <w:pPr>
              <w:keepNext/>
              <w:spacing w:after="0"/>
              <w:jc w:val="center"/>
              <w:rPr>
                <w:rFonts w:ascii="Arial Narrow" w:eastAsiaTheme="majorEastAsia" w:hAnsi="Arial Narrow"/>
                <w:b/>
                <w:szCs w:val="24"/>
                <w:lang w:val="en-US"/>
              </w:rPr>
            </w:pPr>
            <w:r w:rsidRPr="00C227CD">
              <w:rPr>
                <w:rFonts w:ascii="Arial Narrow" w:eastAsiaTheme="majorEastAsia" w:hAnsi="Arial Narrow"/>
                <w:b/>
                <w:szCs w:val="24"/>
                <w:lang w:val="en-US"/>
              </w:rPr>
              <w:t>Impact</w:t>
            </w:r>
          </w:p>
          <w:p w14:paraId="2C10FCC0" w14:textId="0B561FCF" w:rsidR="002056CD" w:rsidRPr="00C227CD" w:rsidRDefault="002056CD" w:rsidP="006B0BCC">
            <w:pPr>
              <w:keepNext/>
              <w:spacing w:after="0"/>
              <w:jc w:val="center"/>
              <w:rPr>
                <w:rFonts w:ascii="Arial Narrow" w:eastAsiaTheme="majorEastAsia" w:hAnsi="Arial Narrow"/>
                <w:b/>
                <w:i/>
                <w:szCs w:val="24"/>
                <w:lang w:val="en-US"/>
              </w:rPr>
            </w:pPr>
            <w:r w:rsidRPr="00C227CD">
              <w:rPr>
                <w:rFonts w:ascii="Arial Narrow" w:eastAsiaTheme="majorEastAsia" w:hAnsi="Arial Narrow"/>
                <w:b/>
                <w:i/>
                <w:szCs w:val="24"/>
                <w:lang w:val="en-US"/>
              </w:rPr>
              <w:t xml:space="preserve">Base case (corrected): </w:t>
            </w:r>
            <w:r w:rsidRPr="00F54557">
              <w:rPr>
                <w:rFonts w:ascii="Arial Narrow" w:eastAsiaTheme="majorEastAsia" w:hAnsi="Arial Narrow"/>
                <w:b/>
                <w:i/>
                <w:szCs w:val="24"/>
                <w:lang w:val="en-US"/>
              </w:rPr>
              <w:t>$</w:t>
            </w:r>
            <w:r w:rsidR="00AE3E5D" w:rsidRPr="00AE3E5D">
              <w:rPr>
                <w:i/>
                <w:color w:val="000000"/>
                <w:spacing w:val="48"/>
                <w:shd w:val="solid" w:color="000000" w:fill="000000"/>
                <w:fitText w:val="332" w:id="-1437332465"/>
                <w:lang w:val="en-US"/>
                <w14:textFill>
                  <w14:solidFill>
                    <w14:srgbClr w14:val="000000">
                      <w14:alpha w14:val="100000"/>
                    </w14:srgbClr>
                  </w14:solidFill>
                </w14:textFill>
              </w:rPr>
              <w:t>|||</w:t>
            </w:r>
            <w:r w:rsidR="00AE3E5D" w:rsidRPr="00AE3E5D">
              <w:rPr>
                <w:i/>
                <w:color w:val="000000"/>
                <w:spacing w:val="2"/>
                <w:shd w:val="solid" w:color="000000" w:fill="000000"/>
                <w:fitText w:val="332" w:id="-1437332465"/>
                <w:lang w:val="en-US"/>
                <w14:textFill>
                  <w14:solidFill>
                    <w14:srgbClr w14:val="000000">
                      <w14:alpha w14:val="100000"/>
                    </w14:srgbClr>
                  </w14:solidFill>
                </w14:textFill>
              </w:rPr>
              <w:t>|</w:t>
            </w:r>
            <w:r w:rsidRPr="00F54557">
              <w:rPr>
                <w:rFonts w:ascii="Arial Narrow" w:eastAsiaTheme="majorEastAsia" w:hAnsi="Arial Narrow"/>
                <w:b/>
                <w:i/>
                <w:szCs w:val="24"/>
                <w:lang w:val="en-US"/>
              </w:rPr>
              <w:t>/QALY gained</w:t>
            </w:r>
          </w:p>
        </w:tc>
      </w:tr>
      <w:tr w:rsidR="002056CD" w:rsidRPr="00C227CD" w14:paraId="183BDA42" w14:textId="77777777" w:rsidTr="006B0BCC">
        <w:trPr>
          <w:cantSplit/>
        </w:trPr>
        <w:tc>
          <w:tcPr>
            <w:tcW w:w="1019" w:type="pct"/>
            <w:shd w:val="clear" w:color="auto" w:fill="auto"/>
            <w:vAlign w:val="center"/>
          </w:tcPr>
          <w:p w14:paraId="4C2A4974" w14:textId="77777777" w:rsidR="002056CD" w:rsidRPr="00C227CD" w:rsidRDefault="002056CD" w:rsidP="006B0BCC">
            <w:pPr>
              <w:jc w:val="center"/>
              <w:rPr>
                <w:lang w:val="en-US"/>
              </w:rPr>
            </w:pPr>
            <w:r w:rsidRPr="00C227CD">
              <w:rPr>
                <w:lang w:val="en-US"/>
              </w:rPr>
              <w:t>Predictive effect for chemotherapy by EPclin score</w:t>
            </w:r>
          </w:p>
        </w:tc>
        <w:tc>
          <w:tcPr>
            <w:tcW w:w="2752" w:type="pct"/>
            <w:shd w:val="clear" w:color="auto" w:fill="auto"/>
            <w:vAlign w:val="center"/>
          </w:tcPr>
          <w:p w14:paraId="0D50BBAA" w14:textId="1C1B58AC" w:rsidR="002056CD" w:rsidRPr="00C227CD" w:rsidRDefault="002056CD" w:rsidP="006B0BCC">
            <w:pPr>
              <w:rPr>
                <w:i/>
                <w:lang w:val="en-US"/>
              </w:rPr>
            </w:pPr>
            <w:r w:rsidRPr="00C227CD">
              <w:rPr>
                <w:lang w:val="en-US"/>
              </w:rPr>
              <w:t xml:space="preserve">The modelled ET and ET + CTX risks of recurrence incorporate a predictive effect for chemotherapy benefit by EPclin score (the relative benefit of chemotherapy modelled increases from a 20% reduction in the risk of recurrence with EPclin scores of 2.5, to a 50% reduction with scores &gt;4). </w:t>
            </w:r>
            <w:r w:rsidRPr="00C227CD">
              <w:rPr>
                <w:i/>
                <w:lang w:val="en-US"/>
              </w:rPr>
              <w:t>MSAC recently confirmed that it did not accept predictive value had been adequately demonstrated for any GEP test</w:t>
            </w:r>
            <w:r w:rsidR="00C14181">
              <w:rPr>
                <w:i/>
                <w:lang w:val="en-US"/>
              </w:rPr>
              <w:t xml:space="preserve"> (PSD July 2021, p1)</w:t>
            </w:r>
            <w:r w:rsidRPr="00C227CD">
              <w:rPr>
                <w:i/>
                <w:lang w:val="en-US"/>
              </w:rPr>
              <w:t>.</w:t>
            </w:r>
          </w:p>
        </w:tc>
        <w:tc>
          <w:tcPr>
            <w:tcW w:w="1229" w:type="pct"/>
            <w:shd w:val="clear" w:color="auto" w:fill="auto"/>
            <w:vAlign w:val="center"/>
          </w:tcPr>
          <w:p w14:paraId="6D3C1809" w14:textId="2CEF50FC" w:rsidR="002056CD" w:rsidRPr="00C227CD" w:rsidRDefault="002056CD" w:rsidP="006B0BCC">
            <w:pPr>
              <w:rPr>
                <w:i/>
                <w:lang w:val="en-US"/>
              </w:rPr>
            </w:pPr>
            <w:r w:rsidRPr="00C227CD">
              <w:rPr>
                <w:i/>
                <w:lang w:val="en-US"/>
              </w:rPr>
              <w:t xml:space="preserve">High, favours </w:t>
            </w:r>
            <w:r w:rsidR="00D50E5C">
              <w:rPr>
                <w:i/>
                <w:lang w:val="en-US"/>
              </w:rPr>
              <w:t>EndoPredict</w:t>
            </w:r>
            <w:r w:rsidR="005F1260" w:rsidRPr="005F1260">
              <w:rPr>
                <w:i/>
                <w:vertAlign w:val="superscript"/>
                <w:lang w:val="en-US"/>
              </w:rPr>
              <w:t>®</w:t>
            </w:r>
          </w:p>
          <w:p w14:paraId="357302B6" w14:textId="58ACACE1" w:rsidR="002056CD" w:rsidRPr="00C227CD" w:rsidRDefault="002056CD" w:rsidP="006B0BCC">
            <w:pPr>
              <w:rPr>
                <w:i/>
                <w:lang w:val="en-US"/>
              </w:rPr>
            </w:pPr>
            <w:r w:rsidRPr="00C227CD">
              <w:rPr>
                <w:i/>
                <w:lang w:val="en-US"/>
              </w:rPr>
              <w:t xml:space="preserve">Assuming no predictive effect increases the ICER to </w:t>
            </w:r>
            <w:r w:rsidRPr="00F54557">
              <w:rPr>
                <w:i/>
                <w:lang w:val="en-US"/>
              </w:rPr>
              <w:t>$</w:t>
            </w:r>
            <w:r w:rsidR="00AE3E5D" w:rsidRPr="00AE3E5D">
              <w:rPr>
                <w:i/>
                <w:color w:val="000000"/>
                <w:spacing w:val="53"/>
                <w:shd w:val="solid" w:color="000000" w:fill="000000"/>
                <w:fitText w:val="332" w:id="-1437332465"/>
                <w:lang w:val="en-US"/>
                <w14:textFill>
                  <w14:solidFill>
                    <w14:srgbClr w14:val="000000">
                      <w14:alpha w14:val="100000"/>
                    </w14:srgbClr>
                  </w14:solidFill>
                </w14:textFill>
              </w:rPr>
              <w:t>|||</w:t>
            </w:r>
            <w:r w:rsidR="00AE3E5D" w:rsidRPr="00AE3E5D">
              <w:rPr>
                <w:i/>
                <w:color w:val="000000"/>
                <w:spacing w:val="3"/>
                <w:shd w:val="solid" w:color="000000" w:fill="000000"/>
                <w:fitText w:val="332" w:id="-1437332465"/>
                <w:lang w:val="en-US"/>
                <w14:textFill>
                  <w14:solidFill>
                    <w14:srgbClr w14:val="000000">
                      <w14:alpha w14:val="100000"/>
                    </w14:srgbClr>
                  </w14:solidFill>
                </w14:textFill>
              </w:rPr>
              <w:t>|</w:t>
            </w:r>
            <w:r w:rsidRPr="00F54557">
              <w:rPr>
                <w:i/>
                <w:lang w:val="en-US"/>
              </w:rPr>
              <w:t>/</w:t>
            </w:r>
            <w:r w:rsidRPr="00C227CD">
              <w:rPr>
                <w:i/>
                <w:lang w:val="en-US"/>
              </w:rPr>
              <w:t>QALY gained</w:t>
            </w:r>
            <w:r w:rsidR="00C70CB5">
              <w:rPr>
                <w:i/>
                <w:lang w:val="en-US"/>
              </w:rPr>
              <w:t>.</w:t>
            </w:r>
          </w:p>
        </w:tc>
      </w:tr>
      <w:tr w:rsidR="002056CD" w:rsidRPr="00C227CD" w14:paraId="3BF3B473" w14:textId="77777777" w:rsidTr="006B0BCC">
        <w:trPr>
          <w:cantSplit/>
        </w:trPr>
        <w:tc>
          <w:tcPr>
            <w:tcW w:w="1019" w:type="pct"/>
            <w:shd w:val="clear" w:color="auto" w:fill="auto"/>
            <w:vAlign w:val="center"/>
          </w:tcPr>
          <w:p w14:paraId="4B30DD28" w14:textId="2CC93C41" w:rsidR="002056CD" w:rsidRPr="00C227CD" w:rsidRDefault="002056CD" w:rsidP="006B0BCC">
            <w:pPr>
              <w:jc w:val="center"/>
              <w:rPr>
                <w:lang w:val="en-US"/>
              </w:rPr>
            </w:pPr>
            <w:r w:rsidRPr="00C227CD">
              <w:rPr>
                <w:lang w:val="en-US"/>
              </w:rPr>
              <w:t>Extrapolation of 10</w:t>
            </w:r>
            <w:r w:rsidR="001D4775">
              <w:rPr>
                <w:lang w:val="en-US"/>
              </w:rPr>
              <w:t>-</w:t>
            </w:r>
            <w:r w:rsidRPr="00C227CD">
              <w:rPr>
                <w:lang w:val="en-US"/>
              </w:rPr>
              <w:t>year recurrence rate</w:t>
            </w:r>
          </w:p>
        </w:tc>
        <w:tc>
          <w:tcPr>
            <w:tcW w:w="2752" w:type="pct"/>
            <w:shd w:val="clear" w:color="auto" w:fill="auto"/>
            <w:vAlign w:val="center"/>
          </w:tcPr>
          <w:p w14:paraId="2CA136CD" w14:textId="62EEB146" w:rsidR="002056CD" w:rsidRPr="00C227CD" w:rsidRDefault="002056CD" w:rsidP="00A67D4E">
            <w:pPr>
              <w:rPr>
                <w:i/>
                <w:lang w:val="en-US"/>
              </w:rPr>
            </w:pPr>
            <w:r w:rsidRPr="00C227CD">
              <w:rPr>
                <w:lang w:val="en-US"/>
              </w:rPr>
              <w:t xml:space="preserve">The annual transition probabilities derived from the 10-year recurrence rates were assumed to continue beyond 10 years to the model time horizon (50 years). </w:t>
            </w:r>
            <w:r w:rsidRPr="00C227CD">
              <w:rPr>
                <w:i/>
                <w:lang w:val="en-US"/>
              </w:rPr>
              <w:t>ESC previously considered that this approach was not appropriate</w:t>
            </w:r>
            <w:r w:rsidR="008C5608">
              <w:rPr>
                <w:i/>
                <w:lang w:val="en-US"/>
              </w:rPr>
              <w:t xml:space="preserve"> (PSD November 2019, p19)</w:t>
            </w:r>
            <w:r w:rsidRPr="00C227CD">
              <w:rPr>
                <w:i/>
                <w:lang w:val="en-US"/>
              </w:rPr>
              <w:t xml:space="preserve">. Extrapolation of the distant recurrence estimate to 10 years only was used in a previous GEP </w:t>
            </w:r>
            <w:r w:rsidR="00A67D4E">
              <w:rPr>
                <w:i/>
                <w:lang w:val="en-US"/>
              </w:rPr>
              <w:t>application</w:t>
            </w:r>
            <w:r w:rsidR="00A67D4E" w:rsidRPr="00C227CD">
              <w:rPr>
                <w:i/>
                <w:lang w:val="en-US"/>
              </w:rPr>
              <w:t xml:space="preserve"> </w:t>
            </w:r>
            <w:r w:rsidRPr="00C227CD">
              <w:rPr>
                <w:i/>
                <w:lang w:val="en-US"/>
              </w:rPr>
              <w:t>to MSAC (MSAC Application 1342.2, November 2015 MSAC Meeting PSD)</w:t>
            </w:r>
            <w:r w:rsidR="00591C9B">
              <w:rPr>
                <w:i/>
                <w:lang w:val="en-US"/>
              </w:rPr>
              <w:t>.</w:t>
            </w:r>
          </w:p>
        </w:tc>
        <w:tc>
          <w:tcPr>
            <w:tcW w:w="1229" w:type="pct"/>
            <w:shd w:val="clear" w:color="auto" w:fill="auto"/>
            <w:vAlign w:val="center"/>
          </w:tcPr>
          <w:p w14:paraId="3FC02632" w14:textId="74028CB7" w:rsidR="002056CD" w:rsidRPr="00C227CD" w:rsidRDefault="002056CD" w:rsidP="006B0BCC">
            <w:pPr>
              <w:rPr>
                <w:i/>
                <w:lang w:val="en-US"/>
              </w:rPr>
            </w:pPr>
            <w:r w:rsidRPr="00C227CD">
              <w:rPr>
                <w:i/>
                <w:lang w:val="en-US"/>
              </w:rPr>
              <w:t xml:space="preserve">High, favours </w:t>
            </w:r>
            <w:r w:rsidR="00D50E5C">
              <w:rPr>
                <w:i/>
                <w:lang w:val="en-US"/>
              </w:rPr>
              <w:t>EndoPredict</w:t>
            </w:r>
            <w:r w:rsidR="005F1260" w:rsidRPr="005F1260">
              <w:rPr>
                <w:i/>
                <w:vertAlign w:val="superscript"/>
                <w:lang w:val="en-US"/>
              </w:rPr>
              <w:t>®</w:t>
            </w:r>
          </w:p>
          <w:p w14:paraId="49863031" w14:textId="11E20354" w:rsidR="002056CD" w:rsidRPr="00C227CD" w:rsidRDefault="002056CD" w:rsidP="006B0BCC">
            <w:pPr>
              <w:rPr>
                <w:i/>
                <w:lang w:val="en-US"/>
              </w:rPr>
            </w:pPr>
            <w:r w:rsidRPr="00C227CD">
              <w:rPr>
                <w:i/>
                <w:lang w:val="en-US"/>
              </w:rPr>
              <w:t xml:space="preserve">Assuming extrapolation of </w:t>
            </w:r>
            <w:r w:rsidR="00591C9B">
              <w:rPr>
                <w:i/>
                <w:lang w:val="en-US"/>
              </w:rPr>
              <w:t xml:space="preserve">recurrence rates </w:t>
            </w:r>
            <w:r w:rsidRPr="00C227CD">
              <w:rPr>
                <w:i/>
                <w:lang w:val="en-US"/>
              </w:rPr>
              <w:t xml:space="preserve">to 10 years only increases the ICER to </w:t>
            </w:r>
            <w:r w:rsidRPr="00F54557">
              <w:rPr>
                <w:i/>
                <w:lang w:val="en-US"/>
              </w:rPr>
              <w:t>$</w:t>
            </w:r>
            <w:r w:rsidR="00AE3E5D" w:rsidRPr="00AE3E5D">
              <w:rPr>
                <w:i/>
                <w:color w:val="000000"/>
                <w:spacing w:val="53"/>
                <w:shd w:val="solid" w:color="000000" w:fill="000000"/>
                <w:fitText w:val="332" w:id="-1437332464"/>
                <w:lang w:val="en-US"/>
                <w14:textFill>
                  <w14:solidFill>
                    <w14:srgbClr w14:val="000000">
                      <w14:alpha w14:val="100000"/>
                    </w14:srgbClr>
                  </w14:solidFill>
                </w14:textFill>
              </w:rPr>
              <w:t>|||</w:t>
            </w:r>
            <w:r w:rsidR="00AE3E5D" w:rsidRPr="00AE3E5D">
              <w:rPr>
                <w:i/>
                <w:color w:val="000000"/>
                <w:spacing w:val="3"/>
                <w:shd w:val="solid" w:color="000000" w:fill="000000"/>
                <w:fitText w:val="332" w:id="-1437332464"/>
                <w:lang w:val="en-US"/>
                <w14:textFill>
                  <w14:solidFill>
                    <w14:srgbClr w14:val="000000">
                      <w14:alpha w14:val="100000"/>
                    </w14:srgbClr>
                  </w14:solidFill>
                </w14:textFill>
              </w:rPr>
              <w:t>|</w:t>
            </w:r>
            <w:r w:rsidRPr="00F54557">
              <w:rPr>
                <w:i/>
                <w:lang w:val="en-US"/>
              </w:rPr>
              <w:t>/QALY</w:t>
            </w:r>
            <w:r w:rsidRPr="00C227CD">
              <w:rPr>
                <w:i/>
                <w:lang w:val="en-US"/>
              </w:rPr>
              <w:t xml:space="preserve"> gained.</w:t>
            </w:r>
          </w:p>
        </w:tc>
      </w:tr>
      <w:tr w:rsidR="002056CD" w:rsidRPr="00C227CD" w14:paraId="7E776B34" w14:textId="77777777" w:rsidTr="006B0BCC">
        <w:trPr>
          <w:cantSplit/>
        </w:trPr>
        <w:tc>
          <w:tcPr>
            <w:tcW w:w="1019" w:type="pct"/>
            <w:shd w:val="clear" w:color="auto" w:fill="auto"/>
            <w:vAlign w:val="center"/>
          </w:tcPr>
          <w:p w14:paraId="0F5E61CB" w14:textId="77777777" w:rsidR="002056CD" w:rsidRPr="00C227CD" w:rsidRDefault="002056CD" w:rsidP="006B0BCC">
            <w:pPr>
              <w:jc w:val="center"/>
              <w:rPr>
                <w:lang w:val="en-US"/>
              </w:rPr>
            </w:pPr>
            <w:r w:rsidRPr="00C227CD">
              <w:rPr>
                <w:lang w:val="en-US"/>
              </w:rPr>
              <w:t>Transition probabilities derived from the EPclin score</w:t>
            </w:r>
          </w:p>
        </w:tc>
        <w:tc>
          <w:tcPr>
            <w:tcW w:w="2752" w:type="pct"/>
            <w:shd w:val="clear" w:color="auto" w:fill="auto"/>
            <w:vAlign w:val="center"/>
          </w:tcPr>
          <w:p w14:paraId="32DA5D32" w14:textId="68E0CCA2" w:rsidR="002056CD" w:rsidRPr="00C227CD" w:rsidRDefault="002056CD" w:rsidP="008C5608">
            <w:pPr>
              <w:rPr>
                <w:i/>
                <w:lang w:val="en-US"/>
              </w:rPr>
            </w:pPr>
            <w:r w:rsidRPr="00C227CD">
              <w:rPr>
                <w:lang w:val="en-US"/>
              </w:rPr>
              <w:t xml:space="preserve">The risks of recurrence on ET and ET + CTX treatment were derived from the EPclin scores. </w:t>
            </w:r>
            <w:r w:rsidRPr="00C227CD">
              <w:rPr>
                <w:i/>
                <w:lang w:val="en-US"/>
              </w:rPr>
              <w:t>ESC previously considered that this approach assumed a perfect relationship between EPclin score and 10-year rate of recurrence and that this was not considered to be appropriate as no loss of information was assumed during the transformation process</w:t>
            </w:r>
            <w:r w:rsidR="008C5608">
              <w:rPr>
                <w:i/>
                <w:lang w:val="en-US"/>
              </w:rPr>
              <w:t xml:space="preserve"> (PSD November 2019, p18)</w:t>
            </w:r>
            <w:r w:rsidRPr="00C227CD">
              <w:rPr>
                <w:i/>
                <w:lang w:val="en-US"/>
              </w:rPr>
              <w:t>.</w:t>
            </w:r>
            <w:r w:rsidRPr="00C227CD">
              <w:rPr>
                <w:lang w:val="en-US"/>
              </w:rPr>
              <w:t xml:space="preserve"> Estimates of distant recurrence by EPclin score were based on Sestak et al. (2019). </w:t>
            </w:r>
            <w:r w:rsidRPr="00C227CD">
              <w:rPr>
                <w:i/>
                <w:lang w:val="en-US"/>
              </w:rPr>
              <w:t>Differences were noted between the modelled and published estimates.</w:t>
            </w:r>
            <w:r w:rsidRPr="00C227CD">
              <w:rPr>
                <w:lang w:val="en-US"/>
              </w:rPr>
              <w:t xml:space="preserve"> </w:t>
            </w:r>
            <w:r w:rsidRPr="00C227CD">
              <w:rPr>
                <w:i/>
                <w:lang w:val="en-US"/>
              </w:rPr>
              <w:t>Sensitivity analyses were conducted during the evaluation using the central estimates and 95% CI reported in this study.</w:t>
            </w:r>
          </w:p>
        </w:tc>
        <w:tc>
          <w:tcPr>
            <w:tcW w:w="1229" w:type="pct"/>
            <w:shd w:val="clear" w:color="auto" w:fill="auto"/>
            <w:vAlign w:val="center"/>
          </w:tcPr>
          <w:p w14:paraId="7E3626B2" w14:textId="42AB6FEA" w:rsidR="002056CD" w:rsidRPr="00C227CD" w:rsidRDefault="002056CD" w:rsidP="006B0BCC">
            <w:pPr>
              <w:rPr>
                <w:i/>
                <w:lang w:val="en-US"/>
              </w:rPr>
            </w:pPr>
            <w:r w:rsidRPr="00C227CD">
              <w:rPr>
                <w:i/>
                <w:lang w:val="en-US"/>
              </w:rPr>
              <w:t xml:space="preserve">The analysis is sensitive to changes in this </w:t>
            </w:r>
            <w:proofErr w:type="gramStart"/>
            <w:r w:rsidRPr="00C227CD">
              <w:rPr>
                <w:i/>
                <w:lang w:val="en-US"/>
              </w:rPr>
              <w:t>estimate,</w:t>
            </w:r>
            <w:proofErr w:type="gramEnd"/>
            <w:r w:rsidRPr="00C227CD">
              <w:rPr>
                <w:i/>
                <w:lang w:val="en-US"/>
              </w:rPr>
              <w:t xml:space="preserve"> however it is uncertain to what extent the loss of information would have in the transformation process. ICERs ranged between </w:t>
            </w:r>
            <w:r w:rsidRPr="00F54557">
              <w:rPr>
                <w:i/>
                <w:lang w:val="en-US"/>
              </w:rPr>
              <w:t>$</w:t>
            </w:r>
            <w:r w:rsidR="00AE3E5D" w:rsidRPr="00AE3E5D">
              <w:rPr>
                <w:i/>
                <w:color w:val="000000"/>
                <w:spacing w:val="53"/>
                <w:shd w:val="solid" w:color="000000" w:fill="000000"/>
                <w:fitText w:val="332" w:id="-1437332480"/>
                <w:lang w:val="en-US"/>
                <w14:textFill>
                  <w14:solidFill>
                    <w14:srgbClr w14:val="000000">
                      <w14:alpha w14:val="100000"/>
                    </w14:srgbClr>
                  </w14:solidFill>
                </w14:textFill>
              </w:rPr>
              <w:t>|||</w:t>
            </w:r>
            <w:r w:rsidR="00AE3E5D" w:rsidRPr="00AE3E5D">
              <w:rPr>
                <w:i/>
                <w:color w:val="000000"/>
                <w:spacing w:val="3"/>
                <w:shd w:val="solid" w:color="000000" w:fill="000000"/>
                <w:fitText w:val="332" w:id="-1437332480"/>
                <w:lang w:val="en-US"/>
                <w14:textFill>
                  <w14:solidFill>
                    <w14:srgbClr w14:val="000000">
                      <w14:alpha w14:val="100000"/>
                    </w14:srgbClr>
                  </w14:solidFill>
                </w14:textFill>
              </w:rPr>
              <w:t>|</w:t>
            </w:r>
            <w:r w:rsidRPr="00F54557">
              <w:rPr>
                <w:i/>
                <w:lang w:val="en-US"/>
              </w:rPr>
              <w:t xml:space="preserve"> and $</w:t>
            </w:r>
            <w:r w:rsidR="00AE3E5D" w:rsidRPr="00AE3E5D">
              <w:rPr>
                <w:i/>
                <w:color w:val="000000"/>
                <w:spacing w:val="54"/>
                <w:shd w:val="solid" w:color="000000" w:fill="000000"/>
                <w:fitText w:val="333" w:id="-1437332479"/>
                <w:lang w:val="en-US"/>
                <w14:textFill>
                  <w14:solidFill>
                    <w14:srgbClr w14:val="000000">
                      <w14:alpha w14:val="100000"/>
                    </w14:srgbClr>
                  </w14:solidFill>
                </w14:textFill>
              </w:rPr>
              <w:t>|||</w:t>
            </w:r>
            <w:r w:rsidR="00AE3E5D" w:rsidRPr="00AE3E5D">
              <w:rPr>
                <w:i/>
                <w:color w:val="000000"/>
                <w:spacing w:val="1"/>
                <w:shd w:val="solid" w:color="000000" w:fill="000000"/>
                <w:fitText w:val="333" w:id="-1437332479"/>
                <w:lang w:val="en-US"/>
                <w14:textFill>
                  <w14:solidFill>
                    <w14:srgbClr w14:val="000000">
                      <w14:alpha w14:val="100000"/>
                    </w14:srgbClr>
                  </w14:solidFill>
                </w14:textFill>
              </w:rPr>
              <w:t>|</w:t>
            </w:r>
            <w:r w:rsidRPr="00F54557">
              <w:rPr>
                <w:i/>
                <w:lang w:val="en-US"/>
              </w:rPr>
              <w:t>/QALY</w:t>
            </w:r>
            <w:r w:rsidRPr="00C227CD">
              <w:rPr>
                <w:i/>
                <w:lang w:val="en-US"/>
              </w:rPr>
              <w:t xml:space="preserve"> gained.</w:t>
            </w:r>
          </w:p>
        </w:tc>
      </w:tr>
      <w:tr w:rsidR="002056CD" w:rsidRPr="00C227CD" w14:paraId="06291C1A" w14:textId="77777777" w:rsidTr="006B0BCC">
        <w:trPr>
          <w:cantSplit/>
        </w:trPr>
        <w:tc>
          <w:tcPr>
            <w:tcW w:w="1019" w:type="pct"/>
            <w:shd w:val="clear" w:color="auto" w:fill="auto"/>
            <w:vAlign w:val="center"/>
          </w:tcPr>
          <w:p w14:paraId="4658A380" w14:textId="77777777" w:rsidR="002056CD" w:rsidRPr="00C227CD" w:rsidRDefault="002056CD" w:rsidP="006B0BCC">
            <w:pPr>
              <w:jc w:val="center"/>
              <w:rPr>
                <w:lang w:val="en-US"/>
              </w:rPr>
            </w:pPr>
            <w:r w:rsidRPr="00C227CD">
              <w:rPr>
                <w:lang w:val="en-US"/>
              </w:rPr>
              <w:t>Change in management</w:t>
            </w:r>
          </w:p>
        </w:tc>
        <w:tc>
          <w:tcPr>
            <w:tcW w:w="2752" w:type="pct"/>
            <w:shd w:val="clear" w:color="auto" w:fill="auto"/>
            <w:vAlign w:val="center"/>
          </w:tcPr>
          <w:p w14:paraId="518537D8" w14:textId="61E16E6C" w:rsidR="002056CD" w:rsidRPr="00C227CD" w:rsidRDefault="002056CD" w:rsidP="006B0BCC">
            <w:pPr>
              <w:rPr>
                <w:lang w:val="en-US"/>
              </w:rPr>
            </w:pPr>
            <w:r w:rsidRPr="00C227CD">
              <w:rPr>
                <w:lang w:val="en-US"/>
              </w:rPr>
              <w:t xml:space="preserve">With </w:t>
            </w:r>
            <w:r w:rsidR="00D50E5C">
              <w:rPr>
                <w:lang w:val="en-US"/>
              </w:rPr>
              <w:t>EndoPredict</w:t>
            </w:r>
            <w:r w:rsidR="005F1260" w:rsidRPr="005F1260">
              <w:rPr>
                <w:vertAlign w:val="superscript"/>
                <w:lang w:val="en-US"/>
              </w:rPr>
              <w:t>®</w:t>
            </w:r>
            <w:r w:rsidRPr="00C227CD">
              <w:rPr>
                <w:lang w:val="en-US"/>
              </w:rPr>
              <w:t>, it was assumed that all patients would be treated as per the EPclin risk classification (</w:t>
            </w:r>
            <w:proofErr w:type="gramStart"/>
            <w:r w:rsidRPr="00C227CD">
              <w:rPr>
                <w:lang w:val="en-US"/>
              </w:rPr>
              <w:t>i.e.</w:t>
            </w:r>
            <w:proofErr w:type="gramEnd"/>
            <w:r w:rsidRPr="00C227CD">
              <w:rPr>
                <w:lang w:val="en-US"/>
              </w:rPr>
              <w:t xml:space="preserve"> low</w:t>
            </w:r>
            <w:r w:rsidR="00077D16">
              <w:rPr>
                <w:lang w:val="en-US"/>
              </w:rPr>
              <w:t>-</w:t>
            </w:r>
            <w:r w:rsidRPr="00C227CD">
              <w:rPr>
                <w:lang w:val="en-US"/>
              </w:rPr>
              <w:t>risk patients would receive ET alone, while high</w:t>
            </w:r>
            <w:r w:rsidR="00077D16">
              <w:rPr>
                <w:lang w:val="en-US"/>
              </w:rPr>
              <w:t>-</w:t>
            </w:r>
            <w:r w:rsidRPr="00C227CD">
              <w:rPr>
                <w:lang w:val="en-US"/>
              </w:rPr>
              <w:t xml:space="preserve">risk patients would receive ET + CTX). </w:t>
            </w:r>
            <w:r w:rsidRPr="00C227CD">
              <w:rPr>
                <w:i/>
                <w:lang w:val="en-US"/>
              </w:rPr>
              <w:t xml:space="preserve">MDT recommendations (and final patient treatment decisions) in PROSPER were not always concordant with EPclin risk assessment. This approach may overestimate the benefit associated with </w:t>
            </w:r>
            <w:r w:rsidR="00D50E5C">
              <w:rPr>
                <w:i/>
                <w:lang w:val="en-US"/>
              </w:rPr>
              <w:t>EndoPredict</w:t>
            </w:r>
            <w:r w:rsidR="005F1260" w:rsidRPr="005F1260">
              <w:rPr>
                <w:i/>
                <w:vertAlign w:val="superscript"/>
                <w:lang w:val="en-US"/>
              </w:rPr>
              <w:t>®</w:t>
            </w:r>
            <w:r w:rsidRPr="00C227CD">
              <w:rPr>
                <w:i/>
                <w:lang w:val="en-US"/>
              </w:rPr>
              <w:t>.</w:t>
            </w:r>
          </w:p>
        </w:tc>
        <w:tc>
          <w:tcPr>
            <w:tcW w:w="1229" w:type="pct"/>
            <w:shd w:val="clear" w:color="auto" w:fill="auto"/>
            <w:vAlign w:val="center"/>
          </w:tcPr>
          <w:p w14:paraId="7EBC4B35" w14:textId="20561DDF" w:rsidR="002056CD" w:rsidRPr="00C227CD" w:rsidRDefault="002056CD" w:rsidP="006B0BCC">
            <w:pPr>
              <w:rPr>
                <w:i/>
                <w:lang w:val="en-US"/>
              </w:rPr>
            </w:pPr>
            <w:r w:rsidRPr="00C227CD">
              <w:rPr>
                <w:i/>
                <w:lang w:val="en-US"/>
              </w:rPr>
              <w:t xml:space="preserve">Moderate, favours </w:t>
            </w:r>
            <w:r w:rsidR="00D50E5C">
              <w:rPr>
                <w:i/>
                <w:lang w:val="en-US"/>
              </w:rPr>
              <w:t>EndoPredict</w:t>
            </w:r>
            <w:r w:rsidR="005F1260" w:rsidRPr="005F1260">
              <w:rPr>
                <w:i/>
                <w:vertAlign w:val="superscript"/>
                <w:lang w:val="en-US"/>
              </w:rPr>
              <w:t>®</w:t>
            </w:r>
          </w:p>
          <w:p w14:paraId="189E261E" w14:textId="12810D8E" w:rsidR="002056CD" w:rsidRPr="00C227CD" w:rsidRDefault="002056CD" w:rsidP="006B0BCC">
            <w:pPr>
              <w:rPr>
                <w:i/>
                <w:lang w:val="en-US"/>
              </w:rPr>
            </w:pPr>
            <w:r w:rsidRPr="00C227CD">
              <w:rPr>
                <w:i/>
                <w:lang w:val="en-US"/>
              </w:rPr>
              <w:t xml:space="preserve">The ICER increased to </w:t>
            </w:r>
            <w:r w:rsidRPr="00F54557">
              <w:rPr>
                <w:i/>
                <w:lang w:val="en-US"/>
              </w:rPr>
              <w:t>$</w:t>
            </w:r>
            <w:r w:rsidR="00AE3E5D" w:rsidRPr="00AE3E5D">
              <w:rPr>
                <w:i/>
                <w:color w:val="000000"/>
                <w:spacing w:val="53"/>
                <w:shd w:val="solid" w:color="000000" w:fill="000000"/>
                <w:fitText w:val="332" w:id="-1437332478"/>
                <w:lang w:val="en-US"/>
                <w14:textFill>
                  <w14:solidFill>
                    <w14:srgbClr w14:val="000000">
                      <w14:alpha w14:val="100000"/>
                    </w14:srgbClr>
                  </w14:solidFill>
                </w14:textFill>
              </w:rPr>
              <w:t>|||</w:t>
            </w:r>
            <w:r w:rsidR="00AE3E5D" w:rsidRPr="00AE3E5D">
              <w:rPr>
                <w:i/>
                <w:color w:val="000000"/>
                <w:spacing w:val="3"/>
                <w:shd w:val="solid" w:color="000000" w:fill="000000"/>
                <w:fitText w:val="332" w:id="-1437332478"/>
                <w:lang w:val="en-US"/>
                <w14:textFill>
                  <w14:solidFill>
                    <w14:srgbClr w14:val="000000">
                      <w14:alpha w14:val="100000"/>
                    </w14:srgbClr>
                  </w14:solidFill>
                </w14:textFill>
              </w:rPr>
              <w:t>|</w:t>
            </w:r>
            <w:r w:rsidRPr="00F54557">
              <w:rPr>
                <w:i/>
                <w:lang w:val="en-US"/>
              </w:rPr>
              <w:t>/QALY</w:t>
            </w:r>
            <w:r w:rsidRPr="00C227CD">
              <w:rPr>
                <w:i/>
                <w:lang w:val="en-US"/>
              </w:rPr>
              <w:t xml:space="preserve"> gained where </w:t>
            </w:r>
            <w:r w:rsidR="00591C9B">
              <w:rPr>
                <w:i/>
                <w:lang w:val="en-US"/>
              </w:rPr>
              <w:t xml:space="preserve">final </w:t>
            </w:r>
            <w:r w:rsidRPr="00C227CD">
              <w:rPr>
                <w:i/>
                <w:lang w:val="en-US"/>
              </w:rPr>
              <w:t>patient treatment decisions were considered</w:t>
            </w:r>
            <w:r w:rsidR="00591C9B">
              <w:rPr>
                <w:i/>
                <w:lang w:val="en-US"/>
              </w:rPr>
              <w:t>.</w:t>
            </w:r>
          </w:p>
        </w:tc>
      </w:tr>
      <w:tr w:rsidR="002056CD" w:rsidRPr="00C227CD" w14:paraId="60EDCB06" w14:textId="77777777" w:rsidTr="006B0BCC">
        <w:trPr>
          <w:cantSplit/>
        </w:trPr>
        <w:tc>
          <w:tcPr>
            <w:tcW w:w="1019" w:type="pct"/>
            <w:shd w:val="clear" w:color="auto" w:fill="auto"/>
            <w:vAlign w:val="center"/>
          </w:tcPr>
          <w:p w14:paraId="7227C4B2" w14:textId="77777777" w:rsidR="002056CD" w:rsidRPr="00C227CD" w:rsidRDefault="002056CD" w:rsidP="006B0BCC">
            <w:pPr>
              <w:jc w:val="center"/>
              <w:rPr>
                <w:lang w:val="en-US"/>
              </w:rPr>
            </w:pPr>
            <w:r w:rsidRPr="00C227CD">
              <w:rPr>
                <w:lang w:val="en-US"/>
              </w:rPr>
              <w:t>Time horizon</w:t>
            </w:r>
          </w:p>
        </w:tc>
        <w:tc>
          <w:tcPr>
            <w:tcW w:w="2752" w:type="pct"/>
            <w:shd w:val="clear" w:color="auto" w:fill="auto"/>
            <w:vAlign w:val="center"/>
          </w:tcPr>
          <w:p w14:paraId="7AB1C3CA" w14:textId="260BFAA6" w:rsidR="002056CD" w:rsidRPr="00C227CD" w:rsidRDefault="002056CD" w:rsidP="00A67D4E">
            <w:pPr>
              <w:rPr>
                <w:lang w:val="en-US"/>
              </w:rPr>
            </w:pPr>
            <w:r w:rsidRPr="00C227CD">
              <w:rPr>
                <w:lang w:val="en-US"/>
              </w:rPr>
              <w:t xml:space="preserve">The nominated time horizon (50 years) was unchanged from the </w:t>
            </w:r>
            <w:r w:rsidR="008C5608">
              <w:rPr>
                <w:lang w:val="en-US"/>
              </w:rPr>
              <w:t xml:space="preserve">1408 </w:t>
            </w:r>
            <w:r w:rsidR="00815375">
              <w:rPr>
                <w:lang w:val="en-US"/>
              </w:rPr>
              <w:t>application</w:t>
            </w:r>
            <w:r w:rsidRPr="00C227CD">
              <w:rPr>
                <w:lang w:val="en-US"/>
              </w:rPr>
              <w:t xml:space="preserve">. </w:t>
            </w:r>
            <w:r w:rsidRPr="00C227CD">
              <w:rPr>
                <w:i/>
                <w:lang w:val="en-US"/>
              </w:rPr>
              <w:t xml:space="preserve">This was longer than the 30-year time horizons applied in other </w:t>
            </w:r>
            <w:r w:rsidR="00A67D4E">
              <w:rPr>
                <w:i/>
                <w:lang w:val="en-US"/>
              </w:rPr>
              <w:t>application</w:t>
            </w:r>
            <w:r w:rsidR="00A67D4E" w:rsidRPr="00C227CD">
              <w:rPr>
                <w:i/>
                <w:lang w:val="en-US"/>
              </w:rPr>
              <w:t xml:space="preserve">s </w:t>
            </w:r>
            <w:r w:rsidRPr="00C227CD">
              <w:rPr>
                <w:i/>
                <w:lang w:val="en-US"/>
              </w:rPr>
              <w:t>for GEP tests presented to MSAC (MSAC Application 1376.1, March 2018 MSAC Meeting PSD; MSAC Application 1473, November 2017 MSAC Meeting PSD; MSAC Application 1342, November 2013 MSAC Meeting PSD). While ESC considered that the 50-year time horizon may not be inappropriate, it was noted that longer time horizons appear to favour the intervention.</w:t>
            </w:r>
          </w:p>
        </w:tc>
        <w:tc>
          <w:tcPr>
            <w:tcW w:w="1229" w:type="pct"/>
            <w:shd w:val="clear" w:color="auto" w:fill="auto"/>
            <w:vAlign w:val="center"/>
          </w:tcPr>
          <w:p w14:paraId="10B12894" w14:textId="22C4B86C" w:rsidR="002056CD" w:rsidRPr="00C227CD" w:rsidRDefault="002056CD" w:rsidP="006B0BCC">
            <w:pPr>
              <w:rPr>
                <w:i/>
                <w:lang w:val="en-US"/>
              </w:rPr>
            </w:pPr>
            <w:r w:rsidRPr="00C227CD">
              <w:rPr>
                <w:i/>
                <w:lang w:val="en-US"/>
              </w:rPr>
              <w:t xml:space="preserve">Moderate, favours </w:t>
            </w:r>
            <w:r w:rsidR="00D50E5C">
              <w:rPr>
                <w:i/>
                <w:lang w:val="en-US"/>
              </w:rPr>
              <w:t>EndoPredict</w:t>
            </w:r>
            <w:r w:rsidR="005F1260" w:rsidRPr="005F1260">
              <w:rPr>
                <w:i/>
                <w:vertAlign w:val="superscript"/>
                <w:lang w:val="en-US"/>
              </w:rPr>
              <w:t>®</w:t>
            </w:r>
          </w:p>
          <w:p w14:paraId="776E638B" w14:textId="5A7DE4B8" w:rsidR="002056CD" w:rsidRPr="00C227CD" w:rsidRDefault="002056CD" w:rsidP="006B0BCC">
            <w:pPr>
              <w:rPr>
                <w:i/>
                <w:lang w:val="en-US"/>
              </w:rPr>
            </w:pPr>
            <w:r w:rsidRPr="00C227CD">
              <w:rPr>
                <w:i/>
                <w:lang w:val="en-US"/>
              </w:rPr>
              <w:t xml:space="preserve">The ICER increased to </w:t>
            </w:r>
            <w:r w:rsidRPr="00F54557">
              <w:rPr>
                <w:i/>
                <w:lang w:val="en-US"/>
              </w:rPr>
              <w:t>$</w:t>
            </w:r>
            <w:r w:rsidR="00AE3E5D" w:rsidRPr="00AE3E5D">
              <w:rPr>
                <w:i/>
                <w:color w:val="000000"/>
                <w:spacing w:val="53"/>
                <w:shd w:val="solid" w:color="000000" w:fill="000000"/>
                <w:fitText w:val="332" w:id="-1437332477"/>
                <w:lang w:val="en-US"/>
                <w14:textFill>
                  <w14:solidFill>
                    <w14:srgbClr w14:val="000000">
                      <w14:alpha w14:val="100000"/>
                    </w14:srgbClr>
                  </w14:solidFill>
                </w14:textFill>
              </w:rPr>
              <w:t>|||</w:t>
            </w:r>
            <w:r w:rsidR="00AE3E5D" w:rsidRPr="00AE3E5D">
              <w:rPr>
                <w:i/>
                <w:color w:val="000000"/>
                <w:spacing w:val="3"/>
                <w:shd w:val="solid" w:color="000000" w:fill="000000"/>
                <w:fitText w:val="332" w:id="-1437332477"/>
                <w:lang w:val="en-US"/>
                <w14:textFill>
                  <w14:solidFill>
                    <w14:srgbClr w14:val="000000">
                      <w14:alpha w14:val="100000"/>
                    </w14:srgbClr>
                  </w14:solidFill>
                </w14:textFill>
              </w:rPr>
              <w:t>|</w:t>
            </w:r>
            <w:r w:rsidRPr="00F54557">
              <w:rPr>
                <w:i/>
                <w:lang w:val="en-US"/>
              </w:rPr>
              <w:t>/QALY</w:t>
            </w:r>
            <w:r w:rsidRPr="00C227CD">
              <w:rPr>
                <w:i/>
                <w:lang w:val="en-US"/>
              </w:rPr>
              <w:t xml:space="preserve"> gained when a 30-year time horizon was assumed.</w:t>
            </w:r>
          </w:p>
        </w:tc>
      </w:tr>
      <w:tr w:rsidR="002056CD" w:rsidRPr="00C227CD" w14:paraId="236C524D" w14:textId="77777777" w:rsidTr="006B0BCC">
        <w:trPr>
          <w:cantSplit/>
        </w:trPr>
        <w:tc>
          <w:tcPr>
            <w:tcW w:w="1019" w:type="pct"/>
            <w:shd w:val="clear" w:color="auto" w:fill="auto"/>
            <w:vAlign w:val="center"/>
          </w:tcPr>
          <w:p w14:paraId="1D928504" w14:textId="77777777" w:rsidR="002056CD" w:rsidRPr="00C227CD" w:rsidRDefault="002056CD" w:rsidP="006B0BCC">
            <w:pPr>
              <w:jc w:val="center"/>
              <w:rPr>
                <w:lang w:val="en-US"/>
              </w:rPr>
            </w:pPr>
            <w:r w:rsidRPr="00C227CD">
              <w:rPr>
                <w:lang w:val="en-US"/>
              </w:rPr>
              <w:t>Utility values</w:t>
            </w:r>
          </w:p>
        </w:tc>
        <w:tc>
          <w:tcPr>
            <w:tcW w:w="2752" w:type="pct"/>
            <w:shd w:val="clear" w:color="auto" w:fill="auto"/>
            <w:vAlign w:val="center"/>
          </w:tcPr>
          <w:p w14:paraId="1905AA25" w14:textId="6FE3DADA" w:rsidR="002056CD" w:rsidRPr="00C227CD" w:rsidRDefault="002056CD" w:rsidP="008C5608">
            <w:pPr>
              <w:rPr>
                <w:lang w:val="en-US"/>
              </w:rPr>
            </w:pPr>
            <w:r w:rsidRPr="00C227CD">
              <w:rPr>
                <w:lang w:val="en-US"/>
              </w:rPr>
              <w:t xml:space="preserve">The health state utility values used were unchanged from the </w:t>
            </w:r>
            <w:r w:rsidR="008C5608">
              <w:rPr>
                <w:lang w:val="en-US"/>
              </w:rPr>
              <w:t xml:space="preserve">1408 </w:t>
            </w:r>
            <w:r w:rsidR="00815375">
              <w:rPr>
                <w:lang w:val="en-US"/>
              </w:rPr>
              <w:t>application</w:t>
            </w:r>
            <w:r w:rsidRPr="00C227CD">
              <w:rPr>
                <w:lang w:val="en-US"/>
              </w:rPr>
              <w:t xml:space="preserve">. </w:t>
            </w:r>
            <w:r w:rsidRPr="00C227CD">
              <w:rPr>
                <w:i/>
                <w:lang w:val="en-US"/>
              </w:rPr>
              <w:t xml:space="preserve">This was not reasonable given that ESC had considered that these may not accurately reflect the intended health states and were unrealistically high, favouring </w:t>
            </w:r>
            <w:r w:rsidR="00D50E5C">
              <w:rPr>
                <w:i/>
                <w:lang w:val="en-US"/>
              </w:rPr>
              <w:t>EndoPredict</w:t>
            </w:r>
            <w:r w:rsidR="005F1260" w:rsidRPr="005F1260">
              <w:rPr>
                <w:i/>
                <w:vertAlign w:val="superscript"/>
                <w:lang w:val="en-US"/>
              </w:rPr>
              <w:t>®</w:t>
            </w:r>
            <w:r w:rsidR="008C5608">
              <w:rPr>
                <w:i/>
                <w:lang w:val="en-US"/>
              </w:rPr>
              <w:t xml:space="preserve"> (PSD November 2019, p18)</w:t>
            </w:r>
            <w:r w:rsidRPr="00C227CD">
              <w:rPr>
                <w:i/>
                <w:lang w:val="en-US"/>
              </w:rPr>
              <w:t>.</w:t>
            </w:r>
          </w:p>
        </w:tc>
        <w:tc>
          <w:tcPr>
            <w:tcW w:w="1229" w:type="pct"/>
            <w:shd w:val="clear" w:color="auto" w:fill="auto"/>
            <w:vAlign w:val="center"/>
          </w:tcPr>
          <w:p w14:paraId="095D100E" w14:textId="134FD250" w:rsidR="002056CD" w:rsidRPr="00C227CD" w:rsidRDefault="002056CD" w:rsidP="006B0BCC">
            <w:pPr>
              <w:rPr>
                <w:i/>
                <w:lang w:val="en-US"/>
              </w:rPr>
            </w:pPr>
            <w:r w:rsidRPr="00C227CD">
              <w:rPr>
                <w:i/>
                <w:lang w:val="en-US"/>
              </w:rPr>
              <w:t xml:space="preserve">Moderate, favours </w:t>
            </w:r>
            <w:r w:rsidR="00D50E5C">
              <w:rPr>
                <w:i/>
                <w:lang w:val="en-US"/>
              </w:rPr>
              <w:t>EndoPredict</w:t>
            </w:r>
            <w:r w:rsidR="005F1260" w:rsidRPr="005F1260">
              <w:rPr>
                <w:i/>
                <w:vertAlign w:val="superscript"/>
                <w:lang w:val="en-US"/>
              </w:rPr>
              <w:t>®</w:t>
            </w:r>
          </w:p>
          <w:p w14:paraId="523DAEEB" w14:textId="46F3B1B4" w:rsidR="002056CD" w:rsidRPr="00C227CD" w:rsidRDefault="002056CD" w:rsidP="006B0BCC">
            <w:pPr>
              <w:rPr>
                <w:lang w:val="en-US"/>
              </w:rPr>
            </w:pPr>
            <w:r w:rsidRPr="00C227CD">
              <w:rPr>
                <w:i/>
                <w:lang w:val="en-US"/>
              </w:rPr>
              <w:t xml:space="preserve">The ICER increased to </w:t>
            </w:r>
            <w:r w:rsidRPr="00F54557">
              <w:rPr>
                <w:i/>
                <w:lang w:val="en-US"/>
              </w:rPr>
              <w:t>$</w:t>
            </w:r>
            <w:r w:rsidR="00AE3E5D" w:rsidRPr="00AE3E5D">
              <w:rPr>
                <w:i/>
                <w:color w:val="000000"/>
                <w:spacing w:val="53"/>
                <w:shd w:val="solid" w:color="000000" w:fill="000000"/>
                <w:fitText w:val="332" w:id="-1437332476"/>
                <w:lang w:val="en-US"/>
                <w14:textFill>
                  <w14:solidFill>
                    <w14:srgbClr w14:val="000000">
                      <w14:alpha w14:val="100000"/>
                    </w14:srgbClr>
                  </w14:solidFill>
                </w14:textFill>
              </w:rPr>
              <w:t>|||</w:t>
            </w:r>
            <w:r w:rsidR="00AE3E5D" w:rsidRPr="00AE3E5D">
              <w:rPr>
                <w:i/>
                <w:color w:val="000000"/>
                <w:spacing w:val="3"/>
                <w:shd w:val="solid" w:color="000000" w:fill="000000"/>
                <w:fitText w:val="332" w:id="-1437332476"/>
                <w:lang w:val="en-US"/>
                <w14:textFill>
                  <w14:solidFill>
                    <w14:srgbClr w14:val="000000">
                      <w14:alpha w14:val="100000"/>
                    </w14:srgbClr>
                  </w14:solidFill>
                </w14:textFill>
              </w:rPr>
              <w:t>|</w:t>
            </w:r>
            <w:r w:rsidRPr="00C227CD">
              <w:rPr>
                <w:i/>
                <w:lang w:val="en-US"/>
              </w:rPr>
              <w:t xml:space="preserve"> when alternate utility values were used.</w:t>
            </w:r>
          </w:p>
        </w:tc>
      </w:tr>
    </w:tbl>
    <w:p w14:paraId="08F64B0D" w14:textId="77777777" w:rsidR="007916BD" w:rsidRDefault="007916BD" w:rsidP="007916BD">
      <w:pPr>
        <w:keepLines/>
        <w:spacing w:after="360" w:line="240" w:lineRule="auto"/>
        <w:contextualSpacing/>
        <w:rPr>
          <w:rFonts w:ascii="Arial Narrow" w:eastAsia="Times New Roman" w:hAnsi="Arial Narrow" w:cs="Times New Roman"/>
          <w:color w:val="000000"/>
          <w:sz w:val="18"/>
          <w:szCs w:val="18"/>
          <w:lang w:eastAsia="en-AU"/>
        </w:rPr>
      </w:pPr>
      <w:r w:rsidRPr="00C227CD">
        <w:rPr>
          <w:rFonts w:ascii="Arial Narrow" w:eastAsia="Times New Roman" w:hAnsi="Arial Narrow" w:cs="Times New Roman"/>
          <w:color w:val="000000"/>
          <w:sz w:val="18"/>
          <w:szCs w:val="18"/>
          <w:lang w:eastAsia="en-AU"/>
        </w:rPr>
        <w:t>ET = endocrine therapy; ET + CTX = endocrine and chemotherapy; GEP = gene expression profile; ICER = incremental cost-effectiveness ratio; MDT = multidisciplinary; QALY = quality-adjusted life year.</w:t>
      </w:r>
    </w:p>
    <w:p w14:paraId="255E19F8" w14:textId="49E14CB7" w:rsidR="007031F8" w:rsidRDefault="002056CD" w:rsidP="007916BD">
      <w:pPr>
        <w:keepLines/>
        <w:spacing w:after="240" w:line="240" w:lineRule="auto"/>
        <w:rPr>
          <w:rFonts w:ascii="Arial Narrow" w:eastAsia="Times New Roman" w:hAnsi="Arial Narrow" w:cs="Times New Roman"/>
          <w:sz w:val="18"/>
          <w:szCs w:val="18"/>
          <w:lang w:eastAsia="en-AU"/>
        </w:rPr>
      </w:pPr>
      <w:r w:rsidRPr="00C227CD">
        <w:rPr>
          <w:rFonts w:ascii="Arial Narrow" w:eastAsia="Times New Roman" w:hAnsi="Arial Narrow" w:cs="Times New Roman"/>
          <w:color w:val="000000"/>
          <w:sz w:val="18"/>
          <w:szCs w:val="18"/>
          <w:lang w:eastAsia="en-AU"/>
        </w:rPr>
        <w:t>Source: Constructed during the evaluation.</w:t>
      </w:r>
      <w:r w:rsidR="007031F8">
        <w:rPr>
          <w:rFonts w:ascii="Arial Narrow" w:eastAsia="Times New Roman" w:hAnsi="Arial Narrow" w:cs="Times New Roman"/>
          <w:sz w:val="18"/>
          <w:szCs w:val="18"/>
          <w:lang w:eastAsia="en-AU"/>
        </w:rPr>
        <w:t xml:space="preserve"> T</w:t>
      </w:r>
      <w:r w:rsidR="007031F8" w:rsidRPr="00C227CD">
        <w:rPr>
          <w:rFonts w:ascii="Arial Narrow" w:eastAsia="Times New Roman" w:hAnsi="Arial Narrow" w:cs="Times New Roman"/>
          <w:sz w:val="18"/>
          <w:szCs w:val="18"/>
          <w:lang w:eastAsia="en-AU"/>
        </w:rPr>
        <w:t xml:space="preserve">ext in </w:t>
      </w:r>
      <w:r w:rsidR="007031F8" w:rsidRPr="00C227CD">
        <w:rPr>
          <w:rFonts w:ascii="Arial Narrow" w:eastAsia="Times New Roman" w:hAnsi="Arial Narrow" w:cs="Times New Roman"/>
          <w:i/>
          <w:sz w:val="18"/>
          <w:szCs w:val="18"/>
          <w:lang w:eastAsia="en-AU"/>
        </w:rPr>
        <w:t>italics</w:t>
      </w:r>
      <w:r w:rsidR="007031F8" w:rsidRPr="00C227CD">
        <w:rPr>
          <w:rFonts w:ascii="Arial Narrow" w:eastAsia="Times New Roman" w:hAnsi="Arial Narrow" w:cs="Times New Roman"/>
          <w:sz w:val="18"/>
          <w:szCs w:val="18"/>
          <w:lang w:eastAsia="en-AU"/>
        </w:rPr>
        <w:t xml:space="preserve"> </w:t>
      </w:r>
      <w:r w:rsidR="007031F8">
        <w:rPr>
          <w:rFonts w:ascii="Arial Narrow" w:eastAsia="Times New Roman" w:hAnsi="Arial Narrow" w:cs="Times New Roman"/>
          <w:sz w:val="18"/>
          <w:szCs w:val="18"/>
          <w:lang w:eastAsia="en-AU"/>
        </w:rPr>
        <w:t xml:space="preserve">reflect </w:t>
      </w:r>
      <w:r w:rsidR="001D4775">
        <w:rPr>
          <w:rFonts w:ascii="Arial Narrow" w:eastAsia="Times New Roman" w:hAnsi="Arial Narrow" w:cs="Times New Roman"/>
          <w:sz w:val="18"/>
          <w:szCs w:val="18"/>
          <w:lang w:eastAsia="en-AU"/>
        </w:rPr>
        <w:t>c</w:t>
      </w:r>
      <w:r w:rsidR="007031F8">
        <w:rPr>
          <w:rFonts w:ascii="Arial Narrow" w:eastAsia="Times New Roman" w:hAnsi="Arial Narrow" w:cs="Times New Roman"/>
          <w:sz w:val="18"/>
          <w:szCs w:val="18"/>
          <w:lang w:eastAsia="en-AU"/>
        </w:rPr>
        <w:t>omment</w:t>
      </w:r>
      <w:r w:rsidR="001D4775">
        <w:rPr>
          <w:rFonts w:ascii="Arial Narrow" w:eastAsia="Times New Roman" w:hAnsi="Arial Narrow" w:cs="Times New Roman"/>
          <w:sz w:val="18"/>
          <w:szCs w:val="18"/>
          <w:lang w:eastAsia="en-AU"/>
        </w:rPr>
        <w:t>s generated during the evaluation</w:t>
      </w:r>
      <w:r w:rsidR="007031F8" w:rsidRPr="00C227CD">
        <w:rPr>
          <w:rFonts w:ascii="Arial Narrow" w:eastAsia="Times New Roman" w:hAnsi="Arial Narrow" w:cs="Times New Roman"/>
          <w:sz w:val="18"/>
          <w:szCs w:val="18"/>
          <w:lang w:eastAsia="en-AU"/>
        </w:rPr>
        <w:t>.</w:t>
      </w:r>
    </w:p>
    <w:p w14:paraId="24B83827" w14:textId="1D475BC1" w:rsidR="002056CD" w:rsidRPr="001D4775" w:rsidRDefault="002056CD" w:rsidP="007916BD">
      <w:pPr>
        <w:keepNext/>
        <w:spacing w:before="240"/>
        <w:rPr>
          <w:rFonts w:ascii="Franklin Gothic Book" w:hAnsi="Franklin Gothic Book"/>
          <w:iCs/>
        </w:rPr>
      </w:pPr>
      <w:r w:rsidRPr="001D4775">
        <w:rPr>
          <w:rFonts w:ascii="Franklin Gothic Book" w:hAnsi="Franklin Gothic Book"/>
          <w:iCs/>
        </w:rPr>
        <w:lastRenderedPageBreak/>
        <w:t xml:space="preserve">In addition to these drivers, </w:t>
      </w:r>
      <w:r w:rsidR="007031F8" w:rsidRPr="001D4775">
        <w:rPr>
          <w:rFonts w:ascii="Franklin Gothic Book" w:hAnsi="Franklin Gothic Book"/>
          <w:iCs/>
        </w:rPr>
        <w:t xml:space="preserve">the </w:t>
      </w:r>
      <w:r w:rsidR="006A2C29" w:rsidRPr="001D4775">
        <w:rPr>
          <w:rFonts w:ascii="Franklin Gothic Book" w:hAnsi="Franklin Gothic Book"/>
          <w:iCs/>
        </w:rPr>
        <w:t>c</w:t>
      </w:r>
      <w:r w:rsidR="007031F8" w:rsidRPr="001D4775">
        <w:rPr>
          <w:rFonts w:ascii="Franklin Gothic Book" w:hAnsi="Franklin Gothic Book"/>
          <w:iCs/>
        </w:rPr>
        <w:t>ommentary considered that</w:t>
      </w:r>
      <w:r w:rsidRPr="001D4775">
        <w:rPr>
          <w:rFonts w:ascii="Franklin Gothic Book" w:hAnsi="Franklin Gothic Book"/>
          <w:iCs/>
        </w:rPr>
        <w:t xml:space="preserve"> concerns remain in the underlying </w:t>
      </w:r>
      <w:r w:rsidR="00591C9B" w:rsidRPr="001D4775">
        <w:rPr>
          <w:rFonts w:ascii="Franklin Gothic Book" w:hAnsi="Franklin Gothic Book"/>
          <w:iCs/>
        </w:rPr>
        <w:t xml:space="preserve">clinical </w:t>
      </w:r>
      <w:r w:rsidRPr="001D4775">
        <w:rPr>
          <w:rFonts w:ascii="Franklin Gothic Book" w:hAnsi="Franklin Gothic Book"/>
          <w:iCs/>
        </w:rPr>
        <w:t>evidence base:</w:t>
      </w:r>
    </w:p>
    <w:p w14:paraId="4A4EF361" w14:textId="79B90B85" w:rsidR="002056CD" w:rsidRPr="001D4775" w:rsidRDefault="002056CD" w:rsidP="00E95EED">
      <w:pPr>
        <w:numPr>
          <w:ilvl w:val="0"/>
          <w:numId w:val="26"/>
        </w:numPr>
        <w:spacing w:before="120"/>
        <w:contextualSpacing/>
        <w:rPr>
          <w:rFonts w:ascii="Franklin Gothic Book" w:hAnsi="Franklin Gothic Book"/>
          <w:iCs/>
          <w:lang w:eastAsia="en-AU"/>
        </w:rPr>
      </w:pPr>
      <w:r w:rsidRPr="001D4775">
        <w:rPr>
          <w:rFonts w:ascii="Franklin Gothic Book" w:hAnsi="Franklin Gothic Book"/>
          <w:iCs/>
          <w:lang w:eastAsia="en-AU"/>
        </w:rPr>
        <w:t xml:space="preserve">Sestak et al. (2019), which was used to inform the 10-year recurrence rates for ET alone and ET + CTX, was a retrospective analysis of the GEICAM, ABCSG and TransATAC studies. Patients included </w:t>
      </w:r>
      <w:r w:rsidR="00234646" w:rsidRPr="001D4775">
        <w:rPr>
          <w:rFonts w:ascii="Franklin Gothic Book" w:hAnsi="Franklin Gothic Book"/>
          <w:iCs/>
          <w:lang w:eastAsia="en-AU"/>
        </w:rPr>
        <w:t xml:space="preserve">also </w:t>
      </w:r>
      <w:r w:rsidRPr="001D4775">
        <w:rPr>
          <w:rFonts w:ascii="Franklin Gothic Book" w:hAnsi="Franklin Gothic Book"/>
          <w:iCs/>
          <w:lang w:eastAsia="en-AU"/>
        </w:rPr>
        <w:t>did not necessarily reflect the proposed intermediate population based on clinical and pathological characteristics. It is unclear what effect these differences would have on the recurrence estimates applied in the model by EPclin score.</w:t>
      </w:r>
    </w:p>
    <w:p w14:paraId="51DBBE75" w14:textId="4AFBD40B" w:rsidR="002056CD" w:rsidRPr="001D4775" w:rsidRDefault="002056CD" w:rsidP="00E95EED">
      <w:pPr>
        <w:numPr>
          <w:ilvl w:val="0"/>
          <w:numId w:val="26"/>
        </w:numPr>
        <w:spacing w:before="120"/>
        <w:contextualSpacing/>
        <w:rPr>
          <w:rFonts w:ascii="Franklin Gothic Book" w:hAnsi="Franklin Gothic Book"/>
          <w:iCs/>
          <w:lang w:eastAsia="en-AU"/>
        </w:rPr>
      </w:pPr>
      <w:r w:rsidRPr="001D4775">
        <w:rPr>
          <w:rFonts w:ascii="Franklin Gothic Book" w:hAnsi="Franklin Gothic Book"/>
          <w:iCs/>
          <w:lang w:eastAsia="en-AU"/>
        </w:rPr>
        <w:t>The predictive effect for the benefit of chemotherapy by EPclin score modelled was also based on Sestak et al. (2019). Patients in the studies where chemotherapy was used were more likely to be younger, have a later tumour stage and larger number of positive nodes than those receiving endocrine therapy alone. It is unclear what effect this would have on the comparisons presented.</w:t>
      </w:r>
    </w:p>
    <w:p w14:paraId="76266FC2" w14:textId="77777777" w:rsidR="002056CD" w:rsidRPr="001D4775" w:rsidRDefault="002056CD" w:rsidP="00C70CB5">
      <w:pPr>
        <w:numPr>
          <w:ilvl w:val="0"/>
          <w:numId w:val="26"/>
        </w:numPr>
        <w:spacing w:before="120"/>
        <w:ind w:left="714" w:hanging="357"/>
        <w:rPr>
          <w:rFonts w:ascii="Franklin Gothic Book" w:hAnsi="Franklin Gothic Book"/>
          <w:iCs/>
          <w:lang w:eastAsia="en-AU"/>
        </w:rPr>
      </w:pPr>
      <w:r w:rsidRPr="001D4775">
        <w:rPr>
          <w:rFonts w:ascii="Franklin Gothic Book" w:hAnsi="Franklin Gothic Book"/>
          <w:iCs/>
          <w:lang w:eastAsia="en-AU"/>
        </w:rPr>
        <w:t>While the change in management data used in the economic analysis was based on the MBS-eligible subgroup of PROSPER, previous applicability concerns were raised regarding management practices and decisions in this study. As PROSPER was conducted in a limited number of Australian sites that have a reputation for cancer care, the decisions made may not reflect MDT decisions more broadly.</w:t>
      </w:r>
    </w:p>
    <w:p w14:paraId="3B9A5CD7" w14:textId="04691ADE" w:rsidR="002056CD" w:rsidRPr="001D4775" w:rsidRDefault="002056CD" w:rsidP="002056CD">
      <w:pPr>
        <w:rPr>
          <w:rFonts w:ascii="Franklin Gothic Book" w:hAnsi="Franklin Gothic Book"/>
          <w:iCs/>
          <w:lang w:eastAsia="en-AU"/>
        </w:rPr>
      </w:pPr>
      <w:r w:rsidRPr="001D4775">
        <w:rPr>
          <w:rFonts w:ascii="Franklin Gothic Book" w:hAnsi="Franklin Gothic Book"/>
          <w:iCs/>
          <w:lang w:eastAsia="en-AU"/>
        </w:rPr>
        <w:t xml:space="preserve">These issues are likely to affect the </w:t>
      </w:r>
      <w:r w:rsidR="00234646" w:rsidRPr="001D4775">
        <w:rPr>
          <w:rFonts w:ascii="Franklin Gothic Book" w:hAnsi="Franklin Gothic Book"/>
          <w:iCs/>
          <w:lang w:eastAsia="en-AU"/>
        </w:rPr>
        <w:t>accuracy</w:t>
      </w:r>
      <w:r w:rsidRPr="001D4775">
        <w:rPr>
          <w:rFonts w:ascii="Franklin Gothic Book" w:hAnsi="Franklin Gothic Book"/>
          <w:iCs/>
          <w:lang w:eastAsia="en-AU"/>
        </w:rPr>
        <w:t xml:space="preserve"> of the results generated from the economic analysis.</w:t>
      </w:r>
    </w:p>
    <w:p w14:paraId="2BE86538" w14:textId="7CF7CA1E" w:rsidR="002056CD" w:rsidRPr="001D4775" w:rsidRDefault="002056CD" w:rsidP="00C70CB5">
      <w:pPr>
        <w:spacing w:before="120"/>
        <w:rPr>
          <w:rFonts w:ascii="Franklin Gothic Book" w:hAnsi="Franklin Gothic Book"/>
          <w:iCs/>
        </w:rPr>
      </w:pPr>
      <w:r w:rsidRPr="001D4775">
        <w:rPr>
          <w:rFonts w:ascii="Franklin Gothic Book" w:hAnsi="Franklin Gothic Book"/>
          <w:iCs/>
        </w:rPr>
        <w:t xml:space="preserve">As previously noted, the base case analysis did not include changes that addressed concerns previously identified by MSAC and ESC. Some of these were addressed in sensitivity analyses presented in the </w:t>
      </w:r>
      <w:r w:rsidR="003B0F35" w:rsidRPr="001D4775">
        <w:rPr>
          <w:rFonts w:ascii="Franklin Gothic Book" w:hAnsi="Franklin Gothic Book"/>
          <w:iCs/>
        </w:rPr>
        <w:t xml:space="preserve">1408.1 </w:t>
      </w:r>
      <w:r w:rsidR="00815375">
        <w:rPr>
          <w:rFonts w:ascii="Franklin Gothic Book" w:hAnsi="Franklin Gothic Book"/>
          <w:iCs/>
        </w:rPr>
        <w:t>re-application</w:t>
      </w:r>
      <w:r w:rsidRPr="001D4775">
        <w:rPr>
          <w:rFonts w:ascii="Franklin Gothic Book" w:hAnsi="Franklin Gothic Book"/>
          <w:iCs/>
        </w:rPr>
        <w:t>, though a number remained outstanding. Additional analyses were conducted during the evaluation to address the remaining matters of concern, where able, around the base case analysis (with corrections) (</w:t>
      </w:r>
      <w:r w:rsidRPr="001D4775">
        <w:rPr>
          <w:rFonts w:ascii="Franklin Gothic Book" w:hAnsi="Franklin Gothic Book"/>
          <w:iCs/>
        </w:rPr>
        <w:fldChar w:fldCharType="begin"/>
      </w:r>
      <w:r w:rsidRPr="001D4775">
        <w:rPr>
          <w:rFonts w:ascii="Franklin Gothic Book" w:hAnsi="Franklin Gothic Book"/>
          <w:iCs/>
        </w:rPr>
        <w:instrText xml:space="preserve"> REF _Ref100130380 \h  \* MERGEFORMAT </w:instrText>
      </w:r>
      <w:r w:rsidRPr="001D4775">
        <w:rPr>
          <w:rFonts w:ascii="Franklin Gothic Book" w:hAnsi="Franklin Gothic Book"/>
          <w:iCs/>
        </w:rPr>
      </w:r>
      <w:r w:rsidRPr="001D4775">
        <w:rPr>
          <w:rFonts w:ascii="Franklin Gothic Book" w:hAnsi="Franklin Gothic Book"/>
          <w:iCs/>
        </w:rPr>
        <w:fldChar w:fldCharType="separate"/>
      </w:r>
      <w:r w:rsidR="00943826" w:rsidRPr="00943826">
        <w:rPr>
          <w:rFonts w:ascii="Franklin Gothic Book" w:hAnsi="Franklin Gothic Book"/>
          <w:iCs/>
        </w:rPr>
        <w:t xml:space="preserve">Table </w:t>
      </w:r>
      <w:r w:rsidR="00943826" w:rsidRPr="00943826">
        <w:rPr>
          <w:rFonts w:ascii="Franklin Gothic Book" w:hAnsi="Franklin Gothic Book"/>
          <w:iCs/>
          <w:noProof/>
        </w:rPr>
        <w:t>15</w:t>
      </w:r>
      <w:r w:rsidRPr="001D4775">
        <w:rPr>
          <w:rFonts w:ascii="Franklin Gothic Book" w:hAnsi="Franklin Gothic Book"/>
          <w:iCs/>
        </w:rPr>
        <w:fldChar w:fldCharType="end"/>
      </w:r>
      <w:r w:rsidRPr="001D4775">
        <w:rPr>
          <w:rFonts w:ascii="Franklin Gothic Book" w:hAnsi="Franklin Gothic Book"/>
          <w:iCs/>
        </w:rPr>
        <w:t>).</w:t>
      </w:r>
    </w:p>
    <w:p w14:paraId="0D7FE944" w14:textId="0ADD3E5A" w:rsidR="002056CD" w:rsidRPr="00C227CD" w:rsidRDefault="002056CD" w:rsidP="002056CD">
      <w:pPr>
        <w:keepNext/>
        <w:spacing w:before="360" w:after="120" w:line="240" w:lineRule="auto"/>
        <w:rPr>
          <w:rFonts w:ascii="Arial Narrow" w:eastAsia="Times New Roman" w:hAnsi="Arial Narrow" w:cs="Times New Roman"/>
          <w:b/>
          <w:bCs/>
          <w:sz w:val="20"/>
          <w:szCs w:val="20"/>
        </w:rPr>
      </w:pPr>
      <w:bookmarkStart w:id="62" w:name="_Ref100130380"/>
      <w:r w:rsidRPr="00C227CD">
        <w:rPr>
          <w:rFonts w:ascii="Arial Narrow" w:eastAsia="Times New Roman" w:hAnsi="Arial Narrow" w:cs="Times New Roman"/>
          <w:b/>
          <w:bCs/>
          <w:sz w:val="20"/>
          <w:szCs w:val="20"/>
        </w:rPr>
        <w:lastRenderedPageBreak/>
        <w:t xml:space="preserve">Table </w:t>
      </w:r>
      <w:r w:rsidRPr="00C227CD">
        <w:rPr>
          <w:rFonts w:ascii="Arial Narrow" w:eastAsia="Times New Roman" w:hAnsi="Arial Narrow" w:cs="Times New Roman"/>
          <w:b/>
          <w:bCs/>
          <w:sz w:val="20"/>
          <w:szCs w:val="20"/>
        </w:rPr>
        <w:fldChar w:fldCharType="begin"/>
      </w:r>
      <w:r w:rsidRPr="00C227CD">
        <w:rPr>
          <w:rFonts w:ascii="Arial Narrow" w:eastAsia="Times New Roman" w:hAnsi="Arial Narrow" w:cs="Times New Roman"/>
          <w:b/>
          <w:bCs/>
          <w:sz w:val="20"/>
          <w:szCs w:val="20"/>
        </w:rPr>
        <w:instrText xml:space="preserve"> SEQ Table \* ARABIC </w:instrText>
      </w:r>
      <w:r w:rsidRPr="00C227CD">
        <w:rPr>
          <w:rFonts w:ascii="Arial Narrow" w:eastAsia="Times New Roman" w:hAnsi="Arial Narrow" w:cs="Times New Roman"/>
          <w:b/>
          <w:bCs/>
          <w:sz w:val="20"/>
          <w:szCs w:val="20"/>
        </w:rPr>
        <w:fldChar w:fldCharType="separate"/>
      </w:r>
      <w:r w:rsidR="00943826">
        <w:rPr>
          <w:rFonts w:ascii="Arial Narrow" w:eastAsia="Times New Roman" w:hAnsi="Arial Narrow" w:cs="Times New Roman"/>
          <w:b/>
          <w:bCs/>
          <w:noProof/>
          <w:sz w:val="20"/>
          <w:szCs w:val="20"/>
        </w:rPr>
        <w:t>15</w:t>
      </w:r>
      <w:r w:rsidRPr="00C227CD">
        <w:rPr>
          <w:rFonts w:ascii="Arial Narrow" w:eastAsia="Times New Roman" w:hAnsi="Arial Narrow" w:cs="Times New Roman"/>
          <w:b/>
          <w:bCs/>
          <w:noProof/>
          <w:sz w:val="20"/>
          <w:szCs w:val="20"/>
        </w:rPr>
        <w:fldChar w:fldCharType="end"/>
      </w:r>
      <w:bookmarkEnd w:id="62"/>
      <w:r w:rsidRPr="00C227CD">
        <w:rPr>
          <w:rFonts w:ascii="Arial Narrow" w:eastAsia="Times New Roman" w:hAnsi="Arial Narrow" w:cs="Times New Roman"/>
          <w:b/>
          <w:bCs/>
          <w:sz w:val="20"/>
          <w:szCs w:val="20"/>
        </w:rPr>
        <w:t>: Sensitivity analyses exploring matters of concern previously raised by MSAC</w:t>
      </w:r>
    </w:p>
    <w:tbl>
      <w:tblPr>
        <w:tblStyle w:val="ASDTable2"/>
        <w:tblW w:w="0" w:type="auto"/>
        <w:tblLayout w:type="fixed"/>
        <w:tblLook w:val="04A0" w:firstRow="1" w:lastRow="0" w:firstColumn="1" w:lastColumn="0" w:noHBand="0" w:noVBand="1"/>
      </w:tblPr>
      <w:tblGrid>
        <w:gridCol w:w="5524"/>
        <w:gridCol w:w="992"/>
        <w:gridCol w:w="992"/>
        <w:gridCol w:w="851"/>
        <w:gridCol w:w="657"/>
      </w:tblGrid>
      <w:tr w:rsidR="002056CD" w:rsidRPr="00C227CD" w14:paraId="3243E81D" w14:textId="77777777" w:rsidTr="00F724BD">
        <w:trPr>
          <w:tblHeader/>
        </w:trPr>
        <w:tc>
          <w:tcPr>
            <w:tcW w:w="5524" w:type="dxa"/>
          </w:tcPr>
          <w:p w14:paraId="7F2499F6" w14:textId="77777777" w:rsidR="002056CD" w:rsidRPr="00C227CD" w:rsidRDefault="002056CD" w:rsidP="006B0BCC">
            <w:pPr>
              <w:keepNext/>
              <w:rPr>
                <w:rFonts w:ascii="Arial Narrow" w:hAnsi="Arial Narrow"/>
                <w:b/>
                <w:sz w:val="20"/>
                <w:lang w:eastAsia="en-AU"/>
              </w:rPr>
            </w:pPr>
          </w:p>
        </w:tc>
        <w:tc>
          <w:tcPr>
            <w:tcW w:w="992" w:type="dxa"/>
          </w:tcPr>
          <w:p w14:paraId="3A335E6A" w14:textId="77777777" w:rsidR="002056CD" w:rsidRPr="00C227CD" w:rsidRDefault="002056CD" w:rsidP="006B0BCC">
            <w:pPr>
              <w:keepNext/>
              <w:jc w:val="center"/>
              <w:rPr>
                <w:rFonts w:ascii="Arial Narrow" w:hAnsi="Arial Narrow"/>
                <w:b/>
                <w:sz w:val="20"/>
                <w:lang w:eastAsia="en-AU"/>
              </w:rPr>
            </w:pPr>
            <w:r w:rsidRPr="00C227CD">
              <w:rPr>
                <w:rFonts w:ascii="Arial Narrow" w:hAnsi="Arial Narrow"/>
                <w:b/>
                <w:sz w:val="20"/>
                <w:lang w:eastAsia="en-AU"/>
              </w:rPr>
              <w:t>Inc. cost</w:t>
            </w:r>
          </w:p>
        </w:tc>
        <w:tc>
          <w:tcPr>
            <w:tcW w:w="992" w:type="dxa"/>
          </w:tcPr>
          <w:p w14:paraId="5FB9DFA6" w14:textId="77777777" w:rsidR="002056CD" w:rsidRPr="00C227CD" w:rsidRDefault="002056CD" w:rsidP="006B0BCC">
            <w:pPr>
              <w:keepNext/>
              <w:jc w:val="center"/>
              <w:rPr>
                <w:rFonts w:ascii="Arial Narrow" w:hAnsi="Arial Narrow"/>
                <w:b/>
                <w:sz w:val="20"/>
                <w:lang w:eastAsia="en-AU"/>
              </w:rPr>
            </w:pPr>
            <w:r w:rsidRPr="00C227CD">
              <w:rPr>
                <w:rFonts w:ascii="Arial Narrow" w:hAnsi="Arial Narrow"/>
                <w:b/>
                <w:sz w:val="20"/>
                <w:lang w:eastAsia="en-AU"/>
              </w:rPr>
              <w:t>Inc. QALYs</w:t>
            </w:r>
          </w:p>
        </w:tc>
        <w:tc>
          <w:tcPr>
            <w:tcW w:w="851" w:type="dxa"/>
          </w:tcPr>
          <w:p w14:paraId="78C5C6A8" w14:textId="77777777" w:rsidR="002056CD" w:rsidRPr="00C227CD" w:rsidRDefault="002056CD" w:rsidP="006B0BCC">
            <w:pPr>
              <w:keepNext/>
              <w:jc w:val="center"/>
              <w:rPr>
                <w:rFonts w:ascii="Arial Narrow" w:hAnsi="Arial Narrow"/>
                <w:b/>
                <w:sz w:val="20"/>
                <w:lang w:eastAsia="en-AU"/>
              </w:rPr>
            </w:pPr>
            <w:r w:rsidRPr="00C227CD">
              <w:rPr>
                <w:rFonts w:ascii="Arial Narrow" w:hAnsi="Arial Narrow"/>
                <w:b/>
                <w:sz w:val="20"/>
                <w:lang w:eastAsia="en-AU"/>
              </w:rPr>
              <w:t>ICER</w:t>
            </w:r>
          </w:p>
        </w:tc>
        <w:tc>
          <w:tcPr>
            <w:tcW w:w="657" w:type="dxa"/>
          </w:tcPr>
          <w:p w14:paraId="566315B0" w14:textId="77777777" w:rsidR="002056CD" w:rsidRPr="00C227CD" w:rsidRDefault="002056CD" w:rsidP="006B0BCC">
            <w:pPr>
              <w:keepNext/>
              <w:jc w:val="center"/>
              <w:rPr>
                <w:rFonts w:ascii="Arial Narrow" w:hAnsi="Arial Narrow"/>
                <w:b/>
                <w:sz w:val="20"/>
                <w:lang w:eastAsia="en-AU"/>
              </w:rPr>
            </w:pPr>
            <w:r w:rsidRPr="00C227CD">
              <w:rPr>
                <w:rFonts w:ascii="Arial Narrow" w:hAnsi="Arial Narrow"/>
                <w:b/>
                <w:sz w:val="20"/>
                <w:lang w:eastAsia="en-AU"/>
              </w:rPr>
              <w:t>%</w:t>
            </w:r>
          </w:p>
        </w:tc>
      </w:tr>
      <w:tr w:rsidR="002056CD" w:rsidRPr="00C227CD" w14:paraId="0B520174" w14:textId="77777777" w:rsidTr="00F724BD">
        <w:trPr>
          <w:tblHeader/>
        </w:trPr>
        <w:tc>
          <w:tcPr>
            <w:tcW w:w="5524" w:type="dxa"/>
            <w:tcBorders>
              <w:bottom w:val="single" w:sz="4" w:space="0" w:color="auto"/>
            </w:tcBorders>
          </w:tcPr>
          <w:p w14:paraId="722C7EF1" w14:textId="7D41DF6A" w:rsidR="002056CD" w:rsidRPr="00C227CD" w:rsidRDefault="0069694E" w:rsidP="0069694E">
            <w:pPr>
              <w:keepNext/>
              <w:rPr>
                <w:rFonts w:ascii="Arial Narrow" w:hAnsi="Arial Narrow"/>
                <w:b/>
                <w:sz w:val="20"/>
              </w:rPr>
            </w:pPr>
            <w:r>
              <w:rPr>
                <w:rFonts w:ascii="Arial Narrow" w:hAnsi="Arial Narrow"/>
                <w:b/>
                <w:sz w:val="20"/>
              </w:rPr>
              <w:t xml:space="preserve">1408.1 </w:t>
            </w:r>
            <w:r w:rsidR="00815375">
              <w:rPr>
                <w:rFonts w:ascii="Arial Narrow" w:hAnsi="Arial Narrow"/>
                <w:b/>
                <w:sz w:val="20"/>
              </w:rPr>
              <w:t xml:space="preserve">re-application </w:t>
            </w:r>
            <w:r w:rsidR="002056CD" w:rsidRPr="00C227CD">
              <w:rPr>
                <w:rFonts w:ascii="Arial Narrow" w:hAnsi="Arial Narrow"/>
                <w:b/>
                <w:sz w:val="20"/>
              </w:rPr>
              <w:t xml:space="preserve">base case </w:t>
            </w:r>
            <w:r w:rsidR="002056CD" w:rsidRPr="00C227CD">
              <w:rPr>
                <w:rFonts w:ascii="Arial Narrow" w:hAnsi="Arial Narrow"/>
                <w:b/>
                <w:i/>
                <w:sz w:val="20"/>
              </w:rPr>
              <w:t>(corrected)</w:t>
            </w:r>
          </w:p>
        </w:tc>
        <w:tc>
          <w:tcPr>
            <w:tcW w:w="992" w:type="dxa"/>
            <w:tcBorders>
              <w:bottom w:val="single" w:sz="4" w:space="0" w:color="auto"/>
            </w:tcBorders>
          </w:tcPr>
          <w:p w14:paraId="300EDEA9" w14:textId="4094E31E" w:rsidR="002056CD" w:rsidRPr="00C40D0C" w:rsidRDefault="002056CD" w:rsidP="006B0BCC">
            <w:pPr>
              <w:keepNext/>
              <w:jc w:val="right"/>
              <w:rPr>
                <w:rFonts w:ascii="Arial Narrow" w:hAnsi="Arial Narrow"/>
                <w:b/>
                <w:i/>
                <w:sz w:val="20"/>
              </w:rPr>
            </w:pPr>
            <w:r w:rsidRPr="00C40D0C">
              <w:rPr>
                <w:rFonts w:ascii="Arial Narrow" w:hAnsi="Arial Narrow"/>
                <w:b/>
                <w:i/>
                <w:sz w:val="20"/>
              </w:rPr>
              <w:t>$</w:t>
            </w:r>
            <w:r w:rsidR="00AE3E5D" w:rsidRPr="00AE3E5D">
              <w:rPr>
                <w:rFonts w:ascii="Arial Narrow" w:hAnsi="Arial Narrow"/>
                <w:b/>
                <w:i/>
                <w:color w:val="000000"/>
                <w:spacing w:val="60"/>
                <w:sz w:val="20"/>
                <w:shd w:val="solid" w:color="000000" w:fill="000000"/>
                <w:fitText w:val="152" w:id="-1437332475"/>
                <w14:textFill>
                  <w14:solidFill>
                    <w14:srgbClr w14:val="000000">
                      <w14:alpha w14:val="100000"/>
                    </w14:srgbClr>
                  </w14:solidFill>
                </w14:textFill>
              </w:rPr>
              <w:t>|</w:t>
            </w:r>
            <w:r w:rsidR="00AE3E5D" w:rsidRPr="00AE3E5D">
              <w:rPr>
                <w:rFonts w:ascii="Arial Narrow" w:hAnsi="Arial Narrow"/>
                <w:b/>
                <w:i/>
                <w:color w:val="000000"/>
                <w:spacing w:val="1"/>
                <w:sz w:val="20"/>
                <w:shd w:val="solid" w:color="000000" w:fill="000000"/>
                <w:fitText w:val="152" w:id="-1437332475"/>
                <w14:textFill>
                  <w14:solidFill>
                    <w14:srgbClr w14:val="000000">
                      <w14:alpha w14:val="100000"/>
                    </w14:srgbClr>
                  </w14:solidFill>
                </w14:textFill>
              </w:rPr>
              <w:t>|</w:t>
            </w:r>
          </w:p>
        </w:tc>
        <w:tc>
          <w:tcPr>
            <w:tcW w:w="992" w:type="dxa"/>
            <w:tcBorders>
              <w:bottom w:val="single" w:sz="4" w:space="0" w:color="auto"/>
            </w:tcBorders>
          </w:tcPr>
          <w:p w14:paraId="4580BDA7" w14:textId="77777777" w:rsidR="002056CD" w:rsidRPr="00C40D0C" w:rsidRDefault="002056CD" w:rsidP="006B0BCC">
            <w:pPr>
              <w:keepNext/>
              <w:jc w:val="right"/>
              <w:rPr>
                <w:rFonts w:ascii="Arial Narrow" w:hAnsi="Arial Narrow"/>
                <w:b/>
                <w:i/>
                <w:sz w:val="20"/>
              </w:rPr>
            </w:pPr>
            <w:r w:rsidRPr="00C40D0C">
              <w:rPr>
                <w:rFonts w:ascii="Arial Narrow" w:hAnsi="Arial Narrow"/>
                <w:b/>
                <w:i/>
                <w:sz w:val="20"/>
              </w:rPr>
              <w:t>0.080</w:t>
            </w:r>
          </w:p>
        </w:tc>
        <w:tc>
          <w:tcPr>
            <w:tcW w:w="851" w:type="dxa"/>
            <w:tcBorders>
              <w:bottom w:val="single" w:sz="4" w:space="0" w:color="auto"/>
            </w:tcBorders>
          </w:tcPr>
          <w:p w14:paraId="76F89BB6" w14:textId="5CC3DC65" w:rsidR="002056CD" w:rsidRPr="00C40D0C" w:rsidRDefault="002056CD" w:rsidP="006B0BCC">
            <w:pPr>
              <w:keepNext/>
              <w:jc w:val="right"/>
              <w:rPr>
                <w:rFonts w:ascii="Arial Narrow" w:hAnsi="Arial Narrow"/>
                <w:b/>
                <w:i/>
                <w:sz w:val="20"/>
              </w:rPr>
            </w:pPr>
            <w:r w:rsidRPr="00C40D0C">
              <w:rPr>
                <w:rFonts w:ascii="Arial Narrow" w:hAnsi="Arial Narrow"/>
                <w:b/>
                <w:i/>
                <w:sz w:val="20"/>
              </w:rPr>
              <w:t>$</w:t>
            </w:r>
            <w:r w:rsidR="00AE3E5D" w:rsidRPr="00AE3E5D">
              <w:rPr>
                <w:rFonts w:ascii="Arial Narrow" w:hAnsi="Arial Narrow"/>
                <w:b/>
                <w:i/>
                <w:color w:val="000000"/>
                <w:spacing w:val="199"/>
                <w:sz w:val="20"/>
                <w:shd w:val="solid" w:color="000000" w:fill="000000"/>
                <w:fitText w:val="291" w:id="-1437332474"/>
                <w14:textFill>
                  <w14:solidFill>
                    <w14:srgbClr w14:val="000000">
                      <w14:alpha w14:val="100000"/>
                    </w14:srgbClr>
                  </w14:solidFill>
                </w14:textFill>
              </w:rPr>
              <w:t>|</w:t>
            </w:r>
            <w:r w:rsidR="00AE3E5D" w:rsidRPr="00AE3E5D">
              <w:rPr>
                <w:rFonts w:ascii="Arial Narrow" w:hAnsi="Arial Narrow"/>
                <w:b/>
                <w:i/>
                <w:color w:val="000000"/>
                <w:spacing w:val="1"/>
                <w:sz w:val="20"/>
                <w:shd w:val="solid" w:color="000000" w:fill="000000"/>
                <w:fitText w:val="291" w:id="-1437332474"/>
                <w14:textFill>
                  <w14:solidFill>
                    <w14:srgbClr w14:val="000000">
                      <w14:alpha w14:val="100000"/>
                    </w14:srgbClr>
                  </w14:solidFill>
                </w14:textFill>
              </w:rPr>
              <w:t>|</w:t>
            </w:r>
          </w:p>
        </w:tc>
        <w:tc>
          <w:tcPr>
            <w:tcW w:w="657" w:type="dxa"/>
            <w:tcBorders>
              <w:bottom w:val="single" w:sz="4" w:space="0" w:color="auto"/>
            </w:tcBorders>
          </w:tcPr>
          <w:p w14:paraId="3A7A9279" w14:textId="77777777" w:rsidR="002056CD" w:rsidRPr="00C40D0C" w:rsidRDefault="002056CD" w:rsidP="006B0BCC">
            <w:pPr>
              <w:keepNext/>
              <w:jc w:val="right"/>
              <w:rPr>
                <w:rFonts w:ascii="Arial Narrow" w:hAnsi="Arial Narrow"/>
                <w:b/>
                <w:i/>
                <w:sz w:val="20"/>
              </w:rPr>
            </w:pPr>
          </w:p>
        </w:tc>
      </w:tr>
      <w:tr w:rsidR="002056CD" w:rsidRPr="00C227CD" w14:paraId="1AC2B864" w14:textId="77777777" w:rsidTr="006B0BCC">
        <w:tc>
          <w:tcPr>
            <w:tcW w:w="9016" w:type="dxa"/>
            <w:gridSpan w:val="5"/>
          </w:tcPr>
          <w:p w14:paraId="640E7C48" w14:textId="18A9CA9E" w:rsidR="002056CD" w:rsidRPr="00C227CD" w:rsidRDefault="002056CD" w:rsidP="006B0BCC">
            <w:pPr>
              <w:keepNext/>
              <w:rPr>
                <w:rFonts w:ascii="Arial Narrow" w:hAnsi="Arial Narrow"/>
                <w:i/>
                <w:sz w:val="20"/>
              </w:rPr>
            </w:pPr>
            <w:r w:rsidRPr="00C227CD">
              <w:rPr>
                <w:rFonts w:ascii="Arial Narrow" w:hAnsi="Arial Narrow"/>
                <w:sz w:val="20"/>
              </w:rPr>
              <w:t>Change in management (base case: all low</w:t>
            </w:r>
            <w:r w:rsidR="001D4775">
              <w:rPr>
                <w:rFonts w:ascii="Arial Narrow" w:hAnsi="Arial Narrow"/>
                <w:sz w:val="20"/>
              </w:rPr>
              <w:t>-</w:t>
            </w:r>
            <w:r w:rsidRPr="00C227CD">
              <w:rPr>
                <w:rFonts w:ascii="Arial Narrow" w:hAnsi="Arial Narrow"/>
                <w:sz w:val="20"/>
              </w:rPr>
              <w:t>risk ET only, all high</w:t>
            </w:r>
            <w:r w:rsidR="001D4775">
              <w:rPr>
                <w:rFonts w:ascii="Arial Narrow" w:hAnsi="Arial Narrow"/>
                <w:sz w:val="20"/>
              </w:rPr>
              <w:t>-</w:t>
            </w:r>
            <w:r w:rsidRPr="00C227CD">
              <w:rPr>
                <w:rFonts w:ascii="Arial Narrow" w:hAnsi="Arial Narrow"/>
                <w:sz w:val="20"/>
              </w:rPr>
              <w:t>risk ET + CTX)</w:t>
            </w:r>
          </w:p>
        </w:tc>
      </w:tr>
      <w:tr w:rsidR="002056CD" w:rsidRPr="00C227CD" w14:paraId="74647972" w14:textId="77777777" w:rsidTr="00F724BD">
        <w:tc>
          <w:tcPr>
            <w:tcW w:w="5524" w:type="dxa"/>
          </w:tcPr>
          <w:p w14:paraId="3B288CD3" w14:textId="36508F91" w:rsidR="002056CD" w:rsidRPr="00C227CD" w:rsidRDefault="002056CD" w:rsidP="00E95EED">
            <w:pPr>
              <w:keepNext/>
              <w:numPr>
                <w:ilvl w:val="0"/>
                <w:numId w:val="25"/>
              </w:numPr>
              <w:ind w:left="313" w:hanging="313"/>
              <w:rPr>
                <w:rFonts w:ascii="Arial Narrow" w:hAnsi="Arial Narrow"/>
                <w:sz w:val="20"/>
              </w:rPr>
            </w:pPr>
            <w:r w:rsidRPr="00C227CD">
              <w:rPr>
                <w:rFonts w:ascii="Arial Narrow" w:hAnsi="Arial Narrow"/>
                <w:sz w:val="20"/>
              </w:rPr>
              <w:t xml:space="preserve">Include MDT decisions </w:t>
            </w:r>
            <w:r w:rsidR="008D0F2B">
              <w:rPr>
                <w:rFonts w:ascii="Arial Narrow" w:hAnsi="Arial Narrow"/>
                <w:sz w:val="20"/>
              </w:rPr>
              <w:t>that</w:t>
            </w:r>
            <w:r w:rsidR="008D0F2B" w:rsidRPr="00C227CD">
              <w:rPr>
                <w:rFonts w:ascii="Arial Narrow" w:hAnsi="Arial Narrow"/>
                <w:sz w:val="20"/>
              </w:rPr>
              <w:t xml:space="preserve"> </w:t>
            </w:r>
            <w:r w:rsidRPr="00C227CD">
              <w:rPr>
                <w:rFonts w:ascii="Arial Narrow" w:hAnsi="Arial Narrow"/>
                <w:sz w:val="20"/>
              </w:rPr>
              <w:t>deviate from EP</w:t>
            </w:r>
          </w:p>
        </w:tc>
        <w:tc>
          <w:tcPr>
            <w:tcW w:w="992" w:type="dxa"/>
          </w:tcPr>
          <w:p w14:paraId="1DAF52D8" w14:textId="530A8476" w:rsidR="002056CD" w:rsidRPr="00C40D0C" w:rsidRDefault="002056CD" w:rsidP="006B0BCC">
            <w:pPr>
              <w:keepNext/>
              <w:jc w:val="right"/>
              <w:rPr>
                <w:rFonts w:ascii="Arial Narrow" w:hAnsi="Arial Narrow"/>
                <w:i/>
                <w:sz w:val="20"/>
              </w:rPr>
            </w:pPr>
            <w:r w:rsidRPr="00C40D0C">
              <w:rPr>
                <w:rFonts w:ascii="Arial Narrow" w:hAnsi="Arial Narrow"/>
                <w:i/>
                <w:sz w:val="20"/>
              </w:rPr>
              <w:t>$</w:t>
            </w:r>
            <w:r w:rsidR="00AE3E5D" w:rsidRPr="00AE3E5D">
              <w:rPr>
                <w:rFonts w:ascii="Arial Narrow" w:hAnsi="Arial Narrow" w:hint="eastAsia"/>
                <w:i/>
                <w:color w:val="000000"/>
                <w:w w:val="18"/>
                <w:sz w:val="20"/>
                <w:shd w:val="solid" w:color="000000" w:fill="000000"/>
                <w:fitText w:val="84" w:id="-1437332473"/>
                <w14:textFill>
                  <w14:solidFill>
                    <w14:srgbClr w14:val="000000">
                      <w14:alpha w14:val="100000"/>
                    </w14:srgbClr>
                  </w14:solidFill>
                </w14:textFill>
              </w:rPr>
              <w:t xml:space="preserve">　</w:t>
            </w:r>
            <w:r w:rsidR="00AE3E5D" w:rsidRPr="00AE3E5D">
              <w:rPr>
                <w:rFonts w:ascii="Arial Narrow" w:hAnsi="Arial Narrow"/>
                <w:i/>
                <w:color w:val="000000"/>
                <w:w w:val="18"/>
                <w:sz w:val="20"/>
                <w:shd w:val="solid" w:color="000000" w:fill="000000"/>
                <w:fitText w:val="84" w:id="-1437332473"/>
                <w14:textFill>
                  <w14:solidFill>
                    <w14:srgbClr w14:val="000000">
                      <w14:alpha w14:val="100000"/>
                    </w14:srgbClr>
                  </w14:solidFill>
                </w14:textFill>
              </w:rPr>
              <w:t>|</w:t>
            </w:r>
            <w:r w:rsidR="00AE3E5D" w:rsidRPr="00AE3E5D">
              <w:rPr>
                <w:rFonts w:ascii="Arial Narrow" w:hAnsi="Arial Narrow" w:hint="eastAsia"/>
                <w:i/>
                <w:color w:val="000000"/>
                <w:spacing w:val="4"/>
                <w:w w:val="18"/>
                <w:sz w:val="20"/>
                <w:shd w:val="solid" w:color="000000" w:fill="000000"/>
                <w:fitText w:val="84" w:id="-1437332473"/>
                <w14:textFill>
                  <w14:solidFill>
                    <w14:srgbClr w14:val="000000">
                      <w14:alpha w14:val="100000"/>
                    </w14:srgbClr>
                  </w14:solidFill>
                </w14:textFill>
              </w:rPr>
              <w:t xml:space="preserve">　</w:t>
            </w:r>
          </w:p>
        </w:tc>
        <w:tc>
          <w:tcPr>
            <w:tcW w:w="992" w:type="dxa"/>
          </w:tcPr>
          <w:p w14:paraId="6A09FA4A" w14:textId="77777777" w:rsidR="002056CD" w:rsidRPr="00C40D0C" w:rsidRDefault="002056CD" w:rsidP="006B0BCC">
            <w:pPr>
              <w:keepNext/>
              <w:jc w:val="right"/>
              <w:rPr>
                <w:rFonts w:ascii="Arial Narrow" w:hAnsi="Arial Narrow"/>
                <w:i/>
                <w:sz w:val="20"/>
              </w:rPr>
            </w:pPr>
            <w:r w:rsidRPr="00C40D0C">
              <w:rPr>
                <w:rFonts w:ascii="Arial Narrow" w:hAnsi="Arial Narrow"/>
                <w:i/>
                <w:sz w:val="20"/>
              </w:rPr>
              <w:t>0.060</w:t>
            </w:r>
          </w:p>
        </w:tc>
        <w:tc>
          <w:tcPr>
            <w:tcW w:w="851" w:type="dxa"/>
          </w:tcPr>
          <w:p w14:paraId="1BD3D036" w14:textId="2F3E7214" w:rsidR="002056CD" w:rsidRPr="00C40D0C" w:rsidRDefault="002056CD" w:rsidP="006B0BCC">
            <w:pPr>
              <w:keepNext/>
              <w:jc w:val="right"/>
              <w:rPr>
                <w:rFonts w:ascii="Arial Narrow" w:hAnsi="Arial Narrow"/>
                <w:i/>
                <w:sz w:val="20"/>
              </w:rPr>
            </w:pPr>
            <w:r w:rsidRPr="00C40D0C">
              <w:rPr>
                <w:rFonts w:ascii="Arial Narrow" w:hAnsi="Arial Narrow"/>
                <w:i/>
                <w:sz w:val="20"/>
              </w:rPr>
              <w:t>$</w:t>
            </w:r>
            <w:r w:rsidR="00AE3E5D" w:rsidRPr="00AE3E5D">
              <w:rPr>
                <w:rFonts w:ascii="Arial Narrow" w:hAnsi="Arial Narrow"/>
                <w:i/>
                <w:color w:val="000000"/>
                <w:spacing w:val="47"/>
                <w:sz w:val="20"/>
                <w:shd w:val="solid" w:color="000000" w:fill="000000"/>
                <w:fitText w:val="222" w:id="-1437332472"/>
                <w14:textFill>
                  <w14:solidFill>
                    <w14:srgbClr w14:val="000000">
                      <w14:alpha w14:val="100000"/>
                    </w14:srgbClr>
                  </w14:solidFill>
                </w14:textFill>
              </w:rPr>
              <w:t>||</w:t>
            </w:r>
            <w:r w:rsidR="00AE3E5D" w:rsidRPr="00AE3E5D">
              <w:rPr>
                <w:rFonts w:ascii="Arial Narrow" w:hAnsi="Arial Narrow"/>
                <w:i/>
                <w:color w:val="000000"/>
                <w:spacing w:val="1"/>
                <w:sz w:val="20"/>
                <w:shd w:val="solid" w:color="000000" w:fill="000000"/>
                <w:fitText w:val="222" w:id="-1437332472"/>
                <w14:textFill>
                  <w14:solidFill>
                    <w14:srgbClr w14:val="000000">
                      <w14:alpha w14:val="100000"/>
                    </w14:srgbClr>
                  </w14:solidFill>
                </w14:textFill>
              </w:rPr>
              <w:t>|</w:t>
            </w:r>
          </w:p>
        </w:tc>
        <w:tc>
          <w:tcPr>
            <w:tcW w:w="657" w:type="dxa"/>
          </w:tcPr>
          <w:p w14:paraId="27E76D9A" w14:textId="77777777" w:rsidR="002056CD" w:rsidRPr="00C40D0C" w:rsidRDefault="002056CD" w:rsidP="006B0BCC">
            <w:pPr>
              <w:keepNext/>
              <w:jc w:val="right"/>
              <w:rPr>
                <w:rFonts w:ascii="Arial Narrow" w:hAnsi="Arial Narrow"/>
                <w:i/>
                <w:sz w:val="20"/>
              </w:rPr>
            </w:pPr>
            <w:r w:rsidRPr="00C40D0C">
              <w:rPr>
                <w:rFonts w:ascii="Arial Narrow" w:hAnsi="Arial Narrow"/>
                <w:i/>
                <w:sz w:val="20"/>
              </w:rPr>
              <w:t>25%</w:t>
            </w:r>
          </w:p>
        </w:tc>
      </w:tr>
      <w:tr w:rsidR="002056CD" w:rsidRPr="00C227CD" w14:paraId="5526E661" w14:textId="77777777" w:rsidTr="00F724BD">
        <w:tc>
          <w:tcPr>
            <w:tcW w:w="5524" w:type="dxa"/>
            <w:tcBorders>
              <w:bottom w:val="single" w:sz="4" w:space="0" w:color="auto"/>
            </w:tcBorders>
          </w:tcPr>
          <w:p w14:paraId="4D93F5B6" w14:textId="77777777" w:rsidR="002056CD" w:rsidRPr="00C227CD" w:rsidRDefault="002056CD" w:rsidP="00E95EED">
            <w:pPr>
              <w:keepNext/>
              <w:numPr>
                <w:ilvl w:val="0"/>
                <w:numId w:val="25"/>
              </w:numPr>
              <w:ind w:left="313" w:hanging="313"/>
              <w:rPr>
                <w:rFonts w:ascii="Arial Narrow" w:hAnsi="Arial Narrow"/>
                <w:i/>
                <w:sz w:val="20"/>
              </w:rPr>
            </w:pPr>
            <w:r w:rsidRPr="00C227CD">
              <w:rPr>
                <w:rFonts w:ascii="Arial Narrow" w:hAnsi="Arial Narrow"/>
                <w:i/>
                <w:sz w:val="20"/>
              </w:rPr>
              <w:t xml:space="preserve">Including information about what patients receive </w:t>
            </w:r>
            <w:r w:rsidRPr="00C227CD">
              <w:rPr>
                <w:rFonts w:ascii="Arial Narrow" w:hAnsi="Arial Narrow"/>
                <w:i/>
                <w:sz w:val="20"/>
                <w:vertAlign w:val="superscript"/>
              </w:rPr>
              <w:t>a</w:t>
            </w:r>
          </w:p>
        </w:tc>
        <w:tc>
          <w:tcPr>
            <w:tcW w:w="992" w:type="dxa"/>
            <w:tcBorders>
              <w:bottom w:val="single" w:sz="4" w:space="0" w:color="auto"/>
            </w:tcBorders>
          </w:tcPr>
          <w:p w14:paraId="40462527" w14:textId="4D082E15" w:rsidR="002056CD" w:rsidRPr="00C40D0C" w:rsidRDefault="002056CD" w:rsidP="006B0BCC">
            <w:pPr>
              <w:keepNext/>
              <w:jc w:val="right"/>
              <w:rPr>
                <w:rFonts w:ascii="Arial Narrow" w:hAnsi="Arial Narrow"/>
                <w:i/>
                <w:sz w:val="20"/>
              </w:rPr>
            </w:pPr>
            <w:r w:rsidRPr="00C40D0C">
              <w:rPr>
                <w:rFonts w:ascii="Arial Narrow" w:hAnsi="Arial Narrow"/>
                <w:i/>
                <w:sz w:val="20"/>
              </w:rPr>
              <w:t>$</w:t>
            </w:r>
            <w:r w:rsidR="00AE3E5D" w:rsidRPr="00AE3E5D">
              <w:rPr>
                <w:rFonts w:ascii="Arial Narrow" w:hAnsi="Arial Narrow" w:hint="eastAsia"/>
                <w:i/>
                <w:color w:val="000000"/>
                <w:w w:val="18"/>
                <w:sz w:val="20"/>
                <w:shd w:val="solid" w:color="000000" w:fill="000000"/>
                <w:fitText w:val="84" w:id="-1437332471"/>
                <w14:textFill>
                  <w14:solidFill>
                    <w14:srgbClr w14:val="000000">
                      <w14:alpha w14:val="100000"/>
                    </w14:srgbClr>
                  </w14:solidFill>
                </w14:textFill>
              </w:rPr>
              <w:t xml:space="preserve">　</w:t>
            </w:r>
            <w:r w:rsidR="00AE3E5D" w:rsidRPr="00AE3E5D">
              <w:rPr>
                <w:rFonts w:ascii="Arial Narrow" w:hAnsi="Arial Narrow"/>
                <w:i/>
                <w:color w:val="000000"/>
                <w:w w:val="18"/>
                <w:sz w:val="20"/>
                <w:shd w:val="solid" w:color="000000" w:fill="000000"/>
                <w:fitText w:val="84" w:id="-1437332471"/>
                <w14:textFill>
                  <w14:solidFill>
                    <w14:srgbClr w14:val="000000">
                      <w14:alpha w14:val="100000"/>
                    </w14:srgbClr>
                  </w14:solidFill>
                </w14:textFill>
              </w:rPr>
              <w:t>|</w:t>
            </w:r>
            <w:r w:rsidR="00AE3E5D" w:rsidRPr="00AE3E5D">
              <w:rPr>
                <w:rFonts w:ascii="Arial Narrow" w:hAnsi="Arial Narrow" w:hint="eastAsia"/>
                <w:i/>
                <w:color w:val="000000"/>
                <w:spacing w:val="4"/>
                <w:w w:val="18"/>
                <w:sz w:val="20"/>
                <w:shd w:val="solid" w:color="000000" w:fill="000000"/>
                <w:fitText w:val="84" w:id="-1437332471"/>
                <w14:textFill>
                  <w14:solidFill>
                    <w14:srgbClr w14:val="000000">
                      <w14:alpha w14:val="100000"/>
                    </w14:srgbClr>
                  </w14:solidFill>
                </w14:textFill>
              </w:rPr>
              <w:t xml:space="preserve">　</w:t>
            </w:r>
          </w:p>
        </w:tc>
        <w:tc>
          <w:tcPr>
            <w:tcW w:w="992" w:type="dxa"/>
            <w:tcBorders>
              <w:bottom w:val="single" w:sz="4" w:space="0" w:color="auto"/>
            </w:tcBorders>
          </w:tcPr>
          <w:p w14:paraId="5E0C216F" w14:textId="77777777" w:rsidR="002056CD" w:rsidRPr="00C40D0C" w:rsidRDefault="002056CD" w:rsidP="006B0BCC">
            <w:pPr>
              <w:keepNext/>
              <w:jc w:val="right"/>
              <w:rPr>
                <w:rFonts w:ascii="Arial Narrow" w:hAnsi="Arial Narrow"/>
                <w:i/>
                <w:sz w:val="20"/>
              </w:rPr>
            </w:pPr>
            <w:r w:rsidRPr="00C40D0C">
              <w:rPr>
                <w:rFonts w:ascii="Arial Narrow" w:hAnsi="Arial Narrow"/>
                <w:i/>
                <w:sz w:val="20"/>
              </w:rPr>
              <w:t>0.032</w:t>
            </w:r>
          </w:p>
        </w:tc>
        <w:tc>
          <w:tcPr>
            <w:tcW w:w="851" w:type="dxa"/>
            <w:tcBorders>
              <w:bottom w:val="single" w:sz="4" w:space="0" w:color="auto"/>
            </w:tcBorders>
          </w:tcPr>
          <w:p w14:paraId="126B781E" w14:textId="21391E68" w:rsidR="002056CD" w:rsidRPr="00C40D0C" w:rsidRDefault="002056CD" w:rsidP="006B0BCC">
            <w:pPr>
              <w:keepNext/>
              <w:jc w:val="right"/>
              <w:rPr>
                <w:rFonts w:ascii="Arial Narrow" w:hAnsi="Arial Narrow"/>
                <w:i/>
                <w:sz w:val="20"/>
              </w:rPr>
            </w:pPr>
            <w:r w:rsidRPr="00C40D0C">
              <w:rPr>
                <w:rFonts w:ascii="Arial Narrow" w:hAnsi="Arial Narrow"/>
                <w:i/>
                <w:sz w:val="20"/>
              </w:rPr>
              <w:t>$</w:t>
            </w:r>
            <w:r w:rsidR="00AE3E5D" w:rsidRPr="00AE3E5D">
              <w:rPr>
                <w:rFonts w:ascii="Arial Narrow" w:hAnsi="Arial Narrow"/>
                <w:i/>
                <w:color w:val="000000"/>
                <w:spacing w:val="47"/>
                <w:sz w:val="20"/>
                <w:shd w:val="solid" w:color="000000" w:fill="000000"/>
                <w:fitText w:val="222" w:id="-1437332470"/>
                <w14:textFill>
                  <w14:solidFill>
                    <w14:srgbClr w14:val="000000">
                      <w14:alpha w14:val="100000"/>
                    </w14:srgbClr>
                  </w14:solidFill>
                </w14:textFill>
              </w:rPr>
              <w:t>||</w:t>
            </w:r>
            <w:r w:rsidR="00AE3E5D" w:rsidRPr="00AE3E5D">
              <w:rPr>
                <w:rFonts w:ascii="Arial Narrow" w:hAnsi="Arial Narrow"/>
                <w:i/>
                <w:color w:val="000000"/>
                <w:spacing w:val="1"/>
                <w:sz w:val="20"/>
                <w:shd w:val="solid" w:color="000000" w:fill="000000"/>
                <w:fitText w:val="222" w:id="-1437332470"/>
                <w14:textFill>
                  <w14:solidFill>
                    <w14:srgbClr w14:val="000000">
                      <w14:alpha w14:val="100000"/>
                    </w14:srgbClr>
                  </w14:solidFill>
                </w14:textFill>
              </w:rPr>
              <w:t>|</w:t>
            </w:r>
          </w:p>
        </w:tc>
        <w:tc>
          <w:tcPr>
            <w:tcW w:w="657" w:type="dxa"/>
            <w:tcBorders>
              <w:bottom w:val="single" w:sz="4" w:space="0" w:color="auto"/>
            </w:tcBorders>
          </w:tcPr>
          <w:p w14:paraId="3FEBD3BE" w14:textId="77777777" w:rsidR="002056CD" w:rsidRPr="00C40D0C" w:rsidRDefault="002056CD" w:rsidP="006B0BCC">
            <w:pPr>
              <w:keepNext/>
              <w:jc w:val="right"/>
              <w:rPr>
                <w:rFonts w:ascii="Arial Narrow" w:hAnsi="Arial Narrow"/>
                <w:i/>
                <w:sz w:val="20"/>
              </w:rPr>
            </w:pPr>
            <w:r w:rsidRPr="00C40D0C">
              <w:rPr>
                <w:rFonts w:ascii="Arial Narrow" w:hAnsi="Arial Narrow"/>
                <w:i/>
                <w:sz w:val="20"/>
              </w:rPr>
              <w:t>32%</w:t>
            </w:r>
          </w:p>
        </w:tc>
      </w:tr>
      <w:tr w:rsidR="002056CD" w:rsidRPr="00C227CD" w14:paraId="354658D2" w14:textId="77777777" w:rsidTr="006B0BCC">
        <w:tc>
          <w:tcPr>
            <w:tcW w:w="9016" w:type="dxa"/>
            <w:gridSpan w:val="5"/>
          </w:tcPr>
          <w:p w14:paraId="50610695" w14:textId="77777777" w:rsidR="002056CD" w:rsidRPr="00C227CD" w:rsidRDefault="002056CD" w:rsidP="006B0BCC">
            <w:pPr>
              <w:keepNext/>
              <w:rPr>
                <w:rFonts w:ascii="Arial Narrow" w:hAnsi="Arial Narrow"/>
                <w:i/>
                <w:sz w:val="20"/>
              </w:rPr>
            </w:pPr>
            <w:r w:rsidRPr="00C227CD">
              <w:rPr>
                <w:rFonts w:ascii="Arial Narrow" w:hAnsi="Arial Narrow"/>
                <w:i/>
                <w:sz w:val="20"/>
              </w:rPr>
              <w:t>Transition probabilities derived from the EPclin score</w:t>
            </w:r>
          </w:p>
        </w:tc>
      </w:tr>
      <w:tr w:rsidR="002056CD" w:rsidRPr="00C227CD" w14:paraId="1D68D0C3" w14:textId="77777777" w:rsidTr="00F724BD">
        <w:tc>
          <w:tcPr>
            <w:tcW w:w="5524" w:type="dxa"/>
          </w:tcPr>
          <w:p w14:paraId="66CA5032" w14:textId="77777777" w:rsidR="002056CD" w:rsidRPr="00C227CD" w:rsidRDefault="002056CD" w:rsidP="00E95EED">
            <w:pPr>
              <w:keepNext/>
              <w:numPr>
                <w:ilvl w:val="0"/>
                <w:numId w:val="25"/>
              </w:numPr>
              <w:ind w:left="313" w:hanging="313"/>
              <w:rPr>
                <w:rFonts w:ascii="Arial Narrow" w:hAnsi="Arial Narrow"/>
                <w:i/>
                <w:sz w:val="20"/>
              </w:rPr>
            </w:pPr>
            <w:r w:rsidRPr="00C227CD">
              <w:rPr>
                <w:rFonts w:ascii="Arial Narrow" w:hAnsi="Arial Narrow"/>
                <w:i/>
                <w:sz w:val="20"/>
              </w:rPr>
              <w:t>DR risk by EPclin score, Sestak et al. (</w:t>
            </w:r>
            <w:proofErr w:type="gramStart"/>
            <w:r w:rsidRPr="00C227CD">
              <w:rPr>
                <w:rFonts w:ascii="Arial Narrow" w:hAnsi="Arial Narrow"/>
                <w:i/>
                <w:sz w:val="20"/>
              </w:rPr>
              <w:t>2019)</w:t>
            </w:r>
            <w:r w:rsidRPr="00C227CD">
              <w:rPr>
                <w:rFonts w:ascii="Arial Narrow" w:hAnsi="Arial Narrow"/>
                <w:i/>
                <w:sz w:val="20"/>
                <w:vertAlign w:val="superscript"/>
              </w:rPr>
              <w:t>b</w:t>
            </w:r>
            <w:proofErr w:type="gramEnd"/>
            <w:r w:rsidRPr="00C227CD">
              <w:rPr>
                <w:rFonts w:ascii="Arial Narrow" w:hAnsi="Arial Narrow"/>
                <w:i/>
                <w:sz w:val="20"/>
              </w:rPr>
              <w:t xml:space="preserve"> central estimates</w:t>
            </w:r>
          </w:p>
        </w:tc>
        <w:tc>
          <w:tcPr>
            <w:tcW w:w="992" w:type="dxa"/>
          </w:tcPr>
          <w:p w14:paraId="7A737B2E" w14:textId="1161017F" w:rsidR="002056CD" w:rsidRPr="00C40D0C" w:rsidRDefault="002056CD" w:rsidP="006B0BCC">
            <w:pPr>
              <w:keepNext/>
              <w:jc w:val="right"/>
              <w:rPr>
                <w:rFonts w:ascii="Arial Narrow" w:hAnsi="Arial Narrow"/>
                <w:i/>
                <w:sz w:val="20"/>
              </w:rPr>
            </w:pPr>
            <w:r w:rsidRPr="00C40D0C">
              <w:rPr>
                <w:rFonts w:ascii="Arial Narrow" w:hAnsi="Arial Narrow"/>
                <w:i/>
                <w:sz w:val="20"/>
              </w:rPr>
              <w:t>$</w:t>
            </w:r>
            <w:r w:rsidR="00AE3E5D" w:rsidRPr="00AE3E5D">
              <w:rPr>
                <w:rFonts w:ascii="Arial Narrow" w:hAnsi="Arial Narrow" w:hint="eastAsia"/>
                <w:i/>
                <w:color w:val="000000"/>
                <w:w w:val="18"/>
                <w:sz w:val="20"/>
                <w:shd w:val="solid" w:color="000000" w:fill="000000"/>
                <w:fitText w:val="84" w:id="-1437332469"/>
                <w14:textFill>
                  <w14:solidFill>
                    <w14:srgbClr w14:val="000000">
                      <w14:alpha w14:val="100000"/>
                    </w14:srgbClr>
                  </w14:solidFill>
                </w14:textFill>
              </w:rPr>
              <w:t xml:space="preserve">　</w:t>
            </w:r>
            <w:r w:rsidR="00AE3E5D" w:rsidRPr="00AE3E5D">
              <w:rPr>
                <w:rFonts w:ascii="Arial Narrow" w:hAnsi="Arial Narrow"/>
                <w:i/>
                <w:color w:val="000000"/>
                <w:w w:val="18"/>
                <w:sz w:val="20"/>
                <w:shd w:val="solid" w:color="000000" w:fill="000000"/>
                <w:fitText w:val="84" w:id="-1437332469"/>
                <w14:textFill>
                  <w14:solidFill>
                    <w14:srgbClr w14:val="000000">
                      <w14:alpha w14:val="100000"/>
                    </w14:srgbClr>
                  </w14:solidFill>
                </w14:textFill>
              </w:rPr>
              <w:t>|</w:t>
            </w:r>
            <w:r w:rsidR="00AE3E5D" w:rsidRPr="00AE3E5D">
              <w:rPr>
                <w:rFonts w:ascii="Arial Narrow" w:hAnsi="Arial Narrow" w:hint="eastAsia"/>
                <w:i/>
                <w:color w:val="000000"/>
                <w:spacing w:val="4"/>
                <w:w w:val="18"/>
                <w:sz w:val="20"/>
                <w:shd w:val="solid" w:color="000000" w:fill="000000"/>
                <w:fitText w:val="84" w:id="-1437332469"/>
                <w14:textFill>
                  <w14:solidFill>
                    <w14:srgbClr w14:val="000000">
                      <w14:alpha w14:val="100000"/>
                    </w14:srgbClr>
                  </w14:solidFill>
                </w14:textFill>
              </w:rPr>
              <w:t xml:space="preserve">　</w:t>
            </w:r>
          </w:p>
        </w:tc>
        <w:tc>
          <w:tcPr>
            <w:tcW w:w="992" w:type="dxa"/>
          </w:tcPr>
          <w:p w14:paraId="3B499EEE" w14:textId="77777777" w:rsidR="002056CD" w:rsidRPr="00C40D0C" w:rsidRDefault="002056CD" w:rsidP="006B0BCC">
            <w:pPr>
              <w:keepNext/>
              <w:jc w:val="right"/>
              <w:rPr>
                <w:rFonts w:ascii="Arial Narrow" w:hAnsi="Arial Narrow"/>
                <w:i/>
                <w:sz w:val="20"/>
              </w:rPr>
            </w:pPr>
            <w:r w:rsidRPr="00C40D0C">
              <w:rPr>
                <w:rFonts w:ascii="Arial Narrow" w:hAnsi="Arial Narrow"/>
                <w:i/>
                <w:sz w:val="20"/>
              </w:rPr>
              <w:t>0.077</w:t>
            </w:r>
          </w:p>
        </w:tc>
        <w:tc>
          <w:tcPr>
            <w:tcW w:w="851" w:type="dxa"/>
          </w:tcPr>
          <w:p w14:paraId="1262D6D2" w14:textId="05C969E5" w:rsidR="002056CD" w:rsidRPr="00C40D0C" w:rsidRDefault="002056CD" w:rsidP="006B0BCC">
            <w:pPr>
              <w:keepNext/>
              <w:jc w:val="right"/>
              <w:rPr>
                <w:rFonts w:ascii="Arial Narrow" w:hAnsi="Arial Narrow"/>
                <w:i/>
                <w:sz w:val="20"/>
              </w:rPr>
            </w:pPr>
            <w:r w:rsidRPr="00C40D0C">
              <w:rPr>
                <w:rFonts w:ascii="Arial Narrow" w:hAnsi="Arial Narrow"/>
                <w:i/>
                <w:sz w:val="20"/>
              </w:rPr>
              <w:t>$</w:t>
            </w:r>
            <w:r w:rsidR="00AE3E5D" w:rsidRPr="00AE3E5D">
              <w:rPr>
                <w:rFonts w:ascii="Arial Narrow" w:hAnsi="Arial Narrow"/>
                <w:i/>
                <w:color w:val="000000"/>
                <w:spacing w:val="47"/>
                <w:sz w:val="20"/>
                <w:shd w:val="solid" w:color="000000" w:fill="000000"/>
                <w:fitText w:val="222" w:id="-1437332468"/>
                <w14:textFill>
                  <w14:solidFill>
                    <w14:srgbClr w14:val="000000">
                      <w14:alpha w14:val="100000"/>
                    </w14:srgbClr>
                  </w14:solidFill>
                </w14:textFill>
              </w:rPr>
              <w:t>||</w:t>
            </w:r>
            <w:r w:rsidR="00AE3E5D" w:rsidRPr="00AE3E5D">
              <w:rPr>
                <w:rFonts w:ascii="Arial Narrow" w:hAnsi="Arial Narrow"/>
                <w:i/>
                <w:color w:val="000000"/>
                <w:spacing w:val="1"/>
                <w:sz w:val="20"/>
                <w:shd w:val="solid" w:color="000000" w:fill="000000"/>
                <w:fitText w:val="222" w:id="-1437332468"/>
                <w14:textFill>
                  <w14:solidFill>
                    <w14:srgbClr w14:val="000000">
                      <w14:alpha w14:val="100000"/>
                    </w14:srgbClr>
                  </w14:solidFill>
                </w14:textFill>
              </w:rPr>
              <w:t>|</w:t>
            </w:r>
          </w:p>
        </w:tc>
        <w:tc>
          <w:tcPr>
            <w:tcW w:w="657" w:type="dxa"/>
          </w:tcPr>
          <w:p w14:paraId="74D7FF44" w14:textId="77777777" w:rsidR="002056CD" w:rsidRPr="00C40D0C" w:rsidRDefault="002056CD" w:rsidP="006B0BCC">
            <w:pPr>
              <w:keepNext/>
              <w:jc w:val="right"/>
              <w:rPr>
                <w:rFonts w:ascii="Arial Narrow" w:hAnsi="Arial Narrow"/>
                <w:i/>
                <w:sz w:val="20"/>
              </w:rPr>
            </w:pPr>
            <w:r w:rsidRPr="00C40D0C">
              <w:rPr>
                <w:rFonts w:ascii="Arial Narrow" w:hAnsi="Arial Narrow"/>
                <w:i/>
                <w:sz w:val="20"/>
              </w:rPr>
              <w:t>8%</w:t>
            </w:r>
          </w:p>
        </w:tc>
      </w:tr>
      <w:tr w:rsidR="002056CD" w:rsidRPr="00C227CD" w14:paraId="45C2F665" w14:textId="77777777" w:rsidTr="00F724BD">
        <w:tc>
          <w:tcPr>
            <w:tcW w:w="5524" w:type="dxa"/>
          </w:tcPr>
          <w:p w14:paraId="591D8275" w14:textId="77777777" w:rsidR="002056CD" w:rsidRPr="00C227CD" w:rsidRDefault="002056CD" w:rsidP="00E95EED">
            <w:pPr>
              <w:keepNext/>
              <w:numPr>
                <w:ilvl w:val="0"/>
                <w:numId w:val="25"/>
              </w:numPr>
              <w:ind w:left="313" w:hanging="313"/>
              <w:rPr>
                <w:rFonts w:ascii="Arial Narrow" w:hAnsi="Arial Narrow"/>
                <w:i/>
                <w:sz w:val="20"/>
              </w:rPr>
            </w:pPr>
            <w:r w:rsidRPr="00C227CD">
              <w:rPr>
                <w:rFonts w:ascii="Arial Narrow" w:hAnsi="Arial Narrow"/>
                <w:i/>
                <w:sz w:val="20"/>
              </w:rPr>
              <w:t>DR risk by EPclin score, Sestak et al. (</w:t>
            </w:r>
            <w:proofErr w:type="gramStart"/>
            <w:r w:rsidRPr="00C227CD">
              <w:rPr>
                <w:rFonts w:ascii="Arial Narrow" w:hAnsi="Arial Narrow"/>
                <w:i/>
                <w:sz w:val="20"/>
              </w:rPr>
              <w:t>2019)</w:t>
            </w:r>
            <w:r w:rsidRPr="00C227CD">
              <w:rPr>
                <w:rFonts w:ascii="Arial Narrow" w:hAnsi="Arial Narrow"/>
                <w:i/>
                <w:sz w:val="20"/>
                <w:vertAlign w:val="superscript"/>
              </w:rPr>
              <w:t>b</w:t>
            </w:r>
            <w:proofErr w:type="gramEnd"/>
            <w:r w:rsidRPr="00C227CD">
              <w:rPr>
                <w:rFonts w:ascii="Arial Narrow" w:hAnsi="Arial Narrow"/>
                <w:i/>
                <w:sz w:val="20"/>
              </w:rPr>
              <w:t xml:space="preserve"> ET alone upper 95% CI and ET + CTX lower 95% CI</w:t>
            </w:r>
          </w:p>
        </w:tc>
        <w:tc>
          <w:tcPr>
            <w:tcW w:w="992" w:type="dxa"/>
          </w:tcPr>
          <w:p w14:paraId="5C22B67E" w14:textId="35DF2689" w:rsidR="002056CD" w:rsidRPr="00C40D0C" w:rsidRDefault="002056CD" w:rsidP="006B0BCC">
            <w:pPr>
              <w:keepNext/>
              <w:jc w:val="right"/>
              <w:rPr>
                <w:rFonts w:ascii="Arial Narrow" w:hAnsi="Arial Narrow"/>
                <w:i/>
                <w:sz w:val="20"/>
              </w:rPr>
            </w:pPr>
            <w:r w:rsidRPr="00C40D0C">
              <w:rPr>
                <w:rFonts w:ascii="Arial Narrow" w:hAnsi="Arial Narrow"/>
                <w:i/>
                <w:sz w:val="20"/>
              </w:rPr>
              <w:t>$</w:t>
            </w:r>
            <w:r w:rsidR="00AE3E5D" w:rsidRPr="00AE3E5D">
              <w:rPr>
                <w:rFonts w:ascii="Arial Narrow" w:hAnsi="Arial Narrow" w:hint="eastAsia"/>
                <w:i/>
                <w:color w:val="000000"/>
                <w:w w:val="18"/>
                <w:sz w:val="20"/>
                <w:shd w:val="solid" w:color="000000" w:fill="000000"/>
                <w:fitText w:val="84" w:id="-1437332467"/>
                <w14:textFill>
                  <w14:solidFill>
                    <w14:srgbClr w14:val="000000">
                      <w14:alpha w14:val="100000"/>
                    </w14:srgbClr>
                  </w14:solidFill>
                </w14:textFill>
              </w:rPr>
              <w:t xml:space="preserve">　</w:t>
            </w:r>
            <w:r w:rsidR="00AE3E5D" w:rsidRPr="00AE3E5D">
              <w:rPr>
                <w:rFonts w:ascii="Arial Narrow" w:hAnsi="Arial Narrow"/>
                <w:i/>
                <w:color w:val="000000"/>
                <w:w w:val="18"/>
                <w:sz w:val="20"/>
                <w:shd w:val="solid" w:color="000000" w:fill="000000"/>
                <w:fitText w:val="84" w:id="-1437332467"/>
                <w14:textFill>
                  <w14:solidFill>
                    <w14:srgbClr w14:val="000000">
                      <w14:alpha w14:val="100000"/>
                    </w14:srgbClr>
                  </w14:solidFill>
                </w14:textFill>
              </w:rPr>
              <w:t>|</w:t>
            </w:r>
            <w:r w:rsidR="00AE3E5D" w:rsidRPr="00AE3E5D">
              <w:rPr>
                <w:rFonts w:ascii="Arial Narrow" w:hAnsi="Arial Narrow" w:hint="eastAsia"/>
                <w:i/>
                <w:color w:val="000000"/>
                <w:spacing w:val="4"/>
                <w:w w:val="18"/>
                <w:sz w:val="20"/>
                <w:shd w:val="solid" w:color="000000" w:fill="000000"/>
                <w:fitText w:val="84" w:id="-1437332467"/>
                <w14:textFill>
                  <w14:solidFill>
                    <w14:srgbClr w14:val="000000">
                      <w14:alpha w14:val="100000"/>
                    </w14:srgbClr>
                  </w14:solidFill>
                </w14:textFill>
              </w:rPr>
              <w:t xml:space="preserve">　</w:t>
            </w:r>
          </w:p>
        </w:tc>
        <w:tc>
          <w:tcPr>
            <w:tcW w:w="992" w:type="dxa"/>
          </w:tcPr>
          <w:p w14:paraId="3ABFE082" w14:textId="77777777" w:rsidR="002056CD" w:rsidRPr="00C40D0C" w:rsidRDefault="002056CD" w:rsidP="006B0BCC">
            <w:pPr>
              <w:keepNext/>
              <w:jc w:val="right"/>
              <w:rPr>
                <w:rFonts w:ascii="Arial Narrow" w:hAnsi="Arial Narrow"/>
                <w:i/>
                <w:sz w:val="20"/>
              </w:rPr>
            </w:pPr>
            <w:r w:rsidRPr="00C40D0C">
              <w:rPr>
                <w:rFonts w:ascii="Arial Narrow" w:hAnsi="Arial Narrow"/>
                <w:i/>
                <w:sz w:val="20"/>
              </w:rPr>
              <w:t>0.088</w:t>
            </w:r>
          </w:p>
        </w:tc>
        <w:tc>
          <w:tcPr>
            <w:tcW w:w="851" w:type="dxa"/>
          </w:tcPr>
          <w:p w14:paraId="6E14A1CE" w14:textId="54CD7F07" w:rsidR="002056CD" w:rsidRPr="00C40D0C" w:rsidRDefault="002056CD" w:rsidP="006B0BCC">
            <w:pPr>
              <w:keepNext/>
              <w:jc w:val="right"/>
              <w:rPr>
                <w:rFonts w:ascii="Arial Narrow" w:hAnsi="Arial Narrow"/>
                <w:i/>
                <w:sz w:val="20"/>
              </w:rPr>
            </w:pPr>
            <w:r w:rsidRPr="00C40D0C">
              <w:rPr>
                <w:rFonts w:ascii="Arial Narrow" w:hAnsi="Arial Narrow"/>
                <w:i/>
                <w:sz w:val="20"/>
              </w:rPr>
              <w:t>$</w:t>
            </w:r>
            <w:r w:rsidR="00AE3E5D" w:rsidRPr="00AE3E5D">
              <w:rPr>
                <w:rFonts w:ascii="Arial Narrow" w:hAnsi="Arial Narrow"/>
                <w:i/>
                <w:color w:val="000000"/>
                <w:spacing w:val="47"/>
                <w:sz w:val="20"/>
                <w:shd w:val="solid" w:color="000000" w:fill="000000"/>
                <w:fitText w:val="222" w:id="-1437332466"/>
                <w14:textFill>
                  <w14:solidFill>
                    <w14:srgbClr w14:val="000000">
                      <w14:alpha w14:val="100000"/>
                    </w14:srgbClr>
                  </w14:solidFill>
                </w14:textFill>
              </w:rPr>
              <w:t>||</w:t>
            </w:r>
            <w:r w:rsidR="00AE3E5D" w:rsidRPr="00AE3E5D">
              <w:rPr>
                <w:rFonts w:ascii="Arial Narrow" w:hAnsi="Arial Narrow"/>
                <w:i/>
                <w:color w:val="000000"/>
                <w:spacing w:val="1"/>
                <w:sz w:val="20"/>
                <w:shd w:val="solid" w:color="000000" w:fill="000000"/>
                <w:fitText w:val="222" w:id="-1437332466"/>
                <w14:textFill>
                  <w14:solidFill>
                    <w14:srgbClr w14:val="000000">
                      <w14:alpha w14:val="100000"/>
                    </w14:srgbClr>
                  </w14:solidFill>
                </w14:textFill>
              </w:rPr>
              <w:t>|</w:t>
            </w:r>
          </w:p>
        </w:tc>
        <w:tc>
          <w:tcPr>
            <w:tcW w:w="657" w:type="dxa"/>
          </w:tcPr>
          <w:p w14:paraId="28906016" w14:textId="77777777" w:rsidR="002056CD" w:rsidRPr="00C40D0C" w:rsidRDefault="002056CD" w:rsidP="006B0BCC">
            <w:pPr>
              <w:keepNext/>
              <w:jc w:val="right"/>
              <w:rPr>
                <w:rFonts w:ascii="Arial Narrow" w:hAnsi="Arial Narrow"/>
                <w:i/>
                <w:sz w:val="20"/>
              </w:rPr>
            </w:pPr>
            <w:r w:rsidRPr="00C40D0C">
              <w:rPr>
                <w:rFonts w:ascii="Arial Narrow" w:hAnsi="Arial Narrow"/>
                <w:i/>
                <w:sz w:val="20"/>
              </w:rPr>
              <w:t>−21%</w:t>
            </w:r>
          </w:p>
        </w:tc>
      </w:tr>
      <w:tr w:rsidR="002056CD" w:rsidRPr="00C227CD" w14:paraId="29920A3B" w14:textId="77777777" w:rsidTr="00F724BD">
        <w:tc>
          <w:tcPr>
            <w:tcW w:w="5524" w:type="dxa"/>
            <w:tcBorders>
              <w:bottom w:val="single" w:sz="4" w:space="0" w:color="auto"/>
            </w:tcBorders>
          </w:tcPr>
          <w:p w14:paraId="637368B1" w14:textId="77777777" w:rsidR="002056CD" w:rsidRPr="00C227CD" w:rsidRDefault="002056CD" w:rsidP="00E95EED">
            <w:pPr>
              <w:keepNext/>
              <w:numPr>
                <w:ilvl w:val="0"/>
                <w:numId w:val="25"/>
              </w:numPr>
              <w:ind w:left="313" w:hanging="313"/>
              <w:rPr>
                <w:rFonts w:ascii="Arial Narrow" w:hAnsi="Arial Narrow"/>
                <w:i/>
                <w:sz w:val="20"/>
              </w:rPr>
            </w:pPr>
            <w:r w:rsidRPr="00C227CD">
              <w:rPr>
                <w:rFonts w:ascii="Arial Narrow" w:hAnsi="Arial Narrow"/>
                <w:i/>
                <w:sz w:val="20"/>
              </w:rPr>
              <w:t>DR risk by EPclin score, Sestak et al. (</w:t>
            </w:r>
            <w:proofErr w:type="gramStart"/>
            <w:r w:rsidRPr="00C227CD">
              <w:rPr>
                <w:rFonts w:ascii="Arial Narrow" w:hAnsi="Arial Narrow"/>
                <w:i/>
                <w:sz w:val="20"/>
              </w:rPr>
              <w:t>2019)</w:t>
            </w:r>
            <w:r w:rsidRPr="00C227CD">
              <w:rPr>
                <w:rFonts w:ascii="Arial Narrow" w:hAnsi="Arial Narrow"/>
                <w:i/>
                <w:sz w:val="20"/>
                <w:vertAlign w:val="superscript"/>
              </w:rPr>
              <w:t>b</w:t>
            </w:r>
            <w:proofErr w:type="gramEnd"/>
            <w:r w:rsidRPr="00C227CD">
              <w:rPr>
                <w:rFonts w:ascii="Arial Narrow" w:hAnsi="Arial Narrow"/>
                <w:i/>
                <w:sz w:val="20"/>
              </w:rPr>
              <w:t xml:space="preserve"> ET alone lower 95% CI and ET + CTX upper 95% CI</w:t>
            </w:r>
          </w:p>
        </w:tc>
        <w:tc>
          <w:tcPr>
            <w:tcW w:w="992" w:type="dxa"/>
            <w:tcBorders>
              <w:bottom w:val="single" w:sz="4" w:space="0" w:color="auto"/>
            </w:tcBorders>
          </w:tcPr>
          <w:p w14:paraId="5D842CA2" w14:textId="7CA5DC21" w:rsidR="002056CD" w:rsidRPr="00C40D0C" w:rsidRDefault="002056CD" w:rsidP="006B0BCC">
            <w:pPr>
              <w:keepNext/>
              <w:jc w:val="right"/>
              <w:rPr>
                <w:rFonts w:ascii="Arial Narrow" w:hAnsi="Arial Narrow"/>
                <w:i/>
                <w:sz w:val="20"/>
              </w:rPr>
            </w:pPr>
            <w:r w:rsidRPr="00C40D0C">
              <w:rPr>
                <w:rFonts w:ascii="Arial Narrow" w:hAnsi="Arial Narrow"/>
                <w:i/>
                <w:sz w:val="20"/>
              </w:rPr>
              <w:t>$</w:t>
            </w:r>
            <w:r w:rsidR="00AE3E5D" w:rsidRPr="00AE3E5D">
              <w:rPr>
                <w:rFonts w:ascii="Arial Narrow" w:hAnsi="Arial Narrow" w:hint="eastAsia"/>
                <w:i/>
                <w:color w:val="000000"/>
                <w:w w:val="18"/>
                <w:sz w:val="20"/>
                <w:shd w:val="solid" w:color="000000" w:fill="000000"/>
                <w:fitText w:val="84" w:id="-1437332465"/>
                <w14:textFill>
                  <w14:solidFill>
                    <w14:srgbClr w14:val="000000">
                      <w14:alpha w14:val="100000"/>
                    </w14:srgbClr>
                  </w14:solidFill>
                </w14:textFill>
              </w:rPr>
              <w:t xml:space="preserve">　</w:t>
            </w:r>
            <w:r w:rsidR="00AE3E5D" w:rsidRPr="00AE3E5D">
              <w:rPr>
                <w:rFonts w:ascii="Arial Narrow" w:hAnsi="Arial Narrow"/>
                <w:i/>
                <w:color w:val="000000"/>
                <w:w w:val="18"/>
                <w:sz w:val="20"/>
                <w:shd w:val="solid" w:color="000000" w:fill="000000"/>
                <w:fitText w:val="84" w:id="-1437332465"/>
                <w14:textFill>
                  <w14:solidFill>
                    <w14:srgbClr w14:val="000000">
                      <w14:alpha w14:val="100000"/>
                    </w14:srgbClr>
                  </w14:solidFill>
                </w14:textFill>
              </w:rPr>
              <w:t>|</w:t>
            </w:r>
            <w:r w:rsidR="00AE3E5D" w:rsidRPr="00AE3E5D">
              <w:rPr>
                <w:rFonts w:ascii="Arial Narrow" w:hAnsi="Arial Narrow" w:hint="eastAsia"/>
                <w:i/>
                <w:color w:val="000000"/>
                <w:spacing w:val="4"/>
                <w:w w:val="18"/>
                <w:sz w:val="20"/>
                <w:shd w:val="solid" w:color="000000" w:fill="000000"/>
                <w:fitText w:val="84" w:id="-1437332465"/>
                <w14:textFill>
                  <w14:solidFill>
                    <w14:srgbClr w14:val="000000">
                      <w14:alpha w14:val="100000"/>
                    </w14:srgbClr>
                  </w14:solidFill>
                </w14:textFill>
              </w:rPr>
              <w:t xml:space="preserve">　</w:t>
            </w:r>
          </w:p>
        </w:tc>
        <w:tc>
          <w:tcPr>
            <w:tcW w:w="992" w:type="dxa"/>
            <w:tcBorders>
              <w:bottom w:val="single" w:sz="4" w:space="0" w:color="auto"/>
            </w:tcBorders>
          </w:tcPr>
          <w:p w14:paraId="32B136FE" w14:textId="77777777" w:rsidR="002056CD" w:rsidRPr="00C40D0C" w:rsidRDefault="002056CD" w:rsidP="006B0BCC">
            <w:pPr>
              <w:keepNext/>
              <w:jc w:val="right"/>
              <w:rPr>
                <w:rFonts w:ascii="Arial Narrow" w:hAnsi="Arial Narrow"/>
                <w:i/>
                <w:sz w:val="20"/>
              </w:rPr>
            </w:pPr>
            <w:r w:rsidRPr="00C40D0C">
              <w:rPr>
                <w:rFonts w:ascii="Arial Narrow" w:hAnsi="Arial Narrow"/>
                <w:i/>
                <w:sz w:val="20"/>
              </w:rPr>
              <w:t>0.052</w:t>
            </w:r>
          </w:p>
        </w:tc>
        <w:tc>
          <w:tcPr>
            <w:tcW w:w="851" w:type="dxa"/>
            <w:tcBorders>
              <w:bottom w:val="single" w:sz="4" w:space="0" w:color="auto"/>
            </w:tcBorders>
          </w:tcPr>
          <w:p w14:paraId="53977694" w14:textId="32A78EF5" w:rsidR="002056CD" w:rsidRPr="00C40D0C" w:rsidRDefault="002056CD" w:rsidP="006B0BCC">
            <w:pPr>
              <w:keepNext/>
              <w:jc w:val="right"/>
              <w:rPr>
                <w:rFonts w:ascii="Arial Narrow" w:hAnsi="Arial Narrow"/>
                <w:i/>
                <w:sz w:val="20"/>
              </w:rPr>
            </w:pPr>
            <w:r w:rsidRPr="00C40D0C">
              <w:rPr>
                <w:rFonts w:ascii="Arial Narrow" w:hAnsi="Arial Narrow"/>
                <w:i/>
                <w:sz w:val="20"/>
              </w:rPr>
              <w:t>$</w:t>
            </w:r>
            <w:r w:rsidR="00AE3E5D" w:rsidRPr="00AE3E5D">
              <w:rPr>
                <w:rFonts w:ascii="Arial Narrow" w:hAnsi="Arial Narrow"/>
                <w:i/>
                <w:color w:val="000000"/>
                <w:spacing w:val="47"/>
                <w:sz w:val="20"/>
                <w:shd w:val="solid" w:color="000000" w:fill="000000"/>
                <w:fitText w:val="222" w:id="-1437332464"/>
                <w14:textFill>
                  <w14:solidFill>
                    <w14:srgbClr w14:val="000000">
                      <w14:alpha w14:val="100000"/>
                    </w14:srgbClr>
                  </w14:solidFill>
                </w14:textFill>
              </w:rPr>
              <w:t>||</w:t>
            </w:r>
            <w:r w:rsidR="00AE3E5D" w:rsidRPr="00AE3E5D">
              <w:rPr>
                <w:rFonts w:ascii="Arial Narrow" w:hAnsi="Arial Narrow"/>
                <w:i/>
                <w:color w:val="000000"/>
                <w:spacing w:val="1"/>
                <w:sz w:val="20"/>
                <w:shd w:val="solid" w:color="000000" w:fill="000000"/>
                <w:fitText w:val="222" w:id="-1437332464"/>
                <w14:textFill>
                  <w14:solidFill>
                    <w14:srgbClr w14:val="000000">
                      <w14:alpha w14:val="100000"/>
                    </w14:srgbClr>
                  </w14:solidFill>
                </w14:textFill>
              </w:rPr>
              <w:t>|</w:t>
            </w:r>
          </w:p>
        </w:tc>
        <w:tc>
          <w:tcPr>
            <w:tcW w:w="657" w:type="dxa"/>
            <w:tcBorders>
              <w:bottom w:val="single" w:sz="4" w:space="0" w:color="auto"/>
            </w:tcBorders>
          </w:tcPr>
          <w:p w14:paraId="74ACF077" w14:textId="77777777" w:rsidR="002056CD" w:rsidRPr="00C40D0C" w:rsidRDefault="002056CD" w:rsidP="006B0BCC">
            <w:pPr>
              <w:keepNext/>
              <w:jc w:val="right"/>
              <w:rPr>
                <w:rFonts w:ascii="Arial Narrow" w:hAnsi="Arial Narrow"/>
                <w:i/>
                <w:sz w:val="20"/>
              </w:rPr>
            </w:pPr>
            <w:r w:rsidRPr="00C40D0C">
              <w:rPr>
                <w:rFonts w:ascii="Arial Narrow" w:hAnsi="Arial Narrow"/>
                <w:i/>
                <w:sz w:val="20"/>
              </w:rPr>
              <w:t>137%</w:t>
            </w:r>
          </w:p>
        </w:tc>
      </w:tr>
      <w:tr w:rsidR="002056CD" w:rsidRPr="00C227CD" w14:paraId="11EC1CE7" w14:textId="77777777" w:rsidTr="006B0BCC">
        <w:tc>
          <w:tcPr>
            <w:tcW w:w="9016" w:type="dxa"/>
            <w:gridSpan w:val="5"/>
          </w:tcPr>
          <w:p w14:paraId="629F3CCB" w14:textId="77777777" w:rsidR="002056CD" w:rsidRPr="00C227CD" w:rsidRDefault="002056CD" w:rsidP="006B0BCC">
            <w:pPr>
              <w:keepNext/>
              <w:rPr>
                <w:rFonts w:ascii="Arial Narrow" w:hAnsi="Arial Narrow"/>
                <w:i/>
                <w:sz w:val="20"/>
              </w:rPr>
            </w:pPr>
            <w:r w:rsidRPr="00C227CD">
              <w:rPr>
                <w:rFonts w:ascii="Arial Narrow" w:hAnsi="Arial Narrow"/>
                <w:sz w:val="20"/>
              </w:rPr>
              <w:t>Predictive effect of EPclin score (base case: relative effect of chemotherapy improves with EPclin score)</w:t>
            </w:r>
          </w:p>
        </w:tc>
      </w:tr>
      <w:tr w:rsidR="002056CD" w:rsidRPr="00C227CD" w14:paraId="7E55F737" w14:textId="77777777" w:rsidTr="00F724BD">
        <w:tc>
          <w:tcPr>
            <w:tcW w:w="5524" w:type="dxa"/>
            <w:tcBorders>
              <w:bottom w:val="single" w:sz="4" w:space="0" w:color="auto"/>
            </w:tcBorders>
          </w:tcPr>
          <w:p w14:paraId="2A1D85A3" w14:textId="62BE5E90" w:rsidR="002056CD" w:rsidRPr="00C227CD" w:rsidRDefault="002056CD" w:rsidP="00E95EED">
            <w:pPr>
              <w:keepNext/>
              <w:numPr>
                <w:ilvl w:val="0"/>
                <w:numId w:val="25"/>
              </w:numPr>
              <w:ind w:left="313" w:hanging="313"/>
              <w:rPr>
                <w:rFonts w:ascii="Arial Narrow" w:hAnsi="Arial Narrow"/>
                <w:sz w:val="20"/>
              </w:rPr>
            </w:pPr>
            <w:r w:rsidRPr="00C227CD">
              <w:rPr>
                <w:rFonts w:ascii="Arial Narrow" w:hAnsi="Arial Narrow"/>
                <w:sz w:val="20"/>
              </w:rPr>
              <w:t xml:space="preserve">Assume constant relative risk reduction from adjuvant chemotherapy </w:t>
            </w:r>
            <w:r w:rsidR="00F724BD">
              <w:rPr>
                <w:rFonts w:ascii="Arial Narrow" w:hAnsi="Arial Narrow"/>
                <w:sz w:val="20"/>
              </w:rPr>
              <w:t>used</w:t>
            </w:r>
            <w:r w:rsidRPr="00C227CD">
              <w:rPr>
                <w:rFonts w:ascii="Arial Narrow" w:hAnsi="Arial Narrow"/>
                <w:sz w:val="20"/>
              </w:rPr>
              <w:t xml:space="preserve"> in the NICE model of 0.76 (</w:t>
            </w:r>
            <w:proofErr w:type="gramStart"/>
            <w:r w:rsidRPr="00C227CD">
              <w:rPr>
                <w:rFonts w:ascii="Arial Narrow" w:hAnsi="Arial Narrow"/>
                <w:sz w:val="20"/>
              </w:rPr>
              <w:t>i.e.</w:t>
            </w:r>
            <w:proofErr w:type="gramEnd"/>
            <w:r w:rsidRPr="00C227CD">
              <w:rPr>
                <w:rFonts w:ascii="Arial Narrow" w:hAnsi="Arial Narrow"/>
                <w:sz w:val="20"/>
              </w:rPr>
              <w:t xml:space="preserve"> no predictive effect)</w:t>
            </w:r>
          </w:p>
        </w:tc>
        <w:tc>
          <w:tcPr>
            <w:tcW w:w="992" w:type="dxa"/>
            <w:tcBorders>
              <w:bottom w:val="single" w:sz="4" w:space="0" w:color="auto"/>
            </w:tcBorders>
          </w:tcPr>
          <w:p w14:paraId="499C8F23" w14:textId="5E6107A8" w:rsidR="002056CD" w:rsidRPr="00C40D0C" w:rsidRDefault="002056CD" w:rsidP="006B0BCC">
            <w:pPr>
              <w:keepNext/>
              <w:jc w:val="right"/>
              <w:rPr>
                <w:rFonts w:ascii="Arial Narrow" w:hAnsi="Arial Narrow"/>
                <w:i/>
                <w:sz w:val="20"/>
              </w:rPr>
            </w:pPr>
            <w:r w:rsidRPr="00C40D0C">
              <w:rPr>
                <w:rFonts w:ascii="Arial Narrow" w:hAnsi="Arial Narrow"/>
                <w:i/>
                <w:sz w:val="20"/>
              </w:rPr>
              <w:t>$</w:t>
            </w:r>
            <w:r w:rsidR="00AE3E5D" w:rsidRPr="00AE3E5D">
              <w:rPr>
                <w:rFonts w:ascii="Arial Narrow" w:hAnsi="Arial Narrow" w:hint="eastAsia"/>
                <w:i/>
                <w:color w:val="000000"/>
                <w:w w:val="18"/>
                <w:sz w:val="20"/>
                <w:shd w:val="solid" w:color="000000" w:fill="000000"/>
                <w:fitText w:val="84" w:id="-1437332480"/>
                <w14:textFill>
                  <w14:solidFill>
                    <w14:srgbClr w14:val="000000">
                      <w14:alpha w14:val="100000"/>
                    </w14:srgbClr>
                  </w14:solidFill>
                </w14:textFill>
              </w:rPr>
              <w:t xml:space="preserve">　</w:t>
            </w:r>
            <w:r w:rsidR="00AE3E5D" w:rsidRPr="00AE3E5D">
              <w:rPr>
                <w:rFonts w:ascii="Arial Narrow" w:hAnsi="Arial Narrow"/>
                <w:i/>
                <w:color w:val="000000"/>
                <w:w w:val="18"/>
                <w:sz w:val="20"/>
                <w:shd w:val="solid" w:color="000000" w:fill="000000"/>
                <w:fitText w:val="84" w:id="-1437332480"/>
                <w14:textFill>
                  <w14:solidFill>
                    <w14:srgbClr w14:val="000000">
                      <w14:alpha w14:val="100000"/>
                    </w14:srgbClr>
                  </w14:solidFill>
                </w14:textFill>
              </w:rPr>
              <w:t>|</w:t>
            </w:r>
            <w:r w:rsidR="00AE3E5D" w:rsidRPr="00AE3E5D">
              <w:rPr>
                <w:rFonts w:ascii="Arial Narrow" w:hAnsi="Arial Narrow" w:hint="eastAsia"/>
                <w:i/>
                <w:color w:val="000000"/>
                <w:spacing w:val="4"/>
                <w:w w:val="18"/>
                <w:sz w:val="20"/>
                <w:shd w:val="solid" w:color="000000" w:fill="000000"/>
                <w:fitText w:val="84" w:id="-1437332480"/>
                <w14:textFill>
                  <w14:solidFill>
                    <w14:srgbClr w14:val="000000">
                      <w14:alpha w14:val="100000"/>
                    </w14:srgbClr>
                  </w14:solidFill>
                </w14:textFill>
              </w:rPr>
              <w:t xml:space="preserve">　</w:t>
            </w:r>
          </w:p>
        </w:tc>
        <w:tc>
          <w:tcPr>
            <w:tcW w:w="992" w:type="dxa"/>
            <w:tcBorders>
              <w:bottom w:val="single" w:sz="4" w:space="0" w:color="auto"/>
            </w:tcBorders>
          </w:tcPr>
          <w:p w14:paraId="162C1227" w14:textId="77777777" w:rsidR="002056CD" w:rsidRPr="00C40D0C" w:rsidRDefault="002056CD" w:rsidP="006B0BCC">
            <w:pPr>
              <w:keepNext/>
              <w:jc w:val="right"/>
              <w:rPr>
                <w:rFonts w:ascii="Arial Narrow" w:hAnsi="Arial Narrow"/>
                <w:i/>
                <w:sz w:val="20"/>
              </w:rPr>
            </w:pPr>
            <w:r w:rsidRPr="00C40D0C">
              <w:rPr>
                <w:rFonts w:ascii="Arial Narrow" w:hAnsi="Arial Narrow"/>
                <w:i/>
                <w:sz w:val="20"/>
              </w:rPr>
              <w:t>0.039</w:t>
            </w:r>
          </w:p>
        </w:tc>
        <w:tc>
          <w:tcPr>
            <w:tcW w:w="851" w:type="dxa"/>
            <w:tcBorders>
              <w:bottom w:val="single" w:sz="4" w:space="0" w:color="auto"/>
            </w:tcBorders>
          </w:tcPr>
          <w:p w14:paraId="33C10CE1" w14:textId="2E8E0483" w:rsidR="002056CD" w:rsidRPr="00C40D0C" w:rsidRDefault="002056CD" w:rsidP="006B0BCC">
            <w:pPr>
              <w:keepNext/>
              <w:jc w:val="right"/>
              <w:rPr>
                <w:rFonts w:ascii="Arial Narrow" w:hAnsi="Arial Narrow"/>
                <w:i/>
                <w:sz w:val="20"/>
              </w:rPr>
            </w:pPr>
            <w:r w:rsidRPr="00C40D0C">
              <w:rPr>
                <w:rFonts w:ascii="Arial Narrow" w:hAnsi="Arial Narrow"/>
                <w:i/>
                <w:sz w:val="20"/>
              </w:rPr>
              <w:t>$</w:t>
            </w:r>
            <w:r w:rsidR="00AE3E5D" w:rsidRPr="00AE3E5D">
              <w:rPr>
                <w:rFonts w:ascii="Arial Narrow" w:hAnsi="Arial Narrow"/>
                <w:i/>
                <w:color w:val="000000"/>
                <w:spacing w:val="47"/>
                <w:sz w:val="20"/>
                <w:shd w:val="solid" w:color="000000" w:fill="000000"/>
                <w:fitText w:val="222" w:id="-1437332479"/>
                <w14:textFill>
                  <w14:solidFill>
                    <w14:srgbClr w14:val="000000">
                      <w14:alpha w14:val="100000"/>
                    </w14:srgbClr>
                  </w14:solidFill>
                </w14:textFill>
              </w:rPr>
              <w:t>||</w:t>
            </w:r>
            <w:r w:rsidR="00AE3E5D" w:rsidRPr="00AE3E5D">
              <w:rPr>
                <w:rFonts w:ascii="Arial Narrow" w:hAnsi="Arial Narrow"/>
                <w:i/>
                <w:color w:val="000000"/>
                <w:spacing w:val="1"/>
                <w:sz w:val="20"/>
                <w:shd w:val="solid" w:color="000000" w:fill="000000"/>
                <w:fitText w:val="222" w:id="-1437332479"/>
                <w14:textFill>
                  <w14:solidFill>
                    <w14:srgbClr w14:val="000000">
                      <w14:alpha w14:val="100000"/>
                    </w14:srgbClr>
                  </w14:solidFill>
                </w14:textFill>
              </w:rPr>
              <w:t>|</w:t>
            </w:r>
          </w:p>
        </w:tc>
        <w:tc>
          <w:tcPr>
            <w:tcW w:w="657" w:type="dxa"/>
            <w:tcBorders>
              <w:bottom w:val="single" w:sz="4" w:space="0" w:color="auto"/>
            </w:tcBorders>
          </w:tcPr>
          <w:p w14:paraId="1017DBBF" w14:textId="77777777" w:rsidR="002056CD" w:rsidRPr="00C40D0C" w:rsidRDefault="002056CD" w:rsidP="006B0BCC">
            <w:pPr>
              <w:keepNext/>
              <w:jc w:val="right"/>
              <w:rPr>
                <w:rFonts w:ascii="Arial Narrow" w:hAnsi="Arial Narrow"/>
                <w:i/>
                <w:sz w:val="20"/>
              </w:rPr>
            </w:pPr>
            <w:r w:rsidRPr="00C40D0C">
              <w:rPr>
                <w:rFonts w:ascii="Arial Narrow" w:hAnsi="Arial Narrow"/>
                <w:i/>
                <w:sz w:val="20"/>
              </w:rPr>
              <w:t>267%</w:t>
            </w:r>
          </w:p>
        </w:tc>
      </w:tr>
      <w:tr w:rsidR="002056CD" w:rsidRPr="00C227CD" w14:paraId="0849EF50" w14:textId="77777777" w:rsidTr="006B0BCC">
        <w:tc>
          <w:tcPr>
            <w:tcW w:w="9016" w:type="dxa"/>
            <w:gridSpan w:val="5"/>
          </w:tcPr>
          <w:p w14:paraId="42F9E819" w14:textId="2C33AC26" w:rsidR="002056CD" w:rsidRPr="00C227CD" w:rsidRDefault="002056CD" w:rsidP="006B0BCC">
            <w:pPr>
              <w:keepNext/>
              <w:rPr>
                <w:rFonts w:ascii="Arial Narrow" w:hAnsi="Arial Narrow"/>
                <w:i/>
                <w:sz w:val="20"/>
              </w:rPr>
            </w:pPr>
            <w:r w:rsidRPr="00C227CD">
              <w:rPr>
                <w:rFonts w:ascii="Arial Narrow" w:hAnsi="Arial Narrow"/>
                <w:i/>
                <w:sz w:val="20"/>
              </w:rPr>
              <w:t>Extrapolation of 10-year risk DR rate (base case: extrapolation to 50</w:t>
            </w:r>
            <w:r w:rsidR="001D4775">
              <w:rPr>
                <w:rFonts w:ascii="Arial Narrow" w:hAnsi="Arial Narrow"/>
                <w:i/>
                <w:sz w:val="20"/>
              </w:rPr>
              <w:t>-</w:t>
            </w:r>
            <w:r w:rsidRPr="00C227CD">
              <w:rPr>
                <w:rFonts w:ascii="Arial Narrow" w:hAnsi="Arial Narrow"/>
                <w:i/>
                <w:sz w:val="20"/>
              </w:rPr>
              <w:t>year time horizon)</w:t>
            </w:r>
          </w:p>
        </w:tc>
      </w:tr>
      <w:tr w:rsidR="002056CD" w:rsidRPr="00C227CD" w14:paraId="3BF5DCF3" w14:textId="77777777" w:rsidTr="00F724BD">
        <w:tc>
          <w:tcPr>
            <w:tcW w:w="5524" w:type="dxa"/>
          </w:tcPr>
          <w:p w14:paraId="176E7694" w14:textId="77777777" w:rsidR="002056CD" w:rsidRPr="00C227CD" w:rsidRDefault="002056CD" w:rsidP="00E95EED">
            <w:pPr>
              <w:keepNext/>
              <w:numPr>
                <w:ilvl w:val="0"/>
                <w:numId w:val="25"/>
              </w:numPr>
              <w:ind w:left="313" w:hanging="313"/>
              <w:rPr>
                <w:rFonts w:ascii="Arial Narrow" w:hAnsi="Arial Narrow"/>
                <w:i/>
                <w:sz w:val="20"/>
              </w:rPr>
            </w:pPr>
            <w:r w:rsidRPr="00C227CD">
              <w:rPr>
                <w:rFonts w:ascii="Arial Narrow" w:hAnsi="Arial Narrow"/>
                <w:i/>
                <w:sz w:val="20"/>
              </w:rPr>
              <w:t>Extrapolation to 10 years only (as used in MSAC Application 1342.2, November 2015 MSAC Meeting PSD)</w:t>
            </w:r>
          </w:p>
        </w:tc>
        <w:tc>
          <w:tcPr>
            <w:tcW w:w="992" w:type="dxa"/>
          </w:tcPr>
          <w:p w14:paraId="03C7CD2F" w14:textId="5AF77E4B" w:rsidR="002056CD" w:rsidRPr="00C40D0C" w:rsidRDefault="002056CD" w:rsidP="006B0BCC">
            <w:pPr>
              <w:keepNext/>
              <w:jc w:val="right"/>
              <w:rPr>
                <w:rFonts w:ascii="Arial Narrow" w:hAnsi="Arial Narrow"/>
                <w:i/>
                <w:sz w:val="20"/>
              </w:rPr>
            </w:pPr>
            <w:r w:rsidRPr="00C40D0C">
              <w:rPr>
                <w:rFonts w:ascii="Arial Narrow" w:hAnsi="Arial Narrow"/>
                <w:i/>
                <w:sz w:val="20"/>
              </w:rPr>
              <w:t>$</w:t>
            </w:r>
            <w:r w:rsidR="00AE3E5D" w:rsidRPr="00AE3E5D">
              <w:rPr>
                <w:rFonts w:ascii="Arial Narrow" w:hAnsi="Arial Narrow" w:hint="eastAsia"/>
                <w:i/>
                <w:color w:val="000000"/>
                <w:w w:val="18"/>
                <w:sz w:val="20"/>
                <w:shd w:val="solid" w:color="000000" w:fill="000000"/>
                <w:fitText w:val="84" w:id="-1437332478"/>
                <w14:textFill>
                  <w14:solidFill>
                    <w14:srgbClr w14:val="000000">
                      <w14:alpha w14:val="100000"/>
                    </w14:srgbClr>
                  </w14:solidFill>
                </w14:textFill>
              </w:rPr>
              <w:t xml:space="preserve">　</w:t>
            </w:r>
            <w:r w:rsidR="00AE3E5D" w:rsidRPr="00AE3E5D">
              <w:rPr>
                <w:rFonts w:ascii="Arial Narrow" w:hAnsi="Arial Narrow"/>
                <w:i/>
                <w:color w:val="000000"/>
                <w:w w:val="18"/>
                <w:sz w:val="20"/>
                <w:shd w:val="solid" w:color="000000" w:fill="000000"/>
                <w:fitText w:val="84" w:id="-1437332478"/>
                <w14:textFill>
                  <w14:solidFill>
                    <w14:srgbClr w14:val="000000">
                      <w14:alpha w14:val="100000"/>
                    </w14:srgbClr>
                  </w14:solidFill>
                </w14:textFill>
              </w:rPr>
              <w:t>|</w:t>
            </w:r>
            <w:r w:rsidR="00AE3E5D" w:rsidRPr="00AE3E5D">
              <w:rPr>
                <w:rFonts w:ascii="Arial Narrow" w:hAnsi="Arial Narrow" w:hint="eastAsia"/>
                <w:i/>
                <w:color w:val="000000"/>
                <w:spacing w:val="4"/>
                <w:w w:val="18"/>
                <w:sz w:val="20"/>
                <w:shd w:val="solid" w:color="000000" w:fill="000000"/>
                <w:fitText w:val="84" w:id="-1437332478"/>
                <w14:textFill>
                  <w14:solidFill>
                    <w14:srgbClr w14:val="000000">
                      <w14:alpha w14:val="100000"/>
                    </w14:srgbClr>
                  </w14:solidFill>
                </w14:textFill>
              </w:rPr>
              <w:t xml:space="preserve">　</w:t>
            </w:r>
          </w:p>
        </w:tc>
        <w:tc>
          <w:tcPr>
            <w:tcW w:w="992" w:type="dxa"/>
          </w:tcPr>
          <w:p w14:paraId="23172725" w14:textId="77777777" w:rsidR="002056CD" w:rsidRPr="00C40D0C" w:rsidRDefault="002056CD" w:rsidP="006B0BCC">
            <w:pPr>
              <w:keepNext/>
              <w:jc w:val="right"/>
              <w:rPr>
                <w:rFonts w:ascii="Arial Narrow" w:hAnsi="Arial Narrow"/>
                <w:i/>
                <w:sz w:val="20"/>
              </w:rPr>
            </w:pPr>
            <w:r w:rsidRPr="00C40D0C">
              <w:rPr>
                <w:rFonts w:ascii="Arial Narrow" w:hAnsi="Arial Narrow"/>
                <w:i/>
                <w:sz w:val="20"/>
              </w:rPr>
              <w:t>0.055</w:t>
            </w:r>
          </w:p>
        </w:tc>
        <w:tc>
          <w:tcPr>
            <w:tcW w:w="851" w:type="dxa"/>
          </w:tcPr>
          <w:p w14:paraId="4A456A37" w14:textId="2C2D9A42" w:rsidR="002056CD" w:rsidRPr="00C40D0C" w:rsidRDefault="002056CD" w:rsidP="006B0BCC">
            <w:pPr>
              <w:keepNext/>
              <w:jc w:val="right"/>
              <w:rPr>
                <w:rFonts w:ascii="Arial Narrow" w:hAnsi="Arial Narrow"/>
                <w:i/>
                <w:sz w:val="20"/>
              </w:rPr>
            </w:pPr>
            <w:r w:rsidRPr="00C40D0C">
              <w:rPr>
                <w:rFonts w:ascii="Arial Narrow" w:hAnsi="Arial Narrow"/>
                <w:i/>
                <w:sz w:val="20"/>
              </w:rPr>
              <w:t>$</w:t>
            </w:r>
            <w:r w:rsidR="00AE3E5D" w:rsidRPr="00AE3E5D">
              <w:rPr>
                <w:rFonts w:ascii="Arial Narrow" w:hAnsi="Arial Narrow"/>
                <w:i/>
                <w:color w:val="000000"/>
                <w:spacing w:val="47"/>
                <w:sz w:val="20"/>
                <w:shd w:val="solid" w:color="000000" w:fill="000000"/>
                <w:fitText w:val="222" w:id="-1437332477"/>
                <w14:textFill>
                  <w14:solidFill>
                    <w14:srgbClr w14:val="000000">
                      <w14:alpha w14:val="100000"/>
                    </w14:srgbClr>
                  </w14:solidFill>
                </w14:textFill>
              </w:rPr>
              <w:t>||</w:t>
            </w:r>
            <w:r w:rsidR="00AE3E5D" w:rsidRPr="00AE3E5D">
              <w:rPr>
                <w:rFonts w:ascii="Arial Narrow" w:hAnsi="Arial Narrow"/>
                <w:i/>
                <w:color w:val="000000"/>
                <w:spacing w:val="1"/>
                <w:sz w:val="20"/>
                <w:shd w:val="solid" w:color="000000" w:fill="000000"/>
                <w:fitText w:val="222" w:id="-1437332477"/>
                <w14:textFill>
                  <w14:solidFill>
                    <w14:srgbClr w14:val="000000">
                      <w14:alpha w14:val="100000"/>
                    </w14:srgbClr>
                  </w14:solidFill>
                </w14:textFill>
              </w:rPr>
              <w:t>|</w:t>
            </w:r>
          </w:p>
        </w:tc>
        <w:tc>
          <w:tcPr>
            <w:tcW w:w="657" w:type="dxa"/>
          </w:tcPr>
          <w:p w14:paraId="6408AD86" w14:textId="77777777" w:rsidR="002056CD" w:rsidRPr="00C40D0C" w:rsidRDefault="002056CD" w:rsidP="006B0BCC">
            <w:pPr>
              <w:keepNext/>
              <w:jc w:val="right"/>
              <w:rPr>
                <w:rFonts w:ascii="Arial Narrow" w:hAnsi="Arial Narrow"/>
                <w:i/>
                <w:sz w:val="20"/>
              </w:rPr>
            </w:pPr>
            <w:r w:rsidRPr="00C40D0C">
              <w:rPr>
                <w:rFonts w:ascii="Arial Narrow" w:hAnsi="Arial Narrow"/>
                <w:i/>
                <w:sz w:val="20"/>
              </w:rPr>
              <w:t>148%</w:t>
            </w:r>
          </w:p>
        </w:tc>
      </w:tr>
      <w:tr w:rsidR="002056CD" w:rsidRPr="00C227CD" w14:paraId="5E374068" w14:textId="77777777" w:rsidTr="00F724BD">
        <w:tc>
          <w:tcPr>
            <w:tcW w:w="5524" w:type="dxa"/>
          </w:tcPr>
          <w:p w14:paraId="622A2600" w14:textId="77777777" w:rsidR="002056CD" w:rsidRPr="00C227CD" w:rsidRDefault="002056CD" w:rsidP="00E95EED">
            <w:pPr>
              <w:keepNext/>
              <w:numPr>
                <w:ilvl w:val="0"/>
                <w:numId w:val="25"/>
              </w:numPr>
              <w:ind w:left="313" w:hanging="313"/>
              <w:rPr>
                <w:rFonts w:ascii="Arial Narrow" w:hAnsi="Arial Narrow"/>
                <w:i/>
                <w:sz w:val="20"/>
              </w:rPr>
            </w:pPr>
            <w:r w:rsidRPr="00C227CD">
              <w:rPr>
                <w:rFonts w:ascii="Arial Narrow" w:hAnsi="Arial Narrow"/>
                <w:i/>
                <w:sz w:val="20"/>
              </w:rPr>
              <w:t>Extrapolation to 15 years only</w:t>
            </w:r>
          </w:p>
        </w:tc>
        <w:tc>
          <w:tcPr>
            <w:tcW w:w="992" w:type="dxa"/>
          </w:tcPr>
          <w:p w14:paraId="0600B208" w14:textId="11DADFC4" w:rsidR="002056CD" w:rsidRPr="00C40D0C" w:rsidRDefault="002056CD" w:rsidP="006B0BCC">
            <w:pPr>
              <w:keepNext/>
              <w:jc w:val="right"/>
              <w:rPr>
                <w:rFonts w:ascii="Arial Narrow" w:hAnsi="Arial Narrow"/>
                <w:i/>
                <w:sz w:val="20"/>
              </w:rPr>
            </w:pPr>
            <w:r w:rsidRPr="00C40D0C">
              <w:rPr>
                <w:rFonts w:ascii="Arial Narrow" w:hAnsi="Arial Narrow"/>
                <w:i/>
                <w:sz w:val="20"/>
              </w:rPr>
              <w:t>$</w:t>
            </w:r>
            <w:r w:rsidR="00AE3E5D" w:rsidRPr="00AE3E5D">
              <w:rPr>
                <w:rFonts w:ascii="Arial Narrow" w:hAnsi="Arial Narrow" w:hint="eastAsia"/>
                <w:i/>
                <w:color w:val="000000"/>
                <w:w w:val="18"/>
                <w:sz w:val="20"/>
                <w:shd w:val="solid" w:color="000000" w:fill="000000"/>
                <w:fitText w:val="84" w:id="-1437332476"/>
                <w14:textFill>
                  <w14:solidFill>
                    <w14:srgbClr w14:val="000000">
                      <w14:alpha w14:val="100000"/>
                    </w14:srgbClr>
                  </w14:solidFill>
                </w14:textFill>
              </w:rPr>
              <w:t xml:space="preserve">　</w:t>
            </w:r>
            <w:r w:rsidR="00AE3E5D" w:rsidRPr="00AE3E5D">
              <w:rPr>
                <w:rFonts w:ascii="Arial Narrow" w:hAnsi="Arial Narrow"/>
                <w:i/>
                <w:color w:val="000000"/>
                <w:w w:val="18"/>
                <w:sz w:val="20"/>
                <w:shd w:val="solid" w:color="000000" w:fill="000000"/>
                <w:fitText w:val="84" w:id="-1437332476"/>
                <w14:textFill>
                  <w14:solidFill>
                    <w14:srgbClr w14:val="000000">
                      <w14:alpha w14:val="100000"/>
                    </w14:srgbClr>
                  </w14:solidFill>
                </w14:textFill>
              </w:rPr>
              <w:t>|</w:t>
            </w:r>
            <w:r w:rsidR="00AE3E5D" w:rsidRPr="00AE3E5D">
              <w:rPr>
                <w:rFonts w:ascii="Arial Narrow" w:hAnsi="Arial Narrow" w:hint="eastAsia"/>
                <w:i/>
                <w:color w:val="000000"/>
                <w:spacing w:val="4"/>
                <w:w w:val="18"/>
                <w:sz w:val="20"/>
                <w:shd w:val="solid" w:color="000000" w:fill="000000"/>
                <w:fitText w:val="84" w:id="-1437332476"/>
                <w14:textFill>
                  <w14:solidFill>
                    <w14:srgbClr w14:val="000000">
                      <w14:alpha w14:val="100000"/>
                    </w14:srgbClr>
                  </w14:solidFill>
                </w14:textFill>
              </w:rPr>
              <w:t xml:space="preserve">　</w:t>
            </w:r>
          </w:p>
        </w:tc>
        <w:tc>
          <w:tcPr>
            <w:tcW w:w="992" w:type="dxa"/>
          </w:tcPr>
          <w:p w14:paraId="63BAA330" w14:textId="77777777" w:rsidR="002056CD" w:rsidRPr="00C40D0C" w:rsidRDefault="002056CD" w:rsidP="006B0BCC">
            <w:pPr>
              <w:keepNext/>
              <w:jc w:val="right"/>
              <w:rPr>
                <w:rFonts w:ascii="Arial Narrow" w:hAnsi="Arial Narrow"/>
                <w:i/>
                <w:sz w:val="20"/>
              </w:rPr>
            </w:pPr>
            <w:r w:rsidRPr="00C40D0C">
              <w:rPr>
                <w:rFonts w:ascii="Arial Narrow" w:hAnsi="Arial Narrow"/>
                <w:i/>
                <w:sz w:val="20"/>
              </w:rPr>
              <w:t>0.067</w:t>
            </w:r>
          </w:p>
        </w:tc>
        <w:tc>
          <w:tcPr>
            <w:tcW w:w="851" w:type="dxa"/>
          </w:tcPr>
          <w:p w14:paraId="0A1350D1" w14:textId="61DE9ABC" w:rsidR="002056CD" w:rsidRPr="00C40D0C" w:rsidRDefault="002056CD" w:rsidP="006B0BCC">
            <w:pPr>
              <w:keepNext/>
              <w:jc w:val="right"/>
              <w:rPr>
                <w:rFonts w:ascii="Arial Narrow" w:hAnsi="Arial Narrow"/>
                <w:i/>
                <w:sz w:val="20"/>
              </w:rPr>
            </w:pPr>
            <w:r w:rsidRPr="00C40D0C">
              <w:rPr>
                <w:rFonts w:ascii="Arial Narrow" w:hAnsi="Arial Narrow"/>
                <w:i/>
                <w:sz w:val="20"/>
              </w:rPr>
              <w:t>$</w:t>
            </w:r>
            <w:r w:rsidR="00AE3E5D" w:rsidRPr="00AE3E5D">
              <w:rPr>
                <w:rFonts w:ascii="Arial Narrow" w:hAnsi="Arial Narrow"/>
                <w:i/>
                <w:color w:val="000000"/>
                <w:spacing w:val="47"/>
                <w:sz w:val="20"/>
                <w:shd w:val="solid" w:color="000000" w:fill="000000"/>
                <w:fitText w:val="222" w:id="-1437332475"/>
                <w14:textFill>
                  <w14:solidFill>
                    <w14:srgbClr w14:val="000000">
                      <w14:alpha w14:val="100000"/>
                    </w14:srgbClr>
                  </w14:solidFill>
                </w14:textFill>
              </w:rPr>
              <w:t>||</w:t>
            </w:r>
            <w:r w:rsidR="00AE3E5D" w:rsidRPr="00AE3E5D">
              <w:rPr>
                <w:rFonts w:ascii="Arial Narrow" w:hAnsi="Arial Narrow"/>
                <w:i/>
                <w:color w:val="000000"/>
                <w:spacing w:val="1"/>
                <w:sz w:val="20"/>
                <w:shd w:val="solid" w:color="000000" w:fill="000000"/>
                <w:fitText w:val="222" w:id="-1437332475"/>
                <w14:textFill>
                  <w14:solidFill>
                    <w14:srgbClr w14:val="000000">
                      <w14:alpha w14:val="100000"/>
                    </w14:srgbClr>
                  </w14:solidFill>
                </w14:textFill>
              </w:rPr>
              <w:t>|</w:t>
            </w:r>
          </w:p>
        </w:tc>
        <w:tc>
          <w:tcPr>
            <w:tcW w:w="657" w:type="dxa"/>
          </w:tcPr>
          <w:p w14:paraId="22101661" w14:textId="77777777" w:rsidR="002056CD" w:rsidRPr="00C40D0C" w:rsidRDefault="002056CD" w:rsidP="006B0BCC">
            <w:pPr>
              <w:keepNext/>
              <w:jc w:val="right"/>
              <w:rPr>
                <w:rFonts w:ascii="Arial Narrow" w:hAnsi="Arial Narrow"/>
                <w:i/>
                <w:sz w:val="20"/>
              </w:rPr>
            </w:pPr>
            <w:r w:rsidRPr="00C40D0C">
              <w:rPr>
                <w:rFonts w:ascii="Arial Narrow" w:hAnsi="Arial Narrow"/>
                <w:i/>
                <w:sz w:val="20"/>
              </w:rPr>
              <w:t>69%</w:t>
            </w:r>
          </w:p>
        </w:tc>
      </w:tr>
      <w:tr w:rsidR="002056CD" w:rsidRPr="00C227CD" w14:paraId="1E287FDC" w14:textId="77777777" w:rsidTr="00F724BD">
        <w:tc>
          <w:tcPr>
            <w:tcW w:w="5524" w:type="dxa"/>
            <w:tcBorders>
              <w:bottom w:val="single" w:sz="4" w:space="0" w:color="auto"/>
            </w:tcBorders>
          </w:tcPr>
          <w:p w14:paraId="08AEC654" w14:textId="77777777" w:rsidR="002056CD" w:rsidRPr="00C227CD" w:rsidRDefault="002056CD" w:rsidP="00E95EED">
            <w:pPr>
              <w:keepNext/>
              <w:numPr>
                <w:ilvl w:val="0"/>
                <w:numId w:val="25"/>
              </w:numPr>
              <w:ind w:left="313" w:hanging="313"/>
              <w:rPr>
                <w:rFonts w:ascii="Arial Narrow" w:hAnsi="Arial Narrow"/>
                <w:i/>
                <w:sz w:val="20"/>
              </w:rPr>
            </w:pPr>
            <w:r w:rsidRPr="00C227CD">
              <w:rPr>
                <w:rFonts w:ascii="Arial Narrow" w:hAnsi="Arial Narrow"/>
                <w:i/>
                <w:sz w:val="20"/>
              </w:rPr>
              <w:t xml:space="preserve">Extrapolation to 10 years with a 50% reduction in risk applied between years 10−15 (Ward et al. </w:t>
            </w:r>
            <w:proofErr w:type="gramStart"/>
            <w:r w:rsidRPr="00C227CD">
              <w:rPr>
                <w:rFonts w:ascii="Arial Narrow" w:hAnsi="Arial Narrow"/>
                <w:i/>
                <w:sz w:val="20"/>
              </w:rPr>
              <w:t>2013)</w:t>
            </w:r>
            <w:r w:rsidRPr="00C227CD">
              <w:rPr>
                <w:rFonts w:ascii="Arial Narrow" w:hAnsi="Arial Narrow"/>
                <w:i/>
                <w:sz w:val="20"/>
                <w:vertAlign w:val="superscript"/>
              </w:rPr>
              <w:t>c</w:t>
            </w:r>
            <w:proofErr w:type="gramEnd"/>
          </w:p>
        </w:tc>
        <w:tc>
          <w:tcPr>
            <w:tcW w:w="992" w:type="dxa"/>
            <w:tcBorders>
              <w:bottom w:val="single" w:sz="4" w:space="0" w:color="auto"/>
            </w:tcBorders>
          </w:tcPr>
          <w:p w14:paraId="33FB3140" w14:textId="39530DE5" w:rsidR="002056CD" w:rsidRPr="00C40D0C" w:rsidRDefault="002056CD" w:rsidP="006B0BCC">
            <w:pPr>
              <w:keepNext/>
              <w:jc w:val="right"/>
              <w:rPr>
                <w:rFonts w:ascii="Arial Narrow" w:hAnsi="Arial Narrow"/>
                <w:i/>
                <w:sz w:val="20"/>
              </w:rPr>
            </w:pPr>
            <w:r w:rsidRPr="00C40D0C">
              <w:rPr>
                <w:rFonts w:ascii="Arial Narrow" w:hAnsi="Arial Narrow"/>
                <w:i/>
                <w:sz w:val="20"/>
              </w:rPr>
              <w:t>$</w:t>
            </w:r>
            <w:r w:rsidR="00AE3E5D" w:rsidRPr="00AE3E5D">
              <w:rPr>
                <w:rFonts w:ascii="Arial Narrow" w:hAnsi="Arial Narrow" w:hint="eastAsia"/>
                <w:i/>
                <w:color w:val="000000"/>
                <w:w w:val="18"/>
                <w:sz w:val="20"/>
                <w:shd w:val="solid" w:color="000000" w:fill="000000"/>
                <w:fitText w:val="84" w:id="-1437332474"/>
                <w14:textFill>
                  <w14:solidFill>
                    <w14:srgbClr w14:val="000000">
                      <w14:alpha w14:val="100000"/>
                    </w14:srgbClr>
                  </w14:solidFill>
                </w14:textFill>
              </w:rPr>
              <w:t xml:space="preserve">　</w:t>
            </w:r>
            <w:r w:rsidR="00AE3E5D" w:rsidRPr="00AE3E5D">
              <w:rPr>
                <w:rFonts w:ascii="Arial Narrow" w:hAnsi="Arial Narrow"/>
                <w:i/>
                <w:color w:val="000000"/>
                <w:w w:val="18"/>
                <w:sz w:val="20"/>
                <w:shd w:val="solid" w:color="000000" w:fill="000000"/>
                <w:fitText w:val="84" w:id="-1437332474"/>
                <w14:textFill>
                  <w14:solidFill>
                    <w14:srgbClr w14:val="000000">
                      <w14:alpha w14:val="100000"/>
                    </w14:srgbClr>
                  </w14:solidFill>
                </w14:textFill>
              </w:rPr>
              <w:t>|</w:t>
            </w:r>
            <w:r w:rsidR="00AE3E5D" w:rsidRPr="00AE3E5D">
              <w:rPr>
                <w:rFonts w:ascii="Arial Narrow" w:hAnsi="Arial Narrow" w:hint="eastAsia"/>
                <w:i/>
                <w:color w:val="000000"/>
                <w:spacing w:val="4"/>
                <w:w w:val="18"/>
                <w:sz w:val="20"/>
                <w:shd w:val="solid" w:color="000000" w:fill="000000"/>
                <w:fitText w:val="84" w:id="-1437332474"/>
                <w14:textFill>
                  <w14:solidFill>
                    <w14:srgbClr w14:val="000000">
                      <w14:alpha w14:val="100000"/>
                    </w14:srgbClr>
                  </w14:solidFill>
                </w14:textFill>
              </w:rPr>
              <w:t xml:space="preserve">　</w:t>
            </w:r>
          </w:p>
        </w:tc>
        <w:tc>
          <w:tcPr>
            <w:tcW w:w="992" w:type="dxa"/>
            <w:tcBorders>
              <w:bottom w:val="single" w:sz="4" w:space="0" w:color="auto"/>
            </w:tcBorders>
          </w:tcPr>
          <w:p w14:paraId="469D2896" w14:textId="77777777" w:rsidR="002056CD" w:rsidRPr="00C40D0C" w:rsidRDefault="002056CD" w:rsidP="006B0BCC">
            <w:pPr>
              <w:keepNext/>
              <w:jc w:val="right"/>
              <w:rPr>
                <w:rFonts w:ascii="Arial Narrow" w:hAnsi="Arial Narrow"/>
                <w:i/>
                <w:sz w:val="20"/>
              </w:rPr>
            </w:pPr>
            <w:r w:rsidRPr="00C40D0C">
              <w:rPr>
                <w:rFonts w:ascii="Arial Narrow" w:hAnsi="Arial Narrow"/>
                <w:i/>
                <w:sz w:val="20"/>
              </w:rPr>
              <w:t>0.061</w:t>
            </w:r>
          </w:p>
        </w:tc>
        <w:tc>
          <w:tcPr>
            <w:tcW w:w="851" w:type="dxa"/>
            <w:tcBorders>
              <w:bottom w:val="single" w:sz="4" w:space="0" w:color="auto"/>
            </w:tcBorders>
          </w:tcPr>
          <w:p w14:paraId="162ACF26" w14:textId="1E16C367" w:rsidR="002056CD" w:rsidRPr="00C40D0C" w:rsidRDefault="002056CD" w:rsidP="006B0BCC">
            <w:pPr>
              <w:keepNext/>
              <w:jc w:val="right"/>
              <w:rPr>
                <w:rFonts w:ascii="Arial Narrow" w:hAnsi="Arial Narrow"/>
                <w:i/>
                <w:sz w:val="20"/>
              </w:rPr>
            </w:pPr>
            <w:r w:rsidRPr="00C40D0C">
              <w:rPr>
                <w:rFonts w:ascii="Arial Narrow" w:hAnsi="Arial Narrow"/>
                <w:i/>
                <w:sz w:val="20"/>
              </w:rPr>
              <w:t>$</w:t>
            </w:r>
            <w:r w:rsidR="00AE3E5D" w:rsidRPr="00AE3E5D">
              <w:rPr>
                <w:rFonts w:ascii="Arial Narrow" w:hAnsi="Arial Narrow"/>
                <w:i/>
                <w:color w:val="000000"/>
                <w:spacing w:val="47"/>
                <w:sz w:val="20"/>
                <w:shd w:val="solid" w:color="000000" w:fill="000000"/>
                <w:fitText w:val="222" w:id="-1437332473"/>
                <w14:textFill>
                  <w14:solidFill>
                    <w14:srgbClr w14:val="000000">
                      <w14:alpha w14:val="100000"/>
                    </w14:srgbClr>
                  </w14:solidFill>
                </w14:textFill>
              </w:rPr>
              <w:t>||</w:t>
            </w:r>
            <w:r w:rsidR="00AE3E5D" w:rsidRPr="00AE3E5D">
              <w:rPr>
                <w:rFonts w:ascii="Arial Narrow" w:hAnsi="Arial Narrow"/>
                <w:i/>
                <w:color w:val="000000"/>
                <w:spacing w:val="1"/>
                <w:sz w:val="20"/>
                <w:shd w:val="solid" w:color="000000" w:fill="000000"/>
                <w:fitText w:val="222" w:id="-1437332473"/>
                <w14:textFill>
                  <w14:solidFill>
                    <w14:srgbClr w14:val="000000">
                      <w14:alpha w14:val="100000"/>
                    </w14:srgbClr>
                  </w14:solidFill>
                </w14:textFill>
              </w:rPr>
              <w:t>|</w:t>
            </w:r>
          </w:p>
        </w:tc>
        <w:tc>
          <w:tcPr>
            <w:tcW w:w="657" w:type="dxa"/>
            <w:tcBorders>
              <w:bottom w:val="single" w:sz="4" w:space="0" w:color="auto"/>
            </w:tcBorders>
          </w:tcPr>
          <w:p w14:paraId="03599151" w14:textId="77777777" w:rsidR="002056CD" w:rsidRPr="00C40D0C" w:rsidRDefault="002056CD" w:rsidP="006B0BCC">
            <w:pPr>
              <w:keepNext/>
              <w:jc w:val="right"/>
              <w:rPr>
                <w:rFonts w:ascii="Arial Narrow" w:hAnsi="Arial Narrow"/>
                <w:i/>
                <w:sz w:val="20"/>
              </w:rPr>
            </w:pPr>
            <w:r w:rsidRPr="00C40D0C">
              <w:rPr>
                <w:rFonts w:ascii="Arial Narrow" w:hAnsi="Arial Narrow"/>
                <w:i/>
                <w:sz w:val="20"/>
              </w:rPr>
              <w:t>104%</w:t>
            </w:r>
          </w:p>
        </w:tc>
      </w:tr>
      <w:tr w:rsidR="002056CD" w:rsidRPr="00C227CD" w14:paraId="2D98F156" w14:textId="77777777" w:rsidTr="00F724BD">
        <w:tc>
          <w:tcPr>
            <w:tcW w:w="5524" w:type="dxa"/>
            <w:tcBorders>
              <w:right w:val="nil"/>
            </w:tcBorders>
          </w:tcPr>
          <w:p w14:paraId="12BDCD94" w14:textId="77777777" w:rsidR="002056CD" w:rsidRPr="00C227CD" w:rsidRDefault="002056CD" w:rsidP="006B0BCC">
            <w:pPr>
              <w:keepNext/>
              <w:rPr>
                <w:rFonts w:ascii="Arial Narrow" w:hAnsi="Arial Narrow"/>
                <w:sz w:val="20"/>
              </w:rPr>
            </w:pPr>
            <w:r w:rsidRPr="00C227CD">
              <w:rPr>
                <w:rFonts w:ascii="Arial Narrow" w:hAnsi="Arial Narrow"/>
                <w:sz w:val="20"/>
              </w:rPr>
              <w:t>Health state utility values (base case: No DR 0.989; DR 0.786)</w:t>
            </w:r>
          </w:p>
        </w:tc>
        <w:tc>
          <w:tcPr>
            <w:tcW w:w="992" w:type="dxa"/>
            <w:tcBorders>
              <w:left w:val="nil"/>
              <w:right w:val="nil"/>
            </w:tcBorders>
          </w:tcPr>
          <w:p w14:paraId="16845227" w14:textId="77777777" w:rsidR="002056CD" w:rsidRPr="00C40D0C" w:rsidRDefault="002056CD" w:rsidP="006B0BCC">
            <w:pPr>
              <w:keepNext/>
              <w:jc w:val="right"/>
              <w:rPr>
                <w:rFonts w:ascii="Arial Narrow" w:hAnsi="Arial Narrow"/>
                <w:i/>
                <w:sz w:val="20"/>
              </w:rPr>
            </w:pPr>
          </w:p>
        </w:tc>
        <w:tc>
          <w:tcPr>
            <w:tcW w:w="992" w:type="dxa"/>
            <w:tcBorders>
              <w:left w:val="nil"/>
              <w:right w:val="nil"/>
            </w:tcBorders>
          </w:tcPr>
          <w:p w14:paraId="6D505C29" w14:textId="77777777" w:rsidR="002056CD" w:rsidRPr="00C40D0C" w:rsidRDefault="002056CD" w:rsidP="006B0BCC">
            <w:pPr>
              <w:keepNext/>
              <w:jc w:val="right"/>
              <w:rPr>
                <w:rFonts w:ascii="Arial Narrow" w:hAnsi="Arial Narrow"/>
                <w:i/>
                <w:sz w:val="20"/>
              </w:rPr>
            </w:pPr>
          </w:p>
        </w:tc>
        <w:tc>
          <w:tcPr>
            <w:tcW w:w="851" w:type="dxa"/>
            <w:tcBorders>
              <w:left w:val="nil"/>
              <w:right w:val="nil"/>
            </w:tcBorders>
          </w:tcPr>
          <w:p w14:paraId="3EEC815D" w14:textId="77777777" w:rsidR="002056CD" w:rsidRPr="00C40D0C" w:rsidRDefault="002056CD" w:rsidP="006B0BCC">
            <w:pPr>
              <w:keepNext/>
              <w:jc w:val="right"/>
              <w:rPr>
                <w:rFonts w:ascii="Arial Narrow" w:hAnsi="Arial Narrow"/>
                <w:i/>
                <w:sz w:val="20"/>
              </w:rPr>
            </w:pPr>
          </w:p>
        </w:tc>
        <w:tc>
          <w:tcPr>
            <w:tcW w:w="657" w:type="dxa"/>
            <w:tcBorders>
              <w:left w:val="nil"/>
            </w:tcBorders>
          </w:tcPr>
          <w:p w14:paraId="122B98FE" w14:textId="77777777" w:rsidR="002056CD" w:rsidRPr="00C227CD" w:rsidRDefault="002056CD" w:rsidP="006B0BCC">
            <w:pPr>
              <w:keepNext/>
              <w:jc w:val="right"/>
              <w:rPr>
                <w:rFonts w:ascii="Arial Narrow" w:hAnsi="Arial Narrow"/>
                <w:i/>
                <w:sz w:val="20"/>
              </w:rPr>
            </w:pPr>
          </w:p>
        </w:tc>
      </w:tr>
      <w:tr w:rsidR="002056CD" w:rsidRPr="00C227CD" w14:paraId="62CB4886" w14:textId="77777777" w:rsidTr="00F724BD">
        <w:tc>
          <w:tcPr>
            <w:tcW w:w="5524" w:type="dxa"/>
            <w:tcBorders>
              <w:bottom w:val="single" w:sz="4" w:space="0" w:color="auto"/>
            </w:tcBorders>
          </w:tcPr>
          <w:p w14:paraId="5F6F3866" w14:textId="77777777" w:rsidR="002056CD" w:rsidRPr="00C227CD" w:rsidRDefault="002056CD" w:rsidP="00E95EED">
            <w:pPr>
              <w:keepNext/>
              <w:numPr>
                <w:ilvl w:val="0"/>
                <w:numId w:val="25"/>
              </w:numPr>
              <w:ind w:left="313" w:hanging="313"/>
              <w:rPr>
                <w:rFonts w:ascii="Arial Narrow" w:hAnsi="Arial Narrow"/>
                <w:sz w:val="20"/>
              </w:rPr>
            </w:pPr>
            <w:r w:rsidRPr="00C227CD">
              <w:rPr>
                <w:rFonts w:ascii="Arial Narrow" w:hAnsi="Arial Narrow"/>
                <w:sz w:val="20"/>
              </w:rPr>
              <w:t>Lidgren et al. (</w:t>
            </w:r>
            <w:proofErr w:type="gramStart"/>
            <w:r w:rsidRPr="00C227CD">
              <w:rPr>
                <w:rFonts w:ascii="Arial Narrow" w:hAnsi="Arial Narrow"/>
                <w:sz w:val="20"/>
              </w:rPr>
              <w:t>2007)</w:t>
            </w:r>
            <w:r w:rsidRPr="00C227CD">
              <w:rPr>
                <w:rFonts w:ascii="Arial Narrow" w:hAnsi="Arial Narrow"/>
                <w:sz w:val="20"/>
                <w:vertAlign w:val="superscript"/>
              </w:rPr>
              <w:t>d</w:t>
            </w:r>
            <w:proofErr w:type="gramEnd"/>
            <w:r w:rsidRPr="00C227CD">
              <w:rPr>
                <w:rFonts w:ascii="Arial Narrow" w:hAnsi="Arial Narrow"/>
                <w:sz w:val="20"/>
              </w:rPr>
              <w:t xml:space="preserve"> utilities (No DR 0.824; DR 0.685)</w:t>
            </w:r>
          </w:p>
        </w:tc>
        <w:tc>
          <w:tcPr>
            <w:tcW w:w="992" w:type="dxa"/>
            <w:tcBorders>
              <w:bottom w:val="single" w:sz="4" w:space="0" w:color="auto"/>
            </w:tcBorders>
          </w:tcPr>
          <w:p w14:paraId="48D377D2" w14:textId="7590F51E" w:rsidR="002056CD" w:rsidRPr="00C40D0C" w:rsidRDefault="002056CD" w:rsidP="006B0BCC">
            <w:pPr>
              <w:keepNext/>
              <w:jc w:val="right"/>
              <w:rPr>
                <w:rFonts w:ascii="Arial Narrow" w:hAnsi="Arial Narrow"/>
                <w:i/>
                <w:sz w:val="20"/>
              </w:rPr>
            </w:pPr>
            <w:r w:rsidRPr="00C40D0C">
              <w:rPr>
                <w:rFonts w:ascii="Arial Narrow" w:hAnsi="Arial Narrow"/>
                <w:i/>
                <w:sz w:val="20"/>
              </w:rPr>
              <w:t>$</w:t>
            </w:r>
            <w:r w:rsidR="00AE3E5D" w:rsidRPr="00AE3E5D">
              <w:rPr>
                <w:rFonts w:ascii="Arial Narrow" w:hAnsi="Arial Narrow" w:hint="eastAsia"/>
                <w:i/>
                <w:color w:val="000000"/>
                <w:w w:val="18"/>
                <w:sz w:val="20"/>
                <w:shd w:val="solid" w:color="000000" w:fill="000000"/>
                <w:fitText w:val="84" w:id="-1437332472"/>
                <w14:textFill>
                  <w14:solidFill>
                    <w14:srgbClr w14:val="000000">
                      <w14:alpha w14:val="100000"/>
                    </w14:srgbClr>
                  </w14:solidFill>
                </w14:textFill>
              </w:rPr>
              <w:t xml:space="preserve">　</w:t>
            </w:r>
            <w:r w:rsidR="00AE3E5D" w:rsidRPr="00AE3E5D">
              <w:rPr>
                <w:rFonts w:ascii="Arial Narrow" w:hAnsi="Arial Narrow"/>
                <w:i/>
                <w:color w:val="000000"/>
                <w:w w:val="18"/>
                <w:sz w:val="20"/>
                <w:shd w:val="solid" w:color="000000" w:fill="000000"/>
                <w:fitText w:val="84" w:id="-1437332472"/>
                <w14:textFill>
                  <w14:solidFill>
                    <w14:srgbClr w14:val="000000">
                      <w14:alpha w14:val="100000"/>
                    </w14:srgbClr>
                  </w14:solidFill>
                </w14:textFill>
              </w:rPr>
              <w:t>|</w:t>
            </w:r>
            <w:r w:rsidR="00AE3E5D" w:rsidRPr="00AE3E5D">
              <w:rPr>
                <w:rFonts w:ascii="Arial Narrow" w:hAnsi="Arial Narrow" w:hint="eastAsia"/>
                <w:i/>
                <w:color w:val="000000"/>
                <w:spacing w:val="4"/>
                <w:w w:val="18"/>
                <w:sz w:val="20"/>
                <w:shd w:val="solid" w:color="000000" w:fill="000000"/>
                <w:fitText w:val="84" w:id="-1437332472"/>
                <w14:textFill>
                  <w14:solidFill>
                    <w14:srgbClr w14:val="000000">
                      <w14:alpha w14:val="100000"/>
                    </w14:srgbClr>
                  </w14:solidFill>
                </w14:textFill>
              </w:rPr>
              <w:t xml:space="preserve">　</w:t>
            </w:r>
          </w:p>
        </w:tc>
        <w:tc>
          <w:tcPr>
            <w:tcW w:w="992" w:type="dxa"/>
            <w:tcBorders>
              <w:bottom w:val="single" w:sz="4" w:space="0" w:color="auto"/>
            </w:tcBorders>
          </w:tcPr>
          <w:p w14:paraId="73A89A2A" w14:textId="77777777" w:rsidR="002056CD" w:rsidRPr="00C40D0C" w:rsidRDefault="002056CD" w:rsidP="006B0BCC">
            <w:pPr>
              <w:keepNext/>
              <w:jc w:val="right"/>
              <w:rPr>
                <w:rFonts w:ascii="Arial Narrow" w:hAnsi="Arial Narrow"/>
                <w:i/>
                <w:sz w:val="20"/>
              </w:rPr>
            </w:pPr>
            <w:r w:rsidRPr="00C40D0C">
              <w:rPr>
                <w:rFonts w:ascii="Arial Narrow" w:hAnsi="Arial Narrow"/>
                <w:i/>
                <w:sz w:val="20"/>
              </w:rPr>
              <w:t>0.067</w:t>
            </w:r>
          </w:p>
        </w:tc>
        <w:tc>
          <w:tcPr>
            <w:tcW w:w="851" w:type="dxa"/>
            <w:tcBorders>
              <w:bottom w:val="single" w:sz="4" w:space="0" w:color="auto"/>
            </w:tcBorders>
          </w:tcPr>
          <w:p w14:paraId="262F2629" w14:textId="2099CBDB" w:rsidR="002056CD" w:rsidRPr="00C40D0C" w:rsidRDefault="002056CD" w:rsidP="006B0BCC">
            <w:pPr>
              <w:keepNext/>
              <w:jc w:val="right"/>
              <w:rPr>
                <w:rFonts w:ascii="Arial Narrow" w:hAnsi="Arial Narrow"/>
                <w:i/>
                <w:sz w:val="20"/>
              </w:rPr>
            </w:pPr>
            <w:r w:rsidRPr="00C40D0C">
              <w:rPr>
                <w:rFonts w:ascii="Arial Narrow" w:hAnsi="Arial Narrow"/>
                <w:i/>
                <w:sz w:val="20"/>
              </w:rPr>
              <w:t>$</w:t>
            </w:r>
            <w:r w:rsidR="00AE3E5D" w:rsidRPr="00AE3E5D">
              <w:rPr>
                <w:rFonts w:ascii="Arial Narrow" w:hAnsi="Arial Narrow"/>
                <w:i/>
                <w:color w:val="000000"/>
                <w:spacing w:val="47"/>
                <w:sz w:val="20"/>
                <w:shd w:val="solid" w:color="000000" w:fill="000000"/>
                <w:fitText w:val="222" w:id="-1437332471"/>
                <w14:textFill>
                  <w14:solidFill>
                    <w14:srgbClr w14:val="000000">
                      <w14:alpha w14:val="100000"/>
                    </w14:srgbClr>
                  </w14:solidFill>
                </w14:textFill>
              </w:rPr>
              <w:t>||</w:t>
            </w:r>
            <w:r w:rsidR="00AE3E5D" w:rsidRPr="00AE3E5D">
              <w:rPr>
                <w:rFonts w:ascii="Arial Narrow" w:hAnsi="Arial Narrow"/>
                <w:i/>
                <w:color w:val="000000"/>
                <w:spacing w:val="1"/>
                <w:sz w:val="20"/>
                <w:shd w:val="solid" w:color="000000" w:fill="000000"/>
                <w:fitText w:val="222" w:id="-1437332471"/>
                <w14:textFill>
                  <w14:solidFill>
                    <w14:srgbClr w14:val="000000">
                      <w14:alpha w14:val="100000"/>
                    </w14:srgbClr>
                  </w14:solidFill>
                </w14:textFill>
              </w:rPr>
              <w:t>|</w:t>
            </w:r>
          </w:p>
        </w:tc>
        <w:tc>
          <w:tcPr>
            <w:tcW w:w="657" w:type="dxa"/>
            <w:tcBorders>
              <w:bottom w:val="single" w:sz="4" w:space="0" w:color="auto"/>
            </w:tcBorders>
          </w:tcPr>
          <w:p w14:paraId="79D7B1C2" w14:textId="77777777" w:rsidR="002056CD" w:rsidRPr="00C40D0C" w:rsidRDefault="002056CD" w:rsidP="006B0BCC">
            <w:pPr>
              <w:keepNext/>
              <w:jc w:val="right"/>
              <w:rPr>
                <w:rFonts w:ascii="Arial Narrow" w:hAnsi="Arial Narrow"/>
                <w:i/>
                <w:sz w:val="20"/>
              </w:rPr>
            </w:pPr>
            <w:r w:rsidRPr="00C40D0C">
              <w:rPr>
                <w:rFonts w:ascii="Arial Narrow" w:hAnsi="Arial Narrow"/>
                <w:i/>
                <w:sz w:val="20"/>
              </w:rPr>
              <w:t>20%</w:t>
            </w:r>
          </w:p>
        </w:tc>
      </w:tr>
      <w:tr w:rsidR="002056CD" w:rsidRPr="00C227CD" w14:paraId="6D935652" w14:textId="77777777" w:rsidTr="00F724BD">
        <w:tc>
          <w:tcPr>
            <w:tcW w:w="5524" w:type="dxa"/>
            <w:tcBorders>
              <w:right w:val="nil"/>
            </w:tcBorders>
          </w:tcPr>
          <w:p w14:paraId="2BAA2FFF" w14:textId="77777777" w:rsidR="002056CD" w:rsidRPr="00C227CD" w:rsidRDefault="002056CD" w:rsidP="006B0BCC">
            <w:pPr>
              <w:keepNext/>
              <w:rPr>
                <w:rFonts w:ascii="Arial Narrow" w:hAnsi="Arial Narrow"/>
                <w:i/>
                <w:sz w:val="20"/>
              </w:rPr>
            </w:pPr>
            <w:r w:rsidRPr="00C227CD">
              <w:rPr>
                <w:rFonts w:ascii="Arial Narrow" w:hAnsi="Arial Narrow"/>
                <w:i/>
                <w:sz w:val="20"/>
              </w:rPr>
              <w:t>Time horizon (base case: 50 years)</w:t>
            </w:r>
          </w:p>
        </w:tc>
        <w:tc>
          <w:tcPr>
            <w:tcW w:w="992" w:type="dxa"/>
            <w:tcBorders>
              <w:left w:val="nil"/>
              <w:right w:val="nil"/>
            </w:tcBorders>
          </w:tcPr>
          <w:p w14:paraId="3B001205" w14:textId="77777777" w:rsidR="002056CD" w:rsidRPr="00C40D0C" w:rsidRDefault="002056CD" w:rsidP="006B0BCC">
            <w:pPr>
              <w:keepNext/>
              <w:jc w:val="right"/>
              <w:rPr>
                <w:rFonts w:ascii="Arial Narrow" w:hAnsi="Arial Narrow"/>
                <w:i/>
                <w:sz w:val="20"/>
              </w:rPr>
            </w:pPr>
          </w:p>
        </w:tc>
        <w:tc>
          <w:tcPr>
            <w:tcW w:w="992" w:type="dxa"/>
            <w:tcBorders>
              <w:left w:val="nil"/>
              <w:right w:val="nil"/>
            </w:tcBorders>
          </w:tcPr>
          <w:p w14:paraId="0CC00F21" w14:textId="77777777" w:rsidR="002056CD" w:rsidRPr="00C40D0C" w:rsidRDefault="002056CD" w:rsidP="006B0BCC">
            <w:pPr>
              <w:keepNext/>
              <w:jc w:val="right"/>
              <w:rPr>
                <w:rFonts w:ascii="Arial Narrow" w:hAnsi="Arial Narrow"/>
                <w:i/>
                <w:sz w:val="20"/>
              </w:rPr>
            </w:pPr>
          </w:p>
        </w:tc>
        <w:tc>
          <w:tcPr>
            <w:tcW w:w="851" w:type="dxa"/>
            <w:tcBorders>
              <w:left w:val="nil"/>
              <w:right w:val="nil"/>
            </w:tcBorders>
          </w:tcPr>
          <w:p w14:paraId="3F111924" w14:textId="77777777" w:rsidR="002056CD" w:rsidRPr="00C40D0C" w:rsidRDefault="002056CD" w:rsidP="006B0BCC">
            <w:pPr>
              <w:keepNext/>
              <w:jc w:val="right"/>
              <w:rPr>
                <w:rFonts w:ascii="Arial Narrow" w:hAnsi="Arial Narrow"/>
                <w:i/>
                <w:sz w:val="20"/>
              </w:rPr>
            </w:pPr>
          </w:p>
        </w:tc>
        <w:tc>
          <w:tcPr>
            <w:tcW w:w="657" w:type="dxa"/>
            <w:tcBorders>
              <w:left w:val="nil"/>
            </w:tcBorders>
          </w:tcPr>
          <w:p w14:paraId="0DFE3DBE" w14:textId="77777777" w:rsidR="002056CD" w:rsidRPr="00C227CD" w:rsidRDefault="002056CD" w:rsidP="006B0BCC">
            <w:pPr>
              <w:keepNext/>
              <w:jc w:val="right"/>
              <w:rPr>
                <w:rFonts w:ascii="Arial Narrow" w:hAnsi="Arial Narrow"/>
                <w:i/>
                <w:sz w:val="20"/>
              </w:rPr>
            </w:pPr>
          </w:p>
        </w:tc>
      </w:tr>
      <w:tr w:rsidR="002056CD" w:rsidRPr="00C227CD" w14:paraId="50B37AD0" w14:textId="77777777" w:rsidTr="00F724BD">
        <w:tc>
          <w:tcPr>
            <w:tcW w:w="5524" w:type="dxa"/>
            <w:tcBorders>
              <w:bottom w:val="single" w:sz="4" w:space="0" w:color="auto"/>
            </w:tcBorders>
          </w:tcPr>
          <w:p w14:paraId="48637FC0" w14:textId="77777777" w:rsidR="002056CD" w:rsidRPr="00C227CD" w:rsidRDefault="002056CD" w:rsidP="00E95EED">
            <w:pPr>
              <w:keepNext/>
              <w:numPr>
                <w:ilvl w:val="0"/>
                <w:numId w:val="25"/>
              </w:numPr>
              <w:ind w:left="313" w:hanging="313"/>
              <w:rPr>
                <w:rFonts w:ascii="Arial Narrow" w:hAnsi="Arial Narrow"/>
                <w:i/>
                <w:sz w:val="20"/>
              </w:rPr>
            </w:pPr>
            <w:r w:rsidRPr="00C227CD">
              <w:rPr>
                <w:rFonts w:ascii="Arial Narrow" w:hAnsi="Arial Narrow"/>
                <w:i/>
                <w:sz w:val="20"/>
              </w:rPr>
              <w:t>30 years</w:t>
            </w:r>
          </w:p>
        </w:tc>
        <w:tc>
          <w:tcPr>
            <w:tcW w:w="992" w:type="dxa"/>
            <w:tcBorders>
              <w:bottom w:val="single" w:sz="4" w:space="0" w:color="auto"/>
            </w:tcBorders>
          </w:tcPr>
          <w:p w14:paraId="2C28BB3F" w14:textId="71BAF9E0" w:rsidR="002056CD" w:rsidRPr="00C40D0C" w:rsidRDefault="002056CD" w:rsidP="006B0BCC">
            <w:pPr>
              <w:keepNext/>
              <w:jc w:val="right"/>
              <w:rPr>
                <w:rFonts w:ascii="Arial Narrow" w:hAnsi="Arial Narrow"/>
                <w:i/>
                <w:sz w:val="20"/>
              </w:rPr>
            </w:pPr>
            <w:r w:rsidRPr="00C40D0C">
              <w:rPr>
                <w:rFonts w:ascii="Arial Narrow" w:hAnsi="Arial Narrow"/>
                <w:i/>
                <w:sz w:val="20"/>
              </w:rPr>
              <w:t>$</w:t>
            </w:r>
            <w:r w:rsidR="00AE3E5D" w:rsidRPr="00AE3E5D">
              <w:rPr>
                <w:rFonts w:ascii="Arial Narrow" w:hAnsi="Arial Narrow" w:hint="eastAsia"/>
                <w:i/>
                <w:color w:val="000000"/>
                <w:w w:val="18"/>
                <w:sz w:val="20"/>
                <w:shd w:val="solid" w:color="000000" w:fill="000000"/>
                <w:fitText w:val="84" w:id="-1437332470"/>
                <w14:textFill>
                  <w14:solidFill>
                    <w14:srgbClr w14:val="000000">
                      <w14:alpha w14:val="100000"/>
                    </w14:srgbClr>
                  </w14:solidFill>
                </w14:textFill>
              </w:rPr>
              <w:t xml:space="preserve">　</w:t>
            </w:r>
            <w:r w:rsidR="00AE3E5D" w:rsidRPr="00AE3E5D">
              <w:rPr>
                <w:rFonts w:ascii="Arial Narrow" w:hAnsi="Arial Narrow"/>
                <w:i/>
                <w:color w:val="000000"/>
                <w:w w:val="18"/>
                <w:sz w:val="20"/>
                <w:shd w:val="solid" w:color="000000" w:fill="000000"/>
                <w:fitText w:val="84" w:id="-1437332470"/>
                <w14:textFill>
                  <w14:solidFill>
                    <w14:srgbClr w14:val="000000">
                      <w14:alpha w14:val="100000"/>
                    </w14:srgbClr>
                  </w14:solidFill>
                </w14:textFill>
              </w:rPr>
              <w:t>|</w:t>
            </w:r>
            <w:r w:rsidR="00AE3E5D" w:rsidRPr="00AE3E5D">
              <w:rPr>
                <w:rFonts w:ascii="Arial Narrow" w:hAnsi="Arial Narrow" w:hint="eastAsia"/>
                <w:i/>
                <w:color w:val="000000"/>
                <w:spacing w:val="4"/>
                <w:w w:val="18"/>
                <w:sz w:val="20"/>
                <w:shd w:val="solid" w:color="000000" w:fill="000000"/>
                <w:fitText w:val="84" w:id="-1437332470"/>
                <w14:textFill>
                  <w14:solidFill>
                    <w14:srgbClr w14:val="000000">
                      <w14:alpha w14:val="100000"/>
                    </w14:srgbClr>
                  </w14:solidFill>
                </w14:textFill>
              </w:rPr>
              <w:t xml:space="preserve">　</w:t>
            </w:r>
          </w:p>
        </w:tc>
        <w:tc>
          <w:tcPr>
            <w:tcW w:w="992" w:type="dxa"/>
            <w:tcBorders>
              <w:bottom w:val="single" w:sz="4" w:space="0" w:color="auto"/>
            </w:tcBorders>
          </w:tcPr>
          <w:p w14:paraId="31A43934" w14:textId="77777777" w:rsidR="002056CD" w:rsidRPr="00C40D0C" w:rsidRDefault="002056CD" w:rsidP="006B0BCC">
            <w:pPr>
              <w:keepNext/>
              <w:jc w:val="right"/>
              <w:rPr>
                <w:rFonts w:ascii="Arial Narrow" w:hAnsi="Arial Narrow"/>
                <w:i/>
                <w:sz w:val="20"/>
              </w:rPr>
            </w:pPr>
            <w:r w:rsidRPr="00C40D0C">
              <w:rPr>
                <w:rFonts w:ascii="Arial Narrow" w:hAnsi="Arial Narrow"/>
                <w:i/>
                <w:sz w:val="20"/>
              </w:rPr>
              <w:t>0.068</w:t>
            </w:r>
          </w:p>
        </w:tc>
        <w:tc>
          <w:tcPr>
            <w:tcW w:w="851" w:type="dxa"/>
            <w:tcBorders>
              <w:bottom w:val="single" w:sz="4" w:space="0" w:color="auto"/>
            </w:tcBorders>
          </w:tcPr>
          <w:p w14:paraId="04334727" w14:textId="151ACDD5" w:rsidR="002056CD" w:rsidRPr="00C40D0C" w:rsidRDefault="002056CD" w:rsidP="006B0BCC">
            <w:pPr>
              <w:keepNext/>
              <w:jc w:val="right"/>
              <w:rPr>
                <w:rFonts w:ascii="Arial Narrow" w:hAnsi="Arial Narrow"/>
                <w:i/>
                <w:sz w:val="20"/>
              </w:rPr>
            </w:pPr>
            <w:r w:rsidRPr="00C40D0C">
              <w:rPr>
                <w:rFonts w:ascii="Arial Narrow" w:hAnsi="Arial Narrow"/>
                <w:i/>
                <w:sz w:val="20"/>
              </w:rPr>
              <w:t>$</w:t>
            </w:r>
            <w:r w:rsidR="00AE3E5D" w:rsidRPr="00AE3E5D">
              <w:rPr>
                <w:rFonts w:ascii="Arial Narrow" w:hAnsi="Arial Narrow"/>
                <w:i/>
                <w:color w:val="000000"/>
                <w:spacing w:val="47"/>
                <w:sz w:val="20"/>
                <w:shd w:val="solid" w:color="000000" w:fill="000000"/>
                <w:fitText w:val="222" w:id="-1437332469"/>
                <w14:textFill>
                  <w14:solidFill>
                    <w14:srgbClr w14:val="000000">
                      <w14:alpha w14:val="100000"/>
                    </w14:srgbClr>
                  </w14:solidFill>
                </w14:textFill>
              </w:rPr>
              <w:t>||</w:t>
            </w:r>
            <w:r w:rsidR="00AE3E5D" w:rsidRPr="00AE3E5D">
              <w:rPr>
                <w:rFonts w:ascii="Arial Narrow" w:hAnsi="Arial Narrow"/>
                <w:i/>
                <w:color w:val="000000"/>
                <w:spacing w:val="1"/>
                <w:sz w:val="20"/>
                <w:shd w:val="solid" w:color="000000" w:fill="000000"/>
                <w:fitText w:val="222" w:id="-1437332469"/>
                <w14:textFill>
                  <w14:solidFill>
                    <w14:srgbClr w14:val="000000">
                      <w14:alpha w14:val="100000"/>
                    </w14:srgbClr>
                  </w14:solidFill>
                </w14:textFill>
              </w:rPr>
              <w:t>|</w:t>
            </w:r>
          </w:p>
        </w:tc>
        <w:tc>
          <w:tcPr>
            <w:tcW w:w="657" w:type="dxa"/>
            <w:tcBorders>
              <w:bottom w:val="single" w:sz="4" w:space="0" w:color="auto"/>
            </w:tcBorders>
          </w:tcPr>
          <w:p w14:paraId="3E3D4CAE" w14:textId="77777777" w:rsidR="002056CD" w:rsidRPr="00C40D0C" w:rsidRDefault="002056CD" w:rsidP="006B0BCC">
            <w:pPr>
              <w:keepNext/>
              <w:jc w:val="right"/>
              <w:rPr>
                <w:rFonts w:ascii="Arial Narrow" w:hAnsi="Arial Narrow"/>
                <w:i/>
                <w:sz w:val="20"/>
              </w:rPr>
            </w:pPr>
            <w:r w:rsidRPr="00C40D0C">
              <w:rPr>
                <w:rFonts w:ascii="Arial Narrow" w:hAnsi="Arial Narrow"/>
                <w:i/>
                <w:sz w:val="20"/>
              </w:rPr>
              <w:t>26%</w:t>
            </w:r>
          </w:p>
        </w:tc>
      </w:tr>
    </w:tbl>
    <w:p w14:paraId="107B61F8" w14:textId="77777777" w:rsidR="002056CD" w:rsidRPr="00C227CD" w:rsidRDefault="002056CD" w:rsidP="002056CD">
      <w:pPr>
        <w:keepLines/>
        <w:spacing w:after="360" w:line="240" w:lineRule="auto"/>
        <w:contextualSpacing/>
        <w:rPr>
          <w:rFonts w:ascii="Arial Narrow" w:eastAsia="Times New Roman" w:hAnsi="Arial Narrow" w:cs="Times New Roman"/>
          <w:sz w:val="18"/>
          <w:szCs w:val="18"/>
          <w:lang w:eastAsia="en-AU"/>
        </w:rPr>
      </w:pPr>
      <w:r w:rsidRPr="00C227CD">
        <w:rPr>
          <w:rFonts w:ascii="Arial Narrow" w:eastAsia="Times New Roman" w:hAnsi="Arial Narrow" w:cs="Times New Roman"/>
          <w:sz w:val="18"/>
          <w:szCs w:val="18"/>
          <w:lang w:eastAsia="en-AU"/>
        </w:rPr>
        <w:t xml:space="preserve">Note: Analyses in </w:t>
      </w:r>
      <w:r w:rsidRPr="00C227CD">
        <w:rPr>
          <w:rFonts w:ascii="Arial Narrow" w:eastAsia="Times New Roman" w:hAnsi="Arial Narrow" w:cs="Times New Roman"/>
          <w:i/>
          <w:sz w:val="18"/>
          <w:szCs w:val="18"/>
          <w:lang w:eastAsia="en-AU"/>
        </w:rPr>
        <w:t>italics</w:t>
      </w:r>
      <w:r w:rsidRPr="00C227CD">
        <w:rPr>
          <w:rFonts w:ascii="Arial Narrow" w:eastAsia="Times New Roman" w:hAnsi="Arial Narrow" w:cs="Times New Roman"/>
          <w:sz w:val="18"/>
          <w:szCs w:val="18"/>
          <w:lang w:eastAsia="en-AU"/>
        </w:rPr>
        <w:t xml:space="preserve"> text were conducted during the evaluation.</w:t>
      </w:r>
    </w:p>
    <w:p w14:paraId="767B268E" w14:textId="62655803" w:rsidR="007916BD" w:rsidRPr="00C227CD" w:rsidRDefault="007916BD" w:rsidP="007916BD">
      <w:pPr>
        <w:keepLines/>
        <w:spacing w:after="360" w:line="240" w:lineRule="auto"/>
        <w:contextualSpacing/>
        <w:rPr>
          <w:rFonts w:ascii="Arial Narrow" w:eastAsia="Times New Roman" w:hAnsi="Arial Narrow" w:cs="Times New Roman"/>
          <w:sz w:val="18"/>
          <w:szCs w:val="18"/>
          <w:lang w:eastAsia="en-AU"/>
        </w:rPr>
      </w:pPr>
      <w:r w:rsidRPr="00C227CD">
        <w:rPr>
          <w:rFonts w:ascii="Arial Narrow" w:eastAsia="Times New Roman" w:hAnsi="Arial Narrow" w:cs="Times New Roman"/>
          <w:sz w:val="18"/>
          <w:szCs w:val="18"/>
          <w:vertAlign w:val="superscript"/>
          <w:lang w:eastAsia="en-AU"/>
        </w:rPr>
        <w:t>a</w:t>
      </w:r>
      <w:r w:rsidRPr="00C227CD">
        <w:rPr>
          <w:rFonts w:ascii="Arial Narrow" w:eastAsia="Times New Roman" w:hAnsi="Arial Narrow" w:cs="Times New Roman"/>
          <w:sz w:val="18"/>
          <w:szCs w:val="18"/>
          <w:lang w:eastAsia="en-AU"/>
        </w:rPr>
        <w:t xml:space="preserve"> </w:t>
      </w:r>
      <w:proofErr w:type="gramStart"/>
      <w:r w:rsidRPr="00C227CD">
        <w:rPr>
          <w:rFonts w:ascii="Arial Narrow" w:eastAsia="Times New Roman" w:hAnsi="Arial Narrow" w:cs="Times New Roman"/>
          <w:sz w:val="18"/>
          <w:szCs w:val="18"/>
          <w:lang w:eastAsia="en-AU"/>
        </w:rPr>
        <w:t>In</w:t>
      </w:r>
      <w:proofErr w:type="gramEnd"/>
      <w:r w:rsidRPr="00C227CD">
        <w:rPr>
          <w:rFonts w:ascii="Arial Narrow" w:eastAsia="Times New Roman" w:hAnsi="Arial Narrow" w:cs="Times New Roman"/>
          <w:sz w:val="18"/>
          <w:szCs w:val="18"/>
          <w:lang w:eastAsia="en-AU"/>
        </w:rPr>
        <w:t xml:space="preserve"> patients where the change in management was not likely due to </w:t>
      </w:r>
      <w:r>
        <w:rPr>
          <w:rFonts w:ascii="Arial Narrow" w:eastAsia="Times New Roman" w:hAnsi="Arial Narrow" w:cs="Times New Roman"/>
          <w:sz w:val="18"/>
          <w:szCs w:val="18"/>
          <w:lang w:eastAsia="en-AU"/>
        </w:rPr>
        <w:t>EndoPredict</w:t>
      </w:r>
      <w:r w:rsidRPr="005F1260">
        <w:rPr>
          <w:rFonts w:ascii="Arial Narrow" w:eastAsia="Times New Roman" w:hAnsi="Arial Narrow" w:cs="Times New Roman"/>
          <w:sz w:val="18"/>
          <w:szCs w:val="18"/>
          <w:vertAlign w:val="superscript"/>
          <w:lang w:eastAsia="en-AU"/>
        </w:rPr>
        <w:t>®</w:t>
      </w:r>
      <w:r w:rsidRPr="00C227CD">
        <w:rPr>
          <w:rFonts w:ascii="Arial Narrow" w:eastAsia="Times New Roman" w:hAnsi="Arial Narrow" w:cs="Times New Roman"/>
          <w:sz w:val="18"/>
          <w:szCs w:val="18"/>
          <w:lang w:eastAsia="en-AU"/>
        </w:rPr>
        <w:t xml:space="preserve"> (as initial and final MDT recommendations did not change with </w:t>
      </w:r>
      <w:r>
        <w:rPr>
          <w:rFonts w:ascii="Arial Narrow" w:eastAsia="Times New Roman" w:hAnsi="Arial Narrow" w:cs="Times New Roman"/>
          <w:sz w:val="18"/>
          <w:szCs w:val="18"/>
          <w:lang w:eastAsia="en-AU"/>
        </w:rPr>
        <w:t>EndoPredict</w:t>
      </w:r>
      <w:r w:rsidRPr="005F1260">
        <w:rPr>
          <w:rFonts w:ascii="Arial Narrow" w:eastAsia="Times New Roman" w:hAnsi="Arial Narrow" w:cs="Times New Roman"/>
          <w:sz w:val="18"/>
          <w:szCs w:val="18"/>
          <w:vertAlign w:val="superscript"/>
          <w:lang w:eastAsia="en-AU"/>
        </w:rPr>
        <w:t>®</w:t>
      </w:r>
      <w:r w:rsidRPr="00C227CD">
        <w:rPr>
          <w:rFonts w:ascii="Arial Narrow" w:eastAsia="Times New Roman" w:hAnsi="Arial Narrow" w:cs="Times New Roman"/>
          <w:sz w:val="18"/>
          <w:szCs w:val="18"/>
          <w:lang w:eastAsia="en-AU"/>
        </w:rPr>
        <w:t>), it was assumed that the change would have occurred equally across the model arms.</w:t>
      </w:r>
    </w:p>
    <w:p w14:paraId="6D83121D" w14:textId="77777777" w:rsidR="007916BD" w:rsidRPr="00C227CD" w:rsidRDefault="007916BD" w:rsidP="007916BD">
      <w:pPr>
        <w:keepLines/>
        <w:spacing w:after="360" w:line="240" w:lineRule="auto"/>
        <w:contextualSpacing/>
        <w:rPr>
          <w:rFonts w:ascii="Arial Narrow" w:eastAsia="Times New Roman" w:hAnsi="Arial Narrow" w:cs="Times New Roman"/>
          <w:color w:val="000000"/>
          <w:sz w:val="18"/>
          <w:szCs w:val="18"/>
          <w:lang w:eastAsia="en-AU"/>
        </w:rPr>
      </w:pPr>
      <w:r w:rsidRPr="00C227CD">
        <w:rPr>
          <w:rFonts w:ascii="Arial Narrow" w:eastAsia="Times New Roman" w:hAnsi="Arial Narrow" w:cs="Times New Roman"/>
          <w:color w:val="000000"/>
          <w:sz w:val="18"/>
          <w:szCs w:val="18"/>
          <w:vertAlign w:val="superscript"/>
          <w:lang w:eastAsia="en-AU"/>
        </w:rPr>
        <w:t>b</w:t>
      </w:r>
      <w:r w:rsidRPr="00C227CD">
        <w:rPr>
          <w:rFonts w:ascii="Arial Narrow" w:eastAsia="Times New Roman" w:hAnsi="Arial Narrow" w:cs="Times New Roman"/>
          <w:color w:val="000000"/>
          <w:sz w:val="18"/>
          <w:szCs w:val="18"/>
          <w:lang w:eastAsia="en-AU"/>
        </w:rPr>
        <w:t xml:space="preserve"> Sestak I, Martin M, Dubsky P, Kronenwett R, Rojo F, Cuzick J, et al. Prediction of chemotherapy benefit by EndoPredict in patients with breast cancer who received adjuvant endocrine therapy plus chemotherapy or endocrine therapy alone. Breast Cancer Res Treat. 2019 Jul;176(2):377-86.</w:t>
      </w:r>
    </w:p>
    <w:p w14:paraId="585ADE8A" w14:textId="77777777" w:rsidR="007916BD" w:rsidRPr="00C227CD" w:rsidRDefault="007916BD" w:rsidP="007916BD">
      <w:pPr>
        <w:keepLines/>
        <w:spacing w:after="360" w:line="240" w:lineRule="auto"/>
        <w:contextualSpacing/>
        <w:rPr>
          <w:rFonts w:ascii="Arial Narrow" w:eastAsia="Times New Roman" w:hAnsi="Arial Narrow" w:cs="Times New Roman"/>
          <w:color w:val="000000"/>
          <w:sz w:val="18"/>
          <w:szCs w:val="18"/>
          <w:lang w:eastAsia="en-AU"/>
        </w:rPr>
      </w:pPr>
      <w:r w:rsidRPr="00C227CD">
        <w:rPr>
          <w:rFonts w:ascii="Arial Narrow" w:eastAsia="Times New Roman" w:hAnsi="Arial Narrow" w:cs="Times New Roman"/>
          <w:color w:val="000000"/>
          <w:sz w:val="18"/>
          <w:szCs w:val="18"/>
          <w:vertAlign w:val="superscript"/>
          <w:lang w:eastAsia="en-AU"/>
        </w:rPr>
        <w:t>c</w:t>
      </w:r>
      <w:r w:rsidRPr="00C227CD">
        <w:rPr>
          <w:rFonts w:ascii="Arial Narrow" w:eastAsia="Times New Roman" w:hAnsi="Arial Narrow" w:cs="Times New Roman"/>
          <w:color w:val="000000"/>
          <w:sz w:val="18"/>
          <w:szCs w:val="18"/>
          <w:lang w:eastAsia="en-AU"/>
        </w:rPr>
        <w:t xml:space="preserve"> Ward S, Scope A, Rafia R, Pandor A, Harnan S, Evans P, et al. Gene expression profiling and expanded immunohistochemistry tests to guide the use of adjuvant chemotherapy in breast cancer management: a systematic review and cost-effectiveness analysis. Health Technol Assess. 2013 Oct;17(44):1-302.</w:t>
      </w:r>
    </w:p>
    <w:p w14:paraId="311845A7" w14:textId="77777777" w:rsidR="007916BD" w:rsidRDefault="007916BD" w:rsidP="007916BD">
      <w:pPr>
        <w:keepLines/>
        <w:spacing w:after="0" w:line="240" w:lineRule="auto"/>
        <w:rPr>
          <w:rFonts w:ascii="Arial Narrow" w:eastAsia="Times New Roman" w:hAnsi="Arial Narrow" w:cs="Times New Roman"/>
          <w:color w:val="000000"/>
          <w:sz w:val="18"/>
          <w:szCs w:val="18"/>
          <w:lang w:eastAsia="en-AU"/>
        </w:rPr>
      </w:pPr>
      <w:r w:rsidRPr="00C227CD">
        <w:rPr>
          <w:rFonts w:ascii="Arial Narrow" w:eastAsia="Times New Roman" w:hAnsi="Arial Narrow" w:cs="Times New Roman"/>
          <w:color w:val="000000"/>
          <w:sz w:val="18"/>
          <w:szCs w:val="18"/>
          <w:vertAlign w:val="superscript"/>
          <w:lang w:eastAsia="en-AU"/>
        </w:rPr>
        <w:t>d</w:t>
      </w:r>
      <w:r w:rsidRPr="00C227CD">
        <w:rPr>
          <w:rFonts w:ascii="Arial Narrow" w:eastAsia="Times New Roman" w:hAnsi="Arial Narrow" w:cs="Times New Roman"/>
          <w:color w:val="000000"/>
          <w:sz w:val="18"/>
          <w:szCs w:val="18"/>
          <w:lang w:eastAsia="en-AU"/>
        </w:rPr>
        <w:t xml:space="preserve"> Lidgren M, Wilking N, Jonsson B, Rehnberg C. Health related quality of life in different states of breast cancer. Qual Life Res. 2007 Aug;16(6):1073-81.</w:t>
      </w:r>
    </w:p>
    <w:p w14:paraId="04732FD5" w14:textId="77777777" w:rsidR="007916BD" w:rsidRPr="00C227CD" w:rsidRDefault="007916BD" w:rsidP="007916BD">
      <w:pPr>
        <w:keepLines/>
        <w:spacing w:after="360" w:line="240" w:lineRule="auto"/>
        <w:contextualSpacing/>
        <w:rPr>
          <w:rFonts w:ascii="Arial Narrow" w:eastAsia="Times New Roman" w:hAnsi="Arial Narrow" w:cs="Times New Roman"/>
          <w:sz w:val="18"/>
          <w:szCs w:val="18"/>
          <w:lang w:eastAsia="en-AU"/>
        </w:rPr>
      </w:pPr>
      <w:r w:rsidRPr="00C227CD">
        <w:rPr>
          <w:rFonts w:ascii="Arial Narrow" w:eastAsia="Times New Roman" w:hAnsi="Arial Narrow" w:cs="Times New Roman"/>
          <w:sz w:val="18"/>
          <w:szCs w:val="18"/>
          <w:lang w:eastAsia="en-AU"/>
        </w:rPr>
        <w:t>DR = distant recurrence; ET = endocrine therapy; ET + CTX = endocrine and chemotherapy; ICER = incremental cost-effectiveness ratio; MDT = multidisciplinary team; QALY = quality adjusted life year.</w:t>
      </w:r>
    </w:p>
    <w:p w14:paraId="686A29DA" w14:textId="6324EFAC" w:rsidR="002056CD" w:rsidRPr="00C227CD" w:rsidRDefault="002056CD" w:rsidP="007916BD">
      <w:pPr>
        <w:keepLines/>
        <w:spacing w:after="240" w:line="240" w:lineRule="auto"/>
        <w:rPr>
          <w:rFonts w:ascii="Arial Narrow" w:eastAsia="Times New Roman" w:hAnsi="Arial Narrow" w:cs="Times New Roman"/>
          <w:sz w:val="18"/>
          <w:szCs w:val="18"/>
          <w:lang w:eastAsia="en-AU"/>
        </w:rPr>
      </w:pPr>
      <w:r w:rsidRPr="00C227CD">
        <w:rPr>
          <w:rFonts w:ascii="Arial Narrow" w:eastAsia="Times New Roman" w:hAnsi="Arial Narrow" w:cs="Times New Roman"/>
          <w:sz w:val="18"/>
          <w:szCs w:val="18"/>
          <w:lang w:eastAsia="en-AU"/>
        </w:rPr>
        <w:t xml:space="preserve">Source: Constructed during the evaluation using the ‘Attachment 4_MSAC EndoPredict Economic </w:t>
      </w:r>
      <w:proofErr w:type="gramStart"/>
      <w:r w:rsidRPr="00C227CD">
        <w:rPr>
          <w:rFonts w:ascii="Arial Narrow" w:eastAsia="Times New Roman" w:hAnsi="Arial Narrow" w:cs="Times New Roman"/>
          <w:sz w:val="18"/>
          <w:szCs w:val="18"/>
          <w:lang w:eastAsia="en-AU"/>
        </w:rPr>
        <w:t>model.trex</w:t>
      </w:r>
      <w:proofErr w:type="gramEnd"/>
      <w:r w:rsidRPr="00C227CD">
        <w:rPr>
          <w:rFonts w:ascii="Arial Narrow" w:eastAsia="Times New Roman" w:hAnsi="Arial Narrow" w:cs="Times New Roman"/>
          <w:sz w:val="18"/>
          <w:szCs w:val="18"/>
          <w:lang w:eastAsia="en-AU"/>
        </w:rPr>
        <w:t xml:space="preserve">’ file included in the </w:t>
      </w:r>
      <w:r w:rsidR="00D0661C">
        <w:rPr>
          <w:rFonts w:ascii="Arial Narrow" w:eastAsia="Times New Roman" w:hAnsi="Arial Narrow" w:cs="Times New Roman"/>
          <w:sz w:val="18"/>
          <w:szCs w:val="18"/>
          <w:lang w:eastAsia="en-AU"/>
        </w:rPr>
        <w:t xml:space="preserve">1408.1 </w:t>
      </w:r>
      <w:r w:rsidR="00815375">
        <w:rPr>
          <w:rFonts w:ascii="Arial Narrow" w:eastAsia="Times New Roman" w:hAnsi="Arial Narrow" w:cs="Times New Roman"/>
          <w:sz w:val="18"/>
          <w:szCs w:val="18"/>
          <w:lang w:eastAsia="en-AU"/>
        </w:rPr>
        <w:t>re-application</w:t>
      </w:r>
      <w:r w:rsidRPr="00C227CD">
        <w:rPr>
          <w:rFonts w:ascii="Arial Narrow" w:eastAsia="Times New Roman" w:hAnsi="Arial Narrow" w:cs="Times New Roman"/>
          <w:sz w:val="18"/>
          <w:szCs w:val="18"/>
          <w:lang w:eastAsia="en-AU"/>
        </w:rPr>
        <w:t>.</w:t>
      </w:r>
    </w:p>
    <w:p w14:paraId="245535B3" w14:textId="4B750365" w:rsidR="002056CD" w:rsidRPr="006A2C29" w:rsidRDefault="002056CD" w:rsidP="007916BD">
      <w:pPr>
        <w:keepNext/>
        <w:rPr>
          <w:rFonts w:ascii="Franklin Gothic Book" w:hAnsi="Franklin Gothic Book"/>
          <w:iCs/>
          <w:lang w:eastAsia="en-AU"/>
        </w:rPr>
      </w:pPr>
      <w:r w:rsidRPr="006A2C29">
        <w:rPr>
          <w:rFonts w:ascii="Franklin Gothic Book" w:hAnsi="Franklin Gothic Book"/>
          <w:iCs/>
          <w:lang w:eastAsia="en-AU"/>
        </w:rPr>
        <w:t>Given the concerns previously raised by MSAC and ESC, and that the changes made did not address these matters of concern, the base case analysis was respecified during the</w:t>
      </w:r>
      <w:r w:rsidR="007031F8" w:rsidRPr="006A2C29">
        <w:rPr>
          <w:rFonts w:ascii="Franklin Gothic Book" w:hAnsi="Franklin Gothic Book"/>
          <w:iCs/>
          <w:lang w:eastAsia="en-AU"/>
        </w:rPr>
        <w:t xml:space="preserve"> </w:t>
      </w:r>
      <w:r w:rsidRPr="006A2C29">
        <w:rPr>
          <w:rFonts w:ascii="Franklin Gothic Book" w:hAnsi="Franklin Gothic Book"/>
          <w:iCs/>
          <w:lang w:eastAsia="en-AU"/>
        </w:rPr>
        <w:t>evaluation. The changes made in the respecified base case included:</w:t>
      </w:r>
    </w:p>
    <w:p w14:paraId="73F9C900" w14:textId="64EE4A9F" w:rsidR="002056CD" w:rsidRPr="006A2C29" w:rsidRDefault="002056CD" w:rsidP="00E95EED">
      <w:pPr>
        <w:numPr>
          <w:ilvl w:val="0"/>
          <w:numId w:val="26"/>
        </w:numPr>
        <w:spacing w:before="120"/>
        <w:contextualSpacing/>
        <w:rPr>
          <w:rFonts w:ascii="Franklin Gothic Book" w:hAnsi="Franklin Gothic Book"/>
          <w:iCs/>
          <w:lang w:eastAsia="en-AU"/>
        </w:rPr>
      </w:pPr>
      <w:r w:rsidRPr="006A2C29">
        <w:rPr>
          <w:rFonts w:ascii="Franklin Gothic Book" w:hAnsi="Franklin Gothic Book"/>
          <w:iCs/>
          <w:lang w:eastAsia="en-AU"/>
        </w:rPr>
        <w:t xml:space="preserve">That change in management data from PROSPER, based on treatments patients </w:t>
      </w:r>
      <w:proofErr w:type="gramStart"/>
      <w:r w:rsidRPr="006A2C29">
        <w:rPr>
          <w:rFonts w:ascii="Franklin Gothic Book" w:hAnsi="Franklin Gothic Book"/>
          <w:iCs/>
          <w:lang w:eastAsia="en-AU"/>
        </w:rPr>
        <w:t>actually received</w:t>
      </w:r>
      <w:proofErr w:type="gramEnd"/>
      <w:r w:rsidRPr="006A2C29">
        <w:rPr>
          <w:rFonts w:ascii="Franklin Gothic Book" w:hAnsi="Franklin Gothic Book"/>
          <w:iCs/>
          <w:lang w:eastAsia="en-AU"/>
        </w:rPr>
        <w:t xml:space="preserve"> (with some adjustment where changes in management were not likely due to </w:t>
      </w:r>
      <w:r w:rsidR="00D50E5C" w:rsidRPr="006A2C29">
        <w:rPr>
          <w:rFonts w:ascii="Franklin Gothic Book" w:hAnsi="Franklin Gothic Book"/>
          <w:iCs/>
          <w:lang w:eastAsia="en-AU"/>
        </w:rPr>
        <w:t>EndoPredict</w:t>
      </w:r>
      <w:r w:rsidR="005F1260" w:rsidRPr="005F1260">
        <w:rPr>
          <w:rFonts w:ascii="Franklin Gothic Book" w:hAnsi="Franklin Gothic Book"/>
          <w:iCs/>
          <w:vertAlign w:val="superscript"/>
          <w:lang w:eastAsia="en-AU"/>
        </w:rPr>
        <w:t>®</w:t>
      </w:r>
      <w:r w:rsidRPr="006A2C29">
        <w:rPr>
          <w:rFonts w:ascii="Franklin Gothic Book" w:hAnsi="Franklin Gothic Book"/>
          <w:iCs/>
          <w:lang w:eastAsia="en-AU"/>
        </w:rPr>
        <w:t>) (Analysis #2)</w:t>
      </w:r>
    </w:p>
    <w:p w14:paraId="50A0EEF3" w14:textId="6944D832" w:rsidR="002056CD" w:rsidRPr="006A2C29" w:rsidRDefault="002056CD" w:rsidP="00E95EED">
      <w:pPr>
        <w:numPr>
          <w:ilvl w:val="0"/>
          <w:numId w:val="26"/>
        </w:numPr>
        <w:spacing w:before="120"/>
        <w:contextualSpacing/>
        <w:rPr>
          <w:rFonts w:ascii="Franklin Gothic Book" w:hAnsi="Franklin Gothic Book"/>
          <w:iCs/>
          <w:lang w:eastAsia="en-AU"/>
        </w:rPr>
      </w:pPr>
      <w:r w:rsidRPr="006A2C29">
        <w:rPr>
          <w:rFonts w:ascii="Franklin Gothic Book" w:hAnsi="Franklin Gothic Book"/>
          <w:iCs/>
          <w:lang w:eastAsia="en-AU"/>
        </w:rPr>
        <w:t>Using the central estimates of recurrence with ET alone and ET + CTX from Sestak et al. (2019) (Analysis #3)</w:t>
      </w:r>
    </w:p>
    <w:p w14:paraId="48FBB41F" w14:textId="236448A8" w:rsidR="002056CD" w:rsidRPr="006A2C29" w:rsidRDefault="002056CD" w:rsidP="00E95EED">
      <w:pPr>
        <w:numPr>
          <w:ilvl w:val="0"/>
          <w:numId w:val="26"/>
        </w:numPr>
        <w:spacing w:before="120"/>
        <w:contextualSpacing/>
        <w:rPr>
          <w:rFonts w:ascii="Franklin Gothic Book" w:hAnsi="Franklin Gothic Book"/>
          <w:iCs/>
          <w:lang w:eastAsia="en-AU"/>
        </w:rPr>
      </w:pPr>
      <w:r w:rsidRPr="006A2C29">
        <w:rPr>
          <w:rFonts w:ascii="Franklin Gothic Book" w:hAnsi="Franklin Gothic Book"/>
          <w:iCs/>
          <w:lang w:eastAsia="en-AU"/>
        </w:rPr>
        <w:t xml:space="preserve">Extrapolation of distant recurrence estimates to 10 years only, as per a previous </w:t>
      </w:r>
      <w:r w:rsidR="00CB72ED" w:rsidRPr="006A2C29">
        <w:rPr>
          <w:rFonts w:ascii="Franklin Gothic Book" w:hAnsi="Franklin Gothic Book"/>
          <w:iCs/>
          <w:lang w:eastAsia="en-AU"/>
        </w:rPr>
        <w:t xml:space="preserve">application </w:t>
      </w:r>
      <w:r w:rsidRPr="006A2C29">
        <w:rPr>
          <w:rFonts w:ascii="Franklin Gothic Book" w:hAnsi="Franklin Gothic Book"/>
          <w:iCs/>
          <w:lang w:eastAsia="en-AU"/>
        </w:rPr>
        <w:t>to MSAC (MSAC Application 1342.2 PSD, November 2015 MSAC Meeting) (Analysis #7)</w:t>
      </w:r>
    </w:p>
    <w:p w14:paraId="7B39ECEA" w14:textId="77777777" w:rsidR="002056CD" w:rsidRPr="003F20EB" w:rsidRDefault="002056CD" w:rsidP="00E95EED">
      <w:pPr>
        <w:numPr>
          <w:ilvl w:val="0"/>
          <w:numId w:val="26"/>
        </w:numPr>
        <w:spacing w:before="120"/>
        <w:contextualSpacing/>
        <w:rPr>
          <w:rFonts w:ascii="Franklin Gothic Book" w:hAnsi="Franklin Gothic Book"/>
          <w:iCs/>
          <w:lang w:eastAsia="en-AU"/>
        </w:rPr>
      </w:pPr>
      <w:r w:rsidRPr="006A2C29">
        <w:rPr>
          <w:rFonts w:ascii="Franklin Gothic Book" w:hAnsi="Franklin Gothic Book"/>
          <w:iCs/>
          <w:lang w:eastAsia="en-AU"/>
        </w:rPr>
        <w:t>Health state utilities from Lidgren et al. (2007)</w:t>
      </w:r>
      <w:r w:rsidRPr="003F20EB">
        <w:rPr>
          <w:rFonts w:ascii="Franklin Gothic Book" w:hAnsi="Franklin Gothic Book"/>
          <w:iCs/>
          <w:vertAlign w:val="superscript"/>
          <w:lang w:eastAsia="en-AU"/>
        </w:rPr>
        <w:footnoteReference w:id="14"/>
      </w:r>
      <w:r w:rsidRPr="003F20EB">
        <w:rPr>
          <w:rFonts w:ascii="Franklin Gothic Book" w:hAnsi="Franklin Gothic Book"/>
          <w:iCs/>
          <w:lang w:eastAsia="en-AU"/>
        </w:rPr>
        <w:t xml:space="preserve"> (Analysis #10)</w:t>
      </w:r>
    </w:p>
    <w:p w14:paraId="7842BD2C" w14:textId="77777777" w:rsidR="002056CD" w:rsidRPr="003F20EB" w:rsidRDefault="002056CD" w:rsidP="00E95EED">
      <w:pPr>
        <w:numPr>
          <w:ilvl w:val="0"/>
          <w:numId w:val="26"/>
        </w:numPr>
        <w:spacing w:before="120"/>
        <w:contextualSpacing/>
        <w:rPr>
          <w:rFonts w:ascii="Franklin Gothic Book" w:hAnsi="Franklin Gothic Book"/>
          <w:iCs/>
          <w:lang w:eastAsia="en-AU"/>
        </w:rPr>
      </w:pPr>
      <w:r w:rsidRPr="003F20EB">
        <w:rPr>
          <w:rFonts w:ascii="Franklin Gothic Book" w:hAnsi="Franklin Gothic Book"/>
          <w:iCs/>
          <w:lang w:eastAsia="en-AU"/>
        </w:rPr>
        <w:lastRenderedPageBreak/>
        <w:t>Time horizon of 30 years (Analysis #11)</w:t>
      </w:r>
    </w:p>
    <w:p w14:paraId="33603E0A" w14:textId="77777777" w:rsidR="002056CD" w:rsidRPr="003F20EB" w:rsidRDefault="002056CD" w:rsidP="006A2C29">
      <w:pPr>
        <w:numPr>
          <w:ilvl w:val="0"/>
          <w:numId w:val="26"/>
        </w:numPr>
        <w:spacing w:before="120"/>
        <w:ind w:left="714" w:hanging="357"/>
        <w:rPr>
          <w:rFonts w:ascii="Franklin Gothic Book" w:hAnsi="Franklin Gothic Book"/>
          <w:iCs/>
          <w:lang w:eastAsia="en-AU"/>
        </w:rPr>
      </w:pPr>
      <w:r w:rsidRPr="003F20EB">
        <w:rPr>
          <w:rFonts w:ascii="Franklin Gothic Book" w:hAnsi="Franklin Gothic Book"/>
          <w:iCs/>
          <w:lang w:eastAsia="en-AU"/>
        </w:rPr>
        <w:t>Assuming no predictive effect for chemotherapy benefit by EPclin score (Analysis #6).</w:t>
      </w:r>
    </w:p>
    <w:p w14:paraId="0E38E59F" w14:textId="363AE00A" w:rsidR="002056CD" w:rsidRPr="003F20EB" w:rsidRDefault="002056CD" w:rsidP="006A2C29">
      <w:pPr>
        <w:spacing w:before="160"/>
        <w:rPr>
          <w:rFonts w:ascii="Franklin Gothic Book" w:hAnsi="Franklin Gothic Book"/>
          <w:iCs/>
          <w:lang w:eastAsia="en-AU"/>
        </w:rPr>
      </w:pPr>
      <w:r w:rsidRPr="003F20EB">
        <w:rPr>
          <w:rFonts w:ascii="Franklin Gothic Book" w:hAnsi="Franklin Gothic Book"/>
          <w:iCs/>
          <w:lang w:eastAsia="en-AU"/>
        </w:rPr>
        <w:t>The generation of the respecified base case is presented in a stepped manner to observe the effect of making each additional change on the ICER (</w:t>
      </w:r>
      <w:r w:rsidRPr="003F20EB">
        <w:rPr>
          <w:rFonts w:ascii="Franklin Gothic Book" w:hAnsi="Franklin Gothic Book"/>
          <w:iCs/>
          <w:lang w:eastAsia="en-AU"/>
        </w:rPr>
        <w:fldChar w:fldCharType="begin"/>
      </w:r>
      <w:r w:rsidRPr="003F20EB">
        <w:rPr>
          <w:rFonts w:ascii="Franklin Gothic Book" w:hAnsi="Franklin Gothic Book"/>
          <w:iCs/>
          <w:lang w:eastAsia="en-AU"/>
        </w:rPr>
        <w:instrText xml:space="preserve"> REF _Ref100130406 \h  \* MERGEFORMAT </w:instrText>
      </w:r>
      <w:r w:rsidRPr="003F20EB">
        <w:rPr>
          <w:rFonts w:ascii="Franklin Gothic Book" w:hAnsi="Franklin Gothic Book"/>
          <w:iCs/>
          <w:lang w:eastAsia="en-AU"/>
        </w:rPr>
      </w:r>
      <w:r w:rsidRPr="003F20EB">
        <w:rPr>
          <w:rFonts w:ascii="Franklin Gothic Book" w:hAnsi="Franklin Gothic Book"/>
          <w:iCs/>
          <w:lang w:eastAsia="en-AU"/>
        </w:rPr>
        <w:fldChar w:fldCharType="separate"/>
      </w:r>
      <w:r w:rsidR="00943826" w:rsidRPr="00943826">
        <w:rPr>
          <w:rFonts w:ascii="Franklin Gothic Book" w:hAnsi="Franklin Gothic Book"/>
          <w:iCs/>
          <w:lang w:eastAsia="en-AU"/>
        </w:rPr>
        <w:t>Table 16</w:t>
      </w:r>
      <w:r w:rsidRPr="003F20EB">
        <w:rPr>
          <w:rFonts w:ascii="Franklin Gothic Book" w:hAnsi="Franklin Gothic Book"/>
          <w:iCs/>
          <w:lang w:eastAsia="en-AU"/>
        </w:rPr>
        <w:fldChar w:fldCharType="end"/>
      </w:r>
      <w:r w:rsidRPr="003F20EB">
        <w:rPr>
          <w:rFonts w:ascii="Franklin Gothic Book" w:hAnsi="Franklin Gothic Book"/>
          <w:iCs/>
          <w:lang w:eastAsia="en-AU"/>
        </w:rPr>
        <w:t xml:space="preserve">). The main contributors to the final respecified ICER were the extrapolation of distant recurrences to 10 years </w:t>
      </w:r>
      <w:proofErr w:type="gramStart"/>
      <w:r w:rsidRPr="003F20EB">
        <w:rPr>
          <w:rFonts w:ascii="Franklin Gothic Book" w:hAnsi="Franklin Gothic Book"/>
          <w:iCs/>
          <w:lang w:eastAsia="en-AU"/>
        </w:rPr>
        <w:t>only, and</w:t>
      </w:r>
      <w:proofErr w:type="gramEnd"/>
      <w:r w:rsidRPr="003F20EB">
        <w:rPr>
          <w:rFonts w:ascii="Franklin Gothic Book" w:hAnsi="Franklin Gothic Book"/>
          <w:iCs/>
          <w:lang w:eastAsia="en-AU"/>
        </w:rPr>
        <w:t xml:space="preserve"> removing the assumption of a predictive effect for chemotherapy by EPclin score.</w:t>
      </w:r>
      <w:r w:rsidR="006A6F7A" w:rsidRPr="003F20EB">
        <w:rPr>
          <w:rFonts w:ascii="Franklin Gothic Book" w:hAnsi="Franklin Gothic Book"/>
          <w:iCs/>
          <w:lang w:eastAsia="en-AU"/>
        </w:rPr>
        <w:t xml:space="preserve"> Disaggregated costs and outcomes are presented </w:t>
      </w:r>
      <w:r w:rsidR="00BD0C7B" w:rsidRPr="003F20EB">
        <w:rPr>
          <w:rFonts w:ascii="Franklin Gothic Book" w:hAnsi="Franklin Gothic Book"/>
          <w:iCs/>
          <w:lang w:eastAsia="en-AU"/>
        </w:rPr>
        <w:t xml:space="preserve">for the respecified base case </w:t>
      </w:r>
      <w:r w:rsidR="006A6F7A" w:rsidRPr="003F20EB">
        <w:rPr>
          <w:rFonts w:ascii="Franklin Gothic Book" w:hAnsi="Franklin Gothic Book"/>
          <w:iCs/>
          <w:lang w:eastAsia="en-AU"/>
        </w:rPr>
        <w:t>in</w:t>
      </w:r>
      <w:r w:rsidR="00EF0124">
        <w:rPr>
          <w:rFonts w:ascii="Franklin Gothic Book" w:hAnsi="Franklin Gothic Book"/>
          <w:iCs/>
          <w:lang w:eastAsia="en-AU"/>
        </w:rPr>
        <w:t xml:space="preserve"> Table 17</w:t>
      </w:r>
      <w:r w:rsidR="006A6F7A" w:rsidRPr="003F20EB">
        <w:rPr>
          <w:rFonts w:ascii="Franklin Gothic Book" w:hAnsi="Franklin Gothic Book"/>
          <w:iCs/>
          <w:lang w:eastAsia="en-AU"/>
        </w:rPr>
        <w:t>.</w:t>
      </w:r>
    </w:p>
    <w:p w14:paraId="37CDAC06" w14:textId="6F6F8B96" w:rsidR="002056CD" w:rsidRPr="003F20EB" w:rsidRDefault="002056CD" w:rsidP="002056CD">
      <w:pPr>
        <w:keepNext/>
        <w:spacing w:before="360" w:after="120" w:line="240" w:lineRule="auto"/>
        <w:rPr>
          <w:rFonts w:ascii="Arial Narrow" w:eastAsia="Times New Roman" w:hAnsi="Arial Narrow" w:cs="Times New Roman"/>
          <w:b/>
          <w:bCs/>
          <w:iCs/>
          <w:sz w:val="20"/>
          <w:szCs w:val="20"/>
        </w:rPr>
      </w:pPr>
      <w:bookmarkStart w:id="63" w:name="_Ref100130406"/>
      <w:r w:rsidRPr="003F20EB">
        <w:rPr>
          <w:rFonts w:ascii="Arial Narrow" w:eastAsia="Times New Roman" w:hAnsi="Arial Narrow" w:cs="Times New Roman"/>
          <w:b/>
          <w:bCs/>
          <w:iCs/>
          <w:sz w:val="20"/>
          <w:szCs w:val="20"/>
        </w:rPr>
        <w:t xml:space="preserve">Table </w:t>
      </w:r>
      <w:r w:rsidRPr="003F20EB">
        <w:rPr>
          <w:rFonts w:ascii="Arial Narrow" w:eastAsia="Times New Roman" w:hAnsi="Arial Narrow" w:cs="Times New Roman"/>
          <w:b/>
          <w:bCs/>
          <w:iCs/>
          <w:sz w:val="20"/>
          <w:szCs w:val="20"/>
        </w:rPr>
        <w:fldChar w:fldCharType="begin"/>
      </w:r>
      <w:r w:rsidRPr="003F20EB">
        <w:rPr>
          <w:rFonts w:ascii="Arial Narrow" w:eastAsia="Times New Roman" w:hAnsi="Arial Narrow" w:cs="Times New Roman"/>
          <w:b/>
          <w:bCs/>
          <w:iCs/>
          <w:sz w:val="20"/>
          <w:szCs w:val="20"/>
        </w:rPr>
        <w:instrText xml:space="preserve"> SEQ Table \* ARABIC </w:instrText>
      </w:r>
      <w:r w:rsidRPr="003F20EB">
        <w:rPr>
          <w:rFonts w:ascii="Arial Narrow" w:eastAsia="Times New Roman" w:hAnsi="Arial Narrow" w:cs="Times New Roman"/>
          <w:b/>
          <w:bCs/>
          <w:iCs/>
          <w:sz w:val="20"/>
          <w:szCs w:val="20"/>
        </w:rPr>
        <w:fldChar w:fldCharType="separate"/>
      </w:r>
      <w:r w:rsidR="00943826">
        <w:rPr>
          <w:rFonts w:ascii="Arial Narrow" w:eastAsia="Times New Roman" w:hAnsi="Arial Narrow" w:cs="Times New Roman"/>
          <w:b/>
          <w:bCs/>
          <w:iCs/>
          <w:noProof/>
          <w:sz w:val="20"/>
          <w:szCs w:val="20"/>
        </w:rPr>
        <w:t>16</w:t>
      </w:r>
      <w:r w:rsidRPr="003F20EB">
        <w:rPr>
          <w:rFonts w:ascii="Arial Narrow" w:eastAsia="Times New Roman" w:hAnsi="Arial Narrow" w:cs="Times New Roman"/>
          <w:b/>
          <w:bCs/>
          <w:iCs/>
          <w:sz w:val="20"/>
          <w:szCs w:val="20"/>
        </w:rPr>
        <w:fldChar w:fldCharType="end"/>
      </w:r>
      <w:bookmarkEnd w:id="63"/>
      <w:r w:rsidRPr="003F20EB">
        <w:rPr>
          <w:rFonts w:ascii="Arial Narrow" w:eastAsia="Times New Roman" w:hAnsi="Arial Narrow" w:cs="Times New Roman"/>
          <w:b/>
          <w:bCs/>
          <w:iCs/>
          <w:sz w:val="20"/>
          <w:szCs w:val="20"/>
        </w:rPr>
        <w:t>: Generation of the respecified base case analysis</w:t>
      </w:r>
    </w:p>
    <w:tbl>
      <w:tblPr>
        <w:tblStyle w:val="ASDTable2"/>
        <w:tblW w:w="5000" w:type="pct"/>
        <w:tblLook w:val="04A0" w:firstRow="1" w:lastRow="0" w:firstColumn="1" w:lastColumn="0" w:noHBand="0" w:noVBand="1"/>
      </w:tblPr>
      <w:tblGrid>
        <w:gridCol w:w="5239"/>
        <w:gridCol w:w="1259"/>
        <w:gridCol w:w="1259"/>
        <w:gridCol w:w="1259"/>
      </w:tblGrid>
      <w:tr w:rsidR="002056CD" w:rsidRPr="00C227CD" w14:paraId="37789799" w14:textId="77777777" w:rsidTr="006B0BCC">
        <w:tc>
          <w:tcPr>
            <w:tcW w:w="2905" w:type="pct"/>
          </w:tcPr>
          <w:p w14:paraId="684D42E9" w14:textId="77777777" w:rsidR="002056CD" w:rsidRPr="00C227CD" w:rsidRDefault="002056CD" w:rsidP="006B0BCC">
            <w:pPr>
              <w:keepNext/>
              <w:jc w:val="center"/>
              <w:rPr>
                <w:rFonts w:ascii="Arial Narrow" w:hAnsi="Arial Narrow"/>
                <w:b/>
                <w:sz w:val="20"/>
              </w:rPr>
            </w:pPr>
          </w:p>
        </w:tc>
        <w:tc>
          <w:tcPr>
            <w:tcW w:w="698" w:type="pct"/>
          </w:tcPr>
          <w:p w14:paraId="770CD196" w14:textId="77777777" w:rsidR="002056CD" w:rsidRPr="00C227CD" w:rsidRDefault="002056CD" w:rsidP="006B0BCC">
            <w:pPr>
              <w:keepNext/>
              <w:jc w:val="center"/>
              <w:rPr>
                <w:rFonts w:ascii="Arial Narrow" w:hAnsi="Arial Narrow"/>
                <w:b/>
                <w:sz w:val="20"/>
              </w:rPr>
            </w:pPr>
            <w:r w:rsidRPr="00C227CD">
              <w:rPr>
                <w:rFonts w:ascii="Arial Narrow" w:hAnsi="Arial Narrow"/>
                <w:b/>
                <w:sz w:val="20"/>
              </w:rPr>
              <w:t>Inc. cost</w:t>
            </w:r>
          </w:p>
        </w:tc>
        <w:tc>
          <w:tcPr>
            <w:tcW w:w="698" w:type="pct"/>
          </w:tcPr>
          <w:p w14:paraId="41D16BBE" w14:textId="77777777" w:rsidR="002056CD" w:rsidRPr="00C227CD" w:rsidRDefault="002056CD" w:rsidP="006B0BCC">
            <w:pPr>
              <w:keepNext/>
              <w:jc w:val="center"/>
              <w:rPr>
                <w:rFonts w:ascii="Arial Narrow" w:hAnsi="Arial Narrow"/>
                <w:b/>
                <w:sz w:val="20"/>
              </w:rPr>
            </w:pPr>
            <w:r w:rsidRPr="00C227CD">
              <w:rPr>
                <w:rFonts w:ascii="Arial Narrow" w:hAnsi="Arial Narrow"/>
                <w:b/>
                <w:sz w:val="20"/>
              </w:rPr>
              <w:t>Inc. QALYs</w:t>
            </w:r>
          </w:p>
        </w:tc>
        <w:tc>
          <w:tcPr>
            <w:tcW w:w="698" w:type="pct"/>
          </w:tcPr>
          <w:p w14:paraId="1A1F226E" w14:textId="77777777" w:rsidR="002056CD" w:rsidRPr="00C227CD" w:rsidRDefault="002056CD" w:rsidP="006B0BCC">
            <w:pPr>
              <w:keepNext/>
              <w:jc w:val="center"/>
              <w:rPr>
                <w:rFonts w:ascii="Arial Narrow" w:hAnsi="Arial Narrow"/>
                <w:b/>
                <w:sz w:val="20"/>
              </w:rPr>
            </w:pPr>
            <w:r w:rsidRPr="00C227CD">
              <w:rPr>
                <w:rFonts w:ascii="Arial Narrow" w:hAnsi="Arial Narrow"/>
                <w:b/>
                <w:sz w:val="20"/>
              </w:rPr>
              <w:t>ICER</w:t>
            </w:r>
          </w:p>
        </w:tc>
      </w:tr>
      <w:tr w:rsidR="002056CD" w:rsidRPr="007031F8" w14:paraId="0A80D703" w14:textId="77777777" w:rsidTr="006B0BCC">
        <w:tc>
          <w:tcPr>
            <w:tcW w:w="2905" w:type="pct"/>
            <w:tcBorders>
              <w:bottom w:val="single" w:sz="4" w:space="0" w:color="auto"/>
            </w:tcBorders>
          </w:tcPr>
          <w:p w14:paraId="285CA6EB" w14:textId="26C34A3B" w:rsidR="002056CD" w:rsidRPr="007031F8" w:rsidRDefault="00A67D4E" w:rsidP="006B0BCC">
            <w:pPr>
              <w:keepNext/>
              <w:rPr>
                <w:rFonts w:ascii="Arial Narrow" w:hAnsi="Arial Narrow"/>
                <w:iCs/>
                <w:sz w:val="20"/>
              </w:rPr>
            </w:pPr>
            <w:r w:rsidRPr="007031F8">
              <w:rPr>
                <w:rFonts w:ascii="Arial Narrow" w:hAnsi="Arial Narrow"/>
                <w:iCs/>
                <w:sz w:val="20"/>
              </w:rPr>
              <w:t xml:space="preserve">1408.1 </w:t>
            </w:r>
            <w:r w:rsidR="00815375">
              <w:rPr>
                <w:rFonts w:ascii="Arial Narrow" w:hAnsi="Arial Narrow"/>
                <w:iCs/>
                <w:sz w:val="20"/>
              </w:rPr>
              <w:t>re-application</w:t>
            </w:r>
            <w:r w:rsidR="00815375" w:rsidRPr="007031F8">
              <w:rPr>
                <w:rFonts w:ascii="Arial Narrow" w:hAnsi="Arial Narrow"/>
                <w:iCs/>
                <w:sz w:val="20"/>
              </w:rPr>
              <w:t xml:space="preserve"> </w:t>
            </w:r>
            <w:r w:rsidR="002056CD" w:rsidRPr="007031F8">
              <w:rPr>
                <w:rFonts w:ascii="Arial Narrow" w:hAnsi="Arial Narrow"/>
                <w:iCs/>
                <w:sz w:val="20"/>
              </w:rPr>
              <w:t xml:space="preserve">base case </w:t>
            </w:r>
            <w:r w:rsidRPr="007031F8">
              <w:rPr>
                <w:rFonts w:ascii="Arial Narrow" w:hAnsi="Arial Narrow"/>
                <w:iCs/>
                <w:sz w:val="20"/>
              </w:rPr>
              <w:t>(</w:t>
            </w:r>
            <w:r w:rsidR="002056CD" w:rsidRPr="007031F8">
              <w:rPr>
                <w:rFonts w:ascii="Arial Narrow" w:hAnsi="Arial Narrow"/>
                <w:iCs/>
                <w:sz w:val="20"/>
              </w:rPr>
              <w:t>corrected</w:t>
            </w:r>
            <w:r w:rsidRPr="007031F8">
              <w:rPr>
                <w:rFonts w:ascii="Arial Narrow" w:hAnsi="Arial Narrow"/>
                <w:iCs/>
                <w:sz w:val="20"/>
              </w:rPr>
              <w:t>)</w:t>
            </w:r>
          </w:p>
        </w:tc>
        <w:tc>
          <w:tcPr>
            <w:tcW w:w="698" w:type="pct"/>
            <w:tcBorders>
              <w:bottom w:val="single" w:sz="4" w:space="0" w:color="auto"/>
            </w:tcBorders>
          </w:tcPr>
          <w:p w14:paraId="057C5327" w14:textId="3AE51D55" w:rsidR="002056CD" w:rsidRPr="00C40D0C" w:rsidRDefault="002056CD" w:rsidP="006B0BCC">
            <w:pPr>
              <w:keepNext/>
              <w:jc w:val="center"/>
              <w:rPr>
                <w:rFonts w:ascii="Arial Narrow" w:hAnsi="Arial Narrow"/>
                <w:iCs/>
                <w:sz w:val="20"/>
              </w:rPr>
            </w:pPr>
            <w:r w:rsidRPr="00C40D0C">
              <w:rPr>
                <w:rFonts w:ascii="Arial Narrow" w:hAnsi="Arial Narrow"/>
                <w:iCs/>
                <w:sz w:val="20"/>
              </w:rPr>
              <w:t>$</w:t>
            </w:r>
            <w:r w:rsidR="00AE3E5D" w:rsidRPr="00AE3E5D">
              <w:rPr>
                <w:rFonts w:ascii="Arial Narrow" w:hAnsi="Arial Narrow" w:hint="eastAsia"/>
                <w:iCs/>
                <w:color w:val="000000"/>
                <w:w w:val="15"/>
                <w:sz w:val="20"/>
                <w:shd w:val="solid" w:color="000000" w:fill="000000"/>
                <w:fitText w:val="70" w:id="-1437332468"/>
                <w14:textFill>
                  <w14:solidFill>
                    <w14:srgbClr w14:val="000000">
                      <w14:alpha w14:val="100000"/>
                    </w14:srgbClr>
                  </w14:solidFill>
                </w14:textFill>
              </w:rPr>
              <w:t xml:space="preserve">　</w:t>
            </w:r>
            <w:r w:rsidR="00AE3E5D" w:rsidRPr="00AE3E5D">
              <w:rPr>
                <w:rFonts w:ascii="Arial Narrow" w:hAnsi="Arial Narrow"/>
                <w:iCs/>
                <w:color w:val="000000"/>
                <w:w w:val="15"/>
                <w:sz w:val="20"/>
                <w:shd w:val="solid" w:color="000000" w:fill="000000"/>
                <w:fitText w:val="70" w:id="-1437332468"/>
                <w14:textFill>
                  <w14:solidFill>
                    <w14:srgbClr w14:val="000000">
                      <w14:alpha w14:val="100000"/>
                    </w14:srgbClr>
                  </w14:solidFill>
                </w14:textFill>
              </w:rPr>
              <w:t>|</w:t>
            </w:r>
            <w:r w:rsidR="00AE3E5D" w:rsidRPr="00AE3E5D">
              <w:rPr>
                <w:rFonts w:ascii="Arial Narrow" w:hAnsi="Arial Narrow" w:hint="eastAsia"/>
                <w:iCs/>
                <w:color w:val="000000"/>
                <w:spacing w:val="4"/>
                <w:w w:val="15"/>
                <w:sz w:val="20"/>
                <w:shd w:val="solid" w:color="000000" w:fill="000000"/>
                <w:fitText w:val="70" w:id="-1437332468"/>
                <w14:textFill>
                  <w14:solidFill>
                    <w14:srgbClr w14:val="000000">
                      <w14:alpha w14:val="100000"/>
                    </w14:srgbClr>
                  </w14:solidFill>
                </w14:textFill>
              </w:rPr>
              <w:t xml:space="preserve">　</w:t>
            </w:r>
          </w:p>
        </w:tc>
        <w:tc>
          <w:tcPr>
            <w:tcW w:w="698" w:type="pct"/>
            <w:tcBorders>
              <w:bottom w:val="single" w:sz="4" w:space="0" w:color="auto"/>
            </w:tcBorders>
          </w:tcPr>
          <w:p w14:paraId="0D8EA11D" w14:textId="77777777" w:rsidR="002056CD" w:rsidRPr="00C40D0C" w:rsidRDefault="002056CD" w:rsidP="006B0BCC">
            <w:pPr>
              <w:keepNext/>
              <w:jc w:val="center"/>
              <w:rPr>
                <w:rFonts w:ascii="Arial Narrow" w:hAnsi="Arial Narrow"/>
                <w:iCs/>
                <w:sz w:val="20"/>
              </w:rPr>
            </w:pPr>
            <w:r w:rsidRPr="00C40D0C">
              <w:rPr>
                <w:rFonts w:ascii="Arial Narrow" w:hAnsi="Arial Narrow"/>
                <w:iCs/>
                <w:sz w:val="20"/>
              </w:rPr>
              <w:t>0.080</w:t>
            </w:r>
          </w:p>
        </w:tc>
        <w:tc>
          <w:tcPr>
            <w:tcW w:w="698" w:type="pct"/>
            <w:tcBorders>
              <w:bottom w:val="single" w:sz="4" w:space="0" w:color="auto"/>
            </w:tcBorders>
          </w:tcPr>
          <w:p w14:paraId="33C793E0" w14:textId="569DD110" w:rsidR="002056CD" w:rsidRPr="00C40D0C" w:rsidRDefault="002056CD" w:rsidP="006B0BCC">
            <w:pPr>
              <w:keepNext/>
              <w:jc w:val="center"/>
              <w:rPr>
                <w:rFonts w:ascii="Arial Narrow" w:hAnsi="Arial Narrow"/>
                <w:iCs/>
                <w:sz w:val="20"/>
              </w:rPr>
            </w:pPr>
            <w:r w:rsidRPr="00C40D0C">
              <w:rPr>
                <w:rFonts w:ascii="Arial Narrow" w:hAnsi="Arial Narrow"/>
                <w:iCs/>
                <w:sz w:val="20"/>
              </w:rPr>
              <w:t>$</w:t>
            </w:r>
            <w:r w:rsidR="00AE3E5D" w:rsidRPr="00AE3E5D">
              <w:rPr>
                <w:rFonts w:ascii="Arial Narrow" w:hAnsi="Arial Narrow" w:hint="eastAsia"/>
                <w:iCs/>
                <w:color w:val="000000"/>
                <w:w w:val="15"/>
                <w:sz w:val="20"/>
                <w:shd w:val="solid" w:color="000000" w:fill="000000"/>
                <w:fitText w:val="69" w:id="-1437332467"/>
                <w14:textFill>
                  <w14:solidFill>
                    <w14:srgbClr w14:val="000000">
                      <w14:alpha w14:val="100000"/>
                    </w14:srgbClr>
                  </w14:solidFill>
                </w14:textFill>
              </w:rPr>
              <w:t xml:space="preserve">　</w:t>
            </w:r>
            <w:r w:rsidR="00AE3E5D" w:rsidRPr="00AE3E5D">
              <w:rPr>
                <w:rFonts w:ascii="Arial Narrow" w:hAnsi="Arial Narrow"/>
                <w:iCs/>
                <w:color w:val="000000"/>
                <w:w w:val="15"/>
                <w:sz w:val="20"/>
                <w:shd w:val="solid" w:color="000000" w:fill="000000"/>
                <w:fitText w:val="69" w:id="-1437332467"/>
                <w14:textFill>
                  <w14:solidFill>
                    <w14:srgbClr w14:val="000000">
                      <w14:alpha w14:val="100000"/>
                    </w14:srgbClr>
                  </w14:solidFill>
                </w14:textFill>
              </w:rPr>
              <w:t>|</w:t>
            </w:r>
            <w:r w:rsidR="00AE3E5D" w:rsidRPr="00AE3E5D">
              <w:rPr>
                <w:rFonts w:ascii="Arial Narrow" w:hAnsi="Arial Narrow" w:hint="eastAsia"/>
                <w:iCs/>
                <w:color w:val="000000"/>
                <w:spacing w:val="3"/>
                <w:w w:val="15"/>
                <w:sz w:val="20"/>
                <w:shd w:val="solid" w:color="000000" w:fill="000000"/>
                <w:fitText w:val="69" w:id="-1437332467"/>
                <w14:textFill>
                  <w14:solidFill>
                    <w14:srgbClr w14:val="000000">
                      <w14:alpha w14:val="100000"/>
                    </w14:srgbClr>
                  </w14:solidFill>
                </w14:textFill>
              </w:rPr>
              <w:t xml:space="preserve">　</w:t>
            </w:r>
          </w:p>
        </w:tc>
      </w:tr>
      <w:tr w:rsidR="002056CD" w:rsidRPr="007031F8" w14:paraId="22F1AFF0" w14:textId="77777777" w:rsidTr="006B0BCC">
        <w:tc>
          <w:tcPr>
            <w:tcW w:w="2905" w:type="pct"/>
            <w:tcBorders>
              <w:bottom w:val="single" w:sz="4" w:space="0" w:color="auto"/>
            </w:tcBorders>
          </w:tcPr>
          <w:p w14:paraId="0BC55161" w14:textId="24B1A64E" w:rsidR="002056CD" w:rsidRPr="007031F8" w:rsidRDefault="002056CD" w:rsidP="006B0BCC">
            <w:pPr>
              <w:keepNext/>
              <w:rPr>
                <w:rFonts w:ascii="Arial Narrow" w:hAnsi="Arial Narrow"/>
                <w:iCs/>
                <w:sz w:val="20"/>
              </w:rPr>
            </w:pPr>
            <w:r w:rsidRPr="007031F8">
              <w:rPr>
                <w:rFonts w:ascii="Arial Narrow" w:hAnsi="Arial Narrow"/>
                <w:b/>
                <w:iCs/>
                <w:sz w:val="20"/>
              </w:rPr>
              <w:t>Step 1:</w:t>
            </w:r>
            <w:r w:rsidRPr="007031F8">
              <w:rPr>
                <w:rFonts w:ascii="Arial Narrow" w:hAnsi="Arial Narrow"/>
                <w:iCs/>
                <w:sz w:val="20"/>
              </w:rPr>
              <w:t xml:space="preserve"> Change in management from PROSPER (with some adjustment where changes in management were not likely due to </w:t>
            </w:r>
            <w:r w:rsidR="00D50E5C" w:rsidRPr="007031F8">
              <w:rPr>
                <w:rFonts w:ascii="Arial Narrow" w:hAnsi="Arial Narrow"/>
                <w:iCs/>
                <w:sz w:val="20"/>
              </w:rPr>
              <w:t>EndoPredict</w:t>
            </w:r>
            <w:r w:rsidR="005F1260" w:rsidRPr="005F1260">
              <w:rPr>
                <w:rFonts w:ascii="Arial Narrow" w:hAnsi="Arial Narrow"/>
                <w:iCs/>
                <w:sz w:val="20"/>
                <w:vertAlign w:val="superscript"/>
              </w:rPr>
              <w:t>®</w:t>
            </w:r>
            <w:r w:rsidRPr="007031F8">
              <w:rPr>
                <w:rFonts w:ascii="Arial Narrow" w:hAnsi="Arial Narrow"/>
                <w:iCs/>
                <w:sz w:val="20"/>
              </w:rPr>
              <w:t>) (Analysis #2) and Using central risk recurrence estimates reported in Sestak et al. (</w:t>
            </w:r>
            <w:proofErr w:type="gramStart"/>
            <w:r w:rsidRPr="007031F8">
              <w:rPr>
                <w:rFonts w:ascii="Arial Narrow" w:hAnsi="Arial Narrow"/>
                <w:iCs/>
                <w:sz w:val="20"/>
              </w:rPr>
              <w:t>2019)</w:t>
            </w:r>
            <w:r w:rsidRPr="007031F8">
              <w:rPr>
                <w:rFonts w:ascii="Arial Narrow" w:hAnsi="Arial Narrow"/>
                <w:iCs/>
                <w:sz w:val="20"/>
                <w:vertAlign w:val="superscript"/>
              </w:rPr>
              <w:t>a</w:t>
            </w:r>
            <w:proofErr w:type="gramEnd"/>
            <w:r w:rsidRPr="007031F8">
              <w:rPr>
                <w:rFonts w:ascii="Arial Narrow" w:hAnsi="Arial Narrow"/>
                <w:iCs/>
                <w:sz w:val="20"/>
              </w:rPr>
              <w:t xml:space="preserve"> (Analysis #3)</w:t>
            </w:r>
          </w:p>
        </w:tc>
        <w:tc>
          <w:tcPr>
            <w:tcW w:w="698" w:type="pct"/>
            <w:tcBorders>
              <w:bottom w:val="single" w:sz="4" w:space="0" w:color="auto"/>
            </w:tcBorders>
          </w:tcPr>
          <w:p w14:paraId="2BCFAE10" w14:textId="66446E17" w:rsidR="002056CD" w:rsidRPr="00C40D0C" w:rsidRDefault="002056CD" w:rsidP="006B0BCC">
            <w:pPr>
              <w:keepNext/>
              <w:jc w:val="center"/>
              <w:rPr>
                <w:rFonts w:ascii="Arial Narrow" w:hAnsi="Arial Narrow"/>
                <w:iCs/>
                <w:sz w:val="20"/>
              </w:rPr>
            </w:pPr>
            <w:r w:rsidRPr="00C40D0C">
              <w:rPr>
                <w:rFonts w:ascii="Arial Narrow" w:hAnsi="Arial Narrow"/>
                <w:iCs/>
                <w:sz w:val="20"/>
              </w:rPr>
              <w:t>$</w:t>
            </w:r>
            <w:r w:rsidR="00AE3E5D" w:rsidRPr="00AE3E5D">
              <w:rPr>
                <w:rFonts w:ascii="Arial Narrow" w:hAnsi="Arial Narrow" w:hint="eastAsia"/>
                <w:iCs/>
                <w:color w:val="000000"/>
                <w:w w:val="15"/>
                <w:sz w:val="20"/>
                <w:shd w:val="solid" w:color="000000" w:fill="000000"/>
                <w:fitText w:val="70" w:id="-1437332466"/>
                <w14:textFill>
                  <w14:solidFill>
                    <w14:srgbClr w14:val="000000">
                      <w14:alpha w14:val="100000"/>
                    </w14:srgbClr>
                  </w14:solidFill>
                </w14:textFill>
              </w:rPr>
              <w:t xml:space="preserve">　</w:t>
            </w:r>
            <w:r w:rsidR="00AE3E5D" w:rsidRPr="00AE3E5D">
              <w:rPr>
                <w:rFonts w:ascii="Arial Narrow" w:hAnsi="Arial Narrow"/>
                <w:iCs/>
                <w:color w:val="000000"/>
                <w:w w:val="15"/>
                <w:sz w:val="20"/>
                <w:shd w:val="solid" w:color="000000" w:fill="000000"/>
                <w:fitText w:val="70" w:id="-1437332466"/>
                <w14:textFill>
                  <w14:solidFill>
                    <w14:srgbClr w14:val="000000">
                      <w14:alpha w14:val="100000"/>
                    </w14:srgbClr>
                  </w14:solidFill>
                </w14:textFill>
              </w:rPr>
              <w:t>|</w:t>
            </w:r>
            <w:r w:rsidR="00AE3E5D" w:rsidRPr="00AE3E5D">
              <w:rPr>
                <w:rFonts w:ascii="Arial Narrow" w:hAnsi="Arial Narrow" w:hint="eastAsia"/>
                <w:iCs/>
                <w:color w:val="000000"/>
                <w:spacing w:val="4"/>
                <w:w w:val="15"/>
                <w:sz w:val="20"/>
                <w:shd w:val="solid" w:color="000000" w:fill="000000"/>
                <w:fitText w:val="70" w:id="-1437332466"/>
                <w14:textFill>
                  <w14:solidFill>
                    <w14:srgbClr w14:val="000000">
                      <w14:alpha w14:val="100000"/>
                    </w14:srgbClr>
                  </w14:solidFill>
                </w14:textFill>
              </w:rPr>
              <w:t xml:space="preserve">　</w:t>
            </w:r>
          </w:p>
        </w:tc>
        <w:tc>
          <w:tcPr>
            <w:tcW w:w="698" w:type="pct"/>
            <w:tcBorders>
              <w:bottom w:val="single" w:sz="4" w:space="0" w:color="auto"/>
            </w:tcBorders>
          </w:tcPr>
          <w:p w14:paraId="59555BA6" w14:textId="77777777" w:rsidR="002056CD" w:rsidRPr="00C40D0C" w:rsidRDefault="002056CD" w:rsidP="006B0BCC">
            <w:pPr>
              <w:keepNext/>
              <w:jc w:val="center"/>
              <w:rPr>
                <w:rFonts w:ascii="Arial Narrow" w:hAnsi="Arial Narrow"/>
                <w:iCs/>
                <w:sz w:val="20"/>
              </w:rPr>
            </w:pPr>
            <w:r w:rsidRPr="00C40D0C">
              <w:rPr>
                <w:rFonts w:ascii="Arial Narrow" w:hAnsi="Arial Narrow"/>
                <w:iCs/>
                <w:sz w:val="20"/>
              </w:rPr>
              <w:t>0.034</w:t>
            </w:r>
          </w:p>
        </w:tc>
        <w:tc>
          <w:tcPr>
            <w:tcW w:w="698" w:type="pct"/>
            <w:tcBorders>
              <w:bottom w:val="single" w:sz="4" w:space="0" w:color="auto"/>
            </w:tcBorders>
          </w:tcPr>
          <w:p w14:paraId="3AA9E637" w14:textId="5EFECFB6" w:rsidR="002056CD" w:rsidRPr="00C40D0C" w:rsidRDefault="002056CD" w:rsidP="006B0BCC">
            <w:pPr>
              <w:keepNext/>
              <w:jc w:val="center"/>
              <w:rPr>
                <w:rFonts w:ascii="Arial Narrow" w:hAnsi="Arial Narrow"/>
                <w:iCs/>
                <w:sz w:val="20"/>
              </w:rPr>
            </w:pPr>
            <w:r w:rsidRPr="00C40D0C">
              <w:rPr>
                <w:rFonts w:ascii="Arial Narrow" w:hAnsi="Arial Narrow"/>
                <w:iCs/>
                <w:sz w:val="20"/>
              </w:rPr>
              <w:t>$</w:t>
            </w:r>
            <w:r w:rsidR="00AE3E5D" w:rsidRPr="00AE3E5D">
              <w:rPr>
                <w:rFonts w:ascii="Arial Narrow" w:hAnsi="Arial Narrow" w:hint="eastAsia"/>
                <w:iCs/>
                <w:color w:val="000000"/>
                <w:w w:val="15"/>
                <w:sz w:val="20"/>
                <w:shd w:val="solid" w:color="000000" w:fill="000000"/>
                <w:fitText w:val="69" w:id="-1437332465"/>
                <w14:textFill>
                  <w14:solidFill>
                    <w14:srgbClr w14:val="000000">
                      <w14:alpha w14:val="100000"/>
                    </w14:srgbClr>
                  </w14:solidFill>
                </w14:textFill>
              </w:rPr>
              <w:t xml:space="preserve">　</w:t>
            </w:r>
            <w:r w:rsidR="00AE3E5D" w:rsidRPr="00AE3E5D">
              <w:rPr>
                <w:rFonts w:ascii="Arial Narrow" w:hAnsi="Arial Narrow"/>
                <w:iCs/>
                <w:color w:val="000000"/>
                <w:w w:val="15"/>
                <w:sz w:val="20"/>
                <w:shd w:val="solid" w:color="000000" w:fill="000000"/>
                <w:fitText w:val="69" w:id="-1437332465"/>
                <w14:textFill>
                  <w14:solidFill>
                    <w14:srgbClr w14:val="000000">
                      <w14:alpha w14:val="100000"/>
                    </w14:srgbClr>
                  </w14:solidFill>
                </w14:textFill>
              </w:rPr>
              <w:t>|</w:t>
            </w:r>
            <w:r w:rsidR="00AE3E5D" w:rsidRPr="00AE3E5D">
              <w:rPr>
                <w:rFonts w:ascii="Arial Narrow" w:hAnsi="Arial Narrow" w:hint="eastAsia"/>
                <w:iCs/>
                <w:color w:val="000000"/>
                <w:spacing w:val="3"/>
                <w:w w:val="15"/>
                <w:sz w:val="20"/>
                <w:shd w:val="solid" w:color="000000" w:fill="000000"/>
                <w:fitText w:val="69" w:id="-1437332465"/>
                <w14:textFill>
                  <w14:solidFill>
                    <w14:srgbClr w14:val="000000">
                      <w14:alpha w14:val="100000"/>
                    </w14:srgbClr>
                  </w14:solidFill>
                </w14:textFill>
              </w:rPr>
              <w:t xml:space="preserve">　</w:t>
            </w:r>
          </w:p>
        </w:tc>
      </w:tr>
      <w:tr w:rsidR="002056CD" w:rsidRPr="007031F8" w14:paraId="6181F8C9" w14:textId="77777777" w:rsidTr="006B0BCC">
        <w:tc>
          <w:tcPr>
            <w:tcW w:w="2905" w:type="pct"/>
            <w:tcBorders>
              <w:bottom w:val="single" w:sz="4" w:space="0" w:color="auto"/>
            </w:tcBorders>
          </w:tcPr>
          <w:p w14:paraId="2CF74981" w14:textId="77777777" w:rsidR="002056CD" w:rsidRPr="007031F8" w:rsidRDefault="002056CD" w:rsidP="006B0BCC">
            <w:pPr>
              <w:keepNext/>
              <w:rPr>
                <w:rFonts w:ascii="Arial Narrow" w:hAnsi="Arial Narrow"/>
                <w:iCs/>
                <w:sz w:val="20"/>
              </w:rPr>
            </w:pPr>
            <w:r w:rsidRPr="007031F8">
              <w:rPr>
                <w:rFonts w:ascii="Arial Narrow" w:hAnsi="Arial Narrow"/>
                <w:b/>
                <w:iCs/>
                <w:sz w:val="20"/>
              </w:rPr>
              <w:t>Step 2:</w:t>
            </w:r>
            <w:r w:rsidRPr="007031F8">
              <w:rPr>
                <w:rFonts w:ascii="Arial Narrow" w:hAnsi="Arial Narrow"/>
                <w:iCs/>
                <w:sz w:val="20"/>
              </w:rPr>
              <w:t xml:space="preserve"> Step 1 + Extrapolation of distant recurrence estimates to 10 years only (Analysis #7)</w:t>
            </w:r>
          </w:p>
        </w:tc>
        <w:tc>
          <w:tcPr>
            <w:tcW w:w="698" w:type="pct"/>
            <w:tcBorders>
              <w:bottom w:val="single" w:sz="4" w:space="0" w:color="auto"/>
            </w:tcBorders>
          </w:tcPr>
          <w:p w14:paraId="25CBA000" w14:textId="5036F175" w:rsidR="002056CD" w:rsidRPr="00C40D0C" w:rsidRDefault="002056CD" w:rsidP="006B0BCC">
            <w:pPr>
              <w:keepNext/>
              <w:jc w:val="center"/>
              <w:rPr>
                <w:rFonts w:ascii="Arial Narrow" w:hAnsi="Arial Narrow"/>
                <w:iCs/>
                <w:sz w:val="20"/>
              </w:rPr>
            </w:pPr>
            <w:r w:rsidRPr="00C40D0C">
              <w:rPr>
                <w:rFonts w:ascii="Arial Narrow" w:hAnsi="Arial Narrow"/>
                <w:iCs/>
                <w:sz w:val="20"/>
              </w:rPr>
              <w:t>$</w:t>
            </w:r>
            <w:r w:rsidR="00AE3E5D" w:rsidRPr="00AE3E5D">
              <w:rPr>
                <w:rFonts w:ascii="Arial Narrow" w:hAnsi="Arial Narrow" w:hint="eastAsia"/>
                <w:iCs/>
                <w:color w:val="000000"/>
                <w:w w:val="15"/>
                <w:sz w:val="20"/>
                <w:shd w:val="solid" w:color="000000" w:fill="000000"/>
                <w:fitText w:val="70" w:id="-1437332464"/>
                <w14:textFill>
                  <w14:solidFill>
                    <w14:srgbClr w14:val="000000">
                      <w14:alpha w14:val="100000"/>
                    </w14:srgbClr>
                  </w14:solidFill>
                </w14:textFill>
              </w:rPr>
              <w:t xml:space="preserve">　</w:t>
            </w:r>
            <w:r w:rsidR="00AE3E5D" w:rsidRPr="00AE3E5D">
              <w:rPr>
                <w:rFonts w:ascii="Arial Narrow" w:hAnsi="Arial Narrow"/>
                <w:iCs/>
                <w:color w:val="000000"/>
                <w:w w:val="15"/>
                <w:sz w:val="20"/>
                <w:shd w:val="solid" w:color="000000" w:fill="000000"/>
                <w:fitText w:val="70" w:id="-1437332464"/>
                <w14:textFill>
                  <w14:solidFill>
                    <w14:srgbClr w14:val="000000">
                      <w14:alpha w14:val="100000"/>
                    </w14:srgbClr>
                  </w14:solidFill>
                </w14:textFill>
              </w:rPr>
              <w:t>|</w:t>
            </w:r>
            <w:r w:rsidR="00AE3E5D" w:rsidRPr="00AE3E5D">
              <w:rPr>
                <w:rFonts w:ascii="Arial Narrow" w:hAnsi="Arial Narrow" w:hint="eastAsia"/>
                <w:iCs/>
                <w:color w:val="000000"/>
                <w:spacing w:val="4"/>
                <w:w w:val="15"/>
                <w:sz w:val="20"/>
                <w:shd w:val="solid" w:color="000000" w:fill="000000"/>
                <w:fitText w:val="70" w:id="-1437332464"/>
                <w14:textFill>
                  <w14:solidFill>
                    <w14:srgbClr w14:val="000000">
                      <w14:alpha w14:val="100000"/>
                    </w14:srgbClr>
                  </w14:solidFill>
                </w14:textFill>
              </w:rPr>
              <w:t xml:space="preserve">　</w:t>
            </w:r>
          </w:p>
        </w:tc>
        <w:tc>
          <w:tcPr>
            <w:tcW w:w="698" w:type="pct"/>
            <w:tcBorders>
              <w:bottom w:val="single" w:sz="4" w:space="0" w:color="auto"/>
            </w:tcBorders>
          </w:tcPr>
          <w:p w14:paraId="0FC5D414" w14:textId="77777777" w:rsidR="002056CD" w:rsidRPr="00C40D0C" w:rsidRDefault="002056CD" w:rsidP="006B0BCC">
            <w:pPr>
              <w:keepNext/>
              <w:jc w:val="center"/>
              <w:rPr>
                <w:rFonts w:ascii="Arial Narrow" w:hAnsi="Arial Narrow"/>
                <w:iCs/>
                <w:sz w:val="20"/>
              </w:rPr>
            </w:pPr>
            <w:r w:rsidRPr="00C40D0C">
              <w:rPr>
                <w:rFonts w:ascii="Arial Narrow" w:hAnsi="Arial Narrow"/>
                <w:iCs/>
                <w:sz w:val="20"/>
              </w:rPr>
              <w:t>0.021</w:t>
            </w:r>
          </w:p>
        </w:tc>
        <w:tc>
          <w:tcPr>
            <w:tcW w:w="698" w:type="pct"/>
            <w:tcBorders>
              <w:bottom w:val="single" w:sz="4" w:space="0" w:color="auto"/>
            </w:tcBorders>
          </w:tcPr>
          <w:p w14:paraId="3365BFF5" w14:textId="14914FE0" w:rsidR="002056CD" w:rsidRPr="00C40D0C" w:rsidRDefault="002056CD" w:rsidP="006B0BCC">
            <w:pPr>
              <w:keepNext/>
              <w:jc w:val="center"/>
              <w:rPr>
                <w:rFonts w:ascii="Arial Narrow" w:hAnsi="Arial Narrow"/>
                <w:iCs/>
                <w:sz w:val="20"/>
              </w:rPr>
            </w:pPr>
            <w:r w:rsidRPr="00C40D0C">
              <w:rPr>
                <w:rFonts w:ascii="Arial Narrow" w:hAnsi="Arial Narrow"/>
                <w:iCs/>
                <w:sz w:val="20"/>
              </w:rPr>
              <w:t>$</w:t>
            </w:r>
            <w:r w:rsidR="00AE3E5D" w:rsidRPr="00AE3E5D">
              <w:rPr>
                <w:rFonts w:ascii="Arial Narrow" w:hAnsi="Arial Narrow" w:hint="eastAsia"/>
                <w:iCs/>
                <w:color w:val="000000"/>
                <w:w w:val="15"/>
                <w:sz w:val="20"/>
                <w:shd w:val="solid" w:color="000000" w:fill="000000"/>
                <w:fitText w:val="69" w:id="-1437332480"/>
                <w14:textFill>
                  <w14:solidFill>
                    <w14:srgbClr w14:val="000000">
                      <w14:alpha w14:val="100000"/>
                    </w14:srgbClr>
                  </w14:solidFill>
                </w14:textFill>
              </w:rPr>
              <w:t xml:space="preserve">　</w:t>
            </w:r>
            <w:r w:rsidR="00AE3E5D" w:rsidRPr="00AE3E5D">
              <w:rPr>
                <w:rFonts w:ascii="Arial Narrow" w:hAnsi="Arial Narrow"/>
                <w:iCs/>
                <w:color w:val="000000"/>
                <w:w w:val="15"/>
                <w:sz w:val="20"/>
                <w:shd w:val="solid" w:color="000000" w:fill="000000"/>
                <w:fitText w:val="69" w:id="-1437332480"/>
                <w14:textFill>
                  <w14:solidFill>
                    <w14:srgbClr w14:val="000000">
                      <w14:alpha w14:val="100000"/>
                    </w14:srgbClr>
                  </w14:solidFill>
                </w14:textFill>
              </w:rPr>
              <w:t>|</w:t>
            </w:r>
            <w:r w:rsidR="00AE3E5D" w:rsidRPr="00AE3E5D">
              <w:rPr>
                <w:rFonts w:ascii="Arial Narrow" w:hAnsi="Arial Narrow" w:hint="eastAsia"/>
                <w:iCs/>
                <w:color w:val="000000"/>
                <w:spacing w:val="3"/>
                <w:w w:val="15"/>
                <w:sz w:val="20"/>
                <w:shd w:val="solid" w:color="000000" w:fill="000000"/>
                <w:fitText w:val="69" w:id="-1437332480"/>
                <w14:textFill>
                  <w14:solidFill>
                    <w14:srgbClr w14:val="000000">
                      <w14:alpha w14:val="100000"/>
                    </w14:srgbClr>
                  </w14:solidFill>
                </w14:textFill>
              </w:rPr>
              <w:t xml:space="preserve">　</w:t>
            </w:r>
          </w:p>
        </w:tc>
      </w:tr>
      <w:tr w:rsidR="002056CD" w:rsidRPr="007031F8" w14:paraId="50EA93CC" w14:textId="77777777" w:rsidTr="006B0BCC">
        <w:tc>
          <w:tcPr>
            <w:tcW w:w="2905" w:type="pct"/>
            <w:tcBorders>
              <w:bottom w:val="single" w:sz="4" w:space="0" w:color="auto"/>
            </w:tcBorders>
          </w:tcPr>
          <w:p w14:paraId="52322E9B" w14:textId="77777777" w:rsidR="002056CD" w:rsidRPr="007031F8" w:rsidRDefault="002056CD" w:rsidP="006B0BCC">
            <w:pPr>
              <w:keepNext/>
              <w:rPr>
                <w:rFonts w:ascii="Arial Narrow" w:hAnsi="Arial Narrow"/>
                <w:iCs/>
                <w:sz w:val="20"/>
              </w:rPr>
            </w:pPr>
            <w:r w:rsidRPr="007031F8">
              <w:rPr>
                <w:rFonts w:ascii="Arial Narrow" w:hAnsi="Arial Narrow"/>
                <w:b/>
                <w:iCs/>
                <w:sz w:val="20"/>
              </w:rPr>
              <w:t>Step 3:</w:t>
            </w:r>
            <w:r w:rsidRPr="007031F8">
              <w:rPr>
                <w:rFonts w:ascii="Arial Narrow" w:hAnsi="Arial Narrow"/>
                <w:iCs/>
                <w:sz w:val="20"/>
              </w:rPr>
              <w:t xml:space="preserve"> Step 2 + Utilities from Lidgren et al. (</w:t>
            </w:r>
            <w:proofErr w:type="gramStart"/>
            <w:r w:rsidRPr="007031F8">
              <w:rPr>
                <w:rFonts w:ascii="Arial Narrow" w:hAnsi="Arial Narrow"/>
                <w:iCs/>
                <w:sz w:val="20"/>
              </w:rPr>
              <w:t>2007)</w:t>
            </w:r>
            <w:r w:rsidRPr="007031F8">
              <w:rPr>
                <w:rFonts w:ascii="Arial Narrow" w:hAnsi="Arial Narrow"/>
                <w:iCs/>
                <w:sz w:val="20"/>
                <w:vertAlign w:val="superscript"/>
              </w:rPr>
              <w:t>b</w:t>
            </w:r>
            <w:proofErr w:type="gramEnd"/>
            <w:r w:rsidRPr="007031F8">
              <w:rPr>
                <w:rFonts w:ascii="Arial Narrow" w:hAnsi="Arial Narrow"/>
                <w:iCs/>
                <w:sz w:val="20"/>
              </w:rPr>
              <w:t xml:space="preserve"> (Analysis #10)</w:t>
            </w:r>
          </w:p>
        </w:tc>
        <w:tc>
          <w:tcPr>
            <w:tcW w:w="698" w:type="pct"/>
            <w:tcBorders>
              <w:bottom w:val="single" w:sz="4" w:space="0" w:color="auto"/>
            </w:tcBorders>
          </w:tcPr>
          <w:p w14:paraId="6A32C640" w14:textId="56A320E9" w:rsidR="002056CD" w:rsidRPr="00C40D0C" w:rsidRDefault="002056CD" w:rsidP="006B0BCC">
            <w:pPr>
              <w:keepNext/>
              <w:jc w:val="center"/>
              <w:rPr>
                <w:rFonts w:ascii="Arial Narrow" w:hAnsi="Arial Narrow"/>
                <w:iCs/>
                <w:sz w:val="20"/>
              </w:rPr>
            </w:pPr>
            <w:r w:rsidRPr="00C40D0C">
              <w:rPr>
                <w:rFonts w:ascii="Arial Narrow" w:hAnsi="Arial Narrow"/>
                <w:iCs/>
                <w:sz w:val="20"/>
              </w:rPr>
              <w:t>$</w:t>
            </w:r>
            <w:r w:rsidR="00AE3E5D" w:rsidRPr="00AE3E5D">
              <w:rPr>
                <w:rFonts w:ascii="Arial Narrow" w:hAnsi="Arial Narrow" w:hint="eastAsia"/>
                <w:iCs/>
                <w:color w:val="000000"/>
                <w:w w:val="15"/>
                <w:sz w:val="20"/>
                <w:shd w:val="solid" w:color="000000" w:fill="000000"/>
                <w:fitText w:val="70" w:id="-1437332479"/>
                <w14:textFill>
                  <w14:solidFill>
                    <w14:srgbClr w14:val="000000">
                      <w14:alpha w14:val="100000"/>
                    </w14:srgbClr>
                  </w14:solidFill>
                </w14:textFill>
              </w:rPr>
              <w:t xml:space="preserve">　</w:t>
            </w:r>
            <w:r w:rsidR="00AE3E5D" w:rsidRPr="00AE3E5D">
              <w:rPr>
                <w:rFonts w:ascii="Arial Narrow" w:hAnsi="Arial Narrow"/>
                <w:iCs/>
                <w:color w:val="000000"/>
                <w:w w:val="15"/>
                <w:sz w:val="20"/>
                <w:shd w:val="solid" w:color="000000" w:fill="000000"/>
                <w:fitText w:val="70" w:id="-1437332479"/>
                <w14:textFill>
                  <w14:solidFill>
                    <w14:srgbClr w14:val="000000">
                      <w14:alpha w14:val="100000"/>
                    </w14:srgbClr>
                  </w14:solidFill>
                </w14:textFill>
              </w:rPr>
              <w:t>|</w:t>
            </w:r>
            <w:r w:rsidR="00AE3E5D" w:rsidRPr="00AE3E5D">
              <w:rPr>
                <w:rFonts w:ascii="Arial Narrow" w:hAnsi="Arial Narrow" w:hint="eastAsia"/>
                <w:iCs/>
                <w:color w:val="000000"/>
                <w:spacing w:val="4"/>
                <w:w w:val="15"/>
                <w:sz w:val="20"/>
                <w:shd w:val="solid" w:color="000000" w:fill="000000"/>
                <w:fitText w:val="70" w:id="-1437332479"/>
                <w14:textFill>
                  <w14:solidFill>
                    <w14:srgbClr w14:val="000000">
                      <w14:alpha w14:val="100000"/>
                    </w14:srgbClr>
                  </w14:solidFill>
                </w14:textFill>
              </w:rPr>
              <w:t xml:space="preserve">　</w:t>
            </w:r>
          </w:p>
        </w:tc>
        <w:tc>
          <w:tcPr>
            <w:tcW w:w="698" w:type="pct"/>
            <w:tcBorders>
              <w:bottom w:val="single" w:sz="4" w:space="0" w:color="auto"/>
            </w:tcBorders>
          </w:tcPr>
          <w:p w14:paraId="38EC6C34" w14:textId="77777777" w:rsidR="002056CD" w:rsidRPr="00C40D0C" w:rsidRDefault="002056CD" w:rsidP="006B0BCC">
            <w:pPr>
              <w:keepNext/>
              <w:jc w:val="center"/>
              <w:rPr>
                <w:rFonts w:ascii="Arial Narrow" w:hAnsi="Arial Narrow"/>
                <w:iCs/>
                <w:sz w:val="20"/>
              </w:rPr>
            </w:pPr>
            <w:r w:rsidRPr="00C40D0C">
              <w:rPr>
                <w:rFonts w:ascii="Arial Narrow" w:hAnsi="Arial Narrow"/>
                <w:iCs/>
                <w:sz w:val="20"/>
              </w:rPr>
              <w:t>0.018</w:t>
            </w:r>
          </w:p>
        </w:tc>
        <w:tc>
          <w:tcPr>
            <w:tcW w:w="698" w:type="pct"/>
            <w:tcBorders>
              <w:bottom w:val="single" w:sz="4" w:space="0" w:color="auto"/>
            </w:tcBorders>
          </w:tcPr>
          <w:p w14:paraId="60FFD065" w14:textId="64FD70B1" w:rsidR="002056CD" w:rsidRPr="00C40D0C" w:rsidRDefault="002056CD" w:rsidP="006B0BCC">
            <w:pPr>
              <w:keepNext/>
              <w:jc w:val="center"/>
              <w:rPr>
                <w:rFonts w:ascii="Arial Narrow" w:hAnsi="Arial Narrow"/>
                <w:iCs/>
                <w:sz w:val="20"/>
              </w:rPr>
            </w:pPr>
            <w:r w:rsidRPr="00C40D0C">
              <w:rPr>
                <w:rFonts w:ascii="Arial Narrow" w:hAnsi="Arial Narrow"/>
                <w:iCs/>
                <w:sz w:val="20"/>
              </w:rPr>
              <w:t>$</w:t>
            </w:r>
            <w:r w:rsidR="00AE3E5D" w:rsidRPr="00AE3E5D">
              <w:rPr>
                <w:rFonts w:ascii="Arial Narrow" w:hAnsi="Arial Narrow" w:hint="eastAsia"/>
                <w:iCs/>
                <w:color w:val="000000"/>
                <w:w w:val="15"/>
                <w:sz w:val="20"/>
                <w:shd w:val="solid" w:color="000000" w:fill="000000"/>
                <w:fitText w:val="69" w:id="-1437332478"/>
                <w14:textFill>
                  <w14:solidFill>
                    <w14:srgbClr w14:val="000000">
                      <w14:alpha w14:val="100000"/>
                    </w14:srgbClr>
                  </w14:solidFill>
                </w14:textFill>
              </w:rPr>
              <w:t xml:space="preserve">　</w:t>
            </w:r>
            <w:r w:rsidR="00AE3E5D" w:rsidRPr="00AE3E5D">
              <w:rPr>
                <w:rFonts w:ascii="Arial Narrow" w:hAnsi="Arial Narrow"/>
                <w:iCs/>
                <w:color w:val="000000"/>
                <w:w w:val="15"/>
                <w:sz w:val="20"/>
                <w:shd w:val="solid" w:color="000000" w:fill="000000"/>
                <w:fitText w:val="69" w:id="-1437332478"/>
                <w14:textFill>
                  <w14:solidFill>
                    <w14:srgbClr w14:val="000000">
                      <w14:alpha w14:val="100000"/>
                    </w14:srgbClr>
                  </w14:solidFill>
                </w14:textFill>
              </w:rPr>
              <w:t>|</w:t>
            </w:r>
            <w:r w:rsidR="00AE3E5D" w:rsidRPr="00AE3E5D">
              <w:rPr>
                <w:rFonts w:ascii="Arial Narrow" w:hAnsi="Arial Narrow" w:hint="eastAsia"/>
                <w:iCs/>
                <w:color w:val="000000"/>
                <w:spacing w:val="3"/>
                <w:w w:val="15"/>
                <w:sz w:val="20"/>
                <w:shd w:val="solid" w:color="000000" w:fill="000000"/>
                <w:fitText w:val="69" w:id="-1437332478"/>
                <w14:textFill>
                  <w14:solidFill>
                    <w14:srgbClr w14:val="000000">
                      <w14:alpha w14:val="100000"/>
                    </w14:srgbClr>
                  </w14:solidFill>
                </w14:textFill>
              </w:rPr>
              <w:t xml:space="preserve">　</w:t>
            </w:r>
          </w:p>
        </w:tc>
      </w:tr>
      <w:tr w:rsidR="002056CD" w:rsidRPr="007031F8" w14:paraId="00E348D7" w14:textId="77777777" w:rsidTr="006B0BCC">
        <w:tc>
          <w:tcPr>
            <w:tcW w:w="2905" w:type="pct"/>
          </w:tcPr>
          <w:p w14:paraId="5234E288" w14:textId="77777777" w:rsidR="002056CD" w:rsidRPr="007031F8" w:rsidRDefault="002056CD" w:rsidP="006B0BCC">
            <w:pPr>
              <w:keepNext/>
              <w:rPr>
                <w:rFonts w:ascii="Arial Narrow" w:hAnsi="Arial Narrow"/>
                <w:iCs/>
                <w:sz w:val="20"/>
              </w:rPr>
            </w:pPr>
            <w:r w:rsidRPr="007031F8">
              <w:rPr>
                <w:rFonts w:ascii="Arial Narrow" w:hAnsi="Arial Narrow"/>
                <w:b/>
                <w:iCs/>
                <w:sz w:val="20"/>
              </w:rPr>
              <w:t>Step 4:</w:t>
            </w:r>
            <w:r w:rsidRPr="007031F8">
              <w:rPr>
                <w:rFonts w:ascii="Arial Narrow" w:hAnsi="Arial Narrow"/>
                <w:iCs/>
                <w:sz w:val="20"/>
              </w:rPr>
              <w:t xml:space="preserve"> Step 3 + Time horizon of 30 years (Analysis #11)</w:t>
            </w:r>
          </w:p>
        </w:tc>
        <w:tc>
          <w:tcPr>
            <w:tcW w:w="698" w:type="pct"/>
          </w:tcPr>
          <w:p w14:paraId="51E36B0C" w14:textId="65AA6D98" w:rsidR="002056CD" w:rsidRPr="00C40D0C" w:rsidRDefault="002056CD" w:rsidP="006B0BCC">
            <w:pPr>
              <w:keepNext/>
              <w:jc w:val="center"/>
              <w:rPr>
                <w:rFonts w:ascii="Arial Narrow" w:hAnsi="Arial Narrow"/>
                <w:iCs/>
                <w:sz w:val="20"/>
              </w:rPr>
            </w:pPr>
            <w:r w:rsidRPr="00C40D0C">
              <w:rPr>
                <w:rFonts w:ascii="Arial Narrow" w:hAnsi="Arial Narrow"/>
                <w:iCs/>
                <w:sz w:val="20"/>
              </w:rPr>
              <w:t>$</w:t>
            </w:r>
            <w:r w:rsidR="00AE3E5D" w:rsidRPr="00AE3E5D">
              <w:rPr>
                <w:rFonts w:ascii="Arial Narrow" w:hAnsi="Arial Narrow" w:hint="eastAsia"/>
                <w:iCs/>
                <w:color w:val="000000"/>
                <w:w w:val="15"/>
                <w:sz w:val="20"/>
                <w:shd w:val="solid" w:color="000000" w:fill="000000"/>
                <w:fitText w:val="70" w:id="-1437332477"/>
                <w14:textFill>
                  <w14:solidFill>
                    <w14:srgbClr w14:val="000000">
                      <w14:alpha w14:val="100000"/>
                    </w14:srgbClr>
                  </w14:solidFill>
                </w14:textFill>
              </w:rPr>
              <w:t xml:space="preserve">　</w:t>
            </w:r>
            <w:r w:rsidR="00AE3E5D" w:rsidRPr="00AE3E5D">
              <w:rPr>
                <w:rFonts w:ascii="Arial Narrow" w:hAnsi="Arial Narrow"/>
                <w:iCs/>
                <w:color w:val="000000"/>
                <w:w w:val="15"/>
                <w:sz w:val="20"/>
                <w:shd w:val="solid" w:color="000000" w:fill="000000"/>
                <w:fitText w:val="70" w:id="-1437332477"/>
                <w14:textFill>
                  <w14:solidFill>
                    <w14:srgbClr w14:val="000000">
                      <w14:alpha w14:val="100000"/>
                    </w14:srgbClr>
                  </w14:solidFill>
                </w14:textFill>
              </w:rPr>
              <w:t>|</w:t>
            </w:r>
            <w:r w:rsidR="00AE3E5D" w:rsidRPr="00AE3E5D">
              <w:rPr>
                <w:rFonts w:ascii="Arial Narrow" w:hAnsi="Arial Narrow" w:hint="eastAsia"/>
                <w:iCs/>
                <w:color w:val="000000"/>
                <w:spacing w:val="4"/>
                <w:w w:val="15"/>
                <w:sz w:val="20"/>
                <w:shd w:val="solid" w:color="000000" w:fill="000000"/>
                <w:fitText w:val="70" w:id="-1437332477"/>
                <w14:textFill>
                  <w14:solidFill>
                    <w14:srgbClr w14:val="000000">
                      <w14:alpha w14:val="100000"/>
                    </w14:srgbClr>
                  </w14:solidFill>
                </w14:textFill>
              </w:rPr>
              <w:t xml:space="preserve">　</w:t>
            </w:r>
          </w:p>
        </w:tc>
        <w:tc>
          <w:tcPr>
            <w:tcW w:w="698" w:type="pct"/>
          </w:tcPr>
          <w:p w14:paraId="1C8E9DED" w14:textId="77777777" w:rsidR="002056CD" w:rsidRPr="00C40D0C" w:rsidRDefault="002056CD" w:rsidP="006B0BCC">
            <w:pPr>
              <w:keepNext/>
              <w:jc w:val="center"/>
              <w:rPr>
                <w:rFonts w:ascii="Arial Narrow" w:hAnsi="Arial Narrow"/>
                <w:iCs/>
                <w:sz w:val="20"/>
              </w:rPr>
            </w:pPr>
            <w:r w:rsidRPr="00C40D0C">
              <w:rPr>
                <w:rFonts w:ascii="Arial Narrow" w:hAnsi="Arial Narrow"/>
                <w:iCs/>
                <w:sz w:val="20"/>
              </w:rPr>
              <w:t>0.018</w:t>
            </w:r>
          </w:p>
        </w:tc>
        <w:tc>
          <w:tcPr>
            <w:tcW w:w="698" w:type="pct"/>
          </w:tcPr>
          <w:p w14:paraId="264D5C86" w14:textId="37D66F3A" w:rsidR="002056CD" w:rsidRPr="00C40D0C" w:rsidRDefault="002056CD" w:rsidP="006B0BCC">
            <w:pPr>
              <w:keepNext/>
              <w:jc w:val="center"/>
              <w:rPr>
                <w:rFonts w:ascii="Arial Narrow" w:hAnsi="Arial Narrow"/>
                <w:iCs/>
                <w:sz w:val="20"/>
              </w:rPr>
            </w:pPr>
            <w:r w:rsidRPr="00C40D0C">
              <w:rPr>
                <w:rFonts w:ascii="Arial Narrow" w:hAnsi="Arial Narrow"/>
                <w:iCs/>
                <w:sz w:val="20"/>
              </w:rPr>
              <w:t>$</w:t>
            </w:r>
            <w:r w:rsidR="00AE3E5D" w:rsidRPr="00AE3E5D">
              <w:rPr>
                <w:rFonts w:ascii="Arial Narrow" w:hAnsi="Arial Narrow" w:hint="eastAsia"/>
                <w:iCs/>
                <w:color w:val="000000"/>
                <w:w w:val="15"/>
                <w:sz w:val="20"/>
                <w:shd w:val="solid" w:color="000000" w:fill="000000"/>
                <w:fitText w:val="69" w:id="-1437332476"/>
                <w14:textFill>
                  <w14:solidFill>
                    <w14:srgbClr w14:val="000000">
                      <w14:alpha w14:val="100000"/>
                    </w14:srgbClr>
                  </w14:solidFill>
                </w14:textFill>
              </w:rPr>
              <w:t xml:space="preserve">　</w:t>
            </w:r>
            <w:r w:rsidR="00AE3E5D" w:rsidRPr="00AE3E5D">
              <w:rPr>
                <w:rFonts w:ascii="Arial Narrow" w:hAnsi="Arial Narrow"/>
                <w:iCs/>
                <w:color w:val="000000"/>
                <w:w w:val="15"/>
                <w:sz w:val="20"/>
                <w:shd w:val="solid" w:color="000000" w:fill="000000"/>
                <w:fitText w:val="69" w:id="-1437332476"/>
                <w14:textFill>
                  <w14:solidFill>
                    <w14:srgbClr w14:val="000000">
                      <w14:alpha w14:val="100000"/>
                    </w14:srgbClr>
                  </w14:solidFill>
                </w14:textFill>
              </w:rPr>
              <w:t>|</w:t>
            </w:r>
            <w:r w:rsidR="00AE3E5D" w:rsidRPr="00AE3E5D">
              <w:rPr>
                <w:rFonts w:ascii="Arial Narrow" w:hAnsi="Arial Narrow" w:hint="eastAsia"/>
                <w:iCs/>
                <w:color w:val="000000"/>
                <w:spacing w:val="3"/>
                <w:w w:val="15"/>
                <w:sz w:val="20"/>
                <w:shd w:val="solid" w:color="000000" w:fill="000000"/>
                <w:fitText w:val="69" w:id="-1437332476"/>
                <w14:textFill>
                  <w14:solidFill>
                    <w14:srgbClr w14:val="000000">
                      <w14:alpha w14:val="100000"/>
                    </w14:srgbClr>
                  </w14:solidFill>
                </w14:textFill>
              </w:rPr>
              <w:t xml:space="preserve">　</w:t>
            </w:r>
          </w:p>
        </w:tc>
      </w:tr>
      <w:tr w:rsidR="002056CD" w:rsidRPr="007031F8" w14:paraId="52A7CE7F" w14:textId="77777777" w:rsidTr="006B0BCC">
        <w:tc>
          <w:tcPr>
            <w:tcW w:w="2905" w:type="pct"/>
          </w:tcPr>
          <w:p w14:paraId="2A6E1083" w14:textId="77777777" w:rsidR="002056CD" w:rsidRPr="007031F8" w:rsidRDefault="002056CD" w:rsidP="006B0BCC">
            <w:pPr>
              <w:keepNext/>
              <w:rPr>
                <w:rFonts w:ascii="Arial Narrow" w:hAnsi="Arial Narrow"/>
                <w:iCs/>
                <w:sz w:val="20"/>
              </w:rPr>
            </w:pPr>
            <w:r w:rsidRPr="007031F8">
              <w:rPr>
                <w:rFonts w:ascii="Arial Narrow" w:hAnsi="Arial Narrow"/>
                <w:b/>
                <w:iCs/>
                <w:sz w:val="20"/>
              </w:rPr>
              <w:t>Step 5:</w:t>
            </w:r>
            <w:r w:rsidRPr="007031F8">
              <w:rPr>
                <w:rFonts w:ascii="Arial Narrow" w:hAnsi="Arial Narrow"/>
                <w:iCs/>
                <w:sz w:val="20"/>
              </w:rPr>
              <w:t xml:space="preserve"> Step 4 + No predictive effect for chemotherapy benefit by EPclin score (Analysis #6). </w:t>
            </w:r>
            <w:r w:rsidRPr="007031F8">
              <w:rPr>
                <w:rFonts w:ascii="Arial Narrow" w:hAnsi="Arial Narrow"/>
                <w:b/>
                <w:iCs/>
                <w:sz w:val="20"/>
              </w:rPr>
              <w:t>This is the respecified base case</w:t>
            </w:r>
            <w:r w:rsidRPr="007031F8">
              <w:rPr>
                <w:rFonts w:ascii="Arial Narrow" w:hAnsi="Arial Narrow"/>
                <w:iCs/>
                <w:sz w:val="20"/>
              </w:rPr>
              <w:t>.</w:t>
            </w:r>
          </w:p>
        </w:tc>
        <w:tc>
          <w:tcPr>
            <w:tcW w:w="698" w:type="pct"/>
          </w:tcPr>
          <w:p w14:paraId="5B7C321A" w14:textId="4BF9D322" w:rsidR="002056CD" w:rsidRPr="00C40D0C" w:rsidRDefault="002056CD" w:rsidP="006B0BCC">
            <w:pPr>
              <w:keepNext/>
              <w:jc w:val="center"/>
              <w:rPr>
                <w:rFonts w:ascii="Arial Narrow" w:hAnsi="Arial Narrow"/>
                <w:b/>
                <w:iCs/>
                <w:sz w:val="20"/>
              </w:rPr>
            </w:pPr>
            <w:r w:rsidRPr="00C40D0C">
              <w:rPr>
                <w:rFonts w:ascii="Arial Narrow" w:hAnsi="Arial Narrow"/>
                <w:b/>
                <w:iCs/>
                <w:sz w:val="20"/>
              </w:rPr>
              <w:t>$</w:t>
            </w:r>
            <w:r w:rsidR="00AE3E5D" w:rsidRPr="00AE3E5D">
              <w:rPr>
                <w:rFonts w:ascii="Arial Narrow" w:hAnsi="Arial Narrow" w:hint="eastAsia"/>
                <w:b/>
                <w:iCs/>
                <w:color w:val="000000"/>
                <w:w w:val="27"/>
                <w:sz w:val="20"/>
                <w:shd w:val="solid" w:color="000000" w:fill="000000"/>
                <w:fitText w:val="124" w:id="-1437332475"/>
                <w14:textFill>
                  <w14:solidFill>
                    <w14:srgbClr w14:val="000000">
                      <w14:alpha w14:val="100000"/>
                    </w14:srgbClr>
                  </w14:solidFill>
                </w14:textFill>
              </w:rPr>
              <w:t xml:space="preserve">　</w:t>
            </w:r>
            <w:r w:rsidR="00AE3E5D" w:rsidRPr="00AE3E5D">
              <w:rPr>
                <w:rFonts w:ascii="Arial Narrow" w:hAnsi="Arial Narrow"/>
                <w:b/>
                <w:iCs/>
                <w:color w:val="000000"/>
                <w:w w:val="27"/>
                <w:sz w:val="20"/>
                <w:shd w:val="solid" w:color="000000" w:fill="000000"/>
                <w:fitText w:val="124" w:id="-1437332475"/>
                <w14:textFill>
                  <w14:solidFill>
                    <w14:srgbClr w14:val="000000">
                      <w14:alpha w14:val="100000"/>
                    </w14:srgbClr>
                  </w14:solidFill>
                </w14:textFill>
              </w:rPr>
              <w:t>|</w:t>
            </w:r>
            <w:r w:rsidR="00AE3E5D" w:rsidRPr="00AE3E5D">
              <w:rPr>
                <w:rFonts w:ascii="Arial Narrow" w:hAnsi="Arial Narrow" w:hint="eastAsia"/>
                <w:b/>
                <w:iCs/>
                <w:color w:val="000000"/>
                <w:spacing w:val="5"/>
                <w:w w:val="27"/>
                <w:sz w:val="20"/>
                <w:shd w:val="solid" w:color="000000" w:fill="000000"/>
                <w:fitText w:val="124" w:id="-1437332475"/>
                <w14:textFill>
                  <w14:solidFill>
                    <w14:srgbClr w14:val="000000">
                      <w14:alpha w14:val="100000"/>
                    </w14:srgbClr>
                  </w14:solidFill>
                </w14:textFill>
              </w:rPr>
              <w:t xml:space="preserve">　</w:t>
            </w:r>
          </w:p>
        </w:tc>
        <w:tc>
          <w:tcPr>
            <w:tcW w:w="698" w:type="pct"/>
          </w:tcPr>
          <w:p w14:paraId="469B03D9" w14:textId="77777777" w:rsidR="002056CD" w:rsidRPr="00C40D0C" w:rsidRDefault="002056CD" w:rsidP="006B0BCC">
            <w:pPr>
              <w:keepNext/>
              <w:jc w:val="center"/>
              <w:rPr>
                <w:rFonts w:ascii="Arial Narrow" w:hAnsi="Arial Narrow"/>
                <w:b/>
                <w:iCs/>
                <w:sz w:val="20"/>
              </w:rPr>
            </w:pPr>
            <w:r w:rsidRPr="00C40D0C">
              <w:rPr>
                <w:rFonts w:ascii="Arial Narrow" w:hAnsi="Arial Narrow"/>
                <w:b/>
                <w:iCs/>
                <w:sz w:val="20"/>
              </w:rPr>
              <w:t>0.010</w:t>
            </w:r>
          </w:p>
        </w:tc>
        <w:tc>
          <w:tcPr>
            <w:tcW w:w="698" w:type="pct"/>
          </w:tcPr>
          <w:p w14:paraId="43EF694F" w14:textId="7AD1330E" w:rsidR="002056CD" w:rsidRPr="00C40D0C" w:rsidRDefault="002056CD" w:rsidP="006B0BCC">
            <w:pPr>
              <w:keepNext/>
              <w:jc w:val="center"/>
              <w:rPr>
                <w:rFonts w:ascii="Arial Narrow" w:hAnsi="Arial Narrow"/>
                <w:b/>
                <w:iCs/>
                <w:sz w:val="20"/>
              </w:rPr>
            </w:pPr>
            <w:r w:rsidRPr="00C40D0C">
              <w:rPr>
                <w:rFonts w:ascii="Arial Narrow" w:hAnsi="Arial Narrow"/>
                <w:b/>
                <w:iCs/>
                <w:sz w:val="20"/>
              </w:rPr>
              <w:t>$</w:t>
            </w:r>
            <w:r w:rsidR="00AE3E5D" w:rsidRPr="00AE3E5D">
              <w:rPr>
                <w:rFonts w:ascii="Arial Narrow" w:hAnsi="Arial Narrow" w:hint="eastAsia"/>
                <w:b/>
                <w:iCs/>
                <w:color w:val="000000"/>
                <w:w w:val="27"/>
                <w:sz w:val="20"/>
                <w:shd w:val="solid" w:color="000000" w:fill="000000"/>
                <w:fitText w:val="124" w:id="-1437332474"/>
                <w14:textFill>
                  <w14:solidFill>
                    <w14:srgbClr w14:val="000000">
                      <w14:alpha w14:val="100000"/>
                    </w14:srgbClr>
                  </w14:solidFill>
                </w14:textFill>
              </w:rPr>
              <w:t xml:space="preserve">　</w:t>
            </w:r>
            <w:r w:rsidR="00AE3E5D" w:rsidRPr="00AE3E5D">
              <w:rPr>
                <w:rFonts w:ascii="Arial Narrow" w:hAnsi="Arial Narrow"/>
                <w:b/>
                <w:iCs/>
                <w:color w:val="000000"/>
                <w:w w:val="27"/>
                <w:sz w:val="20"/>
                <w:shd w:val="solid" w:color="000000" w:fill="000000"/>
                <w:fitText w:val="124" w:id="-1437332474"/>
                <w14:textFill>
                  <w14:solidFill>
                    <w14:srgbClr w14:val="000000">
                      <w14:alpha w14:val="100000"/>
                    </w14:srgbClr>
                  </w14:solidFill>
                </w14:textFill>
              </w:rPr>
              <w:t>|</w:t>
            </w:r>
            <w:r w:rsidR="00AE3E5D" w:rsidRPr="00AE3E5D">
              <w:rPr>
                <w:rFonts w:ascii="Arial Narrow" w:hAnsi="Arial Narrow" w:hint="eastAsia"/>
                <w:b/>
                <w:iCs/>
                <w:color w:val="000000"/>
                <w:spacing w:val="5"/>
                <w:w w:val="27"/>
                <w:sz w:val="20"/>
                <w:shd w:val="solid" w:color="000000" w:fill="000000"/>
                <w:fitText w:val="124" w:id="-1437332474"/>
                <w14:textFill>
                  <w14:solidFill>
                    <w14:srgbClr w14:val="000000">
                      <w14:alpha w14:val="100000"/>
                    </w14:srgbClr>
                  </w14:solidFill>
                </w14:textFill>
              </w:rPr>
              <w:t xml:space="preserve">　</w:t>
            </w:r>
          </w:p>
        </w:tc>
      </w:tr>
    </w:tbl>
    <w:p w14:paraId="5500C43C" w14:textId="7122CBD8" w:rsidR="002056CD" w:rsidRPr="00C227CD" w:rsidRDefault="002056CD" w:rsidP="002056CD">
      <w:pPr>
        <w:keepLines/>
        <w:spacing w:after="360" w:line="240" w:lineRule="auto"/>
        <w:contextualSpacing/>
        <w:rPr>
          <w:rFonts w:ascii="Arial Narrow" w:eastAsia="Times New Roman" w:hAnsi="Arial Narrow" w:cs="Times New Roman"/>
          <w:color w:val="000000"/>
          <w:sz w:val="18"/>
          <w:szCs w:val="18"/>
          <w:lang w:eastAsia="en-AU"/>
        </w:rPr>
      </w:pPr>
      <w:r w:rsidRPr="00C227CD">
        <w:rPr>
          <w:rFonts w:ascii="Arial Narrow" w:eastAsia="Times New Roman" w:hAnsi="Arial Narrow" w:cs="Times New Roman"/>
          <w:color w:val="000000"/>
          <w:sz w:val="18"/>
          <w:szCs w:val="18"/>
          <w:vertAlign w:val="superscript"/>
          <w:lang w:eastAsia="en-AU"/>
        </w:rPr>
        <w:t>a</w:t>
      </w:r>
      <w:r w:rsidRPr="00C227CD">
        <w:rPr>
          <w:rFonts w:ascii="Arial Narrow" w:eastAsia="Times New Roman" w:hAnsi="Arial Narrow" w:cs="Times New Roman"/>
          <w:color w:val="000000"/>
          <w:sz w:val="18"/>
          <w:szCs w:val="18"/>
          <w:lang w:eastAsia="en-AU"/>
        </w:rPr>
        <w:t xml:space="preserve"> Sestak I, Martin M, Dubsky P, Kronenwett R, Rojo F, Cuzick J, et al. Prediction of chemotherapy benefit by EndoPredict in patients with breast cancer who received adjuvant endocrine therapy plus chemotherapy or endocrine therapy alone. Breast Cancer Res Treat. 2019 Jul;176(2):377-86.</w:t>
      </w:r>
    </w:p>
    <w:p w14:paraId="197515AE" w14:textId="77777777" w:rsidR="002056CD" w:rsidRDefault="002056CD" w:rsidP="0017008B">
      <w:pPr>
        <w:keepLines/>
        <w:spacing w:after="0" w:line="240" w:lineRule="auto"/>
        <w:rPr>
          <w:rFonts w:ascii="Arial Narrow" w:eastAsia="Times New Roman" w:hAnsi="Arial Narrow" w:cs="Times New Roman"/>
          <w:color w:val="000000"/>
          <w:sz w:val="18"/>
          <w:szCs w:val="18"/>
          <w:lang w:eastAsia="en-AU"/>
        </w:rPr>
      </w:pPr>
      <w:r w:rsidRPr="00C227CD">
        <w:rPr>
          <w:rFonts w:ascii="Arial Narrow" w:eastAsia="Times New Roman" w:hAnsi="Arial Narrow" w:cs="Times New Roman"/>
          <w:color w:val="000000"/>
          <w:sz w:val="18"/>
          <w:szCs w:val="18"/>
          <w:vertAlign w:val="superscript"/>
          <w:lang w:eastAsia="en-AU"/>
        </w:rPr>
        <w:t>b</w:t>
      </w:r>
      <w:r w:rsidRPr="00C227CD">
        <w:rPr>
          <w:rFonts w:ascii="Arial Narrow" w:eastAsia="Times New Roman" w:hAnsi="Arial Narrow" w:cs="Times New Roman"/>
          <w:color w:val="000000"/>
          <w:sz w:val="18"/>
          <w:szCs w:val="18"/>
          <w:lang w:eastAsia="en-AU"/>
        </w:rPr>
        <w:t xml:space="preserve"> Lidgren M, Wilking N, Jonsson B, Rehnberg C. Health related quality of life in different states of breast cancer. Qual Life Res. 2007 Aug;16(6):1073-81.</w:t>
      </w:r>
    </w:p>
    <w:p w14:paraId="35E5107C" w14:textId="77777777" w:rsidR="0017008B" w:rsidRPr="003F20EB" w:rsidRDefault="0017008B" w:rsidP="0017008B">
      <w:pPr>
        <w:keepLines/>
        <w:spacing w:after="360" w:line="240" w:lineRule="auto"/>
        <w:contextualSpacing/>
        <w:rPr>
          <w:rFonts w:ascii="Arial Narrow" w:eastAsia="Times New Roman" w:hAnsi="Arial Narrow" w:cs="Times New Roman"/>
          <w:iCs/>
          <w:sz w:val="18"/>
          <w:szCs w:val="18"/>
          <w:lang w:eastAsia="en-AU"/>
        </w:rPr>
      </w:pPr>
      <w:bookmarkStart w:id="64" w:name="_Ref102133305"/>
      <w:r w:rsidRPr="003F20EB">
        <w:rPr>
          <w:rFonts w:ascii="Arial Narrow" w:eastAsia="Times New Roman" w:hAnsi="Arial Narrow" w:cs="Times New Roman"/>
          <w:iCs/>
          <w:sz w:val="18"/>
          <w:szCs w:val="18"/>
          <w:lang w:eastAsia="en-AU"/>
        </w:rPr>
        <w:t>ICER = incremental cost-effectiveness; QALY = quality-adjusted life year.</w:t>
      </w:r>
    </w:p>
    <w:p w14:paraId="49316F30" w14:textId="77777777" w:rsidR="0017008B" w:rsidRPr="003F20EB" w:rsidRDefault="0017008B" w:rsidP="0017008B">
      <w:pPr>
        <w:keepLines/>
        <w:spacing w:after="240" w:line="240" w:lineRule="auto"/>
        <w:rPr>
          <w:rFonts w:ascii="Arial Narrow" w:eastAsia="Times New Roman" w:hAnsi="Arial Narrow" w:cs="Times New Roman"/>
          <w:iCs/>
          <w:sz w:val="18"/>
          <w:szCs w:val="18"/>
          <w:lang w:eastAsia="en-AU"/>
        </w:rPr>
      </w:pPr>
      <w:r w:rsidRPr="003F20EB">
        <w:rPr>
          <w:rFonts w:ascii="Arial Narrow" w:eastAsia="Times New Roman" w:hAnsi="Arial Narrow" w:cs="Times New Roman"/>
          <w:iCs/>
          <w:sz w:val="18"/>
          <w:szCs w:val="18"/>
          <w:lang w:eastAsia="en-AU"/>
        </w:rPr>
        <w:t xml:space="preserve">Source: Constructed during the evaluation using the ‘Attachment 4_MSAC EndoPredict Economic </w:t>
      </w:r>
      <w:proofErr w:type="gramStart"/>
      <w:r w:rsidRPr="003F20EB">
        <w:rPr>
          <w:rFonts w:ascii="Arial Narrow" w:eastAsia="Times New Roman" w:hAnsi="Arial Narrow" w:cs="Times New Roman"/>
          <w:iCs/>
          <w:sz w:val="18"/>
          <w:szCs w:val="18"/>
          <w:lang w:eastAsia="en-AU"/>
        </w:rPr>
        <w:t>model.trex</w:t>
      </w:r>
      <w:proofErr w:type="gramEnd"/>
      <w:r w:rsidRPr="003F20EB">
        <w:rPr>
          <w:rFonts w:ascii="Arial Narrow" w:eastAsia="Times New Roman" w:hAnsi="Arial Narrow" w:cs="Times New Roman"/>
          <w:iCs/>
          <w:sz w:val="18"/>
          <w:szCs w:val="18"/>
          <w:lang w:eastAsia="en-AU"/>
        </w:rPr>
        <w:t xml:space="preserve">’ file included in the 1408.1 </w:t>
      </w:r>
      <w:r>
        <w:rPr>
          <w:rFonts w:ascii="Arial Narrow" w:eastAsia="Times New Roman" w:hAnsi="Arial Narrow" w:cs="Times New Roman"/>
          <w:iCs/>
          <w:sz w:val="18"/>
          <w:szCs w:val="18"/>
          <w:lang w:eastAsia="en-AU"/>
        </w:rPr>
        <w:t>re-application</w:t>
      </w:r>
      <w:r w:rsidRPr="003F20EB">
        <w:rPr>
          <w:rFonts w:ascii="Arial Narrow" w:eastAsia="Times New Roman" w:hAnsi="Arial Narrow" w:cs="Times New Roman"/>
          <w:iCs/>
          <w:sz w:val="18"/>
          <w:szCs w:val="18"/>
          <w:lang w:eastAsia="en-AU"/>
        </w:rPr>
        <w:t>.</w:t>
      </w:r>
    </w:p>
    <w:p w14:paraId="5CC21810" w14:textId="3D018017" w:rsidR="006A6F7A" w:rsidRPr="003F20EB" w:rsidRDefault="006A6F7A" w:rsidP="0017008B">
      <w:pPr>
        <w:keepNext/>
        <w:spacing w:before="240" w:after="120" w:line="240" w:lineRule="auto"/>
        <w:rPr>
          <w:rFonts w:ascii="Arial Narrow" w:eastAsia="Times New Roman" w:hAnsi="Arial Narrow" w:cs="Times New Roman"/>
          <w:b/>
          <w:bCs/>
          <w:iCs/>
          <w:sz w:val="20"/>
          <w:szCs w:val="20"/>
        </w:rPr>
      </w:pPr>
      <w:r w:rsidRPr="003F20EB">
        <w:rPr>
          <w:rFonts w:ascii="Arial Narrow" w:eastAsia="Times New Roman" w:hAnsi="Arial Narrow" w:cs="Times New Roman"/>
          <w:b/>
          <w:bCs/>
          <w:iCs/>
          <w:sz w:val="20"/>
          <w:szCs w:val="20"/>
        </w:rPr>
        <w:t xml:space="preserve">Table </w:t>
      </w:r>
      <w:r w:rsidRPr="003F20EB">
        <w:rPr>
          <w:rFonts w:ascii="Arial Narrow" w:eastAsia="Times New Roman" w:hAnsi="Arial Narrow" w:cs="Times New Roman"/>
          <w:b/>
          <w:bCs/>
          <w:iCs/>
          <w:sz w:val="20"/>
          <w:szCs w:val="20"/>
        </w:rPr>
        <w:fldChar w:fldCharType="begin"/>
      </w:r>
      <w:r w:rsidRPr="003F20EB">
        <w:rPr>
          <w:rFonts w:ascii="Arial Narrow" w:eastAsia="Times New Roman" w:hAnsi="Arial Narrow" w:cs="Times New Roman"/>
          <w:b/>
          <w:bCs/>
          <w:iCs/>
          <w:sz w:val="20"/>
          <w:szCs w:val="20"/>
        </w:rPr>
        <w:instrText xml:space="preserve"> SEQ Table \* ARABIC </w:instrText>
      </w:r>
      <w:r w:rsidRPr="003F20EB">
        <w:rPr>
          <w:rFonts w:ascii="Arial Narrow" w:eastAsia="Times New Roman" w:hAnsi="Arial Narrow" w:cs="Times New Roman"/>
          <w:b/>
          <w:bCs/>
          <w:iCs/>
          <w:sz w:val="20"/>
          <w:szCs w:val="20"/>
        </w:rPr>
        <w:fldChar w:fldCharType="separate"/>
      </w:r>
      <w:r w:rsidR="00943826">
        <w:rPr>
          <w:rFonts w:ascii="Arial Narrow" w:eastAsia="Times New Roman" w:hAnsi="Arial Narrow" w:cs="Times New Roman"/>
          <w:b/>
          <w:bCs/>
          <w:iCs/>
          <w:noProof/>
          <w:sz w:val="20"/>
          <w:szCs w:val="20"/>
        </w:rPr>
        <w:t>17</w:t>
      </w:r>
      <w:r w:rsidRPr="003F20EB">
        <w:rPr>
          <w:rFonts w:ascii="Arial Narrow" w:eastAsia="Times New Roman" w:hAnsi="Arial Narrow" w:cs="Times New Roman"/>
          <w:b/>
          <w:bCs/>
          <w:iCs/>
          <w:sz w:val="20"/>
          <w:szCs w:val="20"/>
        </w:rPr>
        <w:fldChar w:fldCharType="end"/>
      </w:r>
      <w:bookmarkEnd w:id="64"/>
      <w:r w:rsidRPr="003F20EB">
        <w:rPr>
          <w:rFonts w:ascii="Arial Narrow" w:eastAsia="Times New Roman" w:hAnsi="Arial Narrow" w:cs="Times New Roman"/>
          <w:b/>
          <w:bCs/>
          <w:iCs/>
          <w:sz w:val="20"/>
          <w:szCs w:val="20"/>
        </w:rPr>
        <w:t>: Disaggregated cost and outcomes, respecified base case analysis</w:t>
      </w:r>
    </w:p>
    <w:tbl>
      <w:tblPr>
        <w:tblStyle w:val="TableGrid"/>
        <w:tblW w:w="0" w:type="auto"/>
        <w:tblLook w:val="04A0" w:firstRow="1" w:lastRow="0" w:firstColumn="1" w:lastColumn="0" w:noHBand="0" w:noVBand="1"/>
      </w:tblPr>
      <w:tblGrid>
        <w:gridCol w:w="3114"/>
        <w:gridCol w:w="1967"/>
        <w:gridCol w:w="1967"/>
        <w:gridCol w:w="1968"/>
      </w:tblGrid>
      <w:tr w:rsidR="006A6F7A" w:rsidRPr="007031F8" w14:paraId="5DA10507" w14:textId="77777777" w:rsidTr="00B50853">
        <w:trPr>
          <w:cnfStyle w:val="100000000000" w:firstRow="1" w:lastRow="0" w:firstColumn="0" w:lastColumn="0" w:oddVBand="0" w:evenVBand="0" w:oddHBand="0" w:evenHBand="0" w:firstRowFirstColumn="0" w:firstRowLastColumn="0" w:lastRowFirstColumn="0" w:lastRowLastColumn="0"/>
        </w:trPr>
        <w:tc>
          <w:tcPr>
            <w:tcW w:w="3114" w:type="dxa"/>
            <w:tcBorders>
              <w:bottom w:val="single" w:sz="4" w:space="0" w:color="auto"/>
            </w:tcBorders>
          </w:tcPr>
          <w:p w14:paraId="1D22043E" w14:textId="77777777" w:rsidR="006A6F7A" w:rsidRPr="007031F8" w:rsidRDefault="006A6F7A" w:rsidP="00B50853">
            <w:pPr>
              <w:keepNext/>
              <w:keepLines/>
              <w:spacing w:before="40" w:after="40"/>
              <w:jc w:val="both"/>
              <w:rPr>
                <w:rFonts w:ascii="Arial Narrow" w:hAnsi="Arial Narrow"/>
                <w:iCs/>
                <w:lang w:eastAsia="en-AU"/>
              </w:rPr>
            </w:pPr>
          </w:p>
        </w:tc>
        <w:tc>
          <w:tcPr>
            <w:tcW w:w="1967" w:type="dxa"/>
            <w:tcBorders>
              <w:bottom w:val="single" w:sz="4" w:space="0" w:color="auto"/>
            </w:tcBorders>
            <w:vAlign w:val="top"/>
          </w:tcPr>
          <w:p w14:paraId="3D097D9D" w14:textId="4E45D16E" w:rsidR="006A6F7A" w:rsidRPr="007031F8" w:rsidRDefault="00D50E5C" w:rsidP="00B50853">
            <w:pPr>
              <w:keepNext/>
              <w:keepLines/>
              <w:spacing w:before="40" w:after="40"/>
              <w:jc w:val="center"/>
              <w:rPr>
                <w:rFonts w:ascii="Arial Narrow" w:hAnsi="Arial Narrow"/>
                <w:iCs/>
                <w:lang w:eastAsia="en-AU"/>
              </w:rPr>
            </w:pPr>
            <w:r w:rsidRPr="007031F8">
              <w:rPr>
                <w:rFonts w:ascii="Arial Narrow" w:hAnsi="Arial Narrow"/>
                <w:iCs/>
                <w:lang w:eastAsia="en-AU"/>
              </w:rPr>
              <w:t>EndoPredict</w:t>
            </w:r>
            <w:r w:rsidR="005F1260" w:rsidRPr="005F1260">
              <w:rPr>
                <w:rFonts w:ascii="Arial Narrow" w:hAnsi="Arial Narrow"/>
                <w:iCs/>
                <w:vertAlign w:val="superscript"/>
                <w:lang w:eastAsia="en-AU"/>
              </w:rPr>
              <w:t>®</w:t>
            </w:r>
          </w:p>
        </w:tc>
        <w:tc>
          <w:tcPr>
            <w:tcW w:w="1967" w:type="dxa"/>
            <w:tcBorders>
              <w:bottom w:val="single" w:sz="4" w:space="0" w:color="auto"/>
            </w:tcBorders>
            <w:vAlign w:val="top"/>
          </w:tcPr>
          <w:p w14:paraId="3024C7A1" w14:textId="77777777" w:rsidR="006A6F7A" w:rsidRPr="007031F8" w:rsidRDefault="006A6F7A" w:rsidP="00B50853">
            <w:pPr>
              <w:keepNext/>
              <w:keepLines/>
              <w:spacing w:before="40" w:after="40"/>
              <w:jc w:val="center"/>
              <w:rPr>
                <w:rFonts w:ascii="Arial Narrow" w:hAnsi="Arial Narrow"/>
                <w:iCs/>
                <w:lang w:eastAsia="en-AU"/>
              </w:rPr>
            </w:pPr>
            <w:r w:rsidRPr="007031F8">
              <w:rPr>
                <w:rFonts w:ascii="Arial Narrow" w:hAnsi="Arial Narrow"/>
                <w:iCs/>
                <w:lang w:eastAsia="en-AU"/>
              </w:rPr>
              <w:t>MDT</w:t>
            </w:r>
          </w:p>
        </w:tc>
        <w:tc>
          <w:tcPr>
            <w:tcW w:w="1968" w:type="dxa"/>
            <w:tcBorders>
              <w:bottom w:val="single" w:sz="4" w:space="0" w:color="auto"/>
            </w:tcBorders>
            <w:vAlign w:val="top"/>
          </w:tcPr>
          <w:p w14:paraId="0E0B2BEE" w14:textId="77777777" w:rsidR="006A6F7A" w:rsidRPr="007031F8" w:rsidRDefault="006A6F7A" w:rsidP="00B50853">
            <w:pPr>
              <w:keepNext/>
              <w:keepLines/>
              <w:spacing w:before="40" w:after="40"/>
              <w:jc w:val="center"/>
              <w:rPr>
                <w:rFonts w:ascii="Arial Narrow" w:hAnsi="Arial Narrow"/>
                <w:iCs/>
                <w:lang w:eastAsia="en-AU"/>
              </w:rPr>
            </w:pPr>
            <w:r w:rsidRPr="007031F8">
              <w:rPr>
                <w:rFonts w:ascii="Arial Narrow" w:hAnsi="Arial Narrow"/>
                <w:iCs/>
                <w:lang w:eastAsia="en-AU"/>
              </w:rPr>
              <w:t>Increment</w:t>
            </w:r>
          </w:p>
        </w:tc>
      </w:tr>
      <w:tr w:rsidR="006A6F7A" w:rsidRPr="007031F8" w14:paraId="2B6A9917" w14:textId="77777777" w:rsidTr="00AE3E5D">
        <w:tc>
          <w:tcPr>
            <w:tcW w:w="3114" w:type="dxa"/>
            <w:tcBorders>
              <w:bottom w:val="single" w:sz="4" w:space="0" w:color="auto"/>
              <w:right w:val="nil"/>
            </w:tcBorders>
            <w:vAlign w:val="top"/>
          </w:tcPr>
          <w:p w14:paraId="054AC6E5" w14:textId="77777777" w:rsidR="006A6F7A" w:rsidRPr="007031F8" w:rsidRDefault="006A6F7A" w:rsidP="00B50853">
            <w:pPr>
              <w:rPr>
                <w:b/>
                <w:iCs/>
                <w:lang w:eastAsia="en-AU"/>
              </w:rPr>
            </w:pPr>
            <w:r w:rsidRPr="007031F8">
              <w:rPr>
                <w:b/>
                <w:iCs/>
                <w:lang w:eastAsia="en-AU"/>
              </w:rPr>
              <w:t>Disaggregated costs</w:t>
            </w:r>
          </w:p>
        </w:tc>
        <w:tc>
          <w:tcPr>
            <w:tcW w:w="1967" w:type="dxa"/>
            <w:tcBorders>
              <w:left w:val="nil"/>
              <w:bottom w:val="single" w:sz="4" w:space="0" w:color="auto"/>
              <w:right w:val="nil"/>
            </w:tcBorders>
            <w:vAlign w:val="top"/>
          </w:tcPr>
          <w:p w14:paraId="20BD0181" w14:textId="77777777" w:rsidR="006A6F7A" w:rsidRPr="007031F8" w:rsidRDefault="006A6F7A" w:rsidP="00B50853">
            <w:pPr>
              <w:jc w:val="right"/>
              <w:rPr>
                <w:b/>
                <w:iCs/>
              </w:rPr>
            </w:pPr>
          </w:p>
        </w:tc>
        <w:tc>
          <w:tcPr>
            <w:tcW w:w="1967" w:type="dxa"/>
            <w:tcBorders>
              <w:left w:val="nil"/>
              <w:bottom w:val="single" w:sz="4" w:space="0" w:color="auto"/>
              <w:right w:val="nil"/>
            </w:tcBorders>
            <w:vAlign w:val="top"/>
          </w:tcPr>
          <w:p w14:paraId="0DEF8231" w14:textId="77777777" w:rsidR="006A6F7A" w:rsidRPr="007031F8" w:rsidRDefault="006A6F7A" w:rsidP="00B50853">
            <w:pPr>
              <w:jc w:val="right"/>
              <w:rPr>
                <w:b/>
                <w:iCs/>
              </w:rPr>
            </w:pPr>
          </w:p>
        </w:tc>
        <w:tc>
          <w:tcPr>
            <w:tcW w:w="1968" w:type="dxa"/>
            <w:tcBorders>
              <w:left w:val="nil"/>
              <w:bottom w:val="single" w:sz="4" w:space="0" w:color="auto"/>
            </w:tcBorders>
            <w:vAlign w:val="top"/>
          </w:tcPr>
          <w:p w14:paraId="38623A7D" w14:textId="77777777" w:rsidR="006A6F7A" w:rsidRPr="007031F8" w:rsidRDefault="006A6F7A" w:rsidP="00B50853">
            <w:pPr>
              <w:jc w:val="right"/>
              <w:rPr>
                <w:b/>
                <w:iCs/>
              </w:rPr>
            </w:pPr>
          </w:p>
        </w:tc>
      </w:tr>
      <w:tr w:rsidR="00654E69" w:rsidRPr="007031F8" w14:paraId="5BEC6616" w14:textId="77777777" w:rsidTr="00AE3E5D">
        <w:tc>
          <w:tcPr>
            <w:tcW w:w="3114" w:type="dxa"/>
            <w:tcBorders>
              <w:top w:val="single" w:sz="4" w:space="0" w:color="auto"/>
              <w:bottom w:val="nil"/>
            </w:tcBorders>
            <w:vAlign w:val="top"/>
          </w:tcPr>
          <w:p w14:paraId="337FCC5E" w14:textId="678053A8" w:rsidR="00654E69" w:rsidRPr="007031F8" w:rsidRDefault="00654E69" w:rsidP="00654E69">
            <w:pPr>
              <w:rPr>
                <w:iCs/>
                <w:lang w:eastAsia="en-AU"/>
              </w:rPr>
            </w:pPr>
            <w:r w:rsidRPr="007031F8">
              <w:rPr>
                <w:iCs/>
                <w:lang w:eastAsia="en-AU"/>
              </w:rPr>
              <w:t>EndoPredict</w:t>
            </w:r>
            <w:r w:rsidRPr="005F1260">
              <w:rPr>
                <w:iCs/>
                <w:vertAlign w:val="superscript"/>
                <w:lang w:eastAsia="en-AU"/>
              </w:rPr>
              <w:t>®</w:t>
            </w:r>
          </w:p>
        </w:tc>
        <w:tc>
          <w:tcPr>
            <w:tcW w:w="1967" w:type="dxa"/>
            <w:tcBorders>
              <w:top w:val="single" w:sz="4" w:space="0" w:color="auto"/>
              <w:bottom w:val="nil"/>
            </w:tcBorders>
            <w:vAlign w:val="top"/>
          </w:tcPr>
          <w:p w14:paraId="48CFF0CA" w14:textId="58F617C3" w:rsidR="00654E69" w:rsidRPr="00C40D0C" w:rsidRDefault="00654E69" w:rsidP="00654E69">
            <w:pPr>
              <w:jc w:val="right"/>
              <w:rPr>
                <w:iCs/>
              </w:rPr>
            </w:pPr>
            <w:r w:rsidRPr="00C40D0C">
              <w:rPr>
                <w:iCs/>
              </w:rPr>
              <w:t>$</w:t>
            </w:r>
            <w:r w:rsidR="00AE3E5D" w:rsidRPr="00AE3E5D">
              <w:rPr>
                <w:iCs/>
                <w:color w:val="000000"/>
                <w:shd w:val="solid" w:color="000000" w:fill="000000"/>
                <w14:textFill>
                  <w14:solidFill>
                    <w14:srgbClr w14:val="000000">
                      <w14:alpha w14:val="100000"/>
                    </w14:srgbClr>
                  </w14:solidFill>
                </w14:textFill>
              </w:rPr>
              <w:t>|</w:t>
            </w:r>
          </w:p>
        </w:tc>
        <w:tc>
          <w:tcPr>
            <w:tcW w:w="1967" w:type="dxa"/>
            <w:tcBorders>
              <w:top w:val="single" w:sz="4" w:space="0" w:color="auto"/>
              <w:bottom w:val="nil"/>
            </w:tcBorders>
            <w:vAlign w:val="top"/>
          </w:tcPr>
          <w:p w14:paraId="6C554986" w14:textId="77777777" w:rsidR="00654E69" w:rsidRPr="00C40D0C" w:rsidRDefault="00654E69" w:rsidP="00654E69">
            <w:pPr>
              <w:jc w:val="right"/>
              <w:rPr>
                <w:iCs/>
              </w:rPr>
            </w:pPr>
            <w:r w:rsidRPr="00C40D0C">
              <w:rPr>
                <w:iCs/>
              </w:rPr>
              <w:t>$0.00</w:t>
            </w:r>
          </w:p>
        </w:tc>
        <w:tc>
          <w:tcPr>
            <w:tcW w:w="1968" w:type="dxa"/>
            <w:tcBorders>
              <w:top w:val="single" w:sz="4" w:space="0" w:color="auto"/>
              <w:bottom w:val="nil"/>
            </w:tcBorders>
            <w:shd w:val="solid" w:color="000000" w:fill="000000"/>
            <w:vAlign w:val="top"/>
          </w:tcPr>
          <w:p w14:paraId="1EF29936" w14:textId="683FA588" w:rsidR="00654E69" w:rsidRPr="00C40D0C" w:rsidRDefault="00AE3E5D" w:rsidP="00654E69">
            <w:pPr>
              <w:jc w:val="right"/>
              <w:rPr>
                <w:iCs/>
                <w:highlight w:val="red"/>
              </w:rPr>
            </w:pPr>
            <w:r w:rsidRPr="00AE3E5D">
              <w:rPr>
                <w:iCs/>
                <w:color w:val="000000"/>
                <w14:textFill>
                  <w14:solidFill>
                    <w14:srgbClr w14:val="000000">
                      <w14:alpha w14:val="100000"/>
                    </w14:srgbClr>
                  </w14:solidFill>
                </w14:textFill>
              </w:rPr>
              <w:t>|</w:t>
            </w:r>
          </w:p>
        </w:tc>
      </w:tr>
      <w:tr w:rsidR="006A6F7A" w:rsidRPr="007031F8" w14:paraId="160773BE" w14:textId="77777777" w:rsidTr="00B50853">
        <w:tc>
          <w:tcPr>
            <w:tcW w:w="3114" w:type="dxa"/>
            <w:tcBorders>
              <w:top w:val="nil"/>
              <w:bottom w:val="nil"/>
            </w:tcBorders>
            <w:vAlign w:val="top"/>
          </w:tcPr>
          <w:p w14:paraId="1715400C" w14:textId="77777777" w:rsidR="006A6F7A" w:rsidRPr="007031F8" w:rsidRDefault="006A6F7A" w:rsidP="00B50853">
            <w:pPr>
              <w:rPr>
                <w:iCs/>
                <w:lang w:eastAsia="en-AU"/>
              </w:rPr>
            </w:pPr>
            <w:r w:rsidRPr="007031F8">
              <w:rPr>
                <w:iCs/>
                <w:lang w:eastAsia="en-AU"/>
              </w:rPr>
              <w:t>ET</w:t>
            </w:r>
          </w:p>
        </w:tc>
        <w:tc>
          <w:tcPr>
            <w:tcW w:w="1967" w:type="dxa"/>
            <w:tcBorders>
              <w:top w:val="nil"/>
              <w:bottom w:val="nil"/>
            </w:tcBorders>
            <w:vAlign w:val="top"/>
          </w:tcPr>
          <w:p w14:paraId="2546CEF9" w14:textId="77777777" w:rsidR="006A6F7A" w:rsidRPr="00C40D0C" w:rsidRDefault="006A6F7A" w:rsidP="00B50853">
            <w:pPr>
              <w:jc w:val="right"/>
              <w:rPr>
                <w:iCs/>
              </w:rPr>
            </w:pPr>
            <w:r w:rsidRPr="00C40D0C">
              <w:rPr>
                <w:iCs/>
              </w:rPr>
              <w:t>$751.41</w:t>
            </w:r>
          </w:p>
        </w:tc>
        <w:tc>
          <w:tcPr>
            <w:tcW w:w="1967" w:type="dxa"/>
            <w:tcBorders>
              <w:top w:val="nil"/>
              <w:bottom w:val="nil"/>
            </w:tcBorders>
            <w:vAlign w:val="top"/>
          </w:tcPr>
          <w:p w14:paraId="287EEC4B" w14:textId="77777777" w:rsidR="006A6F7A" w:rsidRPr="00C40D0C" w:rsidRDefault="006A6F7A" w:rsidP="00B50853">
            <w:pPr>
              <w:jc w:val="right"/>
              <w:rPr>
                <w:iCs/>
              </w:rPr>
            </w:pPr>
            <w:r w:rsidRPr="00C40D0C">
              <w:rPr>
                <w:iCs/>
              </w:rPr>
              <w:t>$751.49</w:t>
            </w:r>
          </w:p>
        </w:tc>
        <w:tc>
          <w:tcPr>
            <w:tcW w:w="1968" w:type="dxa"/>
            <w:tcBorders>
              <w:top w:val="nil"/>
              <w:bottom w:val="nil"/>
            </w:tcBorders>
            <w:vAlign w:val="top"/>
          </w:tcPr>
          <w:p w14:paraId="283BB7D0" w14:textId="77777777" w:rsidR="006A6F7A" w:rsidRPr="00C40D0C" w:rsidRDefault="006A6F7A" w:rsidP="00B50853">
            <w:pPr>
              <w:jc w:val="right"/>
              <w:rPr>
                <w:iCs/>
              </w:rPr>
            </w:pPr>
            <w:r w:rsidRPr="00C40D0C">
              <w:rPr>
                <w:iCs/>
              </w:rPr>
              <w:t>−$0.08</w:t>
            </w:r>
          </w:p>
        </w:tc>
      </w:tr>
      <w:tr w:rsidR="006A6F7A" w:rsidRPr="007031F8" w14:paraId="66194D2B" w14:textId="77777777" w:rsidTr="00B50853">
        <w:tc>
          <w:tcPr>
            <w:tcW w:w="3114" w:type="dxa"/>
            <w:tcBorders>
              <w:top w:val="nil"/>
              <w:bottom w:val="nil"/>
            </w:tcBorders>
            <w:vAlign w:val="top"/>
          </w:tcPr>
          <w:p w14:paraId="36EFF6F2" w14:textId="77777777" w:rsidR="006A6F7A" w:rsidRPr="007031F8" w:rsidRDefault="006A6F7A" w:rsidP="00B50853">
            <w:pPr>
              <w:rPr>
                <w:iCs/>
                <w:lang w:eastAsia="en-AU"/>
              </w:rPr>
            </w:pPr>
            <w:r w:rsidRPr="007031F8">
              <w:rPr>
                <w:iCs/>
                <w:lang w:eastAsia="en-AU"/>
              </w:rPr>
              <w:t>Adjuvant chemotherapy</w:t>
            </w:r>
          </w:p>
        </w:tc>
        <w:tc>
          <w:tcPr>
            <w:tcW w:w="1967" w:type="dxa"/>
            <w:tcBorders>
              <w:top w:val="nil"/>
              <w:bottom w:val="nil"/>
            </w:tcBorders>
            <w:vAlign w:val="top"/>
          </w:tcPr>
          <w:p w14:paraId="2EE18139" w14:textId="77777777" w:rsidR="006A6F7A" w:rsidRPr="00C40D0C" w:rsidRDefault="006A6F7A" w:rsidP="00B50853">
            <w:pPr>
              <w:jc w:val="right"/>
              <w:rPr>
                <w:iCs/>
              </w:rPr>
            </w:pPr>
            <w:r w:rsidRPr="00C40D0C">
              <w:rPr>
                <w:iCs/>
              </w:rPr>
              <w:t>$8,270.55</w:t>
            </w:r>
          </w:p>
        </w:tc>
        <w:tc>
          <w:tcPr>
            <w:tcW w:w="1967" w:type="dxa"/>
            <w:tcBorders>
              <w:top w:val="nil"/>
              <w:bottom w:val="nil"/>
            </w:tcBorders>
            <w:vAlign w:val="top"/>
          </w:tcPr>
          <w:p w14:paraId="1C274359" w14:textId="77777777" w:rsidR="006A6F7A" w:rsidRPr="00C40D0C" w:rsidRDefault="006A6F7A" w:rsidP="00B50853">
            <w:pPr>
              <w:jc w:val="right"/>
              <w:rPr>
                <w:iCs/>
              </w:rPr>
            </w:pPr>
            <w:r w:rsidRPr="00C40D0C">
              <w:rPr>
                <w:iCs/>
              </w:rPr>
              <w:t>$9,319.38</w:t>
            </w:r>
          </w:p>
        </w:tc>
        <w:tc>
          <w:tcPr>
            <w:tcW w:w="1968" w:type="dxa"/>
            <w:tcBorders>
              <w:top w:val="nil"/>
              <w:bottom w:val="nil"/>
            </w:tcBorders>
            <w:vAlign w:val="top"/>
          </w:tcPr>
          <w:p w14:paraId="294F666E" w14:textId="77777777" w:rsidR="006A6F7A" w:rsidRPr="00C40D0C" w:rsidRDefault="006A6F7A" w:rsidP="00B50853">
            <w:pPr>
              <w:jc w:val="right"/>
              <w:rPr>
                <w:iCs/>
              </w:rPr>
            </w:pPr>
            <w:r w:rsidRPr="00C40D0C">
              <w:rPr>
                <w:iCs/>
              </w:rPr>
              <w:t>−$1,048.83</w:t>
            </w:r>
          </w:p>
        </w:tc>
      </w:tr>
      <w:tr w:rsidR="006A6F7A" w:rsidRPr="007031F8" w14:paraId="702161EF" w14:textId="77777777" w:rsidTr="00B50853">
        <w:tc>
          <w:tcPr>
            <w:tcW w:w="3114" w:type="dxa"/>
            <w:tcBorders>
              <w:top w:val="nil"/>
              <w:bottom w:val="nil"/>
            </w:tcBorders>
            <w:vAlign w:val="top"/>
          </w:tcPr>
          <w:p w14:paraId="73B26833" w14:textId="77777777" w:rsidR="006A6F7A" w:rsidRPr="007031F8" w:rsidRDefault="006A6F7A" w:rsidP="00B50853">
            <w:pPr>
              <w:rPr>
                <w:iCs/>
                <w:lang w:eastAsia="en-AU"/>
              </w:rPr>
            </w:pPr>
            <w:r w:rsidRPr="007031F8">
              <w:rPr>
                <w:iCs/>
                <w:lang w:eastAsia="en-AU"/>
              </w:rPr>
              <w:t>Costs related to local recurrence</w:t>
            </w:r>
          </w:p>
        </w:tc>
        <w:tc>
          <w:tcPr>
            <w:tcW w:w="1967" w:type="dxa"/>
            <w:tcBorders>
              <w:top w:val="nil"/>
              <w:bottom w:val="nil"/>
            </w:tcBorders>
            <w:vAlign w:val="top"/>
          </w:tcPr>
          <w:p w14:paraId="1E5456DA" w14:textId="77777777" w:rsidR="006A6F7A" w:rsidRPr="00C40D0C" w:rsidRDefault="006A6F7A" w:rsidP="00B50853">
            <w:pPr>
              <w:jc w:val="right"/>
              <w:rPr>
                <w:iCs/>
              </w:rPr>
            </w:pPr>
            <w:r w:rsidRPr="00C40D0C">
              <w:rPr>
                <w:iCs/>
              </w:rPr>
              <w:t>$105.64</w:t>
            </w:r>
          </w:p>
        </w:tc>
        <w:tc>
          <w:tcPr>
            <w:tcW w:w="1967" w:type="dxa"/>
            <w:tcBorders>
              <w:top w:val="nil"/>
              <w:bottom w:val="nil"/>
            </w:tcBorders>
            <w:vAlign w:val="top"/>
          </w:tcPr>
          <w:p w14:paraId="2494B972" w14:textId="77777777" w:rsidR="006A6F7A" w:rsidRPr="00C40D0C" w:rsidRDefault="006A6F7A" w:rsidP="00B50853">
            <w:pPr>
              <w:jc w:val="right"/>
              <w:rPr>
                <w:iCs/>
              </w:rPr>
            </w:pPr>
            <w:r w:rsidRPr="00C40D0C">
              <w:rPr>
                <w:iCs/>
              </w:rPr>
              <w:t>$105.86</w:t>
            </w:r>
          </w:p>
        </w:tc>
        <w:tc>
          <w:tcPr>
            <w:tcW w:w="1968" w:type="dxa"/>
            <w:tcBorders>
              <w:top w:val="nil"/>
              <w:bottom w:val="nil"/>
            </w:tcBorders>
            <w:vAlign w:val="top"/>
          </w:tcPr>
          <w:p w14:paraId="789B127E" w14:textId="77777777" w:rsidR="006A6F7A" w:rsidRPr="00C40D0C" w:rsidRDefault="006A6F7A" w:rsidP="00B50853">
            <w:pPr>
              <w:jc w:val="right"/>
              <w:rPr>
                <w:iCs/>
              </w:rPr>
            </w:pPr>
            <w:r w:rsidRPr="00C40D0C">
              <w:rPr>
                <w:iCs/>
              </w:rPr>
              <w:t>−$0.22</w:t>
            </w:r>
          </w:p>
        </w:tc>
      </w:tr>
      <w:tr w:rsidR="006A6F7A" w:rsidRPr="007031F8" w14:paraId="39EAA58F" w14:textId="77777777" w:rsidTr="00B50853">
        <w:tc>
          <w:tcPr>
            <w:tcW w:w="3114" w:type="dxa"/>
            <w:tcBorders>
              <w:top w:val="nil"/>
            </w:tcBorders>
            <w:vAlign w:val="top"/>
          </w:tcPr>
          <w:p w14:paraId="4BB6F8E5" w14:textId="77777777" w:rsidR="006A6F7A" w:rsidRPr="007031F8" w:rsidRDefault="006A6F7A" w:rsidP="00B50853">
            <w:pPr>
              <w:rPr>
                <w:iCs/>
                <w:lang w:eastAsia="en-AU"/>
              </w:rPr>
            </w:pPr>
            <w:r w:rsidRPr="007031F8">
              <w:rPr>
                <w:iCs/>
                <w:lang w:eastAsia="en-AU"/>
              </w:rPr>
              <w:t>Costs related to distant recurrences</w:t>
            </w:r>
          </w:p>
        </w:tc>
        <w:tc>
          <w:tcPr>
            <w:tcW w:w="1967" w:type="dxa"/>
            <w:tcBorders>
              <w:top w:val="nil"/>
            </w:tcBorders>
            <w:vAlign w:val="top"/>
          </w:tcPr>
          <w:p w14:paraId="457758C2" w14:textId="77777777" w:rsidR="006A6F7A" w:rsidRPr="00C40D0C" w:rsidRDefault="006A6F7A" w:rsidP="00B50853">
            <w:pPr>
              <w:jc w:val="right"/>
              <w:rPr>
                <w:iCs/>
              </w:rPr>
            </w:pPr>
            <w:r w:rsidRPr="00C40D0C">
              <w:rPr>
                <w:iCs/>
              </w:rPr>
              <w:t>$9,484.82</w:t>
            </w:r>
          </w:p>
        </w:tc>
        <w:tc>
          <w:tcPr>
            <w:tcW w:w="1967" w:type="dxa"/>
            <w:tcBorders>
              <w:top w:val="nil"/>
            </w:tcBorders>
            <w:vAlign w:val="top"/>
          </w:tcPr>
          <w:p w14:paraId="0E94F614" w14:textId="77777777" w:rsidR="006A6F7A" w:rsidRPr="00C40D0C" w:rsidRDefault="006A6F7A" w:rsidP="00B50853">
            <w:pPr>
              <w:jc w:val="right"/>
              <w:rPr>
                <w:iCs/>
              </w:rPr>
            </w:pPr>
            <w:r w:rsidRPr="00C40D0C">
              <w:rPr>
                <w:iCs/>
              </w:rPr>
              <w:t>$9,504.38</w:t>
            </w:r>
          </w:p>
        </w:tc>
        <w:tc>
          <w:tcPr>
            <w:tcW w:w="1968" w:type="dxa"/>
            <w:tcBorders>
              <w:top w:val="nil"/>
            </w:tcBorders>
            <w:vAlign w:val="top"/>
          </w:tcPr>
          <w:p w14:paraId="03B10A74" w14:textId="77777777" w:rsidR="006A6F7A" w:rsidRPr="00C40D0C" w:rsidRDefault="006A6F7A" w:rsidP="00B50853">
            <w:pPr>
              <w:jc w:val="right"/>
              <w:rPr>
                <w:iCs/>
              </w:rPr>
            </w:pPr>
            <w:r w:rsidRPr="00C40D0C">
              <w:rPr>
                <w:iCs/>
              </w:rPr>
              <w:t>−$19.56</w:t>
            </w:r>
          </w:p>
        </w:tc>
      </w:tr>
      <w:tr w:rsidR="006A6F7A" w:rsidRPr="007031F8" w14:paraId="1D9EFDFA" w14:textId="77777777" w:rsidTr="00B50853">
        <w:tc>
          <w:tcPr>
            <w:tcW w:w="3114" w:type="dxa"/>
            <w:tcBorders>
              <w:bottom w:val="single" w:sz="4" w:space="0" w:color="auto"/>
            </w:tcBorders>
            <w:vAlign w:val="top"/>
          </w:tcPr>
          <w:p w14:paraId="79DE393C" w14:textId="77777777" w:rsidR="006A6F7A" w:rsidRPr="007031F8" w:rsidRDefault="006A6F7A" w:rsidP="00B50853">
            <w:pPr>
              <w:rPr>
                <w:b/>
                <w:iCs/>
                <w:lang w:eastAsia="en-AU"/>
              </w:rPr>
            </w:pPr>
            <w:r w:rsidRPr="007031F8">
              <w:rPr>
                <w:b/>
                <w:iCs/>
                <w:lang w:eastAsia="en-AU"/>
              </w:rPr>
              <w:t>Total cost</w:t>
            </w:r>
          </w:p>
        </w:tc>
        <w:tc>
          <w:tcPr>
            <w:tcW w:w="1967" w:type="dxa"/>
            <w:tcBorders>
              <w:bottom w:val="single" w:sz="4" w:space="0" w:color="auto"/>
            </w:tcBorders>
            <w:vAlign w:val="top"/>
          </w:tcPr>
          <w:p w14:paraId="5D46AE47" w14:textId="2455CB76" w:rsidR="006A6F7A" w:rsidRPr="00C40D0C" w:rsidRDefault="006A6F7A" w:rsidP="00B50853">
            <w:pPr>
              <w:jc w:val="right"/>
              <w:rPr>
                <w:b/>
                <w:iCs/>
              </w:rPr>
            </w:pPr>
            <w:r w:rsidRPr="00C40D0C">
              <w:rPr>
                <w:b/>
                <w:iCs/>
              </w:rPr>
              <w:t>$</w:t>
            </w:r>
            <w:r w:rsidR="00AE3E5D" w:rsidRPr="00AE3E5D">
              <w:rPr>
                <w:b/>
                <w:iCs/>
                <w:color w:val="000000"/>
                <w:shd w:val="solid" w:color="000000" w:fill="000000"/>
                <w14:textFill>
                  <w14:solidFill>
                    <w14:srgbClr w14:val="000000">
                      <w14:alpha w14:val="100000"/>
                    </w14:srgbClr>
                  </w14:solidFill>
                </w14:textFill>
              </w:rPr>
              <w:t>|</w:t>
            </w:r>
          </w:p>
        </w:tc>
        <w:tc>
          <w:tcPr>
            <w:tcW w:w="1967" w:type="dxa"/>
            <w:tcBorders>
              <w:bottom w:val="single" w:sz="4" w:space="0" w:color="auto"/>
            </w:tcBorders>
            <w:vAlign w:val="top"/>
          </w:tcPr>
          <w:p w14:paraId="7B98C0D1" w14:textId="77777777" w:rsidR="006A6F7A" w:rsidRPr="00C40D0C" w:rsidRDefault="006A6F7A" w:rsidP="00B50853">
            <w:pPr>
              <w:jc w:val="right"/>
              <w:rPr>
                <w:b/>
                <w:iCs/>
              </w:rPr>
            </w:pPr>
            <w:r w:rsidRPr="00C40D0C">
              <w:rPr>
                <w:b/>
                <w:iCs/>
              </w:rPr>
              <w:t>$19,681.11</w:t>
            </w:r>
          </w:p>
        </w:tc>
        <w:tc>
          <w:tcPr>
            <w:tcW w:w="1968" w:type="dxa"/>
            <w:tcBorders>
              <w:bottom w:val="single" w:sz="4" w:space="0" w:color="auto"/>
            </w:tcBorders>
            <w:vAlign w:val="top"/>
          </w:tcPr>
          <w:p w14:paraId="2E2A08C3" w14:textId="20997250" w:rsidR="006A6F7A" w:rsidRPr="00C40D0C" w:rsidRDefault="006A6F7A" w:rsidP="00B50853">
            <w:pPr>
              <w:jc w:val="right"/>
              <w:rPr>
                <w:b/>
                <w:iCs/>
              </w:rPr>
            </w:pPr>
            <w:r w:rsidRPr="00C40D0C">
              <w:rPr>
                <w:b/>
                <w:iCs/>
              </w:rPr>
              <w:t>$</w:t>
            </w:r>
            <w:r w:rsidR="00AE3E5D" w:rsidRPr="00AE3E5D">
              <w:rPr>
                <w:b/>
                <w:iCs/>
                <w:color w:val="000000"/>
                <w:shd w:val="solid" w:color="000000" w:fill="000000"/>
                <w14:textFill>
                  <w14:solidFill>
                    <w14:srgbClr w14:val="000000">
                      <w14:alpha w14:val="100000"/>
                    </w14:srgbClr>
                  </w14:solidFill>
                </w14:textFill>
              </w:rPr>
              <w:t>|</w:t>
            </w:r>
          </w:p>
        </w:tc>
      </w:tr>
      <w:tr w:rsidR="006A6F7A" w:rsidRPr="007031F8" w14:paraId="79BFB9DD" w14:textId="77777777" w:rsidTr="00B50853">
        <w:tc>
          <w:tcPr>
            <w:tcW w:w="3114" w:type="dxa"/>
            <w:tcBorders>
              <w:right w:val="nil"/>
            </w:tcBorders>
            <w:vAlign w:val="top"/>
          </w:tcPr>
          <w:p w14:paraId="77823130" w14:textId="77777777" w:rsidR="006A6F7A" w:rsidRPr="007031F8" w:rsidRDefault="006A6F7A" w:rsidP="00B50853">
            <w:pPr>
              <w:rPr>
                <w:b/>
                <w:iCs/>
                <w:lang w:eastAsia="en-AU"/>
              </w:rPr>
            </w:pPr>
            <w:r w:rsidRPr="007031F8">
              <w:rPr>
                <w:b/>
                <w:iCs/>
                <w:lang w:eastAsia="en-AU"/>
              </w:rPr>
              <w:t>Disaggregated outcomes</w:t>
            </w:r>
          </w:p>
        </w:tc>
        <w:tc>
          <w:tcPr>
            <w:tcW w:w="1967" w:type="dxa"/>
            <w:tcBorders>
              <w:left w:val="nil"/>
              <w:right w:val="nil"/>
            </w:tcBorders>
            <w:vAlign w:val="top"/>
          </w:tcPr>
          <w:p w14:paraId="58A608AE" w14:textId="77777777" w:rsidR="006A6F7A" w:rsidRPr="00C40D0C" w:rsidRDefault="006A6F7A" w:rsidP="00B50853">
            <w:pPr>
              <w:jc w:val="right"/>
              <w:rPr>
                <w:b/>
                <w:iCs/>
              </w:rPr>
            </w:pPr>
          </w:p>
        </w:tc>
        <w:tc>
          <w:tcPr>
            <w:tcW w:w="1967" w:type="dxa"/>
            <w:tcBorders>
              <w:left w:val="nil"/>
              <w:right w:val="nil"/>
            </w:tcBorders>
            <w:vAlign w:val="top"/>
          </w:tcPr>
          <w:p w14:paraId="74A7D9FE" w14:textId="77777777" w:rsidR="006A6F7A" w:rsidRPr="00C40D0C" w:rsidRDefault="006A6F7A" w:rsidP="00B50853">
            <w:pPr>
              <w:jc w:val="right"/>
              <w:rPr>
                <w:b/>
                <w:iCs/>
              </w:rPr>
            </w:pPr>
          </w:p>
        </w:tc>
        <w:tc>
          <w:tcPr>
            <w:tcW w:w="1968" w:type="dxa"/>
            <w:tcBorders>
              <w:left w:val="nil"/>
            </w:tcBorders>
            <w:vAlign w:val="top"/>
          </w:tcPr>
          <w:p w14:paraId="6662DCDB" w14:textId="77777777" w:rsidR="006A6F7A" w:rsidRPr="00C40D0C" w:rsidRDefault="006A6F7A" w:rsidP="00B50853">
            <w:pPr>
              <w:jc w:val="right"/>
              <w:rPr>
                <w:b/>
                <w:iCs/>
              </w:rPr>
            </w:pPr>
          </w:p>
        </w:tc>
      </w:tr>
      <w:tr w:rsidR="006A6F7A" w:rsidRPr="007031F8" w14:paraId="329C9F8C" w14:textId="77777777" w:rsidTr="00B50853">
        <w:tc>
          <w:tcPr>
            <w:tcW w:w="3114" w:type="dxa"/>
            <w:tcBorders>
              <w:top w:val="nil"/>
              <w:bottom w:val="nil"/>
            </w:tcBorders>
            <w:vAlign w:val="top"/>
          </w:tcPr>
          <w:p w14:paraId="4B4A3A3C" w14:textId="77777777" w:rsidR="006A6F7A" w:rsidRPr="007031F8" w:rsidRDefault="006A6F7A" w:rsidP="00B50853">
            <w:pPr>
              <w:rPr>
                <w:iCs/>
                <w:lang w:eastAsia="en-AU"/>
              </w:rPr>
            </w:pPr>
            <w:r w:rsidRPr="007031F8">
              <w:rPr>
                <w:iCs/>
                <w:lang w:eastAsia="en-AU"/>
              </w:rPr>
              <w:t>No distant recurrence LYs</w:t>
            </w:r>
          </w:p>
        </w:tc>
        <w:tc>
          <w:tcPr>
            <w:tcW w:w="1967" w:type="dxa"/>
            <w:tcBorders>
              <w:top w:val="nil"/>
              <w:bottom w:val="nil"/>
            </w:tcBorders>
            <w:vAlign w:val="top"/>
          </w:tcPr>
          <w:p w14:paraId="79A8FFD0" w14:textId="77777777" w:rsidR="006A6F7A" w:rsidRPr="00C40D0C" w:rsidRDefault="006A6F7A" w:rsidP="00B50853">
            <w:pPr>
              <w:jc w:val="right"/>
              <w:rPr>
                <w:iCs/>
              </w:rPr>
            </w:pPr>
            <w:r w:rsidRPr="00C40D0C">
              <w:rPr>
                <w:iCs/>
              </w:rPr>
              <w:t>13.504</w:t>
            </w:r>
          </w:p>
        </w:tc>
        <w:tc>
          <w:tcPr>
            <w:tcW w:w="1967" w:type="dxa"/>
            <w:tcBorders>
              <w:top w:val="nil"/>
              <w:bottom w:val="nil"/>
            </w:tcBorders>
            <w:vAlign w:val="top"/>
          </w:tcPr>
          <w:p w14:paraId="636ABD9B" w14:textId="77777777" w:rsidR="006A6F7A" w:rsidRPr="00C40D0C" w:rsidRDefault="006A6F7A" w:rsidP="00B50853">
            <w:pPr>
              <w:jc w:val="right"/>
              <w:rPr>
                <w:iCs/>
              </w:rPr>
            </w:pPr>
            <w:r w:rsidRPr="00C40D0C">
              <w:rPr>
                <w:iCs/>
              </w:rPr>
              <w:t>13.501</w:t>
            </w:r>
          </w:p>
        </w:tc>
        <w:tc>
          <w:tcPr>
            <w:tcW w:w="1968" w:type="dxa"/>
            <w:tcBorders>
              <w:top w:val="nil"/>
              <w:bottom w:val="nil"/>
            </w:tcBorders>
            <w:vAlign w:val="top"/>
          </w:tcPr>
          <w:p w14:paraId="10F8C4A5" w14:textId="77777777" w:rsidR="006A6F7A" w:rsidRPr="00C40D0C" w:rsidRDefault="006A6F7A" w:rsidP="00B50853">
            <w:pPr>
              <w:jc w:val="right"/>
              <w:rPr>
                <w:iCs/>
              </w:rPr>
            </w:pPr>
            <w:r w:rsidRPr="00C40D0C">
              <w:rPr>
                <w:iCs/>
              </w:rPr>
              <w:t>0.002</w:t>
            </w:r>
          </w:p>
        </w:tc>
      </w:tr>
      <w:tr w:rsidR="006A6F7A" w:rsidRPr="007031F8" w14:paraId="0EA8505A" w14:textId="77777777" w:rsidTr="00B50853">
        <w:tc>
          <w:tcPr>
            <w:tcW w:w="3114" w:type="dxa"/>
            <w:tcBorders>
              <w:top w:val="nil"/>
              <w:bottom w:val="single" w:sz="4" w:space="0" w:color="auto"/>
            </w:tcBorders>
            <w:vAlign w:val="top"/>
          </w:tcPr>
          <w:p w14:paraId="3DA17AC7" w14:textId="77777777" w:rsidR="006A6F7A" w:rsidRPr="007031F8" w:rsidRDefault="006A6F7A" w:rsidP="00B50853">
            <w:pPr>
              <w:rPr>
                <w:iCs/>
                <w:lang w:eastAsia="en-AU"/>
              </w:rPr>
            </w:pPr>
            <w:r w:rsidRPr="007031F8">
              <w:rPr>
                <w:iCs/>
                <w:lang w:eastAsia="en-AU"/>
              </w:rPr>
              <w:t>Distant recurrence LYs</w:t>
            </w:r>
          </w:p>
        </w:tc>
        <w:tc>
          <w:tcPr>
            <w:tcW w:w="1967" w:type="dxa"/>
            <w:tcBorders>
              <w:top w:val="nil"/>
              <w:bottom w:val="single" w:sz="4" w:space="0" w:color="auto"/>
            </w:tcBorders>
            <w:vAlign w:val="top"/>
          </w:tcPr>
          <w:p w14:paraId="76EFF19E" w14:textId="77777777" w:rsidR="006A6F7A" w:rsidRPr="00C40D0C" w:rsidRDefault="006A6F7A" w:rsidP="00B50853">
            <w:pPr>
              <w:jc w:val="right"/>
              <w:rPr>
                <w:iCs/>
              </w:rPr>
            </w:pPr>
            <w:r w:rsidRPr="00C40D0C">
              <w:rPr>
                <w:iCs/>
              </w:rPr>
              <w:t>0.323</w:t>
            </w:r>
          </w:p>
        </w:tc>
        <w:tc>
          <w:tcPr>
            <w:tcW w:w="1967" w:type="dxa"/>
            <w:tcBorders>
              <w:top w:val="nil"/>
              <w:bottom w:val="single" w:sz="4" w:space="0" w:color="auto"/>
            </w:tcBorders>
            <w:vAlign w:val="top"/>
          </w:tcPr>
          <w:p w14:paraId="6E15259E" w14:textId="77777777" w:rsidR="006A6F7A" w:rsidRPr="00C40D0C" w:rsidRDefault="006A6F7A" w:rsidP="00B50853">
            <w:pPr>
              <w:jc w:val="right"/>
              <w:rPr>
                <w:iCs/>
              </w:rPr>
            </w:pPr>
            <w:r w:rsidRPr="00C40D0C">
              <w:rPr>
                <w:iCs/>
              </w:rPr>
              <w:t>0.324</w:t>
            </w:r>
          </w:p>
        </w:tc>
        <w:tc>
          <w:tcPr>
            <w:tcW w:w="1968" w:type="dxa"/>
            <w:tcBorders>
              <w:top w:val="nil"/>
              <w:bottom w:val="single" w:sz="4" w:space="0" w:color="auto"/>
            </w:tcBorders>
            <w:vAlign w:val="top"/>
          </w:tcPr>
          <w:p w14:paraId="3C511BE7" w14:textId="77777777" w:rsidR="006A6F7A" w:rsidRPr="00C40D0C" w:rsidRDefault="006A6F7A" w:rsidP="00B50853">
            <w:pPr>
              <w:jc w:val="right"/>
              <w:rPr>
                <w:iCs/>
              </w:rPr>
            </w:pPr>
            <w:r w:rsidRPr="00C40D0C">
              <w:rPr>
                <w:iCs/>
              </w:rPr>
              <w:t>−0.001</w:t>
            </w:r>
          </w:p>
        </w:tc>
      </w:tr>
      <w:tr w:rsidR="006A6F7A" w:rsidRPr="007031F8" w14:paraId="101962A2" w14:textId="77777777" w:rsidTr="00B50853">
        <w:tc>
          <w:tcPr>
            <w:tcW w:w="3114" w:type="dxa"/>
            <w:tcBorders>
              <w:top w:val="single" w:sz="4" w:space="0" w:color="auto"/>
              <w:bottom w:val="single" w:sz="4" w:space="0" w:color="auto"/>
            </w:tcBorders>
            <w:vAlign w:val="top"/>
          </w:tcPr>
          <w:p w14:paraId="6A1F4198" w14:textId="77777777" w:rsidR="006A6F7A" w:rsidRPr="007031F8" w:rsidRDefault="006A6F7A" w:rsidP="00B50853">
            <w:pPr>
              <w:rPr>
                <w:iCs/>
                <w:lang w:eastAsia="en-AU"/>
              </w:rPr>
            </w:pPr>
            <w:r w:rsidRPr="007031F8">
              <w:rPr>
                <w:b/>
                <w:iCs/>
                <w:lang w:eastAsia="en-AU"/>
              </w:rPr>
              <w:t>Total LYs</w:t>
            </w:r>
          </w:p>
        </w:tc>
        <w:tc>
          <w:tcPr>
            <w:tcW w:w="1967" w:type="dxa"/>
            <w:tcBorders>
              <w:top w:val="single" w:sz="4" w:space="0" w:color="auto"/>
              <w:bottom w:val="single" w:sz="4" w:space="0" w:color="auto"/>
            </w:tcBorders>
            <w:vAlign w:val="top"/>
          </w:tcPr>
          <w:p w14:paraId="4C244733" w14:textId="77777777" w:rsidR="006A6F7A" w:rsidRPr="00C40D0C" w:rsidRDefault="006A6F7A" w:rsidP="00B50853">
            <w:pPr>
              <w:jc w:val="right"/>
              <w:rPr>
                <w:b/>
                <w:iCs/>
              </w:rPr>
            </w:pPr>
            <w:r w:rsidRPr="00C40D0C">
              <w:rPr>
                <w:b/>
                <w:iCs/>
              </w:rPr>
              <w:t>13.827</w:t>
            </w:r>
          </w:p>
        </w:tc>
        <w:tc>
          <w:tcPr>
            <w:tcW w:w="1967" w:type="dxa"/>
            <w:tcBorders>
              <w:top w:val="single" w:sz="4" w:space="0" w:color="auto"/>
              <w:bottom w:val="single" w:sz="4" w:space="0" w:color="auto"/>
            </w:tcBorders>
            <w:vAlign w:val="top"/>
          </w:tcPr>
          <w:p w14:paraId="26CC4758" w14:textId="77777777" w:rsidR="006A6F7A" w:rsidRPr="00C40D0C" w:rsidRDefault="006A6F7A" w:rsidP="00B50853">
            <w:pPr>
              <w:jc w:val="right"/>
              <w:rPr>
                <w:b/>
                <w:iCs/>
              </w:rPr>
            </w:pPr>
            <w:r w:rsidRPr="00C40D0C">
              <w:rPr>
                <w:b/>
                <w:iCs/>
              </w:rPr>
              <w:t>13.825</w:t>
            </w:r>
          </w:p>
        </w:tc>
        <w:tc>
          <w:tcPr>
            <w:tcW w:w="1968" w:type="dxa"/>
            <w:tcBorders>
              <w:top w:val="single" w:sz="4" w:space="0" w:color="auto"/>
              <w:bottom w:val="single" w:sz="4" w:space="0" w:color="auto"/>
            </w:tcBorders>
            <w:vAlign w:val="top"/>
          </w:tcPr>
          <w:p w14:paraId="05D9D051" w14:textId="77777777" w:rsidR="006A6F7A" w:rsidRPr="00C40D0C" w:rsidRDefault="006A6F7A" w:rsidP="00B50853">
            <w:pPr>
              <w:jc w:val="right"/>
              <w:rPr>
                <w:b/>
                <w:iCs/>
              </w:rPr>
            </w:pPr>
            <w:r w:rsidRPr="00C40D0C">
              <w:rPr>
                <w:b/>
                <w:iCs/>
              </w:rPr>
              <w:t>0.002</w:t>
            </w:r>
          </w:p>
        </w:tc>
      </w:tr>
      <w:tr w:rsidR="006A6F7A" w:rsidRPr="007031F8" w14:paraId="65B1D710" w14:textId="77777777" w:rsidTr="00B50853">
        <w:tc>
          <w:tcPr>
            <w:tcW w:w="3114" w:type="dxa"/>
            <w:tcBorders>
              <w:top w:val="nil"/>
              <w:bottom w:val="nil"/>
            </w:tcBorders>
            <w:vAlign w:val="top"/>
          </w:tcPr>
          <w:p w14:paraId="38E9A4F6" w14:textId="77777777" w:rsidR="006A6F7A" w:rsidRPr="007031F8" w:rsidRDefault="006A6F7A" w:rsidP="00B50853">
            <w:pPr>
              <w:rPr>
                <w:iCs/>
                <w:lang w:eastAsia="en-AU"/>
              </w:rPr>
            </w:pPr>
            <w:r w:rsidRPr="007031F8">
              <w:rPr>
                <w:iCs/>
                <w:lang w:eastAsia="en-AU"/>
              </w:rPr>
              <w:t>No distant recurrence QALYs</w:t>
            </w:r>
          </w:p>
        </w:tc>
        <w:tc>
          <w:tcPr>
            <w:tcW w:w="1967" w:type="dxa"/>
            <w:tcBorders>
              <w:top w:val="nil"/>
              <w:bottom w:val="nil"/>
            </w:tcBorders>
            <w:vAlign w:val="top"/>
          </w:tcPr>
          <w:p w14:paraId="766A4F79" w14:textId="77777777" w:rsidR="006A6F7A" w:rsidRPr="00C40D0C" w:rsidRDefault="006A6F7A" w:rsidP="00B50853">
            <w:pPr>
              <w:jc w:val="right"/>
              <w:rPr>
                <w:iCs/>
              </w:rPr>
            </w:pPr>
            <w:r w:rsidRPr="00C40D0C">
              <w:rPr>
                <w:iCs/>
              </w:rPr>
              <w:t>11.127</w:t>
            </w:r>
          </w:p>
        </w:tc>
        <w:tc>
          <w:tcPr>
            <w:tcW w:w="1967" w:type="dxa"/>
            <w:tcBorders>
              <w:top w:val="nil"/>
              <w:bottom w:val="nil"/>
            </w:tcBorders>
            <w:vAlign w:val="top"/>
          </w:tcPr>
          <w:p w14:paraId="6777DA8D" w14:textId="77777777" w:rsidR="006A6F7A" w:rsidRPr="00C40D0C" w:rsidRDefault="006A6F7A" w:rsidP="00B50853">
            <w:pPr>
              <w:jc w:val="right"/>
              <w:rPr>
                <w:iCs/>
              </w:rPr>
            </w:pPr>
            <w:r w:rsidRPr="00C40D0C">
              <w:rPr>
                <w:iCs/>
              </w:rPr>
              <w:t>11.125</w:t>
            </w:r>
          </w:p>
        </w:tc>
        <w:tc>
          <w:tcPr>
            <w:tcW w:w="1968" w:type="dxa"/>
            <w:tcBorders>
              <w:top w:val="nil"/>
              <w:bottom w:val="nil"/>
            </w:tcBorders>
            <w:vAlign w:val="top"/>
          </w:tcPr>
          <w:p w14:paraId="7C084E54" w14:textId="77777777" w:rsidR="006A6F7A" w:rsidRPr="00C40D0C" w:rsidRDefault="006A6F7A" w:rsidP="00B50853">
            <w:pPr>
              <w:jc w:val="right"/>
              <w:rPr>
                <w:iCs/>
              </w:rPr>
            </w:pPr>
            <w:r w:rsidRPr="00C40D0C">
              <w:rPr>
                <w:iCs/>
              </w:rPr>
              <w:t>0.002</w:t>
            </w:r>
          </w:p>
        </w:tc>
      </w:tr>
      <w:tr w:rsidR="006A6F7A" w:rsidRPr="007031F8" w14:paraId="785835E7" w14:textId="77777777" w:rsidTr="00B50853">
        <w:tc>
          <w:tcPr>
            <w:tcW w:w="3114" w:type="dxa"/>
            <w:tcBorders>
              <w:top w:val="nil"/>
              <w:bottom w:val="nil"/>
            </w:tcBorders>
            <w:vAlign w:val="top"/>
          </w:tcPr>
          <w:p w14:paraId="7294660A" w14:textId="77777777" w:rsidR="006A6F7A" w:rsidRPr="007031F8" w:rsidRDefault="006A6F7A" w:rsidP="00B50853">
            <w:pPr>
              <w:rPr>
                <w:iCs/>
                <w:lang w:eastAsia="en-AU"/>
              </w:rPr>
            </w:pPr>
            <w:r w:rsidRPr="007031F8">
              <w:rPr>
                <w:iCs/>
                <w:lang w:eastAsia="en-AU"/>
              </w:rPr>
              <w:t>Distant recurrence QALYs</w:t>
            </w:r>
          </w:p>
        </w:tc>
        <w:tc>
          <w:tcPr>
            <w:tcW w:w="1967" w:type="dxa"/>
            <w:tcBorders>
              <w:top w:val="nil"/>
              <w:bottom w:val="nil"/>
            </w:tcBorders>
            <w:vAlign w:val="top"/>
          </w:tcPr>
          <w:p w14:paraId="421B76AF" w14:textId="77777777" w:rsidR="006A6F7A" w:rsidRPr="00C40D0C" w:rsidRDefault="006A6F7A" w:rsidP="00B50853">
            <w:pPr>
              <w:jc w:val="right"/>
              <w:rPr>
                <w:iCs/>
              </w:rPr>
            </w:pPr>
            <w:r w:rsidRPr="00C40D0C">
              <w:rPr>
                <w:iCs/>
              </w:rPr>
              <w:t>0.220</w:t>
            </w:r>
          </w:p>
        </w:tc>
        <w:tc>
          <w:tcPr>
            <w:tcW w:w="1967" w:type="dxa"/>
            <w:tcBorders>
              <w:top w:val="nil"/>
              <w:bottom w:val="nil"/>
            </w:tcBorders>
            <w:vAlign w:val="top"/>
          </w:tcPr>
          <w:p w14:paraId="32A4E487" w14:textId="77777777" w:rsidR="006A6F7A" w:rsidRPr="00C40D0C" w:rsidRDefault="006A6F7A" w:rsidP="00B50853">
            <w:pPr>
              <w:jc w:val="right"/>
              <w:rPr>
                <w:iCs/>
              </w:rPr>
            </w:pPr>
            <w:r w:rsidRPr="00C40D0C">
              <w:rPr>
                <w:iCs/>
              </w:rPr>
              <w:t>0.221</w:t>
            </w:r>
          </w:p>
        </w:tc>
        <w:tc>
          <w:tcPr>
            <w:tcW w:w="1968" w:type="dxa"/>
            <w:tcBorders>
              <w:top w:val="nil"/>
              <w:bottom w:val="nil"/>
            </w:tcBorders>
            <w:vAlign w:val="top"/>
          </w:tcPr>
          <w:p w14:paraId="7ADFD76C" w14:textId="77777777" w:rsidR="006A6F7A" w:rsidRPr="00C40D0C" w:rsidRDefault="006A6F7A" w:rsidP="00B50853">
            <w:pPr>
              <w:jc w:val="right"/>
              <w:rPr>
                <w:iCs/>
              </w:rPr>
            </w:pPr>
            <w:r w:rsidRPr="00C40D0C">
              <w:rPr>
                <w:iCs/>
              </w:rPr>
              <w:t>−0.000</w:t>
            </w:r>
          </w:p>
        </w:tc>
      </w:tr>
      <w:tr w:rsidR="006A6F7A" w:rsidRPr="007031F8" w14:paraId="20A313CB" w14:textId="77777777" w:rsidTr="00B50853">
        <w:tc>
          <w:tcPr>
            <w:tcW w:w="3114" w:type="dxa"/>
            <w:tcBorders>
              <w:top w:val="nil"/>
              <w:bottom w:val="single" w:sz="4" w:space="0" w:color="auto"/>
            </w:tcBorders>
            <w:vAlign w:val="top"/>
          </w:tcPr>
          <w:p w14:paraId="6B18DFDE" w14:textId="77777777" w:rsidR="006A6F7A" w:rsidRPr="007031F8" w:rsidRDefault="006A6F7A" w:rsidP="00B50853">
            <w:pPr>
              <w:rPr>
                <w:iCs/>
                <w:lang w:eastAsia="en-AU"/>
              </w:rPr>
            </w:pPr>
            <w:r w:rsidRPr="007031F8">
              <w:rPr>
                <w:iCs/>
                <w:lang w:eastAsia="en-AU"/>
              </w:rPr>
              <w:t>Adjuvant chemotherapy QALYs</w:t>
            </w:r>
          </w:p>
        </w:tc>
        <w:tc>
          <w:tcPr>
            <w:tcW w:w="1967" w:type="dxa"/>
            <w:tcBorders>
              <w:top w:val="nil"/>
              <w:bottom w:val="single" w:sz="4" w:space="0" w:color="auto"/>
            </w:tcBorders>
            <w:vAlign w:val="top"/>
          </w:tcPr>
          <w:p w14:paraId="345138B7" w14:textId="77777777" w:rsidR="006A6F7A" w:rsidRPr="00C40D0C" w:rsidRDefault="006A6F7A" w:rsidP="00B50853">
            <w:pPr>
              <w:jc w:val="right"/>
              <w:rPr>
                <w:iCs/>
              </w:rPr>
            </w:pPr>
            <w:r w:rsidRPr="00C40D0C">
              <w:rPr>
                <w:iCs/>
              </w:rPr>
              <w:t>−0.063</w:t>
            </w:r>
          </w:p>
        </w:tc>
        <w:tc>
          <w:tcPr>
            <w:tcW w:w="1967" w:type="dxa"/>
            <w:tcBorders>
              <w:top w:val="nil"/>
              <w:bottom w:val="single" w:sz="4" w:space="0" w:color="auto"/>
            </w:tcBorders>
            <w:vAlign w:val="top"/>
          </w:tcPr>
          <w:p w14:paraId="2AF9A211" w14:textId="77777777" w:rsidR="006A6F7A" w:rsidRPr="00C40D0C" w:rsidRDefault="006A6F7A" w:rsidP="00B50853">
            <w:pPr>
              <w:jc w:val="right"/>
              <w:rPr>
                <w:iCs/>
              </w:rPr>
            </w:pPr>
            <w:r w:rsidRPr="00C40D0C">
              <w:rPr>
                <w:iCs/>
              </w:rPr>
              <w:t>−0.072</w:t>
            </w:r>
          </w:p>
        </w:tc>
        <w:tc>
          <w:tcPr>
            <w:tcW w:w="1968" w:type="dxa"/>
            <w:tcBorders>
              <w:top w:val="nil"/>
              <w:bottom w:val="single" w:sz="4" w:space="0" w:color="auto"/>
            </w:tcBorders>
            <w:vAlign w:val="top"/>
          </w:tcPr>
          <w:p w14:paraId="45CB3AFF" w14:textId="77777777" w:rsidR="006A6F7A" w:rsidRPr="00C40D0C" w:rsidRDefault="006A6F7A" w:rsidP="00B50853">
            <w:pPr>
              <w:jc w:val="right"/>
              <w:rPr>
                <w:iCs/>
              </w:rPr>
            </w:pPr>
            <w:r w:rsidRPr="00C40D0C">
              <w:rPr>
                <w:iCs/>
              </w:rPr>
              <w:t>0.008</w:t>
            </w:r>
          </w:p>
        </w:tc>
      </w:tr>
      <w:tr w:rsidR="006A6F7A" w:rsidRPr="007031F8" w14:paraId="5C553E49" w14:textId="77777777" w:rsidTr="00B50853">
        <w:tc>
          <w:tcPr>
            <w:tcW w:w="3114" w:type="dxa"/>
            <w:tcBorders>
              <w:top w:val="single" w:sz="4" w:space="0" w:color="auto"/>
            </w:tcBorders>
          </w:tcPr>
          <w:p w14:paraId="2B3B0D57" w14:textId="77777777" w:rsidR="006A6F7A" w:rsidRPr="007031F8" w:rsidRDefault="006A6F7A" w:rsidP="00B50853">
            <w:pPr>
              <w:rPr>
                <w:b/>
                <w:iCs/>
                <w:lang w:eastAsia="en-AU"/>
              </w:rPr>
            </w:pPr>
            <w:r w:rsidRPr="007031F8">
              <w:rPr>
                <w:b/>
                <w:iCs/>
                <w:lang w:eastAsia="en-AU"/>
              </w:rPr>
              <w:t>Total QALYs</w:t>
            </w:r>
          </w:p>
        </w:tc>
        <w:tc>
          <w:tcPr>
            <w:tcW w:w="1967" w:type="dxa"/>
            <w:tcBorders>
              <w:top w:val="single" w:sz="4" w:space="0" w:color="auto"/>
            </w:tcBorders>
            <w:vAlign w:val="top"/>
          </w:tcPr>
          <w:p w14:paraId="137B9E19" w14:textId="77777777" w:rsidR="006A6F7A" w:rsidRPr="00C40D0C" w:rsidRDefault="006A6F7A" w:rsidP="00B50853">
            <w:pPr>
              <w:jc w:val="right"/>
              <w:rPr>
                <w:b/>
                <w:iCs/>
              </w:rPr>
            </w:pPr>
            <w:r w:rsidRPr="00C40D0C">
              <w:rPr>
                <w:b/>
                <w:iCs/>
              </w:rPr>
              <w:t>11.284</w:t>
            </w:r>
          </w:p>
        </w:tc>
        <w:tc>
          <w:tcPr>
            <w:tcW w:w="1967" w:type="dxa"/>
            <w:tcBorders>
              <w:top w:val="single" w:sz="4" w:space="0" w:color="auto"/>
            </w:tcBorders>
            <w:vAlign w:val="top"/>
          </w:tcPr>
          <w:p w14:paraId="086CD03F" w14:textId="77777777" w:rsidR="006A6F7A" w:rsidRPr="00C40D0C" w:rsidRDefault="006A6F7A" w:rsidP="00B50853">
            <w:pPr>
              <w:jc w:val="right"/>
              <w:rPr>
                <w:b/>
                <w:iCs/>
              </w:rPr>
            </w:pPr>
            <w:r w:rsidRPr="00C40D0C">
              <w:rPr>
                <w:b/>
                <w:iCs/>
              </w:rPr>
              <w:t>11.274</w:t>
            </w:r>
          </w:p>
        </w:tc>
        <w:tc>
          <w:tcPr>
            <w:tcW w:w="1968" w:type="dxa"/>
            <w:tcBorders>
              <w:top w:val="single" w:sz="4" w:space="0" w:color="auto"/>
            </w:tcBorders>
            <w:vAlign w:val="top"/>
          </w:tcPr>
          <w:p w14:paraId="517DA5FA" w14:textId="77777777" w:rsidR="006A6F7A" w:rsidRPr="00C40D0C" w:rsidRDefault="006A6F7A" w:rsidP="00B50853">
            <w:pPr>
              <w:jc w:val="right"/>
              <w:rPr>
                <w:b/>
                <w:iCs/>
              </w:rPr>
            </w:pPr>
            <w:r w:rsidRPr="00C40D0C">
              <w:rPr>
                <w:b/>
                <w:iCs/>
              </w:rPr>
              <w:t>0.010</w:t>
            </w:r>
          </w:p>
        </w:tc>
      </w:tr>
    </w:tbl>
    <w:p w14:paraId="20B9F0F9" w14:textId="3193FDFA" w:rsidR="006A6F7A" w:rsidRPr="003F20EB" w:rsidRDefault="006A6F7A" w:rsidP="007916BD">
      <w:pPr>
        <w:keepLines/>
        <w:spacing w:after="0" w:line="240" w:lineRule="auto"/>
        <w:rPr>
          <w:rFonts w:ascii="Arial Narrow" w:eastAsia="Times New Roman" w:hAnsi="Arial Narrow" w:cs="Times New Roman"/>
          <w:iCs/>
          <w:sz w:val="18"/>
          <w:szCs w:val="18"/>
          <w:lang w:eastAsia="en-AU"/>
        </w:rPr>
      </w:pPr>
      <w:r w:rsidRPr="003F20EB">
        <w:rPr>
          <w:rFonts w:ascii="Arial Narrow" w:eastAsia="Times New Roman" w:hAnsi="Arial Narrow" w:cs="Times New Roman"/>
          <w:iCs/>
          <w:sz w:val="18"/>
          <w:szCs w:val="18"/>
          <w:lang w:eastAsia="en-AU"/>
        </w:rPr>
        <w:t>LY = life year; MDT = multidisciplinary team; QALY = quality adjusted life year.</w:t>
      </w:r>
    </w:p>
    <w:p w14:paraId="33B2755C" w14:textId="77777777" w:rsidR="007916BD" w:rsidRPr="003F20EB" w:rsidRDefault="007916BD" w:rsidP="007916BD">
      <w:pPr>
        <w:keepLines/>
        <w:spacing w:after="240" w:line="240" w:lineRule="auto"/>
        <w:rPr>
          <w:rFonts w:ascii="Arial Narrow" w:eastAsia="Times New Roman" w:hAnsi="Arial Narrow" w:cs="Times New Roman"/>
          <w:iCs/>
          <w:sz w:val="18"/>
          <w:szCs w:val="18"/>
          <w:lang w:eastAsia="en-AU"/>
        </w:rPr>
      </w:pPr>
      <w:r w:rsidRPr="003F20EB">
        <w:rPr>
          <w:rFonts w:ascii="Arial Narrow" w:eastAsia="Times New Roman" w:hAnsi="Arial Narrow" w:cs="Times New Roman"/>
          <w:iCs/>
          <w:sz w:val="18"/>
          <w:szCs w:val="18"/>
          <w:lang w:eastAsia="en-AU"/>
        </w:rPr>
        <w:t xml:space="preserve">Source: Constructed during the evaluation using the ‘Attachment 4_MSAC EndoPredict Economic </w:t>
      </w:r>
      <w:proofErr w:type="gramStart"/>
      <w:r w:rsidRPr="003F20EB">
        <w:rPr>
          <w:rFonts w:ascii="Arial Narrow" w:eastAsia="Times New Roman" w:hAnsi="Arial Narrow" w:cs="Times New Roman"/>
          <w:iCs/>
          <w:sz w:val="18"/>
          <w:szCs w:val="18"/>
          <w:lang w:eastAsia="en-AU"/>
        </w:rPr>
        <w:t>model.trex</w:t>
      </w:r>
      <w:proofErr w:type="gramEnd"/>
      <w:r w:rsidRPr="003F20EB">
        <w:rPr>
          <w:rFonts w:ascii="Arial Narrow" w:eastAsia="Times New Roman" w:hAnsi="Arial Narrow" w:cs="Times New Roman"/>
          <w:iCs/>
          <w:sz w:val="18"/>
          <w:szCs w:val="18"/>
          <w:lang w:eastAsia="en-AU"/>
        </w:rPr>
        <w:t xml:space="preserve">’ file included in the 1408.1 </w:t>
      </w:r>
      <w:r>
        <w:rPr>
          <w:rFonts w:ascii="Arial Narrow" w:eastAsia="Times New Roman" w:hAnsi="Arial Narrow" w:cs="Times New Roman"/>
          <w:iCs/>
          <w:sz w:val="18"/>
          <w:szCs w:val="18"/>
          <w:lang w:eastAsia="en-AU"/>
        </w:rPr>
        <w:t>re-application</w:t>
      </w:r>
      <w:r w:rsidRPr="003F20EB">
        <w:rPr>
          <w:rFonts w:ascii="Arial Narrow" w:eastAsia="Times New Roman" w:hAnsi="Arial Narrow" w:cs="Times New Roman"/>
          <w:iCs/>
          <w:sz w:val="18"/>
          <w:szCs w:val="18"/>
          <w:lang w:eastAsia="en-AU"/>
        </w:rPr>
        <w:t>.</w:t>
      </w:r>
    </w:p>
    <w:p w14:paraId="52CA7434" w14:textId="320FA637" w:rsidR="002056CD" w:rsidRPr="006A2C29" w:rsidRDefault="002056CD" w:rsidP="007916BD">
      <w:pPr>
        <w:spacing w:before="240"/>
        <w:rPr>
          <w:rFonts w:ascii="Franklin Gothic Book" w:hAnsi="Franklin Gothic Book"/>
          <w:iCs/>
        </w:rPr>
      </w:pPr>
      <w:r w:rsidRPr="006A2C29">
        <w:rPr>
          <w:rFonts w:ascii="Franklin Gothic Book" w:hAnsi="Franklin Gothic Book"/>
          <w:iCs/>
        </w:rPr>
        <w:t xml:space="preserve">Sensitivity analyses were </w:t>
      </w:r>
      <w:r w:rsidR="006A2C29">
        <w:rPr>
          <w:rFonts w:ascii="Franklin Gothic Book" w:hAnsi="Franklin Gothic Book"/>
          <w:iCs/>
        </w:rPr>
        <w:t>presented</w:t>
      </w:r>
      <w:r w:rsidRPr="006A2C29">
        <w:rPr>
          <w:rFonts w:ascii="Franklin Gothic Book" w:hAnsi="Franklin Gothic Book"/>
          <w:iCs/>
        </w:rPr>
        <w:t xml:space="preserve"> around the respecified base case analysis (</w:t>
      </w:r>
      <w:r w:rsidR="0073546A" w:rsidRPr="0073546A">
        <w:rPr>
          <w:rFonts w:ascii="Franklin Gothic Book" w:hAnsi="Franklin Gothic Book"/>
          <w:iCs/>
        </w:rPr>
        <w:fldChar w:fldCharType="begin"/>
      </w:r>
      <w:r w:rsidR="0073546A" w:rsidRPr="0073546A">
        <w:rPr>
          <w:rFonts w:ascii="Franklin Gothic Book" w:hAnsi="Franklin Gothic Book"/>
          <w:iCs/>
        </w:rPr>
        <w:instrText xml:space="preserve"> REF _Ref100143938 </w:instrText>
      </w:r>
      <w:r w:rsidR="0073546A">
        <w:rPr>
          <w:rFonts w:ascii="Franklin Gothic Book" w:hAnsi="Franklin Gothic Book"/>
          <w:iCs/>
        </w:rPr>
        <w:instrText xml:space="preserve"> \* MERGEFORMAT </w:instrText>
      </w:r>
      <w:r w:rsidR="0073546A" w:rsidRPr="0073546A">
        <w:rPr>
          <w:rFonts w:ascii="Franklin Gothic Book" w:hAnsi="Franklin Gothic Book"/>
          <w:iCs/>
        </w:rPr>
        <w:fldChar w:fldCharType="separate"/>
      </w:r>
      <w:r w:rsidR="00943826" w:rsidRPr="00943826">
        <w:rPr>
          <w:rFonts w:ascii="Franklin Gothic Book" w:hAnsi="Franklin Gothic Book"/>
          <w:iCs/>
        </w:rPr>
        <w:t>Table 18</w:t>
      </w:r>
      <w:r w:rsidR="0073546A" w:rsidRPr="0073546A">
        <w:rPr>
          <w:rFonts w:ascii="Franklin Gothic Book" w:hAnsi="Franklin Gothic Book"/>
          <w:iCs/>
        </w:rPr>
        <w:fldChar w:fldCharType="end"/>
      </w:r>
      <w:r w:rsidRPr="006A2C29">
        <w:rPr>
          <w:rFonts w:ascii="Franklin Gothic Book" w:hAnsi="Franklin Gothic Book"/>
          <w:iCs/>
        </w:rPr>
        <w:t xml:space="preserve">) and was found to be most sensitive to </w:t>
      </w:r>
      <w:r w:rsidR="00D50E5C" w:rsidRPr="006A2C29">
        <w:rPr>
          <w:rFonts w:ascii="Franklin Gothic Book" w:hAnsi="Franklin Gothic Book"/>
          <w:iCs/>
        </w:rPr>
        <w:t>EndoPredict</w:t>
      </w:r>
      <w:r w:rsidR="005F1260" w:rsidRPr="005F1260">
        <w:rPr>
          <w:rFonts w:ascii="Franklin Gothic Book" w:hAnsi="Franklin Gothic Book"/>
          <w:iCs/>
          <w:vertAlign w:val="superscript"/>
        </w:rPr>
        <w:t>®</w:t>
      </w:r>
      <w:r w:rsidRPr="006A2C29">
        <w:rPr>
          <w:rFonts w:ascii="Franklin Gothic Book" w:hAnsi="Franklin Gothic Book"/>
          <w:iCs/>
        </w:rPr>
        <w:t xml:space="preserve"> test cost (ranging from Dominant [i.e. less costly, more effective] </w:t>
      </w:r>
      <w:r w:rsidRPr="00C7731E">
        <w:rPr>
          <w:rFonts w:ascii="Franklin Gothic Book" w:hAnsi="Franklin Gothic Book"/>
          <w:iCs/>
        </w:rPr>
        <w:t>to $</w:t>
      </w:r>
      <w:r w:rsidR="00AE3E5D" w:rsidRPr="00AE3E5D">
        <w:rPr>
          <w:rFonts w:ascii="Franklin Gothic Book" w:hAnsi="Franklin Gothic Book"/>
          <w:iCs/>
          <w:color w:val="000000"/>
          <w:w w:val="67"/>
          <w:shd w:val="solid" w:color="000000" w:fill="000000"/>
          <w:fitText w:val="443" w:id="-1437332473"/>
          <w14:textFill>
            <w14:solidFill>
              <w14:srgbClr w14:val="000000">
                <w14:alpha w14:val="100000"/>
              </w14:srgbClr>
            </w14:solidFill>
          </w14:textFill>
        </w:rPr>
        <w:t>||||||</w:t>
      </w:r>
      <w:r w:rsidRPr="006A2C29">
        <w:rPr>
          <w:rFonts w:ascii="Franklin Gothic Book" w:hAnsi="Franklin Gothic Book"/>
          <w:iCs/>
        </w:rPr>
        <w:t xml:space="preserve"> per additional quality-adjusted life year [QALY] gained, assuming a fee of </w:t>
      </w:r>
      <w:r w:rsidRPr="00C7731E">
        <w:rPr>
          <w:rFonts w:ascii="Franklin Gothic Book" w:hAnsi="Franklin Gothic Book"/>
          <w:iCs/>
        </w:rPr>
        <w:t>$</w:t>
      </w:r>
      <w:r w:rsidR="00AE3E5D" w:rsidRPr="00AE3E5D">
        <w:rPr>
          <w:rFonts w:ascii="Franklin Gothic Book" w:hAnsi="Franklin Gothic Book"/>
          <w:iCs/>
          <w:color w:val="000000"/>
          <w:w w:val="67"/>
          <w:shd w:val="solid" w:color="000000" w:fill="000000"/>
          <w:fitText w:val="443" w:id="-1437332472"/>
          <w14:textFill>
            <w14:solidFill>
              <w14:srgbClr w14:val="000000">
                <w14:alpha w14:val="100000"/>
              </w14:srgbClr>
            </w14:solidFill>
          </w14:textFill>
        </w:rPr>
        <w:t>||||||</w:t>
      </w:r>
      <w:r w:rsidRPr="00C7731E">
        <w:rPr>
          <w:rFonts w:ascii="Franklin Gothic Book" w:hAnsi="Franklin Gothic Book"/>
          <w:iCs/>
        </w:rPr>
        <w:t xml:space="preserve"> and $</w:t>
      </w:r>
      <w:r w:rsidR="00AE3E5D" w:rsidRPr="00AE3E5D">
        <w:rPr>
          <w:rFonts w:ascii="Franklin Gothic Book" w:hAnsi="Franklin Gothic Book"/>
          <w:iCs/>
          <w:color w:val="000000"/>
          <w:w w:val="65"/>
          <w:shd w:val="solid" w:color="000000" w:fill="000000"/>
          <w:fitText w:val="430" w:id="-1437332471"/>
          <w14:textFill>
            <w14:solidFill>
              <w14:srgbClr w14:val="000000">
                <w14:alpha w14:val="100000"/>
              </w14:srgbClr>
            </w14:solidFill>
          </w14:textFill>
        </w:rPr>
        <w:t>|||||</w:t>
      </w:r>
      <w:r w:rsidR="00AE3E5D" w:rsidRPr="00AE3E5D">
        <w:rPr>
          <w:rFonts w:ascii="Franklin Gothic Book" w:hAnsi="Franklin Gothic Book"/>
          <w:iCs/>
          <w:color w:val="000000"/>
          <w:spacing w:val="2"/>
          <w:w w:val="65"/>
          <w:shd w:val="solid" w:color="000000" w:fill="000000"/>
          <w:fitText w:val="430" w:id="-1437332471"/>
          <w14:textFill>
            <w14:solidFill>
              <w14:srgbClr w14:val="000000">
                <w14:alpha w14:val="100000"/>
              </w14:srgbClr>
            </w14:solidFill>
          </w14:textFill>
        </w:rPr>
        <w:t>|</w:t>
      </w:r>
      <w:r w:rsidRPr="006A2C29">
        <w:rPr>
          <w:rFonts w:ascii="Franklin Gothic Book" w:hAnsi="Franklin Gothic Book"/>
          <w:iCs/>
        </w:rPr>
        <w:t xml:space="preserve">, respectively). The analyses were also sensitive to the basis for the change in </w:t>
      </w:r>
      <w:r w:rsidRPr="006A2C29">
        <w:rPr>
          <w:rFonts w:ascii="Franklin Gothic Book" w:hAnsi="Franklin Gothic Book"/>
          <w:iCs/>
        </w:rPr>
        <w:lastRenderedPageBreak/>
        <w:t>management modelled, risk of distant recurrence with ET alone and assumptions regarding the extrapolation of distant recurrence estimates beyond 10 years.</w:t>
      </w:r>
    </w:p>
    <w:p w14:paraId="3BD8C8F4" w14:textId="56BE4C4C" w:rsidR="002056CD" w:rsidRPr="006A2C29" w:rsidRDefault="002056CD" w:rsidP="002056CD">
      <w:pPr>
        <w:keepNext/>
        <w:spacing w:before="360" w:after="120" w:line="240" w:lineRule="auto"/>
        <w:rPr>
          <w:rFonts w:ascii="Arial Narrow" w:eastAsia="Times New Roman" w:hAnsi="Arial Narrow" w:cs="Times New Roman"/>
          <w:b/>
          <w:bCs/>
          <w:iCs/>
          <w:sz w:val="20"/>
          <w:szCs w:val="20"/>
        </w:rPr>
      </w:pPr>
      <w:bookmarkStart w:id="65" w:name="_Ref100143938"/>
      <w:r w:rsidRPr="006A2C29">
        <w:rPr>
          <w:rFonts w:ascii="Arial Narrow" w:eastAsia="Times New Roman" w:hAnsi="Arial Narrow" w:cs="Times New Roman"/>
          <w:b/>
          <w:bCs/>
          <w:iCs/>
          <w:sz w:val="20"/>
          <w:szCs w:val="20"/>
        </w:rPr>
        <w:t xml:space="preserve">Table </w:t>
      </w:r>
      <w:r w:rsidRPr="00C53833">
        <w:rPr>
          <w:rFonts w:ascii="Arial Narrow" w:eastAsia="Times New Roman" w:hAnsi="Arial Narrow" w:cs="Times New Roman"/>
          <w:b/>
          <w:bCs/>
          <w:iCs/>
          <w:sz w:val="20"/>
          <w:szCs w:val="20"/>
        </w:rPr>
        <w:fldChar w:fldCharType="begin"/>
      </w:r>
      <w:r w:rsidRPr="006A2C29">
        <w:rPr>
          <w:rFonts w:ascii="Arial Narrow" w:eastAsia="Times New Roman" w:hAnsi="Arial Narrow" w:cs="Times New Roman"/>
          <w:b/>
          <w:bCs/>
          <w:iCs/>
          <w:sz w:val="20"/>
          <w:szCs w:val="20"/>
        </w:rPr>
        <w:instrText xml:space="preserve"> SEQ Table \* ARABIC </w:instrText>
      </w:r>
      <w:r w:rsidRPr="00C53833">
        <w:rPr>
          <w:rFonts w:ascii="Arial Narrow" w:eastAsia="Times New Roman" w:hAnsi="Arial Narrow" w:cs="Times New Roman"/>
          <w:b/>
          <w:bCs/>
          <w:iCs/>
          <w:sz w:val="20"/>
          <w:szCs w:val="20"/>
        </w:rPr>
        <w:fldChar w:fldCharType="separate"/>
      </w:r>
      <w:r w:rsidR="00943826">
        <w:rPr>
          <w:rFonts w:ascii="Arial Narrow" w:eastAsia="Times New Roman" w:hAnsi="Arial Narrow" w:cs="Times New Roman"/>
          <w:b/>
          <w:bCs/>
          <w:iCs/>
          <w:noProof/>
          <w:sz w:val="20"/>
          <w:szCs w:val="20"/>
        </w:rPr>
        <w:t>18</w:t>
      </w:r>
      <w:r w:rsidRPr="00C53833">
        <w:rPr>
          <w:rFonts w:ascii="Arial Narrow" w:eastAsia="Times New Roman" w:hAnsi="Arial Narrow" w:cs="Times New Roman"/>
          <w:b/>
          <w:bCs/>
          <w:iCs/>
          <w:sz w:val="20"/>
          <w:szCs w:val="20"/>
        </w:rPr>
        <w:fldChar w:fldCharType="end"/>
      </w:r>
      <w:bookmarkEnd w:id="65"/>
      <w:r w:rsidRPr="006A2C29">
        <w:rPr>
          <w:rFonts w:ascii="Arial Narrow" w:eastAsia="Times New Roman" w:hAnsi="Arial Narrow" w:cs="Times New Roman"/>
          <w:b/>
          <w:bCs/>
          <w:iCs/>
          <w:sz w:val="20"/>
          <w:szCs w:val="20"/>
        </w:rPr>
        <w:t>: Key sensitivity analyses, respecified base case</w:t>
      </w:r>
    </w:p>
    <w:tbl>
      <w:tblPr>
        <w:tblStyle w:val="ASDTable2"/>
        <w:tblW w:w="0" w:type="auto"/>
        <w:tblLayout w:type="fixed"/>
        <w:tblLook w:val="04A0" w:firstRow="1" w:lastRow="0" w:firstColumn="1" w:lastColumn="0" w:noHBand="0" w:noVBand="1"/>
      </w:tblPr>
      <w:tblGrid>
        <w:gridCol w:w="4957"/>
        <w:gridCol w:w="992"/>
        <w:gridCol w:w="1181"/>
        <w:gridCol w:w="1087"/>
        <w:gridCol w:w="799"/>
      </w:tblGrid>
      <w:tr w:rsidR="002056CD" w:rsidRPr="007031F8" w14:paraId="657BD2F8" w14:textId="77777777" w:rsidTr="00C53833">
        <w:trPr>
          <w:tblHeader/>
        </w:trPr>
        <w:tc>
          <w:tcPr>
            <w:tcW w:w="4957" w:type="dxa"/>
            <w:tcBorders>
              <w:bottom w:val="single" w:sz="4" w:space="0" w:color="auto"/>
            </w:tcBorders>
            <w:vAlign w:val="center"/>
          </w:tcPr>
          <w:p w14:paraId="06A21F39" w14:textId="77777777" w:rsidR="002056CD" w:rsidRPr="007031F8" w:rsidRDefault="002056CD" w:rsidP="006B0BCC">
            <w:pPr>
              <w:keepNext/>
              <w:jc w:val="center"/>
              <w:rPr>
                <w:rFonts w:ascii="Arial Narrow" w:hAnsi="Arial Narrow"/>
                <w:b/>
                <w:iCs/>
                <w:sz w:val="20"/>
              </w:rPr>
            </w:pPr>
          </w:p>
        </w:tc>
        <w:tc>
          <w:tcPr>
            <w:tcW w:w="992" w:type="dxa"/>
            <w:tcBorders>
              <w:bottom w:val="single" w:sz="4" w:space="0" w:color="auto"/>
            </w:tcBorders>
            <w:vAlign w:val="center"/>
          </w:tcPr>
          <w:p w14:paraId="1494745F" w14:textId="77777777" w:rsidR="002056CD" w:rsidRPr="007031F8" w:rsidRDefault="002056CD" w:rsidP="006B0BCC">
            <w:pPr>
              <w:keepNext/>
              <w:jc w:val="center"/>
              <w:rPr>
                <w:rFonts w:ascii="Arial Narrow" w:hAnsi="Arial Narrow"/>
                <w:b/>
                <w:iCs/>
                <w:sz w:val="20"/>
              </w:rPr>
            </w:pPr>
            <w:r w:rsidRPr="007031F8">
              <w:rPr>
                <w:rFonts w:ascii="Arial Narrow" w:hAnsi="Arial Narrow"/>
                <w:b/>
                <w:iCs/>
                <w:sz w:val="20"/>
              </w:rPr>
              <w:t>Inc. cost</w:t>
            </w:r>
          </w:p>
        </w:tc>
        <w:tc>
          <w:tcPr>
            <w:tcW w:w="1181" w:type="dxa"/>
            <w:tcBorders>
              <w:bottom w:val="single" w:sz="4" w:space="0" w:color="auto"/>
            </w:tcBorders>
            <w:vAlign w:val="center"/>
          </w:tcPr>
          <w:p w14:paraId="1E412FDD" w14:textId="77777777" w:rsidR="002056CD" w:rsidRPr="007031F8" w:rsidRDefault="002056CD" w:rsidP="006B0BCC">
            <w:pPr>
              <w:keepNext/>
              <w:jc w:val="center"/>
              <w:rPr>
                <w:rFonts w:ascii="Arial Narrow" w:hAnsi="Arial Narrow"/>
                <w:b/>
                <w:iCs/>
                <w:sz w:val="20"/>
              </w:rPr>
            </w:pPr>
            <w:r w:rsidRPr="007031F8">
              <w:rPr>
                <w:rFonts w:ascii="Arial Narrow" w:hAnsi="Arial Narrow"/>
                <w:b/>
                <w:iCs/>
                <w:sz w:val="20"/>
              </w:rPr>
              <w:t>Inc. QALYs</w:t>
            </w:r>
          </w:p>
        </w:tc>
        <w:tc>
          <w:tcPr>
            <w:tcW w:w="1087" w:type="dxa"/>
            <w:tcBorders>
              <w:bottom w:val="single" w:sz="4" w:space="0" w:color="auto"/>
            </w:tcBorders>
            <w:vAlign w:val="center"/>
          </w:tcPr>
          <w:p w14:paraId="45D5F279" w14:textId="77777777" w:rsidR="002056CD" w:rsidRPr="007031F8" w:rsidRDefault="002056CD" w:rsidP="006B0BCC">
            <w:pPr>
              <w:keepNext/>
              <w:jc w:val="center"/>
              <w:rPr>
                <w:rFonts w:ascii="Arial Narrow" w:hAnsi="Arial Narrow"/>
                <w:b/>
                <w:iCs/>
                <w:sz w:val="20"/>
              </w:rPr>
            </w:pPr>
            <w:r w:rsidRPr="007031F8">
              <w:rPr>
                <w:rFonts w:ascii="Arial Narrow" w:hAnsi="Arial Narrow"/>
                <w:b/>
                <w:iCs/>
                <w:sz w:val="20"/>
              </w:rPr>
              <w:t>ICER</w:t>
            </w:r>
          </w:p>
        </w:tc>
        <w:tc>
          <w:tcPr>
            <w:tcW w:w="799" w:type="dxa"/>
            <w:tcBorders>
              <w:bottom w:val="single" w:sz="4" w:space="0" w:color="auto"/>
            </w:tcBorders>
            <w:vAlign w:val="center"/>
          </w:tcPr>
          <w:p w14:paraId="3BC3E6D8" w14:textId="77777777" w:rsidR="002056CD" w:rsidRPr="007031F8" w:rsidRDefault="002056CD" w:rsidP="006B0BCC">
            <w:pPr>
              <w:keepNext/>
              <w:jc w:val="center"/>
              <w:rPr>
                <w:rFonts w:ascii="Arial Narrow" w:hAnsi="Arial Narrow"/>
                <w:b/>
                <w:iCs/>
                <w:sz w:val="20"/>
              </w:rPr>
            </w:pPr>
            <w:r w:rsidRPr="007031F8">
              <w:rPr>
                <w:rFonts w:ascii="Arial Narrow" w:hAnsi="Arial Narrow"/>
                <w:b/>
                <w:iCs/>
                <w:sz w:val="20"/>
              </w:rPr>
              <w:t>%</w:t>
            </w:r>
          </w:p>
        </w:tc>
      </w:tr>
      <w:tr w:rsidR="002056CD" w:rsidRPr="007031F8" w14:paraId="61C77010" w14:textId="77777777" w:rsidTr="00C53833">
        <w:trPr>
          <w:tblHeader/>
        </w:trPr>
        <w:tc>
          <w:tcPr>
            <w:tcW w:w="4957" w:type="dxa"/>
            <w:tcBorders>
              <w:bottom w:val="single" w:sz="4" w:space="0" w:color="auto"/>
            </w:tcBorders>
          </w:tcPr>
          <w:p w14:paraId="5A596084" w14:textId="77777777" w:rsidR="002056CD" w:rsidRPr="007031F8" w:rsidRDefault="002056CD" w:rsidP="006B0BCC">
            <w:pPr>
              <w:keepNext/>
              <w:rPr>
                <w:rFonts w:ascii="Arial Narrow" w:hAnsi="Arial Narrow"/>
                <w:b/>
                <w:iCs/>
                <w:sz w:val="20"/>
              </w:rPr>
            </w:pPr>
            <w:r w:rsidRPr="007031F8">
              <w:rPr>
                <w:rFonts w:ascii="Arial Narrow" w:hAnsi="Arial Narrow"/>
                <w:b/>
                <w:iCs/>
                <w:sz w:val="20"/>
              </w:rPr>
              <w:t>Respecified base case</w:t>
            </w:r>
          </w:p>
        </w:tc>
        <w:tc>
          <w:tcPr>
            <w:tcW w:w="992" w:type="dxa"/>
            <w:tcBorders>
              <w:bottom w:val="single" w:sz="4" w:space="0" w:color="auto"/>
            </w:tcBorders>
          </w:tcPr>
          <w:p w14:paraId="31D87B6D" w14:textId="2325F272" w:rsidR="002056CD" w:rsidRPr="00C7731E" w:rsidRDefault="002056CD" w:rsidP="006B0BCC">
            <w:pPr>
              <w:keepNext/>
              <w:jc w:val="right"/>
              <w:rPr>
                <w:rFonts w:ascii="Arial Narrow" w:hAnsi="Arial Narrow"/>
                <w:b/>
                <w:iCs/>
                <w:sz w:val="20"/>
              </w:rPr>
            </w:pPr>
            <w:r w:rsidRPr="00C7731E">
              <w:rPr>
                <w:rFonts w:ascii="Arial Narrow" w:hAnsi="Arial Narrow"/>
                <w:b/>
                <w:iCs/>
                <w:sz w:val="20"/>
              </w:rPr>
              <w:t>$</w:t>
            </w:r>
            <w:r w:rsidR="00AE3E5D" w:rsidRPr="00AE3E5D">
              <w:rPr>
                <w:rFonts w:ascii="Arial Narrow" w:hAnsi="Arial Narrow"/>
                <w:b/>
                <w:iCs/>
                <w:color w:val="000000"/>
                <w:spacing w:val="60"/>
                <w:sz w:val="20"/>
                <w:shd w:val="solid" w:color="000000" w:fill="000000"/>
                <w:fitText w:val="152" w:id="-1437332470"/>
                <w14:textFill>
                  <w14:solidFill>
                    <w14:srgbClr w14:val="000000">
                      <w14:alpha w14:val="100000"/>
                    </w14:srgbClr>
                  </w14:solidFill>
                </w14:textFill>
              </w:rPr>
              <w:t>|</w:t>
            </w:r>
            <w:r w:rsidR="00AE3E5D" w:rsidRPr="00AE3E5D">
              <w:rPr>
                <w:rFonts w:ascii="Arial Narrow" w:hAnsi="Arial Narrow"/>
                <w:b/>
                <w:iCs/>
                <w:color w:val="000000"/>
                <w:spacing w:val="1"/>
                <w:sz w:val="20"/>
                <w:shd w:val="solid" w:color="000000" w:fill="000000"/>
                <w:fitText w:val="152" w:id="-1437332470"/>
                <w14:textFill>
                  <w14:solidFill>
                    <w14:srgbClr w14:val="000000">
                      <w14:alpha w14:val="100000"/>
                    </w14:srgbClr>
                  </w14:solidFill>
                </w14:textFill>
              </w:rPr>
              <w:t>|</w:t>
            </w:r>
          </w:p>
        </w:tc>
        <w:tc>
          <w:tcPr>
            <w:tcW w:w="1181" w:type="dxa"/>
            <w:tcBorders>
              <w:bottom w:val="single" w:sz="4" w:space="0" w:color="auto"/>
            </w:tcBorders>
          </w:tcPr>
          <w:p w14:paraId="5903C569" w14:textId="77777777" w:rsidR="002056CD" w:rsidRPr="00C7731E" w:rsidRDefault="002056CD" w:rsidP="006B0BCC">
            <w:pPr>
              <w:keepNext/>
              <w:jc w:val="right"/>
              <w:rPr>
                <w:rFonts w:ascii="Arial Narrow" w:hAnsi="Arial Narrow"/>
                <w:b/>
                <w:iCs/>
                <w:sz w:val="20"/>
              </w:rPr>
            </w:pPr>
            <w:r w:rsidRPr="00C7731E">
              <w:rPr>
                <w:rFonts w:ascii="Arial Narrow" w:hAnsi="Arial Narrow"/>
                <w:b/>
                <w:iCs/>
                <w:sz w:val="20"/>
              </w:rPr>
              <w:t>0.010</w:t>
            </w:r>
          </w:p>
        </w:tc>
        <w:tc>
          <w:tcPr>
            <w:tcW w:w="1087" w:type="dxa"/>
            <w:tcBorders>
              <w:bottom w:val="single" w:sz="4" w:space="0" w:color="auto"/>
            </w:tcBorders>
          </w:tcPr>
          <w:p w14:paraId="00B92B8F" w14:textId="360716F0" w:rsidR="002056CD" w:rsidRPr="00C7731E" w:rsidRDefault="002056CD" w:rsidP="006B0BCC">
            <w:pPr>
              <w:keepNext/>
              <w:jc w:val="right"/>
              <w:rPr>
                <w:rFonts w:ascii="Arial Narrow" w:hAnsi="Arial Narrow"/>
                <w:b/>
                <w:iCs/>
                <w:sz w:val="20"/>
              </w:rPr>
            </w:pPr>
            <w:r w:rsidRPr="00C7731E">
              <w:rPr>
                <w:rFonts w:ascii="Arial Narrow" w:hAnsi="Arial Narrow"/>
                <w:b/>
                <w:iCs/>
                <w:sz w:val="20"/>
              </w:rPr>
              <w:t>$</w:t>
            </w:r>
            <w:r w:rsidR="00AE3E5D" w:rsidRPr="00AE3E5D">
              <w:rPr>
                <w:rFonts w:ascii="Arial Narrow" w:hAnsi="Arial Narrow" w:hint="eastAsia"/>
                <w:b/>
                <w:iCs/>
                <w:color w:val="000000"/>
                <w:w w:val="15"/>
                <w:sz w:val="20"/>
                <w:shd w:val="solid" w:color="000000" w:fill="000000"/>
                <w:fitText w:val="55" w:id="-1437332469"/>
                <w14:textFill>
                  <w14:solidFill>
                    <w14:srgbClr w14:val="000000">
                      <w14:alpha w14:val="100000"/>
                    </w14:srgbClr>
                  </w14:solidFill>
                </w14:textFill>
              </w:rPr>
              <w:t xml:space="preserve">　</w:t>
            </w:r>
            <w:r w:rsidR="00AE3E5D" w:rsidRPr="00AE3E5D">
              <w:rPr>
                <w:rFonts w:ascii="Arial Narrow" w:hAnsi="Arial Narrow"/>
                <w:b/>
                <w:iCs/>
                <w:color w:val="000000"/>
                <w:w w:val="15"/>
                <w:sz w:val="20"/>
                <w:shd w:val="solid" w:color="000000" w:fill="000000"/>
                <w:fitText w:val="55" w:id="-1437332469"/>
                <w14:textFill>
                  <w14:solidFill>
                    <w14:srgbClr w14:val="000000">
                      <w14:alpha w14:val="100000"/>
                    </w14:srgbClr>
                  </w14:solidFill>
                </w14:textFill>
              </w:rPr>
              <w:t>|</w:t>
            </w:r>
            <w:r w:rsidR="00AE3E5D" w:rsidRPr="00AE3E5D">
              <w:rPr>
                <w:rFonts w:ascii="Arial Narrow" w:hAnsi="Arial Narrow" w:hint="eastAsia"/>
                <w:b/>
                <w:iCs/>
                <w:color w:val="000000"/>
                <w:spacing w:val="-11"/>
                <w:w w:val="15"/>
                <w:sz w:val="20"/>
                <w:shd w:val="solid" w:color="000000" w:fill="000000"/>
                <w:fitText w:val="55" w:id="-1437332469"/>
                <w14:textFill>
                  <w14:solidFill>
                    <w14:srgbClr w14:val="000000">
                      <w14:alpha w14:val="100000"/>
                    </w14:srgbClr>
                  </w14:solidFill>
                </w14:textFill>
              </w:rPr>
              <w:t xml:space="preserve">　</w:t>
            </w:r>
          </w:p>
        </w:tc>
        <w:tc>
          <w:tcPr>
            <w:tcW w:w="799" w:type="dxa"/>
            <w:tcBorders>
              <w:bottom w:val="single" w:sz="4" w:space="0" w:color="auto"/>
            </w:tcBorders>
          </w:tcPr>
          <w:p w14:paraId="5AC8BB54" w14:textId="77777777" w:rsidR="002056CD" w:rsidRPr="00C7731E" w:rsidRDefault="002056CD" w:rsidP="006B0BCC">
            <w:pPr>
              <w:keepNext/>
              <w:jc w:val="right"/>
              <w:rPr>
                <w:rFonts w:ascii="Arial Narrow" w:hAnsi="Arial Narrow"/>
                <w:b/>
                <w:iCs/>
                <w:sz w:val="20"/>
              </w:rPr>
            </w:pPr>
          </w:p>
        </w:tc>
      </w:tr>
      <w:tr w:rsidR="002056CD" w:rsidRPr="007031F8" w14:paraId="403DA743" w14:textId="77777777" w:rsidTr="00C53833">
        <w:tc>
          <w:tcPr>
            <w:tcW w:w="4957" w:type="dxa"/>
            <w:tcBorders>
              <w:right w:val="nil"/>
            </w:tcBorders>
          </w:tcPr>
          <w:p w14:paraId="3B23065B" w14:textId="77777777" w:rsidR="002056CD" w:rsidRPr="007031F8" w:rsidRDefault="002056CD" w:rsidP="006B0BCC">
            <w:pPr>
              <w:keepNext/>
              <w:rPr>
                <w:rFonts w:ascii="Arial Narrow" w:hAnsi="Arial Narrow"/>
                <w:iCs/>
                <w:sz w:val="20"/>
              </w:rPr>
            </w:pPr>
            <w:r w:rsidRPr="007031F8">
              <w:rPr>
                <w:rFonts w:ascii="Arial Narrow" w:hAnsi="Arial Narrow"/>
                <w:iCs/>
                <w:sz w:val="20"/>
              </w:rPr>
              <w:t>Change in management</w:t>
            </w:r>
          </w:p>
        </w:tc>
        <w:tc>
          <w:tcPr>
            <w:tcW w:w="992" w:type="dxa"/>
            <w:tcBorders>
              <w:left w:val="nil"/>
              <w:right w:val="nil"/>
            </w:tcBorders>
          </w:tcPr>
          <w:p w14:paraId="49B7A427" w14:textId="77777777" w:rsidR="002056CD" w:rsidRPr="00C7731E" w:rsidRDefault="002056CD" w:rsidP="006B0BCC">
            <w:pPr>
              <w:keepNext/>
              <w:jc w:val="right"/>
              <w:rPr>
                <w:rFonts w:ascii="Arial Narrow" w:hAnsi="Arial Narrow"/>
                <w:iCs/>
                <w:sz w:val="20"/>
              </w:rPr>
            </w:pPr>
          </w:p>
        </w:tc>
        <w:tc>
          <w:tcPr>
            <w:tcW w:w="1181" w:type="dxa"/>
            <w:tcBorders>
              <w:left w:val="nil"/>
              <w:right w:val="nil"/>
            </w:tcBorders>
          </w:tcPr>
          <w:p w14:paraId="252156DE" w14:textId="77777777" w:rsidR="002056CD" w:rsidRPr="00C7731E" w:rsidRDefault="002056CD" w:rsidP="006B0BCC">
            <w:pPr>
              <w:keepNext/>
              <w:jc w:val="right"/>
              <w:rPr>
                <w:rFonts w:ascii="Arial Narrow" w:hAnsi="Arial Narrow"/>
                <w:iCs/>
                <w:sz w:val="20"/>
              </w:rPr>
            </w:pPr>
          </w:p>
        </w:tc>
        <w:tc>
          <w:tcPr>
            <w:tcW w:w="1087" w:type="dxa"/>
            <w:tcBorders>
              <w:left w:val="nil"/>
              <w:right w:val="nil"/>
            </w:tcBorders>
          </w:tcPr>
          <w:p w14:paraId="0B0E4F4E" w14:textId="77777777" w:rsidR="002056CD" w:rsidRPr="00C7731E" w:rsidRDefault="002056CD" w:rsidP="006B0BCC">
            <w:pPr>
              <w:keepNext/>
              <w:jc w:val="right"/>
              <w:rPr>
                <w:rFonts w:ascii="Arial Narrow" w:hAnsi="Arial Narrow"/>
                <w:iCs/>
                <w:sz w:val="20"/>
              </w:rPr>
            </w:pPr>
          </w:p>
        </w:tc>
        <w:tc>
          <w:tcPr>
            <w:tcW w:w="799" w:type="dxa"/>
            <w:tcBorders>
              <w:left w:val="nil"/>
            </w:tcBorders>
          </w:tcPr>
          <w:p w14:paraId="3F050FD8" w14:textId="77777777" w:rsidR="002056CD" w:rsidRPr="00C7731E" w:rsidRDefault="002056CD" w:rsidP="006B0BCC">
            <w:pPr>
              <w:keepNext/>
              <w:jc w:val="right"/>
              <w:rPr>
                <w:rFonts w:ascii="Arial Narrow" w:hAnsi="Arial Narrow"/>
                <w:iCs/>
                <w:sz w:val="20"/>
              </w:rPr>
            </w:pPr>
          </w:p>
        </w:tc>
      </w:tr>
      <w:tr w:rsidR="002056CD" w:rsidRPr="007031F8" w14:paraId="0AB64A92" w14:textId="77777777" w:rsidTr="00C53833">
        <w:tc>
          <w:tcPr>
            <w:tcW w:w="4957" w:type="dxa"/>
            <w:tcBorders>
              <w:bottom w:val="single" w:sz="4" w:space="0" w:color="auto"/>
            </w:tcBorders>
          </w:tcPr>
          <w:p w14:paraId="18468E5B" w14:textId="77777777" w:rsidR="002056CD" w:rsidRPr="007031F8" w:rsidRDefault="002056CD" w:rsidP="006B0BCC">
            <w:pPr>
              <w:keepNext/>
              <w:rPr>
                <w:rFonts w:ascii="Arial Narrow" w:hAnsi="Arial Narrow"/>
                <w:iCs/>
                <w:sz w:val="20"/>
              </w:rPr>
            </w:pPr>
            <w:r w:rsidRPr="007031F8">
              <w:rPr>
                <w:rFonts w:ascii="Arial Narrow" w:hAnsi="Arial Narrow"/>
                <w:iCs/>
                <w:sz w:val="20"/>
              </w:rPr>
              <w:t>Based on MDT recommendations</w:t>
            </w:r>
          </w:p>
        </w:tc>
        <w:tc>
          <w:tcPr>
            <w:tcW w:w="992" w:type="dxa"/>
            <w:tcBorders>
              <w:bottom w:val="single" w:sz="4" w:space="0" w:color="auto"/>
            </w:tcBorders>
          </w:tcPr>
          <w:p w14:paraId="65D00ACE" w14:textId="6E114821" w:rsidR="002056CD" w:rsidRPr="00C7731E" w:rsidRDefault="002056CD" w:rsidP="006B0BCC">
            <w:pPr>
              <w:keepNext/>
              <w:jc w:val="right"/>
              <w:rPr>
                <w:rFonts w:ascii="Arial Narrow" w:hAnsi="Arial Narrow"/>
                <w:iCs/>
                <w:sz w:val="20"/>
              </w:rPr>
            </w:pPr>
            <w:r w:rsidRPr="00C7731E">
              <w:rPr>
                <w:rFonts w:ascii="Arial Narrow" w:hAnsi="Arial Narrow"/>
                <w:iCs/>
                <w:sz w:val="20"/>
              </w:rPr>
              <w:t>$</w:t>
            </w:r>
            <w:r w:rsidR="00AE3E5D" w:rsidRPr="00AE3E5D">
              <w:rPr>
                <w:rFonts w:ascii="Arial Narrow" w:hAnsi="Arial Narrow" w:hint="eastAsia"/>
                <w:iCs/>
                <w:color w:val="000000"/>
                <w:w w:val="18"/>
                <w:sz w:val="20"/>
                <w:shd w:val="solid" w:color="000000" w:fill="000000"/>
                <w:fitText w:val="83" w:id="-1437332468"/>
                <w14:textFill>
                  <w14:solidFill>
                    <w14:srgbClr w14:val="000000">
                      <w14:alpha w14:val="100000"/>
                    </w14:srgbClr>
                  </w14:solidFill>
                </w14:textFill>
              </w:rPr>
              <w:t xml:space="preserve">　</w:t>
            </w:r>
            <w:r w:rsidR="00AE3E5D" w:rsidRPr="00AE3E5D">
              <w:rPr>
                <w:rFonts w:ascii="Arial Narrow" w:hAnsi="Arial Narrow"/>
                <w:iCs/>
                <w:color w:val="000000"/>
                <w:w w:val="18"/>
                <w:sz w:val="20"/>
                <w:shd w:val="solid" w:color="000000" w:fill="000000"/>
                <w:fitText w:val="83" w:id="-1437332468"/>
                <w14:textFill>
                  <w14:solidFill>
                    <w14:srgbClr w14:val="000000">
                      <w14:alpha w14:val="100000"/>
                    </w14:srgbClr>
                  </w14:solidFill>
                </w14:textFill>
              </w:rPr>
              <w:t>|</w:t>
            </w:r>
            <w:r w:rsidR="00AE3E5D" w:rsidRPr="00AE3E5D">
              <w:rPr>
                <w:rFonts w:ascii="Arial Narrow" w:hAnsi="Arial Narrow" w:hint="eastAsia"/>
                <w:iCs/>
                <w:color w:val="000000"/>
                <w:spacing w:val="3"/>
                <w:w w:val="18"/>
                <w:sz w:val="20"/>
                <w:shd w:val="solid" w:color="000000" w:fill="000000"/>
                <w:fitText w:val="83" w:id="-1437332468"/>
                <w14:textFill>
                  <w14:solidFill>
                    <w14:srgbClr w14:val="000000">
                      <w14:alpha w14:val="100000"/>
                    </w14:srgbClr>
                  </w14:solidFill>
                </w14:textFill>
              </w:rPr>
              <w:t xml:space="preserve">　</w:t>
            </w:r>
          </w:p>
        </w:tc>
        <w:tc>
          <w:tcPr>
            <w:tcW w:w="1181" w:type="dxa"/>
            <w:tcBorders>
              <w:bottom w:val="single" w:sz="4" w:space="0" w:color="auto"/>
            </w:tcBorders>
          </w:tcPr>
          <w:p w14:paraId="793B6131" w14:textId="77777777" w:rsidR="002056CD" w:rsidRPr="00C7731E" w:rsidRDefault="002056CD" w:rsidP="006B0BCC">
            <w:pPr>
              <w:keepNext/>
              <w:jc w:val="right"/>
              <w:rPr>
                <w:rFonts w:ascii="Arial Narrow" w:hAnsi="Arial Narrow"/>
                <w:iCs/>
                <w:sz w:val="20"/>
              </w:rPr>
            </w:pPr>
            <w:r w:rsidRPr="00C7731E">
              <w:rPr>
                <w:rFonts w:ascii="Arial Narrow" w:hAnsi="Arial Narrow"/>
                <w:iCs/>
                <w:sz w:val="20"/>
              </w:rPr>
              <w:t>0.010</w:t>
            </w:r>
          </w:p>
        </w:tc>
        <w:tc>
          <w:tcPr>
            <w:tcW w:w="1087" w:type="dxa"/>
            <w:tcBorders>
              <w:bottom w:val="single" w:sz="4" w:space="0" w:color="auto"/>
            </w:tcBorders>
          </w:tcPr>
          <w:p w14:paraId="760C8544" w14:textId="482D503E" w:rsidR="002056CD" w:rsidRPr="00C7731E" w:rsidRDefault="002056CD" w:rsidP="006B0BCC">
            <w:pPr>
              <w:keepNext/>
              <w:jc w:val="right"/>
              <w:rPr>
                <w:rFonts w:ascii="Arial Narrow" w:hAnsi="Arial Narrow"/>
                <w:iCs/>
                <w:sz w:val="20"/>
              </w:rPr>
            </w:pPr>
            <w:r w:rsidRPr="00C7731E">
              <w:rPr>
                <w:rFonts w:ascii="Arial Narrow" w:hAnsi="Arial Narrow"/>
                <w:iCs/>
                <w:sz w:val="20"/>
              </w:rPr>
              <w:t>$</w:t>
            </w:r>
            <w:r w:rsidR="00AE3E5D" w:rsidRPr="00AE3E5D">
              <w:rPr>
                <w:rFonts w:ascii="Arial Narrow" w:hAnsi="Arial Narrow"/>
                <w:iCs/>
                <w:color w:val="000000"/>
                <w:sz w:val="20"/>
                <w:shd w:val="solid" w:color="000000" w:fill="000000"/>
                <w14:textFill>
                  <w14:solidFill>
                    <w14:srgbClr w14:val="000000">
                      <w14:alpha w14:val="100000"/>
                    </w14:srgbClr>
                  </w14:solidFill>
                </w14:textFill>
              </w:rPr>
              <w:t>|</w:t>
            </w:r>
          </w:p>
        </w:tc>
        <w:tc>
          <w:tcPr>
            <w:tcW w:w="799" w:type="dxa"/>
            <w:tcBorders>
              <w:bottom w:val="single" w:sz="4" w:space="0" w:color="auto"/>
            </w:tcBorders>
          </w:tcPr>
          <w:p w14:paraId="59617444" w14:textId="77777777" w:rsidR="002056CD" w:rsidRPr="00C7731E" w:rsidRDefault="002056CD" w:rsidP="006B0BCC">
            <w:pPr>
              <w:keepNext/>
              <w:jc w:val="right"/>
              <w:rPr>
                <w:rFonts w:ascii="Arial Narrow" w:hAnsi="Arial Narrow"/>
                <w:iCs/>
                <w:sz w:val="20"/>
              </w:rPr>
            </w:pPr>
            <w:r w:rsidRPr="00C7731E">
              <w:rPr>
                <w:rFonts w:ascii="Arial Narrow" w:hAnsi="Arial Narrow"/>
                <w:iCs/>
                <w:sz w:val="20"/>
              </w:rPr>
              <w:t>75%</w:t>
            </w:r>
          </w:p>
        </w:tc>
      </w:tr>
      <w:tr w:rsidR="002056CD" w:rsidRPr="007031F8" w14:paraId="7FF63D95" w14:textId="77777777" w:rsidTr="00C53833">
        <w:tc>
          <w:tcPr>
            <w:tcW w:w="4957" w:type="dxa"/>
            <w:tcBorders>
              <w:bottom w:val="single" w:sz="4" w:space="0" w:color="auto"/>
              <w:right w:val="nil"/>
            </w:tcBorders>
          </w:tcPr>
          <w:p w14:paraId="0E576BCE" w14:textId="77777777" w:rsidR="002056CD" w:rsidRPr="007031F8" w:rsidRDefault="002056CD" w:rsidP="006B0BCC">
            <w:pPr>
              <w:keepNext/>
              <w:rPr>
                <w:rFonts w:ascii="Arial Narrow" w:hAnsi="Arial Narrow"/>
                <w:iCs/>
                <w:sz w:val="20"/>
              </w:rPr>
            </w:pPr>
            <w:r w:rsidRPr="007031F8">
              <w:rPr>
                <w:rFonts w:ascii="Arial Narrow" w:hAnsi="Arial Narrow"/>
                <w:iCs/>
                <w:sz w:val="20"/>
              </w:rPr>
              <w:t>Transition probabilities derived from the EPclin score</w:t>
            </w:r>
          </w:p>
        </w:tc>
        <w:tc>
          <w:tcPr>
            <w:tcW w:w="992" w:type="dxa"/>
            <w:tcBorders>
              <w:left w:val="nil"/>
              <w:bottom w:val="single" w:sz="4" w:space="0" w:color="auto"/>
              <w:right w:val="nil"/>
            </w:tcBorders>
          </w:tcPr>
          <w:p w14:paraId="4ACF6A1E" w14:textId="77777777" w:rsidR="002056CD" w:rsidRPr="00C7731E" w:rsidRDefault="002056CD" w:rsidP="006B0BCC">
            <w:pPr>
              <w:keepNext/>
              <w:jc w:val="right"/>
              <w:rPr>
                <w:rFonts w:ascii="Arial Narrow" w:hAnsi="Arial Narrow"/>
                <w:iCs/>
                <w:sz w:val="20"/>
              </w:rPr>
            </w:pPr>
          </w:p>
        </w:tc>
        <w:tc>
          <w:tcPr>
            <w:tcW w:w="1181" w:type="dxa"/>
            <w:tcBorders>
              <w:left w:val="nil"/>
              <w:bottom w:val="single" w:sz="4" w:space="0" w:color="auto"/>
              <w:right w:val="nil"/>
            </w:tcBorders>
          </w:tcPr>
          <w:p w14:paraId="1226E827" w14:textId="77777777" w:rsidR="002056CD" w:rsidRPr="00C7731E" w:rsidRDefault="002056CD" w:rsidP="006B0BCC">
            <w:pPr>
              <w:keepNext/>
              <w:jc w:val="right"/>
              <w:rPr>
                <w:rFonts w:ascii="Arial Narrow" w:hAnsi="Arial Narrow"/>
                <w:iCs/>
                <w:sz w:val="20"/>
              </w:rPr>
            </w:pPr>
          </w:p>
        </w:tc>
        <w:tc>
          <w:tcPr>
            <w:tcW w:w="1087" w:type="dxa"/>
            <w:tcBorders>
              <w:left w:val="nil"/>
              <w:bottom w:val="single" w:sz="4" w:space="0" w:color="auto"/>
              <w:right w:val="nil"/>
            </w:tcBorders>
          </w:tcPr>
          <w:p w14:paraId="79A4DF2E" w14:textId="77777777" w:rsidR="002056CD" w:rsidRPr="00C7731E" w:rsidRDefault="002056CD" w:rsidP="006B0BCC">
            <w:pPr>
              <w:keepNext/>
              <w:jc w:val="right"/>
              <w:rPr>
                <w:rFonts w:ascii="Arial Narrow" w:hAnsi="Arial Narrow"/>
                <w:iCs/>
                <w:sz w:val="20"/>
              </w:rPr>
            </w:pPr>
          </w:p>
        </w:tc>
        <w:tc>
          <w:tcPr>
            <w:tcW w:w="799" w:type="dxa"/>
            <w:tcBorders>
              <w:left w:val="nil"/>
              <w:bottom w:val="single" w:sz="4" w:space="0" w:color="auto"/>
            </w:tcBorders>
          </w:tcPr>
          <w:p w14:paraId="4512DEB2" w14:textId="77777777" w:rsidR="002056CD" w:rsidRPr="00C7731E" w:rsidRDefault="002056CD" w:rsidP="006B0BCC">
            <w:pPr>
              <w:keepNext/>
              <w:jc w:val="right"/>
              <w:rPr>
                <w:rFonts w:ascii="Arial Narrow" w:hAnsi="Arial Narrow"/>
                <w:iCs/>
                <w:sz w:val="20"/>
              </w:rPr>
            </w:pPr>
          </w:p>
        </w:tc>
      </w:tr>
      <w:tr w:rsidR="002056CD" w:rsidRPr="007031F8" w14:paraId="2254D695" w14:textId="77777777" w:rsidTr="00C53833">
        <w:tc>
          <w:tcPr>
            <w:tcW w:w="4957" w:type="dxa"/>
            <w:tcBorders>
              <w:bottom w:val="nil"/>
            </w:tcBorders>
          </w:tcPr>
          <w:p w14:paraId="24A5850D" w14:textId="77777777" w:rsidR="002056CD" w:rsidRPr="007031F8" w:rsidRDefault="002056CD" w:rsidP="006B0BCC">
            <w:pPr>
              <w:keepNext/>
              <w:rPr>
                <w:rFonts w:ascii="Arial Narrow" w:hAnsi="Arial Narrow"/>
                <w:iCs/>
                <w:sz w:val="20"/>
              </w:rPr>
            </w:pPr>
            <w:r w:rsidRPr="007031F8">
              <w:rPr>
                <w:rFonts w:ascii="Arial Narrow" w:hAnsi="Arial Narrow"/>
                <w:iCs/>
                <w:sz w:val="20"/>
              </w:rPr>
              <w:t>DR risk by EPclin score, Sestak et al. (</w:t>
            </w:r>
            <w:proofErr w:type="gramStart"/>
            <w:r w:rsidRPr="007031F8">
              <w:rPr>
                <w:rFonts w:ascii="Arial Narrow" w:hAnsi="Arial Narrow"/>
                <w:iCs/>
                <w:sz w:val="20"/>
              </w:rPr>
              <w:t>2019)</w:t>
            </w:r>
            <w:r w:rsidRPr="007031F8">
              <w:rPr>
                <w:rFonts w:ascii="Arial Narrow" w:hAnsi="Arial Narrow"/>
                <w:iCs/>
                <w:sz w:val="20"/>
                <w:vertAlign w:val="superscript"/>
              </w:rPr>
              <w:t>a</w:t>
            </w:r>
            <w:proofErr w:type="gramEnd"/>
            <w:r w:rsidRPr="007031F8">
              <w:rPr>
                <w:rFonts w:ascii="Arial Narrow" w:hAnsi="Arial Narrow"/>
                <w:iCs/>
                <w:sz w:val="20"/>
              </w:rPr>
              <w:t xml:space="preserve"> ET upper 95% CI</w:t>
            </w:r>
          </w:p>
        </w:tc>
        <w:tc>
          <w:tcPr>
            <w:tcW w:w="992" w:type="dxa"/>
            <w:tcBorders>
              <w:bottom w:val="nil"/>
            </w:tcBorders>
          </w:tcPr>
          <w:p w14:paraId="7CEE0A60" w14:textId="0654A109" w:rsidR="002056CD" w:rsidRPr="00C7731E" w:rsidRDefault="002056CD" w:rsidP="006B0BCC">
            <w:pPr>
              <w:keepNext/>
              <w:jc w:val="right"/>
              <w:rPr>
                <w:rFonts w:ascii="Arial Narrow" w:hAnsi="Arial Narrow"/>
                <w:iCs/>
                <w:sz w:val="20"/>
              </w:rPr>
            </w:pPr>
            <w:r w:rsidRPr="00C7731E">
              <w:rPr>
                <w:rFonts w:ascii="Arial Narrow" w:hAnsi="Arial Narrow"/>
                <w:iCs/>
                <w:sz w:val="20"/>
              </w:rPr>
              <w:t>$</w:t>
            </w:r>
            <w:r w:rsidR="00AE3E5D" w:rsidRPr="00AE3E5D">
              <w:rPr>
                <w:rFonts w:ascii="Arial Narrow" w:hAnsi="Arial Narrow" w:hint="eastAsia"/>
                <w:iCs/>
                <w:color w:val="000000"/>
                <w:w w:val="18"/>
                <w:sz w:val="20"/>
                <w:shd w:val="solid" w:color="000000" w:fill="000000"/>
                <w:fitText w:val="83" w:id="-1437332467"/>
                <w14:textFill>
                  <w14:solidFill>
                    <w14:srgbClr w14:val="000000">
                      <w14:alpha w14:val="100000"/>
                    </w14:srgbClr>
                  </w14:solidFill>
                </w14:textFill>
              </w:rPr>
              <w:t xml:space="preserve">　</w:t>
            </w:r>
            <w:r w:rsidR="00AE3E5D" w:rsidRPr="00AE3E5D">
              <w:rPr>
                <w:rFonts w:ascii="Arial Narrow" w:hAnsi="Arial Narrow"/>
                <w:iCs/>
                <w:color w:val="000000"/>
                <w:w w:val="18"/>
                <w:sz w:val="20"/>
                <w:shd w:val="solid" w:color="000000" w:fill="000000"/>
                <w:fitText w:val="83" w:id="-1437332467"/>
                <w14:textFill>
                  <w14:solidFill>
                    <w14:srgbClr w14:val="000000">
                      <w14:alpha w14:val="100000"/>
                    </w14:srgbClr>
                  </w14:solidFill>
                </w14:textFill>
              </w:rPr>
              <w:t>|</w:t>
            </w:r>
            <w:r w:rsidR="00AE3E5D" w:rsidRPr="00AE3E5D">
              <w:rPr>
                <w:rFonts w:ascii="Arial Narrow" w:hAnsi="Arial Narrow" w:hint="eastAsia"/>
                <w:iCs/>
                <w:color w:val="000000"/>
                <w:spacing w:val="3"/>
                <w:w w:val="18"/>
                <w:sz w:val="20"/>
                <w:shd w:val="solid" w:color="000000" w:fill="000000"/>
                <w:fitText w:val="83" w:id="-1437332467"/>
                <w14:textFill>
                  <w14:solidFill>
                    <w14:srgbClr w14:val="000000">
                      <w14:alpha w14:val="100000"/>
                    </w14:srgbClr>
                  </w14:solidFill>
                </w14:textFill>
              </w:rPr>
              <w:t xml:space="preserve">　</w:t>
            </w:r>
          </w:p>
        </w:tc>
        <w:tc>
          <w:tcPr>
            <w:tcW w:w="1181" w:type="dxa"/>
            <w:tcBorders>
              <w:bottom w:val="nil"/>
            </w:tcBorders>
          </w:tcPr>
          <w:p w14:paraId="53111017" w14:textId="77777777" w:rsidR="002056CD" w:rsidRPr="00C7731E" w:rsidRDefault="002056CD" w:rsidP="006B0BCC">
            <w:pPr>
              <w:keepNext/>
              <w:jc w:val="right"/>
              <w:rPr>
                <w:rFonts w:ascii="Arial Narrow" w:hAnsi="Arial Narrow"/>
                <w:iCs/>
                <w:sz w:val="20"/>
              </w:rPr>
            </w:pPr>
            <w:r w:rsidRPr="00C7731E">
              <w:rPr>
                <w:rFonts w:ascii="Arial Narrow" w:hAnsi="Arial Narrow"/>
                <w:iCs/>
                <w:sz w:val="20"/>
              </w:rPr>
              <w:t>0.010</w:t>
            </w:r>
          </w:p>
        </w:tc>
        <w:tc>
          <w:tcPr>
            <w:tcW w:w="1087" w:type="dxa"/>
            <w:tcBorders>
              <w:bottom w:val="nil"/>
            </w:tcBorders>
          </w:tcPr>
          <w:p w14:paraId="50A32F13" w14:textId="71B02467" w:rsidR="002056CD" w:rsidRPr="00C7731E" w:rsidRDefault="002056CD" w:rsidP="006B0BCC">
            <w:pPr>
              <w:keepNext/>
              <w:jc w:val="right"/>
              <w:rPr>
                <w:rFonts w:ascii="Arial Narrow" w:hAnsi="Arial Narrow"/>
                <w:iCs/>
                <w:sz w:val="20"/>
              </w:rPr>
            </w:pPr>
            <w:r w:rsidRPr="00C7731E">
              <w:rPr>
                <w:rFonts w:ascii="Arial Narrow" w:hAnsi="Arial Narrow"/>
                <w:iCs/>
                <w:sz w:val="20"/>
              </w:rPr>
              <w:t>$</w:t>
            </w:r>
            <w:r w:rsidR="00AE3E5D" w:rsidRPr="00AE3E5D">
              <w:rPr>
                <w:rFonts w:ascii="Arial Narrow" w:hAnsi="Arial Narrow"/>
                <w:iCs/>
                <w:color w:val="000000"/>
                <w:sz w:val="20"/>
                <w:shd w:val="solid" w:color="000000" w:fill="000000"/>
                <w14:textFill>
                  <w14:solidFill>
                    <w14:srgbClr w14:val="000000">
                      <w14:alpha w14:val="100000"/>
                    </w14:srgbClr>
                  </w14:solidFill>
                </w14:textFill>
              </w:rPr>
              <w:t>|</w:t>
            </w:r>
          </w:p>
        </w:tc>
        <w:tc>
          <w:tcPr>
            <w:tcW w:w="799" w:type="dxa"/>
            <w:tcBorders>
              <w:bottom w:val="nil"/>
            </w:tcBorders>
          </w:tcPr>
          <w:p w14:paraId="1F51DB40" w14:textId="77777777" w:rsidR="002056CD" w:rsidRPr="00C7731E" w:rsidRDefault="002056CD" w:rsidP="006B0BCC">
            <w:pPr>
              <w:keepNext/>
              <w:jc w:val="right"/>
              <w:rPr>
                <w:rFonts w:ascii="Arial Narrow" w:hAnsi="Arial Narrow"/>
                <w:iCs/>
                <w:sz w:val="20"/>
              </w:rPr>
            </w:pPr>
            <w:r w:rsidRPr="00C7731E">
              <w:rPr>
                <w:rFonts w:ascii="Arial Narrow" w:hAnsi="Arial Narrow"/>
                <w:iCs/>
                <w:sz w:val="20"/>
              </w:rPr>
              <w:t>−4%</w:t>
            </w:r>
          </w:p>
        </w:tc>
      </w:tr>
      <w:tr w:rsidR="002056CD" w:rsidRPr="007031F8" w14:paraId="77CD9892" w14:textId="77777777" w:rsidTr="00C53833">
        <w:tc>
          <w:tcPr>
            <w:tcW w:w="4957" w:type="dxa"/>
            <w:tcBorders>
              <w:top w:val="nil"/>
              <w:bottom w:val="single" w:sz="4" w:space="0" w:color="auto"/>
              <w:right w:val="single" w:sz="4" w:space="0" w:color="auto"/>
            </w:tcBorders>
          </w:tcPr>
          <w:p w14:paraId="2BB8CBAD" w14:textId="77777777" w:rsidR="002056CD" w:rsidRPr="007031F8" w:rsidRDefault="002056CD" w:rsidP="006B0BCC">
            <w:pPr>
              <w:keepNext/>
              <w:rPr>
                <w:rFonts w:ascii="Arial Narrow" w:hAnsi="Arial Narrow"/>
                <w:iCs/>
                <w:sz w:val="20"/>
              </w:rPr>
            </w:pPr>
            <w:r w:rsidRPr="007031F8">
              <w:rPr>
                <w:rFonts w:ascii="Arial Narrow" w:hAnsi="Arial Narrow"/>
                <w:iCs/>
                <w:sz w:val="20"/>
              </w:rPr>
              <w:t>DR risk by EPclin score, Sestak et al. (</w:t>
            </w:r>
            <w:proofErr w:type="gramStart"/>
            <w:r w:rsidRPr="007031F8">
              <w:rPr>
                <w:rFonts w:ascii="Arial Narrow" w:hAnsi="Arial Narrow"/>
                <w:iCs/>
                <w:sz w:val="20"/>
              </w:rPr>
              <w:t>2019)</w:t>
            </w:r>
            <w:r w:rsidRPr="007031F8">
              <w:rPr>
                <w:rFonts w:ascii="Arial Narrow" w:hAnsi="Arial Narrow"/>
                <w:iCs/>
                <w:sz w:val="20"/>
                <w:vertAlign w:val="superscript"/>
              </w:rPr>
              <w:t>a</w:t>
            </w:r>
            <w:proofErr w:type="gramEnd"/>
            <w:r w:rsidRPr="007031F8">
              <w:rPr>
                <w:rFonts w:ascii="Arial Narrow" w:hAnsi="Arial Narrow"/>
                <w:iCs/>
                <w:sz w:val="20"/>
              </w:rPr>
              <w:t xml:space="preserve"> ET lower 95% CI</w:t>
            </w:r>
          </w:p>
        </w:tc>
        <w:tc>
          <w:tcPr>
            <w:tcW w:w="992" w:type="dxa"/>
            <w:tcBorders>
              <w:top w:val="nil"/>
              <w:left w:val="single" w:sz="4" w:space="0" w:color="auto"/>
              <w:bottom w:val="single" w:sz="4" w:space="0" w:color="auto"/>
              <w:right w:val="single" w:sz="4" w:space="0" w:color="auto"/>
            </w:tcBorders>
          </w:tcPr>
          <w:p w14:paraId="6B6A7281" w14:textId="56C111FC" w:rsidR="002056CD" w:rsidRPr="00C7731E" w:rsidRDefault="002056CD" w:rsidP="006B0BCC">
            <w:pPr>
              <w:keepNext/>
              <w:jc w:val="right"/>
              <w:rPr>
                <w:rFonts w:ascii="Arial Narrow" w:hAnsi="Arial Narrow"/>
                <w:iCs/>
                <w:sz w:val="20"/>
              </w:rPr>
            </w:pPr>
            <w:r w:rsidRPr="00C7731E">
              <w:rPr>
                <w:rFonts w:ascii="Arial Narrow" w:hAnsi="Arial Narrow"/>
                <w:iCs/>
                <w:sz w:val="20"/>
              </w:rPr>
              <w:t>$</w:t>
            </w:r>
            <w:r w:rsidR="00AE3E5D" w:rsidRPr="00AE3E5D">
              <w:rPr>
                <w:rFonts w:ascii="Arial Narrow" w:hAnsi="Arial Narrow" w:hint="eastAsia"/>
                <w:iCs/>
                <w:color w:val="000000"/>
                <w:w w:val="18"/>
                <w:sz w:val="20"/>
                <w:shd w:val="solid" w:color="000000" w:fill="000000"/>
                <w:fitText w:val="83" w:id="-1437332466"/>
                <w14:textFill>
                  <w14:solidFill>
                    <w14:srgbClr w14:val="000000">
                      <w14:alpha w14:val="100000"/>
                    </w14:srgbClr>
                  </w14:solidFill>
                </w14:textFill>
              </w:rPr>
              <w:t xml:space="preserve">　</w:t>
            </w:r>
            <w:r w:rsidR="00AE3E5D" w:rsidRPr="00AE3E5D">
              <w:rPr>
                <w:rFonts w:ascii="Arial Narrow" w:hAnsi="Arial Narrow"/>
                <w:iCs/>
                <w:color w:val="000000"/>
                <w:w w:val="18"/>
                <w:sz w:val="20"/>
                <w:shd w:val="solid" w:color="000000" w:fill="000000"/>
                <w:fitText w:val="83" w:id="-1437332466"/>
                <w14:textFill>
                  <w14:solidFill>
                    <w14:srgbClr w14:val="000000">
                      <w14:alpha w14:val="100000"/>
                    </w14:srgbClr>
                  </w14:solidFill>
                </w14:textFill>
              </w:rPr>
              <w:t>|</w:t>
            </w:r>
            <w:r w:rsidR="00AE3E5D" w:rsidRPr="00AE3E5D">
              <w:rPr>
                <w:rFonts w:ascii="Arial Narrow" w:hAnsi="Arial Narrow" w:hint="eastAsia"/>
                <w:iCs/>
                <w:color w:val="000000"/>
                <w:spacing w:val="3"/>
                <w:w w:val="18"/>
                <w:sz w:val="20"/>
                <w:shd w:val="solid" w:color="000000" w:fill="000000"/>
                <w:fitText w:val="83" w:id="-1437332466"/>
                <w14:textFill>
                  <w14:solidFill>
                    <w14:srgbClr w14:val="000000">
                      <w14:alpha w14:val="100000"/>
                    </w14:srgbClr>
                  </w14:solidFill>
                </w14:textFill>
              </w:rPr>
              <w:t xml:space="preserve">　</w:t>
            </w:r>
          </w:p>
        </w:tc>
        <w:tc>
          <w:tcPr>
            <w:tcW w:w="1181" w:type="dxa"/>
            <w:tcBorders>
              <w:top w:val="nil"/>
              <w:left w:val="single" w:sz="4" w:space="0" w:color="auto"/>
              <w:bottom w:val="single" w:sz="4" w:space="0" w:color="auto"/>
              <w:right w:val="single" w:sz="4" w:space="0" w:color="auto"/>
            </w:tcBorders>
          </w:tcPr>
          <w:p w14:paraId="6DB7A3B7" w14:textId="77777777" w:rsidR="002056CD" w:rsidRPr="00C7731E" w:rsidRDefault="002056CD" w:rsidP="006B0BCC">
            <w:pPr>
              <w:keepNext/>
              <w:jc w:val="right"/>
              <w:rPr>
                <w:rFonts w:ascii="Arial Narrow" w:hAnsi="Arial Narrow"/>
                <w:iCs/>
                <w:sz w:val="20"/>
              </w:rPr>
            </w:pPr>
            <w:r w:rsidRPr="00C7731E">
              <w:rPr>
                <w:rFonts w:ascii="Arial Narrow" w:hAnsi="Arial Narrow"/>
                <w:iCs/>
                <w:sz w:val="20"/>
              </w:rPr>
              <w:t>0.007</w:t>
            </w:r>
          </w:p>
        </w:tc>
        <w:tc>
          <w:tcPr>
            <w:tcW w:w="1087" w:type="dxa"/>
            <w:tcBorders>
              <w:top w:val="nil"/>
              <w:left w:val="single" w:sz="4" w:space="0" w:color="auto"/>
              <w:bottom w:val="single" w:sz="4" w:space="0" w:color="auto"/>
              <w:right w:val="single" w:sz="4" w:space="0" w:color="auto"/>
            </w:tcBorders>
          </w:tcPr>
          <w:p w14:paraId="39109034" w14:textId="08FD0008" w:rsidR="002056CD" w:rsidRPr="00C7731E" w:rsidRDefault="002056CD" w:rsidP="006B0BCC">
            <w:pPr>
              <w:keepNext/>
              <w:jc w:val="right"/>
              <w:rPr>
                <w:rFonts w:ascii="Arial Narrow" w:hAnsi="Arial Narrow"/>
                <w:iCs/>
                <w:sz w:val="20"/>
              </w:rPr>
            </w:pPr>
            <w:r w:rsidRPr="00C7731E">
              <w:rPr>
                <w:rFonts w:ascii="Arial Narrow" w:hAnsi="Arial Narrow"/>
                <w:iCs/>
                <w:sz w:val="20"/>
              </w:rPr>
              <w:t>$</w:t>
            </w:r>
            <w:r w:rsidR="00AE3E5D" w:rsidRPr="00AE3E5D">
              <w:rPr>
                <w:rFonts w:ascii="Arial Narrow" w:hAnsi="Arial Narrow"/>
                <w:iCs/>
                <w:color w:val="000000"/>
                <w:sz w:val="20"/>
                <w:shd w:val="solid" w:color="000000" w:fill="000000"/>
                <w14:textFill>
                  <w14:solidFill>
                    <w14:srgbClr w14:val="000000">
                      <w14:alpha w14:val="100000"/>
                    </w14:srgbClr>
                  </w14:solidFill>
                </w14:textFill>
              </w:rPr>
              <w:t>|</w:t>
            </w:r>
          </w:p>
        </w:tc>
        <w:tc>
          <w:tcPr>
            <w:tcW w:w="799" w:type="dxa"/>
            <w:tcBorders>
              <w:top w:val="nil"/>
              <w:left w:val="single" w:sz="4" w:space="0" w:color="auto"/>
              <w:bottom w:val="single" w:sz="4" w:space="0" w:color="auto"/>
            </w:tcBorders>
          </w:tcPr>
          <w:p w14:paraId="4B78E3F2" w14:textId="77777777" w:rsidR="002056CD" w:rsidRPr="00C7731E" w:rsidRDefault="002056CD" w:rsidP="006B0BCC">
            <w:pPr>
              <w:keepNext/>
              <w:jc w:val="right"/>
              <w:rPr>
                <w:rFonts w:ascii="Arial Narrow" w:hAnsi="Arial Narrow"/>
                <w:iCs/>
                <w:sz w:val="20"/>
              </w:rPr>
            </w:pPr>
            <w:r w:rsidRPr="00C7731E">
              <w:rPr>
                <w:rFonts w:ascii="Arial Narrow" w:hAnsi="Arial Narrow"/>
                <w:iCs/>
                <w:sz w:val="20"/>
              </w:rPr>
              <w:t>42%</w:t>
            </w:r>
          </w:p>
        </w:tc>
      </w:tr>
      <w:tr w:rsidR="002056CD" w:rsidRPr="007031F8" w14:paraId="07CB7E7E" w14:textId="77777777" w:rsidTr="00C53833">
        <w:tc>
          <w:tcPr>
            <w:tcW w:w="4957" w:type="dxa"/>
            <w:tcBorders>
              <w:right w:val="nil"/>
            </w:tcBorders>
          </w:tcPr>
          <w:p w14:paraId="25631B31" w14:textId="77777777" w:rsidR="002056CD" w:rsidRPr="007031F8" w:rsidRDefault="002056CD" w:rsidP="006B0BCC">
            <w:pPr>
              <w:keepNext/>
              <w:rPr>
                <w:rFonts w:ascii="Arial Narrow" w:hAnsi="Arial Narrow"/>
                <w:iCs/>
                <w:sz w:val="20"/>
              </w:rPr>
            </w:pPr>
            <w:r w:rsidRPr="007031F8">
              <w:rPr>
                <w:rFonts w:ascii="Arial Narrow" w:hAnsi="Arial Narrow"/>
                <w:iCs/>
                <w:sz w:val="20"/>
              </w:rPr>
              <w:t>Extrapolation of 10-year risk DR rate</w:t>
            </w:r>
          </w:p>
        </w:tc>
        <w:tc>
          <w:tcPr>
            <w:tcW w:w="992" w:type="dxa"/>
            <w:tcBorders>
              <w:left w:val="nil"/>
              <w:right w:val="nil"/>
            </w:tcBorders>
          </w:tcPr>
          <w:p w14:paraId="6616EDE8" w14:textId="77777777" w:rsidR="002056CD" w:rsidRPr="00C7731E" w:rsidRDefault="002056CD" w:rsidP="006B0BCC">
            <w:pPr>
              <w:keepNext/>
              <w:jc w:val="right"/>
              <w:rPr>
                <w:rFonts w:ascii="Arial Narrow" w:hAnsi="Arial Narrow"/>
                <w:iCs/>
                <w:sz w:val="20"/>
              </w:rPr>
            </w:pPr>
          </w:p>
        </w:tc>
        <w:tc>
          <w:tcPr>
            <w:tcW w:w="1181" w:type="dxa"/>
            <w:tcBorders>
              <w:left w:val="nil"/>
              <w:right w:val="nil"/>
            </w:tcBorders>
          </w:tcPr>
          <w:p w14:paraId="18B1C596" w14:textId="77777777" w:rsidR="002056CD" w:rsidRPr="00C7731E" w:rsidRDefault="002056CD" w:rsidP="006B0BCC">
            <w:pPr>
              <w:keepNext/>
              <w:jc w:val="right"/>
              <w:rPr>
                <w:rFonts w:ascii="Arial Narrow" w:hAnsi="Arial Narrow"/>
                <w:iCs/>
                <w:sz w:val="20"/>
              </w:rPr>
            </w:pPr>
          </w:p>
        </w:tc>
        <w:tc>
          <w:tcPr>
            <w:tcW w:w="1087" w:type="dxa"/>
            <w:tcBorders>
              <w:left w:val="nil"/>
              <w:right w:val="nil"/>
            </w:tcBorders>
          </w:tcPr>
          <w:p w14:paraId="76F5B8F8" w14:textId="77777777" w:rsidR="002056CD" w:rsidRPr="00C7731E" w:rsidRDefault="002056CD" w:rsidP="006B0BCC">
            <w:pPr>
              <w:keepNext/>
              <w:jc w:val="right"/>
              <w:rPr>
                <w:rFonts w:ascii="Arial Narrow" w:hAnsi="Arial Narrow"/>
                <w:iCs/>
                <w:sz w:val="20"/>
              </w:rPr>
            </w:pPr>
          </w:p>
        </w:tc>
        <w:tc>
          <w:tcPr>
            <w:tcW w:w="799" w:type="dxa"/>
            <w:tcBorders>
              <w:left w:val="nil"/>
            </w:tcBorders>
          </w:tcPr>
          <w:p w14:paraId="4BC60C1C" w14:textId="77777777" w:rsidR="002056CD" w:rsidRPr="00C7731E" w:rsidRDefault="002056CD" w:rsidP="006B0BCC">
            <w:pPr>
              <w:keepNext/>
              <w:jc w:val="right"/>
              <w:rPr>
                <w:rFonts w:ascii="Arial Narrow" w:hAnsi="Arial Narrow"/>
                <w:iCs/>
                <w:sz w:val="20"/>
              </w:rPr>
            </w:pPr>
          </w:p>
        </w:tc>
      </w:tr>
      <w:tr w:rsidR="002056CD" w:rsidRPr="007031F8" w14:paraId="5D12CEE0" w14:textId="77777777" w:rsidTr="00C53833">
        <w:tc>
          <w:tcPr>
            <w:tcW w:w="4957" w:type="dxa"/>
          </w:tcPr>
          <w:p w14:paraId="24C065F7" w14:textId="77777777" w:rsidR="002056CD" w:rsidRPr="007031F8" w:rsidRDefault="002056CD" w:rsidP="006B0BCC">
            <w:pPr>
              <w:keepNext/>
              <w:rPr>
                <w:rFonts w:ascii="Arial Narrow" w:hAnsi="Arial Narrow"/>
                <w:iCs/>
                <w:sz w:val="20"/>
              </w:rPr>
            </w:pPr>
            <w:r w:rsidRPr="007031F8">
              <w:rPr>
                <w:rFonts w:ascii="Arial Narrow" w:hAnsi="Arial Narrow"/>
                <w:iCs/>
                <w:sz w:val="20"/>
              </w:rPr>
              <w:t>Direct extrapolation to 15 years</w:t>
            </w:r>
          </w:p>
        </w:tc>
        <w:tc>
          <w:tcPr>
            <w:tcW w:w="992" w:type="dxa"/>
          </w:tcPr>
          <w:p w14:paraId="0414856F" w14:textId="33011256" w:rsidR="002056CD" w:rsidRPr="00C7731E" w:rsidRDefault="002056CD" w:rsidP="006B0BCC">
            <w:pPr>
              <w:keepNext/>
              <w:jc w:val="right"/>
              <w:rPr>
                <w:rFonts w:ascii="Arial Narrow" w:hAnsi="Arial Narrow"/>
                <w:iCs/>
                <w:sz w:val="20"/>
              </w:rPr>
            </w:pPr>
            <w:r w:rsidRPr="00C7731E">
              <w:rPr>
                <w:rFonts w:ascii="Arial Narrow" w:hAnsi="Arial Narrow"/>
                <w:iCs/>
                <w:sz w:val="20"/>
              </w:rPr>
              <w:t>$</w:t>
            </w:r>
            <w:r w:rsidR="00AE3E5D" w:rsidRPr="00AE3E5D">
              <w:rPr>
                <w:rFonts w:ascii="Arial Narrow" w:hAnsi="Arial Narrow" w:hint="eastAsia"/>
                <w:iCs/>
                <w:color w:val="000000"/>
                <w:w w:val="18"/>
                <w:sz w:val="20"/>
                <w:shd w:val="solid" w:color="000000" w:fill="000000"/>
                <w:fitText w:val="83" w:id="-1437332465"/>
                <w14:textFill>
                  <w14:solidFill>
                    <w14:srgbClr w14:val="000000">
                      <w14:alpha w14:val="100000"/>
                    </w14:srgbClr>
                  </w14:solidFill>
                </w14:textFill>
              </w:rPr>
              <w:t xml:space="preserve">　</w:t>
            </w:r>
            <w:r w:rsidR="00AE3E5D" w:rsidRPr="00AE3E5D">
              <w:rPr>
                <w:rFonts w:ascii="Arial Narrow" w:hAnsi="Arial Narrow"/>
                <w:iCs/>
                <w:color w:val="000000"/>
                <w:w w:val="18"/>
                <w:sz w:val="20"/>
                <w:shd w:val="solid" w:color="000000" w:fill="000000"/>
                <w:fitText w:val="83" w:id="-1437332465"/>
                <w14:textFill>
                  <w14:solidFill>
                    <w14:srgbClr w14:val="000000">
                      <w14:alpha w14:val="100000"/>
                    </w14:srgbClr>
                  </w14:solidFill>
                </w14:textFill>
              </w:rPr>
              <w:t>|</w:t>
            </w:r>
            <w:r w:rsidR="00AE3E5D" w:rsidRPr="00AE3E5D">
              <w:rPr>
                <w:rFonts w:ascii="Arial Narrow" w:hAnsi="Arial Narrow" w:hint="eastAsia"/>
                <w:iCs/>
                <w:color w:val="000000"/>
                <w:spacing w:val="3"/>
                <w:w w:val="18"/>
                <w:sz w:val="20"/>
                <w:shd w:val="solid" w:color="000000" w:fill="000000"/>
                <w:fitText w:val="83" w:id="-1437332465"/>
                <w14:textFill>
                  <w14:solidFill>
                    <w14:srgbClr w14:val="000000">
                      <w14:alpha w14:val="100000"/>
                    </w14:srgbClr>
                  </w14:solidFill>
                </w14:textFill>
              </w:rPr>
              <w:t xml:space="preserve">　</w:t>
            </w:r>
          </w:p>
        </w:tc>
        <w:tc>
          <w:tcPr>
            <w:tcW w:w="1181" w:type="dxa"/>
          </w:tcPr>
          <w:p w14:paraId="224F987E" w14:textId="77777777" w:rsidR="002056CD" w:rsidRPr="00C7731E" w:rsidRDefault="002056CD" w:rsidP="006B0BCC">
            <w:pPr>
              <w:keepNext/>
              <w:jc w:val="right"/>
              <w:rPr>
                <w:rFonts w:ascii="Arial Narrow" w:hAnsi="Arial Narrow"/>
                <w:iCs/>
                <w:sz w:val="20"/>
              </w:rPr>
            </w:pPr>
            <w:r w:rsidRPr="00C7731E">
              <w:rPr>
                <w:rFonts w:ascii="Arial Narrow" w:hAnsi="Arial Narrow"/>
                <w:iCs/>
                <w:sz w:val="20"/>
              </w:rPr>
              <w:t>0.013</w:t>
            </w:r>
          </w:p>
        </w:tc>
        <w:tc>
          <w:tcPr>
            <w:tcW w:w="1087" w:type="dxa"/>
          </w:tcPr>
          <w:p w14:paraId="6299D0D8" w14:textId="4F375805" w:rsidR="002056CD" w:rsidRPr="00C7731E" w:rsidRDefault="002056CD" w:rsidP="006B0BCC">
            <w:pPr>
              <w:keepNext/>
              <w:jc w:val="right"/>
              <w:rPr>
                <w:rFonts w:ascii="Arial Narrow" w:hAnsi="Arial Narrow"/>
                <w:iCs/>
                <w:sz w:val="20"/>
              </w:rPr>
            </w:pPr>
            <w:r w:rsidRPr="00C7731E">
              <w:rPr>
                <w:rFonts w:ascii="Arial Narrow" w:hAnsi="Arial Narrow"/>
                <w:iCs/>
                <w:sz w:val="20"/>
              </w:rPr>
              <w:t>$</w:t>
            </w:r>
            <w:r w:rsidR="00AE3E5D" w:rsidRPr="00AE3E5D">
              <w:rPr>
                <w:rFonts w:ascii="Arial Narrow" w:hAnsi="Arial Narrow"/>
                <w:iCs/>
                <w:color w:val="000000"/>
                <w:sz w:val="20"/>
                <w:shd w:val="solid" w:color="000000" w:fill="000000"/>
                <w14:textFill>
                  <w14:solidFill>
                    <w14:srgbClr w14:val="000000">
                      <w14:alpha w14:val="100000"/>
                    </w14:srgbClr>
                  </w14:solidFill>
                </w14:textFill>
              </w:rPr>
              <w:t>|</w:t>
            </w:r>
          </w:p>
        </w:tc>
        <w:tc>
          <w:tcPr>
            <w:tcW w:w="799" w:type="dxa"/>
          </w:tcPr>
          <w:p w14:paraId="41EDDBB7" w14:textId="77777777" w:rsidR="002056CD" w:rsidRPr="00C7731E" w:rsidRDefault="002056CD" w:rsidP="006B0BCC">
            <w:pPr>
              <w:keepNext/>
              <w:jc w:val="right"/>
              <w:rPr>
                <w:rFonts w:ascii="Arial Narrow" w:hAnsi="Arial Narrow"/>
                <w:iCs/>
                <w:sz w:val="20"/>
              </w:rPr>
            </w:pPr>
            <w:r w:rsidRPr="00C7731E">
              <w:rPr>
                <w:rFonts w:ascii="Arial Narrow" w:hAnsi="Arial Narrow"/>
                <w:iCs/>
                <w:sz w:val="20"/>
              </w:rPr>
              <w:t>−35%</w:t>
            </w:r>
          </w:p>
        </w:tc>
      </w:tr>
      <w:tr w:rsidR="002056CD" w:rsidRPr="007031F8" w14:paraId="62A0CFEA" w14:textId="77777777" w:rsidTr="00C53833">
        <w:tc>
          <w:tcPr>
            <w:tcW w:w="4957" w:type="dxa"/>
            <w:tcBorders>
              <w:bottom w:val="single" w:sz="4" w:space="0" w:color="auto"/>
            </w:tcBorders>
          </w:tcPr>
          <w:p w14:paraId="35974795" w14:textId="77777777" w:rsidR="002056CD" w:rsidRPr="007031F8" w:rsidRDefault="002056CD" w:rsidP="006B0BCC">
            <w:pPr>
              <w:keepNext/>
              <w:rPr>
                <w:rFonts w:ascii="Arial Narrow" w:hAnsi="Arial Narrow"/>
                <w:iCs/>
                <w:sz w:val="20"/>
              </w:rPr>
            </w:pPr>
            <w:r w:rsidRPr="007031F8">
              <w:rPr>
                <w:rFonts w:ascii="Arial Narrow" w:hAnsi="Arial Narrow"/>
                <w:iCs/>
                <w:sz w:val="20"/>
              </w:rPr>
              <w:t xml:space="preserve">Direct extrapolation to 10 years, 50% reduction in risk applied between years 10−15 (as per Ward et al. </w:t>
            </w:r>
            <w:proofErr w:type="gramStart"/>
            <w:r w:rsidRPr="007031F8">
              <w:rPr>
                <w:rFonts w:ascii="Arial Narrow" w:hAnsi="Arial Narrow"/>
                <w:iCs/>
                <w:sz w:val="20"/>
              </w:rPr>
              <w:t>2013)</w:t>
            </w:r>
            <w:r w:rsidRPr="007031F8">
              <w:rPr>
                <w:rFonts w:ascii="Arial Narrow" w:hAnsi="Arial Narrow"/>
                <w:iCs/>
                <w:sz w:val="20"/>
                <w:vertAlign w:val="superscript"/>
              </w:rPr>
              <w:t>b</w:t>
            </w:r>
            <w:proofErr w:type="gramEnd"/>
          </w:p>
        </w:tc>
        <w:tc>
          <w:tcPr>
            <w:tcW w:w="992" w:type="dxa"/>
            <w:tcBorders>
              <w:bottom w:val="single" w:sz="4" w:space="0" w:color="auto"/>
            </w:tcBorders>
          </w:tcPr>
          <w:p w14:paraId="07A201AA" w14:textId="750A1F4F" w:rsidR="002056CD" w:rsidRPr="00C7731E" w:rsidRDefault="002056CD" w:rsidP="006B0BCC">
            <w:pPr>
              <w:keepNext/>
              <w:jc w:val="right"/>
              <w:rPr>
                <w:rFonts w:ascii="Arial Narrow" w:hAnsi="Arial Narrow"/>
                <w:iCs/>
                <w:sz w:val="20"/>
              </w:rPr>
            </w:pPr>
            <w:r w:rsidRPr="00C7731E">
              <w:rPr>
                <w:rFonts w:ascii="Arial Narrow" w:hAnsi="Arial Narrow"/>
                <w:iCs/>
                <w:sz w:val="20"/>
              </w:rPr>
              <w:t>$</w:t>
            </w:r>
            <w:r w:rsidR="00AE3E5D" w:rsidRPr="00AE3E5D">
              <w:rPr>
                <w:rFonts w:ascii="Arial Narrow" w:hAnsi="Arial Narrow" w:hint="eastAsia"/>
                <w:iCs/>
                <w:color w:val="000000"/>
                <w:w w:val="18"/>
                <w:sz w:val="20"/>
                <w:shd w:val="solid" w:color="000000" w:fill="000000"/>
                <w:fitText w:val="83" w:id="-1437332464"/>
                <w14:textFill>
                  <w14:solidFill>
                    <w14:srgbClr w14:val="000000">
                      <w14:alpha w14:val="100000"/>
                    </w14:srgbClr>
                  </w14:solidFill>
                </w14:textFill>
              </w:rPr>
              <w:t xml:space="preserve">　</w:t>
            </w:r>
            <w:r w:rsidR="00AE3E5D" w:rsidRPr="00AE3E5D">
              <w:rPr>
                <w:rFonts w:ascii="Arial Narrow" w:hAnsi="Arial Narrow"/>
                <w:iCs/>
                <w:color w:val="000000"/>
                <w:w w:val="18"/>
                <w:sz w:val="20"/>
                <w:shd w:val="solid" w:color="000000" w:fill="000000"/>
                <w:fitText w:val="83" w:id="-1437332464"/>
                <w14:textFill>
                  <w14:solidFill>
                    <w14:srgbClr w14:val="000000">
                      <w14:alpha w14:val="100000"/>
                    </w14:srgbClr>
                  </w14:solidFill>
                </w14:textFill>
              </w:rPr>
              <w:t>|</w:t>
            </w:r>
            <w:r w:rsidR="00AE3E5D" w:rsidRPr="00AE3E5D">
              <w:rPr>
                <w:rFonts w:ascii="Arial Narrow" w:hAnsi="Arial Narrow" w:hint="eastAsia"/>
                <w:iCs/>
                <w:color w:val="000000"/>
                <w:spacing w:val="3"/>
                <w:w w:val="18"/>
                <w:sz w:val="20"/>
                <w:shd w:val="solid" w:color="000000" w:fill="000000"/>
                <w:fitText w:val="83" w:id="-1437332464"/>
                <w14:textFill>
                  <w14:solidFill>
                    <w14:srgbClr w14:val="000000">
                      <w14:alpha w14:val="100000"/>
                    </w14:srgbClr>
                  </w14:solidFill>
                </w14:textFill>
              </w:rPr>
              <w:t xml:space="preserve">　</w:t>
            </w:r>
          </w:p>
        </w:tc>
        <w:tc>
          <w:tcPr>
            <w:tcW w:w="1181" w:type="dxa"/>
            <w:tcBorders>
              <w:bottom w:val="single" w:sz="4" w:space="0" w:color="auto"/>
            </w:tcBorders>
          </w:tcPr>
          <w:p w14:paraId="6D2684C3" w14:textId="77777777" w:rsidR="002056CD" w:rsidRPr="00C7731E" w:rsidRDefault="002056CD" w:rsidP="006B0BCC">
            <w:pPr>
              <w:keepNext/>
              <w:jc w:val="right"/>
              <w:rPr>
                <w:rFonts w:ascii="Arial Narrow" w:hAnsi="Arial Narrow"/>
                <w:iCs/>
                <w:sz w:val="20"/>
              </w:rPr>
            </w:pPr>
            <w:r w:rsidRPr="00C7731E">
              <w:rPr>
                <w:rFonts w:ascii="Arial Narrow" w:hAnsi="Arial Narrow"/>
                <w:iCs/>
                <w:sz w:val="20"/>
              </w:rPr>
              <w:t>0.011</w:t>
            </w:r>
          </w:p>
        </w:tc>
        <w:tc>
          <w:tcPr>
            <w:tcW w:w="1087" w:type="dxa"/>
            <w:tcBorders>
              <w:bottom w:val="single" w:sz="4" w:space="0" w:color="auto"/>
            </w:tcBorders>
          </w:tcPr>
          <w:p w14:paraId="79C01AE8" w14:textId="79EE8DDF" w:rsidR="002056CD" w:rsidRPr="00C7731E" w:rsidRDefault="002056CD" w:rsidP="006B0BCC">
            <w:pPr>
              <w:keepNext/>
              <w:jc w:val="right"/>
              <w:rPr>
                <w:rFonts w:ascii="Arial Narrow" w:hAnsi="Arial Narrow"/>
                <w:iCs/>
                <w:sz w:val="20"/>
              </w:rPr>
            </w:pPr>
            <w:r w:rsidRPr="00C7731E">
              <w:rPr>
                <w:rFonts w:ascii="Arial Narrow" w:hAnsi="Arial Narrow"/>
                <w:iCs/>
                <w:sz w:val="20"/>
              </w:rPr>
              <w:t>$</w:t>
            </w:r>
            <w:r w:rsidR="00AE3E5D" w:rsidRPr="00AE3E5D">
              <w:rPr>
                <w:rFonts w:ascii="Arial Narrow" w:hAnsi="Arial Narrow"/>
                <w:iCs/>
                <w:color w:val="000000"/>
                <w:sz w:val="20"/>
                <w:shd w:val="solid" w:color="000000" w:fill="000000"/>
                <w14:textFill>
                  <w14:solidFill>
                    <w14:srgbClr w14:val="000000">
                      <w14:alpha w14:val="100000"/>
                    </w14:srgbClr>
                  </w14:solidFill>
                </w14:textFill>
              </w:rPr>
              <w:t>|</w:t>
            </w:r>
          </w:p>
        </w:tc>
        <w:tc>
          <w:tcPr>
            <w:tcW w:w="799" w:type="dxa"/>
            <w:tcBorders>
              <w:bottom w:val="single" w:sz="4" w:space="0" w:color="auto"/>
            </w:tcBorders>
          </w:tcPr>
          <w:p w14:paraId="59D5300A" w14:textId="77777777" w:rsidR="002056CD" w:rsidRPr="00C7731E" w:rsidRDefault="002056CD" w:rsidP="006B0BCC">
            <w:pPr>
              <w:keepNext/>
              <w:jc w:val="right"/>
              <w:rPr>
                <w:rFonts w:ascii="Arial Narrow" w:hAnsi="Arial Narrow"/>
                <w:iCs/>
                <w:sz w:val="20"/>
              </w:rPr>
            </w:pPr>
            <w:r w:rsidRPr="00C7731E">
              <w:rPr>
                <w:rFonts w:ascii="Arial Narrow" w:hAnsi="Arial Narrow"/>
                <w:iCs/>
                <w:sz w:val="20"/>
              </w:rPr>
              <w:t>−19%</w:t>
            </w:r>
          </w:p>
        </w:tc>
      </w:tr>
      <w:tr w:rsidR="002056CD" w:rsidRPr="007031F8" w14:paraId="620E9258" w14:textId="77777777" w:rsidTr="00C53833">
        <w:tc>
          <w:tcPr>
            <w:tcW w:w="4957" w:type="dxa"/>
            <w:tcBorders>
              <w:bottom w:val="single" w:sz="4" w:space="0" w:color="auto"/>
              <w:right w:val="nil"/>
            </w:tcBorders>
          </w:tcPr>
          <w:p w14:paraId="4E552D82" w14:textId="765F26BC" w:rsidR="002056CD" w:rsidRPr="007031F8" w:rsidRDefault="00D50E5C" w:rsidP="006B0BCC">
            <w:pPr>
              <w:keepNext/>
              <w:rPr>
                <w:rFonts w:ascii="Arial Narrow" w:hAnsi="Arial Narrow"/>
                <w:iCs/>
                <w:sz w:val="20"/>
              </w:rPr>
            </w:pPr>
            <w:r w:rsidRPr="007031F8">
              <w:rPr>
                <w:rFonts w:ascii="Arial Narrow" w:hAnsi="Arial Narrow"/>
                <w:iCs/>
                <w:sz w:val="20"/>
              </w:rPr>
              <w:t>EndoPredict</w:t>
            </w:r>
            <w:r w:rsidR="005F1260" w:rsidRPr="005F1260">
              <w:rPr>
                <w:rFonts w:ascii="Arial Narrow" w:hAnsi="Arial Narrow"/>
                <w:iCs/>
                <w:sz w:val="20"/>
                <w:vertAlign w:val="superscript"/>
              </w:rPr>
              <w:t>®</w:t>
            </w:r>
            <w:r w:rsidR="002056CD" w:rsidRPr="007031F8">
              <w:rPr>
                <w:rFonts w:ascii="Arial Narrow" w:hAnsi="Arial Narrow"/>
                <w:iCs/>
                <w:sz w:val="20"/>
              </w:rPr>
              <w:t xml:space="preserve"> cost</w:t>
            </w:r>
          </w:p>
        </w:tc>
        <w:tc>
          <w:tcPr>
            <w:tcW w:w="992" w:type="dxa"/>
            <w:tcBorders>
              <w:left w:val="nil"/>
              <w:bottom w:val="single" w:sz="4" w:space="0" w:color="auto"/>
              <w:right w:val="nil"/>
            </w:tcBorders>
          </w:tcPr>
          <w:p w14:paraId="34BFA47A" w14:textId="77777777" w:rsidR="002056CD" w:rsidRPr="00C7731E" w:rsidRDefault="002056CD" w:rsidP="006B0BCC">
            <w:pPr>
              <w:keepNext/>
              <w:jc w:val="right"/>
              <w:rPr>
                <w:rFonts w:ascii="Arial Narrow" w:hAnsi="Arial Narrow"/>
                <w:iCs/>
                <w:sz w:val="20"/>
              </w:rPr>
            </w:pPr>
          </w:p>
        </w:tc>
        <w:tc>
          <w:tcPr>
            <w:tcW w:w="1181" w:type="dxa"/>
            <w:tcBorders>
              <w:left w:val="nil"/>
              <w:bottom w:val="single" w:sz="4" w:space="0" w:color="auto"/>
              <w:right w:val="nil"/>
            </w:tcBorders>
          </w:tcPr>
          <w:p w14:paraId="3715A467" w14:textId="77777777" w:rsidR="002056CD" w:rsidRPr="00C7731E" w:rsidRDefault="002056CD" w:rsidP="006B0BCC">
            <w:pPr>
              <w:keepNext/>
              <w:jc w:val="right"/>
              <w:rPr>
                <w:rFonts w:ascii="Arial Narrow" w:hAnsi="Arial Narrow"/>
                <w:iCs/>
                <w:sz w:val="20"/>
              </w:rPr>
            </w:pPr>
          </w:p>
        </w:tc>
        <w:tc>
          <w:tcPr>
            <w:tcW w:w="1087" w:type="dxa"/>
            <w:tcBorders>
              <w:left w:val="nil"/>
              <w:bottom w:val="single" w:sz="4" w:space="0" w:color="auto"/>
              <w:right w:val="nil"/>
            </w:tcBorders>
          </w:tcPr>
          <w:p w14:paraId="5450D337" w14:textId="77777777" w:rsidR="002056CD" w:rsidRPr="00C7731E" w:rsidRDefault="002056CD" w:rsidP="006B0BCC">
            <w:pPr>
              <w:keepNext/>
              <w:jc w:val="right"/>
              <w:rPr>
                <w:rFonts w:ascii="Arial Narrow" w:hAnsi="Arial Narrow"/>
                <w:iCs/>
                <w:sz w:val="20"/>
              </w:rPr>
            </w:pPr>
          </w:p>
        </w:tc>
        <w:tc>
          <w:tcPr>
            <w:tcW w:w="799" w:type="dxa"/>
            <w:tcBorders>
              <w:left w:val="nil"/>
              <w:bottom w:val="single" w:sz="4" w:space="0" w:color="auto"/>
            </w:tcBorders>
          </w:tcPr>
          <w:p w14:paraId="3BC3CFFB" w14:textId="77777777" w:rsidR="002056CD" w:rsidRPr="00C7731E" w:rsidRDefault="002056CD" w:rsidP="006B0BCC">
            <w:pPr>
              <w:keepNext/>
              <w:jc w:val="right"/>
              <w:rPr>
                <w:rFonts w:ascii="Arial Narrow" w:hAnsi="Arial Narrow"/>
                <w:iCs/>
                <w:sz w:val="20"/>
              </w:rPr>
            </w:pPr>
          </w:p>
        </w:tc>
      </w:tr>
      <w:tr w:rsidR="002056CD" w:rsidRPr="007031F8" w14:paraId="5AA08E22" w14:textId="77777777" w:rsidTr="00C53833">
        <w:tc>
          <w:tcPr>
            <w:tcW w:w="4957" w:type="dxa"/>
            <w:tcBorders>
              <w:bottom w:val="nil"/>
              <w:right w:val="single" w:sz="4" w:space="0" w:color="auto"/>
            </w:tcBorders>
          </w:tcPr>
          <w:p w14:paraId="641122B7" w14:textId="554C1235" w:rsidR="002056CD" w:rsidRPr="00C7731E" w:rsidRDefault="002056CD" w:rsidP="006B0BCC">
            <w:pPr>
              <w:keepNext/>
              <w:rPr>
                <w:rFonts w:ascii="Arial Narrow" w:hAnsi="Arial Narrow"/>
                <w:iCs/>
                <w:sz w:val="20"/>
              </w:rPr>
            </w:pPr>
            <w:r w:rsidRPr="00C7731E">
              <w:rPr>
                <w:rFonts w:ascii="Arial Narrow" w:hAnsi="Arial Narrow"/>
                <w:iCs/>
                <w:sz w:val="20"/>
              </w:rPr>
              <w:t>$</w:t>
            </w:r>
            <w:r w:rsidR="00AE3E5D" w:rsidRPr="00AE3E5D">
              <w:rPr>
                <w:rFonts w:ascii="Arial Narrow" w:hAnsi="Arial Narrow"/>
                <w:iCs/>
                <w:color w:val="000000"/>
                <w:spacing w:val="53"/>
                <w:sz w:val="20"/>
                <w:shd w:val="solid" w:color="000000" w:fill="000000"/>
                <w:fitText w:val="332" w:id="-1437332480"/>
                <w14:textFill>
                  <w14:solidFill>
                    <w14:srgbClr w14:val="000000">
                      <w14:alpha w14:val="100000"/>
                    </w14:srgbClr>
                  </w14:solidFill>
                </w14:textFill>
              </w:rPr>
              <w:t>|||</w:t>
            </w:r>
            <w:r w:rsidR="00AE3E5D" w:rsidRPr="00AE3E5D">
              <w:rPr>
                <w:rFonts w:ascii="Arial Narrow" w:hAnsi="Arial Narrow"/>
                <w:iCs/>
                <w:color w:val="000000"/>
                <w:spacing w:val="3"/>
                <w:sz w:val="20"/>
                <w:shd w:val="solid" w:color="000000" w:fill="000000"/>
                <w:fitText w:val="332" w:id="-1437332480"/>
                <w14:textFill>
                  <w14:solidFill>
                    <w14:srgbClr w14:val="000000">
                      <w14:alpha w14:val="100000"/>
                    </w14:srgbClr>
                  </w14:solidFill>
                </w14:textFill>
              </w:rPr>
              <w:t>|</w:t>
            </w:r>
          </w:p>
        </w:tc>
        <w:tc>
          <w:tcPr>
            <w:tcW w:w="992" w:type="dxa"/>
            <w:tcBorders>
              <w:left w:val="single" w:sz="4" w:space="0" w:color="auto"/>
              <w:bottom w:val="nil"/>
              <w:right w:val="single" w:sz="4" w:space="0" w:color="auto"/>
            </w:tcBorders>
          </w:tcPr>
          <w:p w14:paraId="006DC424" w14:textId="470FC5EB" w:rsidR="002056CD" w:rsidRPr="00C7731E" w:rsidRDefault="002056CD" w:rsidP="006B0BCC">
            <w:pPr>
              <w:keepNext/>
              <w:jc w:val="right"/>
              <w:rPr>
                <w:rFonts w:ascii="Arial Narrow" w:hAnsi="Arial Narrow"/>
                <w:iCs/>
                <w:sz w:val="20"/>
              </w:rPr>
            </w:pPr>
            <w:r w:rsidRPr="00C7731E">
              <w:rPr>
                <w:rFonts w:ascii="Arial Narrow" w:hAnsi="Arial Narrow"/>
                <w:iCs/>
                <w:sz w:val="20"/>
              </w:rPr>
              <w:t>$</w:t>
            </w:r>
            <w:r w:rsidR="00AE3E5D" w:rsidRPr="00AE3E5D">
              <w:rPr>
                <w:rFonts w:ascii="Arial Narrow" w:hAnsi="Arial Narrow" w:hint="eastAsia"/>
                <w:iCs/>
                <w:color w:val="000000"/>
                <w:w w:val="18"/>
                <w:sz w:val="20"/>
                <w:shd w:val="solid" w:color="000000" w:fill="000000"/>
                <w:fitText w:val="83" w:id="-1437332479"/>
                <w14:textFill>
                  <w14:solidFill>
                    <w14:srgbClr w14:val="000000">
                      <w14:alpha w14:val="100000"/>
                    </w14:srgbClr>
                  </w14:solidFill>
                </w14:textFill>
              </w:rPr>
              <w:t xml:space="preserve">　</w:t>
            </w:r>
            <w:r w:rsidR="00AE3E5D" w:rsidRPr="00AE3E5D">
              <w:rPr>
                <w:rFonts w:ascii="Arial Narrow" w:hAnsi="Arial Narrow"/>
                <w:iCs/>
                <w:color w:val="000000"/>
                <w:w w:val="18"/>
                <w:sz w:val="20"/>
                <w:shd w:val="solid" w:color="000000" w:fill="000000"/>
                <w:fitText w:val="83" w:id="-1437332479"/>
                <w14:textFill>
                  <w14:solidFill>
                    <w14:srgbClr w14:val="000000">
                      <w14:alpha w14:val="100000"/>
                    </w14:srgbClr>
                  </w14:solidFill>
                </w14:textFill>
              </w:rPr>
              <w:t>|</w:t>
            </w:r>
            <w:r w:rsidR="00AE3E5D" w:rsidRPr="00AE3E5D">
              <w:rPr>
                <w:rFonts w:ascii="Arial Narrow" w:hAnsi="Arial Narrow" w:hint="eastAsia"/>
                <w:iCs/>
                <w:color w:val="000000"/>
                <w:spacing w:val="3"/>
                <w:w w:val="18"/>
                <w:sz w:val="20"/>
                <w:shd w:val="solid" w:color="000000" w:fill="000000"/>
                <w:fitText w:val="83" w:id="-1437332479"/>
                <w14:textFill>
                  <w14:solidFill>
                    <w14:srgbClr w14:val="000000">
                      <w14:alpha w14:val="100000"/>
                    </w14:srgbClr>
                  </w14:solidFill>
                </w14:textFill>
              </w:rPr>
              <w:t xml:space="preserve">　</w:t>
            </w:r>
          </w:p>
        </w:tc>
        <w:tc>
          <w:tcPr>
            <w:tcW w:w="1181" w:type="dxa"/>
            <w:tcBorders>
              <w:left w:val="single" w:sz="4" w:space="0" w:color="auto"/>
              <w:bottom w:val="nil"/>
              <w:right w:val="single" w:sz="4" w:space="0" w:color="auto"/>
            </w:tcBorders>
          </w:tcPr>
          <w:p w14:paraId="0E0A3DA6" w14:textId="77777777" w:rsidR="002056CD" w:rsidRPr="00C7731E" w:rsidRDefault="002056CD" w:rsidP="006B0BCC">
            <w:pPr>
              <w:keepNext/>
              <w:jc w:val="right"/>
              <w:rPr>
                <w:rFonts w:ascii="Arial Narrow" w:hAnsi="Arial Narrow"/>
                <w:iCs/>
                <w:sz w:val="20"/>
              </w:rPr>
            </w:pPr>
            <w:r w:rsidRPr="00C7731E">
              <w:rPr>
                <w:rFonts w:ascii="Arial Narrow" w:hAnsi="Arial Narrow"/>
                <w:iCs/>
                <w:sz w:val="20"/>
              </w:rPr>
              <w:t>0.010</w:t>
            </w:r>
          </w:p>
        </w:tc>
        <w:tc>
          <w:tcPr>
            <w:tcW w:w="1087" w:type="dxa"/>
            <w:tcBorders>
              <w:left w:val="single" w:sz="4" w:space="0" w:color="auto"/>
              <w:bottom w:val="nil"/>
              <w:right w:val="single" w:sz="4" w:space="0" w:color="auto"/>
            </w:tcBorders>
          </w:tcPr>
          <w:p w14:paraId="39EBAEFF" w14:textId="07D354BE" w:rsidR="002056CD" w:rsidRPr="00C7731E" w:rsidRDefault="002056CD" w:rsidP="006B0BCC">
            <w:pPr>
              <w:keepNext/>
              <w:jc w:val="right"/>
              <w:rPr>
                <w:rFonts w:ascii="Arial Narrow" w:hAnsi="Arial Narrow"/>
                <w:iCs/>
                <w:sz w:val="20"/>
              </w:rPr>
            </w:pPr>
            <w:r w:rsidRPr="00C7731E">
              <w:rPr>
                <w:rFonts w:ascii="Arial Narrow" w:hAnsi="Arial Narrow"/>
                <w:iCs/>
                <w:sz w:val="20"/>
              </w:rPr>
              <w:t>$</w:t>
            </w:r>
            <w:r w:rsidR="00AE3E5D" w:rsidRPr="00AE3E5D">
              <w:rPr>
                <w:rFonts w:ascii="Arial Narrow" w:hAnsi="Arial Narrow"/>
                <w:iCs/>
                <w:color w:val="000000"/>
                <w:sz w:val="20"/>
                <w:shd w:val="solid" w:color="000000" w:fill="000000"/>
                <w14:textFill>
                  <w14:solidFill>
                    <w14:srgbClr w14:val="000000">
                      <w14:alpha w14:val="100000"/>
                    </w14:srgbClr>
                  </w14:solidFill>
                </w14:textFill>
              </w:rPr>
              <w:t>|</w:t>
            </w:r>
          </w:p>
        </w:tc>
        <w:tc>
          <w:tcPr>
            <w:tcW w:w="799" w:type="dxa"/>
            <w:tcBorders>
              <w:left w:val="single" w:sz="4" w:space="0" w:color="auto"/>
              <w:bottom w:val="nil"/>
            </w:tcBorders>
          </w:tcPr>
          <w:p w14:paraId="21A539A1" w14:textId="77777777" w:rsidR="002056CD" w:rsidRPr="00C7731E" w:rsidRDefault="002056CD" w:rsidP="006B0BCC">
            <w:pPr>
              <w:keepNext/>
              <w:jc w:val="right"/>
              <w:rPr>
                <w:rFonts w:ascii="Arial Narrow" w:hAnsi="Arial Narrow"/>
                <w:iCs/>
                <w:sz w:val="20"/>
              </w:rPr>
            </w:pPr>
            <w:r w:rsidRPr="00C7731E">
              <w:rPr>
                <w:rFonts w:ascii="Arial Narrow" w:hAnsi="Arial Narrow"/>
                <w:iCs/>
                <w:sz w:val="20"/>
              </w:rPr>
              <w:t>315%</w:t>
            </w:r>
          </w:p>
        </w:tc>
      </w:tr>
      <w:tr w:rsidR="002056CD" w:rsidRPr="007031F8" w14:paraId="1DB3E307" w14:textId="77777777" w:rsidTr="00C53833">
        <w:tc>
          <w:tcPr>
            <w:tcW w:w="4957" w:type="dxa"/>
            <w:tcBorders>
              <w:top w:val="nil"/>
              <w:bottom w:val="nil"/>
              <w:right w:val="single" w:sz="4" w:space="0" w:color="auto"/>
            </w:tcBorders>
          </w:tcPr>
          <w:p w14:paraId="5C79947A" w14:textId="67749C5A" w:rsidR="002056CD" w:rsidRPr="00C7731E" w:rsidRDefault="002056CD" w:rsidP="006B0BCC">
            <w:pPr>
              <w:keepNext/>
              <w:rPr>
                <w:rFonts w:ascii="Arial Narrow" w:hAnsi="Arial Narrow"/>
                <w:iCs/>
                <w:sz w:val="20"/>
              </w:rPr>
            </w:pPr>
            <w:r w:rsidRPr="00C7731E">
              <w:rPr>
                <w:rFonts w:ascii="Arial Narrow" w:hAnsi="Arial Narrow"/>
                <w:iCs/>
                <w:sz w:val="20"/>
              </w:rPr>
              <w:t>$</w:t>
            </w:r>
            <w:r w:rsidR="00AE3E5D" w:rsidRPr="00AE3E5D">
              <w:rPr>
                <w:rFonts w:ascii="Arial Narrow" w:hAnsi="Arial Narrow"/>
                <w:iCs/>
                <w:color w:val="000000"/>
                <w:spacing w:val="53"/>
                <w:sz w:val="20"/>
                <w:shd w:val="solid" w:color="000000" w:fill="000000"/>
                <w:fitText w:val="332" w:id="-1437332478"/>
                <w14:textFill>
                  <w14:solidFill>
                    <w14:srgbClr w14:val="000000">
                      <w14:alpha w14:val="100000"/>
                    </w14:srgbClr>
                  </w14:solidFill>
                </w14:textFill>
              </w:rPr>
              <w:t>|||</w:t>
            </w:r>
            <w:r w:rsidR="00AE3E5D" w:rsidRPr="00AE3E5D">
              <w:rPr>
                <w:rFonts w:ascii="Arial Narrow" w:hAnsi="Arial Narrow"/>
                <w:iCs/>
                <w:color w:val="000000"/>
                <w:spacing w:val="3"/>
                <w:sz w:val="20"/>
                <w:shd w:val="solid" w:color="000000" w:fill="000000"/>
                <w:fitText w:val="332" w:id="-1437332478"/>
                <w14:textFill>
                  <w14:solidFill>
                    <w14:srgbClr w14:val="000000">
                      <w14:alpha w14:val="100000"/>
                    </w14:srgbClr>
                  </w14:solidFill>
                </w14:textFill>
              </w:rPr>
              <w:t>|</w:t>
            </w:r>
          </w:p>
        </w:tc>
        <w:tc>
          <w:tcPr>
            <w:tcW w:w="992" w:type="dxa"/>
            <w:tcBorders>
              <w:top w:val="nil"/>
              <w:left w:val="single" w:sz="4" w:space="0" w:color="auto"/>
              <w:bottom w:val="nil"/>
              <w:right w:val="single" w:sz="4" w:space="0" w:color="auto"/>
            </w:tcBorders>
          </w:tcPr>
          <w:p w14:paraId="3F41FC43" w14:textId="429B3BF3" w:rsidR="002056CD" w:rsidRPr="00C7731E" w:rsidRDefault="002056CD" w:rsidP="006B0BCC">
            <w:pPr>
              <w:keepNext/>
              <w:jc w:val="right"/>
              <w:rPr>
                <w:rFonts w:ascii="Arial Narrow" w:hAnsi="Arial Narrow"/>
                <w:iCs/>
                <w:sz w:val="20"/>
              </w:rPr>
            </w:pPr>
            <w:r w:rsidRPr="00C7731E">
              <w:rPr>
                <w:rFonts w:ascii="Arial Narrow" w:hAnsi="Arial Narrow"/>
                <w:iCs/>
                <w:sz w:val="20"/>
              </w:rPr>
              <w:t>$</w:t>
            </w:r>
            <w:r w:rsidR="00AE3E5D" w:rsidRPr="00AE3E5D">
              <w:rPr>
                <w:rFonts w:ascii="Arial Narrow" w:hAnsi="Arial Narrow" w:hint="eastAsia"/>
                <w:iCs/>
                <w:color w:val="000000"/>
                <w:w w:val="18"/>
                <w:sz w:val="20"/>
                <w:shd w:val="solid" w:color="000000" w:fill="000000"/>
                <w:fitText w:val="83" w:id="-1437332477"/>
                <w14:textFill>
                  <w14:solidFill>
                    <w14:srgbClr w14:val="000000">
                      <w14:alpha w14:val="100000"/>
                    </w14:srgbClr>
                  </w14:solidFill>
                </w14:textFill>
              </w:rPr>
              <w:t xml:space="preserve">　</w:t>
            </w:r>
            <w:r w:rsidR="00AE3E5D" w:rsidRPr="00AE3E5D">
              <w:rPr>
                <w:rFonts w:ascii="Arial Narrow" w:hAnsi="Arial Narrow"/>
                <w:iCs/>
                <w:color w:val="000000"/>
                <w:w w:val="18"/>
                <w:sz w:val="20"/>
                <w:shd w:val="solid" w:color="000000" w:fill="000000"/>
                <w:fitText w:val="83" w:id="-1437332477"/>
                <w14:textFill>
                  <w14:solidFill>
                    <w14:srgbClr w14:val="000000">
                      <w14:alpha w14:val="100000"/>
                    </w14:srgbClr>
                  </w14:solidFill>
                </w14:textFill>
              </w:rPr>
              <w:t>|</w:t>
            </w:r>
            <w:r w:rsidR="00AE3E5D" w:rsidRPr="00AE3E5D">
              <w:rPr>
                <w:rFonts w:ascii="Arial Narrow" w:hAnsi="Arial Narrow" w:hint="eastAsia"/>
                <w:iCs/>
                <w:color w:val="000000"/>
                <w:spacing w:val="3"/>
                <w:w w:val="18"/>
                <w:sz w:val="20"/>
                <w:shd w:val="solid" w:color="000000" w:fill="000000"/>
                <w:fitText w:val="83" w:id="-1437332477"/>
                <w14:textFill>
                  <w14:solidFill>
                    <w14:srgbClr w14:val="000000">
                      <w14:alpha w14:val="100000"/>
                    </w14:srgbClr>
                  </w14:solidFill>
                </w14:textFill>
              </w:rPr>
              <w:t xml:space="preserve">　</w:t>
            </w:r>
          </w:p>
        </w:tc>
        <w:tc>
          <w:tcPr>
            <w:tcW w:w="1181" w:type="dxa"/>
            <w:tcBorders>
              <w:top w:val="nil"/>
              <w:left w:val="single" w:sz="4" w:space="0" w:color="auto"/>
              <w:bottom w:val="nil"/>
              <w:right w:val="single" w:sz="4" w:space="0" w:color="auto"/>
            </w:tcBorders>
          </w:tcPr>
          <w:p w14:paraId="61777E6A" w14:textId="77777777" w:rsidR="002056CD" w:rsidRPr="00C7731E" w:rsidRDefault="002056CD" w:rsidP="006B0BCC">
            <w:pPr>
              <w:keepNext/>
              <w:jc w:val="right"/>
              <w:rPr>
                <w:rFonts w:ascii="Arial Narrow" w:hAnsi="Arial Narrow"/>
                <w:iCs/>
                <w:sz w:val="20"/>
              </w:rPr>
            </w:pPr>
            <w:r w:rsidRPr="00C7731E">
              <w:rPr>
                <w:rFonts w:ascii="Arial Narrow" w:hAnsi="Arial Narrow"/>
                <w:iCs/>
                <w:sz w:val="20"/>
              </w:rPr>
              <w:t>0.010</w:t>
            </w:r>
          </w:p>
        </w:tc>
        <w:tc>
          <w:tcPr>
            <w:tcW w:w="1087" w:type="dxa"/>
            <w:tcBorders>
              <w:top w:val="nil"/>
              <w:left w:val="single" w:sz="4" w:space="0" w:color="auto"/>
              <w:bottom w:val="nil"/>
              <w:right w:val="single" w:sz="4" w:space="0" w:color="auto"/>
            </w:tcBorders>
          </w:tcPr>
          <w:p w14:paraId="40398DD0" w14:textId="0F5C21A1" w:rsidR="002056CD" w:rsidRPr="00C7731E" w:rsidRDefault="002056CD" w:rsidP="006B0BCC">
            <w:pPr>
              <w:keepNext/>
              <w:jc w:val="right"/>
              <w:rPr>
                <w:rFonts w:ascii="Arial Narrow" w:hAnsi="Arial Narrow"/>
                <w:iCs/>
                <w:sz w:val="20"/>
              </w:rPr>
            </w:pPr>
            <w:r w:rsidRPr="00C7731E">
              <w:rPr>
                <w:rFonts w:ascii="Arial Narrow" w:hAnsi="Arial Narrow"/>
                <w:iCs/>
                <w:sz w:val="20"/>
              </w:rPr>
              <w:t>$</w:t>
            </w:r>
            <w:r w:rsidR="00AE3E5D" w:rsidRPr="00AE3E5D">
              <w:rPr>
                <w:rFonts w:ascii="Arial Narrow" w:hAnsi="Arial Narrow"/>
                <w:iCs/>
                <w:color w:val="000000"/>
                <w:sz w:val="20"/>
                <w:shd w:val="solid" w:color="000000" w:fill="000000"/>
                <w14:textFill>
                  <w14:solidFill>
                    <w14:srgbClr w14:val="000000">
                      <w14:alpha w14:val="100000"/>
                    </w14:srgbClr>
                  </w14:solidFill>
                </w14:textFill>
              </w:rPr>
              <w:t>|</w:t>
            </w:r>
          </w:p>
        </w:tc>
        <w:tc>
          <w:tcPr>
            <w:tcW w:w="799" w:type="dxa"/>
            <w:tcBorders>
              <w:top w:val="nil"/>
              <w:left w:val="single" w:sz="4" w:space="0" w:color="auto"/>
              <w:bottom w:val="nil"/>
            </w:tcBorders>
          </w:tcPr>
          <w:p w14:paraId="7B022E37" w14:textId="77777777" w:rsidR="002056CD" w:rsidRPr="00C7731E" w:rsidRDefault="002056CD" w:rsidP="006B0BCC">
            <w:pPr>
              <w:keepNext/>
              <w:jc w:val="right"/>
              <w:rPr>
                <w:rFonts w:ascii="Arial Narrow" w:hAnsi="Arial Narrow"/>
                <w:iCs/>
                <w:sz w:val="20"/>
              </w:rPr>
            </w:pPr>
            <w:r w:rsidRPr="00C7731E">
              <w:rPr>
                <w:rFonts w:ascii="Arial Narrow" w:hAnsi="Arial Narrow"/>
                <w:iCs/>
                <w:sz w:val="20"/>
              </w:rPr>
              <w:t>186%</w:t>
            </w:r>
          </w:p>
        </w:tc>
      </w:tr>
      <w:tr w:rsidR="002056CD" w:rsidRPr="007031F8" w14:paraId="7EBA1D2A" w14:textId="77777777" w:rsidTr="00C53833">
        <w:tc>
          <w:tcPr>
            <w:tcW w:w="4957" w:type="dxa"/>
            <w:tcBorders>
              <w:top w:val="nil"/>
              <w:bottom w:val="nil"/>
              <w:right w:val="single" w:sz="4" w:space="0" w:color="auto"/>
            </w:tcBorders>
          </w:tcPr>
          <w:p w14:paraId="19193E84" w14:textId="2AD1938C" w:rsidR="002056CD" w:rsidRPr="00C7731E" w:rsidRDefault="002056CD" w:rsidP="006B0BCC">
            <w:pPr>
              <w:keepNext/>
              <w:rPr>
                <w:rFonts w:ascii="Arial Narrow" w:hAnsi="Arial Narrow"/>
                <w:iCs/>
                <w:sz w:val="20"/>
              </w:rPr>
            </w:pPr>
            <w:r w:rsidRPr="00C7731E">
              <w:rPr>
                <w:rFonts w:ascii="Arial Narrow" w:hAnsi="Arial Narrow"/>
                <w:iCs/>
                <w:sz w:val="20"/>
              </w:rPr>
              <w:t>$</w:t>
            </w:r>
            <w:r w:rsidR="00AE3E5D" w:rsidRPr="00AE3E5D">
              <w:rPr>
                <w:rFonts w:ascii="Arial Narrow" w:hAnsi="Arial Narrow"/>
                <w:iCs/>
                <w:color w:val="000000"/>
                <w:spacing w:val="53"/>
                <w:sz w:val="20"/>
                <w:shd w:val="solid" w:color="000000" w:fill="000000"/>
                <w:fitText w:val="332" w:id="-1437332476"/>
                <w14:textFill>
                  <w14:solidFill>
                    <w14:srgbClr w14:val="000000">
                      <w14:alpha w14:val="100000"/>
                    </w14:srgbClr>
                  </w14:solidFill>
                </w14:textFill>
              </w:rPr>
              <w:t>|||</w:t>
            </w:r>
            <w:r w:rsidR="00AE3E5D" w:rsidRPr="00AE3E5D">
              <w:rPr>
                <w:rFonts w:ascii="Arial Narrow" w:hAnsi="Arial Narrow"/>
                <w:iCs/>
                <w:color w:val="000000"/>
                <w:spacing w:val="3"/>
                <w:sz w:val="20"/>
                <w:shd w:val="solid" w:color="000000" w:fill="000000"/>
                <w:fitText w:val="332" w:id="-1437332476"/>
                <w14:textFill>
                  <w14:solidFill>
                    <w14:srgbClr w14:val="000000">
                      <w14:alpha w14:val="100000"/>
                    </w14:srgbClr>
                  </w14:solidFill>
                </w14:textFill>
              </w:rPr>
              <w:t>|</w:t>
            </w:r>
          </w:p>
        </w:tc>
        <w:tc>
          <w:tcPr>
            <w:tcW w:w="992" w:type="dxa"/>
            <w:tcBorders>
              <w:top w:val="nil"/>
              <w:left w:val="single" w:sz="4" w:space="0" w:color="auto"/>
              <w:bottom w:val="nil"/>
              <w:right w:val="single" w:sz="4" w:space="0" w:color="auto"/>
            </w:tcBorders>
          </w:tcPr>
          <w:p w14:paraId="787FFF8D" w14:textId="3E00BC76" w:rsidR="002056CD" w:rsidRPr="00C7731E" w:rsidRDefault="002056CD" w:rsidP="006B0BCC">
            <w:pPr>
              <w:keepNext/>
              <w:jc w:val="right"/>
              <w:rPr>
                <w:rFonts w:ascii="Arial Narrow" w:hAnsi="Arial Narrow"/>
                <w:iCs/>
                <w:sz w:val="20"/>
              </w:rPr>
            </w:pPr>
            <w:r w:rsidRPr="00C7731E">
              <w:rPr>
                <w:rFonts w:ascii="Arial Narrow" w:hAnsi="Arial Narrow"/>
                <w:iCs/>
                <w:sz w:val="20"/>
              </w:rPr>
              <w:t>$</w:t>
            </w:r>
            <w:r w:rsidR="00AE3E5D" w:rsidRPr="00AE3E5D">
              <w:rPr>
                <w:rFonts w:ascii="Arial Narrow" w:hAnsi="Arial Narrow" w:hint="eastAsia"/>
                <w:iCs/>
                <w:color w:val="000000"/>
                <w:w w:val="18"/>
                <w:sz w:val="20"/>
                <w:shd w:val="solid" w:color="000000" w:fill="000000"/>
                <w:fitText w:val="83" w:id="-1437332475"/>
                <w14:textFill>
                  <w14:solidFill>
                    <w14:srgbClr w14:val="000000">
                      <w14:alpha w14:val="100000"/>
                    </w14:srgbClr>
                  </w14:solidFill>
                </w14:textFill>
              </w:rPr>
              <w:t xml:space="preserve">　</w:t>
            </w:r>
            <w:r w:rsidR="00AE3E5D" w:rsidRPr="00AE3E5D">
              <w:rPr>
                <w:rFonts w:ascii="Arial Narrow" w:hAnsi="Arial Narrow"/>
                <w:iCs/>
                <w:color w:val="000000"/>
                <w:w w:val="18"/>
                <w:sz w:val="20"/>
                <w:shd w:val="solid" w:color="000000" w:fill="000000"/>
                <w:fitText w:val="83" w:id="-1437332475"/>
                <w14:textFill>
                  <w14:solidFill>
                    <w14:srgbClr w14:val="000000">
                      <w14:alpha w14:val="100000"/>
                    </w14:srgbClr>
                  </w14:solidFill>
                </w14:textFill>
              </w:rPr>
              <w:t>|</w:t>
            </w:r>
            <w:r w:rsidR="00AE3E5D" w:rsidRPr="00AE3E5D">
              <w:rPr>
                <w:rFonts w:ascii="Arial Narrow" w:hAnsi="Arial Narrow" w:hint="eastAsia"/>
                <w:iCs/>
                <w:color w:val="000000"/>
                <w:spacing w:val="3"/>
                <w:w w:val="18"/>
                <w:sz w:val="20"/>
                <w:shd w:val="solid" w:color="000000" w:fill="000000"/>
                <w:fitText w:val="83" w:id="-1437332475"/>
                <w14:textFill>
                  <w14:solidFill>
                    <w14:srgbClr w14:val="000000">
                      <w14:alpha w14:val="100000"/>
                    </w14:srgbClr>
                  </w14:solidFill>
                </w14:textFill>
              </w:rPr>
              <w:t xml:space="preserve">　</w:t>
            </w:r>
          </w:p>
        </w:tc>
        <w:tc>
          <w:tcPr>
            <w:tcW w:w="1181" w:type="dxa"/>
            <w:tcBorders>
              <w:top w:val="nil"/>
              <w:left w:val="single" w:sz="4" w:space="0" w:color="auto"/>
              <w:bottom w:val="nil"/>
              <w:right w:val="single" w:sz="4" w:space="0" w:color="auto"/>
            </w:tcBorders>
          </w:tcPr>
          <w:p w14:paraId="617BCDDD" w14:textId="77777777" w:rsidR="002056CD" w:rsidRPr="00C7731E" w:rsidRDefault="002056CD" w:rsidP="006B0BCC">
            <w:pPr>
              <w:keepNext/>
              <w:jc w:val="right"/>
              <w:rPr>
                <w:rFonts w:ascii="Arial Narrow" w:hAnsi="Arial Narrow"/>
                <w:iCs/>
                <w:sz w:val="20"/>
              </w:rPr>
            </w:pPr>
            <w:r w:rsidRPr="00C7731E">
              <w:rPr>
                <w:rFonts w:ascii="Arial Narrow" w:hAnsi="Arial Narrow"/>
                <w:iCs/>
                <w:sz w:val="20"/>
              </w:rPr>
              <w:t>0.010</w:t>
            </w:r>
          </w:p>
        </w:tc>
        <w:tc>
          <w:tcPr>
            <w:tcW w:w="1087" w:type="dxa"/>
            <w:tcBorders>
              <w:top w:val="nil"/>
              <w:left w:val="single" w:sz="4" w:space="0" w:color="auto"/>
              <w:bottom w:val="nil"/>
              <w:right w:val="single" w:sz="4" w:space="0" w:color="auto"/>
            </w:tcBorders>
          </w:tcPr>
          <w:p w14:paraId="65958B0C" w14:textId="1A390280" w:rsidR="002056CD" w:rsidRPr="00C7731E" w:rsidRDefault="002056CD" w:rsidP="006B0BCC">
            <w:pPr>
              <w:keepNext/>
              <w:jc w:val="right"/>
              <w:rPr>
                <w:rFonts w:ascii="Arial Narrow" w:hAnsi="Arial Narrow"/>
                <w:iCs/>
                <w:sz w:val="20"/>
              </w:rPr>
            </w:pPr>
            <w:r w:rsidRPr="00C7731E">
              <w:rPr>
                <w:rFonts w:ascii="Arial Narrow" w:hAnsi="Arial Narrow"/>
                <w:iCs/>
                <w:sz w:val="20"/>
              </w:rPr>
              <w:t>$</w:t>
            </w:r>
            <w:r w:rsidR="00AE3E5D" w:rsidRPr="00AE3E5D">
              <w:rPr>
                <w:rFonts w:ascii="Arial Narrow" w:hAnsi="Arial Narrow"/>
                <w:iCs/>
                <w:color w:val="000000"/>
                <w:sz w:val="20"/>
                <w:shd w:val="solid" w:color="000000" w:fill="000000"/>
                <w14:textFill>
                  <w14:solidFill>
                    <w14:srgbClr w14:val="000000">
                      <w14:alpha w14:val="100000"/>
                    </w14:srgbClr>
                  </w14:solidFill>
                </w14:textFill>
              </w:rPr>
              <w:t>|</w:t>
            </w:r>
          </w:p>
        </w:tc>
        <w:tc>
          <w:tcPr>
            <w:tcW w:w="799" w:type="dxa"/>
            <w:tcBorders>
              <w:top w:val="nil"/>
              <w:left w:val="single" w:sz="4" w:space="0" w:color="auto"/>
              <w:bottom w:val="nil"/>
            </w:tcBorders>
          </w:tcPr>
          <w:p w14:paraId="35043D8D" w14:textId="77777777" w:rsidR="002056CD" w:rsidRPr="00C7731E" w:rsidRDefault="002056CD" w:rsidP="006B0BCC">
            <w:pPr>
              <w:keepNext/>
              <w:jc w:val="right"/>
              <w:rPr>
                <w:rFonts w:ascii="Arial Narrow" w:hAnsi="Arial Narrow"/>
                <w:iCs/>
                <w:sz w:val="20"/>
              </w:rPr>
            </w:pPr>
            <w:r w:rsidRPr="00C7731E">
              <w:rPr>
                <w:rFonts w:ascii="Arial Narrow" w:hAnsi="Arial Narrow"/>
                <w:iCs/>
                <w:sz w:val="20"/>
              </w:rPr>
              <w:t>58%</w:t>
            </w:r>
          </w:p>
        </w:tc>
      </w:tr>
      <w:tr w:rsidR="002056CD" w:rsidRPr="007031F8" w14:paraId="176A2E57" w14:textId="77777777" w:rsidTr="00AE3E5D">
        <w:tc>
          <w:tcPr>
            <w:tcW w:w="4957" w:type="dxa"/>
            <w:tcBorders>
              <w:top w:val="nil"/>
              <w:bottom w:val="nil"/>
              <w:right w:val="single" w:sz="4" w:space="0" w:color="auto"/>
            </w:tcBorders>
          </w:tcPr>
          <w:p w14:paraId="44FDD762" w14:textId="6E3050A9" w:rsidR="002056CD" w:rsidRPr="00C7731E" w:rsidRDefault="002056CD" w:rsidP="006B0BCC">
            <w:pPr>
              <w:keepNext/>
              <w:rPr>
                <w:rFonts w:ascii="Arial Narrow" w:hAnsi="Arial Narrow"/>
                <w:iCs/>
                <w:sz w:val="20"/>
              </w:rPr>
            </w:pPr>
            <w:r w:rsidRPr="00C7731E">
              <w:rPr>
                <w:rFonts w:ascii="Arial Narrow" w:hAnsi="Arial Narrow"/>
                <w:iCs/>
                <w:sz w:val="20"/>
              </w:rPr>
              <w:t>$</w:t>
            </w:r>
            <w:r w:rsidR="00AE3E5D" w:rsidRPr="00AE3E5D">
              <w:rPr>
                <w:rFonts w:ascii="Arial Narrow" w:hAnsi="Arial Narrow"/>
                <w:iCs/>
                <w:color w:val="000000"/>
                <w:spacing w:val="53"/>
                <w:sz w:val="20"/>
                <w:shd w:val="solid" w:color="000000" w:fill="000000"/>
                <w:fitText w:val="332" w:id="-1437332474"/>
                <w14:textFill>
                  <w14:solidFill>
                    <w14:srgbClr w14:val="000000">
                      <w14:alpha w14:val="100000"/>
                    </w14:srgbClr>
                  </w14:solidFill>
                </w14:textFill>
              </w:rPr>
              <w:t>|||</w:t>
            </w:r>
            <w:r w:rsidR="00AE3E5D" w:rsidRPr="00AE3E5D">
              <w:rPr>
                <w:rFonts w:ascii="Arial Narrow" w:hAnsi="Arial Narrow"/>
                <w:iCs/>
                <w:color w:val="000000"/>
                <w:spacing w:val="3"/>
                <w:sz w:val="20"/>
                <w:shd w:val="solid" w:color="000000" w:fill="000000"/>
                <w:fitText w:val="332" w:id="-1437332474"/>
                <w14:textFill>
                  <w14:solidFill>
                    <w14:srgbClr w14:val="000000">
                      <w14:alpha w14:val="100000"/>
                    </w14:srgbClr>
                  </w14:solidFill>
                </w14:textFill>
              </w:rPr>
              <w:t>|</w:t>
            </w:r>
          </w:p>
        </w:tc>
        <w:tc>
          <w:tcPr>
            <w:tcW w:w="992" w:type="dxa"/>
            <w:tcBorders>
              <w:top w:val="nil"/>
              <w:left w:val="single" w:sz="4" w:space="0" w:color="auto"/>
              <w:bottom w:val="nil"/>
              <w:right w:val="single" w:sz="4" w:space="0" w:color="auto"/>
            </w:tcBorders>
          </w:tcPr>
          <w:p w14:paraId="593C9FA5" w14:textId="07D8B55F" w:rsidR="002056CD" w:rsidRPr="00C7731E" w:rsidRDefault="002056CD" w:rsidP="006B0BCC">
            <w:pPr>
              <w:keepNext/>
              <w:jc w:val="right"/>
              <w:rPr>
                <w:rFonts w:ascii="Arial Narrow" w:hAnsi="Arial Narrow"/>
                <w:iCs/>
                <w:sz w:val="20"/>
              </w:rPr>
            </w:pPr>
            <w:r w:rsidRPr="00C7731E">
              <w:rPr>
                <w:rFonts w:ascii="Arial Narrow" w:hAnsi="Arial Narrow"/>
                <w:iCs/>
                <w:sz w:val="20"/>
              </w:rPr>
              <w:t>$</w:t>
            </w:r>
            <w:r w:rsidR="00AE3E5D" w:rsidRPr="00AE3E5D">
              <w:rPr>
                <w:rFonts w:ascii="Arial Narrow" w:hAnsi="Arial Narrow" w:hint="eastAsia"/>
                <w:iCs/>
                <w:color w:val="000000"/>
                <w:w w:val="18"/>
                <w:sz w:val="20"/>
                <w:shd w:val="solid" w:color="000000" w:fill="000000"/>
                <w:fitText w:val="83" w:id="-1437332224"/>
                <w14:textFill>
                  <w14:solidFill>
                    <w14:srgbClr w14:val="000000">
                      <w14:alpha w14:val="100000"/>
                    </w14:srgbClr>
                  </w14:solidFill>
                </w14:textFill>
              </w:rPr>
              <w:t xml:space="preserve">　</w:t>
            </w:r>
            <w:r w:rsidR="00AE3E5D" w:rsidRPr="00AE3E5D">
              <w:rPr>
                <w:rFonts w:ascii="Arial Narrow" w:hAnsi="Arial Narrow"/>
                <w:iCs/>
                <w:color w:val="000000"/>
                <w:w w:val="18"/>
                <w:sz w:val="20"/>
                <w:shd w:val="solid" w:color="000000" w:fill="000000"/>
                <w:fitText w:val="83" w:id="-1437332224"/>
                <w14:textFill>
                  <w14:solidFill>
                    <w14:srgbClr w14:val="000000">
                      <w14:alpha w14:val="100000"/>
                    </w14:srgbClr>
                  </w14:solidFill>
                </w14:textFill>
              </w:rPr>
              <w:t>|</w:t>
            </w:r>
            <w:r w:rsidR="00AE3E5D" w:rsidRPr="00AE3E5D">
              <w:rPr>
                <w:rFonts w:ascii="Arial Narrow" w:hAnsi="Arial Narrow" w:hint="eastAsia"/>
                <w:iCs/>
                <w:color w:val="000000"/>
                <w:spacing w:val="3"/>
                <w:w w:val="18"/>
                <w:sz w:val="20"/>
                <w:shd w:val="solid" w:color="000000" w:fill="000000"/>
                <w:fitText w:val="83" w:id="-1437332224"/>
                <w14:textFill>
                  <w14:solidFill>
                    <w14:srgbClr w14:val="000000">
                      <w14:alpha w14:val="100000"/>
                    </w14:srgbClr>
                  </w14:solidFill>
                </w14:textFill>
              </w:rPr>
              <w:t xml:space="preserve">　</w:t>
            </w:r>
          </w:p>
        </w:tc>
        <w:tc>
          <w:tcPr>
            <w:tcW w:w="1181" w:type="dxa"/>
            <w:tcBorders>
              <w:top w:val="nil"/>
              <w:left w:val="single" w:sz="4" w:space="0" w:color="auto"/>
              <w:bottom w:val="nil"/>
              <w:right w:val="single" w:sz="4" w:space="0" w:color="auto"/>
            </w:tcBorders>
          </w:tcPr>
          <w:p w14:paraId="05C55D01" w14:textId="77777777" w:rsidR="002056CD" w:rsidRPr="00C7731E" w:rsidRDefault="002056CD" w:rsidP="006B0BCC">
            <w:pPr>
              <w:keepNext/>
              <w:jc w:val="right"/>
              <w:rPr>
                <w:rFonts w:ascii="Arial Narrow" w:hAnsi="Arial Narrow"/>
                <w:iCs/>
                <w:sz w:val="20"/>
              </w:rPr>
            </w:pPr>
            <w:r w:rsidRPr="00C7731E">
              <w:rPr>
                <w:rFonts w:ascii="Arial Narrow" w:hAnsi="Arial Narrow"/>
                <w:iCs/>
                <w:sz w:val="20"/>
              </w:rPr>
              <w:t>0.010</w:t>
            </w:r>
          </w:p>
        </w:tc>
        <w:tc>
          <w:tcPr>
            <w:tcW w:w="1087" w:type="dxa"/>
            <w:tcBorders>
              <w:top w:val="nil"/>
              <w:left w:val="single" w:sz="4" w:space="0" w:color="auto"/>
              <w:bottom w:val="nil"/>
              <w:right w:val="single" w:sz="4" w:space="0" w:color="auto"/>
            </w:tcBorders>
          </w:tcPr>
          <w:p w14:paraId="7F8D9D97" w14:textId="73436CFD" w:rsidR="002056CD" w:rsidRPr="00C7731E" w:rsidRDefault="002056CD" w:rsidP="006B0BCC">
            <w:pPr>
              <w:keepNext/>
              <w:jc w:val="right"/>
              <w:rPr>
                <w:rFonts w:ascii="Arial Narrow" w:hAnsi="Arial Narrow"/>
                <w:iCs/>
                <w:sz w:val="20"/>
              </w:rPr>
            </w:pPr>
            <w:r w:rsidRPr="00C7731E">
              <w:rPr>
                <w:rFonts w:ascii="Arial Narrow" w:hAnsi="Arial Narrow"/>
                <w:iCs/>
                <w:sz w:val="20"/>
              </w:rPr>
              <w:t>$</w:t>
            </w:r>
            <w:r w:rsidR="00AE3E5D" w:rsidRPr="00AE3E5D">
              <w:rPr>
                <w:rFonts w:ascii="Arial Narrow" w:hAnsi="Arial Narrow"/>
                <w:iCs/>
                <w:color w:val="000000"/>
                <w:sz w:val="20"/>
                <w:shd w:val="solid" w:color="000000" w:fill="000000"/>
                <w14:textFill>
                  <w14:solidFill>
                    <w14:srgbClr w14:val="000000">
                      <w14:alpha w14:val="100000"/>
                    </w14:srgbClr>
                  </w14:solidFill>
                </w14:textFill>
              </w:rPr>
              <w:t>|</w:t>
            </w:r>
          </w:p>
        </w:tc>
        <w:tc>
          <w:tcPr>
            <w:tcW w:w="799" w:type="dxa"/>
            <w:tcBorders>
              <w:top w:val="nil"/>
              <w:left w:val="single" w:sz="4" w:space="0" w:color="auto"/>
              <w:bottom w:val="nil"/>
            </w:tcBorders>
          </w:tcPr>
          <w:p w14:paraId="76E3ACD4" w14:textId="77777777" w:rsidR="002056CD" w:rsidRPr="00C7731E" w:rsidRDefault="002056CD" w:rsidP="006B0BCC">
            <w:pPr>
              <w:keepNext/>
              <w:jc w:val="right"/>
              <w:rPr>
                <w:rFonts w:ascii="Arial Narrow" w:hAnsi="Arial Narrow"/>
                <w:iCs/>
                <w:sz w:val="20"/>
              </w:rPr>
            </w:pPr>
            <w:r w:rsidRPr="00C7731E">
              <w:rPr>
                <w:rFonts w:ascii="Arial Narrow" w:hAnsi="Arial Narrow"/>
                <w:iCs/>
                <w:sz w:val="20"/>
              </w:rPr>
              <w:t>−70%</w:t>
            </w:r>
          </w:p>
        </w:tc>
      </w:tr>
      <w:tr w:rsidR="002056CD" w:rsidRPr="007031F8" w14:paraId="6C4202C5" w14:textId="77777777" w:rsidTr="00AE3E5D">
        <w:tc>
          <w:tcPr>
            <w:tcW w:w="4957" w:type="dxa"/>
            <w:tcBorders>
              <w:top w:val="nil"/>
              <w:bottom w:val="single" w:sz="4" w:space="0" w:color="auto"/>
            </w:tcBorders>
          </w:tcPr>
          <w:p w14:paraId="5F8073AE" w14:textId="09206685" w:rsidR="002056CD" w:rsidRPr="00C7731E" w:rsidRDefault="002056CD" w:rsidP="006B0BCC">
            <w:pPr>
              <w:keepNext/>
              <w:rPr>
                <w:rFonts w:ascii="Arial Narrow" w:hAnsi="Arial Narrow"/>
                <w:iCs/>
                <w:sz w:val="20"/>
              </w:rPr>
            </w:pPr>
            <w:r w:rsidRPr="00C7731E">
              <w:rPr>
                <w:rFonts w:ascii="Arial Narrow" w:hAnsi="Arial Narrow"/>
                <w:iCs/>
                <w:sz w:val="20"/>
              </w:rPr>
              <w:t>$</w:t>
            </w:r>
            <w:r w:rsidR="00AE3E5D" w:rsidRPr="00AE3E5D">
              <w:rPr>
                <w:rFonts w:ascii="Arial Narrow" w:hAnsi="Arial Narrow"/>
                <w:iCs/>
                <w:color w:val="000000"/>
                <w:spacing w:val="53"/>
                <w:sz w:val="20"/>
                <w:shd w:val="solid" w:color="000000" w:fill="000000"/>
                <w:fitText w:val="332" w:id="-1437332223"/>
                <w14:textFill>
                  <w14:solidFill>
                    <w14:srgbClr w14:val="000000">
                      <w14:alpha w14:val="100000"/>
                    </w14:srgbClr>
                  </w14:solidFill>
                </w14:textFill>
              </w:rPr>
              <w:t>|||</w:t>
            </w:r>
            <w:r w:rsidR="00AE3E5D" w:rsidRPr="00AE3E5D">
              <w:rPr>
                <w:rFonts w:ascii="Arial Narrow" w:hAnsi="Arial Narrow"/>
                <w:iCs/>
                <w:color w:val="000000"/>
                <w:spacing w:val="3"/>
                <w:sz w:val="20"/>
                <w:shd w:val="solid" w:color="000000" w:fill="000000"/>
                <w:fitText w:val="332" w:id="-1437332223"/>
                <w14:textFill>
                  <w14:solidFill>
                    <w14:srgbClr w14:val="000000">
                      <w14:alpha w14:val="100000"/>
                    </w14:srgbClr>
                  </w14:solidFill>
                </w14:textFill>
              </w:rPr>
              <w:t>|</w:t>
            </w:r>
          </w:p>
        </w:tc>
        <w:tc>
          <w:tcPr>
            <w:tcW w:w="992" w:type="dxa"/>
            <w:tcBorders>
              <w:top w:val="nil"/>
              <w:bottom w:val="single" w:sz="4" w:space="0" w:color="auto"/>
            </w:tcBorders>
          </w:tcPr>
          <w:p w14:paraId="5DE2BD44" w14:textId="1C1B51E0" w:rsidR="002056CD" w:rsidRPr="00C7731E" w:rsidRDefault="002056CD" w:rsidP="006B0BCC">
            <w:pPr>
              <w:keepNext/>
              <w:jc w:val="right"/>
              <w:rPr>
                <w:rFonts w:ascii="Arial Narrow" w:hAnsi="Arial Narrow"/>
                <w:iCs/>
                <w:sz w:val="20"/>
              </w:rPr>
            </w:pPr>
            <w:r w:rsidRPr="00C7731E">
              <w:rPr>
                <w:rFonts w:ascii="Arial Narrow" w:hAnsi="Arial Narrow"/>
                <w:iCs/>
                <w:sz w:val="20"/>
              </w:rPr>
              <w:t>$</w:t>
            </w:r>
            <w:r w:rsidR="00AE3E5D" w:rsidRPr="00AE3E5D">
              <w:rPr>
                <w:rFonts w:ascii="Arial Narrow" w:hAnsi="Arial Narrow"/>
                <w:iCs/>
                <w:color w:val="000000"/>
                <w:spacing w:val="94"/>
                <w:sz w:val="20"/>
                <w:shd w:val="solid" w:color="000000" w:fill="000000"/>
                <w:fitText w:val="180" w:id="-1437332222"/>
                <w14:textFill>
                  <w14:solidFill>
                    <w14:srgbClr w14:val="000000">
                      <w14:alpha w14:val="100000"/>
                    </w14:srgbClr>
                  </w14:solidFill>
                </w14:textFill>
              </w:rPr>
              <w:t>|</w:t>
            </w:r>
            <w:r w:rsidR="00AE3E5D" w:rsidRPr="00AE3E5D">
              <w:rPr>
                <w:rFonts w:ascii="Arial Narrow" w:hAnsi="Arial Narrow"/>
                <w:iCs/>
                <w:color w:val="000000"/>
                <w:spacing w:val="1"/>
                <w:sz w:val="20"/>
                <w:shd w:val="solid" w:color="000000" w:fill="000000"/>
                <w:fitText w:val="180" w:id="-1437332222"/>
                <w14:textFill>
                  <w14:solidFill>
                    <w14:srgbClr w14:val="000000">
                      <w14:alpha w14:val="100000"/>
                    </w14:srgbClr>
                  </w14:solidFill>
                </w14:textFill>
              </w:rPr>
              <w:t>|</w:t>
            </w:r>
          </w:p>
        </w:tc>
        <w:tc>
          <w:tcPr>
            <w:tcW w:w="1181" w:type="dxa"/>
            <w:tcBorders>
              <w:top w:val="nil"/>
              <w:bottom w:val="single" w:sz="4" w:space="0" w:color="auto"/>
            </w:tcBorders>
          </w:tcPr>
          <w:p w14:paraId="5E83B87C" w14:textId="77777777" w:rsidR="002056CD" w:rsidRPr="00C7731E" w:rsidRDefault="002056CD" w:rsidP="006B0BCC">
            <w:pPr>
              <w:keepNext/>
              <w:jc w:val="right"/>
              <w:rPr>
                <w:rFonts w:ascii="Arial Narrow" w:hAnsi="Arial Narrow"/>
                <w:iCs/>
                <w:sz w:val="20"/>
              </w:rPr>
            </w:pPr>
            <w:r w:rsidRPr="00C7731E">
              <w:rPr>
                <w:rFonts w:ascii="Arial Narrow" w:hAnsi="Arial Narrow"/>
                <w:iCs/>
                <w:sz w:val="20"/>
              </w:rPr>
              <w:t>0.010</w:t>
            </w:r>
          </w:p>
        </w:tc>
        <w:tc>
          <w:tcPr>
            <w:tcW w:w="1087" w:type="dxa"/>
            <w:tcBorders>
              <w:top w:val="nil"/>
              <w:bottom w:val="single" w:sz="4" w:space="0" w:color="auto"/>
            </w:tcBorders>
            <w:shd w:val="solid" w:color="000000" w:fill="000000"/>
          </w:tcPr>
          <w:p w14:paraId="7E4964A1" w14:textId="6479959A" w:rsidR="002056CD" w:rsidRPr="00C7731E" w:rsidRDefault="00AE3E5D" w:rsidP="006B0BCC">
            <w:pPr>
              <w:keepNext/>
              <w:jc w:val="right"/>
              <w:rPr>
                <w:rFonts w:ascii="Arial Narrow" w:hAnsi="Arial Narrow"/>
                <w:iCs/>
                <w:sz w:val="20"/>
              </w:rPr>
            </w:pPr>
            <w:r w:rsidRPr="00AE3E5D">
              <w:rPr>
                <w:rFonts w:ascii="Arial Narrow" w:hAnsi="Arial Narrow"/>
                <w:iCs/>
                <w:color w:val="000000"/>
                <w:sz w:val="20"/>
                <w14:textFill>
                  <w14:solidFill>
                    <w14:srgbClr w14:val="000000">
                      <w14:alpha w14:val="100000"/>
                    </w14:srgbClr>
                  </w14:solidFill>
                </w14:textFill>
              </w:rPr>
              <w:t>|</w:t>
            </w:r>
          </w:p>
        </w:tc>
        <w:tc>
          <w:tcPr>
            <w:tcW w:w="799" w:type="dxa"/>
            <w:tcBorders>
              <w:top w:val="nil"/>
              <w:bottom w:val="single" w:sz="4" w:space="0" w:color="auto"/>
            </w:tcBorders>
          </w:tcPr>
          <w:p w14:paraId="60A670CB" w14:textId="77777777" w:rsidR="002056CD" w:rsidRPr="00C7731E" w:rsidRDefault="002056CD" w:rsidP="006B0BCC">
            <w:pPr>
              <w:keepNext/>
              <w:jc w:val="right"/>
              <w:rPr>
                <w:rFonts w:ascii="Arial Narrow" w:hAnsi="Arial Narrow"/>
                <w:iCs/>
                <w:sz w:val="20"/>
              </w:rPr>
            </w:pPr>
            <w:r w:rsidRPr="00C7731E">
              <w:rPr>
                <w:rFonts w:ascii="Arial Narrow" w:hAnsi="Arial Narrow"/>
                <w:iCs/>
                <w:sz w:val="20"/>
              </w:rPr>
              <w:t>−116%</w:t>
            </w:r>
          </w:p>
        </w:tc>
      </w:tr>
    </w:tbl>
    <w:p w14:paraId="04DE0CE3" w14:textId="60D2DB60" w:rsidR="002056CD" w:rsidRPr="00C227CD" w:rsidRDefault="002056CD" w:rsidP="002056CD">
      <w:pPr>
        <w:keepLines/>
        <w:spacing w:after="360" w:line="240" w:lineRule="auto"/>
        <w:contextualSpacing/>
        <w:rPr>
          <w:rFonts w:ascii="Arial Narrow" w:eastAsia="Times New Roman" w:hAnsi="Arial Narrow" w:cs="Times New Roman"/>
          <w:color w:val="000000"/>
          <w:sz w:val="18"/>
          <w:szCs w:val="18"/>
          <w:lang w:eastAsia="en-AU"/>
        </w:rPr>
      </w:pPr>
      <w:r w:rsidRPr="00C227CD">
        <w:rPr>
          <w:rFonts w:ascii="Arial Narrow" w:eastAsia="Times New Roman" w:hAnsi="Arial Narrow" w:cs="Times New Roman"/>
          <w:color w:val="000000"/>
          <w:sz w:val="18"/>
          <w:szCs w:val="18"/>
          <w:vertAlign w:val="superscript"/>
          <w:lang w:eastAsia="en-AU"/>
        </w:rPr>
        <w:t>a</w:t>
      </w:r>
      <w:r w:rsidRPr="00C227CD">
        <w:rPr>
          <w:rFonts w:ascii="Arial Narrow" w:eastAsia="Times New Roman" w:hAnsi="Arial Narrow" w:cs="Times New Roman"/>
          <w:color w:val="000000"/>
          <w:sz w:val="18"/>
          <w:szCs w:val="18"/>
          <w:lang w:eastAsia="en-AU"/>
        </w:rPr>
        <w:t xml:space="preserve"> Sestak I, Martin M, Dubsky P, Kronenwett R, Rojo F, Cuzick J, et al. Prediction of chemotherapy benefit by EndoPredict in patients with breast cancer who received adjuvant endocrine therapy plus chemotherapy or endocrine therapy alone. Breast Cancer Res Treat. 2019 Jul;176(2):377-86.</w:t>
      </w:r>
    </w:p>
    <w:p w14:paraId="55A12450" w14:textId="77777777" w:rsidR="002056CD" w:rsidRDefault="002056CD" w:rsidP="007916BD">
      <w:pPr>
        <w:keepLines/>
        <w:spacing w:after="0" w:line="240" w:lineRule="auto"/>
        <w:rPr>
          <w:rFonts w:ascii="Arial Narrow" w:eastAsia="Times New Roman" w:hAnsi="Arial Narrow" w:cs="Times New Roman"/>
          <w:color w:val="000000"/>
          <w:sz w:val="18"/>
          <w:szCs w:val="18"/>
          <w:lang w:eastAsia="en-AU"/>
        </w:rPr>
      </w:pPr>
      <w:r w:rsidRPr="00C227CD">
        <w:rPr>
          <w:rFonts w:ascii="Arial Narrow" w:eastAsia="Times New Roman" w:hAnsi="Arial Narrow" w:cs="Times New Roman"/>
          <w:color w:val="000000"/>
          <w:sz w:val="18"/>
          <w:szCs w:val="18"/>
          <w:vertAlign w:val="superscript"/>
          <w:lang w:eastAsia="en-AU"/>
        </w:rPr>
        <w:t>b</w:t>
      </w:r>
      <w:r w:rsidRPr="00C227CD">
        <w:rPr>
          <w:rFonts w:ascii="Arial Narrow" w:eastAsia="Times New Roman" w:hAnsi="Arial Narrow" w:cs="Times New Roman"/>
          <w:color w:val="000000"/>
          <w:sz w:val="18"/>
          <w:szCs w:val="18"/>
          <w:lang w:eastAsia="en-AU"/>
        </w:rPr>
        <w:t xml:space="preserve"> Ward S, Scope A, Rafia R, Pandor A, Harnan S, Evans P, et al. Gene expression profiling and expanded immunohistochemistry tests to guide the use of adjuvant chemotherapy in breast cancer management: a systematic review and cost-effectiveness analysis. Health Technol Assess. 2013 Oct;17(44):1-302.</w:t>
      </w:r>
    </w:p>
    <w:p w14:paraId="6F2BB7DE" w14:textId="77777777" w:rsidR="007916BD" w:rsidRPr="00C227CD" w:rsidRDefault="007916BD" w:rsidP="007916BD">
      <w:pPr>
        <w:keepLines/>
        <w:spacing w:after="360" w:line="240" w:lineRule="auto"/>
        <w:contextualSpacing/>
        <w:rPr>
          <w:rFonts w:ascii="Arial Narrow" w:eastAsia="Times New Roman" w:hAnsi="Arial Narrow" w:cs="Times New Roman"/>
          <w:sz w:val="18"/>
          <w:szCs w:val="18"/>
          <w:lang w:eastAsia="en-AU"/>
        </w:rPr>
      </w:pPr>
      <w:bookmarkStart w:id="66" w:name="_Hlk103004324"/>
      <w:r w:rsidRPr="00C227CD">
        <w:rPr>
          <w:rFonts w:ascii="Arial Narrow" w:eastAsia="Times New Roman" w:hAnsi="Arial Narrow" w:cs="Times New Roman"/>
          <w:sz w:val="18"/>
          <w:szCs w:val="18"/>
          <w:lang w:eastAsia="en-AU"/>
        </w:rPr>
        <w:t>DR = distant recurrence; ET = endocrine therapy; ICER = incremental cost-effectiveness ratio; MDT = multidisciplinary team; QALY = quality adjusted life year.</w:t>
      </w:r>
    </w:p>
    <w:p w14:paraId="7B39BE33" w14:textId="77777777" w:rsidR="007916BD" w:rsidRPr="00B766DC" w:rsidRDefault="007916BD" w:rsidP="007916BD">
      <w:pPr>
        <w:keepLines/>
        <w:spacing w:after="240" w:line="240" w:lineRule="auto"/>
        <w:rPr>
          <w:rFonts w:ascii="Arial Narrow" w:eastAsia="Times New Roman" w:hAnsi="Arial Narrow" w:cs="Times New Roman"/>
          <w:iCs/>
          <w:sz w:val="18"/>
          <w:szCs w:val="18"/>
          <w:lang w:eastAsia="en-AU"/>
        </w:rPr>
      </w:pPr>
      <w:r w:rsidRPr="00B766DC">
        <w:rPr>
          <w:rFonts w:ascii="Arial Narrow" w:eastAsia="Times New Roman" w:hAnsi="Arial Narrow" w:cs="Times New Roman"/>
          <w:iCs/>
          <w:sz w:val="18"/>
          <w:szCs w:val="18"/>
          <w:lang w:eastAsia="en-AU"/>
        </w:rPr>
        <w:t xml:space="preserve">Source: Constructed during the evaluation using the ‘Attachment 4_MSAC EndoPredict Economic </w:t>
      </w:r>
      <w:proofErr w:type="gramStart"/>
      <w:r w:rsidRPr="00B766DC">
        <w:rPr>
          <w:rFonts w:ascii="Arial Narrow" w:eastAsia="Times New Roman" w:hAnsi="Arial Narrow" w:cs="Times New Roman"/>
          <w:iCs/>
          <w:sz w:val="18"/>
          <w:szCs w:val="18"/>
          <w:lang w:eastAsia="en-AU"/>
        </w:rPr>
        <w:t>model.trex</w:t>
      </w:r>
      <w:proofErr w:type="gramEnd"/>
      <w:r w:rsidRPr="00B766DC">
        <w:rPr>
          <w:rFonts w:ascii="Arial Narrow" w:eastAsia="Times New Roman" w:hAnsi="Arial Narrow" w:cs="Times New Roman"/>
          <w:iCs/>
          <w:sz w:val="18"/>
          <w:szCs w:val="18"/>
          <w:lang w:eastAsia="en-AU"/>
        </w:rPr>
        <w:t xml:space="preserve">’ file included in the 1408.1 </w:t>
      </w:r>
      <w:r>
        <w:rPr>
          <w:rFonts w:ascii="Arial Narrow" w:eastAsia="Times New Roman" w:hAnsi="Arial Narrow" w:cs="Times New Roman"/>
          <w:iCs/>
          <w:sz w:val="18"/>
          <w:szCs w:val="18"/>
          <w:lang w:eastAsia="en-AU"/>
        </w:rPr>
        <w:t>re-application</w:t>
      </w:r>
      <w:r w:rsidRPr="00B766DC">
        <w:rPr>
          <w:rFonts w:ascii="Arial Narrow" w:eastAsia="Times New Roman" w:hAnsi="Arial Narrow" w:cs="Times New Roman"/>
          <w:iCs/>
          <w:sz w:val="18"/>
          <w:szCs w:val="18"/>
          <w:lang w:eastAsia="en-AU"/>
        </w:rPr>
        <w:t>.</w:t>
      </w:r>
    </w:p>
    <w:p w14:paraId="31EE833F" w14:textId="6F2F59AB" w:rsidR="002056CD" w:rsidRPr="007031F8" w:rsidRDefault="007031F8" w:rsidP="002056CD">
      <w:pPr>
        <w:rPr>
          <w:rFonts w:ascii="Franklin Gothic Book" w:hAnsi="Franklin Gothic Book"/>
          <w:iCs/>
          <w:lang w:eastAsia="en-AU"/>
        </w:rPr>
      </w:pPr>
      <w:r w:rsidRPr="006A2C29">
        <w:rPr>
          <w:rFonts w:ascii="Franklin Gothic Book" w:eastAsia="Calibri" w:hAnsi="Franklin Gothic Book" w:cs="Times New Roman"/>
          <w:iCs/>
        </w:rPr>
        <w:t xml:space="preserve">The </w:t>
      </w:r>
      <w:r w:rsidR="006A2C29" w:rsidRPr="006A2C29">
        <w:rPr>
          <w:rFonts w:ascii="Franklin Gothic Book" w:eastAsia="Calibri" w:hAnsi="Franklin Gothic Book" w:cs="Times New Roman"/>
          <w:iCs/>
        </w:rPr>
        <w:t>c</w:t>
      </w:r>
      <w:r w:rsidRPr="006A2C29">
        <w:rPr>
          <w:rFonts w:ascii="Franklin Gothic Book" w:eastAsia="Calibri" w:hAnsi="Franklin Gothic Book" w:cs="Times New Roman"/>
          <w:iCs/>
        </w:rPr>
        <w:t>ommentary considered that d</w:t>
      </w:r>
      <w:r w:rsidR="002056CD" w:rsidRPr="006A2C29">
        <w:rPr>
          <w:rFonts w:ascii="Franklin Gothic Book" w:eastAsia="Calibri" w:hAnsi="Franklin Gothic Book" w:cs="Times New Roman"/>
          <w:iCs/>
        </w:rPr>
        <w:t xml:space="preserve">espite changes made during the evaluation to address some of the concerns previously raised by MSAC, uncertainty remains in the underlying </w:t>
      </w:r>
      <w:r w:rsidR="00C266B4" w:rsidRPr="006A2C29">
        <w:rPr>
          <w:rFonts w:ascii="Franklin Gothic Book" w:eastAsia="Calibri" w:hAnsi="Franklin Gothic Book" w:cs="Times New Roman"/>
          <w:iCs/>
        </w:rPr>
        <w:t xml:space="preserve">clinical </w:t>
      </w:r>
      <w:r w:rsidR="002056CD" w:rsidRPr="006A2C29">
        <w:rPr>
          <w:rFonts w:ascii="Franklin Gothic Book" w:eastAsia="Calibri" w:hAnsi="Franklin Gothic Book" w:cs="Times New Roman"/>
          <w:iCs/>
        </w:rPr>
        <w:t xml:space="preserve">evidence base. </w:t>
      </w:r>
      <w:r w:rsidR="00C266B4" w:rsidRPr="006A2C29">
        <w:rPr>
          <w:rFonts w:ascii="Franklin Gothic Book" w:eastAsia="Calibri" w:hAnsi="Franklin Gothic Book" w:cs="Times New Roman"/>
          <w:iCs/>
        </w:rPr>
        <w:t>In addition to the lack of a prospective randomised trial directly assessing health outcomes, a</w:t>
      </w:r>
      <w:r w:rsidR="002056CD" w:rsidRPr="006A2C29">
        <w:rPr>
          <w:rFonts w:ascii="Franklin Gothic Book" w:eastAsia="Calibri" w:hAnsi="Franklin Gothic Book" w:cs="Times New Roman"/>
          <w:iCs/>
        </w:rPr>
        <w:t xml:space="preserve">pplicability issues remain between the studies included in the linked evidence and between these studies and the proposed Australian population, which would likely affect the </w:t>
      </w:r>
      <w:r w:rsidR="00C266B4" w:rsidRPr="006A2C29">
        <w:rPr>
          <w:rFonts w:ascii="Franklin Gothic Book" w:eastAsia="Calibri" w:hAnsi="Franklin Gothic Book" w:cs="Times New Roman"/>
          <w:iCs/>
        </w:rPr>
        <w:t>accuracy</w:t>
      </w:r>
      <w:r w:rsidR="002056CD" w:rsidRPr="006A2C29">
        <w:rPr>
          <w:rFonts w:ascii="Franklin Gothic Book" w:eastAsia="Calibri" w:hAnsi="Franklin Gothic Book" w:cs="Times New Roman"/>
          <w:iCs/>
        </w:rPr>
        <w:t xml:space="preserve"> of the results generated.</w:t>
      </w:r>
      <w:bookmarkEnd w:id="66"/>
    </w:p>
    <w:p w14:paraId="262DCB8D" w14:textId="454DAAD9" w:rsidR="002056CD" w:rsidRPr="00D76968" w:rsidRDefault="002056CD" w:rsidP="002056CD">
      <w:pPr>
        <w:pStyle w:val="Heading2"/>
        <w:rPr>
          <w:rFonts w:ascii="Franklin Gothic Medium" w:hAnsi="Franklin Gothic Medium" w:cstheme="majorBidi"/>
        </w:rPr>
      </w:pPr>
      <w:bookmarkStart w:id="67" w:name="_Toc69491426"/>
      <w:bookmarkStart w:id="68" w:name="_Toc102569860"/>
      <w:bookmarkEnd w:id="57"/>
      <w:r w:rsidRPr="00D76968">
        <w:rPr>
          <w:rFonts w:ascii="Franklin Gothic Medium" w:hAnsi="Franklin Gothic Medium" w:cstheme="majorBidi"/>
        </w:rPr>
        <w:t>1</w:t>
      </w:r>
      <w:r w:rsidR="006A153F">
        <w:rPr>
          <w:rFonts w:ascii="Franklin Gothic Medium" w:hAnsi="Franklin Gothic Medium" w:cstheme="majorBidi"/>
        </w:rPr>
        <w:t>4</w:t>
      </w:r>
      <w:r w:rsidRPr="00D76968">
        <w:rPr>
          <w:rFonts w:ascii="Franklin Gothic Medium" w:hAnsi="Franklin Gothic Medium" w:cstheme="majorBidi"/>
        </w:rPr>
        <w:t>.</w:t>
      </w:r>
      <w:r w:rsidRPr="00D76968">
        <w:rPr>
          <w:rFonts w:ascii="Franklin Gothic Medium" w:hAnsi="Franklin Gothic Medium" w:cstheme="majorBidi"/>
        </w:rPr>
        <w:tab/>
        <w:t>Financial/budgetary impacts</w:t>
      </w:r>
      <w:bookmarkEnd w:id="67"/>
      <w:bookmarkEnd w:id="68"/>
    </w:p>
    <w:p w14:paraId="45E69486" w14:textId="60F74663" w:rsidR="002056CD" w:rsidRPr="008C2D6E" w:rsidRDefault="002056CD" w:rsidP="002056CD">
      <w:pPr>
        <w:rPr>
          <w:rFonts w:ascii="Franklin Gothic Book" w:hAnsi="Franklin Gothic Book"/>
          <w:iCs/>
        </w:rPr>
      </w:pPr>
      <w:bookmarkStart w:id="69" w:name="_Ref69726382"/>
      <w:r w:rsidRPr="00D76968">
        <w:rPr>
          <w:rFonts w:ascii="Franklin Gothic Book" w:hAnsi="Franklin Gothic Book"/>
        </w:rPr>
        <w:t xml:space="preserve">The </w:t>
      </w:r>
      <w:r w:rsidR="003B0F35" w:rsidRPr="00D76968">
        <w:rPr>
          <w:rFonts w:ascii="Franklin Gothic Book" w:hAnsi="Franklin Gothic Book"/>
        </w:rPr>
        <w:t xml:space="preserve">1408.1 </w:t>
      </w:r>
      <w:r w:rsidR="00815375">
        <w:rPr>
          <w:rFonts w:ascii="Franklin Gothic Book" w:hAnsi="Franklin Gothic Book"/>
          <w:iCs/>
        </w:rPr>
        <w:t>re-application</w:t>
      </w:r>
      <w:r w:rsidR="003B0F35" w:rsidRPr="00D76968">
        <w:rPr>
          <w:rFonts w:ascii="Franklin Gothic Book" w:hAnsi="Franklin Gothic Book"/>
        </w:rPr>
        <w:t xml:space="preserve"> </w:t>
      </w:r>
      <w:r w:rsidRPr="00D76968">
        <w:rPr>
          <w:rFonts w:ascii="Franklin Gothic Book" w:hAnsi="Franklin Gothic Book"/>
        </w:rPr>
        <w:t xml:space="preserve">presented an updated financial analysis to reflect the proposed fee structure and updated PROSPER data. AIHW incidence data and MBS and PBS cost information were also updated. </w:t>
      </w:r>
      <w:r w:rsidR="008C2D6E">
        <w:rPr>
          <w:rFonts w:ascii="Franklin Gothic Book" w:hAnsi="Franklin Gothic Book"/>
        </w:rPr>
        <w:t xml:space="preserve">The </w:t>
      </w:r>
      <w:r w:rsidR="00B766DC">
        <w:rPr>
          <w:rFonts w:ascii="Franklin Gothic Book" w:hAnsi="Franklin Gothic Book"/>
        </w:rPr>
        <w:t>c</w:t>
      </w:r>
      <w:r w:rsidR="008C2D6E">
        <w:rPr>
          <w:rFonts w:ascii="Franklin Gothic Book" w:hAnsi="Franklin Gothic Book"/>
        </w:rPr>
        <w:t xml:space="preserve">ommentary noted </w:t>
      </w:r>
      <w:r w:rsidRPr="00B766DC">
        <w:rPr>
          <w:rFonts w:ascii="Franklin Gothic Book" w:hAnsi="Franklin Gothic Book"/>
          <w:iCs/>
        </w:rPr>
        <w:t>MSAC previously considered that the estimate of the eligible patient population presented was inadequately supported, as no justification was provided for many of the input variables. The changes made do not address these areas of concern.</w:t>
      </w:r>
    </w:p>
    <w:p w14:paraId="39DCAA47" w14:textId="1A2307CA" w:rsidR="002056CD" w:rsidRPr="00D76968" w:rsidRDefault="002056CD" w:rsidP="002056CD">
      <w:pPr>
        <w:rPr>
          <w:rFonts w:ascii="Franklin Gothic Book" w:hAnsi="Franklin Gothic Book"/>
        </w:rPr>
      </w:pPr>
      <w:r w:rsidRPr="00D76968">
        <w:rPr>
          <w:rFonts w:ascii="Franklin Gothic Book" w:hAnsi="Franklin Gothic Book"/>
        </w:rPr>
        <w:t xml:space="preserve">The financial implications to the MBS resulting from the proposed listing of </w:t>
      </w:r>
      <w:r w:rsidR="00D50E5C" w:rsidRPr="00D76968">
        <w:rPr>
          <w:rFonts w:ascii="Franklin Gothic Book" w:hAnsi="Franklin Gothic Book"/>
        </w:rPr>
        <w:t>EndoPredict</w:t>
      </w:r>
      <w:r w:rsidR="005F1260" w:rsidRPr="005F1260">
        <w:rPr>
          <w:rFonts w:ascii="Franklin Gothic Book" w:hAnsi="Franklin Gothic Book"/>
          <w:vertAlign w:val="superscript"/>
        </w:rPr>
        <w:t>®</w:t>
      </w:r>
      <w:r w:rsidRPr="00D76968">
        <w:rPr>
          <w:rFonts w:ascii="Franklin Gothic Book" w:hAnsi="Franklin Gothic Book"/>
        </w:rPr>
        <w:t xml:space="preserve"> are summarised in </w:t>
      </w:r>
      <w:r w:rsidRPr="00D76968">
        <w:rPr>
          <w:rFonts w:ascii="Franklin Gothic Book" w:hAnsi="Franklin Gothic Book"/>
        </w:rPr>
        <w:fldChar w:fldCharType="begin"/>
      </w:r>
      <w:r w:rsidRPr="00D76968">
        <w:rPr>
          <w:rFonts w:ascii="Franklin Gothic Book" w:hAnsi="Franklin Gothic Book"/>
        </w:rPr>
        <w:instrText xml:space="preserve"> REF _Ref100130420 \h  \* MERGEFORMAT </w:instrText>
      </w:r>
      <w:r w:rsidRPr="00D76968">
        <w:rPr>
          <w:rFonts w:ascii="Franklin Gothic Book" w:hAnsi="Franklin Gothic Book"/>
        </w:rPr>
      </w:r>
      <w:r w:rsidRPr="00D76968">
        <w:rPr>
          <w:rFonts w:ascii="Franklin Gothic Book" w:hAnsi="Franklin Gothic Book"/>
        </w:rPr>
        <w:fldChar w:fldCharType="separate"/>
      </w:r>
      <w:r w:rsidR="00943826" w:rsidRPr="00943826">
        <w:rPr>
          <w:rFonts w:ascii="Franklin Gothic Book" w:hAnsi="Franklin Gothic Book"/>
        </w:rPr>
        <w:t>Table 19</w:t>
      </w:r>
      <w:r w:rsidRPr="00D76968">
        <w:rPr>
          <w:rFonts w:ascii="Franklin Gothic Book" w:hAnsi="Franklin Gothic Book"/>
        </w:rPr>
        <w:fldChar w:fldCharType="end"/>
      </w:r>
      <w:r w:rsidRPr="00D76968">
        <w:rPr>
          <w:rFonts w:ascii="Franklin Gothic Book" w:hAnsi="Franklin Gothic Book"/>
        </w:rPr>
        <w:t>.</w:t>
      </w:r>
    </w:p>
    <w:p w14:paraId="617D3836" w14:textId="3BC84163" w:rsidR="002056CD" w:rsidRPr="00C227CD" w:rsidRDefault="002056CD" w:rsidP="002056CD">
      <w:pPr>
        <w:keepNext/>
        <w:spacing w:before="360" w:after="120" w:line="240" w:lineRule="auto"/>
        <w:rPr>
          <w:rFonts w:ascii="Arial Narrow" w:eastAsia="Times New Roman" w:hAnsi="Arial Narrow" w:cs="Times New Roman"/>
          <w:b/>
          <w:bCs/>
          <w:sz w:val="20"/>
          <w:szCs w:val="20"/>
        </w:rPr>
      </w:pPr>
      <w:bookmarkStart w:id="70" w:name="_Ref100130420"/>
      <w:r w:rsidRPr="00C227CD">
        <w:rPr>
          <w:rFonts w:ascii="Arial Narrow" w:eastAsia="Times New Roman" w:hAnsi="Arial Narrow" w:cs="Times New Roman"/>
          <w:b/>
          <w:bCs/>
          <w:sz w:val="20"/>
          <w:szCs w:val="20"/>
        </w:rPr>
        <w:lastRenderedPageBreak/>
        <w:t xml:space="preserve">Table </w:t>
      </w:r>
      <w:r w:rsidRPr="00C227CD">
        <w:rPr>
          <w:rFonts w:ascii="Arial Narrow" w:eastAsia="Times New Roman" w:hAnsi="Arial Narrow" w:cs="Times New Roman"/>
          <w:b/>
          <w:bCs/>
          <w:sz w:val="20"/>
          <w:szCs w:val="20"/>
        </w:rPr>
        <w:fldChar w:fldCharType="begin"/>
      </w:r>
      <w:r w:rsidRPr="00C227CD">
        <w:rPr>
          <w:rFonts w:ascii="Arial Narrow" w:eastAsia="Times New Roman" w:hAnsi="Arial Narrow" w:cs="Times New Roman"/>
          <w:b/>
          <w:bCs/>
          <w:sz w:val="20"/>
          <w:szCs w:val="20"/>
        </w:rPr>
        <w:instrText xml:space="preserve"> SEQ Table \* ARABIC </w:instrText>
      </w:r>
      <w:r w:rsidRPr="00C227CD">
        <w:rPr>
          <w:rFonts w:ascii="Arial Narrow" w:eastAsia="Times New Roman" w:hAnsi="Arial Narrow" w:cs="Times New Roman"/>
          <w:b/>
          <w:bCs/>
          <w:sz w:val="20"/>
          <w:szCs w:val="20"/>
        </w:rPr>
        <w:fldChar w:fldCharType="separate"/>
      </w:r>
      <w:r w:rsidR="00943826">
        <w:rPr>
          <w:rFonts w:ascii="Arial Narrow" w:eastAsia="Times New Roman" w:hAnsi="Arial Narrow" w:cs="Times New Roman"/>
          <w:b/>
          <w:bCs/>
          <w:noProof/>
          <w:sz w:val="20"/>
          <w:szCs w:val="20"/>
        </w:rPr>
        <w:t>19</w:t>
      </w:r>
      <w:r w:rsidRPr="00C227CD">
        <w:rPr>
          <w:rFonts w:ascii="Arial Narrow" w:eastAsia="Times New Roman" w:hAnsi="Arial Narrow" w:cs="Times New Roman"/>
          <w:b/>
          <w:bCs/>
          <w:noProof/>
          <w:sz w:val="20"/>
          <w:szCs w:val="20"/>
        </w:rPr>
        <w:fldChar w:fldCharType="end"/>
      </w:r>
      <w:bookmarkEnd w:id="70"/>
      <w:r w:rsidRPr="00C227CD">
        <w:rPr>
          <w:rFonts w:ascii="Arial Narrow" w:eastAsia="Times New Roman" w:hAnsi="Arial Narrow" w:cs="Times New Roman"/>
          <w:b/>
          <w:bCs/>
          <w:sz w:val="20"/>
          <w:szCs w:val="20"/>
        </w:rPr>
        <w:t xml:space="preserve">: Net financial implications of </w:t>
      </w:r>
      <w:r w:rsidR="00D50E5C">
        <w:rPr>
          <w:rFonts w:ascii="Arial Narrow" w:eastAsia="Times New Roman" w:hAnsi="Arial Narrow" w:cs="Times New Roman"/>
          <w:b/>
          <w:bCs/>
          <w:sz w:val="20"/>
          <w:szCs w:val="20"/>
        </w:rPr>
        <w:t>EndoPredict</w:t>
      </w:r>
      <w:r w:rsidR="005F1260" w:rsidRPr="005F1260">
        <w:rPr>
          <w:rFonts w:ascii="Arial Narrow" w:eastAsia="Times New Roman" w:hAnsi="Arial Narrow" w:cs="Times New Roman"/>
          <w:b/>
          <w:bCs/>
          <w:sz w:val="20"/>
          <w:szCs w:val="20"/>
          <w:vertAlign w:val="superscript"/>
        </w:rPr>
        <w:t>®</w:t>
      </w:r>
      <w:r w:rsidRPr="00C227CD">
        <w:rPr>
          <w:rFonts w:ascii="Arial Narrow" w:eastAsia="Times New Roman" w:hAnsi="Arial Narrow" w:cs="Times New Roman"/>
          <w:b/>
          <w:bCs/>
          <w:sz w:val="20"/>
          <w:szCs w:val="20"/>
        </w:rPr>
        <w:t xml:space="preserve"> to the MBS</w:t>
      </w:r>
    </w:p>
    <w:tbl>
      <w:tblPr>
        <w:tblStyle w:val="TableGrid10"/>
        <w:tblW w:w="5000" w:type="pct"/>
        <w:tblCellMar>
          <w:left w:w="0" w:type="dxa"/>
          <w:right w:w="0" w:type="dxa"/>
        </w:tblCellMar>
        <w:tblLook w:val="04A0" w:firstRow="1" w:lastRow="0" w:firstColumn="1" w:lastColumn="0" w:noHBand="0" w:noVBand="1"/>
      </w:tblPr>
      <w:tblGrid>
        <w:gridCol w:w="3824"/>
        <w:gridCol w:w="1038"/>
        <w:gridCol w:w="1039"/>
        <w:gridCol w:w="1039"/>
        <w:gridCol w:w="1039"/>
        <w:gridCol w:w="1037"/>
      </w:tblGrid>
      <w:tr w:rsidR="002056CD" w:rsidRPr="00C227CD" w14:paraId="3BC98FD9" w14:textId="77777777" w:rsidTr="007640A0">
        <w:trPr>
          <w:cnfStyle w:val="100000000000" w:firstRow="1" w:lastRow="0" w:firstColumn="0" w:lastColumn="0" w:oddVBand="0" w:evenVBand="0" w:oddHBand="0" w:evenHBand="0" w:firstRowFirstColumn="0" w:firstRowLastColumn="0" w:lastRowFirstColumn="0" w:lastRowLastColumn="0"/>
          <w:tblHeader/>
        </w:trPr>
        <w:tc>
          <w:tcPr>
            <w:tcW w:w="2121" w:type="pct"/>
            <w:tcMar>
              <w:top w:w="0" w:type="dxa"/>
              <w:left w:w="108" w:type="dxa"/>
              <w:bottom w:w="0" w:type="dxa"/>
              <w:right w:w="108" w:type="dxa"/>
            </w:tcMar>
          </w:tcPr>
          <w:p w14:paraId="1BE26854" w14:textId="66C0F7C4" w:rsidR="002056CD" w:rsidRPr="00C227CD" w:rsidRDefault="002056CD" w:rsidP="006B0BCC">
            <w:pPr>
              <w:keepNext/>
              <w:rPr>
                <w:rFonts w:ascii="Arial Narrow" w:hAnsi="Arial Narrow"/>
                <w:b/>
                <w:bCs/>
              </w:rPr>
            </w:pPr>
            <w:r w:rsidRPr="00C227CD">
              <w:rPr>
                <w:rFonts w:ascii="Arial Narrow" w:hAnsi="Arial Narrow"/>
                <w:b/>
                <w:bCs/>
              </w:rPr>
              <w:t>Parameter</w:t>
            </w:r>
          </w:p>
        </w:tc>
        <w:tc>
          <w:tcPr>
            <w:tcW w:w="576" w:type="pct"/>
            <w:tcMar>
              <w:top w:w="0" w:type="dxa"/>
              <w:left w:w="108" w:type="dxa"/>
              <w:bottom w:w="0" w:type="dxa"/>
              <w:right w:w="108" w:type="dxa"/>
            </w:tcMar>
            <w:hideMark/>
          </w:tcPr>
          <w:p w14:paraId="57C929E4" w14:textId="77777777" w:rsidR="002056CD" w:rsidRPr="00C227CD" w:rsidRDefault="002056CD" w:rsidP="006B0BCC">
            <w:pPr>
              <w:keepNext/>
              <w:jc w:val="center"/>
              <w:rPr>
                <w:rFonts w:ascii="Arial Narrow" w:hAnsi="Arial Narrow"/>
                <w:b/>
                <w:bCs/>
              </w:rPr>
            </w:pPr>
            <w:r w:rsidRPr="00C227CD">
              <w:rPr>
                <w:rFonts w:ascii="Arial Narrow" w:hAnsi="Arial Narrow"/>
                <w:b/>
                <w:bCs/>
              </w:rPr>
              <w:t>Year 1</w:t>
            </w:r>
          </w:p>
        </w:tc>
        <w:tc>
          <w:tcPr>
            <w:tcW w:w="576" w:type="pct"/>
            <w:tcMar>
              <w:top w:w="0" w:type="dxa"/>
              <w:left w:w="108" w:type="dxa"/>
              <w:bottom w:w="0" w:type="dxa"/>
              <w:right w:w="108" w:type="dxa"/>
            </w:tcMar>
            <w:hideMark/>
          </w:tcPr>
          <w:p w14:paraId="5B5905B0" w14:textId="77777777" w:rsidR="002056CD" w:rsidRPr="00C227CD" w:rsidRDefault="002056CD" w:rsidP="006B0BCC">
            <w:pPr>
              <w:keepNext/>
              <w:jc w:val="center"/>
              <w:rPr>
                <w:rFonts w:ascii="Arial Narrow" w:hAnsi="Arial Narrow"/>
                <w:b/>
                <w:bCs/>
              </w:rPr>
            </w:pPr>
            <w:r w:rsidRPr="00C227CD">
              <w:rPr>
                <w:rFonts w:ascii="Arial Narrow" w:hAnsi="Arial Narrow"/>
                <w:b/>
                <w:bCs/>
              </w:rPr>
              <w:t>Year 2</w:t>
            </w:r>
          </w:p>
        </w:tc>
        <w:tc>
          <w:tcPr>
            <w:tcW w:w="576" w:type="pct"/>
            <w:tcMar>
              <w:top w:w="0" w:type="dxa"/>
              <w:left w:w="108" w:type="dxa"/>
              <w:bottom w:w="0" w:type="dxa"/>
              <w:right w:w="108" w:type="dxa"/>
            </w:tcMar>
            <w:hideMark/>
          </w:tcPr>
          <w:p w14:paraId="013C266E" w14:textId="77777777" w:rsidR="002056CD" w:rsidRPr="00C227CD" w:rsidRDefault="002056CD" w:rsidP="006B0BCC">
            <w:pPr>
              <w:keepNext/>
              <w:jc w:val="center"/>
              <w:rPr>
                <w:rFonts w:ascii="Arial Narrow" w:hAnsi="Arial Narrow"/>
                <w:b/>
                <w:bCs/>
              </w:rPr>
            </w:pPr>
            <w:r w:rsidRPr="00C227CD">
              <w:rPr>
                <w:rFonts w:ascii="Arial Narrow" w:hAnsi="Arial Narrow"/>
                <w:b/>
                <w:bCs/>
              </w:rPr>
              <w:t>Year 3</w:t>
            </w:r>
          </w:p>
        </w:tc>
        <w:tc>
          <w:tcPr>
            <w:tcW w:w="576" w:type="pct"/>
            <w:tcMar>
              <w:top w:w="0" w:type="dxa"/>
              <w:left w:w="108" w:type="dxa"/>
              <w:bottom w:w="0" w:type="dxa"/>
              <w:right w:w="108" w:type="dxa"/>
            </w:tcMar>
            <w:hideMark/>
          </w:tcPr>
          <w:p w14:paraId="7B9AF63E" w14:textId="77777777" w:rsidR="002056CD" w:rsidRPr="00C227CD" w:rsidRDefault="002056CD" w:rsidP="006B0BCC">
            <w:pPr>
              <w:keepNext/>
              <w:jc w:val="center"/>
              <w:rPr>
                <w:rFonts w:ascii="Arial Narrow" w:hAnsi="Arial Narrow"/>
                <w:b/>
                <w:bCs/>
              </w:rPr>
            </w:pPr>
            <w:r w:rsidRPr="00C227CD">
              <w:rPr>
                <w:rFonts w:ascii="Arial Narrow" w:hAnsi="Arial Narrow"/>
                <w:b/>
                <w:bCs/>
              </w:rPr>
              <w:t>Year 4</w:t>
            </w:r>
          </w:p>
        </w:tc>
        <w:tc>
          <w:tcPr>
            <w:tcW w:w="576" w:type="pct"/>
            <w:tcMar>
              <w:top w:w="0" w:type="dxa"/>
              <w:left w:w="108" w:type="dxa"/>
              <w:bottom w:w="0" w:type="dxa"/>
              <w:right w:w="108" w:type="dxa"/>
            </w:tcMar>
            <w:hideMark/>
          </w:tcPr>
          <w:p w14:paraId="02E58FC8" w14:textId="77777777" w:rsidR="002056CD" w:rsidRPr="00C227CD" w:rsidRDefault="002056CD" w:rsidP="006B0BCC">
            <w:pPr>
              <w:keepNext/>
              <w:jc w:val="center"/>
              <w:rPr>
                <w:rFonts w:ascii="Arial Narrow" w:hAnsi="Arial Narrow"/>
                <w:b/>
                <w:bCs/>
              </w:rPr>
            </w:pPr>
            <w:r w:rsidRPr="00C227CD">
              <w:rPr>
                <w:rFonts w:ascii="Arial Narrow" w:hAnsi="Arial Narrow"/>
                <w:b/>
                <w:bCs/>
              </w:rPr>
              <w:t>Year 5</w:t>
            </w:r>
          </w:p>
        </w:tc>
      </w:tr>
      <w:tr w:rsidR="002056CD" w:rsidRPr="00C227CD" w14:paraId="25E04DE1" w14:textId="77777777" w:rsidTr="007640A0">
        <w:tc>
          <w:tcPr>
            <w:tcW w:w="5000" w:type="pct"/>
            <w:gridSpan w:val="6"/>
            <w:tcMar>
              <w:top w:w="0" w:type="dxa"/>
              <w:left w:w="108" w:type="dxa"/>
              <w:bottom w:w="0" w:type="dxa"/>
              <w:right w:w="108" w:type="dxa"/>
            </w:tcMar>
            <w:hideMark/>
          </w:tcPr>
          <w:p w14:paraId="3EA04769" w14:textId="54B2AC48" w:rsidR="002056CD" w:rsidRPr="00C227CD" w:rsidRDefault="002056CD" w:rsidP="006B0BCC">
            <w:pPr>
              <w:keepNext/>
              <w:rPr>
                <w:b/>
                <w:bCs/>
              </w:rPr>
            </w:pPr>
            <w:r w:rsidRPr="00C227CD">
              <w:rPr>
                <w:b/>
                <w:bCs/>
              </w:rPr>
              <w:t xml:space="preserve">Estimated use and cost of </w:t>
            </w:r>
            <w:r w:rsidR="00D50E5C">
              <w:rPr>
                <w:b/>
                <w:bCs/>
              </w:rPr>
              <w:t>EndoPredict</w:t>
            </w:r>
            <w:r w:rsidR="005F1260" w:rsidRPr="005F1260">
              <w:rPr>
                <w:b/>
                <w:bCs/>
                <w:vertAlign w:val="superscript"/>
              </w:rPr>
              <w:t>®</w:t>
            </w:r>
          </w:p>
        </w:tc>
      </w:tr>
      <w:tr w:rsidR="002056CD" w:rsidRPr="00C227CD" w14:paraId="48AB86A2" w14:textId="77777777" w:rsidTr="007640A0">
        <w:tc>
          <w:tcPr>
            <w:tcW w:w="2121" w:type="pct"/>
            <w:tcMar>
              <w:top w:w="0" w:type="dxa"/>
              <w:left w:w="108" w:type="dxa"/>
              <w:bottom w:w="0" w:type="dxa"/>
              <w:right w:w="108" w:type="dxa"/>
            </w:tcMar>
          </w:tcPr>
          <w:p w14:paraId="29187633" w14:textId="77777777" w:rsidR="002056CD" w:rsidRPr="00C227CD" w:rsidRDefault="002056CD" w:rsidP="006B0BCC">
            <w:pPr>
              <w:keepNext/>
            </w:pPr>
            <w:r w:rsidRPr="00C227CD">
              <w:t>Incident breast cancer cases (3.36% growth)</w:t>
            </w:r>
          </w:p>
        </w:tc>
        <w:tc>
          <w:tcPr>
            <w:tcW w:w="576" w:type="pct"/>
            <w:tcMar>
              <w:top w:w="0" w:type="dxa"/>
              <w:left w:w="108" w:type="dxa"/>
              <w:bottom w:w="0" w:type="dxa"/>
              <w:right w:w="108" w:type="dxa"/>
            </w:tcMar>
          </w:tcPr>
          <w:p w14:paraId="2A7B449E" w14:textId="77777777" w:rsidR="002056CD" w:rsidRPr="00C227CD" w:rsidRDefault="002056CD" w:rsidP="006B0BCC">
            <w:pPr>
              <w:keepNext/>
              <w:jc w:val="right"/>
            </w:pPr>
            <w:r w:rsidRPr="00C227CD">
              <w:t>21,222</w:t>
            </w:r>
          </w:p>
        </w:tc>
        <w:tc>
          <w:tcPr>
            <w:tcW w:w="576" w:type="pct"/>
            <w:tcMar>
              <w:top w:w="0" w:type="dxa"/>
              <w:left w:w="108" w:type="dxa"/>
              <w:bottom w:w="0" w:type="dxa"/>
              <w:right w:w="108" w:type="dxa"/>
            </w:tcMar>
          </w:tcPr>
          <w:p w14:paraId="56041CD1" w14:textId="77777777" w:rsidR="002056CD" w:rsidRPr="00C227CD" w:rsidRDefault="002056CD" w:rsidP="006B0BCC">
            <w:pPr>
              <w:keepNext/>
              <w:jc w:val="right"/>
            </w:pPr>
            <w:r w:rsidRPr="00C227CD">
              <w:t>21,934</w:t>
            </w:r>
          </w:p>
        </w:tc>
        <w:tc>
          <w:tcPr>
            <w:tcW w:w="576" w:type="pct"/>
            <w:tcMar>
              <w:top w:w="0" w:type="dxa"/>
              <w:left w:w="108" w:type="dxa"/>
              <w:bottom w:w="0" w:type="dxa"/>
              <w:right w:w="108" w:type="dxa"/>
            </w:tcMar>
          </w:tcPr>
          <w:p w14:paraId="76D25956" w14:textId="77777777" w:rsidR="002056CD" w:rsidRPr="00C227CD" w:rsidRDefault="002056CD" w:rsidP="006B0BCC">
            <w:pPr>
              <w:keepNext/>
              <w:jc w:val="right"/>
            </w:pPr>
            <w:r w:rsidRPr="00C227CD">
              <w:t>22,670</w:t>
            </w:r>
          </w:p>
        </w:tc>
        <w:tc>
          <w:tcPr>
            <w:tcW w:w="576" w:type="pct"/>
            <w:tcMar>
              <w:top w:w="0" w:type="dxa"/>
              <w:left w:w="108" w:type="dxa"/>
              <w:bottom w:w="0" w:type="dxa"/>
              <w:right w:w="108" w:type="dxa"/>
            </w:tcMar>
          </w:tcPr>
          <w:p w14:paraId="7EBA2928" w14:textId="77777777" w:rsidR="002056CD" w:rsidRPr="00C227CD" w:rsidRDefault="002056CD" w:rsidP="006B0BCC">
            <w:pPr>
              <w:keepNext/>
              <w:jc w:val="right"/>
            </w:pPr>
            <w:r w:rsidRPr="00C227CD">
              <w:t>23,431</w:t>
            </w:r>
          </w:p>
        </w:tc>
        <w:tc>
          <w:tcPr>
            <w:tcW w:w="576" w:type="pct"/>
            <w:tcMar>
              <w:top w:w="0" w:type="dxa"/>
              <w:left w:w="108" w:type="dxa"/>
              <w:bottom w:w="0" w:type="dxa"/>
              <w:right w:w="108" w:type="dxa"/>
            </w:tcMar>
          </w:tcPr>
          <w:p w14:paraId="46C9D98B" w14:textId="77777777" w:rsidR="002056CD" w:rsidRPr="00C227CD" w:rsidRDefault="002056CD" w:rsidP="006B0BCC">
            <w:pPr>
              <w:keepNext/>
              <w:jc w:val="right"/>
            </w:pPr>
            <w:r w:rsidRPr="00C227CD">
              <w:t>24,217</w:t>
            </w:r>
          </w:p>
        </w:tc>
      </w:tr>
      <w:tr w:rsidR="002056CD" w:rsidRPr="00C227CD" w14:paraId="1BDC0D73" w14:textId="77777777" w:rsidTr="007640A0">
        <w:tc>
          <w:tcPr>
            <w:tcW w:w="2121" w:type="pct"/>
            <w:tcMar>
              <w:top w:w="0" w:type="dxa"/>
              <w:left w:w="108" w:type="dxa"/>
              <w:bottom w:w="0" w:type="dxa"/>
              <w:right w:w="108" w:type="dxa"/>
            </w:tcMar>
          </w:tcPr>
          <w:p w14:paraId="7758C638" w14:textId="77777777" w:rsidR="002056CD" w:rsidRPr="00C227CD" w:rsidRDefault="002056CD" w:rsidP="006B0BCC">
            <w:pPr>
              <w:keepNext/>
            </w:pPr>
            <w:r w:rsidRPr="00C227CD">
              <w:t>No. with localised cancer (80%)</w:t>
            </w:r>
          </w:p>
        </w:tc>
        <w:tc>
          <w:tcPr>
            <w:tcW w:w="576" w:type="pct"/>
            <w:tcMar>
              <w:top w:w="0" w:type="dxa"/>
              <w:left w:w="108" w:type="dxa"/>
              <w:bottom w:w="0" w:type="dxa"/>
              <w:right w:w="108" w:type="dxa"/>
            </w:tcMar>
          </w:tcPr>
          <w:p w14:paraId="23B95C97" w14:textId="77777777" w:rsidR="002056CD" w:rsidRPr="00C227CD" w:rsidRDefault="002056CD" w:rsidP="006B0BCC">
            <w:pPr>
              <w:keepNext/>
              <w:jc w:val="right"/>
            </w:pPr>
            <w:r w:rsidRPr="00C227CD">
              <w:t>16,977</w:t>
            </w:r>
          </w:p>
        </w:tc>
        <w:tc>
          <w:tcPr>
            <w:tcW w:w="576" w:type="pct"/>
            <w:tcMar>
              <w:top w:w="0" w:type="dxa"/>
              <w:left w:w="108" w:type="dxa"/>
              <w:bottom w:w="0" w:type="dxa"/>
              <w:right w:w="108" w:type="dxa"/>
            </w:tcMar>
          </w:tcPr>
          <w:p w14:paraId="1921C547" w14:textId="77777777" w:rsidR="002056CD" w:rsidRPr="00C227CD" w:rsidRDefault="002056CD" w:rsidP="006B0BCC">
            <w:pPr>
              <w:keepNext/>
              <w:jc w:val="right"/>
            </w:pPr>
            <w:r w:rsidRPr="00C227CD">
              <w:t>17,547</w:t>
            </w:r>
          </w:p>
        </w:tc>
        <w:tc>
          <w:tcPr>
            <w:tcW w:w="576" w:type="pct"/>
            <w:tcMar>
              <w:top w:w="0" w:type="dxa"/>
              <w:left w:w="108" w:type="dxa"/>
              <w:bottom w:w="0" w:type="dxa"/>
              <w:right w:w="108" w:type="dxa"/>
            </w:tcMar>
          </w:tcPr>
          <w:p w14:paraId="3F9A0604" w14:textId="77777777" w:rsidR="002056CD" w:rsidRPr="00C227CD" w:rsidRDefault="002056CD" w:rsidP="006B0BCC">
            <w:pPr>
              <w:keepNext/>
              <w:jc w:val="right"/>
            </w:pPr>
            <w:r w:rsidRPr="00C227CD">
              <w:t>18,136</w:t>
            </w:r>
          </w:p>
        </w:tc>
        <w:tc>
          <w:tcPr>
            <w:tcW w:w="576" w:type="pct"/>
            <w:tcMar>
              <w:top w:w="0" w:type="dxa"/>
              <w:left w:w="108" w:type="dxa"/>
              <w:bottom w:w="0" w:type="dxa"/>
              <w:right w:w="108" w:type="dxa"/>
            </w:tcMar>
          </w:tcPr>
          <w:p w14:paraId="12E59D66" w14:textId="77777777" w:rsidR="002056CD" w:rsidRPr="00C227CD" w:rsidRDefault="002056CD" w:rsidP="006B0BCC">
            <w:pPr>
              <w:keepNext/>
              <w:jc w:val="right"/>
            </w:pPr>
            <w:r w:rsidRPr="00C227CD">
              <w:t>18,745</w:t>
            </w:r>
          </w:p>
        </w:tc>
        <w:tc>
          <w:tcPr>
            <w:tcW w:w="576" w:type="pct"/>
            <w:tcMar>
              <w:top w:w="0" w:type="dxa"/>
              <w:left w:w="108" w:type="dxa"/>
              <w:bottom w:w="0" w:type="dxa"/>
              <w:right w:w="108" w:type="dxa"/>
            </w:tcMar>
          </w:tcPr>
          <w:p w14:paraId="0DD412A5" w14:textId="77777777" w:rsidR="002056CD" w:rsidRPr="00C227CD" w:rsidRDefault="002056CD" w:rsidP="006B0BCC">
            <w:pPr>
              <w:keepNext/>
              <w:jc w:val="right"/>
            </w:pPr>
            <w:r w:rsidRPr="00C227CD">
              <w:t>19,374</w:t>
            </w:r>
          </w:p>
        </w:tc>
      </w:tr>
      <w:tr w:rsidR="002056CD" w:rsidRPr="00C227CD" w14:paraId="05B51FE0" w14:textId="77777777" w:rsidTr="007640A0">
        <w:tc>
          <w:tcPr>
            <w:tcW w:w="2121" w:type="pct"/>
            <w:tcMar>
              <w:top w:w="0" w:type="dxa"/>
              <w:left w:w="108" w:type="dxa"/>
              <w:bottom w:w="0" w:type="dxa"/>
              <w:right w:w="108" w:type="dxa"/>
            </w:tcMar>
          </w:tcPr>
          <w:p w14:paraId="63FCAF85" w14:textId="79FC33FC" w:rsidR="002056CD" w:rsidRPr="00C227CD" w:rsidRDefault="002056CD" w:rsidP="00BD0C7B">
            <w:pPr>
              <w:keepNext/>
            </w:pPr>
            <w:r w:rsidRPr="00C227CD">
              <w:t xml:space="preserve">No. that are </w:t>
            </w:r>
            <w:r w:rsidR="00BD0C7B">
              <w:t>E</w:t>
            </w:r>
            <w:r w:rsidRPr="00C227CD">
              <w:t>R+ (67%)</w:t>
            </w:r>
          </w:p>
        </w:tc>
        <w:tc>
          <w:tcPr>
            <w:tcW w:w="576" w:type="pct"/>
            <w:tcMar>
              <w:top w:w="0" w:type="dxa"/>
              <w:left w:w="108" w:type="dxa"/>
              <w:bottom w:w="0" w:type="dxa"/>
              <w:right w:w="108" w:type="dxa"/>
            </w:tcMar>
          </w:tcPr>
          <w:p w14:paraId="6FE66ABD" w14:textId="77777777" w:rsidR="002056CD" w:rsidRPr="00C227CD" w:rsidRDefault="002056CD" w:rsidP="006B0BCC">
            <w:pPr>
              <w:keepNext/>
              <w:jc w:val="right"/>
            </w:pPr>
            <w:r w:rsidRPr="00C227CD">
              <w:t>11,375</w:t>
            </w:r>
          </w:p>
        </w:tc>
        <w:tc>
          <w:tcPr>
            <w:tcW w:w="576" w:type="pct"/>
            <w:tcMar>
              <w:top w:w="0" w:type="dxa"/>
              <w:left w:w="108" w:type="dxa"/>
              <w:bottom w:w="0" w:type="dxa"/>
              <w:right w:w="108" w:type="dxa"/>
            </w:tcMar>
          </w:tcPr>
          <w:p w14:paraId="7599C44D" w14:textId="77777777" w:rsidR="002056CD" w:rsidRPr="00C227CD" w:rsidRDefault="002056CD" w:rsidP="006B0BCC">
            <w:pPr>
              <w:keepNext/>
              <w:jc w:val="right"/>
            </w:pPr>
            <w:r w:rsidRPr="00C227CD">
              <w:t>11,757</w:t>
            </w:r>
          </w:p>
        </w:tc>
        <w:tc>
          <w:tcPr>
            <w:tcW w:w="576" w:type="pct"/>
            <w:tcMar>
              <w:top w:w="0" w:type="dxa"/>
              <w:left w:w="108" w:type="dxa"/>
              <w:bottom w:w="0" w:type="dxa"/>
              <w:right w:w="108" w:type="dxa"/>
            </w:tcMar>
          </w:tcPr>
          <w:p w14:paraId="270CB0B1" w14:textId="77777777" w:rsidR="002056CD" w:rsidRPr="00C227CD" w:rsidRDefault="002056CD" w:rsidP="006B0BCC">
            <w:pPr>
              <w:keepNext/>
              <w:jc w:val="right"/>
            </w:pPr>
            <w:r w:rsidRPr="00C227CD">
              <w:t>12,151</w:t>
            </w:r>
          </w:p>
        </w:tc>
        <w:tc>
          <w:tcPr>
            <w:tcW w:w="576" w:type="pct"/>
            <w:tcMar>
              <w:top w:w="0" w:type="dxa"/>
              <w:left w:w="108" w:type="dxa"/>
              <w:bottom w:w="0" w:type="dxa"/>
              <w:right w:w="108" w:type="dxa"/>
            </w:tcMar>
          </w:tcPr>
          <w:p w14:paraId="2CE32D60" w14:textId="77777777" w:rsidR="002056CD" w:rsidRPr="00C227CD" w:rsidRDefault="002056CD" w:rsidP="006B0BCC">
            <w:pPr>
              <w:keepNext/>
              <w:jc w:val="right"/>
            </w:pPr>
            <w:r w:rsidRPr="00C227CD">
              <w:t>12,559</w:t>
            </w:r>
          </w:p>
        </w:tc>
        <w:tc>
          <w:tcPr>
            <w:tcW w:w="576" w:type="pct"/>
            <w:tcMar>
              <w:top w:w="0" w:type="dxa"/>
              <w:left w:w="108" w:type="dxa"/>
              <w:bottom w:w="0" w:type="dxa"/>
              <w:right w:w="108" w:type="dxa"/>
            </w:tcMar>
          </w:tcPr>
          <w:p w14:paraId="225082C2" w14:textId="77777777" w:rsidR="002056CD" w:rsidRPr="00C227CD" w:rsidRDefault="002056CD" w:rsidP="006B0BCC">
            <w:pPr>
              <w:keepNext/>
              <w:jc w:val="right"/>
            </w:pPr>
            <w:r w:rsidRPr="00C227CD">
              <w:t>12,980</w:t>
            </w:r>
          </w:p>
        </w:tc>
      </w:tr>
      <w:tr w:rsidR="002056CD" w:rsidRPr="00C227CD" w14:paraId="22DB39BE" w14:textId="77777777" w:rsidTr="007640A0">
        <w:tc>
          <w:tcPr>
            <w:tcW w:w="2121" w:type="pct"/>
            <w:tcMar>
              <w:top w:w="0" w:type="dxa"/>
              <w:left w:w="108" w:type="dxa"/>
              <w:bottom w:w="0" w:type="dxa"/>
              <w:right w:w="108" w:type="dxa"/>
            </w:tcMar>
          </w:tcPr>
          <w:p w14:paraId="10948E39" w14:textId="77777777" w:rsidR="002056CD" w:rsidRPr="00C227CD" w:rsidRDefault="002056CD" w:rsidP="006B0BCC">
            <w:pPr>
              <w:keepNext/>
            </w:pPr>
            <w:r w:rsidRPr="00C227CD">
              <w:t>No. that are HER2− (80%)</w:t>
            </w:r>
          </w:p>
        </w:tc>
        <w:tc>
          <w:tcPr>
            <w:tcW w:w="576" w:type="pct"/>
            <w:tcMar>
              <w:top w:w="0" w:type="dxa"/>
              <w:left w:w="108" w:type="dxa"/>
              <w:bottom w:w="0" w:type="dxa"/>
              <w:right w:w="108" w:type="dxa"/>
            </w:tcMar>
          </w:tcPr>
          <w:p w14:paraId="2E20DCE0" w14:textId="77777777" w:rsidR="002056CD" w:rsidRPr="00C227CD" w:rsidRDefault="002056CD" w:rsidP="006B0BCC">
            <w:pPr>
              <w:keepNext/>
              <w:jc w:val="right"/>
            </w:pPr>
            <w:r w:rsidRPr="00C227CD">
              <w:t>9,100</w:t>
            </w:r>
          </w:p>
        </w:tc>
        <w:tc>
          <w:tcPr>
            <w:tcW w:w="576" w:type="pct"/>
            <w:tcMar>
              <w:top w:w="0" w:type="dxa"/>
              <w:left w:w="108" w:type="dxa"/>
              <w:bottom w:w="0" w:type="dxa"/>
              <w:right w:w="108" w:type="dxa"/>
            </w:tcMar>
          </w:tcPr>
          <w:p w14:paraId="3DC651BF" w14:textId="77777777" w:rsidR="002056CD" w:rsidRPr="00C227CD" w:rsidRDefault="002056CD" w:rsidP="006B0BCC">
            <w:pPr>
              <w:keepNext/>
              <w:jc w:val="right"/>
            </w:pPr>
            <w:r w:rsidRPr="00C227CD">
              <w:t>9,405</w:t>
            </w:r>
          </w:p>
        </w:tc>
        <w:tc>
          <w:tcPr>
            <w:tcW w:w="576" w:type="pct"/>
            <w:tcMar>
              <w:top w:w="0" w:type="dxa"/>
              <w:left w:w="108" w:type="dxa"/>
              <w:bottom w:w="0" w:type="dxa"/>
              <w:right w:w="108" w:type="dxa"/>
            </w:tcMar>
          </w:tcPr>
          <w:p w14:paraId="7C3AD417" w14:textId="77777777" w:rsidR="002056CD" w:rsidRPr="00C227CD" w:rsidRDefault="002056CD" w:rsidP="006B0BCC">
            <w:pPr>
              <w:keepNext/>
              <w:jc w:val="right"/>
            </w:pPr>
            <w:r w:rsidRPr="00C227CD">
              <w:t>9,721</w:t>
            </w:r>
          </w:p>
        </w:tc>
        <w:tc>
          <w:tcPr>
            <w:tcW w:w="576" w:type="pct"/>
            <w:tcMar>
              <w:top w:w="0" w:type="dxa"/>
              <w:left w:w="108" w:type="dxa"/>
              <w:bottom w:w="0" w:type="dxa"/>
              <w:right w:w="108" w:type="dxa"/>
            </w:tcMar>
          </w:tcPr>
          <w:p w14:paraId="77E77009" w14:textId="77777777" w:rsidR="002056CD" w:rsidRPr="00C227CD" w:rsidRDefault="002056CD" w:rsidP="006B0BCC">
            <w:pPr>
              <w:keepNext/>
              <w:jc w:val="right"/>
            </w:pPr>
            <w:r w:rsidRPr="00C227CD">
              <w:t>10,047</w:t>
            </w:r>
          </w:p>
        </w:tc>
        <w:tc>
          <w:tcPr>
            <w:tcW w:w="576" w:type="pct"/>
            <w:tcMar>
              <w:top w:w="0" w:type="dxa"/>
              <w:left w:w="108" w:type="dxa"/>
              <w:bottom w:w="0" w:type="dxa"/>
              <w:right w:w="108" w:type="dxa"/>
            </w:tcMar>
          </w:tcPr>
          <w:p w14:paraId="04C208E0" w14:textId="77777777" w:rsidR="002056CD" w:rsidRPr="00C227CD" w:rsidRDefault="002056CD" w:rsidP="006B0BCC">
            <w:pPr>
              <w:keepNext/>
              <w:jc w:val="right"/>
            </w:pPr>
            <w:r w:rsidRPr="00C227CD">
              <w:t>10,384</w:t>
            </w:r>
          </w:p>
        </w:tc>
      </w:tr>
      <w:tr w:rsidR="002056CD" w:rsidRPr="00C227CD" w14:paraId="1E4A5011" w14:textId="77777777" w:rsidTr="007640A0">
        <w:tc>
          <w:tcPr>
            <w:tcW w:w="2121" w:type="pct"/>
            <w:tcMar>
              <w:top w:w="0" w:type="dxa"/>
              <w:left w:w="108" w:type="dxa"/>
              <w:bottom w:w="0" w:type="dxa"/>
              <w:right w:w="108" w:type="dxa"/>
            </w:tcMar>
          </w:tcPr>
          <w:p w14:paraId="4F42E29F" w14:textId="77777777" w:rsidR="002056CD" w:rsidRPr="00C227CD" w:rsidRDefault="002056CD" w:rsidP="006B0BCC">
            <w:pPr>
              <w:keepNext/>
            </w:pPr>
            <w:r w:rsidRPr="00C227CD">
              <w:t>No. suitable for adjuvant therapy (75%)</w:t>
            </w:r>
          </w:p>
        </w:tc>
        <w:tc>
          <w:tcPr>
            <w:tcW w:w="576" w:type="pct"/>
            <w:tcMar>
              <w:top w:w="0" w:type="dxa"/>
              <w:left w:w="108" w:type="dxa"/>
              <w:bottom w:w="0" w:type="dxa"/>
              <w:right w:w="108" w:type="dxa"/>
            </w:tcMar>
          </w:tcPr>
          <w:p w14:paraId="53FCDB3B" w14:textId="77777777" w:rsidR="002056CD" w:rsidRPr="00C227CD" w:rsidRDefault="002056CD" w:rsidP="006B0BCC">
            <w:pPr>
              <w:keepNext/>
              <w:jc w:val="right"/>
            </w:pPr>
            <w:r w:rsidRPr="00C227CD">
              <w:t>6,825</w:t>
            </w:r>
          </w:p>
        </w:tc>
        <w:tc>
          <w:tcPr>
            <w:tcW w:w="576" w:type="pct"/>
            <w:tcMar>
              <w:top w:w="0" w:type="dxa"/>
              <w:left w:w="108" w:type="dxa"/>
              <w:bottom w:w="0" w:type="dxa"/>
              <w:right w:w="108" w:type="dxa"/>
            </w:tcMar>
          </w:tcPr>
          <w:p w14:paraId="26734EBC" w14:textId="77777777" w:rsidR="002056CD" w:rsidRPr="00C227CD" w:rsidRDefault="002056CD" w:rsidP="006B0BCC">
            <w:pPr>
              <w:keepNext/>
              <w:jc w:val="right"/>
            </w:pPr>
            <w:r w:rsidRPr="00C227CD">
              <w:t>7,054</w:t>
            </w:r>
          </w:p>
        </w:tc>
        <w:tc>
          <w:tcPr>
            <w:tcW w:w="576" w:type="pct"/>
            <w:tcMar>
              <w:top w:w="0" w:type="dxa"/>
              <w:left w:w="108" w:type="dxa"/>
              <w:bottom w:w="0" w:type="dxa"/>
              <w:right w:w="108" w:type="dxa"/>
            </w:tcMar>
          </w:tcPr>
          <w:p w14:paraId="30A05625" w14:textId="77777777" w:rsidR="002056CD" w:rsidRPr="00C227CD" w:rsidRDefault="002056CD" w:rsidP="006B0BCC">
            <w:pPr>
              <w:keepNext/>
              <w:jc w:val="right"/>
            </w:pPr>
            <w:r w:rsidRPr="00C227CD">
              <w:t>7,291</w:t>
            </w:r>
          </w:p>
        </w:tc>
        <w:tc>
          <w:tcPr>
            <w:tcW w:w="576" w:type="pct"/>
            <w:tcMar>
              <w:top w:w="0" w:type="dxa"/>
              <w:left w:w="108" w:type="dxa"/>
              <w:bottom w:w="0" w:type="dxa"/>
              <w:right w:w="108" w:type="dxa"/>
            </w:tcMar>
          </w:tcPr>
          <w:p w14:paraId="121586BC" w14:textId="77777777" w:rsidR="002056CD" w:rsidRPr="00C227CD" w:rsidRDefault="002056CD" w:rsidP="006B0BCC">
            <w:pPr>
              <w:keepNext/>
              <w:jc w:val="right"/>
            </w:pPr>
            <w:r w:rsidRPr="00C227CD">
              <w:t>7,535</w:t>
            </w:r>
          </w:p>
        </w:tc>
        <w:tc>
          <w:tcPr>
            <w:tcW w:w="576" w:type="pct"/>
            <w:tcMar>
              <w:top w:w="0" w:type="dxa"/>
              <w:left w:w="108" w:type="dxa"/>
              <w:bottom w:w="0" w:type="dxa"/>
              <w:right w:w="108" w:type="dxa"/>
            </w:tcMar>
          </w:tcPr>
          <w:p w14:paraId="5EDEA41A" w14:textId="77777777" w:rsidR="002056CD" w:rsidRPr="00C227CD" w:rsidRDefault="002056CD" w:rsidP="006B0BCC">
            <w:pPr>
              <w:keepNext/>
              <w:jc w:val="right"/>
            </w:pPr>
            <w:r w:rsidRPr="00C227CD">
              <w:t>7,788</w:t>
            </w:r>
          </w:p>
        </w:tc>
      </w:tr>
      <w:tr w:rsidR="002056CD" w:rsidRPr="00C227CD" w14:paraId="030C9A11" w14:textId="77777777" w:rsidTr="007640A0">
        <w:tc>
          <w:tcPr>
            <w:tcW w:w="2121" w:type="pct"/>
            <w:tcMar>
              <w:top w:w="0" w:type="dxa"/>
              <w:left w:w="108" w:type="dxa"/>
              <w:bottom w:w="0" w:type="dxa"/>
              <w:right w:w="108" w:type="dxa"/>
            </w:tcMar>
            <w:hideMark/>
          </w:tcPr>
          <w:p w14:paraId="23EE4EC1" w14:textId="65882337" w:rsidR="002056CD" w:rsidRPr="00C227CD" w:rsidRDefault="002056CD" w:rsidP="006B0BCC">
            <w:pPr>
              <w:keepNext/>
            </w:pPr>
            <w:r w:rsidRPr="00C227CD">
              <w:t>Pre-test intermediate risk of recurrence (80%)</w:t>
            </w:r>
            <w:r w:rsidRPr="00C227CD">
              <w:br/>
              <w:t>(</w:t>
            </w:r>
            <w:proofErr w:type="gramStart"/>
            <w:r w:rsidRPr="00C227CD">
              <w:t>i.e.</w:t>
            </w:r>
            <w:proofErr w:type="gramEnd"/>
            <w:r w:rsidRPr="00C227CD">
              <w:t xml:space="preserve"> the population eligible for </w:t>
            </w:r>
            <w:r w:rsidR="00D50E5C">
              <w:t>EndoPredict</w:t>
            </w:r>
            <w:r w:rsidR="005F1260" w:rsidRPr="005F1260">
              <w:rPr>
                <w:vertAlign w:val="superscript"/>
              </w:rPr>
              <w:t>®</w:t>
            </w:r>
            <w:r w:rsidRPr="00C227CD">
              <w:t>)</w:t>
            </w:r>
          </w:p>
        </w:tc>
        <w:tc>
          <w:tcPr>
            <w:tcW w:w="576" w:type="pct"/>
            <w:tcMar>
              <w:top w:w="0" w:type="dxa"/>
              <w:left w:w="108" w:type="dxa"/>
              <w:bottom w:w="0" w:type="dxa"/>
              <w:right w:w="108" w:type="dxa"/>
            </w:tcMar>
          </w:tcPr>
          <w:p w14:paraId="08500CE5" w14:textId="77777777" w:rsidR="002056CD" w:rsidRPr="00C227CD" w:rsidRDefault="002056CD" w:rsidP="006B0BCC">
            <w:pPr>
              <w:keepNext/>
              <w:jc w:val="right"/>
            </w:pPr>
            <w:r w:rsidRPr="00C227CD">
              <w:t>5,460</w:t>
            </w:r>
          </w:p>
        </w:tc>
        <w:tc>
          <w:tcPr>
            <w:tcW w:w="576" w:type="pct"/>
            <w:tcMar>
              <w:top w:w="0" w:type="dxa"/>
              <w:left w:w="108" w:type="dxa"/>
              <w:bottom w:w="0" w:type="dxa"/>
              <w:right w:w="108" w:type="dxa"/>
            </w:tcMar>
          </w:tcPr>
          <w:p w14:paraId="020B6B50" w14:textId="77777777" w:rsidR="002056CD" w:rsidRPr="00C227CD" w:rsidRDefault="002056CD" w:rsidP="006B0BCC">
            <w:pPr>
              <w:keepNext/>
              <w:jc w:val="right"/>
            </w:pPr>
            <w:r w:rsidRPr="00C227CD">
              <w:t>5,643</w:t>
            </w:r>
          </w:p>
        </w:tc>
        <w:tc>
          <w:tcPr>
            <w:tcW w:w="576" w:type="pct"/>
            <w:tcMar>
              <w:top w:w="0" w:type="dxa"/>
              <w:left w:w="108" w:type="dxa"/>
              <w:bottom w:w="0" w:type="dxa"/>
              <w:right w:w="108" w:type="dxa"/>
            </w:tcMar>
          </w:tcPr>
          <w:p w14:paraId="0B207F6F" w14:textId="77777777" w:rsidR="002056CD" w:rsidRPr="00C227CD" w:rsidRDefault="002056CD" w:rsidP="006B0BCC">
            <w:pPr>
              <w:keepNext/>
              <w:jc w:val="right"/>
            </w:pPr>
            <w:r w:rsidRPr="00C227CD">
              <w:t>5,833</w:t>
            </w:r>
          </w:p>
        </w:tc>
        <w:tc>
          <w:tcPr>
            <w:tcW w:w="576" w:type="pct"/>
            <w:tcMar>
              <w:top w:w="0" w:type="dxa"/>
              <w:left w:w="108" w:type="dxa"/>
              <w:bottom w:w="0" w:type="dxa"/>
              <w:right w:w="108" w:type="dxa"/>
            </w:tcMar>
          </w:tcPr>
          <w:p w14:paraId="78C56E9C" w14:textId="77777777" w:rsidR="002056CD" w:rsidRPr="00C227CD" w:rsidRDefault="002056CD" w:rsidP="006B0BCC">
            <w:pPr>
              <w:keepNext/>
              <w:jc w:val="right"/>
            </w:pPr>
            <w:r w:rsidRPr="00C227CD">
              <w:t>6,028</w:t>
            </w:r>
          </w:p>
        </w:tc>
        <w:tc>
          <w:tcPr>
            <w:tcW w:w="576" w:type="pct"/>
            <w:tcMar>
              <w:top w:w="0" w:type="dxa"/>
              <w:left w:w="108" w:type="dxa"/>
              <w:bottom w:w="0" w:type="dxa"/>
              <w:right w:w="108" w:type="dxa"/>
            </w:tcMar>
          </w:tcPr>
          <w:p w14:paraId="49314ABA" w14:textId="77777777" w:rsidR="002056CD" w:rsidRPr="00C227CD" w:rsidRDefault="002056CD" w:rsidP="006B0BCC">
            <w:pPr>
              <w:keepNext/>
              <w:jc w:val="right"/>
            </w:pPr>
            <w:r w:rsidRPr="00C227CD">
              <w:t>6,231</w:t>
            </w:r>
          </w:p>
        </w:tc>
      </w:tr>
      <w:tr w:rsidR="002056CD" w:rsidRPr="00C227CD" w14:paraId="2F3671B0" w14:textId="77777777" w:rsidTr="007640A0">
        <w:tc>
          <w:tcPr>
            <w:tcW w:w="2121" w:type="pct"/>
            <w:tcMar>
              <w:top w:w="0" w:type="dxa"/>
              <w:left w:w="108" w:type="dxa"/>
              <w:bottom w:w="0" w:type="dxa"/>
              <w:right w:w="108" w:type="dxa"/>
            </w:tcMar>
          </w:tcPr>
          <w:p w14:paraId="157F1F26" w14:textId="77777777" w:rsidR="002056CD" w:rsidRPr="00C227CD" w:rsidRDefault="002056CD" w:rsidP="006B0BCC">
            <w:pPr>
              <w:keepNext/>
            </w:pPr>
            <w:r w:rsidRPr="00C227CD">
              <w:t>Uptake rate</w:t>
            </w:r>
          </w:p>
        </w:tc>
        <w:tc>
          <w:tcPr>
            <w:tcW w:w="576" w:type="pct"/>
            <w:tcMar>
              <w:top w:w="0" w:type="dxa"/>
              <w:left w:w="108" w:type="dxa"/>
              <w:bottom w:w="0" w:type="dxa"/>
              <w:right w:w="108" w:type="dxa"/>
            </w:tcMar>
          </w:tcPr>
          <w:p w14:paraId="48DAA549" w14:textId="77777777" w:rsidR="002056CD" w:rsidRPr="00C227CD" w:rsidRDefault="002056CD" w:rsidP="006B0BCC">
            <w:pPr>
              <w:keepNext/>
              <w:jc w:val="right"/>
            </w:pPr>
            <w:r w:rsidRPr="00C227CD">
              <w:t>60%</w:t>
            </w:r>
          </w:p>
        </w:tc>
        <w:tc>
          <w:tcPr>
            <w:tcW w:w="576" w:type="pct"/>
            <w:tcMar>
              <w:top w:w="0" w:type="dxa"/>
              <w:left w:w="108" w:type="dxa"/>
              <w:bottom w:w="0" w:type="dxa"/>
              <w:right w:w="108" w:type="dxa"/>
            </w:tcMar>
          </w:tcPr>
          <w:p w14:paraId="0703C002" w14:textId="77777777" w:rsidR="002056CD" w:rsidRPr="00C227CD" w:rsidRDefault="002056CD" w:rsidP="006B0BCC">
            <w:pPr>
              <w:keepNext/>
              <w:jc w:val="right"/>
            </w:pPr>
            <w:r w:rsidRPr="00C227CD">
              <w:t>70%</w:t>
            </w:r>
          </w:p>
        </w:tc>
        <w:tc>
          <w:tcPr>
            <w:tcW w:w="576" w:type="pct"/>
            <w:tcMar>
              <w:top w:w="0" w:type="dxa"/>
              <w:left w:w="108" w:type="dxa"/>
              <w:bottom w:w="0" w:type="dxa"/>
              <w:right w:w="108" w:type="dxa"/>
            </w:tcMar>
          </w:tcPr>
          <w:p w14:paraId="35E9C214" w14:textId="77777777" w:rsidR="002056CD" w:rsidRPr="00C227CD" w:rsidRDefault="002056CD" w:rsidP="006B0BCC">
            <w:pPr>
              <w:keepNext/>
              <w:jc w:val="right"/>
            </w:pPr>
            <w:r w:rsidRPr="00C227CD">
              <w:t>80%</w:t>
            </w:r>
          </w:p>
        </w:tc>
        <w:tc>
          <w:tcPr>
            <w:tcW w:w="576" w:type="pct"/>
            <w:tcMar>
              <w:top w:w="0" w:type="dxa"/>
              <w:left w:w="108" w:type="dxa"/>
              <w:bottom w:w="0" w:type="dxa"/>
              <w:right w:w="108" w:type="dxa"/>
            </w:tcMar>
          </w:tcPr>
          <w:p w14:paraId="63C73954" w14:textId="77777777" w:rsidR="002056CD" w:rsidRPr="00C227CD" w:rsidRDefault="002056CD" w:rsidP="006B0BCC">
            <w:pPr>
              <w:keepNext/>
              <w:jc w:val="right"/>
            </w:pPr>
            <w:r w:rsidRPr="00C227CD">
              <w:t>80%</w:t>
            </w:r>
          </w:p>
        </w:tc>
        <w:tc>
          <w:tcPr>
            <w:tcW w:w="576" w:type="pct"/>
            <w:tcMar>
              <w:top w:w="0" w:type="dxa"/>
              <w:left w:w="108" w:type="dxa"/>
              <w:bottom w:w="0" w:type="dxa"/>
              <w:right w:w="108" w:type="dxa"/>
            </w:tcMar>
          </w:tcPr>
          <w:p w14:paraId="6CEF30F7" w14:textId="77777777" w:rsidR="002056CD" w:rsidRPr="00C227CD" w:rsidRDefault="002056CD" w:rsidP="006B0BCC">
            <w:pPr>
              <w:keepNext/>
              <w:jc w:val="right"/>
            </w:pPr>
            <w:r w:rsidRPr="00C227CD">
              <w:t>80%</w:t>
            </w:r>
          </w:p>
        </w:tc>
      </w:tr>
      <w:tr w:rsidR="002056CD" w:rsidRPr="00C227CD" w14:paraId="74ECED78" w14:textId="77777777" w:rsidTr="007640A0">
        <w:tc>
          <w:tcPr>
            <w:tcW w:w="2121" w:type="pct"/>
            <w:tcMar>
              <w:top w:w="0" w:type="dxa"/>
              <w:left w:w="108" w:type="dxa"/>
              <w:bottom w:w="0" w:type="dxa"/>
              <w:right w:w="108" w:type="dxa"/>
            </w:tcMar>
            <w:hideMark/>
          </w:tcPr>
          <w:p w14:paraId="56B42D73" w14:textId="32BBE5C0" w:rsidR="002056CD" w:rsidRPr="00C227CD" w:rsidRDefault="002056CD" w:rsidP="006B0BCC">
            <w:pPr>
              <w:keepNext/>
            </w:pPr>
            <w:r w:rsidRPr="00C227CD">
              <w:t xml:space="preserve">Number of people who receive </w:t>
            </w:r>
            <w:r w:rsidR="00D50E5C">
              <w:t>EndoPredict</w:t>
            </w:r>
            <w:r w:rsidR="005F1260" w:rsidRPr="005F1260">
              <w:rPr>
                <w:vertAlign w:val="superscript"/>
              </w:rPr>
              <w:t>®</w:t>
            </w:r>
          </w:p>
        </w:tc>
        <w:tc>
          <w:tcPr>
            <w:tcW w:w="576" w:type="pct"/>
            <w:tcMar>
              <w:top w:w="0" w:type="dxa"/>
              <w:left w:w="108" w:type="dxa"/>
              <w:bottom w:w="0" w:type="dxa"/>
              <w:right w:w="108" w:type="dxa"/>
            </w:tcMar>
          </w:tcPr>
          <w:p w14:paraId="59407DAD" w14:textId="77777777" w:rsidR="002056CD" w:rsidRPr="00C227CD" w:rsidRDefault="002056CD" w:rsidP="006B0BCC">
            <w:pPr>
              <w:keepNext/>
              <w:jc w:val="right"/>
            </w:pPr>
            <w:r w:rsidRPr="00C227CD">
              <w:t>3,276</w:t>
            </w:r>
          </w:p>
        </w:tc>
        <w:tc>
          <w:tcPr>
            <w:tcW w:w="576" w:type="pct"/>
            <w:tcMar>
              <w:top w:w="0" w:type="dxa"/>
              <w:left w:w="108" w:type="dxa"/>
              <w:bottom w:w="0" w:type="dxa"/>
              <w:right w:w="108" w:type="dxa"/>
            </w:tcMar>
          </w:tcPr>
          <w:p w14:paraId="1A223B14" w14:textId="77777777" w:rsidR="002056CD" w:rsidRPr="00C227CD" w:rsidRDefault="002056CD" w:rsidP="006B0BCC">
            <w:pPr>
              <w:keepNext/>
              <w:jc w:val="right"/>
            </w:pPr>
            <w:r w:rsidRPr="00C227CD">
              <w:t>3,950</w:t>
            </w:r>
          </w:p>
        </w:tc>
        <w:tc>
          <w:tcPr>
            <w:tcW w:w="576" w:type="pct"/>
            <w:tcMar>
              <w:top w:w="0" w:type="dxa"/>
              <w:left w:w="108" w:type="dxa"/>
              <w:bottom w:w="0" w:type="dxa"/>
              <w:right w:w="108" w:type="dxa"/>
            </w:tcMar>
          </w:tcPr>
          <w:p w14:paraId="2E4130F4" w14:textId="77777777" w:rsidR="002056CD" w:rsidRPr="00C227CD" w:rsidRDefault="002056CD" w:rsidP="006B0BCC">
            <w:pPr>
              <w:keepNext/>
              <w:jc w:val="right"/>
            </w:pPr>
            <w:r w:rsidRPr="00C227CD">
              <w:t>4,666</w:t>
            </w:r>
          </w:p>
        </w:tc>
        <w:tc>
          <w:tcPr>
            <w:tcW w:w="576" w:type="pct"/>
            <w:tcMar>
              <w:top w:w="0" w:type="dxa"/>
              <w:left w:w="108" w:type="dxa"/>
              <w:bottom w:w="0" w:type="dxa"/>
              <w:right w:w="108" w:type="dxa"/>
            </w:tcMar>
          </w:tcPr>
          <w:p w14:paraId="15FFCD72" w14:textId="77777777" w:rsidR="002056CD" w:rsidRPr="00C227CD" w:rsidRDefault="002056CD" w:rsidP="006B0BCC">
            <w:pPr>
              <w:keepNext/>
              <w:jc w:val="right"/>
            </w:pPr>
            <w:r w:rsidRPr="00C227CD">
              <w:t>4,823</w:t>
            </w:r>
          </w:p>
        </w:tc>
        <w:tc>
          <w:tcPr>
            <w:tcW w:w="576" w:type="pct"/>
            <w:tcMar>
              <w:top w:w="0" w:type="dxa"/>
              <w:left w:w="108" w:type="dxa"/>
              <w:bottom w:w="0" w:type="dxa"/>
              <w:right w:w="108" w:type="dxa"/>
            </w:tcMar>
          </w:tcPr>
          <w:p w14:paraId="117948DC" w14:textId="77777777" w:rsidR="002056CD" w:rsidRPr="00C227CD" w:rsidRDefault="002056CD" w:rsidP="006B0BCC">
            <w:pPr>
              <w:keepNext/>
              <w:jc w:val="right"/>
            </w:pPr>
            <w:r w:rsidRPr="00C227CD">
              <w:t>4,984</w:t>
            </w:r>
          </w:p>
        </w:tc>
      </w:tr>
      <w:tr w:rsidR="002056CD" w:rsidRPr="00C227CD" w14:paraId="29B595D4" w14:textId="77777777" w:rsidTr="007640A0">
        <w:tc>
          <w:tcPr>
            <w:tcW w:w="2121" w:type="pct"/>
            <w:tcMar>
              <w:top w:w="0" w:type="dxa"/>
              <w:left w:w="108" w:type="dxa"/>
              <w:bottom w:w="0" w:type="dxa"/>
              <w:right w:w="108" w:type="dxa"/>
            </w:tcMar>
          </w:tcPr>
          <w:p w14:paraId="405F14B9" w14:textId="6D69B862" w:rsidR="002056CD" w:rsidRPr="00C227CD" w:rsidRDefault="002056CD" w:rsidP="006B0BCC">
            <w:pPr>
              <w:keepNext/>
            </w:pPr>
            <w:r w:rsidRPr="00C227CD">
              <w:t xml:space="preserve">Cost per </w:t>
            </w:r>
            <w:r w:rsidR="00D50E5C">
              <w:t>EndoPredict</w:t>
            </w:r>
            <w:r w:rsidR="005F1260" w:rsidRPr="005F1260">
              <w:rPr>
                <w:vertAlign w:val="superscript"/>
              </w:rPr>
              <w:t>®</w:t>
            </w:r>
            <w:r w:rsidRPr="00C227CD">
              <w:t xml:space="preserve"> service</w:t>
            </w:r>
          </w:p>
        </w:tc>
        <w:tc>
          <w:tcPr>
            <w:tcW w:w="576" w:type="pct"/>
            <w:tcMar>
              <w:top w:w="0" w:type="dxa"/>
              <w:left w:w="108" w:type="dxa"/>
              <w:bottom w:w="0" w:type="dxa"/>
              <w:right w:w="108" w:type="dxa"/>
            </w:tcMar>
          </w:tcPr>
          <w:p w14:paraId="1AAAC810" w14:textId="1126961E" w:rsidR="002056CD" w:rsidRPr="00C7731E" w:rsidRDefault="002056CD" w:rsidP="006B0BCC">
            <w:pPr>
              <w:keepNext/>
              <w:jc w:val="right"/>
            </w:pPr>
            <w:r w:rsidRPr="00C7731E">
              <w:t>$</w:t>
            </w:r>
            <w:r w:rsidR="00AE3E5D" w:rsidRPr="00AE3E5D">
              <w:rPr>
                <w:rFonts w:hint="eastAsia"/>
                <w:color w:val="000000"/>
                <w:w w:val="15"/>
                <w:shd w:val="solid" w:color="000000" w:fill="000000"/>
                <w:fitText w:val="27" w:id="-1437332221"/>
                <w14:textFill>
                  <w14:solidFill>
                    <w14:srgbClr w14:val="000000">
                      <w14:alpha w14:val="100000"/>
                    </w14:srgbClr>
                  </w14:solidFill>
                </w14:textFill>
              </w:rPr>
              <w:t xml:space="preserve">　</w:t>
            </w:r>
            <w:r w:rsidR="00AE3E5D" w:rsidRPr="00AE3E5D">
              <w:rPr>
                <w:color w:val="000000"/>
                <w:w w:val="15"/>
                <w:shd w:val="solid" w:color="000000" w:fill="000000"/>
                <w:fitText w:val="27" w:id="-1437332221"/>
                <w14:textFill>
                  <w14:solidFill>
                    <w14:srgbClr w14:val="000000">
                      <w14:alpha w14:val="100000"/>
                    </w14:srgbClr>
                  </w14:solidFill>
                </w14:textFill>
              </w:rPr>
              <w:t>|</w:t>
            </w:r>
            <w:r w:rsidR="00AE3E5D" w:rsidRPr="00AE3E5D">
              <w:rPr>
                <w:rFonts w:hint="eastAsia"/>
                <w:color w:val="000000"/>
                <w:spacing w:val="-38"/>
                <w:w w:val="15"/>
                <w:shd w:val="solid" w:color="000000" w:fill="000000"/>
                <w:fitText w:val="27" w:id="-1437332221"/>
                <w14:textFill>
                  <w14:solidFill>
                    <w14:srgbClr w14:val="000000">
                      <w14:alpha w14:val="100000"/>
                    </w14:srgbClr>
                  </w14:solidFill>
                </w14:textFill>
              </w:rPr>
              <w:t xml:space="preserve">　</w:t>
            </w:r>
          </w:p>
        </w:tc>
        <w:tc>
          <w:tcPr>
            <w:tcW w:w="576" w:type="pct"/>
            <w:tcMar>
              <w:top w:w="0" w:type="dxa"/>
              <w:left w:w="108" w:type="dxa"/>
              <w:bottom w:w="0" w:type="dxa"/>
              <w:right w:w="108" w:type="dxa"/>
            </w:tcMar>
          </w:tcPr>
          <w:p w14:paraId="24C9D2E6" w14:textId="2E9A6999" w:rsidR="002056CD" w:rsidRPr="00C7731E" w:rsidRDefault="002056CD" w:rsidP="006B0BCC">
            <w:pPr>
              <w:keepNext/>
              <w:jc w:val="right"/>
            </w:pPr>
            <w:r w:rsidRPr="00C7731E">
              <w:t>$</w:t>
            </w:r>
            <w:r w:rsidR="00AE3E5D" w:rsidRPr="00AE3E5D">
              <w:rPr>
                <w:rFonts w:hint="eastAsia"/>
                <w:color w:val="000000"/>
                <w:w w:val="15"/>
                <w:shd w:val="solid" w:color="000000" w:fill="000000"/>
                <w:fitText w:val="28" w:id="-1437332220"/>
                <w14:textFill>
                  <w14:solidFill>
                    <w14:srgbClr w14:val="000000">
                      <w14:alpha w14:val="100000"/>
                    </w14:srgbClr>
                  </w14:solidFill>
                </w14:textFill>
              </w:rPr>
              <w:t xml:space="preserve">　</w:t>
            </w:r>
            <w:r w:rsidR="00AE3E5D" w:rsidRPr="00AE3E5D">
              <w:rPr>
                <w:color w:val="000000"/>
                <w:w w:val="15"/>
                <w:shd w:val="solid" w:color="000000" w:fill="000000"/>
                <w:fitText w:val="28" w:id="-1437332220"/>
                <w14:textFill>
                  <w14:solidFill>
                    <w14:srgbClr w14:val="000000">
                      <w14:alpha w14:val="100000"/>
                    </w14:srgbClr>
                  </w14:solidFill>
                </w14:textFill>
              </w:rPr>
              <w:t>|</w:t>
            </w:r>
            <w:r w:rsidR="00AE3E5D" w:rsidRPr="00AE3E5D">
              <w:rPr>
                <w:rFonts w:hint="eastAsia"/>
                <w:color w:val="000000"/>
                <w:spacing w:val="-37"/>
                <w:w w:val="15"/>
                <w:shd w:val="solid" w:color="000000" w:fill="000000"/>
                <w:fitText w:val="28" w:id="-1437332220"/>
                <w14:textFill>
                  <w14:solidFill>
                    <w14:srgbClr w14:val="000000">
                      <w14:alpha w14:val="100000"/>
                    </w14:srgbClr>
                  </w14:solidFill>
                </w14:textFill>
              </w:rPr>
              <w:t xml:space="preserve">　</w:t>
            </w:r>
          </w:p>
        </w:tc>
        <w:tc>
          <w:tcPr>
            <w:tcW w:w="576" w:type="pct"/>
            <w:tcMar>
              <w:top w:w="0" w:type="dxa"/>
              <w:left w:w="108" w:type="dxa"/>
              <w:bottom w:w="0" w:type="dxa"/>
              <w:right w:w="108" w:type="dxa"/>
            </w:tcMar>
          </w:tcPr>
          <w:p w14:paraId="6DAC8729" w14:textId="42EE6D84" w:rsidR="002056CD" w:rsidRPr="00C7731E" w:rsidRDefault="002056CD" w:rsidP="006B0BCC">
            <w:pPr>
              <w:keepNext/>
              <w:jc w:val="right"/>
            </w:pPr>
            <w:r w:rsidRPr="00C7731E">
              <w:t>$</w:t>
            </w:r>
            <w:r w:rsidR="00AE3E5D" w:rsidRPr="00AE3E5D">
              <w:rPr>
                <w:rFonts w:hint="eastAsia"/>
                <w:color w:val="000000"/>
                <w:w w:val="15"/>
                <w:shd w:val="solid" w:color="000000" w:fill="000000"/>
                <w:fitText w:val="27" w:id="-1437332219"/>
                <w14:textFill>
                  <w14:solidFill>
                    <w14:srgbClr w14:val="000000">
                      <w14:alpha w14:val="100000"/>
                    </w14:srgbClr>
                  </w14:solidFill>
                </w14:textFill>
              </w:rPr>
              <w:t xml:space="preserve">　</w:t>
            </w:r>
            <w:r w:rsidR="00AE3E5D" w:rsidRPr="00AE3E5D">
              <w:rPr>
                <w:color w:val="000000"/>
                <w:w w:val="15"/>
                <w:shd w:val="solid" w:color="000000" w:fill="000000"/>
                <w:fitText w:val="27" w:id="-1437332219"/>
                <w14:textFill>
                  <w14:solidFill>
                    <w14:srgbClr w14:val="000000">
                      <w14:alpha w14:val="100000"/>
                    </w14:srgbClr>
                  </w14:solidFill>
                </w14:textFill>
              </w:rPr>
              <w:t>|</w:t>
            </w:r>
            <w:r w:rsidR="00AE3E5D" w:rsidRPr="00AE3E5D">
              <w:rPr>
                <w:rFonts w:hint="eastAsia"/>
                <w:color w:val="000000"/>
                <w:spacing w:val="-38"/>
                <w:w w:val="15"/>
                <w:shd w:val="solid" w:color="000000" w:fill="000000"/>
                <w:fitText w:val="27" w:id="-1437332219"/>
                <w14:textFill>
                  <w14:solidFill>
                    <w14:srgbClr w14:val="000000">
                      <w14:alpha w14:val="100000"/>
                    </w14:srgbClr>
                  </w14:solidFill>
                </w14:textFill>
              </w:rPr>
              <w:t xml:space="preserve">　</w:t>
            </w:r>
          </w:p>
        </w:tc>
        <w:tc>
          <w:tcPr>
            <w:tcW w:w="576" w:type="pct"/>
            <w:tcMar>
              <w:top w:w="0" w:type="dxa"/>
              <w:left w:w="108" w:type="dxa"/>
              <w:bottom w:w="0" w:type="dxa"/>
              <w:right w:w="108" w:type="dxa"/>
            </w:tcMar>
          </w:tcPr>
          <w:p w14:paraId="0ECA2649" w14:textId="6348EB35" w:rsidR="002056CD" w:rsidRPr="00C7731E" w:rsidRDefault="002056CD" w:rsidP="006B0BCC">
            <w:pPr>
              <w:keepNext/>
              <w:jc w:val="right"/>
            </w:pPr>
            <w:r w:rsidRPr="00C7731E">
              <w:t>$</w:t>
            </w:r>
            <w:r w:rsidR="00AE3E5D" w:rsidRPr="00AE3E5D">
              <w:rPr>
                <w:rFonts w:hint="eastAsia"/>
                <w:color w:val="000000"/>
                <w:w w:val="15"/>
                <w:shd w:val="solid" w:color="000000" w:fill="000000"/>
                <w:fitText w:val="28" w:id="-1437332218"/>
                <w14:textFill>
                  <w14:solidFill>
                    <w14:srgbClr w14:val="000000">
                      <w14:alpha w14:val="100000"/>
                    </w14:srgbClr>
                  </w14:solidFill>
                </w14:textFill>
              </w:rPr>
              <w:t xml:space="preserve">　</w:t>
            </w:r>
            <w:r w:rsidR="00AE3E5D" w:rsidRPr="00AE3E5D">
              <w:rPr>
                <w:color w:val="000000"/>
                <w:w w:val="15"/>
                <w:shd w:val="solid" w:color="000000" w:fill="000000"/>
                <w:fitText w:val="28" w:id="-1437332218"/>
                <w14:textFill>
                  <w14:solidFill>
                    <w14:srgbClr w14:val="000000">
                      <w14:alpha w14:val="100000"/>
                    </w14:srgbClr>
                  </w14:solidFill>
                </w14:textFill>
              </w:rPr>
              <w:t>|</w:t>
            </w:r>
            <w:r w:rsidR="00AE3E5D" w:rsidRPr="00AE3E5D">
              <w:rPr>
                <w:rFonts w:hint="eastAsia"/>
                <w:color w:val="000000"/>
                <w:spacing w:val="-37"/>
                <w:w w:val="15"/>
                <w:shd w:val="solid" w:color="000000" w:fill="000000"/>
                <w:fitText w:val="28" w:id="-1437332218"/>
                <w14:textFill>
                  <w14:solidFill>
                    <w14:srgbClr w14:val="000000">
                      <w14:alpha w14:val="100000"/>
                    </w14:srgbClr>
                  </w14:solidFill>
                </w14:textFill>
              </w:rPr>
              <w:t xml:space="preserve">　</w:t>
            </w:r>
          </w:p>
        </w:tc>
        <w:tc>
          <w:tcPr>
            <w:tcW w:w="576" w:type="pct"/>
            <w:tcMar>
              <w:top w:w="0" w:type="dxa"/>
              <w:left w:w="108" w:type="dxa"/>
              <w:bottom w:w="0" w:type="dxa"/>
              <w:right w:w="108" w:type="dxa"/>
            </w:tcMar>
          </w:tcPr>
          <w:p w14:paraId="7C2B71B1" w14:textId="1FF2A33A" w:rsidR="002056CD" w:rsidRPr="00C7731E" w:rsidRDefault="002056CD" w:rsidP="006B0BCC">
            <w:pPr>
              <w:keepNext/>
              <w:jc w:val="right"/>
            </w:pPr>
            <w:r w:rsidRPr="00C7731E">
              <w:t>$</w:t>
            </w:r>
            <w:r w:rsidR="00AE3E5D" w:rsidRPr="00AE3E5D">
              <w:rPr>
                <w:rFonts w:hint="eastAsia"/>
                <w:color w:val="000000"/>
                <w:w w:val="15"/>
                <w:shd w:val="solid" w:color="000000" w:fill="000000"/>
                <w:fitText w:val="28" w:id="-1437332217"/>
                <w14:textFill>
                  <w14:solidFill>
                    <w14:srgbClr w14:val="000000">
                      <w14:alpha w14:val="100000"/>
                    </w14:srgbClr>
                  </w14:solidFill>
                </w14:textFill>
              </w:rPr>
              <w:t xml:space="preserve">　</w:t>
            </w:r>
            <w:r w:rsidR="00AE3E5D" w:rsidRPr="00AE3E5D">
              <w:rPr>
                <w:color w:val="000000"/>
                <w:w w:val="15"/>
                <w:shd w:val="solid" w:color="000000" w:fill="000000"/>
                <w:fitText w:val="28" w:id="-1437332217"/>
                <w14:textFill>
                  <w14:solidFill>
                    <w14:srgbClr w14:val="000000">
                      <w14:alpha w14:val="100000"/>
                    </w14:srgbClr>
                  </w14:solidFill>
                </w14:textFill>
              </w:rPr>
              <w:t>|</w:t>
            </w:r>
            <w:r w:rsidR="00AE3E5D" w:rsidRPr="00AE3E5D">
              <w:rPr>
                <w:rFonts w:hint="eastAsia"/>
                <w:color w:val="000000"/>
                <w:spacing w:val="-37"/>
                <w:w w:val="15"/>
                <w:shd w:val="solid" w:color="000000" w:fill="000000"/>
                <w:fitText w:val="28" w:id="-1437332217"/>
                <w14:textFill>
                  <w14:solidFill>
                    <w14:srgbClr w14:val="000000">
                      <w14:alpha w14:val="100000"/>
                    </w14:srgbClr>
                  </w14:solidFill>
                </w14:textFill>
              </w:rPr>
              <w:t xml:space="preserve">　</w:t>
            </w:r>
          </w:p>
        </w:tc>
      </w:tr>
      <w:tr w:rsidR="00D85DD6" w:rsidRPr="00C227CD" w14:paraId="68135107" w14:textId="77777777" w:rsidTr="007640A0">
        <w:tc>
          <w:tcPr>
            <w:tcW w:w="2121" w:type="pct"/>
            <w:tcMar>
              <w:top w:w="0" w:type="dxa"/>
              <w:left w:w="108" w:type="dxa"/>
              <w:bottom w:w="0" w:type="dxa"/>
              <w:right w:w="108" w:type="dxa"/>
            </w:tcMar>
          </w:tcPr>
          <w:p w14:paraId="4566EB92" w14:textId="77777777" w:rsidR="00D85DD6" w:rsidRPr="00D85DD6" w:rsidRDefault="00D85DD6" w:rsidP="00D85DD6">
            <w:pPr>
              <w:keepNext/>
              <w:rPr>
                <w:i/>
                <w:iCs/>
              </w:rPr>
            </w:pPr>
            <w:r w:rsidRPr="00D85DD6">
              <w:rPr>
                <w:i/>
                <w:iCs/>
              </w:rPr>
              <w:t>Cost per EndoPredict</w:t>
            </w:r>
            <w:r w:rsidRPr="00D85DD6">
              <w:rPr>
                <w:i/>
                <w:iCs/>
                <w:vertAlign w:val="superscript"/>
              </w:rPr>
              <w:t>®</w:t>
            </w:r>
            <w:r w:rsidRPr="00D85DD6">
              <w:rPr>
                <w:i/>
                <w:iCs/>
              </w:rPr>
              <w:t xml:space="preserve"> service</w:t>
            </w:r>
          </w:p>
        </w:tc>
        <w:tc>
          <w:tcPr>
            <w:tcW w:w="576" w:type="pct"/>
            <w:tcMar>
              <w:top w:w="0" w:type="dxa"/>
              <w:left w:w="108" w:type="dxa"/>
              <w:bottom w:w="0" w:type="dxa"/>
              <w:right w:w="108" w:type="dxa"/>
            </w:tcMar>
          </w:tcPr>
          <w:p w14:paraId="18680922" w14:textId="3BBC7A67" w:rsidR="00D85DD6" w:rsidRPr="00C7731E" w:rsidRDefault="00D85DD6" w:rsidP="00D85DD6">
            <w:pPr>
              <w:keepNext/>
              <w:jc w:val="right"/>
              <w:rPr>
                <w:i/>
                <w:iCs/>
              </w:rPr>
            </w:pPr>
            <w:r w:rsidRPr="00C7731E">
              <w:rPr>
                <w:i/>
                <w:iCs/>
              </w:rPr>
              <w:t>$1,200</w:t>
            </w:r>
          </w:p>
        </w:tc>
        <w:tc>
          <w:tcPr>
            <w:tcW w:w="576" w:type="pct"/>
            <w:tcMar>
              <w:top w:w="0" w:type="dxa"/>
              <w:left w:w="108" w:type="dxa"/>
              <w:bottom w:w="0" w:type="dxa"/>
              <w:right w:w="108" w:type="dxa"/>
            </w:tcMar>
          </w:tcPr>
          <w:p w14:paraId="6A332B46" w14:textId="32A5403B" w:rsidR="00D85DD6" w:rsidRPr="00C7731E" w:rsidRDefault="00D85DD6" w:rsidP="00D85DD6">
            <w:pPr>
              <w:keepNext/>
              <w:jc w:val="right"/>
              <w:rPr>
                <w:i/>
                <w:iCs/>
              </w:rPr>
            </w:pPr>
            <w:r w:rsidRPr="00C7731E">
              <w:rPr>
                <w:i/>
                <w:iCs/>
              </w:rPr>
              <w:t>$1,200</w:t>
            </w:r>
          </w:p>
        </w:tc>
        <w:tc>
          <w:tcPr>
            <w:tcW w:w="576" w:type="pct"/>
            <w:tcMar>
              <w:top w:w="0" w:type="dxa"/>
              <w:left w:w="108" w:type="dxa"/>
              <w:bottom w:w="0" w:type="dxa"/>
              <w:right w:w="108" w:type="dxa"/>
            </w:tcMar>
          </w:tcPr>
          <w:p w14:paraId="48101909" w14:textId="2BF38D7D" w:rsidR="00D85DD6" w:rsidRPr="00C7731E" w:rsidRDefault="00D85DD6" w:rsidP="00D85DD6">
            <w:pPr>
              <w:keepNext/>
              <w:jc w:val="right"/>
              <w:rPr>
                <w:i/>
                <w:iCs/>
              </w:rPr>
            </w:pPr>
            <w:r w:rsidRPr="00C7731E">
              <w:rPr>
                <w:i/>
                <w:iCs/>
              </w:rPr>
              <w:t>$1,200</w:t>
            </w:r>
          </w:p>
        </w:tc>
        <w:tc>
          <w:tcPr>
            <w:tcW w:w="576" w:type="pct"/>
            <w:tcMar>
              <w:top w:w="0" w:type="dxa"/>
              <w:left w:w="108" w:type="dxa"/>
              <w:bottom w:w="0" w:type="dxa"/>
              <w:right w:w="108" w:type="dxa"/>
            </w:tcMar>
          </w:tcPr>
          <w:p w14:paraId="2C9D4ABC" w14:textId="77777777" w:rsidR="00D85DD6" w:rsidRPr="00C7731E" w:rsidRDefault="00D85DD6" w:rsidP="00D85DD6">
            <w:pPr>
              <w:keepNext/>
              <w:jc w:val="right"/>
              <w:rPr>
                <w:i/>
                <w:iCs/>
              </w:rPr>
            </w:pPr>
            <w:r w:rsidRPr="00C7731E">
              <w:rPr>
                <w:i/>
                <w:iCs/>
              </w:rPr>
              <w:t>$1,200</w:t>
            </w:r>
          </w:p>
        </w:tc>
        <w:tc>
          <w:tcPr>
            <w:tcW w:w="576" w:type="pct"/>
            <w:tcMar>
              <w:top w:w="0" w:type="dxa"/>
              <w:left w:w="108" w:type="dxa"/>
              <w:bottom w:w="0" w:type="dxa"/>
              <w:right w:w="108" w:type="dxa"/>
            </w:tcMar>
          </w:tcPr>
          <w:p w14:paraId="2948C752" w14:textId="77777777" w:rsidR="00D85DD6" w:rsidRPr="00C7731E" w:rsidRDefault="00D85DD6" w:rsidP="00D85DD6">
            <w:pPr>
              <w:keepNext/>
              <w:jc w:val="right"/>
              <w:rPr>
                <w:i/>
                <w:iCs/>
              </w:rPr>
            </w:pPr>
            <w:r w:rsidRPr="00C7731E">
              <w:rPr>
                <w:i/>
                <w:iCs/>
              </w:rPr>
              <w:t>$1,200</w:t>
            </w:r>
          </w:p>
        </w:tc>
      </w:tr>
      <w:tr w:rsidR="002056CD" w:rsidRPr="00C227CD" w14:paraId="44E986EA" w14:textId="77777777" w:rsidTr="007640A0">
        <w:tc>
          <w:tcPr>
            <w:tcW w:w="2121" w:type="pct"/>
            <w:tcMar>
              <w:top w:w="0" w:type="dxa"/>
              <w:left w:w="108" w:type="dxa"/>
              <w:bottom w:w="0" w:type="dxa"/>
              <w:right w:w="108" w:type="dxa"/>
            </w:tcMar>
            <w:hideMark/>
          </w:tcPr>
          <w:p w14:paraId="3641A9AD" w14:textId="77777777" w:rsidR="002056CD" w:rsidRPr="00C227CD" w:rsidRDefault="002056CD" w:rsidP="006B0BCC">
            <w:pPr>
              <w:keepNext/>
            </w:pPr>
            <w:r w:rsidRPr="00C227CD">
              <w:t xml:space="preserve">Cost to the MBS (exc. copayments) </w:t>
            </w:r>
            <w:r w:rsidRPr="00C227CD">
              <w:rPr>
                <w:vertAlign w:val="superscript"/>
              </w:rPr>
              <w:t>a</w:t>
            </w:r>
          </w:p>
        </w:tc>
        <w:tc>
          <w:tcPr>
            <w:tcW w:w="576" w:type="pct"/>
            <w:tcMar>
              <w:top w:w="0" w:type="dxa"/>
              <w:left w:w="108" w:type="dxa"/>
              <w:bottom w:w="0" w:type="dxa"/>
              <w:right w:w="108" w:type="dxa"/>
            </w:tcMar>
          </w:tcPr>
          <w:p w14:paraId="10172C84" w14:textId="64945656" w:rsidR="002056CD" w:rsidRPr="00C7731E" w:rsidRDefault="002056CD" w:rsidP="007114F6">
            <w:pPr>
              <w:keepNext/>
              <w:jc w:val="right"/>
            </w:pPr>
            <w:r w:rsidRPr="00C7731E">
              <w:t>$</w:t>
            </w:r>
            <w:r w:rsidR="00AE3E5D" w:rsidRPr="00AE3E5D">
              <w:rPr>
                <w:rFonts w:hint="eastAsia"/>
                <w:color w:val="000000"/>
                <w:w w:val="15"/>
                <w:shd w:val="solid" w:color="000000" w:fill="000000"/>
                <w:fitText w:val="27" w:id="-1437332216"/>
                <w14:textFill>
                  <w14:solidFill>
                    <w14:srgbClr w14:val="000000">
                      <w14:alpha w14:val="100000"/>
                    </w14:srgbClr>
                  </w14:solidFill>
                </w14:textFill>
              </w:rPr>
              <w:t xml:space="preserve">　</w:t>
            </w:r>
            <w:r w:rsidR="00AE3E5D" w:rsidRPr="00AE3E5D">
              <w:rPr>
                <w:color w:val="000000"/>
                <w:w w:val="15"/>
                <w:shd w:val="solid" w:color="000000" w:fill="000000"/>
                <w:fitText w:val="27" w:id="-1437332216"/>
                <w14:textFill>
                  <w14:solidFill>
                    <w14:srgbClr w14:val="000000">
                      <w14:alpha w14:val="100000"/>
                    </w14:srgbClr>
                  </w14:solidFill>
                </w14:textFill>
              </w:rPr>
              <w:t>|</w:t>
            </w:r>
            <w:r w:rsidR="00AE3E5D" w:rsidRPr="00AE3E5D">
              <w:rPr>
                <w:rFonts w:hint="eastAsia"/>
                <w:color w:val="000000"/>
                <w:spacing w:val="-38"/>
                <w:w w:val="15"/>
                <w:shd w:val="solid" w:color="000000" w:fill="000000"/>
                <w:fitText w:val="27" w:id="-1437332216"/>
                <w14:textFill>
                  <w14:solidFill>
                    <w14:srgbClr w14:val="000000">
                      <w14:alpha w14:val="100000"/>
                    </w14:srgbClr>
                  </w14:solidFill>
                </w14:textFill>
              </w:rPr>
              <w:t xml:space="preserve">　</w:t>
            </w:r>
          </w:p>
        </w:tc>
        <w:tc>
          <w:tcPr>
            <w:tcW w:w="576" w:type="pct"/>
            <w:tcMar>
              <w:top w:w="0" w:type="dxa"/>
              <w:left w:w="108" w:type="dxa"/>
              <w:bottom w:w="0" w:type="dxa"/>
              <w:right w:w="108" w:type="dxa"/>
            </w:tcMar>
          </w:tcPr>
          <w:p w14:paraId="64136F2F" w14:textId="6608042F" w:rsidR="002056CD" w:rsidRPr="00C7731E" w:rsidRDefault="002056CD" w:rsidP="007114F6">
            <w:pPr>
              <w:keepNext/>
              <w:jc w:val="right"/>
            </w:pPr>
            <w:r w:rsidRPr="00C7731E">
              <w:t>$</w:t>
            </w:r>
            <w:r w:rsidR="00AE3E5D" w:rsidRPr="00AE3E5D">
              <w:rPr>
                <w:rFonts w:hint="eastAsia"/>
                <w:color w:val="000000"/>
                <w:w w:val="15"/>
                <w:shd w:val="solid" w:color="000000" w:fill="000000"/>
                <w:fitText w:val="28" w:id="-1437332215"/>
                <w14:textFill>
                  <w14:solidFill>
                    <w14:srgbClr w14:val="000000">
                      <w14:alpha w14:val="100000"/>
                    </w14:srgbClr>
                  </w14:solidFill>
                </w14:textFill>
              </w:rPr>
              <w:t xml:space="preserve">　</w:t>
            </w:r>
            <w:r w:rsidR="00AE3E5D" w:rsidRPr="00AE3E5D">
              <w:rPr>
                <w:color w:val="000000"/>
                <w:w w:val="15"/>
                <w:shd w:val="solid" w:color="000000" w:fill="000000"/>
                <w:fitText w:val="28" w:id="-1437332215"/>
                <w14:textFill>
                  <w14:solidFill>
                    <w14:srgbClr w14:val="000000">
                      <w14:alpha w14:val="100000"/>
                    </w14:srgbClr>
                  </w14:solidFill>
                </w14:textFill>
              </w:rPr>
              <w:t>|</w:t>
            </w:r>
            <w:r w:rsidR="00AE3E5D" w:rsidRPr="00AE3E5D">
              <w:rPr>
                <w:rFonts w:hint="eastAsia"/>
                <w:color w:val="000000"/>
                <w:spacing w:val="-37"/>
                <w:w w:val="15"/>
                <w:shd w:val="solid" w:color="000000" w:fill="000000"/>
                <w:fitText w:val="28" w:id="-1437332215"/>
                <w14:textFill>
                  <w14:solidFill>
                    <w14:srgbClr w14:val="000000">
                      <w14:alpha w14:val="100000"/>
                    </w14:srgbClr>
                  </w14:solidFill>
                </w14:textFill>
              </w:rPr>
              <w:t xml:space="preserve">　</w:t>
            </w:r>
          </w:p>
        </w:tc>
        <w:tc>
          <w:tcPr>
            <w:tcW w:w="576" w:type="pct"/>
            <w:tcMar>
              <w:top w:w="0" w:type="dxa"/>
              <w:left w:w="108" w:type="dxa"/>
              <w:bottom w:w="0" w:type="dxa"/>
              <w:right w:w="108" w:type="dxa"/>
            </w:tcMar>
          </w:tcPr>
          <w:p w14:paraId="589D56DC" w14:textId="6250BBBB" w:rsidR="002056CD" w:rsidRPr="00C7731E" w:rsidRDefault="002056CD" w:rsidP="007114F6">
            <w:pPr>
              <w:keepNext/>
              <w:jc w:val="right"/>
            </w:pPr>
            <w:r w:rsidRPr="00C7731E">
              <w:t>$</w:t>
            </w:r>
            <w:r w:rsidR="00AE3E5D" w:rsidRPr="00AE3E5D">
              <w:rPr>
                <w:rFonts w:hint="eastAsia"/>
                <w:color w:val="000000"/>
                <w:w w:val="15"/>
                <w:shd w:val="solid" w:color="000000" w:fill="000000"/>
                <w:fitText w:val="27" w:id="-1437332214"/>
                <w14:textFill>
                  <w14:solidFill>
                    <w14:srgbClr w14:val="000000">
                      <w14:alpha w14:val="100000"/>
                    </w14:srgbClr>
                  </w14:solidFill>
                </w14:textFill>
              </w:rPr>
              <w:t xml:space="preserve">　</w:t>
            </w:r>
            <w:r w:rsidR="00AE3E5D" w:rsidRPr="00AE3E5D">
              <w:rPr>
                <w:color w:val="000000"/>
                <w:w w:val="15"/>
                <w:shd w:val="solid" w:color="000000" w:fill="000000"/>
                <w:fitText w:val="27" w:id="-1437332214"/>
                <w14:textFill>
                  <w14:solidFill>
                    <w14:srgbClr w14:val="000000">
                      <w14:alpha w14:val="100000"/>
                    </w14:srgbClr>
                  </w14:solidFill>
                </w14:textFill>
              </w:rPr>
              <w:t>|</w:t>
            </w:r>
            <w:r w:rsidR="00AE3E5D" w:rsidRPr="00AE3E5D">
              <w:rPr>
                <w:rFonts w:hint="eastAsia"/>
                <w:color w:val="000000"/>
                <w:spacing w:val="-38"/>
                <w:w w:val="15"/>
                <w:shd w:val="solid" w:color="000000" w:fill="000000"/>
                <w:fitText w:val="27" w:id="-1437332214"/>
                <w14:textFill>
                  <w14:solidFill>
                    <w14:srgbClr w14:val="000000">
                      <w14:alpha w14:val="100000"/>
                    </w14:srgbClr>
                  </w14:solidFill>
                </w14:textFill>
              </w:rPr>
              <w:t xml:space="preserve">　</w:t>
            </w:r>
          </w:p>
        </w:tc>
        <w:tc>
          <w:tcPr>
            <w:tcW w:w="576" w:type="pct"/>
            <w:tcMar>
              <w:top w:w="0" w:type="dxa"/>
              <w:left w:w="108" w:type="dxa"/>
              <w:bottom w:w="0" w:type="dxa"/>
              <w:right w:w="108" w:type="dxa"/>
            </w:tcMar>
          </w:tcPr>
          <w:p w14:paraId="271A0845" w14:textId="21B2B65A" w:rsidR="002056CD" w:rsidRPr="00C7731E" w:rsidRDefault="002056CD" w:rsidP="007114F6">
            <w:pPr>
              <w:keepNext/>
              <w:jc w:val="right"/>
            </w:pPr>
            <w:r w:rsidRPr="00C7731E">
              <w:t>$</w:t>
            </w:r>
            <w:r w:rsidR="00AE3E5D" w:rsidRPr="00AE3E5D">
              <w:rPr>
                <w:rFonts w:hint="eastAsia"/>
                <w:color w:val="000000"/>
                <w:w w:val="15"/>
                <w:shd w:val="solid" w:color="000000" w:fill="000000"/>
                <w:fitText w:val="28" w:id="-1437332213"/>
                <w14:textFill>
                  <w14:solidFill>
                    <w14:srgbClr w14:val="000000">
                      <w14:alpha w14:val="100000"/>
                    </w14:srgbClr>
                  </w14:solidFill>
                </w14:textFill>
              </w:rPr>
              <w:t xml:space="preserve">　</w:t>
            </w:r>
            <w:r w:rsidR="00AE3E5D" w:rsidRPr="00AE3E5D">
              <w:rPr>
                <w:color w:val="000000"/>
                <w:w w:val="15"/>
                <w:shd w:val="solid" w:color="000000" w:fill="000000"/>
                <w:fitText w:val="28" w:id="-1437332213"/>
                <w14:textFill>
                  <w14:solidFill>
                    <w14:srgbClr w14:val="000000">
                      <w14:alpha w14:val="100000"/>
                    </w14:srgbClr>
                  </w14:solidFill>
                </w14:textFill>
              </w:rPr>
              <w:t>|</w:t>
            </w:r>
            <w:r w:rsidR="00AE3E5D" w:rsidRPr="00AE3E5D">
              <w:rPr>
                <w:rFonts w:hint="eastAsia"/>
                <w:color w:val="000000"/>
                <w:spacing w:val="-37"/>
                <w:w w:val="15"/>
                <w:shd w:val="solid" w:color="000000" w:fill="000000"/>
                <w:fitText w:val="28" w:id="-1437332213"/>
                <w14:textFill>
                  <w14:solidFill>
                    <w14:srgbClr w14:val="000000">
                      <w14:alpha w14:val="100000"/>
                    </w14:srgbClr>
                  </w14:solidFill>
                </w14:textFill>
              </w:rPr>
              <w:t xml:space="preserve">　</w:t>
            </w:r>
          </w:p>
        </w:tc>
        <w:tc>
          <w:tcPr>
            <w:tcW w:w="576" w:type="pct"/>
            <w:tcMar>
              <w:top w:w="0" w:type="dxa"/>
              <w:left w:w="108" w:type="dxa"/>
              <w:bottom w:w="0" w:type="dxa"/>
              <w:right w:w="108" w:type="dxa"/>
            </w:tcMar>
          </w:tcPr>
          <w:p w14:paraId="2CBC0A72" w14:textId="2E753F53" w:rsidR="002056CD" w:rsidRPr="00C7731E" w:rsidRDefault="002056CD" w:rsidP="007114F6">
            <w:pPr>
              <w:keepNext/>
              <w:jc w:val="right"/>
            </w:pPr>
            <w:r w:rsidRPr="00C7731E">
              <w:t>$</w:t>
            </w:r>
            <w:r w:rsidR="00AE3E5D" w:rsidRPr="00AE3E5D">
              <w:rPr>
                <w:rFonts w:hint="eastAsia"/>
                <w:color w:val="000000"/>
                <w:w w:val="15"/>
                <w:shd w:val="solid" w:color="000000" w:fill="000000"/>
                <w:fitText w:val="28" w:id="-1437332212"/>
                <w14:textFill>
                  <w14:solidFill>
                    <w14:srgbClr w14:val="000000">
                      <w14:alpha w14:val="100000"/>
                    </w14:srgbClr>
                  </w14:solidFill>
                </w14:textFill>
              </w:rPr>
              <w:t xml:space="preserve">　</w:t>
            </w:r>
            <w:r w:rsidR="00AE3E5D" w:rsidRPr="00AE3E5D">
              <w:rPr>
                <w:color w:val="000000"/>
                <w:w w:val="15"/>
                <w:shd w:val="solid" w:color="000000" w:fill="000000"/>
                <w:fitText w:val="28" w:id="-1437332212"/>
                <w14:textFill>
                  <w14:solidFill>
                    <w14:srgbClr w14:val="000000">
                      <w14:alpha w14:val="100000"/>
                    </w14:srgbClr>
                  </w14:solidFill>
                </w14:textFill>
              </w:rPr>
              <w:t>|</w:t>
            </w:r>
            <w:r w:rsidR="00AE3E5D" w:rsidRPr="00AE3E5D">
              <w:rPr>
                <w:rFonts w:hint="eastAsia"/>
                <w:color w:val="000000"/>
                <w:spacing w:val="-37"/>
                <w:w w:val="15"/>
                <w:shd w:val="solid" w:color="000000" w:fill="000000"/>
                <w:fitText w:val="28" w:id="-1437332212"/>
                <w14:textFill>
                  <w14:solidFill>
                    <w14:srgbClr w14:val="000000">
                      <w14:alpha w14:val="100000"/>
                    </w14:srgbClr>
                  </w14:solidFill>
                </w14:textFill>
              </w:rPr>
              <w:t xml:space="preserve">　</w:t>
            </w:r>
          </w:p>
        </w:tc>
      </w:tr>
      <w:tr w:rsidR="00D85DD6" w:rsidRPr="00C227CD" w14:paraId="131D38C8" w14:textId="77777777" w:rsidTr="007640A0">
        <w:tc>
          <w:tcPr>
            <w:tcW w:w="2121" w:type="pct"/>
            <w:tcMar>
              <w:top w:w="0" w:type="dxa"/>
              <w:left w:w="108" w:type="dxa"/>
              <w:bottom w:w="0" w:type="dxa"/>
              <w:right w:w="108" w:type="dxa"/>
            </w:tcMar>
            <w:hideMark/>
          </w:tcPr>
          <w:p w14:paraId="15F69E79" w14:textId="7AE91F78" w:rsidR="00D85DD6" w:rsidRPr="00D85DD6" w:rsidRDefault="00D85DD6" w:rsidP="00D85DD6">
            <w:pPr>
              <w:keepNext/>
              <w:rPr>
                <w:i/>
                <w:iCs/>
              </w:rPr>
            </w:pPr>
            <w:r w:rsidRPr="00D85DD6">
              <w:rPr>
                <w:i/>
                <w:iCs/>
              </w:rPr>
              <w:t xml:space="preserve">Cost to the MBS (exc. copayments) </w:t>
            </w:r>
            <w:r w:rsidRPr="00D85DD6">
              <w:rPr>
                <w:i/>
                <w:iCs/>
                <w:vertAlign w:val="superscript"/>
              </w:rPr>
              <w:t>b</w:t>
            </w:r>
          </w:p>
        </w:tc>
        <w:tc>
          <w:tcPr>
            <w:tcW w:w="576" w:type="pct"/>
            <w:tcMar>
              <w:top w:w="0" w:type="dxa"/>
              <w:left w:w="108" w:type="dxa"/>
              <w:bottom w:w="0" w:type="dxa"/>
              <w:right w:w="108" w:type="dxa"/>
            </w:tcMar>
          </w:tcPr>
          <w:p w14:paraId="312A403B" w14:textId="7CE7A1C9" w:rsidR="00D85DD6" w:rsidRPr="00C7731E" w:rsidRDefault="00D85DD6" w:rsidP="007114F6">
            <w:pPr>
              <w:keepNext/>
              <w:jc w:val="right"/>
              <w:rPr>
                <w:i/>
                <w:iCs/>
              </w:rPr>
            </w:pPr>
            <w:r w:rsidRPr="00C7731E">
              <w:rPr>
                <w:i/>
                <w:iCs/>
              </w:rPr>
              <w:t>$3,643,240</w:t>
            </w:r>
          </w:p>
        </w:tc>
        <w:tc>
          <w:tcPr>
            <w:tcW w:w="576" w:type="pct"/>
            <w:tcMar>
              <w:top w:w="0" w:type="dxa"/>
              <w:left w:w="108" w:type="dxa"/>
              <w:bottom w:w="0" w:type="dxa"/>
              <w:right w:w="108" w:type="dxa"/>
            </w:tcMar>
          </w:tcPr>
          <w:p w14:paraId="3CEEDAB8" w14:textId="11D7D6AF" w:rsidR="00D85DD6" w:rsidRPr="00C7731E" w:rsidRDefault="00D85DD6" w:rsidP="007114F6">
            <w:pPr>
              <w:keepNext/>
              <w:jc w:val="right"/>
              <w:rPr>
                <w:i/>
                <w:iCs/>
              </w:rPr>
            </w:pPr>
            <w:r w:rsidRPr="00C7731E">
              <w:rPr>
                <w:i/>
                <w:iCs/>
              </w:rPr>
              <w:t>$4,392,795</w:t>
            </w:r>
          </w:p>
        </w:tc>
        <w:tc>
          <w:tcPr>
            <w:tcW w:w="576" w:type="pct"/>
            <w:tcMar>
              <w:top w:w="0" w:type="dxa"/>
              <w:left w:w="108" w:type="dxa"/>
              <w:bottom w:w="0" w:type="dxa"/>
              <w:right w:w="108" w:type="dxa"/>
            </w:tcMar>
          </w:tcPr>
          <w:p w14:paraId="3249A308" w14:textId="44C1C44D" w:rsidR="00D85DD6" w:rsidRPr="00C7731E" w:rsidRDefault="00D85DD6" w:rsidP="007114F6">
            <w:pPr>
              <w:keepNext/>
              <w:jc w:val="right"/>
              <w:rPr>
                <w:i/>
                <w:iCs/>
              </w:rPr>
            </w:pPr>
            <w:r w:rsidRPr="00C7731E">
              <w:rPr>
                <w:i/>
                <w:iCs/>
              </w:rPr>
              <w:t>$5,189,059</w:t>
            </w:r>
          </w:p>
        </w:tc>
        <w:tc>
          <w:tcPr>
            <w:tcW w:w="576" w:type="pct"/>
            <w:tcMar>
              <w:top w:w="0" w:type="dxa"/>
              <w:left w:w="108" w:type="dxa"/>
              <w:bottom w:w="0" w:type="dxa"/>
              <w:right w:w="108" w:type="dxa"/>
            </w:tcMar>
          </w:tcPr>
          <w:p w14:paraId="4E0029BF" w14:textId="5612896F" w:rsidR="00D85DD6" w:rsidRPr="00C7731E" w:rsidRDefault="00D85DD6" w:rsidP="007114F6">
            <w:pPr>
              <w:keepNext/>
              <w:jc w:val="right"/>
              <w:rPr>
                <w:i/>
                <w:iCs/>
              </w:rPr>
            </w:pPr>
            <w:r w:rsidRPr="00C7731E">
              <w:rPr>
                <w:i/>
                <w:iCs/>
              </w:rPr>
              <w:t>$5,363,658</w:t>
            </w:r>
          </w:p>
        </w:tc>
        <w:tc>
          <w:tcPr>
            <w:tcW w:w="576" w:type="pct"/>
            <w:tcMar>
              <w:top w:w="0" w:type="dxa"/>
              <w:left w:w="108" w:type="dxa"/>
              <w:bottom w:w="0" w:type="dxa"/>
              <w:right w:w="108" w:type="dxa"/>
            </w:tcMar>
          </w:tcPr>
          <w:p w14:paraId="774E54EE" w14:textId="517907B2" w:rsidR="00D85DD6" w:rsidRPr="00C7731E" w:rsidRDefault="00D85DD6" w:rsidP="007114F6">
            <w:pPr>
              <w:keepNext/>
              <w:jc w:val="right"/>
              <w:rPr>
                <w:i/>
                <w:iCs/>
              </w:rPr>
            </w:pPr>
            <w:r w:rsidRPr="00C7731E">
              <w:rPr>
                <w:i/>
                <w:iCs/>
              </w:rPr>
              <w:t>$5,542,706</w:t>
            </w:r>
          </w:p>
        </w:tc>
      </w:tr>
      <w:tr w:rsidR="002056CD" w:rsidRPr="00C227CD" w14:paraId="13FE8100" w14:textId="77777777" w:rsidTr="007640A0">
        <w:tc>
          <w:tcPr>
            <w:tcW w:w="5000" w:type="pct"/>
            <w:gridSpan w:val="6"/>
            <w:tcMar>
              <w:top w:w="0" w:type="dxa"/>
              <w:left w:w="108" w:type="dxa"/>
              <w:bottom w:w="0" w:type="dxa"/>
              <w:right w:w="108" w:type="dxa"/>
            </w:tcMar>
            <w:hideMark/>
          </w:tcPr>
          <w:p w14:paraId="4DE98E22" w14:textId="549EF957" w:rsidR="002056CD" w:rsidRPr="00C227CD" w:rsidRDefault="002056CD" w:rsidP="006B0BCC">
            <w:pPr>
              <w:keepNext/>
              <w:rPr>
                <w:b/>
                <w:bCs/>
              </w:rPr>
            </w:pPr>
            <w:r w:rsidRPr="00C227CD">
              <w:rPr>
                <w:b/>
                <w:bCs/>
              </w:rPr>
              <w:t>Change in use and cost of other health technologies</w:t>
            </w:r>
            <w:r w:rsidR="00C17A0F">
              <w:rPr>
                <w:b/>
                <w:bCs/>
              </w:rPr>
              <w:t xml:space="preserve"> *</w:t>
            </w:r>
          </w:p>
        </w:tc>
      </w:tr>
      <w:tr w:rsidR="002056CD" w:rsidRPr="00C227CD" w14:paraId="55779FCE" w14:textId="77777777" w:rsidTr="007640A0">
        <w:tc>
          <w:tcPr>
            <w:tcW w:w="2121" w:type="pct"/>
            <w:tcMar>
              <w:top w:w="0" w:type="dxa"/>
              <w:left w:w="108" w:type="dxa"/>
              <w:bottom w:w="0" w:type="dxa"/>
              <w:right w:w="108" w:type="dxa"/>
            </w:tcMar>
          </w:tcPr>
          <w:p w14:paraId="25A79DE4" w14:textId="4DBA33D3" w:rsidR="002056CD" w:rsidRPr="00C227CD" w:rsidRDefault="002056CD" w:rsidP="006B0BCC">
            <w:pPr>
              <w:keepNext/>
            </w:pPr>
            <w:r w:rsidRPr="00C227CD">
              <w:t xml:space="preserve">Number of people who receive chemotherapy - before </w:t>
            </w:r>
            <w:r w:rsidR="00D50E5C">
              <w:t>EndoPredict</w:t>
            </w:r>
            <w:r w:rsidR="005F1260" w:rsidRPr="005F1260">
              <w:rPr>
                <w:vertAlign w:val="superscript"/>
              </w:rPr>
              <w:t>®</w:t>
            </w:r>
            <w:r w:rsidRPr="00C227CD">
              <w:t xml:space="preserve"> (58.4%) </w:t>
            </w:r>
            <w:r w:rsidR="00D85DD6">
              <w:rPr>
                <w:vertAlign w:val="superscript"/>
              </w:rPr>
              <w:t>c</w:t>
            </w:r>
          </w:p>
        </w:tc>
        <w:tc>
          <w:tcPr>
            <w:tcW w:w="576" w:type="pct"/>
            <w:tcMar>
              <w:top w:w="0" w:type="dxa"/>
              <w:left w:w="108" w:type="dxa"/>
              <w:bottom w:w="0" w:type="dxa"/>
              <w:right w:w="108" w:type="dxa"/>
            </w:tcMar>
          </w:tcPr>
          <w:p w14:paraId="2A60F2D8" w14:textId="77777777" w:rsidR="002056CD" w:rsidRPr="00C227CD" w:rsidRDefault="002056CD" w:rsidP="006B0BCC">
            <w:pPr>
              <w:keepNext/>
              <w:jc w:val="right"/>
            </w:pPr>
            <w:r w:rsidRPr="00C227CD">
              <w:t>1,912</w:t>
            </w:r>
          </w:p>
        </w:tc>
        <w:tc>
          <w:tcPr>
            <w:tcW w:w="576" w:type="pct"/>
            <w:tcMar>
              <w:top w:w="0" w:type="dxa"/>
              <w:left w:w="108" w:type="dxa"/>
              <w:bottom w:w="0" w:type="dxa"/>
              <w:right w:w="108" w:type="dxa"/>
            </w:tcMar>
          </w:tcPr>
          <w:p w14:paraId="64511917" w14:textId="77777777" w:rsidR="002056CD" w:rsidRPr="00C227CD" w:rsidRDefault="002056CD" w:rsidP="006B0BCC">
            <w:pPr>
              <w:keepNext/>
              <w:jc w:val="right"/>
            </w:pPr>
            <w:r w:rsidRPr="00C227CD">
              <w:t>2,306</w:t>
            </w:r>
          </w:p>
        </w:tc>
        <w:tc>
          <w:tcPr>
            <w:tcW w:w="576" w:type="pct"/>
            <w:tcMar>
              <w:top w:w="0" w:type="dxa"/>
              <w:left w:w="108" w:type="dxa"/>
              <w:bottom w:w="0" w:type="dxa"/>
              <w:right w:w="108" w:type="dxa"/>
            </w:tcMar>
          </w:tcPr>
          <w:p w14:paraId="163C7248" w14:textId="77777777" w:rsidR="002056CD" w:rsidRPr="00C227CD" w:rsidRDefault="002056CD" w:rsidP="006B0BCC">
            <w:pPr>
              <w:keepNext/>
              <w:jc w:val="right"/>
            </w:pPr>
            <w:r w:rsidRPr="00C227CD">
              <w:t>2,724</w:t>
            </w:r>
          </w:p>
        </w:tc>
        <w:tc>
          <w:tcPr>
            <w:tcW w:w="576" w:type="pct"/>
            <w:tcMar>
              <w:top w:w="0" w:type="dxa"/>
              <w:left w:w="108" w:type="dxa"/>
              <w:bottom w:w="0" w:type="dxa"/>
              <w:right w:w="108" w:type="dxa"/>
            </w:tcMar>
          </w:tcPr>
          <w:p w14:paraId="27F8EF5A" w14:textId="77777777" w:rsidR="002056CD" w:rsidRPr="00C227CD" w:rsidRDefault="002056CD" w:rsidP="006B0BCC">
            <w:pPr>
              <w:keepNext/>
              <w:jc w:val="right"/>
            </w:pPr>
            <w:r w:rsidRPr="00C227CD">
              <w:t>2,815</w:t>
            </w:r>
          </w:p>
        </w:tc>
        <w:tc>
          <w:tcPr>
            <w:tcW w:w="576" w:type="pct"/>
            <w:tcMar>
              <w:top w:w="0" w:type="dxa"/>
              <w:left w:w="108" w:type="dxa"/>
              <w:bottom w:w="0" w:type="dxa"/>
              <w:right w:w="108" w:type="dxa"/>
            </w:tcMar>
          </w:tcPr>
          <w:p w14:paraId="14031635" w14:textId="77777777" w:rsidR="002056CD" w:rsidRPr="00C227CD" w:rsidRDefault="002056CD" w:rsidP="006B0BCC">
            <w:pPr>
              <w:keepNext/>
              <w:jc w:val="right"/>
            </w:pPr>
            <w:r w:rsidRPr="00C227CD">
              <w:t>2,909</w:t>
            </w:r>
          </w:p>
        </w:tc>
      </w:tr>
      <w:tr w:rsidR="002056CD" w:rsidRPr="00C227CD" w14:paraId="2914E3BF" w14:textId="77777777" w:rsidTr="007640A0">
        <w:tc>
          <w:tcPr>
            <w:tcW w:w="2121" w:type="pct"/>
            <w:tcMar>
              <w:top w:w="0" w:type="dxa"/>
              <w:left w:w="108" w:type="dxa"/>
              <w:bottom w:w="0" w:type="dxa"/>
              <w:right w:w="108" w:type="dxa"/>
            </w:tcMar>
          </w:tcPr>
          <w:p w14:paraId="693A96A6" w14:textId="1E5B08AF" w:rsidR="002056CD" w:rsidRPr="00C227CD" w:rsidRDefault="002056CD" w:rsidP="006B0BCC">
            <w:pPr>
              <w:keepNext/>
            </w:pPr>
            <w:r w:rsidRPr="00C227CD">
              <w:t xml:space="preserve">Number of people who receive chemotherapy - after </w:t>
            </w:r>
            <w:r w:rsidR="00D50E5C">
              <w:t>EndoPredict</w:t>
            </w:r>
            <w:r w:rsidR="005F1260" w:rsidRPr="005F1260">
              <w:rPr>
                <w:vertAlign w:val="superscript"/>
              </w:rPr>
              <w:t>®</w:t>
            </w:r>
            <w:r w:rsidRPr="00C227CD">
              <w:t xml:space="preserve"> (54.9%) </w:t>
            </w:r>
            <w:r w:rsidR="00D85DD6">
              <w:rPr>
                <w:vertAlign w:val="superscript"/>
              </w:rPr>
              <w:t>c</w:t>
            </w:r>
          </w:p>
        </w:tc>
        <w:tc>
          <w:tcPr>
            <w:tcW w:w="576" w:type="pct"/>
            <w:tcMar>
              <w:top w:w="0" w:type="dxa"/>
              <w:left w:w="108" w:type="dxa"/>
              <w:bottom w:w="0" w:type="dxa"/>
              <w:right w:w="108" w:type="dxa"/>
            </w:tcMar>
          </w:tcPr>
          <w:p w14:paraId="07B23EF7" w14:textId="77777777" w:rsidR="002056CD" w:rsidRPr="00C227CD" w:rsidRDefault="002056CD" w:rsidP="006B0BCC">
            <w:pPr>
              <w:keepNext/>
              <w:jc w:val="right"/>
            </w:pPr>
            <w:r w:rsidRPr="00C227CD">
              <w:t>1,800</w:t>
            </w:r>
          </w:p>
        </w:tc>
        <w:tc>
          <w:tcPr>
            <w:tcW w:w="576" w:type="pct"/>
            <w:tcMar>
              <w:top w:w="0" w:type="dxa"/>
              <w:left w:w="108" w:type="dxa"/>
              <w:bottom w:w="0" w:type="dxa"/>
              <w:right w:w="108" w:type="dxa"/>
            </w:tcMar>
          </w:tcPr>
          <w:p w14:paraId="5C264958" w14:textId="77777777" w:rsidR="002056CD" w:rsidRPr="00C227CD" w:rsidRDefault="002056CD" w:rsidP="006B0BCC">
            <w:pPr>
              <w:keepNext/>
              <w:jc w:val="right"/>
            </w:pPr>
            <w:r w:rsidRPr="00C227CD">
              <w:t>2,170</w:t>
            </w:r>
          </w:p>
        </w:tc>
        <w:tc>
          <w:tcPr>
            <w:tcW w:w="576" w:type="pct"/>
            <w:tcMar>
              <w:top w:w="0" w:type="dxa"/>
              <w:left w:w="108" w:type="dxa"/>
              <w:bottom w:w="0" w:type="dxa"/>
              <w:right w:w="108" w:type="dxa"/>
            </w:tcMar>
          </w:tcPr>
          <w:p w14:paraId="43D896FA" w14:textId="77777777" w:rsidR="002056CD" w:rsidRPr="00C227CD" w:rsidRDefault="002056CD" w:rsidP="006B0BCC">
            <w:pPr>
              <w:keepNext/>
              <w:jc w:val="right"/>
            </w:pPr>
            <w:r w:rsidRPr="00C227CD">
              <w:t>2,563</w:t>
            </w:r>
          </w:p>
        </w:tc>
        <w:tc>
          <w:tcPr>
            <w:tcW w:w="576" w:type="pct"/>
            <w:tcMar>
              <w:top w:w="0" w:type="dxa"/>
              <w:left w:w="108" w:type="dxa"/>
              <w:bottom w:w="0" w:type="dxa"/>
              <w:right w:w="108" w:type="dxa"/>
            </w:tcMar>
          </w:tcPr>
          <w:p w14:paraId="6724BEC6" w14:textId="77777777" w:rsidR="002056CD" w:rsidRPr="00C227CD" w:rsidRDefault="002056CD" w:rsidP="006B0BCC">
            <w:pPr>
              <w:keepNext/>
              <w:jc w:val="right"/>
            </w:pPr>
            <w:r w:rsidRPr="00C227CD">
              <w:t>2,649</w:t>
            </w:r>
          </w:p>
        </w:tc>
        <w:tc>
          <w:tcPr>
            <w:tcW w:w="576" w:type="pct"/>
            <w:tcMar>
              <w:top w:w="0" w:type="dxa"/>
              <w:left w:w="108" w:type="dxa"/>
              <w:bottom w:w="0" w:type="dxa"/>
              <w:right w:w="108" w:type="dxa"/>
            </w:tcMar>
          </w:tcPr>
          <w:p w14:paraId="07B7967D" w14:textId="77777777" w:rsidR="002056CD" w:rsidRPr="00C227CD" w:rsidRDefault="002056CD" w:rsidP="006B0BCC">
            <w:pPr>
              <w:keepNext/>
              <w:jc w:val="right"/>
            </w:pPr>
            <w:r w:rsidRPr="00C227CD">
              <w:t>2,738</w:t>
            </w:r>
          </w:p>
        </w:tc>
      </w:tr>
      <w:tr w:rsidR="002056CD" w:rsidRPr="00C227CD" w14:paraId="34C94069" w14:textId="77777777" w:rsidTr="007640A0">
        <w:tc>
          <w:tcPr>
            <w:tcW w:w="2121" w:type="pct"/>
            <w:tcMar>
              <w:top w:w="0" w:type="dxa"/>
              <w:left w:w="108" w:type="dxa"/>
              <w:bottom w:w="0" w:type="dxa"/>
              <w:right w:w="108" w:type="dxa"/>
            </w:tcMar>
          </w:tcPr>
          <w:p w14:paraId="2171E1EB" w14:textId="77777777" w:rsidR="002056CD" w:rsidRPr="00C227CD" w:rsidRDefault="002056CD" w:rsidP="006B0BCC">
            <w:pPr>
              <w:keepNext/>
            </w:pPr>
            <w:r w:rsidRPr="00C227CD">
              <w:t>Net change in people that use chemotherapy</w:t>
            </w:r>
          </w:p>
        </w:tc>
        <w:tc>
          <w:tcPr>
            <w:tcW w:w="576" w:type="pct"/>
            <w:tcMar>
              <w:top w:w="0" w:type="dxa"/>
              <w:left w:w="108" w:type="dxa"/>
              <w:bottom w:w="0" w:type="dxa"/>
              <w:right w:w="108" w:type="dxa"/>
            </w:tcMar>
          </w:tcPr>
          <w:p w14:paraId="28F4AB72" w14:textId="77777777" w:rsidR="002056CD" w:rsidRPr="00C227CD" w:rsidRDefault="002056CD" w:rsidP="006B0BCC">
            <w:pPr>
              <w:keepNext/>
              <w:jc w:val="right"/>
            </w:pPr>
            <w:r w:rsidRPr="00C227CD">
              <w:t>−112</w:t>
            </w:r>
          </w:p>
        </w:tc>
        <w:tc>
          <w:tcPr>
            <w:tcW w:w="576" w:type="pct"/>
            <w:tcMar>
              <w:top w:w="0" w:type="dxa"/>
              <w:left w:w="108" w:type="dxa"/>
              <w:bottom w:w="0" w:type="dxa"/>
              <w:right w:w="108" w:type="dxa"/>
            </w:tcMar>
          </w:tcPr>
          <w:p w14:paraId="4D61FB4C" w14:textId="77777777" w:rsidR="002056CD" w:rsidRPr="00C227CD" w:rsidRDefault="002056CD" w:rsidP="006B0BCC">
            <w:pPr>
              <w:keepNext/>
              <w:jc w:val="right"/>
            </w:pPr>
            <w:r w:rsidRPr="00C227CD">
              <w:t>−136</w:t>
            </w:r>
          </w:p>
        </w:tc>
        <w:tc>
          <w:tcPr>
            <w:tcW w:w="576" w:type="pct"/>
            <w:tcMar>
              <w:top w:w="0" w:type="dxa"/>
              <w:left w:w="108" w:type="dxa"/>
              <w:bottom w:w="0" w:type="dxa"/>
              <w:right w:w="108" w:type="dxa"/>
            </w:tcMar>
          </w:tcPr>
          <w:p w14:paraId="42F26601" w14:textId="77777777" w:rsidR="002056CD" w:rsidRPr="00C227CD" w:rsidRDefault="002056CD" w:rsidP="006B0BCC">
            <w:pPr>
              <w:keepNext/>
              <w:jc w:val="right"/>
            </w:pPr>
            <w:r w:rsidRPr="00C227CD">
              <w:t>−160</w:t>
            </w:r>
          </w:p>
        </w:tc>
        <w:tc>
          <w:tcPr>
            <w:tcW w:w="576" w:type="pct"/>
            <w:tcMar>
              <w:top w:w="0" w:type="dxa"/>
              <w:left w:w="108" w:type="dxa"/>
              <w:bottom w:w="0" w:type="dxa"/>
              <w:right w:w="108" w:type="dxa"/>
            </w:tcMar>
          </w:tcPr>
          <w:p w14:paraId="68401492" w14:textId="77777777" w:rsidR="002056CD" w:rsidRPr="00C227CD" w:rsidRDefault="002056CD" w:rsidP="006B0BCC">
            <w:pPr>
              <w:keepNext/>
              <w:jc w:val="right"/>
            </w:pPr>
            <w:r w:rsidRPr="00C227CD">
              <w:t>−166</w:t>
            </w:r>
          </w:p>
        </w:tc>
        <w:tc>
          <w:tcPr>
            <w:tcW w:w="576" w:type="pct"/>
            <w:tcMar>
              <w:top w:w="0" w:type="dxa"/>
              <w:left w:w="108" w:type="dxa"/>
              <w:bottom w:w="0" w:type="dxa"/>
              <w:right w:w="108" w:type="dxa"/>
            </w:tcMar>
          </w:tcPr>
          <w:p w14:paraId="7D620791" w14:textId="77777777" w:rsidR="002056CD" w:rsidRPr="00C227CD" w:rsidRDefault="002056CD" w:rsidP="006B0BCC">
            <w:pPr>
              <w:keepNext/>
              <w:jc w:val="right"/>
            </w:pPr>
            <w:r w:rsidRPr="00C227CD">
              <w:t>−171</w:t>
            </w:r>
          </w:p>
        </w:tc>
      </w:tr>
      <w:tr w:rsidR="002056CD" w:rsidRPr="00C227CD" w14:paraId="5680D8FD" w14:textId="77777777" w:rsidTr="007640A0">
        <w:tc>
          <w:tcPr>
            <w:tcW w:w="2121" w:type="pct"/>
            <w:tcMar>
              <w:top w:w="0" w:type="dxa"/>
              <w:left w:w="108" w:type="dxa"/>
              <w:bottom w:w="0" w:type="dxa"/>
              <w:right w:w="108" w:type="dxa"/>
            </w:tcMar>
          </w:tcPr>
          <w:p w14:paraId="27B8C401" w14:textId="77777777" w:rsidR="002056CD" w:rsidRPr="00C227CD" w:rsidRDefault="002056CD" w:rsidP="006B0BCC">
            <w:pPr>
              <w:keepNext/>
            </w:pPr>
            <w:r w:rsidRPr="00C227CD">
              <w:t xml:space="preserve">Change in initial specialist consultations </w:t>
            </w:r>
            <w:r w:rsidRPr="00C227CD">
              <w:br/>
              <w:t>(MBS item 104, $90.35), 1 per patient</w:t>
            </w:r>
          </w:p>
        </w:tc>
        <w:tc>
          <w:tcPr>
            <w:tcW w:w="576" w:type="pct"/>
            <w:tcMar>
              <w:top w:w="0" w:type="dxa"/>
              <w:left w:w="108" w:type="dxa"/>
              <w:bottom w:w="0" w:type="dxa"/>
              <w:right w:w="108" w:type="dxa"/>
            </w:tcMar>
          </w:tcPr>
          <w:p w14:paraId="76441541" w14:textId="77777777" w:rsidR="002056CD" w:rsidRPr="00C227CD" w:rsidRDefault="002056CD" w:rsidP="006B0BCC">
            <w:pPr>
              <w:keepNext/>
              <w:jc w:val="right"/>
            </w:pPr>
            <w:r w:rsidRPr="00C227CD">
              <w:t>−112</w:t>
            </w:r>
          </w:p>
        </w:tc>
        <w:tc>
          <w:tcPr>
            <w:tcW w:w="576" w:type="pct"/>
            <w:tcMar>
              <w:top w:w="0" w:type="dxa"/>
              <w:left w:w="108" w:type="dxa"/>
              <w:bottom w:w="0" w:type="dxa"/>
              <w:right w:w="108" w:type="dxa"/>
            </w:tcMar>
          </w:tcPr>
          <w:p w14:paraId="2CF055FA" w14:textId="77777777" w:rsidR="002056CD" w:rsidRPr="00C227CD" w:rsidRDefault="002056CD" w:rsidP="006B0BCC">
            <w:pPr>
              <w:keepNext/>
              <w:jc w:val="right"/>
            </w:pPr>
            <w:r w:rsidRPr="00C227CD">
              <w:t>−136</w:t>
            </w:r>
          </w:p>
        </w:tc>
        <w:tc>
          <w:tcPr>
            <w:tcW w:w="576" w:type="pct"/>
            <w:tcMar>
              <w:top w:w="0" w:type="dxa"/>
              <w:left w:w="108" w:type="dxa"/>
              <w:bottom w:w="0" w:type="dxa"/>
              <w:right w:w="108" w:type="dxa"/>
            </w:tcMar>
          </w:tcPr>
          <w:p w14:paraId="1B1F18F0" w14:textId="77777777" w:rsidR="002056CD" w:rsidRPr="00C227CD" w:rsidRDefault="002056CD" w:rsidP="006B0BCC">
            <w:pPr>
              <w:keepNext/>
              <w:jc w:val="right"/>
            </w:pPr>
            <w:r w:rsidRPr="00C227CD">
              <w:t>−160</w:t>
            </w:r>
          </w:p>
        </w:tc>
        <w:tc>
          <w:tcPr>
            <w:tcW w:w="576" w:type="pct"/>
            <w:tcMar>
              <w:top w:w="0" w:type="dxa"/>
              <w:left w:w="108" w:type="dxa"/>
              <w:bottom w:w="0" w:type="dxa"/>
              <w:right w:w="108" w:type="dxa"/>
            </w:tcMar>
          </w:tcPr>
          <w:p w14:paraId="130C5CBF" w14:textId="77777777" w:rsidR="002056CD" w:rsidRPr="00C227CD" w:rsidRDefault="002056CD" w:rsidP="006B0BCC">
            <w:pPr>
              <w:keepNext/>
              <w:jc w:val="right"/>
            </w:pPr>
            <w:r w:rsidRPr="00C227CD">
              <w:t>−166</w:t>
            </w:r>
          </w:p>
        </w:tc>
        <w:tc>
          <w:tcPr>
            <w:tcW w:w="576" w:type="pct"/>
            <w:tcMar>
              <w:top w:w="0" w:type="dxa"/>
              <w:left w:w="108" w:type="dxa"/>
              <w:bottom w:w="0" w:type="dxa"/>
              <w:right w:w="108" w:type="dxa"/>
            </w:tcMar>
          </w:tcPr>
          <w:p w14:paraId="5C4ECFA5" w14:textId="77777777" w:rsidR="002056CD" w:rsidRPr="00C227CD" w:rsidRDefault="002056CD" w:rsidP="006B0BCC">
            <w:pPr>
              <w:keepNext/>
              <w:jc w:val="right"/>
            </w:pPr>
            <w:r w:rsidRPr="00C227CD">
              <w:t>−171</w:t>
            </w:r>
          </w:p>
        </w:tc>
      </w:tr>
      <w:tr w:rsidR="002056CD" w:rsidRPr="00C227CD" w14:paraId="38462BE9" w14:textId="77777777" w:rsidTr="007640A0">
        <w:tc>
          <w:tcPr>
            <w:tcW w:w="2121" w:type="pct"/>
            <w:tcMar>
              <w:top w:w="0" w:type="dxa"/>
              <w:left w:w="108" w:type="dxa"/>
              <w:bottom w:w="0" w:type="dxa"/>
              <w:right w:w="108" w:type="dxa"/>
            </w:tcMar>
          </w:tcPr>
          <w:p w14:paraId="281138E7" w14:textId="77777777" w:rsidR="002056CD" w:rsidRPr="00C227CD" w:rsidRDefault="002056CD" w:rsidP="006B0BCC">
            <w:pPr>
              <w:keepNext/>
            </w:pPr>
            <w:r w:rsidRPr="00C227CD">
              <w:t>Change in subsequent specialist consultations (MBS item 105, $45.40), 1 per patient</w:t>
            </w:r>
          </w:p>
        </w:tc>
        <w:tc>
          <w:tcPr>
            <w:tcW w:w="576" w:type="pct"/>
            <w:tcMar>
              <w:top w:w="0" w:type="dxa"/>
              <w:left w:w="108" w:type="dxa"/>
              <w:bottom w:w="0" w:type="dxa"/>
              <w:right w:w="108" w:type="dxa"/>
            </w:tcMar>
          </w:tcPr>
          <w:p w14:paraId="37C0CB56" w14:textId="77777777" w:rsidR="002056CD" w:rsidRPr="00C227CD" w:rsidRDefault="002056CD" w:rsidP="006B0BCC">
            <w:pPr>
              <w:keepNext/>
              <w:jc w:val="right"/>
            </w:pPr>
            <w:r w:rsidRPr="00C227CD">
              <w:t>−112</w:t>
            </w:r>
          </w:p>
        </w:tc>
        <w:tc>
          <w:tcPr>
            <w:tcW w:w="576" w:type="pct"/>
            <w:tcMar>
              <w:top w:w="0" w:type="dxa"/>
              <w:left w:w="108" w:type="dxa"/>
              <w:bottom w:w="0" w:type="dxa"/>
              <w:right w:w="108" w:type="dxa"/>
            </w:tcMar>
          </w:tcPr>
          <w:p w14:paraId="7A457EC7" w14:textId="77777777" w:rsidR="002056CD" w:rsidRPr="00C227CD" w:rsidRDefault="002056CD" w:rsidP="006B0BCC">
            <w:pPr>
              <w:keepNext/>
              <w:jc w:val="right"/>
            </w:pPr>
            <w:r w:rsidRPr="00C227CD">
              <w:t>−136</w:t>
            </w:r>
          </w:p>
        </w:tc>
        <w:tc>
          <w:tcPr>
            <w:tcW w:w="576" w:type="pct"/>
            <w:tcMar>
              <w:top w:w="0" w:type="dxa"/>
              <w:left w:w="108" w:type="dxa"/>
              <w:bottom w:w="0" w:type="dxa"/>
              <w:right w:w="108" w:type="dxa"/>
            </w:tcMar>
          </w:tcPr>
          <w:p w14:paraId="571D7EA5" w14:textId="77777777" w:rsidR="002056CD" w:rsidRPr="00C227CD" w:rsidRDefault="002056CD" w:rsidP="006B0BCC">
            <w:pPr>
              <w:keepNext/>
              <w:jc w:val="right"/>
            </w:pPr>
            <w:r w:rsidRPr="00C227CD">
              <w:t>−160</w:t>
            </w:r>
          </w:p>
        </w:tc>
        <w:tc>
          <w:tcPr>
            <w:tcW w:w="576" w:type="pct"/>
            <w:tcMar>
              <w:top w:w="0" w:type="dxa"/>
              <w:left w:w="108" w:type="dxa"/>
              <w:bottom w:w="0" w:type="dxa"/>
              <w:right w:w="108" w:type="dxa"/>
            </w:tcMar>
          </w:tcPr>
          <w:p w14:paraId="21905E94" w14:textId="77777777" w:rsidR="002056CD" w:rsidRPr="00C227CD" w:rsidRDefault="002056CD" w:rsidP="006B0BCC">
            <w:pPr>
              <w:keepNext/>
              <w:jc w:val="right"/>
            </w:pPr>
            <w:r w:rsidRPr="00C227CD">
              <w:t>−166</w:t>
            </w:r>
          </w:p>
        </w:tc>
        <w:tc>
          <w:tcPr>
            <w:tcW w:w="576" w:type="pct"/>
            <w:tcMar>
              <w:top w:w="0" w:type="dxa"/>
              <w:left w:w="108" w:type="dxa"/>
              <w:bottom w:w="0" w:type="dxa"/>
              <w:right w:w="108" w:type="dxa"/>
            </w:tcMar>
          </w:tcPr>
          <w:p w14:paraId="3A89170D" w14:textId="77777777" w:rsidR="002056CD" w:rsidRPr="00C227CD" w:rsidRDefault="002056CD" w:rsidP="006B0BCC">
            <w:pPr>
              <w:keepNext/>
              <w:jc w:val="right"/>
            </w:pPr>
            <w:r w:rsidRPr="00C227CD">
              <w:t>−171</w:t>
            </w:r>
          </w:p>
        </w:tc>
      </w:tr>
      <w:tr w:rsidR="002056CD" w:rsidRPr="00C227CD" w14:paraId="7E14E120" w14:textId="77777777" w:rsidTr="007640A0">
        <w:tc>
          <w:tcPr>
            <w:tcW w:w="2121" w:type="pct"/>
            <w:tcMar>
              <w:top w:w="0" w:type="dxa"/>
              <w:left w:w="108" w:type="dxa"/>
              <w:bottom w:w="0" w:type="dxa"/>
              <w:right w:w="108" w:type="dxa"/>
            </w:tcMar>
          </w:tcPr>
          <w:p w14:paraId="770F497B" w14:textId="2568DA4C" w:rsidR="002056CD" w:rsidRPr="00C227CD" w:rsidRDefault="002056CD" w:rsidP="006B0BCC">
            <w:pPr>
              <w:keepNext/>
            </w:pPr>
            <w:r w:rsidRPr="00C227CD">
              <w:t xml:space="preserve">Change in chemotherapy administration </w:t>
            </w:r>
            <w:r w:rsidRPr="00C227CD">
              <w:br/>
              <w:t xml:space="preserve">(MBS item 13950, $112.40), 8.7 per patient </w:t>
            </w:r>
            <w:r w:rsidR="00D85DD6">
              <w:rPr>
                <w:vertAlign w:val="superscript"/>
              </w:rPr>
              <w:t>d</w:t>
            </w:r>
          </w:p>
        </w:tc>
        <w:tc>
          <w:tcPr>
            <w:tcW w:w="576" w:type="pct"/>
            <w:tcMar>
              <w:top w:w="0" w:type="dxa"/>
              <w:left w:w="108" w:type="dxa"/>
              <w:bottom w:w="0" w:type="dxa"/>
              <w:right w:w="108" w:type="dxa"/>
            </w:tcMar>
          </w:tcPr>
          <w:p w14:paraId="2082EA99" w14:textId="77777777" w:rsidR="002056CD" w:rsidRPr="00C227CD" w:rsidRDefault="002056CD" w:rsidP="006B0BCC">
            <w:pPr>
              <w:keepNext/>
              <w:jc w:val="right"/>
            </w:pPr>
            <w:r w:rsidRPr="00C227CD">
              <w:t>−976</w:t>
            </w:r>
          </w:p>
        </w:tc>
        <w:tc>
          <w:tcPr>
            <w:tcW w:w="576" w:type="pct"/>
            <w:tcMar>
              <w:top w:w="0" w:type="dxa"/>
              <w:left w:w="108" w:type="dxa"/>
              <w:bottom w:w="0" w:type="dxa"/>
              <w:right w:w="108" w:type="dxa"/>
            </w:tcMar>
          </w:tcPr>
          <w:p w14:paraId="596EAD3F" w14:textId="77777777" w:rsidR="002056CD" w:rsidRPr="00C227CD" w:rsidRDefault="002056CD" w:rsidP="006B0BCC">
            <w:pPr>
              <w:keepNext/>
              <w:jc w:val="right"/>
            </w:pPr>
            <w:r w:rsidRPr="00C227CD">
              <w:t>−1,177</w:t>
            </w:r>
          </w:p>
        </w:tc>
        <w:tc>
          <w:tcPr>
            <w:tcW w:w="576" w:type="pct"/>
            <w:tcMar>
              <w:top w:w="0" w:type="dxa"/>
              <w:left w:w="108" w:type="dxa"/>
              <w:bottom w:w="0" w:type="dxa"/>
              <w:right w:w="108" w:type="dxa"/>
            </w:tcMar>
          </w:tcPr>
          <w:p w14:paraId="05F93689" w14:textId="77777777" w:rsidR="002056CD" w:rsidRPr="00C227CD" w:rsidRDefault="002056CD" w:rsidP="006B0BCC">
            <w:pPr>
              <w:keepNext/>
              <w:jc w:val="right"/>
            </w:pPr>
            <w:r w:rsidRPr="00C227CD">
              <w:t>−1,391</w:t>
            </w:r>
          </w:p>
        </w:tc>
        <w:tc>
          <w:tcPr>
            <w:tcW w:w="576" w:type="pct"/>
            <w:tcMar>
              <w:top w:w="0" w:type="dxa"/>
              <w:left w:w="108" w:type="dxa"/>
              <w:bottom w:w="0" w:type="dxa"/>
              <w:right w:w="108" w:type="dxa"/>
            </w:tcMar>
          </w:tcPr>
          <w:p w14:paraId="44ADE7C8" w14:textId="77777777" w:rsidR="002056CD" w:rsidRPr="00C227CD" w:rsidRDefault="002056CD" w:rsidP="006B0BCC">
            <w:pPr>
              <w:keepNext/>
              <w:jc w:val="right"/>
            </w:pPr>
            <w:r w:rsidRPr="00C227CD">
              <w:t>−1,437</w:t>
            </w:r>
          </w:p>
        </w:tc>
        <w:tc>
          <w:tcPr>
            <w:tcW w:w="576" w:type="pct"/>
            <w:tcMar>
              <w:top w:w="0" w:type="dxa"/>
              <w:left w:w="108" w:type="dxa"/>
              <w:bottom w:w="0" w:type="dxa"/>
              <w:right w:w="108" w:type="dxa"/>
            </w:tcMar>
          </w:tcPr>
          <w:p w14:paraId="5EA1BE78" w14:textId="77777777" w:rsidR="002056CD" w:rsidRPr="00C227CD" w:rsidRDefault="002056CD" w:rsidP="006B0BCC">
            <w:pPr>
              <w:keepNext/>
              <w:jc w:val="right"/>
            </w:pPr>
            <w:r w:rsidRPr="00C227CD">
              <w:t>−1,485</w:t>
            </w:r>
          </w:p>
        </w:tc>
      </w:tr>
      <w:tr w:rsidR="002056CD" w:rsidRPr="00C227CD" w14:paraId="6DD578BA" w14:textId="77777777" w:rsidTr="007640A0">
        <w:tc>
          <w:tcPr>
            <w:tcW w:w="2121" w:type="pct"/>
            <w:tcMar>
              <w:top w:w="0" w:type="dxa"/>
              <w:left w:w="108" w:type="dxa"/>
              <w:bottom w:w="0" w:type="dxa"/>
              <w:right w:w="108" w:type="dxa"/>
            </w:tcMar>
            <w:hideMark/>
          </w:tcPr>
          <w:p w14:paraId="020D792C" w14:textId="77777777" w:rsidR="002056CD" w:rsidRPr="00C227CD" w:rsidRDefault="002056CD" w:rsidP="006B0BCC">
            <w:pPr>
              <w:keepNext/>
            </w:pPr>
            <w:r w:rsidRPr="00C227CD">
              <w:t xml:space="preserve">Net change in costs to the MBS </w:t>
            </w:r>
            <w:r w:rsidRPr="00C227CD">
              <w:br/>
              <w:t xml:space="preserve">(exc. copayments) </w:t>
            </w:r>
            <w:r w:rsidRPr="00C227CD">
              <w:rPr>
                <w:vertAlign w:val="superscript"/>
              </w:rPr>
              <w:t>a</w:t>
            </w:r>
          </w:p>
        </w:tc>
        <w:tc>
          <w:tcPr>
            <w:tcW w:w="576" w:type="pct"/>
            <w:tcMar>
              <w:top w:w="0" w:type="dxa"/>
              <w:left w:w="108" w:type="dxa"/>
              <w:bottom w:w="0" w:type="dxa"/>
              <w:right w:w="108" w:type="dxa"/>
            </w:tcMar>
          </w:tcPr>
          <w:p w14:paraId="59EE39DD" w14:textId="5F20BCCA" w:rsidR="002056CD" w:rsidRPr="00C00F9B" w:rsidRDefault="002056CD" w:rsidP="006B0BCC">
            <w:pPr>
              <w:keepNext/>
              <w:jc w:val="right"/>
            </w:pPr>
            <w:r w:rsidRPr="00C00F9B">
              <w:t>$</w:t>
            </w:r>
            <w:r w:rsidR="00AE3E5D" w:rsidRPr="00AE3E5D">
              <w:rPr>
                <w:rFonts w:hint="eastAsia"/>
                <w:color w:val="000000"/>
                <w:w w:val="28"/>
                <w:shd w:val="solid" w:color="000000" w:fill="000000"/>
                <w:fitText w:val="124" w:id="-1437332211"/>
                <w14:textFill>
                  <w14:solidFill>
                    <w14:srgbClr w14:val="000000">
                      <w14:alpha w14:val="100000"/>
                    </w14:srgbClr>
                  </w14:solidFill>
                </w14:textFill>
              </w:rPr>
              <w:t xml:space="preserve">　</w:t>
            </w:r>
            <w:r w:rsidR="00AE3E5D" w:rsidRPr="00AE3E5D">
              <w:rPr>
                <w:color w:val="000000"/>
                <w:w w:val="28"/>
                <w:shd w:val="solid" w:color="000000" w:fill="000000"/>
                <w:fitText w:val="124" w:id="-1437332211"/>
                <w14:textFill>
                  <w14:solidFill>
                    <w14:srgbClr w14:val="000000">
                      <w14:alpha w14:val="100000"/>
                    </w14:srgbClr>
                  </w14:solidFill>
                </w14:textFill>
              </w:rPr>
              <w:t>|</w:t>
            </w:r>
            <w:r w:rsidR="00AE3E5D" w:rsidRPr="00AE3E5D">
              <w:rPr>
                <w:rFonts w:hint="eastAsia"/>
                <w:color w:val="000000"/>
                <w:spacing w:val="2"/>
                <w:w w:val="28"/>
                <w:shd w:val="solid" w:color="000000" w:fill="000000"/>
                <w:fitText w:val="124" w:id="-1437332211"/>
                <w14:textFill>
                  <w14:solidFill>
                    <w14:srgbClr w14:val="000000">
                      <w14:alpha w14:val="100000"/>
                    </w14:srgbClr>
                  </w14:solidFill>
                </w14:textFill>
              </w:rPr>
              <w:t xml:space="preserve">　</w:t>
            </w:r>
          </w:p>
        </w:tc>
        <w:tc>
          <w:tcPr>
            <w:tcW w:w="576" w:type="pct"/>
            <w:tcMar>
              <w:top w:w="0" w:type="dxa"/>
              <w:left w:w="108" w:type="dxa"/>
              <w:bottom w:w="0" w:type="dxa"/>
              <w:right w:w="108" w:type="dxa"/>
            </w:tcMar>
          </w:tcPr>
          <w:p w14:paraId="232ECBED" w14:textId="05F776FD" w:rsidR="002056CD" w:rsidRPr="00C00F9B" w:rsidRDefault="002056CD" w:rsidP="006B0BCC">
            <w:pPr>
              <w:keepNext/>
              <w:jc w:val="right"/>
            </w:pPr>
            <w:r w:rsidRPr="00C00F9B">
              <w:t>$</w:t>
            </w:r>
            <w:r w:rsidR="00AE3E5D" w:rsidRPr="00AE3E5D">
              <w:rPr>
                <w:rFonts w:hint="eastAsia"/>
                <w:color w:val="000000"/>
                <w:w w:val="28"/>
                <w:shd w:val="solid" w:color="000000" w:fill="000000"/>
                <w:fitText w:val="125" w:id="-1437332210"/>
                <w14:textFill>
                  <w14:solidFill>
                    <w14:srgbClr w14:val="000000">
                      <w14:alpha w14:val="100000"/>
                    </w14:srgbClr>
                  </w14:solidFill>
                </w14:textFill>
              </w:rPr>
              <w:t xml:space="preserve">　</w:t>
            </w:r>
            <w:r w:rsidR="00AE3E5D" w:rsidRPr="00AE3E5D">
              <w:rPr>
                <w:color w:val="000000"/>
                <w:w w:val="28"/>
                <w:shd w:val="solid" w:color="000000" w:fill="000000"/>
                <w:fitText w:val="125" w:id="-1437332210"/>
                <w14:textFill>
                  <w14:solidFill>
                    <w14:srgbClr w14:val="000000">
                      <w14:alpha w14:val="100000"/>
                    </w14:srgbClr>
                  </w14:solidFill>
                </w14:textFill>
              </w:rPr>
              <w:t>|</w:t>
            </w:r>
            <w:r w:rsidR="00AE3E5D" w:rsidRPr="00AE3E5D">
              <w:rPr>
                <w:rFonts w:hint="eastAsia"/>
                <w:color w:val="000000"/>
                <w:spacing w:val="3"/>
                <w:w w:val="28"/>
                <w:shd w:val="solid" w:color="000000" w:fill="000000"/>
                <w:fitText w:val="125" w:id="-1437332210"/>
                <w14:textFill>
                  <w14:solidFill>
                    <w14:srgbClr w14:val="000000">
                      <w14:alpha w14:val="100000"/>
                    </w14:srgbClr>
                  </w14:solidFill>
                </w14:textFill>
              </w:rPr>
              <w:t xml:space="preserve">　</w:t>
            </w:r>
          </w:p>
        </w:tc>
        <w:tc>
          <w:tcPr>
            <w:tcW w:w="576" w:type="pct"/>
            <w:tcMar>
              <w:top w:w="0" w:type="dxa"/>
              <w:left w:w="108" w:type="dxa"/>
              <w:bottom w:w="0" w:type="dxa"/>
              <w:right w:w="108" w:type="dxa"/>
            </w:tcMar>
          </w:tcPr>
          <w:p w14:paraId="5551F825" w14:textId="019C8714" w:rsidR="002056CD" w:rsidRPr="00C00F9B" w:rsidRDefault="002056CD" w:rsidP="006B0BCC">
            <w:pPr>
              <w:keepNext/>
              <w:jc w:val="right"/>
            </w:pPr>
            <w:r w:rsidRPr="00C00F9B">
              <w:t>$</w:t>
            </w:r>
            <w:r w:rsidR="00AE3E5D" w:rsidRPr="00AE3E5D">
              <w:rPr>
                <w:rFonts w:hint="eastAsia"/>
                <w:color w:val="000000"/>
                <w:w w:val="28"/>
                <w:shd w:val="solid" w:color="000000" w:fill="000000"/>
                <w:fitText w:val="124" w:id="-1437332209"/>
                <w14:textFill>
                  <w14:solidFill>
                    <w14:srgbClr w14:val="000000">
                      <w14:alpha w14:val="100000"/>
                    </w14:srgbClr>
                  </w14:solidFill>
                </w14:textFill>
              </w:rPr>
              <w:t xml:space="preserve">　</w:t>
            </w:r>
            <w:r w:rsidR="00AE3E5D" w:rsidRPr="00AE3E5D">
              <w:rPr>
                <w:color w:val="000000"/>
                <w:w w:val="28"/>
                <w:shd w:val="solid" w:color="000000" w:fill="000000"/>
                <w:fitText w:val="124" w:id="-1437332209"/>
                <w14:textFill>
                  <w14:solidFill>
                    <w14:srgbClr w14:val="000000">
                      <w14:alpha w14:val="100000"/>
                    </w14:srgbClr>
                  </w14:solidFill>
                </w14:textFill>
              </w:rPr>
              <w:t>|</w:t>
            </w:r>
            <w:r w:rsidR="00AE3E5D" w:rsidRPr="00AE3E5D">
              <w:rPr>
                <w:rFonts w:hint="eastAsia"/>
                <w:color w:val="000000"/>
                <w:spacing w:val="2"/>
                <w:w w:val="28"/>
                <w:shd w:val="solid" w:color="000000" w:fill="000000"/>
                <w:fitText w:val="124" w:id="-1437332209"/>
                <w14:textFill>
                  <w14:solidFill>
                    <w14:srgbClr w14:val="000000">
                      <w14:alpha w14:val="100000"/>
                    </w14:srgbClr>
                  </w14:solidFill>
                </w14:textFill>
              </w:rPr>
              <w:t xml:space="preserve">　</w:t>
            </w:r>
          </w:p>
        </w:tc>
        <w:tc>
          <w:tcPr>
            <w:tcW w:w="576" w:type="pct"/>
            <w:tcMar>
              <w:top w:w="0" w:type="dxa"/>
              <w:left w:w="108" w:type="dxa"/>
              <w:bottom w:w="0" w:type="dxa"/>
              <w:right w:w="108" w:type="dxa"/>
            </w:tcMar>
          </w:tcPr>
          <w:p w14:paraId="44A9945C" w14:textId="6CF6C276" w:rsidR="002056CD" w:rsidRPr="00C00F9B" w:rsidRDefault="002056CD" w:rsidP="006B0BCC">
            <w:pPr>
              <w:keepNext/>
              <w:jc w:val="right"/>
            </w:pPr>
            <w:r w:rsidRPr="00C00F9B">
              <w:t>$</w:t>
            </w:r>
            <w:r w:rsidR="00AE3E5D" w:rsidRPr="00AE3E5D">
              <w:rPr>
                <w:rFonts w:hint="eastAsia"/>
                <w:color w:val="000000"/>
                <w:w w:val="28"/>
                <w:shd w:val="solid" w:color="000000" w:fill="000000"/>
                <w:fitText w:val="125" w:id="-1437332208"/>
                <w14:textFill>
                  <w14:solidFill>
                    <w14:srgbClr w14:val="000000">
                      <w14:alpha w14:val="100000"/>
                    </w14:srgbClr>
                  </w14:solidFill>
                </w14:textFill>
              </w:rPr>
              <w:t xml:space="preserve">　</w:t>
            </w:r>
            <w:r w:rsidR="00AE3E5D" w:rsidRPr="00AE3E5D">
              <w:rPr>
                <w:color w:val="000000"/>
                <w:w w:val="28"/>
                <w:shd w:val="solid" w:color="000000" w:fill="000000"/>
                <w:fitText w:val="125" w:id="-1437332208"/>
                <w14:textFill>
                  <w14:solidFill>
                    <w14:srgbClr w14:val="000000">
                      <w14:alpha w14:val="100000"/>
                    </w14:srgbClr>
                  </w14:solidFill>
                </w14:textFill>
              </w:rPr>
              <w:t>|</w:t>
            </w:r>
            <w:r w:rsidR="00AE3E5D" w:rsidRPr="00AE3E5D">
              <w:rPr>
                <w:rFonts w:hint="eastAsia"/>
                <w:color w:val="000000"/>
                <w:spacing w:val="3"/>
                <w:w w:val="28"/>
                <w:shd w:val="solid" w:color="000000" w:fill="000000"/>
                <w:fitText w:val="125" w:id="-1437332208"/>
                <w14:textFill>
                  <w14:solidFill>
                    <w14:srgbClr w14:val="000000">
                      <w14:alpha w14:val="100000"/>
                    </w14:srgbClr>
                  </w14:solidFill>
                </w14:textFill>
              </w:rPr>
              <w:t xml:space="preserve">　</w:t>
            </w:r>
          </w:p>
        </w:tc>
        <w:tc>
          <w:tcPr>
            <w:tcW w:w="576" w:type="pct"/>
            <w:tcMar>
              <w:top w:w="0" w:type="dxa"/>
              <w:left w:w="108" w:type="dxa"/>
              <w:bottom w:w="0" w:type="dxa"/>
              <w:right w:w="108" w:type="dxa"/>
            </w:tcMar>
          </w:tcPr>
          <w:p w14:paraId="38AD5CFF" w14:textId="518F0B8C" w:rsidR="002056CD" w:rsidRPr="00C00F9B" w:rsidRDefault="002056CD" w:rsidP="006B0BCC">
            <w:pPr>
              <w:keepNext/>
              <w:jc w:val="right"/>
            </w:pPr>
            <w:r w:rsidRPr="00C00F9B">
              <w:t>$</w:t>
            </w:r>
            <w:r w:rsidR="00AE3E5D" w:rsidRPr="00AE3E5D">
              <w:rPr>
                <w:rFonts w:hint="eastAsia"/>
                <w:color w:val="000000"/>
                <w:w w:val="28"/>
                <w:shd w:val="solid" w:color="000000" w:fill="000000"/>
                <w:fitText w:val="125" w:id="-1437332224"/>
                <w14:textFill>
                  <w14:solidFill>
                    <w14:srgbClr w14:val="000000">
                      <w14:alpha w14:val="100000"/>
                    </w14:srgbClr>
                  </w14:solidFill>
                </w14:textFill>
              </w:rPr>
              <w:t xml:space="preserve">　</w:t>
            </w:r>
            <w:r w:rsidR="00AE3E5D" w:rsidRPr="00AE3E5D">
              <w:rPr>
                <w:color w:val="000000"/>
                <w:w w:val="28"/>
                <w:shd w:val="solid" w:color="000000" w:fill="000000"/>
                <w:fitText w:val="125" w:id="-1437332224"/>
                <w14:textFill>
                  <w14:solidFill>
                    <w14:srgbClr w14:val="000000">
                      <w14:alpha w14:val="100000"/>
                    </w14:srgbClr>
                  </w14:solidFill>
                </w14:textFill>
              </w:rPr>
              <w:t>|</w:t>
            </w:r>
            <w:r w:rsidR="00AE3E5D" w:rsidRPr="00AE3E5D">
              <w:rPr>
                <w:rFonts w:hint="eastAsia"/>
                <w:color w:val="000000"/>
                <w:spacing w:val="3"/>
                <w:w w:val="28"/>
                <w:shd w:val="solid" w:color="000000" w:fill="000000"/>
                <w:fitText w:val="125" w:id="-1437332224"/>
                <w14:textFill>
                  <w14:solidFill>
                    <w14:srgbClr w14:val="000000">
                      <w14:alpha w14:val="100000"/>
                    </w14:srgbClr>
                  </w14:solidFill>
                </w14:textFill>
              </w:rPr>
              <w:t xml:space="preserve">　</w:t>
            </w:r>
          </w:p>
        </w:tc>
      </w:tr>
      <w:tr w:rsidR="002056CD" w:rsidRPr="00C227CD" w14:paraId="4A13AD26" w14:textId="77777777" w:rsidTr="007640A0">
        <w:tc>
          <w:tcPr>
            <w:tcW w:w="2121" w:type="pct"/>
            <w:tcMar>
              <w:top w:w="0" w:type="dxa"/>
              <w:left w:w="108" w:type="dxa"/>
              <w:bottom w:w="0" w:type="dxa"/>
              <w:right w:w="108" w:type="dxa"/>
            </w:tcMar>
            <w:hideMark/>
          </w:tcPr>
          <w:p w14:paraId="31856C76" w14:textId="77777777" w:rsidR="002056CD" w:rsidRPr="00C227CD" w:rsidRDefault="002056CD" w:rsidP="006B0BCC">
            <w:pPr>
              <w:keepNext/>
              <w:rPr>
                <w:b/>
                <w:bCs/>
              </w:rPr>
            </w:pPr>
            <w:r w:rsidRPr="00C227CD">
              <w:rPr>
                <w:b/>
                <w:bCs/>
              </w:rPr>
              <w:t>Net financial impact to the MBS</w:t>
            </w:r>
          </w:p>
        </w:tc>
        <w:tc>
          <w:tcPr>
            <w:tcW w:w="576" w:type="pct"/>
            <w:tcMar>
              <w:top w:w="0" w:type="dxa"/>
              <w:left w:w="108" w:type="dxa"/>
              <w:bottom w:w="0" w:type="dxa"/>
              <w:right w:w="108" w:type="dxa"/>
            </w:tcMar>
          </w:tcPr>
          <w:p w14:paraId="669EAC21" w14:textId="208C6345" w:rsidR="002056CD" w:rsidRPr="00C00F9B" w:rsidRDefault="002056CD" w:rsidP="007114F6">
            <w:pPr>
              <w:keepNext/>
              <w:jc w:val="right"/>
              <w:rPr>
                <w:b/>
                <w:bCs/>
              </w:rPr>
            </w:pPr>
            <w:r w:rsidRPr="00C00F9B">
              <w:rPr>
                <w:b/>
              </w:rPr>
              <w:t>$</w:t>
            </w:r>
            <w:r w:rsidR="00AE3E5D" w:rsidRPr="00AE3E5D">
              <w:rPr>
                <w:rFonts w:hint="eastAsia"/>
                <w:b/>
                <w:color w:val="000000"/>
                <w:w w:val="18"/>
                <w:shd w:val="solid" w:color="000000" w:fill="000000"/>
                <w:fitText w:val="83" w:id="-1437332223"/>
                <w14:textFill>
                  <w14:solidFill>
                    <w14:srgbClr w14:val="000000">
                      <w14:alpha w14:val="100000"/>
                    </w14:srgbClr>
                  </w14:solidFill>
                </w14:textFill>
              </w:rPr>
              <w:t xml:space="preserve">　</w:t>
            </w:r>
            <w:r w:rsidR="00AE3E5D" w:rsidRPr="00AE3E5D">
              <w:rPr>
                <w:b/>
                <w:color w:val="000000"/>
                <w:w w:val="18"/>
                <w:shd w:val="solid" w:color="000000" w:fill="000000"/>
                <w:fitText w:val="83" w:id="-1437332223"/>
                <w14:textFill>
                  <w14:solidFill>
                    <w14:srgbClr w14:val="000000">
                      <w14:alpha w14:val="100000"/>
                    </w14:srgbClr>
                  </w14:solidFill>
                </w14:textFill>
              </w:rPr>
              <w:t>|</w:t>
            </w:r>
            <w:r w:rsidR="00AE3E5D" w:rsidRPr="00AE3E5D">
              <w:rPr>
                <w:rFonts w:hint="eastAsia"/>
                <w:b/>
                <w:color w:val="000000"/>
                <w:spacing w:val="2"/>
                <w:w w:val="18"/>
                <w:shd w:val="solid" w:color="000000" w:fill="000000"/>
                <w:fitText w:val="83" w:id="-1437332223"/>
                <w14:textFill>
                  <w14:solidFill>
                    <w14:srgbClr w14:val="000000">
                      <w14:alpha w14:val="100000"/>
                    </w14:srgbClr>
                  </w14:solidFill>
                </w14:textFill>
              </w:rPr>
              <w:t xml:space="preserve">　</w:t>
            </w:r>
          </w:p>
        </w:tc>
        <w:tc>
          <w:tcPr>
            <w:tcW w:w="576" w:type="pct"/>
            <w:tcMar>
              <w:top w:w="0" w:type="dxa"/>
              <w:left w:w="108" w:type="dxa"/>
              <w:bottom w:w="0" w:type="dxa"/>
              <w:right w:w="108" w:type="dxa"/>
            </w:tcMar>
          </w:tcPr>
          <w:p w14:paraId="703E4FD8" w14:textId="4D41222C" w:rsidR="002056CD" w:rsidRPr="00C00F9B" w:rsidRDefault="002056CD" w:rsidP="007114F6">
            <w:pPr>
              <w:keepNext/>
              <w:jc w:val="right"/>
              <w:rPr>
                <w:b/>
                <w:bCs/>
              </w:rPr>
            </w:pPr>
            <w:r w:rsidRPr="00C00F9B">
              <w:rPr>
                <w:b/>
              </w:rPr>
              <w:t>$</w:t>
            </w:r>
            <w:r w:rsidR="00AE3E5D" w:rsidRPr="00AE3E5D">
              <w:rPr>
                <w:rFonts w:hint="eastAsia"/>
                <w:b/>
                <w:color w:val="000000"/>
                <w:w w:val="18"/>
                <w:shd w:val="solid" w:color="000000" w:fill="000000"/>
                <w:fitText w:val="83" w:id="-1437332222"/>
                <w14:textFill>
                  <w14:solidFill>
                    <w14:srgbClr w14:val="000000">
                      <w14:alpha w14:val="100000"/>
                    </w14:srgbClr>
                  </w14:solidFill>
                </w14:textFill>
              </w:rPr>
              <w:t xml:space="preserve">　</w:t>
            </w:r>
            <w:r w:rsidR="00AE3E5D" w:rsidRPr="00AE3E5D">
              <w:rPr>
                <w:b/>
                <w:color w:val="000000"/>
                <w:w w:val="18"/>
                <w:shd w:val="solid" w:color="000000" w:fill="000000"/>
                <w:fitText w:val="83" w:id="-1437332222"/>
                <w14:textFill>
                  <w14:solidFill>
                    <w14:srgbClr w14:val="000000">
                      <w14:alpha w14:val="100000"/>
                    </w14:srgbClr>
                  </w14:solidFill>
                </w14:textFill>
              </w:rPr>
              <w:t>|</w:t>
            </w:r>
            <w:r w:rsidR="00AE3E5D" w:rsidRPr="00AE3E5D">
              <w:rPr>
                <w:rFonts w:hint="eastAsia"/>
                <w:b/>
                <w:color w:val="000000"/>
                <w:spacing w:val="2"/>
                <w:w w:val="18"/>
                <w:shd w:val="solid" w:color="000000" w:fill="000000"/>
                <w:fitText w:val="83" w:id="-1437332222"/>
                <w14:textFill>
                  <w14:solidFill>
                    <w14:srgbClr w14:val="000000">
                      <w14:alpha w14:val="100000"/>
                    </w14:srgbClr>
                  </w14:solidFill>
                </w14:textFill>
              </w:rPr>
              <w:t xml:space="preserve">　</w:t>
            </w:r>
          </w:p>
        </w:tc>
        <w:tc>
          <w:tcPr>
            <w:tcW w:w="576" w:type="pct"/>
            <w:tcMar>
              <w:top w:w="0" w:type="dxa"/>
              <w:left w:w="108" w:type="dxa"/>
              <w:bottom w:w="0" w:type="dxa"/>
              <w:right w:w="108" w:type="dxa"/>
            </w:tcMar>
          </w:tcPr>
          <w:p w14:paraId="2189F3DA" w14:textId="101ADF83" w:rsidR="002056CD" w:rsidRPr="00C00F9B" w:rsidRDefault="002056CD" w:rsidP="007114F6">
            <w:pPr>
              <w:keepNext/>
              <w:jc w:val="right"/>
              <w:rPr>
                <w:b/>
                <w:bCs/>
              </w:rPr>
            </w:pPr>
            <w:r w:rsidRPr="00C00F9B">
              <w:rPr>
                <w:b/>
              </w:rPr>
              <w:t>$</w:t>
            </w:r>
            <w:r w:rsidR="00AE3E5D" w:rsidRPr="00AE3E5D">
              <w:rPr>
                <w:rFonts w:hint="eastAsia"/>
                <w:b/>
                <w:color w:val="000000"/>
                <w:w w:val="18"/>
                <w:shd w:val="solid" w:color="000000" w:fill="000000"/>
                <w:fitText w:val="83" w:id="-1437332221"/>
                <w14:textFill>
                  <w14:solidFill>
                    <w14:srgbClr w14:val="000000">
                      <w14:alpha w14:val="100000"/>
                    </w14:srgbClr>
                  </w14:solidFill>
                </w14:textFill>
              </w:rPr>
              <w:t xml:space="preserve">　</w:t>
            </w:r>
            <w:r w:rsidR="00AE3E5D" w:rsidRPr="00AE3E5D">
              <w:rPr>
                <w:b/>
                <w:color w:val="000000"/>
                <w:w w:val="18"/>
                <w:shd w:val="solid" w:color="000000" w:fill="000000"/>
                <w:fitText w:val="83" w:id="-1437332221"/>
                <w14:textFill>
                  <w14:solidFill>
                    <w14:srgbClr w14:val="000000">
                      <w14:alpha w14:val="100000"/>
                    </w14:srgbClr>
                  </w14:solidFill>
                </w14:textFill>
              </w:rPr>
              <w:t>|</w:t>
            </w:r>
            <w:r w:rsidR="00AE3E5D" w:rsidRPr="00AE3E5D">
              <w:rPr>
                <w:rFonts w:hint="eastAsia"/>
                <w:b/>
                <w:color w:val="000000"/>
                <w:spacing w:val="2"/>
                <w:w w:val="18"/>
                <w:shd w:val="solid" w:color="000000" w:fill="000000"/>
                <w:fitText w:val="83" w:id="-1437332221"/>
                <w14:textFill>
                  <w14:solidFill>
                    <w14:srgbClr w14:val="000000">
                      <w14:alpha w14:val="100000"/>
                    </w14:srgbClr>
                  </w14:solidFill>
                </w14:textFill>
              </w:rPr>
              <w:t xml:space="preserve">　</w:t>
            </w:r>
          </w:p>
        </w:tc>
        <w:tc>
          <w:tcPr>
            <w:tcW w:w="576" w:type="pct"/>
            <w:tcMar>
              <w:top w:w="0" w:type="dxa"/>
              <w:left w:w="108" w:type="dxa"/>
              <w:bottom w:w="0" w:type="dxa"/>
              <w:right w:w="108" w:type="dxa"/>
            </w:tcMar>
          </w:tcPr>
          <w:p w14:paraId="445CB8B4" w14:textId="4A26FF07" w:rsidR="002056CD" w:rsidRPr="00C00F9B" w:rsidRDefault="002056CD" w:rsidP="007114F6">
            <w:pPr>
              <w:keepNext/>
              <w:jc w:val="right"/>
              <w:rPr>
                <w:b/>
                <w:bCs/>
              </w:rPr>
            </w:pPr>
            <w:r w:rsidRPr="00C00F9B">
              <w:rPr>
                <w:b/>
              </w:rPr>
              <w:t>$</w:t>
            </w:r>
            <w:r w:rsidR="00AE3E5D" w:rsidRPr="00AE3E5D">
              <w:rPr>
                <w:rFonts w:hint="eastAsia"/>
                <w:b/>
                <w:color w:val="000000"/>
                <w:w w:val="18"/>
                <w:shd w:val="solid" w:color="000000" w:fill="000000"/>
                <w:fitText w:val="83" w:id="-1437332220"/>
                <w14:textFill>
                  <w14:solidFill>
                    <w14:srgbClr w14:val="000000">
                      <w14:alpha w14:val="100000"/>
                    </w14:srgbClr>
                  </w14:solidFill>
                </w14:textFill>
              </w:rPr>
              <w:t xml:space="preserve">　</w:t>
            </w:r>
            <w:r w:rsidR="00AE3E5D" w:rsidRPr="00AE3E5D">
              <w:rPr>
                <w:b/>
                <w:color w:val="000000"/>
                <w:w w:val="18"/>
                <w:shd w:val="solid" w:color="000000" w:fill="000000"/>
                <w:fitText w:val="83" w:id="-1437332220"/>
                <w14:textFill>
                  <w14:solidFill>
                    <w14:srgbClr w14:val="000000">
                      <w14:alpha w14:val="100000"/>
                    </w14:srgbClr>
                  </w14:solidFill>
                </w14:textFill>
              </w:rPr>
              <w:t>|</w:t>
            </w:r>
            <w:r w:rsidR="00AE3E5D" w:rsidRPr="00AE3E5D">
              <w:rPr>
                <w:rFonts w:hint="eastAsia"/>
                <w:b/>
                <w:color w:val="000000"/>
                <w:spacing w:val="2"/>
                <w:w w:val="18"/>
                <w:shd w:val="solid" w:color="000000" w:fill="000000"/>
                <w:fitText w:val="83" w:id="-1437332220"/>
                <w14:textFill>
                  <w14:solidFill>
                    <w14:srgbClr w14:val="000000">
                      <w14:alpha w14:val="100000"/>
                    </w14:srgbClr>
                  </w14:solidFill>
                </w14:textFill>
              </w:rPr>
              <w:t xml:space="preserve">　</w:t>
            </w:r>
          </w:p>
        </w:tc>
        <w:tc>
          <w:tcPr>
            <w:tcW w:w="576" w:type="pct"/>
            <w:tcMar>
              <w:top w:w="0" w:type="dxa"/>
              <w:left w:w="108" w:type="dxa"/>
              <w:bottom w:w="0" w:type="dxa"/>
              <w:right w:w="108" w:type="dxa"/>
            </w:tcMar>
          </w:tcPr>
          <w:p w14:paraId="3426A84F" w14:textId="2F1E62E8" w:rsidR="002056CD" w:rsidRPr="00C00F9B" w:rsidRDefault="002056CD" w:rsidP="007114F6">
            <w:pPr>
              <w:keepNext/>
              <w:jc w:val="right"/>
              <w:rPr>
                <w:b/>
                <w:bCs/>
              </w:rPr>
            </w:pPr>
            <w:r w:rsidRPr="00C00F9B">
              <w:rPr>
                <w:b/>
              </w:rPr>
              <w:t>$</w:t>
            </w:r>
            <w:r w:rsidR="00AE3E5D" w:rsidRPr="00AE3E5D">
              <w:rPr>
                <w:rFonts w:hint="eastAsia"/>
                <w:b/>
                <w:color w:val="000000"/>
                <w:w w:val="18"/>
                <w:shd w:val="solid" w:color="000000" w:fill="000000"/>
                <w:fitText w:val="83" w:id="-1437332219"/>
                <w14:textFill>
                  <w14:solidFill>
                    <w14:srgbClr w14:val="000000">
                      <w14:alpha w14:val="100000"/>
                    </w14:srgbClr>
                  </w14:solidFill>
                </w14:textFill>
              </w:rPr>
              <w:t xml:space="preserve">　</w:t>
            </w:r>
            <w:r w:rsidR="00AE3E5D" w:rsidRPr="00AE3E5D">
              <w:rPr>
                <w:b/>
                <w:color w:val="000000"/>
                <w:w w:val="18"/>
                <w:shd w:val="solid" w:color="000000" w:fill="000000"/>
                <w:fitText w:val="83" w:id="-1437332219"/>
                <w14:textFill>
                  <w14:solidFill>
                    <w14:srgbClr w14:val="000000">
                      <w14:alpha w14:val="100000"/>
                    </w14:srgbClr>
                  </w14:solidFill>
                </w14:textFill>
              </w:rPr>
              <w:t>|</w:t>
            </w:r>
            <w:r w:rsidR="00AE3E5D" w:rsidRPr="00AE3E5D">
              <w:rPr>
                <w:rFonts w:hint="eastAsia"/>
                <w:b/>
                <w:color w:val="000000"/>
                <w:spacing w:val="2"/>
                <w:w w:val="18"/>
                <w:shd w:val="solid" w:color="000000" w:fill="000000"/>
                <w:fitText w:val="83" w:id="-1437332219"/>
                <w14:textFill>
                  <w14:solidFill>
                    <w14:srgbClr w14:val="000000">
                      <w14:alpha w14:val="100000"/>
                    </w14:srgbClr>
                  </w14:solidFill>
                </w14:textFill>
              </w:rPr>
              <w:t xml:space="preserve">　</w:t>
            </w:r>
          </w:p>
        </w:tc>
      </w:tr>
      <w:tr w:rsidR="00D85DD6" w:rsidRPr="00856E96" w14:paraId="4E339F3F" w14:textId="77777777" w:rsidTr="00D85DD6">
        <w:tblPrEx>
          <w:tblCellMar>
            <w:left w:w="108" w:type="dxa"/>
            <w:right w:w="108" w:type="dxa"/>
          </w:tblCellMar>
        </w:tblPrEx>
        <w:tc>
          <w:tcPr>
            <w:tcW w:w="2121" w:type="pct"/>
            <w:hideMark/>
          </w:tcPr>
          <w:p w14:paraId="16FA2669" w14:textId="603166D8" w:rsidR="00D85DD6" w:rsidRPr="00856E96" w:rsidRDefault="00D85DD6" w:rsidP="00D85DD6">
            <w:pPr>
              <w:keepNext/>
              <w:rPr>
                <w:b/>
                <w:bCs/>
                <w:i/>
                <w:iCs/>
              </w:rPr>
            </w:pPr>
            <w:r w:rsidRPr="00856E96">
              <w:rPr>
                <w:b/>
                <w:bCs/>
                <w:i/>
                <w:iCs/>
              </w:rPr>
              <w:t>Net financial impact to the MBS</w:t>
            </w:r>
            <w:r w:rsidR="00C17A0F">
              <w:rPr>
                <w:b/>
                <w:bCs/>
                <w:i/>
                <w:iCs/>
              </w:rPr>
              <w:t xml:space="preserve"> *</w:t>
            </w:r>
          </w:p>
        </w:tc>
        <w:tc>
          <w:tcPr>
            <w:tcW w:w="576" w:type="pct"/>
            <w:vAlign w:val="center"/>
          </w:tcPr>
          <w:p w14:paraId="15A04198" w14:textId="5C6AC491" w:rsidR="00D85DD6" w:rsidRPr="00C00F9B" w:rsidRDefault="00D85DD6" w:rsidP="007114F6">
            <w:pPr>
              <w:keepNext/>
              <w:jc w:val="right"/>
              <w:rPr>
                <w:b/>
                <w:i/>
                <w:iCs/>
              </w:rPr>
            </w:pPr>
            <w:r w:rsidRPr="00C00F9B">
              <w:rPr>
                <w:b/>
                <w:bCs/>
                <w:i/>
                <w:iCs/>
              </w:rPr>
              <w:t>$3,549,480</w:t>
            </w:r>
          </w:p>
        </w:tc>
        <w:tc>
          <w:tcPr>
            <w:tcW w:w="576" w:type="pct"/>
            <w:vAlign w:val="center"/>
          </w:tcPr>
          <w:p w14:paraId="40012794" w14:textId="705C4311" w:rsidR="00D85DD6" w:rsidRPr="00C00F9B" w:rsidRDefault="00D85DD6" w:rsidP="007114F6">
            <w:pPr>
              <w:keepNext/>
              <w:jc w:val="right"/>
              <w:rPr>
                <w:b/>
                <w:i/>
                <w:iCs/>
              </w:rPr>
            </w:pPr>
            <w:r w:rsidRPr="00C00F9B">
              <w:rPr>
                <w:b/>
                <w:bCs/>
                <w:i/>
                <w:iCs/>
              </w:rPr>
              <w:t>$4,279,738</w:t>
            </w:r>
          </w:p>
        </w:tc>
        <w:tc>
          <w:tcPr>
            <w:tcW w:w="576" w:type="pct"/>
            <w:vAlign w:val="center"/>
          </w:tcPr>
          <w:p w14:paraId="07583DEC" w14:textId="124B4829" w:rsidR="00D85DD6" w:rsidRPr="00C00F9B" w:rsidRDefault="00D85DD6" w:rsidP="007114F6">
            <w:pPr>
              <w:keepNext/>
              <w:jc w:val="right"/>
              <w:rPr>
                <w:b/>
                <w:i/>
                <w:iCs/>
              </w:rPr>
            </w:pPr>
            <w:r w:rsidRPr="00C00F9B">
              <w:rPr>
                <w:b/>
                <w:bCs/>
                <w:i/>
                <w:iCs/>
              </w:rPr>
              <w:t>$5,055,515</w:t>
            </w:r>
          </w:p>
        </w:tc>
        <w:tc>
          <w:tcPr>
            <w:tcW w:w="576" w:type="pct"/>
            <w:vAlign w:val="center"/>
          </w:tcPr>
          <w:p w14:paraId="5F4C4273" w14:textId="664FADCB" w:rsidR="00D85DD6" w:rsidRPr="00C00F9B" w:rsidRDefault="00D85DD6" w:rsidP="007114F6">
            <w:pPr>
              <w:keepNext/>
              <w:jc w:val="right"/>
              <w:rPr>
                <w:b/>
                <w:i/>
                <w:iCs/>
              </w:rPr>
            </w:pPr>
            <w:r w:rsidRPr="00C00F9B">
              <w:rPr>
                <w:b/>
                <w:bCs/>
                <w:i/>
                <w:iCs/>
              </w:rPr>
              <w:t>$5,225,633</w:t>
            </w:r>
          </w:p>
        </w:tc>
        <w:tc>
          <w:tcPr>
            <w:tcW w:w="576" w:type="pct"/>
            <w:vAlign w:val="center"/>
          </w:tcPr>
          <w:p w14:paraId="0B9E2D11" w14:textId="243845F0" w:rsidR="00D85DD6" w:rsidRPr="00C00F9B" w:rsidRDefault="00D85DD6" w:rsidP="007114F6">
            <w:pPr>
              <w:keepNext/>
              <w:jc w:val="right"/>
              <w:rPr>
                <w:b/>
                <w:i/>
                <w:iCs/>
              </w:rPr>
            </w:pPr>
            <w:r w:rsidRPr="00C00F9B">
              <w:rPr>
                <w:b/>
                <w:bCs/>
                <w:i/>
                <w:iCs/>
              </w:rPr>
              <w:t>$5,400,049</w:t>
            </w:r>
          </w:p>
        </w:tc>
      </w:tr>
    </w:tbl>
    <w:p w14:paraId="4DBE3C5B" w14:textId="6275E573" w:rsidR="00C151B2" w:rsidRDefault="00C151B2" w:rsidP="002056CD">
      <w:pPr>
        <w:keepLines/>
        <w:spacing w:after="360" w:line="240" w:lineRule="auto"/>
        <w:contextualSpacing/>
        <w:rPr>
          <w:rFonts w:ascii="Arial Narrow" w:eastAsia="Times New Roman" w:hAnsi="Arial Narrow" w:cs="Times New Roman"/>
          <w:color w:val="000000"/>
          <w:sz w:val="18"/>
          <w:szCs w:val="18"/>
          <w:lang w:eastAsia="en-AU"/>
        </w:rPr>
      </w:pPr>
      <w:r>
        <w:rPr>
          <w:rFonts w:ascii="Arial Narrow" w:eastAsia="Times New Roman" w:hAnsi="Arial Narrow" w:cs="Times New Roman"/>
          <w:color w:val="000000"/>
          <w:sz w:val="18"/>
          <w:szCs w:val="18"/>
          <w:lang w:eastAsia="en-AU"/>
        </w:rPr>
        <w:t xml:space="preserve">Italics indicate MSAC’s revisions to financial analyses to </w:t>
      </w:r>
      <w:proofErr w:type="gramStart"/>
      <w:r>
        <w:rPr>
          <w:rFonts w:ascii="Arial Narrow" w:eastAsia="Times New Roman" w:hAnsi="Arial Narrow" w:cs="Times New Roman"/>
          <w:color w:val="000000"/>
          <w:sz w:val="18"/>
          <w:szCs w:val="18"/>
          <w:lang w:eastAsia="en-AU"/>
        </w:rPr>
        <w:t>take into account</w:t>
      </w:r>
      <w:proofErr w:type="gramEnd"/>
      <w:r>
        <w:rPr>
          <w:rFonts w:ascii="Arial Narrow" w:eastAsia="Times New Roman" w:hAnsi="Arial Narrow" w:cs="Times New Roman"/>
          <w:color w:val="000000"/>
          <w:sz w:val="18"/>
          <w:szCs w:val="18"/>
          <w:lang w:eastAsia="en-AU"/>
        </w:rPr>
        <w:t xml:space="preserve"> a flat fee of </w:t>
      </w:r>
      <w:r w:rsidRPr="00C00F9B">
        <w:rPr>
          <w:rFonts w:ascii="Arial Narrow" w:eastAsia="Times New Roman" w:hAnsi="Arial Narrow" w:cs="Times New Roman"/>
          <w:color w:val="000000"/>
          <w:sz w:val="18"/>
          <w:szCs w:val="18"/>
          <w:lang w:eastAsia="en-AU"/>
        </w:rPr>
        <w:t>$1,200</w:t>
      </w:r>
      <w:r>
        <w:rPr>
          <w:rFonts w:ascii="Arial Narrow" w:eastAsia="Times New Roman" w:hAnsi="Arial Narrow" w:cs="Times New Roman"/>
          <w:color w:val="000000"/>
          <w:sz w:val="18"/>
          <w:szCs w:val="18"/>
          <w:lang w:eastAsia="en-AU"/>
        </w:rPr>
        <w:t xml:space="preserve">, and that the test would typically be provided on an outpatient basis. </w:t>
      </w:r>
    </w:p>
    <w:p w14:paraId="3CE2DDE3" w14:textId="77777777" w:rsidR="00C17A0F" w:rsidRDefault="00C17A0F" w:rsidP="00C17A0F">
      <w:pPr>
        <w:keepLines/>
        <w:spacing w:after="360" w:line="240" w:lineRule="auto"/>
        <w:contextualSpacing/>
        <w:rPr>
          <w:rFonts w:ascii="Arial Narrow" w:eastAsia="Times New Roman" w:hAnsi="Arial Narrow" w:cs="Times New Roman"/>
          <w:color w:val="000000"/>
          <w:sz w:val="18"/>
          <w:szCs w:val="18"/>
          <w:lang w:eastAsia="en-AU"/>
        </w:rPr>
      </w:pPr>
      <w:r>
        <w:rPr>
          <w:rFonts w:ascii="Arial Narrow" w:eastAsia="Times New Roman" w:hAnsi="Arial Narrow" w:cs="Times New Roman"/>
          <w:color w:val="000000"/>
          <w:sz w:val="18"/>
          <w:szCs w:val="18"/>
          <w:lang w:eastAsia="en-AU"/>
        </w:rPr>
        <w:t>* = Note that MSAC did not accept the evidence had sufficiently demonstrated predictive value, therefore it did not agree that there would be changes in chemotherapy and a resulting reduction in costs to the PBS.</w:t>
      </w:r>
    </w:p>
    <w:p w14:paraId="4D2A078D" w14:textId="428B5C58" w:rsidR="002056CD" w:rsidRDefault="002056CD" w:rsidP="002056CD">
      <w:pPr>
        <w:keepLines/>
        <w:spacing w:after="360" w:line="240" w:lineRule="auto"/>
        <w:contextualSpacing/>
        <w:rPr>
          <w:rFonts w:ascii="Arial Narrow" w:eastAsia="Times New Roman" w:hAnsi="Arial Narrow" w:cs="Times New Roman"/>
          <w:color w:val="000000"/>
          <w:sz w:val="18"/>
          <w:szCs w:val="18"/>
          <w:lang w:eastAsia="en-AU"/>
        </w:rPr>
      </w:pPr>
      <w:r w:rsidRPr="00C227CD">
        <w:rPr>
          <w:rFonts w:ascii="Arial Narrow" w:eastAsia="Times New Roman" w:hAnsi="Arial Narrow" w:cs="Times New Roman"/>
          <w:color w:val="000000"/>
          <w:sz w:val="18"/>
          <w:szCs w:val="18"/>
          <w:vertAlign w:val="superscript"/>
          <w:lang w:eastAsia="en-AU"/>
        </w:rPr>
        <w:t>a</w:t>
      </w:r>
      <w:r w:rsidRPr="00C227CD">
        <w:rPr>
          <w:rFonts w:ascii="Arial Narrow" w:eastAsia="Times New Roman" w:hAnsi="Arial Narrow" w:cs="Times New Roman"/>
          <w:color w:val="000000"/>
          <w:sz w:val="18"/>
          <w:szCs w:val="18"/>
          <w:lang w:eastAsia="en-AU"/>
        </w:rPr>
        <w:t xml:space="preserve"> 75% </w:t>
      </w:r>
      <w:r w:rsidR="00C151B2">
        <w:rPr>
          <w:rFonts w:ascii="Arial Narrow" w:eastAsia="Times New Roman" w:hAnsi="Arial Narrow" w:cs="Times New Roman"/>
          <w:color w:val="000000"/>
          <w:sz w:val="18"/>
          <w:szCs w:val="18"/>
          <w:lang w:eastAsia="en-AU"/>
        </w:rPr>
        <w:t>benefit</w:t>
      </w:r>
    </w:p>
    <w:p w14:paraId="724AC4A8" w14:textId="150BFA3D" w:rsidR="00D85DD6" w:rsidRPr="00D85DD6" w:rsidRDefault="00D85DD6" w:rsidP="002056CD">
      <w:pPr>
        <w:keepLines/>
        <w:spacing w:after="360" w:line="240" w:lineRule="auto"/>
        <w:contextualSpacing/>
        <w:rPr>
          <w:rFonts w:ascii="Arial Narrow" w:eastAsia="Times New Roman" w:hAnsi="Arial Narrow" w:cs="Times New Roman"/>
          <w:color w:val="000000"/>
          <w:sz w:val="18"/>
          <w:szCs w:val="18"/>
          <w:lang w:eastAsia="en-AU"/>
        </w:rPr>
      </w:pPr>
      <w:r>
        <w:rPr>
          <w:rFonts w:ascii="Arial Narrow" w:eastAsia="Times New Roman" w:hAnsi="Arial Narrow" w:cs="Times New Roman"/>
          <w:color w:val="000000"/>
          <w:sz w:val="18"/>
          <w:szCs w:val="18"/>
          <w:vertAlign w:val="superscript"/>
          <w:lang w:eastAsia="en-AU"/>
        </w:rPr>
        <w:t>b</w:t>
      </w:r>
      <w:r>
        <w:rPr>
          <w:rFonts w:ascii="Arial Narrow" w:eastAsia="Times New Roman" w:hAnsi="Arial Narrow" w:cs="Times New Roman"/>
          <w:color w:val="000000"/>
          <w:sz w:val="18"/>
          <w:szCs w:val="18"/>
          <w:lang w:eastAsia="en-AU"/>
        </w:rPr>
        <w:t xml:space="preserve"> 85% </w:t>
      </w:r>
      <w:r w:rsidR="00C151B2">
        <w:rPr>
          <w:rFonts w:ascii="Arial Narrow" w:eastAsia="Times New Roman" w:hAnsi="Arial Narrow" w:cs="Times New Roman"/>
          <w:color w:val="000000"/>
          <w:sz w:val="18"/>
          <w:szCs w:val="18"/>
          <w:lang w:eastAsia="en-AU"/>
        </w:rPr>
        <w:t xml:space="preserve">benefit – note that </w:t>
      </w:r>
      <w:r w:rsidR="00C151B2" w:rsidRPr="00C151B2">
        <w:rPr>
          <w:rFonts w:ascii="Arial Narrow" w:eastAsia="Times New Roman" w:hAnsi="Arial Narrow" w:cs="Times New Roman"/>
          <w:color w:val="000000"/>
          <w:sz w:val="18"/>
          <w:szCs w:val="18"/>
          <w:lang w:eastAsia="en-AU"/>
        </w:rPr>
        <w:t xml:space="preserve">85% benefit reflects the 1 November 2021 Greatest Permissible Gap (GPG) of </w:t>
      </w:r>
      <w:r w:rsidR="00C151B2" w:rsidRPr="00C00F9B">
        <w:rPr>
          <w:rFonts w:ascii="Arial Narrow" w:eastAsia="Times New Roman" w:hAnsi="Arial Narrow" w:cs="Times New Roman"/>
          <w:color w:val="000000"/>
          <w:sz w:val="18"/>
          <w:szCs w:val="18"/>
          <w:lang w:eastAsia="en-AU"/>
        </w:rPr>
        <w:t>$87.90</w:t>
      </w:r>
      <w:r w:rsidR="00C151B2" w:rsidRPr="00C151B2">
        <w:rPr>
          <w:rFonts w:ascii="Arial Narrow" w:eastAsia="Times New Roman" w:hAnsi="Arial Narrow" w:cs="Times New Roman"/>
          <w:color w:val="000000"/>
          <w:sz w:val="18"/>
          <w:szCs w:val="18"/>
          <w:lang w:eastAsia="en-AU"/>
        </w:rPr>
        <w:t xml:space="preserve">. All out-of-hospital Medicare services that have an MBS fee </w:t>
      </w:r>
      <w:r w:rsidR="00C151B2" w:rsidRPr="00C00F9B">
        <w:rPr>
          <w:rFonts w:ascii="Arial Narrow" w:eastAsia="Times New Roman" w:hAnsi="Arial Narrow" w:cs="Times New Roman"/>
          <w:color w:val="000000"/>
          <w:sz w:val="18"/>
          <w:szCs w:val="18"/>
          <w:lang w:eastAsia="en-AU"/>
        </w:rPr>
        <w:t>of $586.20</w:t>
      </w:r>
      <w:r w:rsidR="00C151B2" w:rsidRPr="00C151B2">
        <w:rPr>
          <w:rFonts w:ascii="Arial Narrow" w:eastAsia="Times New Roman" w:hAnsi="Arial Narrow" w:cs="Times New Roman"/>
          <w:color w:val="000000"/>
          <w:sz w:val="18"/>
          <w:szCs w:val="18"/>
          <w:lang w:eastAsia="en-AU"/>
        </w:rPr>
        <w:t xml:space="preserve"> or more will attract a benefit that is greater than 85% of the MBS fee – being the schedule fee less the GPG amount. The GPG amount is indexed annually on 1 November in line with the Consumer Price Index (CPI) (June quarter).</w:t>
      </w:r>
    </w:p>
    <w:p w14:paraId="60707D38" w14:textId="7762616D" w:rsidR="002056CD" w:rsidRPr="00C227CD" w:rsidRDefault="000F0726" w:rsidP="002056CD">
      <w:pPr>
        <w:keepLines/>
        <w:spacing w:after="360" w:line="240" w:lineRule="auto"/>
        <w:contextualSpacing/>
        <w:rPr>
          <w:rFonts w:ascii="Arial Narrow" w:eastAsia="Times New Roman" w:hAnsi="Arial Narrow" w:cs="Times New Roman"/>
          <w:color w:val="000000"/>
          <w:sz w:val="18"/>
          <w:szCs w:val="18"/>
          <w:lang w:eastAsia="en-AU"/>
        </w:rPr>
      </w:pPr>
      <w:r>
        <w:rPr>
          <w:rFonts w:ascii="Arial Narrow" w:eastAsia="Times New Roman" w:hAnsi="Arial Narrow" w:cs="Times New Roman"/>
          <w:color w:val="000000"/>
          <w:sz w:val="18"/>
          <w:szCs w:val="18"/>
          <w:vertAlign w:val="superscript"/>
          <w:lang w:eastAsia="en-AU"/>
        </w:rPr>
        <w:t>c</w:t>
      </w:r>
      <w:r w:rsidR="002056CD" w:rsidRPr="00C227CD">
        <w:rPr>
          <w:rFonts w:ascii="Arial Narrow" w:eastAsia="Times New Roman" w:hAnsi="Arial Narrow" w:cs="Times New Roman"/>
          <w:color w:val="000000"/>
          <w:sz w:val="18"/>
          <w:szCs w:val="18"/>
          <w:lang w:eastAsia="en-AU"/>
        </w:rPr>
        <w:t xml:space="preserve"> Based on the final analysis of PROSPER (all patients)</w:t>
      </w:r>
    </w:p>
    <w:p w14:paraId="5680B4BE" w14:textId="14407B0D" w:rsidR="002056CD" w:rsidRDefault="000F0726" w:rsidP="000F0726">
      <w:pPr>
        <w:spacing w:after="0" w:line="240" w:lineRule="auto"/>
        <w:rPr>
          <w:rFonts w:ascii="Arial Narrow" w:eastAsia="Times New Roman" w:hAnsi="Arial Narrow" w:cs="Times New Roman"/>
          <w:color w:val="000000"/>
          <w:sz w:val="18"/>
          <w:szCs w:val="18"/>
          <w:lang w:eastAsia="en-AU"/>
        </w:rPr>
      </w:pPr>
      <w:r>
        <w:rPr>
          <w:rFonts w:ascii="Arial Narrow" w:eastAsia="Times New Roman" w:hAnsi="Arial Narrow" w:cs="Times New Roman"/>
          <w:color w:val="000000"/>
          <w:sz w:val="18"/>
          <w:szCs w:val="18"/>
          <w:vertAlign w:val="superscript"/>
          <w:lang w:eastAsia="en-AU"/>
        </w:rPr>
        <w:t>d</w:t>
      </w:r>
      <w:r w:rsidR="002056CD" w:rsidRPr="00C227CD">
        <w:rPr>
          <w:rFonts w:ascii="Arial Narrow" w:eastAsia="Times New Roman" w:hAnsi="Arial Narrow" w:cs="Times New Roman"/>
          <w:color w:val="000000"/>
          <w:sz w:val="18"/>
          <w:szCs w:val="18"/>
          <w:lang w:eastAsia="en-AU"/>
        </w:rPr>
        <w:t xml:space="preserve"> Four services of chemotherapy MBS administration items in all patients, plus a further 12 in 39% of patients.</w:t>
      </w:r>
    </w:p>
    <w:p w14:paraId="25A04B80" w14:textId="77777777" w:rsidR="000F0726" w:rsidRPr="00C227CD" w:rsidRDefault="000F0726" w:rsidP="000F0726">
      <w:pPr>
        <w:keepLines/>
        <w:spacing w:after="360" w:line="240" w:lineRule="auto"/>
        <w:contextualSpacing/>
        <w:rPr>
          <w:rFonts w:ascii="Arial Narrow" w:eastAsia="Times New Roman" w:hAnsi="Arial Narrow" w:cs="Times New Roman"/>
          <w:color w:val="000000"/>
          <w:sz w:val="18"/>
          <w:szCs w:val="18"/>
          <w:lang w:eastAsia="en-AU"/>
        </w:rPr>
      </w:pPr>
      <w:r>
        <w:rPr>
          <w:rFonts w:ascii="Arial Narrow" w:eastAsia="Times New Roman" w:hAnsi="Arial Narrow" w:cs="Times New Roman"/>
          <w:color w:val="000000"/>
          <w:sz w:val="18"/>
          <w:szCs w:val="18"/>
          <w:lang w:eastAsia="en-AU"/>
        </w:rPr>
        <w:t>E</w:t>
      </w:r>
      <w:r w:rsidRPr="00C227CD">
        <w:rPr>
          <w:rFonts w:ascii="Arial Narrow" w:eastAsia="Times New Roman" w:hAnsi="Arial Narrow" w:cs="Times New Roman"/>
          <w:color w:val="000000"/>
          <w:sz w:val="18"/>
          <w:szCs w:val="18"/>
          <w:lang w:eastAsia="en-AU"/>
        </w:rPr>
        <w:t xml:space="preserve">R = </w:t>
      </w:r>
      <w:r>
        <w:rPr>
          <w:rFonts w:ascii="Arial Narrow" w:eastAsia="Times New Roman" w:hAnsi="Arial Narrow" w:cs="Times New Roman"/>
          <w:color w:val="000000"/>
          <w:sz w:val="18"/>
          <w:szCs w:val="18"/>
          <w:lang w:eastAsia="en-AU"/>
        </w:rPr>
        <w:t>estrogen</w:t>
      </w:r>
      <w:r w:rsidRPr="00C227CD">
        <w:rPr>
          <w:rFonts w:ascii="Arial Narrow" w:eastAsia="Times New Roman" w:hAnsi="Arial Narrow" w:cs="Times New Roman"/>
          <w:color w:val="000000"/>
          <w:sz w:val="18"/>
          <w:szCs w:val="18"/>
          <w:lang w:eastAsia="en-AU"/>
        </w:rPr>
        <w:t xml:space="preserve"> receptor; HER2 = human epidermal growth factor receptor 2.</w:t>
      </w:r>
    </w:p>
    <w:p w14:paraId="117D2B9E" w14:textId="08BD5D4B" w:rsidR="000F0726" w:rsidRPr="00C227CD" w:rsidRDefault="000F0726" w:rsidP="000F0726">
      <w:pPr>
        <w:keepLines/>
        <w:spacing w:after="240" w:line="240" w:lineRule="auto"/>
        <w:rPr>
          <w:rFonts w:ascii="Arial Narrow" w:eastAsia="Times New Roman" w:hAnsi="Arial Narrow" w:cs="Times New Roman"/>
          <w:color w:val="000000"/>
          <w:sz w:val="18"/>
          <w:szCs w:val="18"/>
          <w:lang w:eastAsia="en-AU"/>
        </w:rPr>
      </w:pPr>
      <w:r w:rsidRPr="00C227CD">
        <w:rPr>
          <w:rFonts w:ascii="Arial Narrow" w:eastAsia="Times New Roman" w:hAnsi="Arial Narrow" w:cs="Times New Roman"/>
          <w:color w:val="000000"/>
          <w:sz w:val="18"/>
          <w:szCs w:val="18"/>
          <w:lang w:eastAsia="en-AU"/>
        </w:rPr>
        <w:t xml:space="preserve">Source: </w:t>
      </w:r>
      <w:r>
        <w:rPr>
          <w:rFonts w:ascii="Arial Narrow" w:eastAsia="Times New Roman" w:hAnsi="Arial Narrow" w:cs="Times New Roman"/>
          <w:color w:val="000000"/>
          <w:sz w:val="18"/>
          <w:szCs w:val="18"/>
          <w:lang w:eastAsia="en-AU"/>
        </w:rPr>
        <w:t>MSAC’s revisions to table c</w:t>
      </w:r>
      <w:r w:rsidRPr="00C227CD">
        <w:rPr>
          <w:rFonts w:ascii="Arial Narrow" w:eastAsia="Times New Roman" w:hAnsi="Arial Narrow" w:cs="Times New Roman"/>
          <w:color w:val="000000"/>
          <w:sz w:val="18"/>
          <w:szCs w:val="18"/>
          <w:lang w:eastAsia="en-AU"/>
        </w:rPr>
        <w:t xml:space="preserve">onstructed during the evaluation using the ‘Attachment 6_EndoPredict_budget impact.xlsx’ workbook included in the </w:t>
      </w:r>
      <w:r>
        <w:rPr>
          <w:rFonts w:ascii="Arial Narrow" w:eastAsia="Times New Roman" w:hAnsi="Arial Narrow" w:cs="Times New Roman"/>
          <w:color w:val="000000"/>
          <w:sz w:val="18"/>
          <w:szCs w:val="18"/>
          <w:lang w:eastAsia="en-AU"/>
        </w:rPr>
        <w:t>1408.1 re-application</w:t>
      </w:r>
      <w:r w:rsidRPr="00C227CD">
        <w:rPr>
          <w:rFonts w:ascii="Arial Narrow" w:eastAsia="Times New Roman" w:hAnsi="Arial Narrow" w:cs="Times New Roman"/>
          <w:color w:val="000000"/>
          <w:sz w:val="18"/>
          <w:szCs w:val="18"/>
          <w:lang w:eastAsia="en-AU"/>
        </w:rPr>
        <w:t>.</w:t>
      </w:r>
    </w:p>
    <w:p w14:paraId="5B1F61FC" w14:textId="7BD3A9B1" w:rsidR="002056CD" w:rsidRPr="00D76968" w:rsidRDefault="002056CD" w:rsidP="000F0726">
      <w:pPr>
        <w:keepNext/>
        <w:rPr>
          <w:rFonts w:ascii="Franklin Gothic Book" w:hAnsi="Franklin Gothic Book"/>
        </w:rPr>
      </w:pPr>
      <w:r w:rsidRPr="00D76968">
        <w:rPr>
          <w:rFonts w:ascii="Franklin Gothic Book" w:hAnsi="Franklin Gothic Book"/>
        </w:rPr>
        <w:lastRenderedPageBreak/>
        <w:t xml:space="preserve">The net financial impact to the MBS remains uncertain, given the lack of justification in </w:t>
      </w:r>
      <w:proofErr w:type="gramStart"/>
      <w:r w:rsidRPr="00D76968">
        <w:rPr>
          <w:rFonts w:ascii="Franklin Gothic Book" w:hAnsi="Franklin Gothic Book"/>
        </w:rPr>
        <w:t>a number of</w:t>
      </w:r>
      <w:proofErr w:type="gramEnd"/>
      <w:r w:rsidRPr="00D76968">
        <w:rPr>
          <w:rFonts w:ascii="Franklin Gothic Book" w:hAnsi="Franklin Gothic Book"/>
        </w:rPr>
        <w:t xml:space="preserve"> the estimates used to determine the size of the eligible population and extent of use:</w:t>
      </w:r>
    </w:p>
    <w:p w14:paraId="5DFEEC38" w14:textId="352ACAB2" w:rsidR="002056CD" w:rsidRPr="00D76968" w:rsidRDefault="002056CD" w:rsidP="00E95EED">
      <w:pPr>
        <w:numPr>
          <w:ilvl w:val="0"/>
          <w:numId w:val="27"/>
        </w:numPr>
        <w:spacing w:before="120"/>
        <w:contextualSpacing/>
        <w:rPr>
          <w:rFonts w:ascii="Franklin Gothic Book" w:hAnsi="Franklin Gothic Book"/>
          <w:i/>
        </w:rPr>
      </w:pPr>
      <w:r w:rsidRPr="00D76968">
        <w:rPr>
          <w:rFonts w:ascii="Franklin Gothic Book" w:hAnsi="Franklin Gothic Book"/>
        </w:rPr>
        <w:t>The growth rate for breast cancer incidence (3.36%) was updated to reflect the average reported by the AIHW over 2008−2017.</w:t>
      </w:r>
      <w:r w:rsidRPr="00D76968">
        <w:rPr>
          <w:rFonts w:ascii="Franklin Gothic Book" w:hAnsi="Franklin Gothic Book"/>
          <w:i/>
        </w:rPr>
        <w:t xml:space="preserve"> </w:t>
      </w:r>
      <w:r w:rsidRPr="003F20EB">
        <w:rPr>
          <w:rFonts w:ascii="Franklin Gothic Book" w:hAnsi="Franklin Gothic Book"/>
          <w:iCs/>
        </w:rPr>
        <w:t>Th</w:t>
      </w:r>
      <w:r w:rsidR="008C2D6E" w:rsidRPr="003F20EB">
        <w:rPr>
          <w:rFonts w:ascii="Franklin Gothic Book" w:hAnsi="Franklin Gothic Book"/>
          <w:iCs/>
        </w:rPr>
        <w:t xml:space="preserve">e </w:t>
      </w:r>
      <w:r w:rsidR="00B766DC" w:rsidRPr="00B766DC">
        <w:rPr>
          <w:rFonts w:ascii="Franklin Gothic Book" w:hAnsi="Franklin Gothic Book"/>
          <w:iCs/>
        </w:rPr>
        <w:t>c</w:t>
      </w:r>
      <w:r w:rsidR="008C2D6E" w:rsidRPr="003F20EB">
        <w:rPr>
          <w:rFonts w:ascii="Franklin Gothic Book" w:hAnsi="Franklin Gothic Book"/>
          <w:iCs/>
        </w:rPr>
        <w:t>ommentary considered th</w:t>
      </w:r>
      <w:r w:rsidRPr="003F20EB">
        <w:rPr>
          <w:rFonts w:ascii="Franklin Gothic Book" w:hAnsi="Franklin Gothic Book"/>
          <w:iCs/>
        </w:rPr>
        <w:t xml:space="preserve">is did not </w:t>
      </w:r>
      <w:proofErr w:type="gramStart"/>
      <w:r w:rsidRPr="003F20EB">
        <w:rPr>
          <w:rFonts w:ascii="Franklin Gothic Book" w:hAnsi="Franklin Gothic Book"/>
          <w:iCs/>
        </w:rPr>
        <w:t>take into account</w:t>
      </w:r>
      <w:proofErr w:type="gramEnd"/>
      <w:r w:rsidRPr="003F20EB">
        <w:rPr>
          <w:rFonts w:ascii="Franklin Gothic Book" w:hAnsi="Franklin Gothic Book"/>
          <w:iCs/>
        </w:rPr>
        <w:t xml:space="preserve"> estimates projected by the AIHW up to 2021. When these data are considered, the 10-year average decreases to 3.15%.</w:t>
      </w:r>
    </w:p>
    <w:p w14:paraId="17B8FADC" w14:textId="2F62D41B" w:rsidR="002056CD" w:rsidRPr="00D76968" w:rsidRDefault="002056CD" w:rsidP="00E95EED">
      <w:pPr>
        <w:numPr>
          <w:ilvl w:val="0"/>
          <w:numId w:val="27"/>
        </w:numPr>
        <w:spacing w:before="120"/>
        <w:contextualSpacing/>
        <w:rPr>
          <w:rFonts w:ascii="Franklin Gothic Book" w:hAnsi="Franklin Gothic Book"/>
          <w:i/>
        </w:rPr>
      </w:pPr>
      <w:r w:rsidRPr="00D76968">
        <w:rPr>
          <w:rFonts w:ascii="Franklin Gothic Book" w:hAnsi="Franklin Gothic Book"/>
        </w:rPr>
        <w:t xml:space="preserve">The proportion of incident cases that are localised was unchanged from the </w:t>
      </w:r>
      <w:r w:rsidR="0061557F" w:rsidRPr="00D76968">
        <w:rPr>
          <w:rFonts w:ascii="Franklin Gothic Book" w:hAnsi="Franklin Gothic Book"/>
        </w:rPr>
        <w:t xml:space="preserve">1408 </w:t>
      </w:r>
      <w:r w:rsidR="00815375">
        <w:rPr>
          <w:rFonts w:ascii="Franklin Gothic Book" w:hAnsi="Franklin Gothic Book"/>
          <w:iCs/>
        </w:rPr>
        <w:t>application</w:t>
      </w:r>
      <w:r w:rsidRPr="00D76968">
        <w:rPr>
          <w:rFonts w:ascii="Franklin Gothic Book" w:hAnsi="Franklin Gothic Book"/>
        </w:rPr>
        <w:t xml:space="preserve"> and assumed to be 80%. </w:t>
      </w:r>
      <w:r w:rsidRPr="003F20EB">
        <w:rPr>
          <w:rFonts w:ascii="Franklin Gothic Book" w:hAnsi="Franklin Gothic Book"/>
          <w:iCs/>
        </w:rPr>
        <w:t>Th</w:t>
      </w:r>
      <w:r w:rsidR="008C2D6E" w:rsidRPr="004E4EFB">
        <w:rPr>
          <w:rFonts w:ascii="Franklin Gothic Book" w:hAnsi="Franklin Gothic Book"/>
          <w:iCs/>
        </w:rPr>
        <w:t xml:space="preserve">e </w:t>
      </w:r>
      <w:r w:rsidR="00B766DC" w:rsidRPr="004E4EFB">
        <w:rPr>
          <w:rFonts w:ascii="Franklin Gothic Book" w:hAnsi="Franklin Gothic Book"/>
          <w:iCs/>
        </w:rPr>
        <w:t>c</w:t>
      </w:r>
      <w:r w:rsidR="008C2D6E" w:rsidRPr="004E4EFB">
        <w:rPr>
          <w:rFonts w:ascii="Franklin Gothic Book" w:hAnsi="Franklin Gothic Book"/>
          <w:iCs/>
        </w:rPr>
        <w:t>ommentary considered th</w:t>
      </w:r>
      <w:r w:rsidRPr="003F20EB">
        <w:rPr>
          <w:rFonts w:ascii="Franklin Gothic Book" w:hAnsi="Franklin Gothic Book"/>
          <w:iCs/>
        </w:rPr>
        <w:t>is remains inadequately justified. Australian</w:t>
      </w:r>
      <w:r w:rsidRPr="003F20EB">
        <w:rPr>
          <w:rFonts w:ascii="Franklin Gothic Book" w:hAnsi="Franklin Gothic Book"/>
          <w:iCs/>
          <w:vertAlign w:val="superscript"/>
        </w:rPr>
        <w:footnoteReference w:id="15"/>
      </w:r>
      <w:r w:rsidRPr="003F20EB">
        <w:rPr>
          <w:rFonts w:ascii="Franklin Gothic Book" w:hAnsi="Franklin Gothic Book"/>
          <w:iCs/>
        </w:rPr>
        <w:t xml:space="preserve"> and US data (Nelson et al. 2022)</w:t>
      </w:r>
      <w:r w:rsidRPr="003F20EB">
        <w:rPr>
          <w:rFonts w:ascii="Franklin Gothic Book" w:hAnsi="Franklin Gothic Book"/>
          <w:iCs/>
          <w:vertAlign w:val="superscript"/>
        </w:rPr>
        <w:footnoteReference w:id="16"/>
      </w:r>
      <w:r w:rsidRPr="003F20EB">
        <w:rPr>
          <w:rFonts w:ascii="Franklin Gothic Book" w:hAnsi="Franklin Gothic Book"/>
          <w:iCs/>
        </w:rPr>
        <w:t xml:space="preserve"> reported that approximately 95% of patients are diagnosed with </w:t>
      </w:r>
      <w:proofErr w:type="gramStart"/>
      <w:r w:rsidRPr="003F20EB">
        <w:rPr>
          <w:rFonts w:ascii="Franklin Gothic Book" w:hAnsi="Franklin Gothic Book"/>
          <w:iCs/>
        </w:rPr>
        <w:t>early stage</w:t>
      </w:r>
      <w:proofErr w:type="gramEnd"/>
      <w:r w:rsidRPr="003F20EB">
        <w:rPr>
          <w:rFonts w:ascii="Franklin Gothic Book" w:hAnsi="Franklin Gothic Book"/>
          <w:iCs/>
        </w:rPr>
        <w:t xml:space="preserve"> disease.</w:t>
      </w:r>
    </w:p>
    <w:p w14:paraId="2E7C8D95" w14:textId="7D6FCD9F" w:rsidR="002056CD" w:rsidRPr="00D76968" w:rsidRDefault="002056CD" w:rsidP="00E95EED">
      <w:pPr>
        <w:numPr>
          <w:ilvl w:val="0"/>
          <w:numId w:val="27"/>
        </w:numPr>
        <w:spacing w:before="120"/>
        <w:contextualSpacing/>
        <w:rPr>
          <w:rFonts w:ascii="Franklin Gothic Book" w:hAnsi="Franklin Gothic Book"/>
          <w:i/>
        </w:rPr>
      </w:pPr>
      <w:r w:rsidRPr="00D76968">
        <w:rPr>
          <w:rFonts w:ascii="Franklin Gothic Book" w:hAnsi="Franklin Gothic Book"/>
        </w:rPr>
        <w:t xml:space="preserve">The proportion of cancers that were </w:t>
      </w:r>
      <w:r w:rsidR="00BD0C7B" w:rsidRPr="00D76968">
        <w:rPr>
          <w:rFonts w:ascii="Franklin Gothic Book" w:hAnsi="Franklin Gothic Book"/>
        </w:rPr>
        <w:t>E</w:t>
      </w:r>
      <w:r w:rsidRPr="00D76968">
        <w:rPr>
          <w:rFonts w:ascii="Franklin Gothic Book" w:hAnsi="Franklin Gothic Book"/>
        </w:rPr>
        <w:t xml:space="preserve">R+ and HER2− was unchanged from the </w:t>
      </w:r>
      <w:r w:rsidR="0061557F" w:rsidRPr="00D76968">
        <w:rPr>
          <w:rFonts w:ascii="Franklin Gothic Book" w:hAnsi="Franklin Gothic Book"/>
        </w:rPr>
        <w:t xml:space="preserve">1408 </w:t>
      </w:r>
      <w:r w:rsidR="00815375">
        <w:rPr>
          <w:rFonts w:ascii="Franklin Gothic Book" w:hAnsi="Franklin Gothic Book"/>
          <w:iCs/>
        </w:rPr>
        <w:t>application</w:t>
      </w:r>
      <w:r w:rsidRPr="00D76968">
        <w:rPr>
          <w:rFonts w:ascii="Franklin Gothic Book" w:hAnsi="Franklin Gothic Book"/>
        </w:rPr>
        <w:t xml:space="preserve"> and assumed to be 67% and 80%, respectively. </w:t>
      </w:r>
      <w:r w:rsidRPr="003F20EB">
        <w:rPr>
          <w:rFonts w:ascii="Franklin Gothic Book" w:hAnsi="Franklin Gothic Book"/>
          <w:iCs/>
        </w:rPr>
        <w:t>Th</w:t>
      </w:r>
      <w:r w:rsidR="008C2D6E" w:rsidRPr="004E4EFB">
        <w:rPr>
          <w:rFonts w:ascii="Franklin Gothic Book" w:hAnsi="Franklin Gothic Book"/>
          <w:iCs/>
        </w:rPr>
        <w:t xml:space="preserve">e </w:t>
      </w:r>
      <w:r w:rsidR="00B766DC" w:rsidRPr="004E4EFB">
        <w:rPr>
          <w:rFonts w:ascii="Franklin Gothic Book" w:hAnsi="Franklin Gothic Book"/>
          <w:iCs/>
        </w:rPr>
        <w:t>c</w:t>
      </w:r>
      <w:r w:rsidR="008C2D6E" w:rsidRPr="004E4EFB">
        <w:rPr>
          <w:rFonts w:ascii="Franklin Gothic Book" w:hAnsi="Franklin Gothic Book"/>
          <w:iCs/>
        </w:rPr>
        <w:t>ommentary considered th</w:t>
      </w:r>
      <w:r w:rsidRPr="003F20EB">
        <w:rPr>
          <w:rFonts w:ascii="Franklin Gothic Book" w:hAnsi="Franklin Gothic Book"/>
          <w:iCs/>
        </w:rPr>
        <w:t>e basis for these were not clear, however were noted to be lower than recently reported in a cohort of Australian women with early breast cancer (85.3% and 87.3%, respectively) (Chan et al. 2021)</w:t>
      </w:r>
      <w:r w:rsidRPr="003F20EB">
        <w:rPr>
          <w:rFonts w:ascii="Franklin Gothic Book" w:hAnsi="Franklin Gothic Book"/>
          <w:iCs/>
          <w:vertAlign w:val="superscript"/>
        </w:rPr>
        <w:footnoteReference w:id="17"/>
      </w:r>
      <w:r w:rsidRPr="003F20EB">
        <w:rPr>
          <w:rFonts w:ascii="Franklin Gothic Book" w:hAnsi="Franklin Gothic Book"/>
          <w:iCs/>
        </w:rPr>
        <w:t>.</w:t>
      </w:r>
    </w:p>
    <w:p w14:paraId="7B5067CA" w14:textId="45304758" w:rsidR="002056CD" w:rsidRPr="003F20EB" w:rsidRDefault="002056CD" w:rsidP="00E95EED">
      <w:pPr>
        <w:numPr>
          <w:ilvl w:val="0"/>
          <w:numId w:val="27"/>
        </w:numPr>
        <w:spacing w:before="120"/>
        <w:contextualSpacing/>
        <w:rPr>
          <w:rFonts w:ascii="Franklin Gothic Book" w:hAnsi="Franklin Gothic Book"/>
          <w:iCs/>
        </w:rPr>
      </w:pPr>
      <w:r w:rsidRPr="00D76968">
        <w:rPr>
          <w:rFonts w:ascii="Franklin Gothic Book" w:hAnsi="Franklin Gothic Book"/>
        </w:rPr>
        <w:t xml:space="preserve">The proportion of patients suitable for adjuvant chemotherapy was unchanged from the </w:t>
      </w:r>
      <w:r w:rsidR="0061557F" w:rsidRPr="00D76968">
        <w:rPr>
          <w:rFonts w:ascii="Franklin Gothic Book" w:hAnsi="Franklin Gothic Book"/>
        </w:rPr>
        <w:t xml:space="preserve">1408 </w:t>
      </w:r>
      <w:r w:rsidR="00815375">
        <w:rPr>
          <w:rFonts w:ascii="Franklin Gothic Book" w:hAnsi="Franklin Gothic Book"/>
          <w:iCs/>
        </w:rPr>
        <w:t>application</w:t>
      </w:r>
      <w:r w:rsidRPr="00D76968">
        <w:rPr>
          <w:rFonts w:ascii="Franklin Gothic Book" w:hAnsi="Franklin Gothic Book"/>
        </w:rPr>
        <w:t xml:space="preserve"> and assumed to be 75%.</w:t>
      </w:r>
      <w:r w:rsidRPr="00D76968">
        <w:rPr>
          <w:rFonts w:ascii="Franklin Gothic Book" w:hAnsi="Franklin Gothic Book"/>
          <w:i/>
        </w:rPr>
        <w:t xml:space="preserve"> </w:t>
      </w:r>
      <w:r w:rsidRPr="003F20EB">
        <w:rPr>
          <w:rFonts w:ascii="Franklin Gothic Book" w:hAnsi="Franklin Gothic Book"/>
          <w:iCs/>
        </w:rPr>
        <w:t>Th</w:t>
      </w:r>
      <w:r w:rsidR="008C2D6E" w:rsidRPr="004E4EFB">
        <w:rPr>
          <w:rFonts w:ascii="Franklin Gothic Book" w:hAnsi="Franklin Gothic Book"/>
          <w:iCs/>
        </w:rPr>
        <w:t xml:space="preserve">e </w:t>
      </w:r>
      <w:r w:rsidR="00B766DC" w:rsidRPr="004E4EFB">
        <w:rPr>
          <w:rFonts w:ascii="Franklin Gothic Book" w:hAnsi="Franklin Gothic Book"/>
          <w:iCs/>
        </w:rPr>
        <w:t>c</w:t>
      </w:r>
      <w:r w:rsidR="008C2D6E" w:rsidRPr="004E4EFB">
        <w:rPr>
          <w:rFonts w:ascii="Franklin Gothic Book" w:hAnsi="Franklin Gothic Book"/>
          <w:iCs/>
        </w:rPr>
        <w:t>ommentary considered th</w:t>
      </w:r>
      <w:r w:rsidRPr="003F20EB">
        <w:rPr>
          <w:rFonts w:ascii="Franklin Gothic Book" w:hAnsi="Franklin Gothic Book"/>
          <w:iCs/>
        </w:rPr>
        <w:t>is remains inadequately justified. Suitability to chemotherapy may be weighed against the possible gains from treatment, and so patients who are less able to tolerate chemotherapy may still be offered it if predicted to substantially benefit.</w:t>
      </w:r>
    </w:p>
    <w:p w14:paraId="56AAA858" w14:textId="63B0C93B" w:rsidR="002056CD" w:rsidRPr="003F20EB" w:rsidRDefault="002056CD" w:rsidP="00E95EED">
      <w:pPr>
        <w:numPr>
          <w:ilvl w:val="0"/>
          <w:numId w:val="27"/>
        </w:numPr>
        <w:spacing w:before="120"/>
        <w:contextualSpacing/>
        <w:rPr>
          <w:rFonts w:ascii="Franklin Gothic Book" w:hAnsi="Franklin Gothic Book"/>
          <w:iCs/>
        </w:rPr>
      </w:pPr>
      <w:r w:rsidRPr="00D76968">
        <w:rPr>
          <w:rFonts w:ascii="Franklin Gothic Book" w:hAnsi="Franklin Gothic Book"/>
        </w:rPr>
        <w:t xml:space="preserve">The proportion of patients with an intermediate risk of recurrence prior to </w:t>
      </w:r>
      <w:r w:rsidR="00D50E5C" w:rsidRPr="00D76968">
        <w:rPr>
          <w:rFonts w:ascii="Franklin Gothic Book" w:hAnsi="Franklin Gothic Book"/>
        </w:rPr>
        <w:t>EndoPredict</w:t>
      </w:r>
      <w:r w:rsidR="005F1260" w:rsidRPr="005F1260">
        <w:rPr>
          <w:rFonts w:ascii="Franklin Gothic Book" w:hAnsi="Franklin Gothic Book"/>
          <w:vertAlign w:val="superscript"/>
        </w:rPr>
        <w:t>®</w:t>
      </w:r>
      <w:r w:rsidRPr="00D76968">
        <w:rPr>
          <w:rFonts w:ascii="Franklin Gothic Book" w:hAnsi="Franklin Gothic Book"/>
        </w:rPr>
        <w:t xml:space="preserve"> was unchanged from the </w:t>
      </w:r>
      <w:r w:rsidR="0061557F" w:rsidRPr="00D76968">
        <w:rPr>
          <w:rFonts w:ascii="Franklin Gothic Book" w:hAnsi="Franklin Gothic Book"/>
        </w:rPr>
        <w:t xml:space="preserve">1408 </w:t>
      </w:r>
      <w:r w:rsidR="00815375">
        <w:rPr>
          <w:rFonts w:ascii="Franklin Gothic Book" w:hAnsi="Franklin Gothic Book"/>
          <w:iCs/>
        </w:rPr>
        <w:t>application</w:t>
      </w:r>
      <w:r w:rsidRPr="00D76968">
        <w:rPr>
          <w:rFonts w:ascii="Franklin Gothic Book" w:hAnsi="Franklin Gothic Book"/>
        </w:rPr>
        <w:t xml:space="preserve"> and assumed to be 80%.</w:t>
      </w:r>
      <w:r w:rsidRPr="00D76968">
        <w:rPr>
          <w:rFonts w:ascii="Franklin Gothic Book" w:hAnsi="Franklin Gothic Book"/>
          <w:i/>
        </w:rPr>
        <w:t xml:space="preserve"> </w:t>
      </w:r>
      <w:r w:rsidRPr="003F20EB">
        <w:rPr>
          <w:rFonts w:ascii="Franklin Gothic Book" w:hAnsi="Franklin Gothic Book"/>
          <w:iCs/>
        </w:rPr>
        <w:t>Th</w:t>
      </w:r>
      <w:r w:rsidR="008C2D6E" w:rsidRPr="004E4EFB">
        <w:rPr>
          <w:rFonts w:ascii="Franklin Gothic Book" w:hAnsi="Franklin Gothic Book"/>
          <w:iCs/>
        </w:rPr>
        <w:t xml:space="preserve">e </w:t>
      </w:r>
      <w:r w:rsidR="00B766DC" w:rsidRPr="004E4EFB">
        <w:rPr>
          <w:rFonts w:ascii="Franklin Gothic Book" w:hAnsi="Franklin Gothic Book"/>
          <w:iCs/>
        </w:rPr>
        <w:t>c</w:t>
      </w:r>
      <w:r w:rsidR="008C2D6E" w:rsidRPr="004E4EFB">
        <w:rPr>
          <w:rFonts w:ascii="Franklin Gothic Book" w:hAnsi="Franklin Gothic Book"/>
          <w:iCs/>
        </w:rPr>
        <w:t xml:space="preserve">ommentary considered </w:t>
      </w:r>
      <w:r w:rsidR="008C2D6E">
        <w:rPr>
          <w:rFonts w:ascii="Franklin Gothic Book" w:hAnsi="Franklin Gothic Book"/>
          <w:iCs/>
        </w:rPr>
        <w:t xml:space="preserve">that </w:t>
      </w:r>
      <w:r w:rsidR="008C2D6E" w:rsidRPr="004E4EFB">
        <w:rPr>
          <w:rFonts w:ascii="Franklin Gothic Book" w:hAnsi="Franklin Gothic Book"/>
          <w:iCs/>
        </w:rPr>
        <w:t>th</w:t>
      </w:r>
      <w:r w:rsidRPr="003F20EB">
        <w:rPr>
          <w:rFonts w:ascii="Franklin Gothic Book" w:hAnsi="Franklin Gothic Book"/>
          <w:iCs/>
        </w:rPr>
        <w:t>is appears consistent with intermediate risk patients in the ABCSG6&amp;8 cohort (1,371/1,702, 80.6%)</w:t>
      </w:r>
      <w:r w:rsidRPr="003F20EB">
        <w:rPr>
          <w:rFonts w:ascii="Franklin Gothic Book" w:hAnsi="Franklin Gothic Book"/>
          <w:iCs/>
          <w:vertAlign w:val="superscript"/>
        </w:rPr>
        <w:footnoteReference w:id="18"/>
      </w:r>
      <w:r w:rsidRPr="003F20EB">
        <w:rPr>
          <w:rFonts w:ascii="Franklin Gothic Book" w:hAnsi="Franklin Gothic Book"/>
          <w:iCs/>
        </w:rPr>
        <w:t>. However, high</w:t>
      </w:r>
      <w:r w:rsidR="00077D16">
        <w:rPr>
          <w:rFonts w:ascii="Franklin Gothic Book" w:hAnsi="Franklin Gothic Book"/>
          <w:iCs/>
        </w:rPr>
        <w:t>-</w:t>
      </w:r>
      <w:r w:rsidRPr="003F20EB">
        <w:rPr>
          <w:rFonts w:ascii="Franklin Gothic Book" w:hAnsi="Franklin Gothic Book"/>
          <w:iCs/>
        </w:rPr>
        <w:t>risk patients may have been underrepresented in this cohort (and intermediate risk patients overrepresented) as the studies did not allow use of adjuvant chemotherapy, nor enrolled pre-menopausal patients.</w:t>
      </w:r>
    </w:p>
    <w:p w14:paraId="6C090A76" w14:textId="1024C51D" w:rsidR="002056CD" w:rsidRPr="00D76968" w:rsidRDefault="002056CD" w:rsidP="00D76968">
      <w:pPr>
        <w:numPr>
          <w:ilvl w:val="0"/>
          <w:numId w:val="27"/>
        </w:numPr>
        <w:spacing w:before="120"/>
        <w:ind w:left="714" w:hanging="357"/>
        <w:rPr>
          <w:rFonts w:ascii="Franklin Gothic Book" w:hAnsi="Franklin Gothic Book"/>
          <w:i/>
        </w:rPr>
      </w:pPr>
      <w:r w:rsidRPr="00D76968">
        <w:rPr>
          <w:rFonts w:ascii="Franklin Gothic Book" w:hAnsi="Franklin Gothic Book"/>
        </w:rPr>
        <w:t xml:space="preserve">Uptake of </w:t>
      </w:r>
      <w:r w:rsidR="00D50E5C" w:rsidRPr="00D76968">
        <w:rPr>
          <w:rFonts w:ascii="Franklin Gothic Book" w:hAnsi="Franklin Gothic Book"/>
        </w:rPr>
        <w:t>EndoPredict</w:t>
      </w:r>
      <w:r w:rsidR="005F1260" w:rsidRPr="005F1260">
        <w:rPr>
          <w:rFonts w:ascii="Franklin Gothic Book" w:hAnsi="Franklin Gothic Book"/>
          <w:vertAlign w:val="superscript"/>
        </w:rPr>
        <w:t>®</w:t>
      </w:r>
      <w:r w:rsidRPr="00D76968">
        <w:rPr>
          <w:rFonts w:ascii="Franklin Gothic Book" w:hAnsi="Franklin Gothic Book"/>
        </w:rPr>
        <w:t xml:space="preserve"> was unchanged from the </w:t>
      </w:r>
      <w:r w:rsidR="0061557F" w:rsidRPr="00D76968">
        <w:rPr>
          <w:rFonts w:ascii="Franklin Gothic Book" w:hAnsi="Franklin Gothic Book"/>
        </w:rPr>
        <w:t xml:space="preserve">1408 </w:t>
      </w:r>
      <w:r w:rsidR="00815375">
        <w:rPr>
          <w:rFonts w:ascii="Franklin Gothic Book" w:hAnsi="Franklin Gothic Book"/>
          <w:iCs/>
        </w:rPr>
        <w:t>application</w:t>
      </w:r>
      <w:r w:rsidRPr="00D76968">
        <w:rPr>
          <w:rFonts w:ascii="Franklin Gothic Book" w:hAnsi="Franklin Gothic Book"/>
        </w:rPr>
        <w:t xml:space="preserve"> and was assumed to increase from 60% in the first year to 80% by the third year of listing. </w:t>
      </w:r>
      <w:r w:rsidR="008C2D6E">
        <w:rPr>
          <w:rFonts w:ascii="Franklin Gothic Book" w:hAnsi="Franklin Gothic Book"/>
        </w:rPr>
        <w:t xml:space="preserve">The </w:t>
      </w:r>
      <w:r w:rsidR="00B766DC">
        <w:rPr>
          <w:rFonts w:ascii="Franklin Gothic Book" w:hAnsi="Franklin Gothic Book"/>
        </w:rPr>
        <w:t>c</w:t>
      </w:r>
      <w:r w:rsidR="008C2D6E">
        <w:rPr>
          <w:rFonts w:ascii="Franklin Gothic Book" w:hAnsi="Franklin Gothic Book"/>
        </w:rPr>
        <w:t xml:space="preserve">ommentary noted </w:t>
      </w:r>
      <w:r w:rsidR="008C2D6E" w:rsidRPr="003F20EB">
        <w:rPr>
          <w:rFonts w:ascii="Franklin Gothic Book" w:hAnsi="Franklin Gothic Book"/>
          <w:iCs/>
        </w:rPr>
        <w:t>n</w:t>
      </w:r>
      <w:r w:rsidRPr="003F20EB">
        <w:rPr>
          <w:rFonts w:ascii="Franklin Gothic Book" w:hAnsi="Franklin Gothic Book"/>
          <w:iCs/>
        </w:rPr>
        <w:t>o justification was provided to support these estimates.</w:t>
      </w:r>
    </w:p>
    <w:p w14:paraId="7895D21D" w14:textId="6C4A2F37" w:rsidR="002056CD" w:rsidRPr="003F20EB" w:rsidRDefault="002056CD" w:rsidP="00D76968">
      <w:pPr>
        <w:spacing w:before="240"/>
        <w:rPr>
          <w:rFonts w:ascii="Franklin Gothic Book" w:hAnsi="Franklin Gothic Book"/>
          <w:iCs/>
        </w:rPr>
      </w:pPr>
      <w:r w:rsidRPr="003F20EB">
        <w:rPr>
          <w:rFonts w:ascii="Franklin Gothic Book" w:hAnsi="Franklin Gothic Book"/>
          <w:iCs/>
        </w:rPr>
        <w:t>The alternate estimates identified during the evaluation suggest that the size of the eligible population may be an underestimate, though substantial uncertainty remains regarding the proportion of patients considered suitable for chemotherapy and the proportion who meet the definition of intermediate risk of recurrence as specified in the proposed MBS item descriptor.</w:t>
      </w:r>
    </w:p>
    <w:p w14:paraId="26AA98C6" w14:textId="6DAA937E" w:rsidR="002056CD" w:rsidRPr="003F20EB" w:rsidRDefault="002056CD" w:rsidP="002056CD">
      <w:pPr>
        <w:rPr>
          <w:rFonts w:ascii="Franklin Gothic Book" w:hAnsi="Franklin Gothic Book"/>
          <w:iCs/>
        </w:rPr>
      </w:pPr>
      <w:r w:rsidRPr="003F20EB">
        <w:rPr>
          <w:rFonts w:ascii="Franklin Gothic Book" w:hAnsi="Franklin Gothic Book"/>
          <w:iCs/>
        </w:rPr>
        <w:t xml:space="preserve">Additional uncertainty was previously raised regarding whether </w:t>
      </w:r>
      <w:r w:rsidR="00D50E5C" w:rsidRPr="003F20EB">
        <w:rPr>
          <w:rFonts w:ascii="Franklin Gothic Book" w:hAnsi="Franklin Gothic Book"/>
          <w:iCs/>
        </w:rPr>
        <w:t>EndoPredict</w:t>
      </w:r>
      <w:r w:rsidR="005F1260" w:rsidRPr="005F1260">
        <w:rPr>
          <w:rFonts w:ascii="Franklin Gothic Book" w:hAnsi="Franklin Gothic Book"/>
          <w:iCs/>
          <w:vertAlign w:val="superscript"/>
        </w:rPr>
        <w:t>®</w:t>
      </w:r>
      <w:r w:rsidRPr="003F20EB">
        <w:rPr>
          <w:rFonts w:ascii="Franklin Gothic Book" w:hAnsi="Franklin Gothic Book"/>
          <w:iCs/>
        </w:rPr>
        <w:t xml:space="preserve"> would be </w:t>
      </w:r>
      <w:r w:rsidR="00C266B4" w:rsidRPr="003F20EB">
        <w:rPr>
          <w:rFonts w:ascii="Franklin Gothic Book" w:hAnsi="Franklin Gothic Book"/>
          <w:iCs/>
        </w:rPr>
        <w:t>requested</w:t>
      </w:r>
      <w:r w:rsidRPr="003F20EB">
        <w:rPr>
          <w:rFonts w:ascii="Franklin Gothic Book" w:hAnsi="Franklin Gothic Book"/>
          <w:iCs/>
        </w:rPr>
        <w:t xml:space="preserve"> in the outpatient or inpatient setting. This was not addressed in the </w:t>
      </w:r>
      <w:r w:rsidR="00330463" w:rsidRPr="003F20EB">
        <w:rPr>
          <w:rFonts w:ascii="Franklin Gothic Book" w:hAnsi="Franklin Gothic Book"/>
          <w:iCs/>
        </w:rPr>
        <w:t xml:space="preserve">1408.1 </w:t>
      </w:r>
      <w:r w:rsidR="00815375">
        <w:rPr>
          <w:rFonts w:ascii="Franklin Gothic Book" w:hAnsi="Franklin Gothic Book"/>
          <w:iCs/>
        </w:rPr>
        <w:t>re-application</w:t>
      </w:r>
      <w:r w:rsidRPr="003F20EB">
        <w:rPr>
          <w:rFonts w:ascii="Franklin Gothic Book" w:hAnsi="Franklin Gothic Book"/>
          <w:iCs/>
        </w:rPr>
        <w:t xml:space="preserve">, </w:t>
      </w:r>
      <w:r w:rsidR="00A056E0" w:rsidRPr="003F20EB">
        <w:rPr>
          <w:rFonts w:ascii="Franklin Gothic Book" w:hAnsi="Franklin Gothic Book"/>
          <w:iCs/>
        </w:rPr>
        <w:t>which</w:t>
      </w:r>
      <w:r w:rsidRPr="003F20EB">
        <w:rPr>
          <w:rFonts w:ascii="Franklin Gothic Book" w:hAnsi="Franklin Gothic Book"/>
          <w:iCs/>
        </w:rPr>
        <w:t xml:space="preserve"> maintained the </w:t>
      </w:r>
      <w:r w:rsidR="00A056E0" w:rsidRPr="003F20EB">
        <w:rPr>
          <w:rFonts w:ascii="Franklin Gothic Book" w:hAnsi="Franklin Gothic Book"/>
          <w:iCs/>
        </w:rPr>
        <w:t xml:space="preserve">previous </w:t>
      </w:r>
      <w:r w:rsidRPr="003F20EB">
        <w:rPr>
          <w:rFonts w:ascii="Franklin Gothic Book" w:hAnsi="Franklin Gothic Book"/>
          <w:iCs/>
        </w:rPr>
        <w:t>assumption that all services would incur the 75% benefit. The MBS benefit applied is a driver of the net impact to the MBS, given that in the outpatient setting, the 85% rebate increases above 85% due to the greatest permissible gap rule.</w:t>
      </w:r>
    </w:p>
    <w:p w14:paraId="79B3AFAE" w14:textId="2FCCBAC8" w:rsidR="002056CD" w:rsidRPr="008C2D6E" w:rsidRDefault="002056CD" w:rsidP="002056CD">
      <w:pPr>
        <w:rPr>
          <w:rFonts w:ascii="Franklin Gothic Book" w:hAnsi="Franklin Gothic Book"/>
          <w:iCs/>
        </w:rPr>
      </w:pPr>
      <w:r w:rsidRPr="00D76968">
        <w:rPr>
          <w:rFonts w:ascii="Franklin Gothic Book" w:hAnsi="Franklin Gothic Book"/>
        </w:rPr>
        <w:lastRenderedPageBreak/>
        <w:t xml:space="preserve">As per the </w:t>
      </w:r>
      <w:r w:rsidR="00330463" w:rsidRPr="00D76968">
        <w:rPr>
          <w:rFonts w:ascii="Franklin Gothic Book" w:hAnsi="Franklin Gothic Book"/>
        </w:rPr>
        <w:t xml:space="preserve">1408 </w:t>
      </w:r>
      <w:r w:rsidR="00815375">
        <w:rPr>
          <w:rFonts w:ascii="Franklin Gothic Book" w:hAnsi="Franklin Gothic Book"/>
          <w:iCs/>
        </w:rPr>
        <w:t>application</w:t>
      </w:r>
      <w:r w:rsidRPr="00D76968">
        <w:rPr>
          <w:rFonts w:ascii="Franklin Gothic Book" w:hAnsi="Franklin Gothic Book"/>
        </w:rPr>
        <w:t xml:space="preserve">, cost offsets to the MBS were assumed due to a reduction in adjuvant chemotherapy use with </w:t>
      </w:r>
      <w:r w:rsidR="00D50E5C" w:rsidRPr="00D76968">
        <w:rPr>
          <w:rFonts w:ascii="Franklin Gothic Book" w:hAnsi="Franklin Gothic Book"/>
        </w:rPr>
        <w:t>EndoPredict</w:t>
      </w:r>
      <w:r w:rsidR="005F1260" w:rsidRPr="005F1260">
        <w:rPr>
          <w:rFonts w:ascii="Franklin Gothic Book" w:hAnsi="Franklin Gothic Book"/>
          <w:vertAlign w:val="superscript"/>
        </w:rPr>
        <w:t>®</w:t>
      </w:r>
      <w:r w:rsidRPr="00D76968">
        <w:rPr>
          <w:rFonts w:ascii="Franklin Gothic Book" w:hAnsi="Franklin Gothic Book"/>
        </w:rPr>
        <w:t xml:space="preserve">. </w:t>
      </w:r>
      <w:r w:rsidRPr="003F20EB">
        <w:rPr>
          <w:rFonts w:ascii="Franklin Gothic Book" w:hAnsi="Franklin Gothic Book"/>
          <w:iCs/>
        </w:rPr>
        <w:t>Th</w:t>
      </w:r>
      <w:r w:rsidR="008C2D6E" w:rsidRPr="004E4EFB">
        <w:rPr>
          <w:rFonts w:ascii="Franklin Gothic Book" w:hAnsi="Franklin Gothic Book"/>
          <w:iCs/>
        </w:rPr>
        <w:t xml:space="preserve">e </w:t>
      </w:r>
      <w:r w:rsidR="00B766DC" w:rsidRPr="004E4EFB">
        <w:rPr>
          <w:rFonts w:ascii="Franklin Gothic Book" w:hAnsi="Franklin Gothic Book"/>
          <w:iCs/>
        </w:rPr>
        <w:t>c</w:t>
      </w:r>
      <w:r w:rsidR="008C2D6E" w:rsidRPr="004E4EFB">
        <w:rPr>
          <w:rFonts w:ascii="Franklin Gothic Book" w:hAnsi="Franklin Gothic Book"/>
          <w:iCs/>
        </w:rPr>
        <w:t xml:space="preserve">ommentary </w:t>
      </w:r>
      <w:r w:rsidR="008C2D6E">
        <w:rPr>
          <w:rFonts w:ascii="Franklin Gothic Book" w:hAnsi="Franklin Gothic Book"/>
          <w:iCs/>
        </w:rPr>
        <w:t>noted</w:t>
      </w:r>
      <w:r w:rsidR="008C2D6E" w:rsidRPr="004E4EFB">
        <w:rPr>
          <w:rFonts w:ascii="Franklin Gothic Book" w:hAnsi="Franklin Gothic Book"/>
          <w:iCs/>
        </w:rPr>
        <w:t xml:space="preserve"> th</w:t>
      </w:r>
      <w:r w:rsidRPr="003F20EB">
        <w:rPr>
          <w:rFonts w:ascii="Franklin Gothic Book" w:hAnsi="Franklin Gothic Book"/>
          <w:iCs/>
        </w:rPr>
        <w:t xml:space="preserve">is was based on the difference in adjuvant chemotherapy recommendations made by the MDT before and after </w:t>
      </w:r>
      <w:r w:rsidR="00D50E5C" w:rsidRPr="003F20EB">
        <w:rPr>
          <w:rFonts w:ascii="Franklin Gothic Book" w:hAnsi="Franklin Gothic Book"/>
          <w:iCs/>
        </w:rPr>
        <w:t>EndoPredict</w:t>
      </w:r>
      <w:r w:rsidR="005F1260" w:rsidRPr="005F1260">
        <w:rPr>
          <w:rFonts w:ascii="Franklin Gothic Book" w:hAnsi="Franklin Gothic Book"/>
          <w:iCs/>
          <w:vertAlign w:val="superscript"/>
        </w:rPr>
        <w:t>®</w:t>
      </w:r>
      <w:r w:rsidRPr="003F20EB">
        <w:rPr>
          <w:rFonts w:ascii="Franklin Gothic Book" w:hAnsi="Franklin Gothic Book"/>
          <w:iCs/>
        </w:rPr>
        <w:t xml:space="preserve"> in all patients enrolled in the final analysis of PROSPER. These data therefore do not reflect what patients would </w:t>
      </w:r>
      <w:proofErr w:type="gramStart"/>
      <w:r w:rsidRPr="003F20EB">
        <w:rPr>
          <w:rFonts w:ascii="Franklin Gothic Book" w:hAnsi="Franklin Gothic Book"/>
          <w:iCs/>
        </w:rPr>
        <w:t>actually have</w:t>
      </w:r>
      <w:proofErr w:type="gramEnd"/>
      <w:r w:rsidRPr="003F20EB">
        <w:rPr>
          <w:rFonts w:ascii="Franklin Gothic Book" w:hAnsi="Franklin Gothic Book"/>
          <w:iCs/>
        </w:rPr>
        <w:t xml:space="preserve"> received with and without </w:t>
      </w:r>
      <w:r w:rsidR="00D50E5C" w:rsidRPr="003F20EB">
        <w:rPr>
          <w:rFonts w:ascii="Franklin Gothic Book" w:hAnsi="Franklin Gothic Book"/>
          <w:iCs/>
        </w:rPr>
        <w:t>EndoPredict</w:t>
      </w:r>
      <w:r w:rsidR="005F1260" w:rsidRPr="005F1260">
        <w:rPr>
          <w:rFonts w:ascii="Franklin Gothic Book" w:hAnsi="Franklin Gothic Book"/>
          <w:iCs/>
          <w:vertAlign w:val="superscript"/>
        </w:rPr>
        <w:t>®</w:t>
      </w:r>
      <w:r w:rsidRPr="003F20EB">
        <w:rPr>
          <w:rFonts w:ascii="Franklin Gothic Book" w:hAnsi="Franklin Gothic Book"/>
          <w:iCs/>
        </w:rPr>
        <w:t>, nor reflect treatment changes in the subgroup eligible under the proposed MBS item descriptor.</w:t>
      </w:r>
    </w:p>
    <w:p w14:paraId="7D67988C" w14:textId="79D5E5A0" w:rsidR="002056CD" w:rsidRPr="00B766DC" w:rsidRDefault="002056CD" w:rsidP="002056CD">
      <w:pPr>
        <w:rPr>
          <w:rFonts w:ascii="Franklin Gothic Book" w:hAnsi="Franklin Gothic Book"/>
          <w:iCs/>
        </w:rPr>
      </w:pPr>
      <w:r w:rsidRPr="00D76968">
        <w:rPr>
          <w:rFonts w:ascii="Franklin Gothic Book" w:hAnsi="Franklin Gothic Book"/>
        </w:rPr>
        <w:t xml:space="preserve">As per the </w:t>
      </w:r>
      <w:r w:rsidR="00A67D4E" w:rsidRPr="00D76968">
        <w:rPr>
          <w:rFonts w:ascii="Franklin Gothic Book" w:hAnsi="Franklin Gothic Book"/>
        </w:rPr>
        <w:t xml:space="preserve">1408 </w:t>
      </w:r>
      <w:r w:rsidR="00815375">
        <w:rPr>
          <w:rFonts w:ascii="Franklin Gothic Book" w:hAnsi="Franklin Gothic Book"/>
          <w:iCs/>
        </w:rPr>
        <w:t>application</w:t>
      </w:r>
      <w:r w:rsidRPr="00D76968">
        <w:rPr>
          <w:rFonts w:ascii="Franklin Gothic Book" w:hAnsi="Franklin Gothic Book"/>
        </w:rPr>
        <w:t>, cost offsets to the PBS were also estimated (</w:t>
      </w:r>
      <w:r w:rsidRPr="00D76968">
        <w:rPr>
          <w:rFonts w:ascii="Franklin Gothic Book" w:hAnsi="Franklin Gothic Book"/>
        </w:rPr>
        <w:fldChar w:fldCharType="begin"/>
      </w:r>
      <w:r w:rsidRPr="00D76968">
        <w:rPr>
          <w:rFonts w:ascii="Franklin Gothic Book" w:hAnsi="Franklin Gothic Book"/>
        </w:rPr>
        <w:instrText xml:space="preserve"> REF _Ref100130441 \h  \* MERGEFORMAT </w:instrText>
      </w:r>
      <w:r w:rsidRPr="00D76968">
        <w:rPr>
          <w:rFonts w:ascii="Franklin Gothic Book" w:hAnsi="Franklin Gothic Book"/>
        </w:rPr>
      </w:r>
      <w:r w:rsidRPr="00D76968">
        <w:rPr>
          <w:rFonts w:ascii="Franklin Gothic Book" w:hAnsi="Franklin Gothic Book"/>
        </w:rPr>
        <w:fldChar w:fldCharType="separate"/>
      </w:r>
      <w:r w:rsidR="00943826" w:rsidRPr="00943826">
        <w:rPr>
          <w:rFonts w:ascii="Franklin Gothic Book" w:hAnsi="Franklin Gothic Book"/>
        </w:rPr>
        <w:t>Table 20</w:t>
      </w:r>
      <w:r w:rsidRPr="00D76968">
        <w:rPr>
          <w:rFonts w:ascii="Franklin Gothic Book" w:hAnsi="Franklin Gothic Book"/>
        </w:rPr>
        <w:fldChar w:fldCharType="end"/>
      </w:r>
      <w:r w:rsidRPr="00D76968">
        <w:rPr>
          <w:rFonts w:ascii="Franklin Gothic Book" w:hAnsi="Franklin Gothic Book"/>
        </w:rPr>
        <w:t xml:space="preserve">). These included cost offsets due to a reduction in chemotherapy medicines used, </w:t>
      </w:r>
      <w:r w:rsidR="00C266B4" w:rsidRPr="003F20EB">
        <w:rPr>
          <w:rFonts w:ascii="Franklin Gothic Book" w:hAnsi="Franklin Gothic Book"/>
          <w:iCs/>
        </w:rPr>
        <w:t>consistent with the related MBS cost offsets and so subject to the same uncertainties</w:t>
      </w:r>
      <w:r w:rsidRPr="008C2D6E">
        <w:rPr>
          <w:rFonts w:ascii="Franklin Gothic Book" w:hAnsi="Franklin Gothic Book"/>
          <w:iCs/>
        </w:rPr>
        <w:t>.</w:t>
      </w:r>
      <w:r w:rsidRPr="00D76968">
        <w:rPr>
          <w:rFonts w:ascii="Franklin Gothic Book" w:hAnsi="Franklin Gothic Book"/>
        </w:rPr>
        <w:t xml:space="preserve"> In addition, a reduction in ancillary medicines for the treatment of adverse events </w:t>
      </w:r>
      <w:r w:rsidR="00330463" w:rsidRPr="00D76968">
        <w:rPr>
          <w:rFonts w:ascii="Franklin Gothic Book" w:hAnsi="Franklin Gothic Book"/>
        </w:rPr>
        <w:t xml:space="preserve">was included </w:t>
      </w:r>
      <w:r w:rsidRPr="00D76968">
        <w:rPr>
          <w:rFonts w:ascii="Franklin Gothic Book" w:hAnsi="Franklin Gothic Book"/>
        </w:rPr>
        <w:t xml:space="preserve">at a cost of $12,583 per patient. This </w:t>
      </w:r>
      <w:r w:rsidRPr="00D76968">
        <w:rPr>
          <w:rFonts w:ascii="Franklin Gothic Book" w:hAnsi="Franklin Gothic Book"/>
          <w:lang w:eastAsia="en-AU"/>
        </w:rPr>
        <w:t>was derived</w:t>
      </w:r>
      <w:r w:rsidRPr="00C227CD">
        <w:rPr>
          <w:lang w:eastAsia="en-AU"/>
        </w:rPr>
        <w:t xml:space="preserve"> </w:t>
      </w:r>
      <w:r w:rsidRPr="00D76968">
        <w:rPr>
          <w:rFonts w:ascii="Franklin Gothic Book" w:hAnsi="Franklin Gothic Book"/>
          <w:lang w:eastAsia="en-AU"/>
        </w:rPr>
        <w:t>from Verry et al. (2012)</w:t>
      </w:r>
      <w:bookmarkStart w:id="71" w:name="_Ref100144178"/>
      <w:r w:rsidRPr="00D76968">
        <w:rPr>
          <w:rFonts w:ascii="Franklin Gothic Book" w:hAnsi="Franklin Gothic Book"/>
          <w:vertAlign w:val="superscript"/>
          <w:lang w:eastAsia="en-AU"/>
        </w:rPr>
        <w:footnoteReference w:id="19"/>
      </w:r>
      <w:bookmarkEnd w:id="71"/>
      <w:r w:rsidRPr="00D76968">
        <w:rPr>
          <w:rFonts w:ascii="Franklin Gothic Book" w:hAnsi="Franklin Gothic Book"/>
          <w:lang w:eastAsia="en-AU"/>
        </w:rPr>
        <w:t xml:space="preserve"> which reported an adjuvant treatment course cost of $16,160.43 which included consultations, chemotherapy medicines, administration costs and the cost of treating adverse events. Per patient costs of consultations ($135.75)</w:t>
      </w:r>
      <w:r w:rsidRPr="00D76968">
        <w:rPr>
          <w:rFonts w:ascii="Franklin Gothic Book" w:hAnsi="Franklin Gothic Book"/>
          <w:vertAlign w:val="superscript"/>
          <w:lang w:eastAsia="en-AU"/>
        </w:rPr>
        <w:footnoteReference w:id="20"/>
      </w:r>
      <w:r w:rsidRPr="00D76968">
        <w:rPr>
          <w:rFonts w:ascii="Franklin Gothic Book" w:hAnsi="Franklin Gothic Book"/>
          <w:lang w:eastAsia="en-AU"/>
        </w:rPr>
        <w:t>, chemotherapy medicines ($2,465.96)</w:t>
      </w:r>
      <w:r w:rsidRPr="00D76968">
        <w:rPr>
          <w:rFonts w:ascii="Franklin Gothic Book" w:hAnsi="Franklin Gothic Book"/>
          <w:vertAlign w:val="superscript"/>
          <w:lang w:eastAsia="en-AU"/>
        </w:rPr>
        <w:footnoteReference w:id="21"/>
      </w:r>
      <w:r w:rsidRPr="00D76968">
        <w:rPr>
          <w:rFonts w:ascii="Franklin Gothic Book" w:hAnsi="Franklin Gothic Book"/>
          <w:lang w:eastAsia="en-AU"/>
        </w:rPr>
        <w:t xml:space="preserve"> and chemotherapy administration ($975.63)</w:t>
      </w:r>
      <w:r w:rsidRPr="00D76968">
        <w:rPr>
          <w:rFonts w:ascii="Franklin Gothic Book" w:hAnsi="Franklin Gothic Book"/>
          <w:vertAlign w:val="superscript"/>
          <w:lang w:eastAsia="en-AU"/>
        </w:rPr>
        <w:footnoteReference w:id="22"/>
      </w:r>
      <w:r w:rsidRPr="00D76968">
        <w:rPr>
          <w:rFonts w:ascii="Franklin Gothic Book" w:hAnsi="Franklin Gothic Book"/>
          <w:lang w:eastAsia="en-AU"/>
        </w:rPr>
        <w:t xml:space="preserve"> were subtracted from the course cost and the remainder assumed to represent the cost of ancillary medicines due to adverse events. </w:t>
      </w:r>
      <w:r w:rsidRPr="003F20EB">
        <w:rPr>
          <w:rFonts w:ascii="Franklin Gothic Book" w:hAnsi="Franklin Gothic Book"/>
          <w:iCs/>
        </w:rPr>
        <w:t>The</w:t>
      </w:r>
      <w:r w:rsidR="008C2D6E" w:rsidRPr="004E4EFB">
        <w:rPr>
          <w:rFonts w:ascii="Franklin Gothic Book" w:hAnsi="Franklin Gothic Book"/>
          <w:iCs/>
        </w:rPr>
        <w:t xml:space="preserve"> </w:t>
      </w:r>
      <w:r w:rsidR="00B766DC" w:rsidRPr="004E4EFB">
        <w:rPr>
          <w:rFonts w:ascii="Franklin Gothic Book" w:hAnsi="Franklin Gothic Book"/>
          <w:iCs/>
        </w:rPr>
        <w:t>c</w:t>
      </w:r>
      <w:r w:rsidR="008C2D6E" w:rsidRPr="004E4EFB">
        <w:rPr>
          <w:rFonts w:ascii="Franklin Gothic Book" w:hAnsi="Franklin Gothic Book"/>
          <w:iCs/>
        </w:rPr>
        <w:t>ommentary considered th</w:t>
      </w:r>
      <w:r w:rsidR="008C2D6E">
        <w:rPr>
          <w:rFonts w:ascii="Franklin Gothic Book" w:hAnsi="Franklin Gothic Book"/>
          <w:iCs/>
        </w:rPr>
        <w:t>e</w:t>
      </w:r>
      <w:r w:rsidRPr="003F20EB">
        <w:rPr>
          <w:rFonts w:ascii="Franklin Gothic Book" w:hAnsi="Franklin Gothic Book"/>
          <w:iCs/>
        </w:rPr>
        <w:t xml:space="preserve">se costs </w:t>
      </w:r>
      <w:r w:rsidR="00B766DC">
        <w:rPr>
          <w:rFonts w:ascii="Franklin Gothic Book" w:hAnsi="Franklin Gothic Book"/>
          <w:iCs/>
        </w:rPr>
        <w:t>we</w:t>
      </w:r>
      <w:r w:rsidRPr="003F20EB">
        <w:rPr>
          <w:rFonts w:ascii="Franklin Gothic Book" w:hAnsi="Franklin Gothic Book"/>
          <w:iCs/>
        </w:rPr>
        <w:t>re the main driver of cost offsets to the PBS and are highly uncertain</w:t>
      </w:r>
      <w:r w:rsidRPr="003F20EB">
        <w:rPr>
          <w:rFonts w:ascii="Franklin Gothic Book" w:hAnsi="Franklin Gothic Book"/>
          <w:iCs/>
          <w:lang w:eastAsia="en-AU"/>
        </w:rPr>
        <w:t>, given that the age of costs reported in Verry et al. (2012)</w:t>
      </w:r>
      <w:r w:rsidRPr="003F20EB">
        <w:rPr>
          <w:rFonts w:ascii="Franklin Gothic Book" w:hAnsi="Franklin Gothic Book"/>
          <w:iCs/>
        </w:rPr>
        <w:t>.</w:t>
      </w:r>
    </w:p>
    <w:p w14:paraId="0A543A42" w14:textId="7B29FB2C" w:rsidR="002056CD" w:rsidRPr="00C227CD" w:rsidRDefault="002056CD" w:rsidP="004443A4">
      <w:pPr>
        <w:keepNext/>
        <w:spacing w:after="0" w:line="240" w:lineRule="auto"/>
        <w:rPr>
          <w:rFonts w:ascii="Arial Narrow" w:eastAsia="Times New Roman" w:hAnsi="Arial Narrow" w:cs="Times New Roman"/>
          <w:b/>
          <w:bCs/>
          <w:sz w:val="20"/>
          <w:szCs w:val="20"/>
        </w:rPr>
      </w:pPr>
      <w:bookmarkStart w:id="72" w:name="_Ref100130441"/>
      <w:r w:rsidRPr="00C227CD">
        <w:rPr>
          <w:rFonts w:ascii="Arial Narrow" w:eastAsia="Times New Roman" w:hAnsi="Arial Narrow" w:cs="Times New Roman"/>
          <w:b/>
          <w:bCs/>
          <w:sz w:val="20"/>
          <w:szCs w:val="20"/>
        </w:rPr>
        <w:t xml:space="preserve">Table </w:t>
      </w:r>
      <w:r w:rsidRPr="00C227CD">
        <w:rPr>
          <w:rFonts w:ascii="Arial Narrow" w:eastAsia="Times New Roman" w:hAnsi="Arial Narrow" w:cs="Times New Roman"/>
          <w:b/>
          <w:bCs/>
          <w:sz w:val="20"/>
          <w:szCs w:val="20"/>
        </w:rPr>
        <w:fldChar w:fldCharType="begin"/>
      </w:r>
      <w:r w:rsidRPr="00C227CD">
        <w:rPr>
          <w:rFonts w:ascii="Arial Narrow" w:eastAsia="Times New Roman" w:hAnsi="Arial Narrow" w:cs="Times New Roman"/>
          <w:b/>
          <w:bCs/>
          <w:sz w:val="20"/>
          <w:szCs w:val="20"/>
        </w:rPr>
        <w:instrText xml:space="preserve"> SEQ Table \* ARABIC </w:instrText>
      </w:r>
      <w:r w:rsidRPr="00C227CD">
        <w:rPr>
          <w:rFonts w:ascii="Arial Narrow" w:eastAsia="Times New Roman" w:hAnsi="Arial Narrow" w:cs="Times New Roman"/>
          <w:b/>
          <w:bCs/>
          <w:sz w:val="20"/>
          <w:szCs w:val="20"/>
        </w:rPr>
        <w:fldChar w:fldCharType="separate"/>
      </w:r>
      <w:r w:rsidR="00943826">
        <w:rPr>
          <w:rFonts w:ascii="Arial Narrow" w:eastAsia="Times New Roman" w:hAnsi="Arial Narrow" w:cs="Times New Roman"/>
          <w:b/>
          <w:bCs/>
          <w:noProof/>
          <w:sz w:val="20"/>
          <w:szCs w:val="20"/>
        </w:rPr>
        <w:t>20</w:t>
      </w:r>
      <w:r w:rsidRPr="00C227CD">
        <w:rPr>
          <w:rFonts w:ascii="Arial Narrow" w:eastAsia="Times New Roman" w:hAnsi="Arial Narrow" w:cs="Times New Roman"/>
          <w:b/>
          <w:bCs/>
          <w:noProof/>
          <w:sz w:val="20"/>
          <w:szCs w:val="20"/>
        </w:rPr>
        <w:fldChar w:fldCharType="end"/>
      </w:r>
      <w:bookmarkEnd w:id="72"/>
      <w:r w:rsidRPr="00C227CD">
        <w:rPr>
          <w:rFonts w:ascii="Arial Narrow" w:eastAsia="Times New Roman" w:hAnsi="Arial Narrow" w:cs="Times New Roman"/>
          <w:b/>
          <w:bCs/>
          <w:sz w:val="20"/>
          <w:szCs w:val="20"/>
        </w:rPr>
        <w:t xml:space="preserve">: Net financial implications of </w:t>
      </w:r>
      <w:r w:rsidR="00D50E5C">
        <w:rPr>
          <w:rFonts w:ascii="Arial Narrow" w:eastAsia="Times New Roman" w:hAnsi="Arial Narrow" w:cs="Times New Roman"/>
          <w:b/>
          <w:bCs/>
          <w:sz w:val="20"/>
          <w:szCs w:val="20"/>
        </w:rPr>
        <w:t>EndoPredict</w:t>
      </w:r>
      <w:r w:rsidR="005F1260" w:rsidRPr="005F1260">
        <w:rPr>
          <w:rFonts w:ascii="Arial Narrow" w:eastAsia="Times New Roman" w:hAnsi="Arial Narrow" w:cs="Times New Roman"/>
          <w:b/>
          <w:bCs/>
          <w:sz w:val="20"/>
          <w:szCs w:val="20"/>
          <w:vertAlign w:val="superscript"/>
        </w:rPr>
        <w:t>®</w:t>
      </w:r>
      <w:r w:rsidRPr="00C227CD">
        <w:rPr>
          <w:rFonts w:ascii="Arial Narrow" w:eastAsia="Times New Roman" w:hAnsi="Arial Narrow" w:cs="Times New Roman"/>
          <w:b/>
          <w:bCs/>
          <w:sz w:val="20"/>
          <w:szCs w:val="20"/>
        </w:rPr>
        <w:t xml:space="preserve"> to the PBS and Australian government health budgets</w:t>
      </w:r>
    </w:p>
    <w:tbl>
      <w:tblPr>
        <w:tblStyle w:val="TableGrid10"/>
        <w:tblW w:w="5000" w:type="pct"/>
        <w:tblCellMar>
          <w:left w:w="0" w:type="dxa"/>
          <w:right w:w="0" w:type="dxa"/>
        </w:tblCellMar>
        <w:tblLook w:val="04A0" w:firstRow="1" w:lastRow="0" w:firstColumn="1" w:lastColumn="0" w:noHBand="0" w:noVBand="1"/>
      </w:tblPr>
      <w:tblGrid>
        <w:gridCol w:w="3346"/>
        <w:gridCol w:w="1134"/>
        <w:gridCol w:w="1134"/>
        <w:gridCol w:w="1134"/>
        <w:gridCol w:w="1134"/>
        <w:gridCol w:w="1134"/>
      </w:tblGrid>
      <w:tr w:rsidR="002056CD" w:rsidRPr="00C227CD" w14:paraId="678FE67D" w14:textId="77777777" w:rsidTr="004443A4">
        <w:trPr>
          <w:cnfStyle w:val="100000000000" w:firstRow="1" w:lastRow="0" w:firstColumn="0" w:lastColumn="0" w:oddVBand="0" w:evenVBand="0" w:oddHBand="0" w:evenHBand="0" w:firstRowFirstColumn="0" w:firstRowLastColumn="0" w:lastRowFirstColumn="0" w:lastRowLastColumn="0"/>
          <w:tblHeader/>
        </w:trPr>
        <w:tc>
          <w:tcPr>
            <w:tcW w:w="1855" w:type="pct"/>
            <w:tcMar>
              <w:top w:w="0" w:type="dxa"/>
              <w:left w:w="108" w:type="dxa"/>
              <w:bottom w:w="0" w:type="dxa"/>
              <w:right w:w="108" w:type="dxa"/>
            </w:tcMar>
          </w:tcPr>
          <w:p w14:paraId="5C4BB225" w14:textId="62435717" w:rsidR="002056CD" w:rsidRPr="00C227CD" w:rsidRDefault="002056CD" w:rsidP="004443A4">
            <w:pPr>
              <w:keepNext/>
              <w:spacing w:before="0" w:after="0"/>
              <w:rPr>
                <w:rFonts w:ascii="Arial Narrow" w:hAnsi="Arial Narrow"/>
                <w:b/>
                <w:bCs/>
              </w:rPr>
            </w:pPr>
            <w:r w:rsidRPr="00C227CD">
              <w:rPr>
                <w:rFonts w:ascii="Arial Narrow" w:hAnsi="Arial Narrow"/>
                <w:b/>
                <w:bCs/>
              </w:rPr>
              <w:t>Parameter</w:t>
            </w:r>
          </w:p>
        </w:tc>
        <w:tc>
          <w:tcPr>
            <w:tcW w:w="629" w:type="pct"/>
            <w:tcMar>
              <w:top w:w="0" w:type="dxa"/>
              <w:left w:w="108" w:type="dxa"/>
              <w:bottom w:w="0" w:type="dxa"/>
              <w:right w:w="108" w:type="dxa"/>
            </w:tcMar>
            <w:hideMark/>
          </w:tcPr>
          <w:p w14:paraId="5EFE09CF" w14:textId="77777777" w:rsidR="002056CD" w:rsidRPr="00C227CD" w:rsidRDefault="002056CD" w:rsidP="004443A4">
            <w:pPr>
              <w:keepNext/>
              <w:spacing w:before="0" w:after="0"/>
              <w:jc w:val="center"/>
              <w:rPr>
                <w:rFonts w:ascii="Arial Narrow" w:hAnsi="Arial Narrow"/>
                <w:b/>
                <w:bCs/>
              </w:rPr>
            </w:pPr>
            <w:r w:rsidRPr="00C227CD">
              <w:rPr>
                <w:rFonts w:ascii="Arial Narrow" w:hAnsi="Arial Narrow"/>
                <w:b/>
                <w:bCs/>
              </w:rPr>
              <w:t>Year 1</w:t>
            </w:r>
          </w:p>
        </w:tc>
        <w:tc>
          <w:tcPr>
            <w:tcW w:w="629" w:type="pct"/>
            <w:tcMar>
              <w:top w:w="0" w:type="dxa"/>
              <w:left w:w="108" w:type="dxa"/>
              <w:bottom w:w="0" w:type="dxa"/>
              <w:right w:w="108" w:type="dxa"/>
            </w:tcMar>
            <w:hideMark/>
          </w:tcPr>
          <w:p w14:paraId="52CB3845" w14:textId="77777777" w:rsidR="002056CD" w:rsidRPr="00C227CD" w:rsidRDefault="002056CD" w:rsidP="004443A4">
            <w:pPr>
              <w:keepNext/>
              <w:spacing w:before="0" w:after="0"/>
              <w:jc w:val="center"/>
              <w:rPr>
                <w:rFonts w:ascii="Arial Narrow" w:hAnsi="Arial Narrow"/>
                <w:b/>
                <w:bCs/>
              </w:rPr>
            </w:pPr>
            <w:r w:rsidRPr="00C227CD">
              <w:rPr>
                <w:rFonts w:ascii="Arial Narrow" w:hAnsi="Arial Narrow"/>
                <w:b/>
                <w:bCs/>
              </w:rPr>
              <w:t>Year 2</w:t>
            </w:r>
          </w:p>
        </w:tc>
        <w:tc>
          <w:tcPr>
            <w:tcW w:w="629" w:type="pct"/>
            <w:tcMar>
              <w:top w:w="0" w:type="dxa"/>
              <w:left w:w="108" w:type="dxa"/>
              <w:bottom w:w="0" w:type="dxa"/>
              <w:right w:w="108" w:type="dxa"/>
            </w:tcMar>
            <w:hideMark/>
          </w:tcPr>
          <w:p w14:paraId="593A8263" w14:textId="77777777" w:rsidR="002056CD" w:rsidRPr="00C227CD" w:rsidRDefault="002056CD" w:rsidP="004443A4">
            <w:pPr>
              <w:keepNext/>
              <w:spacing w:before="0" w:after="0"/>
              <w:jc w:val="center"/>
              <w:rPr>
                <w:rFonts w:ascii="Arial Narrow" w:hAnsi="Arial Narrow"/>
                <w:b/>
                <w:bCs/>
              </w:rPr>
            </w:pPr>
            <w:r w:rsidRPr="00C227CD">
              <w:rPr>
                <w:rFonts w:ascii="Arial Narrow" w:hAnsi="Arial Narrow"/>
                <w:b/>
                <w:bCs/>
              </w:rPr>
              <w:t>Year 3</w:t>
            </w:r>
          </w:p>
        </w:tc>
        <w:tc>
          <w:tcPr>
            <w:tcW w:w="629" w:type="pct"/>
            <w:tcMar>
              <w:top w:w="0" w:type="dxa"/>
              <w:left w:w="108" w:type="dxa"/>
              <w:bottom w:w="0" w:type="dxa"/>
              <w:right w:w="108" w:type="dxa"/>
            </w:tcMar>
            <w:hideMark/>
          </w:tcPr>
          <w:p w14:paraId="34A8E935" w14:textId="77777777" w:rsidR="002056CD" w:rsidRPr="00C227CD" w:rsidRDefault="002056CD" w:rsidP="004443A4">
            <w:pPr>
              <w:keepNext/>
              <w:spacing w:before="0" w:after="0"/>
              <w:jc w:val="center"/>
              <w:rPr>
                <w:rFonts w:ascii="Arial Narrow" w:hAnsi="Arial Narrow"/>
                <w:b/>
                <w:bCs/>
              </w:rPr>
            </w:pPr>
            <w:r w:rsidRPr="00C227CD">
              <w:rPr>
                <w:rFonts w:ascii="Arial Narrow" w:hAnsi="Arial Narrow"/>
                <w:b/>
                <w:bCs/>
              </w:rPr>
              <w:t>Year 4</w:t>
            </w:r>
          </w:p>
        </w:tc>
        <w:tc>
          <w:tcPr>
            <w:tcW w:w="629" w:type="pct"/>
            <w:tcMar>
              <w:top w:w="0" w:type="dxa"/>
              <w:left w:w="108" w:type="dxa"/>
              <w:bottom w:w="0" w:type="dxa"/>
              <w:right w:w="108" w:type="dxa"/>
            </w:tcMar>
            <w:hideMark/>
          </w:tcPr>
          <w:p w14:paraId="4F07568B" w14:textId="77777777" w:rsidR="002056CD" w:rsidRPr="00C227CD" w:rsidRDefault="002056CD" w:rsidP="004443A4">
            <w:pPr>
              <w:keepNext/>
              <w:spacing w:before="0" w:after="0"/>
              <w:jc w:val="center"/>
              <w:rPr>
                <w:rFonts w:ascii="Arial Narrow" w:hAnsi="Arial Narrow"/>
                <w:b/>
                <w:bCs/>
              </w:rPr>
            </w:pPr>
            <w:r w:rsidRPr="00C227CD">
              <w:rPr>
                <w:rFonts w:ascii="Arial Narrow" w:hAnsi="Arial Narrow"/>
                <w:b/>
                <w:bCs/>
              </w:rPr>
              <w:t>Year 5</w:t>
            </w:r>
          </w:p>
        </w:tc>
      </w:tr>
      <w:tr w:rsidR="002056CD" w:rsidRPr="00C227CD" w14:paraId="54E66A75" w14:textId="77777777" w:rsidTr="004443A4">
        <w:tc>
          <w:tcPr>
            <w:tcW w:w="1855" w:type="pct"/>
            <w:tcMar>
              <w:top w:w="0" w:type="dxa"/>
              <w:left w:w="108" w:type="dxa"/>
              <w:bottom w:w="0" w:type="dxa"/>
              <w:right w:w="108" w:type="dxa"/>
            </w:tcMar>
          </w:tcPr>
          <w:p w14:paraId="168A3B01" w14:textId="01E11A09" w:rsidR="002056CD" w:rsidRPr="00C227CD" w:rsidRDefault="002056CD" w:rsidP="004443A4">
            <w:pPr>
              <w:keepNext/>
              <w:spacing w:before="0" w:after="0"/>
            </w:pPr>
            <w:r w:rsidRPr="00C227CD">
              <w:t>Change in people that use chemotherapy</w:t>
            </w:r>
            <w:r w:rsidR="00C17A0F">
              <w:t>*</w:t>
            </w:r>
          </w:p>
        </w:tc>
        <w:tc>
          <w:tcPr>
            <w:tcW w:w="629" w:type="pct"/>
            <w:tcMar>
              <w:top w:w="0" w:type="dxa"/>
              <w:left w:w="108" w:type="dxa"/>
              <w:bottom w:w="0" w:type="dxa"/>
              <w:right w:w="108" w:type="dxa"/>
            </w:tcMar>
          </w:tcPr>
          <w:p w14:paraId="500656ED" w14:textId="77777777" w:rsidR="002056CD" w:rsidRPr="00C227CD" w:rsidRDefault="002056CD" w:rsidP="004443A4">
            <w:pPr>
              <w:keepNext/>
              <w:spacing w:before="0" w:after="0"/>
              <w:jc w:val="right"/>
            </w:pPr>
            <w:r w:rsidRPr="00C227CD">
              <w:t>−112</w:t>
            </w:r>
          </w:p>
        </w:tc>
        <w:tc>
          <w:tcPr>
            <w:tcW w:w="629" w:type="pct"/>
            <w:tcMar>
              <w:top w:w="0" w:type="dxa"/>
              <w:left w:w="108" w:type="dxa"/>
              <w:bottom w:w="0" w:type="dxa"/>
              <w:right w:w="108" w:type="dxa"/>
            </w:tcMar>
          </w:tcPr>
          <w:p w14:paraId="1E419977" w14:textId="77777777" w:rsidR="002056CD" w:rsidRPr="00C227CD" w:rsidRDefault="002056CD" w:rsidP="004443A4">
            <w:pPr>
              <w:keepNext/>
              <w:spacing w:before="0" w:after="0"/>
              <w:jc w:val="right"/>
            </w:pPr>
            <w:r w:rsidRPr="00C227CD">
              <w:t>−136</w:t>
            </w:r>
          </w:p>
        </w:tc>
        <w:tc>
          <w:tcPr>
            <w:tcW w:w="629" w:type="pct"/>
            <w:tcMar>
              <w:top w:w="0" w:type="dxa"/>
              <w:left w:w="108" w:type="dxa"/>
              <w:bottom w:w="0" w:type="dxa"/>
              <w:right w:w="108" w:type="dxa"/>
            </w:tcMar>
          </w:tcPr>
          <w:p w14:paraId="55A93C20" w14:textId="77777777" w:rsidR="002056CD" w:rsidRPr="00C227CD" w:rsidRDefault="002056CD" w:rsidP="004443A4">
            <w:pPr>
              <w:keepNext/>
              <w:spacing w:before="0" w:after="0"/>
              <w:jc w:val="right"/>
            </w:pPr>
            <w:r w:rsidRPr="00C227CD">
              <w:t>−160</w:t>
            </w:r>
          </w:p>
        </w:tc>
        <w:tc>
          <w:tcPr>
            <w:tcW w:w="629" w:type="pct"/>
            <w:tcMar>
              <w:top w:w="0" w:type="dxa"/>
              <w:left w:w="108" w:type="dxa"/>
              <w:bottom w:w="0" w:type="dxa"/>
              <w:right w:w="108" w:type="dxa"/>
            </w:tcMar>
          </w:tcPr>
          <w:p w14:paraId="587485EB" w14:textId="77777777" w:rsidR="002056CD" w:rsidRPr="00C227CD" w:rsidRDefault="002056CD" w:rsidP="004443A4">
            <w:pPr>
              <w:keepNext/>
              <w:spacing w:before="0" w:after="0"/>
              <w:jc w:val="right"/>
            </w:pPr>
            <w:r w:rsidRPr="00C227CD">
              <w:t>−166</w:t>
            </w:r>
          </w:p>
        </w:tc>
        <w:tc>
          <w:tcPr>
            <w:tcW w:w="629" w:type="pct"/>
            <w:tcMar>
              <w:top w:w="0" w:type="dxa"/>
              <w:left w:w="108" w:type="dxa"/>
              <w:bottom w:w="0" w:type="dxa"/>
              <w:right w:w="108" w:type="dxa"/>
            </w:tcMar>
          </w:tcPr>
          <w:p w14:paraId="0942709A" w14:textId="77777777" w:rsidR="002056CD" w:rsidRPr="00C227CD" w:rsidRDefault="002056CD" w:rsidP="004443A4">
            <w:pPr>
              <w:keepNext/>
              <w:spacing w:before="0" w:after="0"/>
              <w:jc w:val="right"/>
            </w:pPr>
            <w:r w:rsidRPr="00C227CD">
              <w:t>−171</w:t>
            </w:r>
          </w:p>
        </w:tc>
      </w:tr>
      <w:tr w:rsidR="002056CD" w:rsidRPr="00C227CD" w14:paraId="381D5171" w14:textId="77777777" w:rsidTr="004443A4">
        <w:tc>
          <w:tcPr>
            <w:tcW w:w="1855" w:type="pct"/>
            <w:tcMar>
              <w:top w:w="0" w:type="dxa"/>
              <w:left w:w="108" w:type="dxa"/>
              <w:bottom w:w="0" w:type="dxa"/>
              <w:right w:w="108" w:type="dxa"/>
            </w:tcMar>
          </w:tcPr>
          <w:p w14:paraId="268EF248" w14:textId="77777777" w:rsidR="002056CD" w:rsidRPr="00C227CD" w:rsidRDefault="002056CD" w:rsidP="004443A4">
            <w:pPr>
              <w:keepNext/>
              <w:spacing w:before="0" w:after="0"/>
            </w:pPr>
            <w:r w:rsidRPr="00C227CD">
              <w:t>Change in cost of AC ($379.18 per script)</w:t>
            </w:r>
            <w:r w:rsidRPr="00C227CD">
              <w:rPr>
                <w:vertAlign w:val="superscript"/>
              </w:rPr>
              <w:t xml:space="preserve"> a</w:t>
            </w:r>
          </w:p>
        </w:tc>
        <w:tc>
          <w:tcPr>
            <w:tcW w:w="629" w:type="pct"/>
            <w:tcMar>
              <w:top w:w="0" w:type="dxa"/>
              <w:left w:w="108" w:type="dxa"/>
              <w:bottom w:w="0" w:type="dxa"/>
              <w:right w:w="108" w:type="dxa"/>
            </w:tcMar>
          </w:tcPr>
          <w:p w14:paraId="54F17D96" w14:textId="77777777" w:rsidR="002056CD" w:rsidRPr="00C227CD" w:rsidRDefault="002056CD" w:rsidP="004443A4">
            <w:pPr>
              <w:keepNext/>
              <w:spacing w:before="0" w:after="0"/>
              <w:jc w:val="right"/>
            </w:pPr>
            <w:r w:rsidRPr="00C227CD">
              <w:t>−$170,599</w:t>
            </w:r>
          </w:p>
        </w:tc>
        <w:tc>
          <w:tcPr>
            <w:tcW w:w="629" w:type="pct"/>
            <w:tcMar>
              <w:top w:w="0" w:type="dxa"/>
              <w:left w:w="108" w:type="dxa"/>
              <w:bottom w:w="0" w:type="dxa"/>
              <w:right w:w="108" w:type="dxa"/>
            </w:tcMar>
          </w:tcPr>
          <w:p w14:paraId="4F6BBDA1" w14:textId="77777777" w:rsidR="002056CD" w:rsidRPr="00C227CD" w:rsidRDefault="002056CD" w:rsidP="004443A4">
            <w:pPr>
              <w:keepNext/>
              <w:spacing w:before="0" w:after="0"/>
              <w:jc w:val="right"/>
            </w:pPr>
            <w:r w:rsidRPr="00C227CD">
              <w:t>−$205,711</w:t>
            </w:r>
          </w:p>
        </w:tc>
        <w:tc>
          <w:tcPr>
            <w:tcW w:w="629" w:type="pct"/>
            <w:tcMar>
              <w:top w:w="0" w:type="dxa"/>
              <w:left w:w="108" w:type="dxa"/>
              <w:bottom w:w="0" w:type="dxa"/>
              <w:right w:w="108" w:type="dxa"/>
            </w:tcMar>
          </w:tcPr>
          <w:p w14:paraId="7356B708" w14:textId="77777777" w:rsidR="002056CD" w:rsidRPr="00C227CD" w:rsidRDefault="002056CD" w:rsidP="004443A4">
            <w:pPr>
              <w:keepNext/>
              <w:spacing w:before="0" w:after="0"/>
              <w:jc w:val="right"/>
            </w:pPr>
            <w:r w:rsidRPr="00C227CD">
              <w:t>−$242,988</w:t>
            </w:r>
          </w:p>
        </w:tc>
        <w:tc>
          <w:tcPr>
            <w:tcW w:w="629" w:type="pct"/>
            <w:tcMar>
              <w:top w:w="0" w:type="dxa"/>
              <w:left w:w="108" w:type="dxa"/>
              <w:bottom w:w="0" w:type="dxa"/>
              <w:right w:w="108" w:type="dxa"/>
            </w:tcMar>
          </w:tcPr>
          <w:p w14:paraId="60B89D2C" w14:textId="77777777" w:rsidR="002056CD" w:rsidRPr="00C227CD" w:rsidRDefault="002056CD" w:rsidP="004443A4">
            <w:pPr>
              <w:keepNext/>
              <w:spacing w:before="0" w:after="0"/>
              <w:jc w:val="right"/>
            </w:pPr>
            <w:r w:rsidRPr="00C227CD">
              <w:t>−$251,142</w:t>
            </w:r>
          </w:p>
        </w:tc>
        <w:tc>
          <w:tcPr>
            <w:tcW w:w="629" w:type="pct"/>
            <w:tcMar>
              <w:top w:w="0" w:type="dxa"/>
              <w:left w:w="108" w:type="dxa"/>
              <w:bottom w:w="0" w:type="dxa"/>
              <w:right w:w="108" w:type="dxa"/>
            </w:tcMar>
          </w:tcPr>
          <w:p w14:paraId="25729726" w14:textId="77777777" w:rsidR="002056CD" w:rsidRPr="00C227CD" w:rsidRDefault="002056CD" w:rsidP="004443A4">
            <w:pPr>
              <w:keepNext/>
              <w:spacing w:before="0" w:after="0"/>
              <w:jc w:val="right"/>
            </w:pPr>
            <w:r w:rsidRPr="00C227CD">
              <w:t>−$259,570</w:t>
            </w:r>
          </w:p>
        </w:tc>
      </w:tr>
      <w:tr w:rsidR="002056CD" w:rsidRPr="00C227CD" w14:paraId="4F7EAAE8" w14:textId="77777777" w:rsidTr="004443A4">
        <w:tc>
          <w:tcPr>
            <w:tcW w:w="1855" w:type="pct"/>
            <w:tcMar>
              <w:top w:w="0" w:type="dxa"/>
              <w:left w:w="108" w:type="dxa"/>
              <w:bottom w:w="0" w:type="dxa"/>
              <w:right w:w="108" w:type="dxa"/>
            </w:tcMar>
            <w:hideMark/>
          </w:tcPr>
          <w:p w14:paraId="57CA1E36" w14:textId="77777777" w:rsidR="002056CD" w:rsidRPr="00C227CD" w:rsidRDefault="002056CD" w:rsidP="004443A4">
            <w:pPr>
              <w:keepNext/>
              <w:spacing w:before="0" w:after="0"/>
            </w:pPr>
            <w:r w:rsidRPr="00C227CD">
              <w:t xml:space="preserve">Change in cost of paclitaxel </w:t>
            </w:r>
            <w:r w:rsidRPr="00C227CD">
              <w:br/>
              <w:t xml:space="preserve">($202.83 per script) </w:t>
            </w:r>
            <w:r w:rsidRPr="00C227CD">
              <w:rPr>
                <w:vertAlign w:val="superscript"/>
              </w:rPr>
              <w:t>b</w:t>
            </w:r>
          </w:p>
        </w:tc>
        <w:tc>
          <w:tcPr>
            <w:tcW w:w="629" w:type="pct"/>
            <w:tcMar>
              <w:top w:w="0" w:type="dxa"/>
              <w:left w:w="108" w:type="dxa"/>
              <w:bottom w:w="0" w:type="dxa"/>
              <w:right w:w="108" w:type="dxa"/>
            </w:tcMar>
          </w:tcPr>
          <w:p w14:paraId="7FF5E65D" w14:textId="77777777" w:rsidR="002056CD" w:rsidRPr="00C227CD" w:rsidRDefault="002056CD" w:rsidP="004443A4">
            <w:pPr>
              <w:keepNext/>
              <w:spacing w:before="0" w:after="0"/>
              <w:jc w:val="right"/>
            </w:pPr>
            <w:r w:rsidRPr="00C227CD">
              <w:t>−$106,770</w:t>
            </w:r>
          </w:p>
        </w:tc>
        <w:tc>
          <w:tcPr>
            <w:tcW w:w="629" w:type="pct"/>
            <w:tcMar>
              <w:top w:w="0" w:type="dxa"/>
              <w:left w:w="108" w:type="dxa"/>
              <w:bottom w:w="0" w:type="dxa"/>
              <w:right w:w="108" w:type="dxa"/>
            </w:tcMar>
          </w:tcPr>
          <w:p w14:paraId="17937B71" w14:textId="77777777" w:rsidR="002056CD" w:rsidRPr="00C227CD" w:rsidRDefault="002056CD" w:rsidP="004443A4">
            <w:pPr>
              <w:keepNext/>
              <w:spacing w:before="0" w:after="0"/>
              <w:jc w:val="right"/>
            </w:pPr>
            <w:r w:rsidRPr="00C227CD">
              <w:t>−$128,745</w:t>
            </w:r>
          </w:p>
        </w:tc>
        <w:tc>
          <w:tcPr>
            <w:tcW w:w="629" w:type="pct"/>
            <w:tcMar>
              <w:top w:w="0" w:type="dxa"/>
              <w:left w:w="108" w:type="dxa"/>
              <w:bottom w:w="0" w:type="dxa"/>
              <w:right w:w="108" w:type="dxa"/>
            </w:tcMar>
          </w:tcPr>
          <w:p w14:paraId="0FF3690F" w14:textId="77777777" w:rsidR="002056CD" w:rsidRPr="00C227CD" w:rsidRDefault="002056CD" w:rsidP="004443A4">
            <w:pPr>
              <w:keepNext/>
              <w:spacing w:before="0" w:after="0"/>
              <w:jc w:val="right"/>
            </w:pPr>
            <w:r w:rsidRPr="00C227CD">
              <w:t>−$152,075</w:t>
            </w:r>
          </w:p>
        </w:tc>
        <w:tc>
          <w:tcPr>
            <w:tcW w:w="629" w:type="pct"/>
            <w:tcMar>
              <w:top w:w="0" w:type="dxa"/>
              <w:left w:w="108" w:type="dxa"/>
              <w:bottom w:w="0" w:type="dxa"/>
              <w:right w:w="108" w:type="dxa"/>
            </w:tcMar>
          </w:tcPr>
          <w:p w14:paraId="0812111C" w14:textId="77777777" w:rsidR="002056CD" w:rsidRPr="00C227CD" w:rsidRDefault="002056CD" w:rsidP="004443A4">
            <w:pPr>
              <w:keepNext/>
              <w:spacing w:before="0" w:after="0"/>
              <w:jc w:val="right"/>
            </w:pPr>
            <w:r w:rsidRPr="00C227CD">
              <w:t>−$157,178</w:t>
            </w:r>
          </w:p>
        </w:tc>
        <w:tc>
          <w:tcPr>
            <w:tcW w:w="629" w:type="pct"/>
            <w:tcMar>
              <w:top w:w="0" w:type="dxa"/>
              <w:left w:w="108" w:type="dxa"/>
              <w:bottom w:w="0" w:type="dxa"/>
              <w:right w:w="108" w:type="dxa"/>
            </w:tcMar>
          </w:tcPr>
          <w:p w14:paraId="38271C8A" w14:textId="77777777" w:rsidR="002056CD" w:rsidRPr="00C227CD" w:rsidRDefault="002056CD" w:rsidP="004443A4">
            <w:pPr>
              <w:keepNext/>
              <w:spacing w:before="0" w:after="0"/>
              <w:jc w:val="right"/>
            </w:pPr>
            <w:r w:rsidRPr="00C227CD">
              <w:t>−$162,453</w:t>
            </w:r>
          </w:p>
        </w:tc>
      </w:tr>
      <w:tr w:rsidR="002056CD" w:rsidRPr="00C227CD" w14:paraId="5BF60C22" w14:textId="77777777" w:rsidTr="004443A4">
        <w:tc>
          <w:tcPr>
            <w:tcW w:w="1855" w:type="pct"/>
            <w:tcMar>
              <w:top w:w="0" w:type="dxa"/>
              <w:left w:w="108" w:type="dxa"/>
              <w:bottom w:w="0" w:type="dxa"/>
              <w:right w:w="108" w:type="dxa"/>
            </w:tcMar>
          </w:tcPr>
          <w:p w14:paraId="496F58C7" w14:textId="33B0718F" w:rsidR="002056CD" w:rsidRPr="00C227CD" w:rsidRDefault="002056CD" w:rsidP="004443A4">
            <w:pPr>
              <w:keepNext/>
              <w:spacing w:before="0" w:after="0"/>
            </w:pPr>
            <w:r w:rsidRPr="00C227CD">
              <w:t>Change in cost of ancillary medicines ($12,583.08 per patient that uses chemotherapy)</w:t>
            </w:r>
            <w:r w:rsidR="00C17A0F">
              <w:t xml:space="preserve"> </w:t>
            </w:r>
            <w:r w:rsidRPr="00C227CD">
              <w:rPr>
                <w:vertAlign w:val="superscript"/>
              </w:rPr>
              <w:t>c</w:t>
            </w:r>
          </w:p>
        </w:tc>
        <w:tc>
          <w:tcPr>
            <w:tcW w:w="629" w:type="pct"/>
            <w:tcMar>
              <w:top w:w="0" w:type="dxa"/>
              <w:left w:w="108" w:type="dxa"/>
              <w:bottom w:w="0" w:type="dxa"/>
              <w:right w:w="108" w:type="dxa"/>
            </w:tcMar>
          </w:tcPr>
          <w:p w14:paraId="4FADA39B" w14:textId="77777777" w:rsidR="002056CD" w:rsidRPr="00C227CD" w:rsidRDefault="002056CD" w:rsidP="004443A4">
            <w:pPr>
              <w:keepNext/>
              <w:spacing w:before="0" w:after="0"/>
              <w:jc w:val="right"/>
            </w:pPr>
            <w:r w:rsidRPr="00C227CD">
              <w:t>−$1,415,332</w:t>
            </w:r>
          </w:p>
        </w:tc>
        <w:tc>
          <w:tcPr>
            <w:tcW w:w="629" w:type="pct"/>
            <w:tcMar>
              <w:top w:w="0" w:type="dxa"/>
              <w:left w:w="108" w:type="dxa"/>
              <w:bottom w:w="0" w:type="dxa"/>
              <w:right w:w="108" w:type="dxa"/>
            </w:tcMar>
          </w:tcPr>
          <w:p w14:paraId="536A5EEE" w14:textId="77777777" w:rsidR="002056CD" w:rsidRPr="00C227CD" w:rsidRDefault="002056CD" w:rsidP="004443A4">
            <w:pPr>
              <w:keepNext/>
              <w:spacing w:before="0" w:after="0"/>
              <w:jc w:val="right"/>
            </w:pPr>
            <w:r w:rsidRPr="00C227CD">
              <w:t>−$1,706,632</w:t>
            </w:r>
          </w:p>
        </w:tc>
        <w:tc>
          <w:tcPr>
            <w:tcW w:w="629" w:type="pct"/>
            <w:tcMar>
              <w:top w:w="0" w:type="dxa"/>
              <w:left w:w="108" w:type="dxa"/>
              <w:bottom w:w="0" w:type="dxa"/>
              <w:right w:w="108" w:type="dxa"/>
            </w:tcMar>
          </w:tcPr>
          <w:p w14:paraId="32C8A056" w14:textId="77777777" w:rsidR="002056CD" w:rsidRPr="00C227CD" w:rsidRDefault="002056CD" w:rsidP="004443A4">
            <w:pPr>
              <w:keepNext/>
              <w:spacing w:before="0" w:after="0"/>
              <w:jc w:val="right"/>
            </w:pPr>
            <w:r w:rsidRPr="00C227CD">
              <w:t>−$2,015,889</w:t>
            </w:r>
          </w:p>
        </w:tc>
        <w:tc>
          <w:tcPr>
            <w:tcW w:w="629" w:type="pct"/>
            <w:tcMar>
              <w:top w:w="0" w:type="dxa"/>
              <w:left w:w="108" w:type="dxa"/>
              <w:bottom w:w="0" w:type="dxa"/>
              <w:right w:w="108" w:type="dxa"/>
            </w:tcMar>
          </w:tcPr>
          <w:p w14:paraId="55BBCED8" w14:textId="77777777" w:rsidR="002056CD" w:rsidRPr="00C227CD" w:rsidRDefault="002056CD" w:rsidP="004443A4">
            <w:pPr>
              <w:keepNext/>
              <w:spacing w:before="0" w:after="0"/>
              <w:jc w:val="right"/>
            </w:pPr>
            <w:r w:rsidRPr="00C227CD">
              <w:t>−$2,083,538</w:t>
            </w:r>
          </w:p>
        </w:tc>
        <w:tc>
          <w:tcPr>
            <w:tcW w:w="629" w:type="pct"/>
            <w:tcMar>
              <w:top w:w="0" w:type="dxa"/>
              <w:left w:w="108" w:type="dxa"/>
              <w:bottom w:w="0" w:type="dxa"/>
              <w:right w:w="108" w:type="dxa"/>
            </w:tcMar>
          </w:tcPr>
          <w:p w14:paraId="20FB18E0" w14:textId="77777777" w:rsidR="002056CD" w:rsidRPr="00C227CD" w:rsidRDefault="002056CD" w:rsidP="004443A4">
            <w:pPr>
              <w:keepNext/>
              <w:spacing w:before="0" w:after="0"/>
              <w:jc w:val="right"/>
            </w:pPr>
            <w:r w:rsidRPr="00C227CD">
              <w:t>−$2,153,457</w:t>
            </w:r>
          </w:p>
        </w:tc>
      </w:tr>
      <w:tr w:rsidR="002056CD" w:rsidRPr="00C227CD" w14:paraId="75A8BD57" w14:textId="77777777" w:rsidTr="004443A4">
        <w:tc>
          <w:tcPr>
            <w:tcW w:w="1855" w:type="pct"/>
            <w:tcMar>
              <w:top w:w="0" w:type="dxa"/>
              <w:left w:w="108" w:type="dxa"/>
              <w:bottom w:w="0" w:type="dxa"/>
              <w:right w:w="108" w:type="dxa"/>
            </w:tcMar>
            <w:hideMark/>
          </w:tcPr>
          <w:p w14:paraId="093C6E7D" w14:textId="77777777" w:rsidR="002056CD" w:rsidRPr="00C227CD" w:rsidRDefault="002056CD" w:rsidP="004443A4">
            <w:pPr>
              <w:keepNext/>
              <w:spacing w:before="0" w:after="0"/>
              <w:rPr>
                <w:b/>
                <w:bCs/>
              </w:rPr>
            </w:pPr>
            <w:r w:rsidRPr="00C227CD">
              <w:rPr>
                <w:b/>
              </w:rPr>
              <w:t>Net cost to the PBS</w:t>
            </w:r>
          </w:p>
        </w:tc>
        <w:tc>
          <w:tcPr>
            <w:tcW w:w="629" w:type="pct"/>
            <w:tcMar>
              <w:top w:w="0" w:type="dxa"/>
              <w:left w:w="108" w:type="dxa"/>
              <w:bottom w:w="0" w:type="dxa"/>
              <w:right w:w="108" w:type="dxa"/>
            </w:tcMar>
          </w:tcPr>
          <w:p w14:paraId="6E6767BB" w14:textId="77777777" w:rsidR="002056CD" w:rsidRPr="00C227CD" w:rsidRDefault="002056CD" w:rsidP="004443A4">
            <w:pPr>
              <w:keepNext/>
              <w:spacing w:before="0" w:after="0"/>
              <w:rPr>
                <w:b/>
                <w:bCs/>
              </w:rPr>
            </w:pPr>
            <w:r w:rsidRPr="00C227CD">
              <w:rPr>
                <w:b/>
              </w:rPr>
              <w:t>−$1,692,701</w:t>
            </w:r>
          </w:p>
        </w:tc>
        <w:tc>
          <w:tcPr>
            <w:tcW w:w="629" w:type="pct"/>
            <w:tcMar>
              <w:top w:w="0" w:type="dxa"/>
              <w:left w:w="108" w:type="dxa"/>
              <w:bottom w:w="0" w:type="dxa"/>
              <w:right w:w="108" w:type="dxa"/>
            </w:tcMar>
          </w:tcPr>
          <w:p w14:paraId="1003653A" w14:textId="77777777" w:rsidR="002056CD" w:rsidRPr="00C227CD" w:rsidRDefault="002056CD" w:rsidP="004443A4">
            <w:pPr>
              <w:keepNext/>
              <w:spacing w:before="0" w:after="0"/>
              <w:rPr>
                <w:b/>
                <w:bCs/>
              </w:rPr>
            </w:pPr>
            <w:r w:rsidRPr="00C227CD">
              <w:rPr>
                <w:b/>
              </w:rPr>
              <w:t>−$2,041,089</w:t>
            </w:r>
          </w:p>
        </w:tc>
        <w:tc>
          <w:tcPr>
            <w:tcW w:w="629" w:type="pct"/>
            <w:tcMar>
              <w:top w:w="0" w:type="dxa"/>
              <w:left w:w="108" w:type="dxa"/>
              <w:bottom w:w="0" w:type="dxa"/>
              <w:right w:w="108" w:type="dxa"/>
            </w:tcMar>
          </w:tcPr>
          <w:p w14:paraId="6D4F11F2" w14:textId="77777777" w:rsidR="002056CD" w:rsidRPr="00C227CD" w:rsidRDefault="002056CD" w:rsidP="004443A4">
            <w:pPr>
              <w:keepNext/>
              <w:spacing w:before="0" w:after="0"/>
              <w:rPr>
                <w:b/>
                <w:bCs/>
              </w:rPr>
            </w:pPr>
            <w:r w:rsidRPr="00C227CD">
              <w:rPr>
                <w:b/>
              </w:rPr>
              <w:t>−$2,410,952</w:t>
            </w:r>
          </w:p>
        </w:tc>
        <w:tc>
          <w:tcPr>
            <w:tcW w:w="629" w:type="pct"/>
            <w:tcMar>
              <w:top w:w="0" w:type="dxa"/>
              <w:left w:w="108" w:type="dxa"/>
              <w:bottom w:w="0" w:type="dxa"/>
              <w:right w:w="108" w:type="dxa"/>
            </w:tcMar>
          </w:tcPr>
          <w:p w14:paraId="0D7073BE" w14:textId="77777777" w:rsidR="002056CD" w:rsidRPr="00C227CD" w:rsidRDefault="002056CD" w:rsidP="004443A4">
            <w:pPr>
              <w:keepNext/>
              <w:spacing w:before="0" w:after="0"/>
              <w:rPr>
                <w:b/>
                <w:bCs/>
              </w:rPr>
            </w:pPr>
            <w:r w:rsidRPr="00C227CD">
              <w:rPr>
                <w:b/>
              </w:rPr>
              <w:t>−$2,491,859</w:t>
            </w:r>
          </w:p>
        </w:tc>
        <w:tc>
          <w:tcPr>
            <w:tcW w:w="629" w:type="pct"/>
            <w:tcMar>
              <w:top w:w="0" w:type="dxa"/>
              <w:left w:w="108" w:type="dxa"/>
              <w:bottom w:w="0" w:type="dxa"/>
              <w:right w:w="108" w:type="dxa"/>
            </w:tcMar>
          </w:tcPr>
          <w:p w14:paraId="2E14F932" w14:textId="77777777" w:rsidR="002056CD" w:rsidRPr="00C227CD" w:rsidRDefault="002056CD" w:rsidP="004443A4">
            <w:pPr>
              <w:keepNext/>
              <w:spacing w:before="0" w:after="0"/>
              <w:rPr>
                <w:b/>
                <w:bCs/>
              </w:rPr>
            </w:pPr>
            <w:r w:rsidRPr="00C227CD">
              <w:rPr>
                <w:b/>
              </w:rPr>
              <w:t>−$2,575,480</w:t>
            </w:r>
          </w:p>
        </w:tc>
      </w:tr>
      <w:tr w:rsidR="002056CD" w:rsidRPr="00C227CD" w14:paraId="42266377" w14:textId="77777777" w:rsidTr="004443A4">
        <w:tc>
          <w:tcPr>
            <w:tcW w:w="1855" w:type="pct"/>
            <w:tcMar>
              <w:top w:w="0" w:type="dxa"/>
              <w:left w:w="108" w:type="dxa"/>
              <w:bottom w:w="0" w:type="dxa"/>
              <w:right w:w="108" w:type="dxa"/>
            </w:tcMar>
          </w:tcPr>
          <w:p w14:paraId="6574AC10" w14:textId="77777777" w:rsidR="002056CD" w:rsidRPr="00C227CD" w:rsidRDefault="002056CD" w:rsidP="004443A4">
            <w:pPr>
              <w:keepNext/>
              <w:spacing w:before="0" w:after="0"/>
            </w:pPr>
            <w:r w:rsidRPr="00C227CD">
              <w:t>Net cost to the MBS</w:t>
            </w:r>
          </w:p>
        </w:tc>
        <w:tc>
          <w:tcPr>
            <w:tcW w:w="629" w:type="pct"/>
            <w:tcMar>
              <w:top w:w="0" w:type="dxa"/>
              <w:left w:w="108" w:type="dxa"/>
              <w:bottom w:w="0" w:type="dxa"/>
              <w:right w:w="108" w:type="dxa"/>
            </w:tcMar>
          </w:tcPr>
          <w:p w14:paraId="47F9CC96" w14:textId="4D381D33" w:rsidR="002056CD" w:rsidRPr="008F66BB" w:rsidRDefault="002056CD" w:rsidP="004443A4">
            <w:pPr>
              <w:keepNext/>
              <w:spacing w:before="0" w:after="0"/>
              <w:jc w:val="right"/>
            </w:pPr>
            <w:r w:rsidRPr="008F66BB">
              <w:t>$</w:t>
            </w:r>
            <w:r w:rsidR="00AE3E5D" w:rsidRPr="00AE3E5D">
              <w:rPr>
                <w:color w:val="000000"/>
                <w:shd w:val="solid" w:color="000000" w:fill="000000"/>
                <w14:textFill>
                  <w14:solidFill>
                    <w14:srgbClr w14:val="000000">
                      <w14:alpha w14:val="100000"/>
                    </w14:srgbClr>
                  </w14:solidFill>
                </w14:textFill>
              </w:rPr>
              <w:t>|</w:t>
            </w:r>
          </w:p>
        </w:tc>
        <w:tc>
          <w:tcPr>
            <w:tcW w:w="629" w:type="pct"/>
            <w:tcMar>
              <w:top w:w="0" w:type="dxa"/>
              <w:left w:w="108" w:type="dxa"/>
              <w:bottom w:w="0" w:type="dxa"/>
              <w:right w:w="108" w:type="dxa"/>
            </w:tcMar>
          </w:tcPr>
          <w:p w14:paraId="552A6A1C" w14:textId="7AF1B5A7" w:rsidR="002056CD" w:rsidRPr="008F66BB" w:rsidRDefault="002056CD" w:rsidP="004443A4">
            <w:pPr>
              <w:keepNext/>
              <w:spacing w:before="0" w:after="0"/>
              <w:jc w:val="right"/>
            </w:pPr>
            <w:r w:rsidRPr="008F66BB">
              <w:t>$</w:t>
            </w:r>
            <w:r w:rsidR="00AE3E5D" w:rsidRPr="00AE3E5D">
              <w:rPr>
                <w:color w:val="000000"/>
                <w:shd w:val="solid" w:color="000000" w:fill="000000"/>
                <w14:textFill>
                  <w14:solidFill>
                    <w14:srgbClr w14:val="000000">
                      <w14:alpha w14:val="100000"/>
                    </w14:srgbClr>
                  </w14:solidFill>
                </w14:textFill>
              </w:rPr>
              <w:t>|</w:t>
            </w:r>
          </w:p>
        </w:tc>
        <w:tc>
          <w:tcPr>
            <w:tcW w:w="629" w:type="pct"/>
            <w:tcMar>
              <w:top w:w="0" w:type="dxa"/>
              <w:left w:w="108" w:type="dxa"/>
              <w:bottom w:w="0" w:type="dxa"/>
              <w:right w:w="108" w:type="dxa"/>
            </w:tcMar>
          </w:tcPr>
          <w:p w14:paraId="5735A949" w14:textId="15312609" w:rsidR="002056CD" w:rsidRPr="008F66BB" w:rsidRDefault="002056CD" w:rsidP="004443A4">
            <w:pPr>
              <w:keepNext/>
              <w:spacing w:before="0" w:after="0"/>
              <w:jc w:val="right"/>
            </w:pPr>
            <w:r w:rsidRPr="008F66BB">
              <w:t>$</w:t>
            </w:r>
            <w:r w:rsidR="00AE3E5D" w:rsidRPr="00AE3E5D">
              <w:rPr>
                <w:color w:val="000000"/>
                <w:shd w:val="solid" w:color="000000" w:fill="000000"/>
                <w14:textFill>
                  <w14:solidFill>
                    <w14:srgbClr w14:val="000000">
                      <w14:alpha w14:val="100000"/>
                    </w14:srgbClr>
                  </w14:solidFill>
                </w14:textFill>
              </w:rPr>
              <w:t>|</w:t>
            </w:r>
          </w:p>
        </w:tc>
        <w:tc>
          <w:tcPr>
            <w:tcW w:w="629" w:type="pct"/>
            <w:tcMar>
              <w:top w:w="0" w:type="dxa"/>
              <w:left w:w="108" w:type="dxa"/>
              <w:bottom w:w="0" w:type="dxa"/>
              <w:right w:w="108" w:type="dxa"/>
            </w:tcMar>
          </w:tcPr>
          <w:p w14:paraId="40AC2BB0" w14:textId="0E981010" w:rsidR="002056CD" w:rsidRPr="008F66BB" w:rsidRDefault="002056CD" w:rsidP="004443A4">
            <w:pPr>
              <w:keepNext/>
              <w:spacing w:before="0" w:after="0"/>
              <w:jc w:val="right"/>
            </w:pPr>
            <w:r w:rsidRPr="008F66BB">
              <w:t>$</w:t>
            </w:r>
            <w:r w:rsidR="00AE3E5D" w:rsidRPr="00AE3E5D">
              <w:rPr>
                <w:color w:val="000000"/>
                <w:shd w:val="solid" w:color="000000" w:fill="000000"/>
                <w14:textFill>
                  <w14:solidFill>
                    <w14:srgbClr w14:val="000000">
                      <w14:alpha w14:val="100000"/>
                    </w14:srgbClr>
                  </w14:solidFill>
                </w14:textFill>
              </w:rPr>
              <w:t>|</w:t>
            </w:r>
          </w:p>
        </w:tc>
        <w:tc>
          <w:tcPr>
            <w:tcW w:w="629" w:type="pct"/>
            <w:tcMar>
              <w:top w:w="0" w:type="dxa"/>
              <w:left w:w="108" w:type="dxa"/>
              <w:bottom w:w="0" w:type="dxa"/>
              <w:right w:w="108" w:type="dxa"/>
            </w:tcMar>
          </w:tcPr>
          <w:p w14:paraId="2814D46F" w14:textId="0DA4F16B" w:rsidR="002056CD" w:rsidRPr="008F66BB" w:rsidRDefault="002056CD" w:rsidP="004443A4">
            <w:pPr>
              <w:keepNext/>
              <w:spacing w:before="0" w:after="0"/>
              <w:jc w:val="right"/>
            </w:pPr>
            <w:r w:rsidRPr="008F66BB">
              <w:t>$</w:t>
            </w:r>
            <w:r w:rsidR="00AE3E5D" w:rsidRPr="00AE3E5D">
              <w:rPr>
                <w:color w:val="000000"/>
                <w:shd w:val="solid" w:color="000000" w:fill="000000"/>
                <w14:textFill>
                  <w14:solidFill>
                    <w14:srgbClr w14:val="000000">
                      <w14:alpha w14:val="100000"/>
                    </w14:srgbClr>
                  </w14:solidFill>
                </w14:textFill>
              </w:rPr>
              <w:t>|</w:t>
            </w:r>
          </w:p>
        </w:tc>
      </w:tr>
      <w:tr w:rsidR="002B70E4" w:rsidRPr="008E54AE" w14:paraId="3727C72C" w14:textId="77777777" w:rsidTr="004443A4">
        <w:tc>
          <w:tcPr>
            <w:tcW w:w="1855" w:type="pct"/>
            <w:tcMar>
              <w:top w:w="0" w:type="dxa"/>
              <w:left w:w="108" w:type="dxa"/>
              <w:bottom w:w="0" w:type="dxa"/>
              <w:right w:w="108" w:type="dxa"/>
            </w:tcMar>
          </w:tcPr>
          <w:p w14:paraId="737C1747" w14:textId="4719CA47" w:rsidR="002B70E4" w:rsidRPr="008E54AE" w:rsidRDefault="002B70E4" w:rsidP="004443A4">
            <w:pPr>
              <w:keepNext/>
              <w:spacing w:before="0" w:after="0"/>
            </w:pPr>
            <w:r w:rsidRPr="008E54AE">
              <w:rPr>
                <w:i/>
                <w:iCs/>
              </w:rPr>
              <w:t>Net cost to the MBS</w:t>
            </w:r>
          </w:p>
        </w:tc>
        <w:tc>
          <w:tcPr>
            <w:tcW w:w="629" w:type="pct"/>
            <w:tcMar>
              <w:top w:w="0" w:type="dxa"/>
              <w:left w:w="108" w:type="dxa"/>
              <w:bottom w:w="0" w:type="dxa"/>
              <w:right w:w="108" w:type="dxa"/>
            </w:tcMar>
            <w:vAlign w:val="center"/>
          </w:tcPr>
          <w:p w14:paraId="7A95F7E0" w14:textId="4F0EB396" w:rsidR="002B70E4" w:rsidRPr="008F66BB" w:rsidRDefault="002B70E4" w:rsidP="004443A4">
            <w:pPr>
              <w:keepNext/>
              <w:spacing w:before="0" w:after="0"/>
              <w:jc w:val="right"/>
            </w:pPr>
            <w:r w:rsidRPr="008F66BB">
              <w:rPr>
                <w:i/>
                <w:iCs/>
              </w:rPr>
              <w:t>$3,549,480</w:t>
            </w:r>
          </w:p>
        </w:tc>
        <w:tc>
          <w:tcPr>
            <w:tcW w:w="629" w:type="pct"/>
            <w:tcMar>
              <w:top w:w="0" w:type="dxa"/>
              <w:left w:w="108" w:type="dxa"/>
              <w:bottom w:w="0" w:type="dxa"/>
              <w:right w:w="108" w:type="dxa"/>
            </w:tcMar>
            <w:vAlign w:val="center"/>
          </w:tcPr>
          <w:p w14:paraId="66533A98" w14:textId="020C5737" w:rsidR="002B70E4" w:rsidRPr="008F66BB" w:rsidRDefault="002B70E4" w:rsidP="004443A4">
            <w:pPr>
              <w:keepNext/>
              <w:spacing w:before="0" w:after="0"/>
              <w:jc w:val="right"/>
            </w:pPr>
            <w:r w:rsidRPr="008F66BB">
              <w:rPr>
                <w:i/>
                <w:iCs/>
              </w:rPr>
              <w:t>$4,279,738</w:t>
            </w:r>
          </w:p>
        </w:tc>
        <w:tc>
          <w:tcPr>
            <w:tcW w:w="629" w:type="pct"/>
            <w:tcMar>
              <w:top w:w="0" w:type="dxa"/>
              <w:left w:w="108" w:type="dxa"/>
              <w:bottom w:w="0" w:type="dxa"/>
              <w:right w:w="108" w:type="dxa"/>
            </w:tcMar>
            <w:vAlign w:val="center"/>
          </w:tcPr>
          <w:p w14:paraId="21FBBA8E" w14:textId="2E7A84AA" w:rsidR="002B70E4" w:rsidRPr="008F66BB" w:rsidRDefault="002B70E4" w:rsidP="004443A4">
            <w:pPr>
              <w:keepNext/>
              <w:spacing w:before="0" w:after="0"/>
              <w:jc w:val="right"/>
            </w:pPr>
            <w:r w:rsidRPr="008F66BB">
              <w:rPr>
                <w:i/>
                <w:iCs/>
              </w:rPr>
              <w:t>$5,055,515</w:t>
            </w:r>
          </w:p>
        </w:tc>
        <w:tc>
          <w:tcPr>
            <w:tcW w:w="629" w:type="pct"/>
            <w:tcMar>
              <w:top w:w="0" w:type="dxa"/>
              <w:left w:w="108" w:type="dxa"/>
              <w:bottom w:w="0" w:type="dxa"/>
              <w:right w:w="108" w:type="dxa"/>
            </w:tcMar>
            <w:vAlign w:val="center"/>
          </w:tcPr>
          <w:p w14:paraId="51308B30" w14:textId="2D4043A1" w:rsidR="002B70E4" w:rsidRPr="008F66BB" w:rsidRDefault="002B70E4" w:rsidP="004443A4">
            <w:pPr>
              <w:keepNext/>
              <w:spacing w:before="0" w:after="0"/>
              <w:jc w:val="right"/>
            </w:pPr>
            <w:r w:rsidRPr="008F66BB">
              <w:rPr>
                <w:i/>
                <w:iCs/>
              </w:rPr>
              <w:t>$5,225,633</w:t>
            </w:r>
          </w:p>
        </w:tc>
        <w:tc>
          <w:tcPr>
            <w:tcW w:w="629" w:type="pct"/>
            <w:tcMar>
              <w:top w:w="0" w:type="dxa"/>
              <w:left w:w="108" w:type="dxa"/>
              <w:bottom w:w="0" w:type="dxa"/>
              <w:right w:w="108" w:type="dxa"/>
            </w:tcMar>
            <w:vAlign w:val="center"/>
          </w:tcPr>
          <w:p w14:paraId="4E5893B8" w14:textId="156F481D" w:rsidR="002B70E4" w:rsidRPr="008F66BB" w:rsidRDefault="002B70E4" w:rsidP="004443A4">
            <w:pPr>
              <w:keepNext/>
              <w:spacing w:before="0" w:after="0"/>
              <w:jc w:val="right"/>
            </w:pPr>
            <w:r w:rsidRPr="008F66BB">
              <w:rPr>
                <w:i/>
                <w:iCs/>
              </w:rPr>
              <w:t>$5,400,049</w:t>
            </w:r>
          </w:p>
        </w:tc>
      </w:tr>
      <w:tr w:rsidR="002056CD" w:rsidRPr="00C227CD" w14:paraId="2B31F14E" w14:textId="77777777" w:rsidTr="004443A4">
        <w:tc>
          <w:tcPr>
            <w:tcW w:w="1855" w:type="pct"/>
            <w:tcMar>
              <w:top w:w="0" w:type="dxa"/>
              <w:left w:w="108" w:type="dxa"/>
              <w:bottom w:w="0" w:type="dxa"/>
              <w:right w:w="108" w:type="dxa"/>
            </w:tcMar>
          </w:tcPr>
          <w:p w14:paraId="55C2AE76" w14:textId="77777777" w:rsidR="002056CD" w:rsidRPr="00C227CD" w:rsidRDefault="002056CD" w:rsidP="004443A4">
            <w:pPr>
              <w:keepNext/>
              <w:spacing w:before="0" w:after="0"/>
            </w:pPr>
            <w:r w:rsidRPr="00C227CD">
              <w:t>Net cost to government health budgets</w:t>
            </w:r>
          </w:p>
        </w:tc>
        <w:tc>
          <w:tcPr>
            <w:tcW w:w="629" w:type="pct"/>
            <w:tcMar>
              <w:top w:w="0" w:type="dxa"/>
              <w:left w:w="108" w:type="dxa"/>
              <w:bottom w:w="0" w:type="dxa"/>
              <w:right w:w="108" w:type="dxa"/>
            </w:tcMar>
          </w:tcPr>
          <w:p w14:paraId="28ABC3BA" w14:textId="7D0F29B0" w:rsidR="002056CD" w:rsidRPr="008F66BB" w:rsidRDefault="002056CD" w:rsidP="004443A4">
            <w:pPr>
              <w:keepNext/>
              <w:spacing w:before="0" w:after="0"/>
              <w:jc w:val="right"/>
            </w:pPr>
            <w:r w:rsidRPr="008F66BB">
              <w:t>$</w:t>
            </w:r>
            <w:r w:rsidR="00AE3E5D" w:rsidRPr="00AE3E5D">
              <w:rPr>
                <w:color w:val="000000"/>
                <w:shd w:val="solid" w:color="000000" w:fill="000000"/>
                <w14:textFill>
                  <w14:solidFill>
                    <w14:srgbClr w14:val="000000">
                      <w14:alpha w14:val="100000"/>
                    </w14:srgbClr>
                  </w14:solidFill>
                </w14:textFill>
              </w:rPr>
              <w:t>|</w:t>
            </w:r>
          </w:p>
        </w:tc>
        <w:tc>
          <w:tcPr>
            <w:tcW w:w="629" w:type="pct"/>
            <w:tcMar>
              <w:top w:w="0" w:type="dxa"/>
              <w:left w:w="108" w:type="dxa"/>
              <w:bottom w:w="0" w:type="dxa"/>
              <w:right w:w="108" w:type="dxa"/>
            </w:tcMar>
          </w:tcPr>
          <w:p w14:paraId="60808EC2" w14:textId="4319A72D" w:rsidR="002056CD" w:rsidRPr="008F66BB" w:rsidRDefault="002056CD" w:rsidP="004443A4">
            <w:pPr>
              <w:keepNext/>
              <w:spacing w:before="0" w:after="0"/>
              <w:jc w:val="right"/>
            </w:pPr>
            <w:r w:rsidRPr="008F66BB">
              <w:t>$</w:t>
            </w:r>
            <w:r w:rsidR="00AE3E5D" w:rsidRPr="00AE3E5D">
              <w:rPr>
                <w:color w:val="000000"/>
                <w:shd w:val="solid" w:color="000000" w:fill="000000"/>
                <w14:textFill>
                  <w14:solidFill>
                    <w14:srgbClr w14:val="000000">
                      <w14:alpha w14:val="100000"/>
                    </w14:srgbClr>
                  </w14:solidFill>
                </w14:textFill>
              </w:rPr>
              <w:t>|</w:t>
            </w:r>
          </w:p>
        </w:tc>
        <w:tc>
          <w:tcPr>
            <w:tcW w:w="629" w:type="pct"/>
            <w:tcMar>
              <w:top w:w="0" w:type="dxa"/>
              <w:left w:w="108" w:type="dxa"/>
              <w:bottom w:w="0" w:type="dxa"/>
              <w:right w:w="108" w:type="dxa"/>
            </w:tcMar>
          </w:tcPr>
          <w:p w14:paraId="3EF1A0A9" w14:textId="0643B9D4" w:rsidR="002056CD" w:rsidRPr="008F66BB" w:rsidRDefault="002056CD" w:rsidP="004443A4">
            <w:pPr>
              <w:keepNext/>
              <w:spacing w:before="0" w:after="0"/>
              <w:jc w:val="right"/>
            </w:pPr>
            <w:r w:rsidRPr="008F66BB">
              <w:t>$</w:t>
            </w:r>
            <w:r w:rsidR="00AE3E5D" w:rsidRPr="00AE3E5D">
              <w:rPr>
                <w:color w:val="000000"/>
                <w:shd w:val="solid" w:color="000000" w:fill="000000"/>
                <w14:textFill>
                  <w14:solidFill>
                    <w14:srgbClr w14:val="000000">
                      <w14:alpha w14:val="100000"/>
                    </w14:srgbClr>
                  </w14:solidFill>
                </w14:textFill>
              </w:rPr>
              <w:t>|</w:t>
            </w:r>
          </w:p>
        </w:tc>
        <w:tc>
          <w:tcPr>
            <w:tcW w:w="629" w:type="pct"/>
            <w:tcMar>
              <w:top w:w="0" w:type="dxa"/>
              <w:left w:w="108" w:type="dxa"/>
              <w:bottom w:w="0" w:type="dxa"/>
              <w:right w:w="108" w:type="dxa"/>
            </w:tcMar>
          </w:tcPr>
          <w:p w14:paraId="56AD5AB8" w14:textId="608C9CAF" w:rsidR="002056CD" w:rsidRPr="008F66BB" w:rsidRDefault="002056CD" w:rsidP="004443A4">
            <w:pPr>
              <w:keepNext/>
              <w:spacing w:before="0" w:after="0"/>
              <w:jc w:val="right"/>
            </w:pPr>
            <w:r w:rsidRPr="008F66BB">
              <w:t>$</w:t>
            </w:r>
            <w:r w:rsidR="00AE3E5D" w:rsidRPr="00AE3E5D">
              <w:rPr>
                <w:color w:val="000000"/>
                <w:shd w:val="solid" w:color="000000" w:fill="000000"/>
                <w14:textFill>
                  <w14:solidFill>
                    <w14:srgbClr w14:val="000000">
                      <w14:alpha w14:val="100000"/>
                    </w14:srgbClr>
                  </w14:solidFill>
                </w14:textFill>
              </w:rPr>
              <w:t>|</w:t>
            </w:r>
          </w:p>
        </w:tc>
        <w:tc>
          <w:tcPr>
            <w:tcW w:w="629" w:type="pct"/>
            <w:tcMar>
              <w:top w:w="0" w:type="dxa"/>
              <w:left w:w="108" w:type="dxa"/>
              <w:bottom w:w="0" w:type="dxa"/>
              <w:right w:w="108" w:type="dxa"/>
            </w:tcMar>
          </w:tcPr>
          <w:p w14:paraId="537E3130" w14:textId="3512EC92" w:rsidR="002056CD" w:rsidRPr="008F66BB" w:rsidRDefault="002056CD" w:rsidP="004443A4">
            <w:pPr>
              <w:keepNext/>
              <w:spacing w:before="0" w:after="0"/>
              <w:jc w:val="right"/>
            </w:pPr>
            <w:r w:rsidRPr="008F66BB">
              <w:t>$</w:t>
            </w:r>
            <w:r w:rsidR="00AE3E5D" w:rsidRPr="00AE3E5D">
              <w:rPr>
                <w:color w:val="000000"/>
                <w:shd w:val="solid" w:color="000000" w:fill="000000"/>
                <w14:textFill>
                  <w14:solidFill>
                    <w14:srgbClr w14:val="000000">
                      <w14:alpha w14:val="100000"/>
                    </w14:srgbClr>
                  </w14:solidFill>
                </w14:textFill>
              </w:rPr>
              <w:t>|</w:t>
            </w:r>
          </w:p>
        </w:tc>
      </w:tr>
      <w:tr w:rsidR="008E54AE" w:rsidRPr="008E54AE" w14:paraId="666D3A73" w14:textId="77777777" w:rsidTr="004443A4">
        <w:tc>
          <w:tcPr>
            <w:tcW w:w="1855" w:type="pct"/>
            <w:tcMar>
              <w:top w:w="0" w:type="dxa"/>
              <w:left w:w="108" w:type="dxa"/>
              <w:bottom w:w="0" w:type="dxa"/>
              <w:right w:w="108" w:type="dxa"/>
            </w:tcMar>
          </w:tcPr>
          <w:p w14:paraId="4BFC597D" w14:textId="2CEFB74B" w:rsidR="008E54AE" w:rsidRPr="008E54AE" w:rsidRDefault="008E54AE" w:rsidP="004443A4">
            <w:pPr>
              <w:keepNext/>
              <w:spacing w:before="0" w:after="0"/>
              <w:rPr>
                <w:i/>
                <w:iCs/>
              </w:rPr>
            </w:pPr>
            <w:r w:rsidRPr="008E54AE">
              <w:rPr>
                <w:i/>
                <w:iCs/>
              </w:rPr>
              <w:t>Net cost to government health budgets*</w:t>
            </w:r>
          </w:p>
        </w:tc>
        <w:tc>
          <w:tcPr>
            <w:tcW w:w="629" w:type="pct"/>
            <w:tcMar>
              <w:top w:w="0" w:type="dxa"/>
              <w:left w:w="108" w:type="dxa"/>
              <w:bottom w:w="0" w:type="dxa"/>
              <w:right w:w="108" w:type="dxa"/>
            </w:tcMar>
          </w:tcPr>
          <w:p w14:paraId="2B01F1E5" w14:textId="5E11A3DF" w:rsidR="008E54AE" w:rsidRPr="008F66BB" w:rsidRDefault="008E54AE" w:rsidP="004443A4">
            <w:pPr>
              <w:keepNext/>
              <w:spacing w:before="0" w:after="0"/>
              <w:jc w:val="right"/>
              <w:rPr>
                <w:i/>
                <w:iCs/>
              </w:rPr>
            </w:pPr>
            <w:r w:rsidRPr="008F66BB">
              <w:rPr>
                <w:i/>
                <w:iCs/>
              </w:rPr>
              <w:t>$1,856,779</w:t>
            </w:r>
          </w:p>
        </w:tc>
        <w:tc>
          <w:tcPr>
            <w:tcW w:w="629" w:type="pct"/>
            <w:tcMar>
              <w:top w:w="0" w:type="dxa"/>
              <w:left w:w="108" w:type="dxa"/>
              <w:bottom w:w="0" w:type="dxa"/>
              <w:right w:w="108" w:type="dxa"/>
            </w:tcMar>
          </w:tcPr>
          <w:p w14:paraId="04A99DBC" w14:textId="65C898FF" w:rsidR="008E54AE" w:rsidRPr="008F66BB" w:rsidRDefault="008E54AE" w:rsidP="004443A4">
            <w:pPr>
              <w:keepNext/>
              <w:spacing w:before="0" w:after="0"/>
              <w:jc w:val="right"/>
              <w:rPr>
                <w:i/>
                <w:iCs/>
              </w:rPr>
            </w:pPr>
            <w:r w:rsidRPr="008F66BB">
              <w:rPr>
                <w:i/>
                <w:iCs/>
              </w:rPr>
              <w:t>$2,238,649</w:t>
            </w:r>
          </w:p>
        </w:tc>
        <w:tc>
          <w:tcPr>
            <w:tcW w:w="629" w:type="pct"/>
            <w:tcMar>
              <w:top w:w="0" w:type="dxa"/>
              <w:left w:w="108" w:type="dxa"/>
              <w:bottom w:w="0" w:type="dxa"/>
              <w:right w:w="108" w:type="dxa"/>
            </w:tcMar>
          </w:tcPr>
          <w:p w14:paraId="7A14E9F8" w14:textId="5BA2598F" w:rsidR="008E54AE" w:rsidRPr="008F66BB" w:rsidRDefault="008E54AE" w:rsidP="004443A4">
            <w:pPr>
              <w:keepNext/>
              <w:spacing w:before="0" w:after="0"/>
              <w:jc w:val="right"/>
              <w:rPr>
                <w:i/>
                <w:iCs/>
              </w:rPr>
            </w:pPr>
            <w:r w:rsidRPr="008F66BB">
              <w:rPr>
                <w:i/>
                <w:iCs/>
              </w:rPr>
              <w:t>$2,644,563</w:t>
            </w:r>
          </w:p>
        </w:tc>
        <w:tc>
          <w:tcPr>
            <w:tcW w:w="629" w:type="pct"/>
            <w:tcMar>
              <w:top w:w="0" w:type="dxa"/>
              <w:left w:w="108" w:type="dxa"/>
              <w:bottom w:w="0" w:type="dxa"/>
              <w:right w:w="108" w:type="dxa"/>
            </w:tcMar>
          </w:tcPr>
          <w:p w14:paraId="0F60C389" w14:textId="7E52A481" w:rsidR="008E54AE" w:rsidRPr="008F66BB" w:rsidRDefault="008E54AE" w:rsidP="004443A4">
            <w:pPr>
              <w:keepNext/>
              <w:spacing w:before="0" w:after="0"/>
              <w:jc w:val="right"/>
              <w:rPr>
                <w:i/>
                <w:iCs/>
              </w:rPr>
            </w:pPr>
            <w:r w:rsidRPr="008F66BB">
              <w:rPr>
                <w:i/>
                <w:iCs/>
              </w:rPr>
              <w:t>$2,733,774</w:t>
            </w:r>
          </w:p>
        </w:tc>
        <w:tc>
          <w:tcPr>
            <w:tcW w:w="629" w:type="pct"/>
            <w:tcMar>
              <w:top w:w="0" w:type="dxa"/>
              <w:left w:w="108" w:type="dxa"/>
              <w:bottom w:w="0" w:type="dxa"/>
              <w:right w:w="108" w:type="dxa"/>
            </w:tcMar>
          </w:tcPr>
          <w:p w14:paraId="0E3A1CBD" w14:textId="437DD5BC" w:rsidR="008E54AE" w:rsidRPr="008F66BB" w:rsidRDefault="008E54AE" w:rsidP="004443A4">
            <w:pPr>
              <w:keepNext/>
              <w:spacing w:before="0" w:after="0"/>
              <w:jc w:val="right"/>
              <w:rPr>
                <w:i/>
                <w:iCs/>
              </w:rPr>
            </w:pPr>
            <w:r w:rsidRPr="008F66BB">
              <w:rPr>
                <w:i/>
                <w:iCs/>
              </w:rPr>
              <w:t>$2,824,569</w:t>
            </w:r>
          </w:p>
        </w:tc>
      </w:tr>
    </w:tbl>
    <w:p w14:paraId="3F80BA8D" w14:textId="77777777" w:rsidR="008A0245" w:rsidRDefault="008A0245" w:rsidP="008A0245">
      <w:pPr>
        <w:keepLines/>
        <w:spacing w:after="360" w:line="240" w:lineRule="auto"/>
        <w:contextualSpacing/>
        <w:rPr>
          <w:rFonts w:ascii="Arial Narrow" w:eastAsia="Times New Roman" w:hAnsi="Arial Narrow" w:cs="Times New Roman"/>
          <w:color w:val="000000"/>
          <w:sz w:val="18"/>
          <w:szCs w:val="18"/>
          <w:lang w:eastAsia="en-AU"/>
        </w:rPr>
      </w:pPr>
      <w:r>
        <w:rPr>
          <w:rFonts w:ascii="Arial Narrow" w:eastAsia="Times New Roman" w:hAnsi="Arial Narrow" w:cs="Times New Roman"/>
          <w:color w:val="000000"/>
          <w:sz w:val="18"/>
          <w:szCs w:val="18"/>
          <w:lang w:eastAsia="en-AU"/>
        </w:rPr>
        <w:t xml:space="preserve">Italics indicate MSAC’s revisions to financial analyses to </w:t>
      </w:r>
      <w:proofErr w:type="gramStart"/>
      <w:r>
        <w:rPr>
          <w:rFonts w:ascii="Arial Narrow" w:eastAsia="Times New Roman" w:hAnsi="Arial Narrow" w:cs="Times New Roman"/>
          <w:color w:val="000000"/>
          <w:sz w:val="18"/>
          <w:szCs w:val="18"/>
          <w:lang w:eastAsia="en-AU"/>
        </w:rPr>
        <w:t>take into account</w:t>
      </w:r>
      <w:proofErr w:type="gramEnd"/>
      <w:r>
        <w:rPr>
          <w:rFonts w:ascii="Arial Narrow" w:eastAsia="Times New Roman" w:hAnsi="Arial Narrow" w:cs="Times New Roman"/>
          <w:color w:val="000000"/>
          <w:sz w:val="18"/>
          <w:szCs w:val="18"/>
          <w:lang w:eastAsia="en-AU"/>
        </w:rPr>
        <w:t xml:space="preserve"> a flat fee of </w:t>
      </w:r>
      <w:r w:rsidRPr="008F66BB">
        <w:rPr>
          <w:rFonts w:ascii="Arial Narrow" w:eastAsia="Times New Roman" w:hAnsi="Arial Narrow" w:cs="Times New Roman"/>
          <w:color w:val="000000"/>
          <w:sz w:val="18"/>
          <w:szCs w:val="18"/>
          <w:lang w:eastAsia="en-AU"/>
        </w:rPr>
        <w:t>$1,200</w:t>
      </w:r>
      <w:r>
        <w:rPr>
          <w:rFonts w:ascii="Arial Narrow" w:eastAsia="Times New Roman" w:hAnsi="Arial Narrow" w:cs="Times New Roman"/>
          <w:color w:val="000000"/>
          <w:sz w:val="18"/>
          <w:szCs w:val="18"/>
          <w:lang w:eastAsia="en-AU"/>
        </w:rPr>
        <w:t xml:space="preserve">, and that the test would typically be provided on an outpatient basis. </w:t>
      </w:r>
    </w:p>
    <w:p w14:paraId="0BBF6894" w14:textId="77777777" w:rsidR="001A0F6D" w:rsidRDefault="001A0F6D" w:rsidP="001A0F6D">
      <w:pPr>
        <w:keepLines/>
        <w:spacing w:after="360" w:line="240" w:lineRule="auto"/>
        <w:contextualSpacing/>
        <w:rPr>
          <w:rFonts w:ascii="Arial Narrow" w:eastAsia="Times New Roman" w:hAnsi="Arial Narrow" w:cs="Times New Roman"/>
          <w:color w:val="000000"/>
          <w:sz w:val="18"/>
          <w:szCs w:val="18"/>
          <w:lang w:eastAsia="en-AU"/>
        </w:rPr>
      </w:pPr>
      <w:r>
        <w:rPr>
          <w:rFonts w:ascii="Arial Narrow" w:eastAsia="Times New Roman" w:hAnsi="Arial Narrow" w:cs="Times New Roman"/>
          <w:color w:val="000000"/>
          <w:sz w:val="18"/>
          <w:szCs w:val="18"/>
          <w:lang w:eastAsia="en-AU"/>
        </w:rPr>
        <w:t>* = Note that MSAC did not accept the evidence had sufficiently demonstrated predictive value, therefore it did not agree that there would be changes in chemotherapy and a resulting reduction in costs to the PBS.</w:t>
      </w:r>
    </w:p>
    <w:p w14:paraId="033390B7" w14:textId="77777777" w:rsidR="002056CD" w:rsidRPr="00C227CD" w:rsidRDefault="002056CD" w:rsidP="002056CD">
      <w:pPr>
        <w:keepLines/>
        <w:spacing w:after="360" w:line="240" w:lineRule="auto"/>
        <w:contextualSpacing/>
        <w:rPr>
          <w:rFonts w:ascii="Arial Narrow" w:eastAsia="Times New Roman" w:hAnsi="Arial Narrow" w:cs="Times New Roman"/>
          <w:color w:val="000000"/>
          <w:sz w:val="18"/>
          <w:szCs w:val="18"/>
          <w:lang w:eastAsia="en-AU"/>
        </w:rPr>
      </w:pPr>
      <w:r w:rsidRPr="00C227CD">
        <w:rPr>
          <w:rFonts w:ascii="Arial Narrow" w:eastAsia="Times New Roman" w:hAnsi="Arial Narrow" w:cs="Times New Roman"/>
          <w:color w:val="000000"/>
          <w:sz w:val="18"/>
          <w:szCs w:val="18"/>
          <w:vertAlign w:val="superscript"/>
          <w:lang w:eastAsia="en-AU"/>
        </w:rPr>
        <w:t>a</w:t>
      </w:r>
      <w:r w:rsidRPr="00C227CD">
        <w:rPr>
          <w:rFonts w:ascii="Arial Narrow" w:eastAsia="Times New Roman" w:hAnsi="Arial Narrow" w:cs="Times New Roman"/>
          <w:color w:val="000000"/>
          <w:sz w:val="18"/>
          <w:szCs w:val="18"/>
          <w:lang w:eastAsia="en-AU"/>
        </w:rPr>
        <w:t xml:space="preserve"> 4 scripts per patient in 100% of patients that use chemotherapy. The cost per script of AC was based on the dispensed price for the maximum amount of doxorubicin in a private hospital ($179.18) and the dispensed price for the maximum amount of cyclophosphamide in a private hospital ($200.00).</w:t>
      </w:r>
    </w:p>
    <w:p w14:paraId="6C436EE8" w14:textId="77777777" w:rsidR="002056CD" w:rsidRPr="00C227CD" w:rsidRDefault="002056CD" w:rsidP="002056CD">
      <w:pPr>
        <w:keepLines/>
        <w:spacing w:after="360" w:line="240" w:lineRule="auto"/>
        <w:contextualSpacing/>
        <w:rPr>
          <w:rFonts w:ascii="Arial Narrow" w:eastAsia="Times New Roman" w:hAnsi="Arial Narrow" w:cs="Times New Roman"/>
          <w:color w:val="000000"/>
          <w:sz w:val="18"/>
          <w:szCs w:val="18"/>
          <w:lang w:eastAsia="en-AU"/>
        </w:rPr>
      </w:pPr>
      <w:r w:rsidRPr="00C227CD">
        <w:rPr>
          <w:rFonts w:ascii="Arial Narrow" w:eastAsia="Times New Roman" w:hAnsi="Arial Narrow" w:cs="Times New Roman"/>
          <w:color w:val="000000"/>
          <w:sz w:val="18"/>
          <w:szCs w:val="18"/>
          <w:vertAlign w:val="superscript"/>
          <w:lang w:eastAsia="en-AU"/>
        </w:rPr>
        <w:t>b</w:t>
      </w:r>
      <w:r w:rsidRPr="00C227CD">
        <w:rPr>
          <w:rFonts w:ascii="Arial Narrow" w:eastAsia="Times New Roman" w:hAnsi="Arial Narrow" w:cs="Times New Roman"/>
          <w:color w:val="000000"/>
          <w:sz w:val="18"/>
          <w:szCs w:val="18"/>
          <w:lang w:eastAsia="en-AU"/>
        </w:rPr>
        <w:t xml:space="preserve"> 12 scripts per patient in 39% of patients that use chemotherapy.</w:t>
      </w:r>
    </w:p>
    <w:p w14:paraId="6960A1D8" w14:textId="354E073D" w:rsidR="002056CD" w:rsidRPr="00C227CD" w:rsidRDefault="002056CD" w:rsidP="006A1781">
      <w:pPr>
        <w:spacing w:after="360" w:line="240" w:lineRule="auto"/>
        <w:contextualSpacing/>
        <w:rPr>
          <w:rFonts w:ascii="Arial Narrow" w:eastAsia="Times New Roman" w:hAnsi="Arial Narrow" w:cs="Times New Roman"/>
          <w:color w:val="000000"/>
          <w:sz w:val="18"/>
          <w:szCs w:val="18"/>
          <w:lang w:eastAsia="en-AU"/>
        </w:rPr>
      </w:pPr>
      <w:r w:rsidRPr="00C227CD">
        <w:rPr>
          <w:rFonts w:ascii="Arial Narrow" w:eastAsia="Times New Roman" w:hAnsi="Arial Narrow" w:cs="Times New Roman"/>
          <w:color w:val="000000"/>
          <w:sz w:val="18"/>
          <w:szCs w:val="18"/>
          <w:vertAlign w:val="superscript"/>
          <w:lang w:eastAsia="en-AU"/>
        </w:rPr>
        <w:t>c</w:t>
      </w:r>
      <w:r w:rsidRPr="00C227CD">
        <w:rPr>
          <w:rFonts w:ascii="Arial Narrow" w:eastAsia="Times New Roman" w:hAnsi="Arial Narrow" w:cs="Times New Roman"/>
          <w:color w:val="000000"/>
          <w:sz w:val="18"/>
          <w:szCs w:val="18"/>
          <w:lang w:eastAsia="en-AU"/>
        </w:rPr>
        <w:t xml:space="preserve"> Total adjuvant chemotherapy treatment course cost of $16,160.43 (reported in Verry et al. 2012), minus consultation, chemotherapy medicines and chemotherapy administration costs over the treatment course.</w:t>
      </w:r>
    </w:p>
    <w:p w14:paraId="428426E4" w14:textId="035778C3" w:rsidR="000F0726" w:rsidRPr="00C227CD" w:rsidRDefault="000F0726" w:rsidP="000F0726">
      <w:pPr>
        <w:keepLines/>
        <w:spacing w:after="360" w:line="240" w:lineRule="auto"/>
        <w:contextualSpacing/>
        <w:rPr>
          <w:rFonts w:ascii="Arial Narrow" w:eastAsia="Times New Roman" w:hAnsi="Arial Narrow" w:cs="Times New Roman"/>
          <w:color w:val="000000"/>
          <w:sz w:val="18"/>
          <w:szCs w:val="18"/>
          <w:lang w:eastAsia="en-AU"/>
        </w:rPr>
      </w:pPr>
      <w:bookmarkStart w:id="73" w:name="_Toc69491427"/>
      <w:bookmarkStart w:id="74" w:name="_Toc102569861"/>
      <w:bookmarkEnd w:id="69"/>
      <w:r w:rsidRPr="00C227CD">
        <w:rPr>
          <w:rFonts w:ascii="Arial Narrow" w:eastAsia="Times New Roman" w:hAnsi="Arial Narrow" w:cs="Times New Roman"/>
          <w:color w:val="000000"/>
          <w:sz w:val="18"/>
          <w:szCs w:val="18"/>
          <w:lang w:eastAsia="en-AU"/>
        </w:rPr>
        <w:t>AC = doxorubicin and cyclophosphamide.</w:t>
      </w:r>
    </w:p>
    <w:p w14:paraId="62D4CFF8" w14:textId="77777777" w:rsidR="000F0726" w:rsidRPr="00C227CD" w:rsidRDefault="000F0726" w:rsidP="000F0726">
      <w:pPr>
        <w:keepLines/>
        <w:spacing w:after="240" w:line="240" w:lineRule="auto"/>
        <w:rPr>
          <w:rFonts w:ascii="Arial Narrow" w:eastAsia="Times New Roman" w:hAnsi="Arial Narrow" w:cs="Times New Roman"/>
          <w:color w:val="000000"/>
          <w:sz w:val="18"/>
          <w:szCs w:val="18"/>
          <w:lang w:eastAsia="en-AU"/>
        </w:rPr>
      </w:pPr>
      <w:r w:rsidRPr="00C227CD">
        <w:rPr>
          <w:rFonts w:ascii="Arial Narrow" w:eastAsia="Times New Roman" w:hAnsi="Arial Narrow" w:cs="Times New Roman"/>
          <w:color w:val="000000"/>
          <w:sz w:val="18"/>
          <w:szCs w:val="18"/>
          <w:lang w:eastAsia="en-AU"/>
        </w:rPr>
        <w:t xml:space="preserve">Source: Constructed during the evaluation using the ‘Attachment 6_EndoPredict_budget impact.xlsx’ workbook included in the </w:t>
      </w:r>
      <w:r>
        <w:rPr>
          <w:rFonts w:ascii="Arial Narrow" w:eastAsia="Times New Roman" w:hAnsi="Arial Narrow" w:cs="Times New Roman"/>
          <w:color w:val="000000"/>
          <w:sz w:val="18"/>
          <w:szCs w:val="18"/>
          <w:lang w:eastAsia="en-AU"/>
        </w:rPr>
        <w:t>1408.1 re-application</w:t>
      </w:r>
      <w:r w:rsidRPr="00C227CD">
        <w:rPr>
          <w:rFonts w:ascii="Arial Narrow" w:eastAsia="Times New Roman" w:hAnsi="Arial Narrow" w:cs="Times New Roman"/>
          <w:color w:val="000000"/>
          <w:sz w:val="18"/>
          <w:szCs w:val="18"/>
          <w:lang w:eastAsia="en-AU"/>
        </w:rPr>
        <w:t>.</w:t>
      </w:r>
    </w:p>
    <w:p w14:paraId="3B2DC8CA" w14:textId="556984F0" w:rsidR="002056CD" w:rsidRPr="00D76968" w:rsidRDefault="002056CD" w:rsidP="002056CD">
      <w:pPr>
        <w:pStyle w:val="Heading2"/>
        <w:rPr>
          <w:rFonts w:ascii="Franklin Gothic Medium" w:hAnsi="Franklin Gothic Medium" w:cstheme="majorBidi"/>
        </w:rPr>
      </w:pPr>
      <w:r w:rsidRPr="00D76968">
        <w:rPr>
          <w:rFonts w:ascii="Franklin Gothic Medium" w:hAnsi="Franklin Gothic Medium" w:cstheme="majorBidi"/>
        </w:rPr>
        <w:lastRenderedPageBreak/>
        <w:t>1</w:t>
      </w:r>
      <w:r w:rsidR="006A153F">
        <w:rPr>
          <w:rFonts w:ascii="Franklin Gothic Medium" w:hAnsi="Franklin Gothic Medium" w:cstheme="majorBidi"/>
        </w:rPr>
        <w:t>5</w:t>
      </w:r>
      <w:r w:rsidRPr="00D76968">
        <w:rPr>
          <w:rFonts w:ascii="Franklin Gothic Medium" w:hAnsi="Franklin Gothic Medium" w:cstheme="majorBidi"/>
        </w:rPr>
        <w:t>.</w:t>
      </w:r>
      <w:r w:rsidRPr="00D76968">
        <w:rPr>
          <w:rFonts w:ascii="Franklin Gothic Medium" w:hAnsi="Franklin Gothic Medium" w:cstheme="majorBidi"/>
        </w:rPr>
        <w:tab/>
        <w:t xml:space="preserve">Other relevant </w:t>
      </w:r>
      <w:bookmarkEnd w:id="73"/>
      <w:r w:rsidRPr="00D76968">
        <w:rPr>
          <w:rFonts w:ascii="Franklin Gothic Medium" w:hAnsi="Franklin Gothic Medium" w:cstheme="majorBidi"/>
        </w:rPr>
        <w:t>information</w:t>
      </w:r>
      <w:bookmarkEnd w:id="74"/>
    </w:p>
    <w:p w14:paraId="667CC7BF" w14:textId="77777777" w:rsidR="002056CD" w:rsidRPr="00D76968" w:rsidRDefault="002056CD" w:rsidP="002056CD">
      <w:pPr>
        <w:pStyle w:val="Heading4"/>
        <w:rPr>
          <w:rFonts w:ascii="Franklin Gothic Book" w:hAnsi="Franklin Gothic Book"/>
        </w:rPr>
      </w:pPr>
      <w:r w:rsidRPr="00D76968">
        <w:rPr>
          <w:rFonts w:ascii="Franklin Gothic Book" w:hAnsi="Franklin Gothic Book"/>
        </w:rPr>
        <w:t>The value of knowing a prognostic test result</w:t>
      </w:r>
    </w:p>
    <w:p w14:paraId="5C07C679" w14:textId="2A1484F9" w:rsidR="002056CD" w:rsidRPr="00D76968" w:rsidRDefault="002056CD" w:rsidP="002056CD">
      <w:pPr>
        <w:rPr>
          <w:rFonts w:ascii="Franklin Gothic Book" w:hAnsi="Franklin Gothic Book"/>
        </w:rPr>
      </w:pPr>
      <w:r w:rsidRPr="00D76968">
        <w:rPr>
          <w:rFonts w:ascii="Franklin Gothic Book" w:hAnsi="Franklin Gothic Book"/>
        </w:rPr>
        <w:t>According to the MSAC Guidelines</w:t>
      </w:r>
      <w:r w:rsidR="00F534E1" w:rsidRPr="00D76968">
        <w:rPr>
          <w:rFonts w:ascii="Franklin Gothic Book" w:hAnsi="Franklin Gothic Book"/>
        </w:rPr>
        <w:t>,</w:t>
      </w:r>
      <w:r w:rsidRPr="00D76968">
        <w:rPr>
          <w:rFonts w:ascii="Franklin Gothic Book" w:hAnsi="Franklin Gothic Book"/>
        </w:rPr>
        <w:t xml:space="preserve"> one of the non</w:t>
      </w:r>
      <w:r w:rsidR="00606FF4" w:rsidRPr="00D76968">
        <w:rPr>
          <w:rFonts w:ascii="Franklin Gothic Book" w:hAnsi="Franklin Gothic Book"/>
        </w:rPr>
        <w:t>-</w:t>
      </w:r>
      <w:r w:rsidRPr="00D76968">
        <w:rPr>
          <w:rFonts w:ascii="Franklin Gothic Book" w:hAnsi="Franklin Gothic Book"/>
        </w:rPr>
        <w:t>health outcomes of an investigative test is the value of knowing the result. The benefits and harms of receiving the test information versus what would happen in the absence of the test should be discussed in this instance.</w:t>
      </w:r>
    </w:p>
    <w:p w14:paraId="3155F2DD" w14:textId="24518395" w:rsidR="002056CD" w:rsidRPr="00D76968" w:rsidRDefault="002056CD" w:rsidP="002056CD">
      <w:pPr>
        <w:rPr>
          <w:rFonts w:ascii="Franklin Gothic Book" w:hAnsi="Franklin Gothic Book"/>
        </w:rPr>
      </w:pPr>
      <w:r w:rsidRPr="00D76968">
        <w:rPr>
          <w:rFonts w:ascii="Franklin Gothic Book" w:hAnsi="Franklin Gothic Book"/>
        </w:rPr>
        <w:t xml:space="preserve">Information gained by patients from </w:t>
      </w:r>
      <w:r w:rsidR="00606FF4" w:rsidRPr="00D76968">
        <w:rPr>
          <w:rFonts w:ascii="Franklin Gothic Book" w:hAnsi="Franklin Gothic Book"/>
        </w:rPr>
        <w:t xml:space="preserve">using </w:t>
      </w:r>
      <w:r w:rsidR="00D50E5C" w:rsidRPr="00D76968">
        <w:rPr>
          <w:rFonts w:ascii="Franklin Gothic Book" w:hAnsi="Franklin Gothic Book"/>
        </w:rPr>
        <w:t>EndoPredict</w:t>
      </w:r>
      <w:r w:rsidR="005F1260" w:rsidRPr="005F1260">
        <w:rPr>
          <w:rFonts w:ascii="Franklin Gothic Book" w:hAnsi="Franklin Gothic Book"/>
          <w:vertAlign w:val="superscript"/>
        </w:rPr>
        <w:t>®</w:t>
      </w:r>
      <w:r w:rsidR="00606FF4" w:rsidRPr="00D76968">
        <w:rPr>
          <w:rFonts w:ascii="Franklin Gothic Book" w:hAnsi="Franklin Gothic Book"/>
        </w:rPr>
        <w:t xml:space="preserve"> </w:t>
      </w:r>
      <w:r w:rsidRPr="00D76968">
        <w:rPr>
          <w:rFonts w:ascii="Franklin Gothic Book" w:hAnsi="Franklin Gothic Book"/>
        </w:rPr>
        <w:t>is a high</w:t>
      </w:r>
      <w:r w:rsidR="00606FF4" w:rsidRPr="00D76968">
        <w:rPr>
          <w:rFonts w:ascii="Franklin Gothic Book" w:hAnsi="Franklin Gothic Book"/>
        </w:rPr>
        <w:t xml:space="preserve"> </w:t>
      </w:r>
      <w:r w:rsidRPr="00D76968">
        <w:rPr>
          <w:rFonts w:ascii="Franklin Gothic Book" w:hAnsi="Franklin Gothic Book"/>
        </w:rPr>
        <w:t xml:space="preserve">or low risk categorisation. Even in the absence of a known predictive health benefit, knowledge of risk may benefit some patients, enabling them to </w:t>
      </w:r>
      <w:proofErr w:type="gramStart"/>
      <w:r w:rsidRPr="00D76968">
        <w:rPr>
          <w:rFonts w:ascii="Franklin Gothic Book" w:hAnsi="Franklin Gothic Book"/>
        </w:rPr>
        <w:t>plan ahead</w:t>
      </w:r>
      <w:proofErr w:type="gramEnd"/>
      <w:r w:rsidRPr="00D76968">
        <w:rPr>
          <w:rFonts w:ascii="Franklin Gothic Book" w:hAnsi="Franklin Gothic Book"/>
        </w:rPr>
        <w:t>, avoid treatment delays, or consider the alternative of avoiding chemotherapy. On the other hand</w:t>
      </w:r>
      <w:r w:rsidR="00C642C2" w:rsidRPr="00D76968">
        <w:rPr>
          <w:rFonts w:ascii="Franklin Gothic Book" w:hAnsi="Franklin Gothic Book"/>
        </w:rPr>
        <w:t>,</w:t>
      </w:r>
      <w:r w:rsidRPr="00D76968">
        <w:rPr>
          <w:rFonts w:ascii="Franklin Gothic Book" w:hAnsi="Franklin Gothic Book"/>
        </w:rPr>
        <w:t xml:space="preserve"> the knowledge of risk status may have a negative</w:t>
      </w:r>
      <w:r>
        <w:t xml:space="preserve"> </w:t>
      </w:r>
      <w:r w:rsidRPr="00D76968">
        <w:rPr>
          <w:rFonts w:ascii="Franklin Gothic Book" w:hAnsi="Franklin Gothic Book"/>
        </w:rPr>
        <w:t>psychological impact on some patients, increasing their anxiety level, or making decisions more difficult.</w:t>
      </w:r>
    </w:p>
    <w:p w14:paraId="34544C4C" w14:textId="6A6C98D3" w:rsidR="007064F6" w:rsidRDefault="002056CD" w:rsidP="00D76968">
      <w:pPr>
        <w:rPr>
          <w:rFonts w:ascii="Franklin Gothic Book" w:hAnsi="Franklin Gothic Book"/>
        </w:rPr>
      </w:pPr>
      <w:r w:rsidRPr="00D76968">
        <w:rPr>
          <w:rFonts w:ascii="Franklin Gothic Book" w:hAnsi="Franklin Gothic Book"/>
        </w:rPr>
        <w:t xml:space="preserve">No specific evidence was presented by the </w:t>
      </w:r>
      <w:r w:rsidR="00B766DC" w:rsidRPr="00D76968">
        <w:rPr>
          <w:rFonts w:ascii="Franklin Gothic Book" w:hAnsi="Franklin Gothic Book"/>
        </w:rPr>
        <w:t>a</w:t>
      </w:r>
      <w:r w:rsidRPr="00D76968">
        <w:rPr>
          <w:rFonts w:ascii="Franklin Gothic Book" w:hAnsi="Franklin Gothic Book"/>
        </w:rPr>
        <w:t>pplicant for the value of knowing.</w:t>
      </w:r>
    </w:p>
    <w:p w14:paraId="386FF97D" w14:textId="68D0280C" w:rsidR="001B3166" w:rsidRDefault="001B3166" w:rsidP="001B3166">
      <w:pPr>
        <w:pStyle w:val="Heading2"/>
        <w:rPr>
          <w:rFonts w:ascii="Franklin Gothic Medium" w:hAnsi="Franklin Gothic Medium" w:cstheme="majorBidi"/>
        </w:rPr>
      </w:pPr>
      <w:r w:rsidRPr="001B3166">
        <w:rPr>
          <w:rFonts w:ascii="Franklin Gothic Medium" w:hAnsi="Franklin Gothic Medium" w:cstheme="majorBidi"/>
        </w:rPr>
        <w:t>1</w:t>
      </w:r>
      <w:r w:rsidR="006A153F">
        <w:rPr>
          <w:rFonts w:ascii="Franklin Gothic Medium" w:hAnsi="Franklin Gothic Medium" w:cstheme="majorBidi"/>
        </w:rPr>
        <w:t>6</w:t>
      </w:r>
      <w:r w:rsidRPr="001B3166">
        <w:rPr>
          <w:rFonts w:ascii="Franklin Gothic Medium" w:hAnsi="Franklin Gothic Medium" w:cstheme="majorBidi"/>
        </w:rPr>
        <w:t>.</w:t>
      </w:r>
      <w:r w:rsidRPr="001B3166">
        <w:rPr>
          <w:rFonts w:ascii="Franklin Gothic Medium" w:hAnsi="Franklin Gothic Medium" w:cstheme="majorBidi"/>
        </w:rPr>
        <w:tab/>
        <w:t>Key issues from ESC to MSAC</w:t>
      </w:r>
    </w:p>
    <w:tbl>
      <w:tblPr>
        <w:tblStyle w:val="HTAtableplain1"/>
        <w:tblW w:w="9067" w:type="dxa"/>
        <w:tblLook w:val="04A0" w:firstRow="1" w:lastRow="0" w:firstColumn="1" w:lastColumn="0" w:noHBand="0" w:noVBand="1"/>
      </w:tblPr>
      <w:tblGrid>
        <w:gridCol w:w="9067"/>
      </w:tblGrid>
      <w:tr w:rsidR="006A153F" w:rsidRPr="00490E27" w14:paraId="16AD4752" w14:textId="77777777" w:rsidTr="005F1260">
        <w:tc>
          <w:tcPr>
            <w:tcW w:w="9067" w:type="dxa"/>
          </w:tcPr>
          <w:p w14:paraId="4A394891" w14:textId="77777777" w:rsidR="006A153F" w:rsidRPr="00D10785" w:rsidRDefault="006A153F" w:rsidP="005F1260">
            <w:pPr>
              <w:spacing w:before="120" w:line="256" w:lineRule="auto"/>
              <w:ind w:right="396"/>
              <w:rPr>
                <w:rFonts w:ascii="Franklin Gothic Book" w:eastAsia="Calibri" w:hAnsi="Franklin Gothic Book" w:cs="Times New Roman"/>
                <w:b/>
                <w:bCs/>
                <w:iCs/>
              </w:rPr>
            </w:pPr>
            <w:bookmarkStart w:id="75" w:name="_Hlk69734340"/>
            <w:r w:rsidRPr="00D10785">
              <w:rPr>
                <w:rFonts w:ascii="Franklin Gothic Book" w:eastAsia="Calibri" w:hAnsi="Franklin Gothic Book" w:cs="Times New Roman"/>
                <w:b/>
                <w:bCs/>
                <w:iCs/>
              </w:rPr>
              <w:t>Clinical issues:</w:t>
            </w:r>
          </w:p>
          <w:p w14:paraId="12A1B759" w14:textId="77777777" w:rsidR="006A153F" w:rsidRPr="00D10785" w:rsidRDefault="006A153F" w:rsidP="005F1260">
            <w:pPr>
              <w:spacing w:before="120" w:after="120" w:line="256" w:lineRule="auto"/>
              <w:ind w:left="22" w:right="396" w:hanging="22"/>
              <w:rPr>
                <w:rFonts w:ascii="Franklin Gothic Book" w:eastAsia="Calibri" w:hAnsi="Franklin Gothic Book" w:cs="Times New Roman"/>
                <w:iCs/>
              </w:rPr>
            </w:pPr>
            <w:r w:rsidRPr="00D10785">
              <w:rPr>
                <w:rFonts w:ascii="Franklin Gothic Book" w:eastAsia="Calibri" w:hAnsi="Franklin Gothic Book" w:cs="Times New Roman"/>
                <w:iCs/>
              </w:rPr>
              <w:t xml:space="preserve">There is some evidence for incremental prognostic value, but no </w:t>
            </w:r>
            <w:r>
              <w:rPr>
                <w:rFonts w:ascii="Franklin Gothic Book" w:eastAsia="Calibri" w:hAnsi="Franklin Gothic Book" w:cs="Times New Roman"/>
                <w:iCs/>
              </w:rPr>
              <w:t xml:space="preserve">new </w:t>
            </w:r>
            <w:r w:rsidRPr="00D10785">
              <w:rPr>
                <w:rFonts w:ascii="Franklin Gothic Book" w:eastAsia="Calibri" w:hAnsi="Franklin Gothic Book" w:cs="Times New Roman"/>
                <w:iCs/>
              </w:rPr>
              <w:t xml:space="preserve">convincing evidence for predictive value (in terms of effect modification). </w:t>
            </w:r>
            <w:r>
              <w:rPr>
                <w:rFonts w:ascii="Franklin Gothic Book" w:eastAsia="Calibri" w:hAnsi="Franklin Gothic Book" w:cs="Times New Roman"/>
                <w:iCs/>
              </w:rPr>
              <w:t xml:space="preserve">It </w:t>
            </w:r>
            <w:r w:rsidRPr="00D10785">
              <w:rPr>
                <w:rFonts w:ascii="Franklin Gothic Book" w:eastAsia="Calibri" w:hAnsi="Franklin Gothic Book" w:cs="Times New Roman"/>
                <w:iCs/>
              </w:rPr>
              <w:t xml:space="preserve">may be reasonable to estimate potential absolute benefit </w:t>
            </w:r>
            <w:r>
              <w:rPr>
                <w:rFonts w:ascii="Franklin Gothic Book" w:eastAsia="Calibri" w:hAnsi="Franklin Gothic Book" w:cs="Times New Roman"/>
                <w:iCs/>
              </w:rPr>
              <w:t>of treatment (</w:t>
            </w:r>
            <w:proofErr w:type="gramStart"/>
            <w:r>
              <w:rPr>
                <w:rFonts w:ascii="Franklin Gothic Book" w:eastAsia="Calibri" w:hAnsi="Franklin Gothic Book" w:cs="Times New Roman"/>
                <w:iCs/>
              </w:rPr>
              <w:t>e.g.</w:t>
            </w:r>
            <w:proofErr w:type="gramEnd"/>
            <w:r>
              <w:rPr>
                <w:rFonts w:ascii="Franklin Gothic Book" w:eastAsia="Calibri" w:hAnsi="Franklin Gothic Book" w:cs="Times New Roman"/>
                <w:iCs/>
              </w:rPr>
              <w:t xml:space="preserve"> chemotherapy) for a patient by multiplying their </w:t>
            </w:r>
            <w:r w:rsidRPr="00D10785">
              <w:rPr>
                <w:rFonts w:ascii="Franklin Gothic Book" w:eastAsia="Calibri" w:hAnsi="Franklin Gothic Book" w:cs="Times New Roman"/>
                <w:iCs/>
              </w:rPr>
              <w:t xml:space="preserve">baseline absolute risk </w:t>
            </w:r>
            <w:r>
              <w:rPr>
                <w:rFonts w:ascii="Franklin Gothic Book" w:eastAsia="Calibri" w:hAnsi="Franklin Gothic Book" w:cs="Times New Roman"/>
                <w:iCs/>
              </w:rPr>
              <w:t>by</w:t>
            </w:r>
            <w:r w:rsidRPr="00D10785">
              <w:rPr>
                <w:rFonts w:ascii="Franklin Gothic Book" w:eastAsia="Calibri" w:hAnsi="Franklin Gothic Book" w:cs="Times New Roman"/>
                <w:iCs/>
              </w:rPr>
              <w:t xml:space="preserve"> relative risk reduction from treatment (assuming no effect modification).</w:t>
            </w:r>
          </w:p>
          <w:p w14:paraId="61038E8C" w14:textId="77777777" w:rsidR="006A153F" w:rsidRPr="00D10785" w:rsidRDefault="006A153F" w:rsidP="005F1260">
            <w:pPr>
              <w:spacing w:before="120" w:after="120" w:line="256" w:lineRule="auto"/>
              <w:ind w:left="22" w:right="396" w:hanging="22"/>
              <w:rPr>
                <w:rFonts w:ascii="Franklin Gothic Book" w:eastAsia="Calibri" w:hAnsi="Franklin Gothic Book" w:cs="Times New Roman"/>
                <w:iCs/>
              </w:rPr>
            </w:pPr>
            <w:r w:rsidRPr="00D10785">
              <w:rPr>
                <w:rFonts w:ascii="Franklin Gothic Book" w:eastAsia="Calibri" w:hAnsi="Franklin Gothic Book" w:cs="Times New Roman"/>
                <w:iCs/>
              </w:rPr>
              <w:t>There is some new evidence of a modest effect on change in clinical management. The extent to which this translates to clinical benefit remains uncertain.</w:t>
            </w:r>
          </w:p>
          <w:p w14:paraId="60807A0F" w14:textId="77777777" w:rsidR="006A153F" w:rsidRPr="00D10785" w:rsidRDefault="006A153F" w:rsidP="005F1260">
            <w:pPr>
              <w:spacing w:before="120" w:after="120" w:line="256" w:lineRule="auto"/>
              <w:ind w:left="22" w:right="396" w:hanging="22"/>
              <w:rPr>
                <w:rFonts w:ascii="Franklin Gothic Book" w:eastAsia="Calibri" w:hAnsi="Franklin Gothic Book" w:cs="Times New Roman"/>
                <w:iCs/>
              </w:rPr>
            </w:pPr>
            <w:r w:rsidRPr="00D10785">
              <w:rPr>
                <w:rFonts w:ascii="Franklin Gothic Book" w:eastAsia="Calibri" w:hAnsi="Franklin Gothic Book" w:cs="Times New Roman"/>
                <w:iCs/>
              </w:rPr>
              <w:t>The target intermediate risk patient population could be better defined through changes to the item descriptor.</w:t>
            </w:r>
          </w:p>
          <w:p w14:paraId="3BD76C30" w14:textId="527AF59B" w:rsidR="006A153F" w:rsidRPr="00D10785" w:rsidRDefault="006A153F" w:rsidP="005F1260">
            <w:pPr>
              <w:spacing w:before="120" w:after="120" w:line="256" w:lineRule="auto"/>
              <w:ind w:left="22" w:right="396" w:hanging="22"/>
              <w:rPr>
                <w:rFonts w:ascii="Franklin Gothic Book" w:eastAsia="Calibri" w:hAnsi="Franklin Gothic Book" w:cs="Times New Roman"/>
                <w:iCs/>
              </w:rPr>
            </w:pPr>
            <w:r w:rsidRPr="00D10785">
              <w:rPr>
                <w:rFonts w:ascii="Franklin Gothic Book" w:eastAsia="Calibri" w:hAnsi="Franklin Gothic Book" w:cs="Times New Roman"/>
                <w:iCs/>
              </w:rPr>
              <w:t>The proposed item descriptor would permit both EndoPredict</w:t>
            </w:r>
            <w:r w:rsidR="005F1260" w:rsidRPr="005F1260">
              <w:rPr>
                <w:rFonts w:ascii="Franklin Gothic Book" w:eastAsia="Calibri" w:hAnsi="Franklin Gothic Book" w:cs="Times New Roman"/>
                <w:iCs/>
                <w:vertAlign w:val="superscript"/>
              </w:rPr>
              <w:t>®</w:t>
            </w:r>
            <w:r w:rsidRPr="00D10785">
              <w:rPr>
                <w:rFonts w:ascii="Franklin Gothic Book" w:eastAsia="Calibri" w:hAnsi="Franklin Gothic Book" w:cs="Times New Roman"/>
                <w:iCs/>
              </w:rPr>
              <w:t xml:space="preserve"> and Prosigna</w:t>
            </w:r>
            <w:r w:rsidR="005F1260" w:rsidRPr="005F1260">
              <w:rPr>
                <w:rFonts w:ascii="Franklin Gothic Book" w:eastAsia="Calibri" w:hAnsi="Franklin Gothic Book" w:cs="Times New Roman"/>
                <w:iCs/>
                <w:vertAlign w:val="superscript"/>
              </w:rPr>
              <w:t>®</w:t>
            </w:r>
            <w:r w:rsidRPr="00D10785">
              <w:rPr>
                <w:rFonts w:ascii="Franklin Gothic Book" w:eastAsia="Calibri" w:hAnsi="Franklin Gothic Book" w:cs="Times New Roman"/>
                <w:iCs/>
              </w:rPr>
              <w:t xml:space="preserve"> GEP tests, however the evidence base of this re-application relates to EndoPredict</w:t>
            </w:r>
            <w:r w:rsidR="005F1260" w:rsidRPr="005F1260">
              <w:rPr>
                <w:rFonts w:ascii="Franklin Gothic Book" w:eastAsia="Calibri" w:hAnsi="Franklin Gothic Book" w:cs="Times New Roman"/>
                <w:iCs/>
                <w:vertAlign w:val="superscript"/>
              </w:rPr>
              <w:t>®</w:t>
            </w:r>
            <w:r w:rsidRPr="00D10785">
              <w:rPr>
                <w:rFonts w:ascii="Franklin Gothic Book" w:eastAsia="Calibri" w:hAnsi="Franklin Gothic Book" w:cs="Times New Roman"/>
                <w:iCs/>
              </w:rPr>
              <w:t xml:space="preserve"> alone.</w:t>
            </w:r>
          </w:p>
          <w:p w14:paraId="525E4600" w14:textId="77777777" w:rsidR="006A153F" w:rsidRPr="00D10785" w:rsidRDefault="006A153F" w:rsidP="005F1260">
            <w:pPr>
              <w:spacing w:before="120" w:line="256" w:lineRule="auto"/>
              <w:ind w:right="396"/>
              <w:rPr>
                <w:rFonts w:ascii="Franklin Gothic Book" w:eastAsia="Calibri" w:hAnsi="Franklin Gothic Book" w:cs="Times New Roman"/>
                <w:b/>
                <w:bCs/>
                <w:iCs/>
              </w:rPr>
            </w:pPr>
            <w:r w:rsidRPr="00D10785">
              <w:rPr>
                <w:rFonts w:ascii="Franklin Gothic Book" w:eastAsia="Calibri" w:hAnsi="Franklin Gothic Book" w:cs="Times New Roman"/>
                <w:b/>
                <w:bCs/>
                <w:iCs/>
              </w:rPr>
              <w:t>Economic issues:</w:t>
            </w:r>
          </w:p>
          <w:p w14:paraId="05B062AB" w14:textId="77777777" w:rsidR="006A153F" w:rsidRPr="00D10785" w:rsidRDefault="006A153F" w:rsidP="005F1260">
            <w:pPr>
              <w:spacing w:before="120" w:after="120" w:line="256" w:lineRule="auto"/>
              <w:ind w:left="22" w:right="396" w:hanging="22"/>
              <w:rPr>
                <w:rFonts w:ascii="Franklin Gothic Book" w:eastAsia="Calibri" w:hAnsi="Franklin Gothic Book" w:cs="Times New Roman"/>
                <w:iCs/>
                <w:snapToGrid w:val="0"/>
              </w:rPr>
            </w:pPr>
            <w:r w:rsidRPr="00D10785">
              <w:rPr>
                <w:rFonts w:ascii="Franklin Gothic Book" w:eastAsia="Calibri" w:hAnsi="Franklin Gothic Book" w:cs="Times New Roman"/>
                <w:iCs/>
                <w:snapToGrid w:val="0"/>
              </w:rPr>
              <w:t>Most economic issues raised by MSAC in November 2019 have not been addressed by the re-application.</w:t>
            </w:r>
          </w:p>
          <w:p w14:paraId="5AC5E67A" w14:textId="77777777" w:rsidR="006A153F" w:rsidRPr="00D10785" w:rsidRDefault="006A153F" w:rsidP="005F1260">
            <w:pPr>
              <w:spacing w:before="120" w:after="120" w:line="256" w:lineRule="auto"/>
              <w:ind w:left="22" w:right="396" w:hanging="22"/>
              <w:rPr>
                <w:rFonts w:ascii="Franklin Gothic Book" w:eastAsia="Calibri" w:hAnsi="Franklin Gothic Book" w:cs="Times New Roman"/>
                <w:iCs/>
              </w:rPr>
            </w:pPr>
            <w:r w:rsidRPr="00D10785">
              <w:rPr>
                <w:rFonts w:ascii="Franklin Gothic Book" w:eastAsia="Calibri" w:hAnsi="Franklin Gothic Book" w:cs="Times New Roman"/>
                <w:iCs/>
                <w:snapToGrid w:val="0"/>
              </w:rPr>
              <w:t xml:space="preserve">The ICER is </w:t>
            </w:r>
            <w:r>
              <w:rPr>
                <w:rFonts w:ascii="Franklin Gothic Book" w:eastAsia="Calibri" w:hAnsi="Franklin Gothic Book" w:cs="Times New Roman"/>
                <w:iCs/>
                <w:snapToGrid w:val="0"/>
              </w:rPr>
              <w:t xml:space="preserve">most </w:t>
            </w:r>
            <w:r w:rsidRPr="00D10785">
              <w:rPr>
                <w:rFonts w:ascii="Franklin Gothic Book" w:eastAsia="Calibri" w:hAnsi="Franklin Gothic Book" w:cs="Times New Roman"/>
                <w:iCs/>
                <w:snapToGrid w:val="0"/>
              </w:rPr>
              <w:t>uncertain because of uncertainties in the clinical inputs impacting the accuracy of the economic evaluation (overestimating the transition probabilities in favour of the intervention). Implicit in estimates of clinical inputs is a claim of predictive value for chemotherapy benefit or not by EPClin scores.</w:t>
            </w:r>
            <w:r>
              <w:rPr>
                <w:rFonts w:ascii="Franklin Gothic Book" w:eastAsia="Calibri" w:hAnsi="Franklin Gothic Book" w:cs="Times New Roman"/>
                <w:iCs/>
                <w:snapToGrid w:val="0"/>
              </w:rPr>
              <w:t xml:space="preserve"> </w:t>
            </w:r>
            <w:bookmarkStart w:id="76" w:name="_Hlk107482434"/>
            <w:r w:rsidRPr="00D10785">
              <w:rPr>
                <w:rFonts w:ascii="Franklin Gothic Book" w:eastAsia="Calibri" w:hAnsi="Franklin Gothic Book" w:cs="Times New Roman"/>
                <w:iCs/>
                <w:snapToGrid w:val="0"/>
              </w:rPr>
              <w:t xml:space="preserve">The ICER is </w:t>
            </w:r>
            <w:r>
              <w:rPr>
                <w:rFonts w:ascii="Franklin Gothic Book" w:eastAsia="Calibri" w:hAnsi="Franklin Gothic Book" w:cs="Times New Roman"/>
                <w:iCs/>
                <w:snapToGrid w:val="0"/>
              </w:rPr>
              <w:t>also strongly</w:t>
            </w:r>
            <w:r w:rsidRPr="00D10785">
              <w:rPr>
                <w:rFonts w:ascii="Franklin Gothic Book" w:eastAsia="Calibri" w:hAnsi="Franklin Gothic Book" w:cs="Times New Roman"/>
                <w:iCs/>
                <w:snapToGrid w:val="0"/>
              </w:rPr>
              <w:t xml:space="preserve"> sensitive to the fee, the implementation of which is uncertain based on the volume-based fee structure proposed. The ICER is also sensitive to </w:t>
            </w:r>
            <w:r>
              <w:rPr>
                <w:rFonts w:ascii="Franklin Gothic Book" w:eastAsia="Calibri" w:hAnsi="Franklin Gothic Book" w:cs="Times New Roman"/>
                <w:iCs/>
                <w:snapToGrid w:val="0"/>
              </w:rPr>
              <w:t>transition probabilities</w:t>
            </w:r>
            <w:r w:rsidRPr="00D10785">
              <w:rPr>
                <w:rFonts w:ascii="Franklin Gothic Book" w:eastAsia="Calibri" w:hAnsi="Franklin Gothic Book" w:cs="Times New Roman"/>
                <w:iCs/>
                <w:snapToGrid w:val="0"/>
              </w:rPr>
              <w:t xml:space="preserve"> (derived from the risk of recurrence predicted by the test) with an impact on health outcomes as well as the cost side of the model (in terms of cost of treatment of distance recurrence).</w:t>
            </w:r>
            <w:bookmarkEnd w:id="76"/>
          </w:p>
          <w:p w14:paraId="7527C489" w14:textId="77777777" w:rsidR="006A153F" w:rsidRPr="00D10785" w:rsidRDefault="006A153F" w:rsidP="005F1260">
            <w:pPr>
              <w:keepNext/>
              <w:spacing w:before="120" w:line="257" w:lineRule="auto"/>
              <w:ind w:right="397"/>
              <w:rPr>
                <w:rFonts w:ascii="Franklin Gothic Book" w:eastAsia="Calibri" w:hAnsi="Franklin Gothic Book" w:cs="Times New Roman"/>
                <w:b/>
                <w:bCs/>
                <w:iCs/>
              </w:rPr>
            </w:pPr>
            <w:r w:rsidRPr="00D10785">
              <w:rPr>
                <w:rFonts w:ascii="Franklin Gothic Book" w:eastAsia="Calibri" w:hAnsi="Franklin Gothic Book" w:cs="Times New Roman"/>
                <w:b/>
                <w:bCs/>
                <w:iCs/>
              </w:rPr>
              <w:t>Financial issues:</w:t>
            </w:r>
          </w:p>
          <w:p w14:paraId="11ABC365" w14:textId="77777777" w:rsidR="006A153F" w:rsidRPr="00D10785" w:rsidRDefault="006A153F" w:rsidP="005F1260">
            <w:pPr>
              <w:spacing w:before="120" w:after="120" w:line="256" w:lineRule="auto"/>
              <w:ind w:left="22" w:right="396" w:hanging="22"/>
              <w:rPr>
                <w:rFonts w:ascii="Franklin Gothic Book" w:eastAsia="Calibri" w:hAnsi="Franklin Gothic Book" w:cs="Times New Roman"/>
                <w:iCs/>
              </w:rPr>
            </w:pPr>
            <w:r w:rsidRPr="00D10785">
              <w:rPr>
                <w:rFonts w:ascii="Franklin Gothic Book" w:eastAsia="Calibri" w:hAnsi="Franklin Gothic Book" w:cs="Times New Roman"/>
                <w:iCs/>
              </w:rPr>
              <w:t>The financial impact is highly uncertain due to the uncertain uptake and the volume-based fee structure proposed.</w:t>
            </w:r>
          </w:p>
          <w:p w14:paraId="0573A47B" w14:textId="77777777" w:rsidR="006A153F" w:rsidRPr="00D10785" w:rsidRDefault="006A153F" w:rsidP="000F0726">
            <w:pPr>
              <w:keepNext/>
              <w:spacing w:before="120" w:line="257" w:lineRule="auto"/>
              <w:ind w:right="397"/>
              <w:rPr>
                <w:rFonts w:ascii="Franklin Gothic Book" w:eastAsia="Calibri" w:hAnsi="Franklin Gothic Book" w:cs="Times New Roman"/>
                <w:b/>
                <w:bCs/>
                <w:iCs/>
              </w:rPr>
            </w:pPr>
            <w:r w:rsidRPr="00D10785">
              <w:rPr>
                <w:rFonts w:ascii="Franklin Gothic Book" w:eastAsia="Calibri" w:hAnsi="Franklin Gothic Book" w:cs="Times New Roman"/>
                <w:b/>
                <w:bCs/>
                <w:iCs/>
              </w:rPr>
              <w:lastRenderedPageBreak/>
              <w:t>Other relevant information:</w:t>
            </w:r>
          </w:p>
          <w:p w14:paraId="4079AB4C" w14:textId="77777777" w:rsidR="006A153F" w:rsidRPr="00D10785" w:rsidRDefault="006A153F" w:rsidP="005F1260">
            <w:pPr>
              <w:spacing w:before="120" w:after="120" w:line="256" w:lineRule="auto"/>
              <w:ind w:right="396"/>
              <w:rPr>
                <w:rFonts w:ascii="Franklin Gothic Book" w:eastAsia="Calibri" w:hAnsi="Franklin Gothic Book" w:cs="Times New Roman"/>
                <w:iCs/>
              </w:rPr>
            </w:pPr>
            <w:r w:rsidRPr="00D10785">
              <w:rPr>
                <w:rFonts w:ascii="Franklin Gothic Book" w:hAnsi="Franklin Gothic Book"/>
              </w:rPr>
              <w:t xml:space="preserve">The </w:t>
            </w:r>
            <w:r>
              <w:rPr>
                <w:rFonts w:ascii="Franklin Gothic Book" w:hAnsi="Franklin Gothic Book"/>
              </w:rPr>
              <w:t xml:space="preserve">product is </w:t>
            </w:r>
            <w:r w:rsidRPr="00D10785">
              <w:rPr>
                <w:rFonts w:ascii="Franklin Gothic Book" w:hAnsi="Franklin Gothic Book"/>
              </w:rPr>
              <w:t>TGA</w:t>
            </w:r>
            <w:r>
              <w:rPr>
                <w:rFonts w:ascii="Franklin Gothic Book" w:hAnsi="Franklin Gothic Book"/>
              </w:rPr>
              <w:t>-</w:t>
            </w:r>
            <w:r w:rsidRPr="00D10785">
              <w:rPr>
                <w:rFonts w:ascii="Franklin Gothic Book" w:hAnsi="Franklin Gothic Book"/>
              </w:rPr>
              <w:t>approv</w:t>
            </w:r>
            <w:r>
              <w:rPr>
                <w:rFonts w:ascii="Franklin Gothic Book" w:hAnsi="Franklin Gothic Book"/>
              </w:rPr>
              <w:t>ed.</w:t>
            </w:r>
            <w:r w:rsidRPr="00D10785">
              <w:rPr>
                <w:rFonts w:ascii="Franklin Gothic Book" w:hAnsi="Franklin Gothic Book"/>
              </w:rPr>
              <w:t xml:space="preserve"> </w:t>
            </w:r>
            <w:r>
              <w:rPr>
                <w:rFonts w:ascii="Franklin Gothic Book" w:hAnsi="Franklin Gothic Book"/>
              </w:rPr>
              <w:t xml:space="preserve">The need for </w:t>
            </w:r>
            <w:r w:rsidRPr="00D10785">
              <w:rPr>
                <w:rFonts w:ascii="Franklin Gothic Book" w:hAnsi="Franklin Gothic Book"/>
              </w:rPr>
              <w:t>NATA and NPAAC accredit</w:t>
            </w:r>
            <w:r>
              <w:rPr>
                <w:rFonts w:ascii="Franklin Gothic Book" w:hAnsi="Franklin Gothic Book"/>
              </w:rPr>
              <w:t>ation was acknowledged</w:t>
            </w:r>
            <w:r w:rsidRPr="00D10785">
              <w:rPr>
                <w:rFonts w:ascii="Franklin Gothic Book" w:hAnsi="Franklin Gothic Book"/>
              </w:rPr>
              <w:t xml:space="preserve">, </w:t>
            </w:r>
            <w:r>
              <w:rPr>
                <w:rFonts w:ascii="Franklin Gothic Book" w:hAnsi="Franklin Gothic Book"/>
              </w:rPr>
              <w:t xml:space="preserve">and </w:t>
            </w:r>
            <w:r w:rsidRPr="00D10785">
              <w:rPr>
                <w:rFonts w:ascii="Franklin Gothic Book" w:hAnsi="Franklin Gothic Book"/>
              </w:rPr>
              <w:t>an appropriate QAP</w:t>
            </w:r>
            <w:r>
              <w:rPr>
                <w:rFonts w:ascii="Franklin Gothic Book" w:hAnsi="Franklin Gothic Book"/>
              </w:rPr>
              <w:t xml:space="preserve"> would be provided if MBS funding proceeds</w:t>
            </w:r>
            <w:r w:rsidRPr="00D10785">
              <w:rPr>
                <w:rFonts w:ascii="Franklin Gothic Book" w:hAnsi="Franklin Gothic Book"/>
              </w:rPr>
              <w:t>.</w:t>
            </w:r>
          </w:p>
        </w:tc>
      </w:tr>
    </w:tbl>
    <w:bookmarkEnd w:id="75"/>
    <w:p w14:paraId="45223BC3" w14:textId="77777777" w:rsidR="006A153F" w:rsidRPr="006A153F" w:rsidRDefault="006A153F" w:rsidP="000F0726">
      <w:pPr>
        <w:keepNext/>
        <w:spacing w:before="240" w:after="120" w:line="257" w:lineRule="auto"/>
        <w:ind w:right="397"/>
        <w:rPr>
          <w:rFonts w:ascii="Franklin Gothic Book" w:eastAsia="Calibri" w:hAnsi="Franklin Gothic Book" w:cs="Times New Roman"/>
          <w:b/>
          <w:bCs/>
          <w:iCs/>
        </w:rPr>
      </w:pPr>
      <w:r w:rsidRPr="006A153F">
        <w:rPr>
          <w:rFonts w:ascii="Franklin Gothic Book" w:eastAsia="Calibri" w:hAnsi="Franklin Gothic Book" w:cs="Times New Roman"/>
          <w:b/>
          <w:bCs/>
          <w:iCs/>
        </w:rPr>
        <w:lastRenderedPageBreak/>
        <w:t>ESC discussion</w:t>
      </w:r>
    </w:p>
    <w:p w14:paraId="4D5B825A" w14:textId="2B561DF9" w:rsidR="006A153F" w:rsidRPr="00490E27" w:rsidRDefault="006A153F" w:rsidP="006A153F">
      <w:pPr>
        <w:spacing w:before="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t xml:space="preserve">ESC noted that this was a re-application for the Medicare Benefits Schedule (MBS) listing of a genetic </w:t>
      </w:r>
      <w:r>
        <w:rPr>
          <w:rFonts w:ascii="Franklin Gothic Book" w:eastAsia="Calibri" w:hAnsi="Franklin Gothic Book" w:cs="Times New Roman"/>
          <w:iCs/>
        </w:rPr>
        <w:t xml:space="preserve">expression </w:t>
      </w:r>
      <w:r w:rsidRPr="00490E27">
        <w:rPr>
          <w:rFonts w:ascii="Franklin Gothic Book" w:eastAsia="Calibri" w:hAnsi="Franklin Gothic Book" w:cs="Times New Roman"/>
          <w:iCs/>
        </w:rPr>
        <w:t>profiling</w:t>
      </w:r>
      <w:r>
        <w:rPr>
          <w:rFonts w:ascii="Franklin Gothic Book" w:eastAsia="Calibri" w:hAnsi="Franklin Gothic Book" w:cs="Times New Roman"/>
          <w:iCs/>
        </w:rPr>
        <w:t xml:space="preserve"> (GEP)</w:t>
      </w:r>
      <w:r w:rsidRPr="00490E27">
        <w:rPr>
          <w:rFonts w:ascii="Franklin Gothic Book" w:eastAsia="Calibri" w:hAnsi="Franklin Gothic Book" w:cs="Times New Roman"/>
          <w:iCs/>
        </w:rPr>
        <w:t xml:space="preserve"> test (EndoPredict</w:t>
      </w:r>
      <w:r w:rsidR="005F1260" w:rsidRPr="005F1260">
        <w:rPr>
          <w:rFonts w:ascii="Franklin Gothic Book" w:eastAsia="Calibri" w:hAnsi="Franklin Gothic Book" w:cs="Times New Roman"/>
          <w:iCs/>
          <w:vertAlign w:val="superscript"/>
        </w:rPr>
        <w:t>®</w:t>
      </w:r>
      <w:r w:rsidRPr="00490E27">
        <w:rPr>
          <w:rFonts w:ascii="Franklin Gothic Book" w:eastAsia="Calibri" w:hAnsi="Franklin Gothic Book" w:cs="Times New Roman"/>
          <w:iCs/>
        </w:rPr>
        <w:t>) for determining the prognosis (risk of distant recurrence), and for predicting</w:t>
      </w:r>
      <w:r>
        <w:rPr>
          <w:rFonts w:ascii="Franklin Gothic Book" w:eastAsia="Calibri" w:hAnsi="Franklin Gothic Book" w:cs="Times New Roman"/>
          <w:iCs/>
        </w:rPr>
        <w:t xml:space="preserve"> the</w:t>
      </w:r>
      <w:r w:rsidRPr="00490E27">
        <w:rPr>
          <w:rFonts w:ascii="Franklin Gothic Book" w:eastAsia="Calibri" w:hAnsi="Franklin Gothic Book" w:cs="Times New Roman"/>
          <w:iCs/>
        </w:rPr>
        <w:t xml:space="preserve"> absolute benefit of chemotherapy in addition to endocrine therapy for </w:t>
      </w:r>
      <w:r>
        <w:rPr>
          <w:rFonts w:ascii="Franklin Gothic Book" w:eastAsia="Calibri" w:hAnsi="Franklin Gothic Book" w:cs="Times New Roman"/>
          <w:iCs/>
        </w:rPr>
        <w:t>patients</w:t>
      </w:r>
      <w:r w:rsidRPr="00490E27">
        <w:rPr>
          <w:rFonts w:ascii="Franklin Gothic Book" w:eastAsia="Calibri" w:hAnsi="Franklin Gothic Book" w:cs="Times New Roman"/>
          <w:iCs/>
        </w:rPr>
        <w:t xml:space="preserve"> with primary oestrogen receptor positive (ER+), human epidermal growth factor receptor 2 negative (HER2–) early-stage breast cancer.</w:t>
      </w:r>
    </w:p>
    <w:p w14:paraId="4AA4A0B8" w14:textId="21C89481" w:rsidR="006A153F" w:rsidRDefault="006A153F" w:rsidP="006A153F">
      <w:pPr>
        <w:spacing w:after="240"/>
        <w:rPr>
          <w:rFonts w:ascii="Franklin Gothic Book" w:eastAsia="SimSun" w:hAnsi="Franklin Gothic Book" w:cs="Times New Roman"/>
          <w:color w:val="000000"/>
        </w:rPr>
      </w:pPr>
      <w:r>
        <w:rPr>
          <w:rFonts w:ascii="Franklin Gothic Book" w:eastAsia="SimSun" w:hAnsi="Franklin Gothic Book" w:cs="Times New Roman"/>
          <w:color w:val="000000"/>
        </w:rPr>
        <w:t>ESC noted EndoPredict</w:t>
      </w:r>
      <w:r w:rsidR="005F1260" w:rsidRPr="005F1260">
        <w:rPr>
          <w:rFonts w:ascii="Franklin Gothic Book" w:eastAsia="SimSun" w:hAnsi="Franklin Gothic Book" w:cs="Times New Roman"/>
          <w:color w:val="000000"/>
          <w:vertAlign w:val="superscript"/>
        </w:rPr>
        <w:t>®</w:t>
      </w:r>
      <w:r>
        <w:rPr>
          <w:rFonts w:ascii="Franklin Gothic Book" w:eastAsia="SimSun" w:hAnsi="Franklin Gothic Book" w:cs="Times New Roman"/>
          <w:color w:val="000000"/>
        </w:rPr>
        <w:t xml:space="preserve"> </w:t>
      </w:r>
      <w:r w:rsidRPr="0077146E">
        <w:rPr>
          <w:rFonts w:ascii="Franklin Gothic Book" w:eastAsia="SimSun" w:hAnsi="Franklin Gothic Book" w:cs="Times New Roman"/>
          <w:color w:val="000000"/>
          <w:lang w:val="en-US"/>
        </w:rPr>
        <w:t xml:space="preserve">is an algorithmic tool that </w:t>
      </w:r>
      <w:r w:rsidRPr="00E52389">
        <w:rPr>
          <w:rFonts w:ascii="Franklin Gothic Book" w:eastAsia="SimSun" w:hAnsi="Franklin Gothic Book" w:cs="Times New Roman"/>
          <w:color w:val="000000"/>
        </w:rPr>
        <w:t>categorises</w:t>
      </w:r>
      <w:r w:rsidRPr="0077146E">
        <w:rPr>
          <w:rFonts w:ascii="Franklin Gothic Book" w:eastAsia="SimSun" w:hAnsi="Franklin Gothic Book" w:cs="Times New Roman"/>
          <w:color w:val="000000"/>
          <w:lang w:val="en-US"/>
        </w:rPr>
        <w:t xml:space="preserve"> patients as high or low risk of distant recurrence (DR) based on </w:t>
      </w:r>
      <w:r>
        <w:rPr>
          <w:rFonts w:ascii="Franklin Gothic Book" w:eastAsia="SimSun" w:hAnsi="Franklin Gothic Book" w:cs="Times New Roman"/>
          <w:color w:val="000000"/>
          <w:lang w:val="en-US"/>
        </w:rPr>
        <w:t xml:space="preserve">testing </w:t>
      </w:r>
      <w:r w:rsidRPr="0077146E">
        <w:rPr>
          <w:rFonts w:ascii="Franklin Gothic Book" w:eastAsia="SimSun" w:hAnsi="Franklin Gothic Book" w:cs="Times New Roman"/>
          <w:color w:val="000000"/>
          <w:lang w:val="en-US"/>
        </w:rPr>
        <w:t>the expression of specific genes</w:t>
      </w:r>
      <w:r>
        <w:rPr>
          <w:rFonts w:ascii="Franklin Gothic Book" w:eastAsia="SimSun" w:hAnsi="Franklin Gothic Book" w:cs="Times New Roman"/>
          <w:color w:val="000000"/>
          <w:lang w:val="en-US"/>
        </w:rPr>
        <w:t xml:space="preserve">. ESC noted that, although not specified in the proposed item MBS descriptor, this proposal relates to the “EPclin score”, rather than the “EP score”. The EP score ranges from 0 to </w:t>
      </w:r>
      <w:proofErr w:type="gramStart"/>
      <w:r>
        <w:rPr>
          <w:rFonts w:ascii="Franklin Gothic Book" w:eastAsia="SimSun" w:hAnsi="Franklin Gothic Book" w:cs="Times New Roman"/>
          <w:color w:val="000000"/>
          <w:lang w:val="en-US"/>
        </w:rPr>
        <w:t>15, and</w:t>
      </w:r>
      <w:proofErr w:type="gramEnd"/>
      <w:r>
        <w:rPr>
          <w:rFonts w:ascii="Franklin Gothic Book" w:eastAsia="SimSun" w:hAnsi="Franklin Gothic Book" w:cs="Times New Roman"/>
          <w:color w:val="000000"/>
          <w:lang w:val="en-US"/>
        </w:rPr>
        <w:t xml:space="preserve"> is algorithmically calculated based on the </w:t>
      </w:r>
      <w:r w:rsidRPr="0077146E">
        <w:rPr>
          <w:rFonts w:ascii="Franklin Gothic Book" w:eastAsia="SimSun" w:hAnsi="Franklin Gothic Book" w:cs="Times New Roman"/>
          <w:color w:val="000000"/>
          <w:lang w:val="en-US"/>
        </w:rPr>
        <w:t>expression levels of eight cancer-related genes and three reference genes</w:t>
      </w:r>
      <w:r>
        <w:rPr>
          <w:rFonts w:ascii="Franklin Gothic Book" w:eastAsia="SimSun" w:hAnsi="Franklin Gothic Book" w:cs="Times New Roman"/>
          <w:color w:val="000000"/>
          <w:lang w:val="en-US"/>
        </w:rPr>
        <w:t>, with a</w:t>
      </w:r>
      <w:r w:rsidRPr="0077146E">
        <w:rPr>
          <w:rFonts w:ascii="Franklin Gothic Book" w:eastAsia="SimSun" w:hAnsi="Franklin Gothic Book" w:cs="Times New Roman"/>
          <w:color w:val="000000"/>
          <w:lang w:val="en-US"/>
        </w:rPr>
        <w:t xml:space="preserve"> low/high threshold </w:t>
      </w:r>
      <w:r>
        <w:rPr>
          <w:rFonts w:ascii="Franklin Gothic Book" w:eastAsia="SimSun" w:hAnsi="Franklin Gothic Book" w:cs="Times New Roman"/>
          <w:color w:val="000000"/>
          <w:lang w:val="en-US"/>
        </w:rPr>
        <w:t>score of</w:t>
      </w:r>
      <w:r w:rsidRPr="0077146E">
        <w:rPr>
          <w:rFonts w:ascii="Franklin Gothic Book" w:eastAsia="SimSun" w:hAnsi="Franklin Gothic Book" w:cs="Times New Roman"/>
          <w:color w:val="000000"/>
          <w:lang w:val="en-US"/>
        </w:rPr>
        <w:t xml:space="preserve"> 5</w:t>
      </w:r>
      <w:r>
        <w:rPr>
          <w:rFonts w:ascii="Franklin Gothic Book" w:eastAsia="SimSun" w:hAnsi="Franklin Gothic Book" w:cs="Times New Roman"/>
          <w:color w:val="000000"/>
          <w:lang w:val="en-US"/>
        </w:rPr>
        <w:t xml:space="preserve">. The EPclin score ranges from 1 to </w:t>
      </w:r>
      <w:proofErr w:type="gramStart"/>
      <w:r>
        <w:rPr>
          <w:rFonts w:ascii="Franklin Gothic Book" w:eastAsia="SimSun" w:hAnsi="Franklin Gothic Book" w:cs="Times New Roman"/>
          <w:color w:val="000000"/>
          <w:lang w:val="en-US"/>
        </w:rPr>
        <w:t>6, and</w:t>
      </w:r>
      <w:proofErr w:type="gramEnd"/>
      <w:r>
        <w:rPr>
          <w:rFonts w:ascii="Franklin Gothic Book" w:eastAsia="SimSun" w:hAnsi="Franklin Gothic Book" w:cs="Times New Roman"/>
          <w:color w:val="000000"/>
          <w:lang w:val="en-US"/>
        </w:rPr>
        <w:t xml:space="preserve"> is calculated by combining the EP score with the clinical factors nodal status and tumour size, with a low/high threshold score of 3.3.</w:t>
      </w:r>
    </w:p>
    <w:p w14:paraId="28B68D82" w14:textId="26F5D170" w:rsidR="006A153F" w:rsidRPr="00490E27" w:rsidRDefault="006A153F" w:rsidP="006A153F">
      <w:pPr>
        <w:spacing w:before="120" w:after="120" w:line="257" w:lineRule="auto"/>
        <w:ind w:right="397"/>
        <w:rPr>
          <w:rFonts w:ascii="Franklin Gothic Book" w:eastAsia="Calibri" w:hAnsi="Franklin Gothic Book" w:cs="Times New Roman"/>
          <w:iCs/>
        </w:rPr>
      </w:pPr>
      <w:r w:rsidRPr="00490E27">
        <w:rPr>
          <w:rFonts w:ascii="Franklin Gothic Book" w:eastAsia="Calibri" w:hAnsi="Franklin Gothic Book" w:cs="Times New Roman"/>
          <w:iCs/>
        </w:rPr>
        <w:t xml:space="preserve">ESC noted that this </w:t>
      </w:r>
      <w:r>
        <w:rPr>
          <w:rFonts w:ascii="Franklin Gothic Book" w:eastAsia="Calibri" w:hAnsi="Franklin Gothic Book" w:cs="Times New Roman"/>
          <w:iCs/>
        </w:rPr>
        <w:t>will be MSAC’s</w:t>
      </w:r>
      <w:r w:rsidRPr="00490E27">
        <w:rPr>
          <w:rFonts w:ascii="Franklin Gothic Book" w:eastAsia="Calibri" w:hAnsi="Franklin Gothic Book" w:cs="Times New Roman"/>
          <w:iCs/>
        </w:rPr>
        <w:t xml:space="preserve"> the third consideration of </w:t>
      </w:r>
      <w:r>
        <w:rPr>
          <w:rFonts w:ascii="Franklin Gothic Book" w:eastAsia="Calibri" w:hAnsi="Franklin Gothic Book" w:cs="Times New Roman"/>
          <w:iCs/>
        </w:rPr>
        <w:t>EndoPredict</w:t>
      </w:r>
      <w:r w:rsidR="005F1260" w:rsidRPr="005F1260">
        <w:rPr>
          <w:rFonts w:ascii="Franklin Gothic Book" w:eastAsia="Calibri" w:hAnsi="Franklin Gothic Book" w:cs="Times New Roman"/>
          <w:iCs/>
          <w:vertAlign w:val="superscript"/>
        </w:rPr>
        <w:t>®</w:t>
      </w:r>
      <w:r>
        <w:rPr>
          <w:rFonts w:ascii="Franklin Gothic Book" w:eastAsia="Calibri" w:hAnsi="Franklin Gothic Book" w:cs="Times New Roman"/>
          <w:iCs/>
        </w:rPr>
        <w:t xml:space="preserve">. </w:t>
      </w:r>
      <w:r>
        <w:rPr>
          <w:rFonts w:ascii="Franklin Gothic Book" w:eastAsia="SimSun" w:hAnsi="Franklin Gothic Book" w:cs="Times New Roman"/>
          <w:color w:val="000000"/>
        </w:rPr>
        <w:t>ESC noted the re-application examined not only incremental prognostic value (i.e., additional information about a patient’s prognosis without changes in downstream treatments), but also predictive value (i.e., information about differences in downstream treatment effects for a patient or patient group).</w:t>
      </w:r>
    </w:p>
    <w:p w14:paraId="7E5F85D2" w14:textId="3F706E7C" w:rsidR="006A153F" w:rsidRPr="00490E27" w:rsidRDefault="006A153F" w:rsidP="006A153F">
      <w:pPr>
        <w:spacing w:before="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t xml:space="preserve">ESC noted that, in July 2021, MSAC </w:t>
      </w:r>
      <w:r w:rsidRPr="0077146E">
        <w:rPr>
          <w:rFonts w:ascii="Franklin Gothic Book" w:eastAsia="SimSun" w:hAnsi="Franklin Gothic Book" w:cs="Times New Roman"/>
          <w:color w:val="000000"/>
        </w:rPr>
        <w:t xml:space="preserve">accepted that the </w:t>
      </w:r>
      <w:r>
        <w:rPr>
          <w:rFonts w:ascii="Franklin Gothic Book" w:eastAsia="SimSun" w:hAnsi="Franklin Gothic Book" w:cs="Times New Roman"/>
          <w:color w:val="000000"/>
        </w:rPr>
        <w:t xml:space="preserve">GEP </w:t>
      </w:r>
      <w:r w:rsidRPr="0077146E">
        <w:rPr>
          <w:rFonts w:ascii="Franklin Gothic Book" w:eastAsia="SimSun" w:hAnsi="Franklin Gothic Book" w:cs="Times New Roman"/>
          <w:color w:val="000000"/>
        </w:rPr>
        <w:t xml:space="preserve">tests provided some modest prognostic information, however </w:t>
      </w:r>
      <w:r>
        <w:rPr>
          <w:rFonts w:ascii="Franklin Gothic Book" w:eastAsia="SimSun" w:hAnsi="Franklin Gothic Book" w:cs="Times New Roman"/>
          <w:color w:val="000000"/>
        </w:rPr>
        <w:t xml:space="preserve">advised that </w:t>
      </w:r>
      <w:r w:rsidRPr="0077146E">
        <w:rPr>
          <w:rFonts w:ascii="Franklin Gothic Book" w:eastAsia="SimSun" w:hAnsi="Franklin Gothic Book" w:cs="Times New Roman"/>
          <w:color w:val="000000"/>
        </w:rPr>
        <w:t xml:space="preserve">no applicant </w:t>
      </w:r>
      <w:r>
        <w:rPr>
          <w:rFonts w:ascii="Franklin Gothic Book" w:eastAsia="SimSun" w:hAnsi="Franklin Gothic Book" w:cs="Times New Roman"/>
          <w:color w:val="000000"/>
        </w:rPr>
        <w:t xml:space="preserve">had </w:t>
      </w:r>
      <w:r w:rsidRPr="0077146E">
        <w:rPr>
          <w:rFonts w:ascii="Franklin Gothic Book" w:eastAsia="SimSun" w:hAnsi="Franklin Gothic Book" w:cs="Times New Roman"/>
          <w:color w:val="000000"/>
        </w:rPr>
        <w:t>provided sufficient evidence for additional prognostic value beyond current standard of care</w:t>
      </w:r>
      <w:r>
        <w:rPr>
          <w:rFonts w:ascii="Franklin Gothic Book" w:eastAsia="Calibri" w:hAnsi="Franklin Gothic Book" w:cs="Times New Roman"/>
          <w:iCs/>
        </w:rPr>
        <w:t xml:space="preserve">. </w:t>
      </w:r>
      <w:r>
        <w:rPr>
          <w:rFonts w:ascii="Franklin Gothic Book" w:eastAsia="SimSun" w:hAnsi="Franklin Gothic Book" w:cs="Times New Roman"/>
          <w:color w:val="000000"/>
        </w:rPr>
        <w:t xml:space="preserve">MSAC also did not </w:t>
      </w:r>
      <w:r w:rsidRPr="0077146E">
        <w:rPr>
          <w:rFonts w:ascii="Franklin Gothic Book" w:eastAsia="SimSun" w:hAnsi="Franklin Gothic Book" w:cs="Times New Roman"/>
          <w:color w:val="000000"/>
        </w:rPr>
        <w:t>accept predictive value had been adequately demonstrated for any GEP test</w:t>
      </w:r>
      <w:r>
        <w:rPr>
          <w:rFonts w:ascii="Franklin Gothic Book" w:eastAsia="SimSun" w:hAnsi="Franklin Gothic Book" w:cs="Times New Roman"/>
          <w:color w:val="000000"/>
        </w:rPr>
        <w:t xml:space="preserve">. The applicant provided the </w:t>
      </w:r>
      <w:r>
        <w:rPr>
          <w:rFonts w:ascii="Franklin Gothic Book" w:eastAsia="Calibri" w:hAnsi="Franklin Gothic Book" w:cs="Times New Roman"/>
          <w:iCs/>
        </w:rPr>
        <w:t>EndoPredict</w:t>
      </w:r>
      <w:r w:rsidR="005F1260" w:rsidRPr="005F1260">
        <w:rPr>
          <w:rFonts w:ascii="Franklin Gothic Book" w:eastAsia="Calibri" w:hAnsi="Franklin Gothic Book" w:cs="Times New Roman"/>
          <w:iCs/>
          <w:vertAlign w:val="superscript"/>
        </w:rPr>
        <w:t>®</w:t>
      </w:r>
      <w:r w:rsidRPr="00825657">
        <w:rPr>
          <w:rFonts w:ascii="Franklin Gothic Book" w:eastAsia="Calibri" w:hAnsi="Franklin Gothic Book" w:cs="Times New Roman"/>
          <w:iCs/>
        </w:rPr>
        <w:t xml:space="preserve"> </w:t>
      </w:r>
      <w:r>
        <w:rPr>
          <w:rFonts w:ascii="Franklin Gothic Book" w:eastAsia="SimSun" w:hAnsi="Franklin Gothic Book" w:cs="Times New Roman"/>
          <w:color w:val="000000"/>
        </w:rPr>
        <w:t>instructions for use (IFU) with its pre-ESC response, and ESC noted that both the IFU and the listing on the Australian Register of Therapeutic Goods (ARTG) permit both prognostic and predictive usage.</w:t>
      </w:r>
    </w:p>
    <w:p w14:paraId="319DC213" w14:textId="1FF0905B" w:rsidR="006A153F" w:rsidRPr="00490E27" w:rsidRDefault="006A153F" w:rsidP="000F0726">
      <w:pPr>
        <w:keepNext/>
        <w:spacing w:before="120" w:line="257" w:lineRule="auto"/>
        <w:ind w:right="397"/>
        <w:rPr>
          <w:rFonts w:ascii="Franklin Gothic Book" w:eastAsia="Calibri" w:hAnsi="Franklin Gothic Book" w:cs="Times New Roman"/>
          <w:iCs/>
        </w:rPr>
      </w:pPr>
      <w:r w:rsidRPr="00490E27">
        <w:rPr>
          <w:rFonts w:ascii="Franklin Gothic Book" w:eastAsia="Calibri" w:hAnsi="Franklin Gothic Book" w:cs="Times New Roman"/>
          <w:iCs/>
        </w:rPr>
        <w:t xml:space="preserve">ESC </w:t>
      </w:r>
      <w:r>
        <w:rPr>
          <w:rFonts w:ascii="Franklin Gothic Book" w:eastAsia="Calibri" w:hAnsi="Franklin Gothic Book" w:cs="Times New Roman"/>
          <w:iCs/>
        </w:rPr>
        <w:t xml:space="preserve">expressed reservations about the feasibility of </w:t>
      </w:r>
      <w:r w:rsidRPr="00490E27">
        <w:rPr>
          <w:rFonts w:ascii="Franklin Gothic Book" w:eastAsia="Calibri" w:hAnsi="Franklin Gothic Book" w:cs="Times New Roman"/>
          <w:iCs/>
        </w:rPr>
        <w:t>the proposed volume</w:t>
      </w:r>
      <w:r>
        <w:rPr>
          <w:rFonts w:ascii="Franklin Gothic Book" w:eastAsia="Calibri" w:hAnsi="Franklin Gothic Book" w:cs="Times New Roman"/>
          <w:iCs/>
        </w:rPr>
        <w:t>-based</w:t>
      </w:r>
      <w:r w:rsidRPr="00490E27">
        <w:rPr>
          <w:rFonts w:ascii="Franklin Gothic Book" w:eastAsia="Calibri" w:hAnsi="Franklin Gothic Book" w:cs="Times New Roman"/>
          <w:iCs/>
        </w:rPr>
        <w:t xml:space="preserve"> fee structure, where the </w:t>
      </w:r>
      <w:r>
        <w:rPr>
          <w:rFonts w:ascii="Franklin Gothic Book" w:eastAsia="Calibri" w:hAnsi="Franklin Gothic Book" w:cs="Times New Roman"/>
          <w:iCs/>
        </w:rPr>
        <w:t xml:space="preserve">MBS item’s </w:t>
      </w:r>
      <w:r w:rsidRPr="00490E27">
        <w:rPr>
          <w:rFonts w:ascii="Franklin Gothic Book" w:eastAsia="Calibri" w:hAnsi="Franklin Gothic Book" w:cs="Times New Roman"/>
          <w:iCs/>
        </w:rPr>
        <w:t xml:space="preserve">fee decreases </w:t>
      </w:r>
      <w:r>
        <w:rPr>
          <w:rFonts w:ascii="Franklin Gothic Book" w:eastAsia="Calibri" w:hAnsi="Franklin Gothic Book" w:cs="Times New Roman"/>
          <w:iCs/>
        </w:rPr>
        <w:t xml:space="preserve">across 4 tiers </w:t>
      </w:r>
      <w:r w:rsidRPr="00490E27">
        <w:rPr>
          <w:rFonts w:ascii="Franklin Gothic Book" w:eastAsia="Calibri" w:hAnsi="Franklin Gothic Book" w:cs="Times New Roman"/>
          <w:iCs/>
        </w:rPr>
        <w:t>as more tests are performed</w:t>
      </w:r>
      <w:r>
        <w:rPr>
          <w:rFonts w:ascii="Franklin Gothic Book" w:eastAsia="Calibri" w:hAnsi="Franklin Gothic Book" w:cs="Times New Roman"/>
          <w:iCs/>
        </w:rPr>
        <w:t xml:space="preserve"> (</w:t>
      </w:r>
      <w:r w:rsidRPr="00056090">
        <w:rPr>
          <w:rFonts w:ascii="Franklin Gothic Book" w:hAnsi="Franklin Gothic Book"/>
          <w:iCs/>
        </w:rPr>
        <w:fldChar w:fldCharType="begin"/>
      </w:r>
      <w:r w:rsidRPr="00056090">
        <w:rPr>
          <w:rFonts w:ascii="Franklin Gothic Book" w:hAnsi="Franklin Gothic Book"/>
          <w:iCs/>
        </w:rPr>
        <w:instrText xml:space="preserve"> REF _Ref100131022 \h </w:instrText>
      </w:r>
      <w:r>
        <w:rPr>
          <w:rFonts w:ascii="Franklin Gothic Book" w:hAnsi="Franklin Gothic Book"/>
          <w:iCs/>
        </w:rPr>
        <w:instrText xml:space="preserve"> \* MERGEFORMAT </w:instrText>
      </w:r>
      <w:r w:rsidRPr="00056090">
        <w:rPr>
          <w:rFonts w:ascii="Franklin Gothic Book" w:hAnsi="Franklin Gothic Book"/>
          <w:iCs/>
        </w:rPr>
      </w:r>
      <w:r w:rsidRPr="00056090">
        <w:rPr>
          <w:rFonts w:ascii="Franklin Gothic Book" w:hAnsi="Franklin Gothic Book"/>
          <w:iCs/>
        </w:rPr>
        <w:fldChar w:fldCharType="separate"/>
      </w:r>
      <w:r w:rsidR="00943826" w:rsidRPr="00943826">
        <w:rPr>
          <w:rFonts w:ascii="Franklin Gothic Book" w:hAnsi="Franklin Gothic Book"/>
          <w:iCs/>
        </w:rPr>
        <w:t>Table 5</w:t>
      </w:r>
      <w:r w:rsidRPr="00056090">
        <w:rPr>
          <w:rFonts w:ascii="Franklin Gothic Book" w:hAnsi="Franklin Gothic Book"/>
          <w:iCs/>
        </w:rPr>
        <w:fldChar w:fldCharType="end"/>
      </w:r>
      <w:r>
        <w:rPr>
          <w:rFonts w:ascii="Franklin Gothic Book" w:eastAsia="Calibri" w:hAnsi="Franklin Gothic Book" w:cs="Times New Roman"/>
          <w:iCs/>
        </w:rPr>
        <w:t xml:space="preserve">). </w:t>
      </w:r>
      <w:r w:rsidRPr="00490E27">
        <w:rPr>
          <w:rFonts w:ascii="Franklin Gothic Book" w:eastAsia="Calibri" w:hAnsi="Franklin Gothic Book" w:cs="Times New Roman"/>
          <w:iCs/>
        </w:rPr>
        <w:t xml:space="preserve">ESC </w:t>
      </w:r>
      <w:r>
        <w:rPr>
          <w:rFonts w:ascii="Franklin Gothic Book" w:eastAsia="Calibri" w:hAnsi="Franklin Gothic Book" w:cs="Times New Roman"/>
          <w:iCs/>
        </w:rPr>
        <w:t>considered</w:t>
      </w:r>
      <w:r w:rsidRPr="00490E27">
        <w:rPr>
          <w:rFonts w:ascii="Franklin Gothic Book" w:eastAsia="Calibri" w:hAnsi="Franklin Gothic Book" w:cs="Times New Roman"/>
          <w:iCs/>
        </w:rPr>
        <w:t xml:space="preserve"> the propos</w:t>
      </w:r>
      <w:r>
        <w:rPr>
          <w:rFonts w:ascii="Franklin Gothic Book" w:eastAsia="Calibri" w:hAnsi="Franklin Gothic Book" w:cs="Times New Roman"/>
          <w:iCs/>
        </w:rPr>
        <w:t>ed</w:t>
      </w:r>
      <w:r w:rsidRPr="00490E27">
        <w:rPr>
          <w:rFonts w:ascii="Franklin Gothic Book" w:eastAsia="Calibri" w:hAnsi="Franklin Gothic Book" w:cs="Times New Roman"/>
          <w:iCs/>
        </w:rPr>
        <w:t xml:space="preserve"> </w:t>
      </w:r>
      <w:r>
        <w:rPr>
          <w:rFonts w:ascii="Franklin Gothic Book" w:eastAsia="Calibri" w:hAnsi="Franklin Gothic Book" w:cs="Times New Roman"/>
          <w:iCs/>
        </w:rPr>
        <w:t xml:space="preserve">fee structure would be unique </w:t>
      </w:r>
      <w:r w:rsidRPr="00490E27">
        <w:rPr>
          <w:rFonts w:ascii="Franklin Gothic Book" w:eastAsia="Calibri" w:hAnsi="Franklin Gothic Book" w:cs="Times New Roman"/>
          <w:iCs/>
        </w:rPr>
        <w:t xml:space="preserve">for an MBS </w:t>
      </w:r>
      <w:proofErr w:type="gramStart"/>
      <w:r w:rsidRPr="00490E27">
        <w:rPr>
          <w:rFonts w:ascii="Franklin Gothic Book" w:eastAsia="Calibri" w:hAnsi="Franklin Gothic Book" w:cs="Times New Roman"/>
          <w:iCs/>
        </w:rPr>
        <w:t>item, but</w:t>
      </w:r>
      <w:proofErr w:type="gramEnd"/>
      <w:r w:rsidRPr="00490E27">
        <w:rPr>
          <w:rFonts w:ascii="Franklin Gothic Book" w:eastAsia="Calibri" w:hAnsi="Franklin Gothic Book" w:cs="Times New Roman"/>
          <w:iCs/>
        </w:rPr>
        <w:t xml:space="preserve"> </w:t>
      </w:r>
      <w:r>
        <w:rPr>
          <w:rFonts w:ascii="Franklin Gothic Book" w:eastAsia="Calibri" w:hAnsi="Franklin Gothic Book" w:cs="Times New Roman"/>
          <w:iCs/>
        </w:rPr>
        <w:t xml:space="preserve">noted </w:t>
      </w:r>
      <w:r w:rsidRPr="00490E27">
        <w:rPr>
          <w:rFonts w:ascii="Franklin Gothic Book" w:eastAsia="Calibri" w:hAnsi="Franklin Gothic Book" w:cs="Times New Roman"/>
          <w:iCs/>
        </w:rPr>
        <w:t xml:space="preserve">that </w:t>
      </w:r>
      <w:r>
        <w:rPr>
          <w:rFonts w:ascii="Franklin Gothic Book" w:eastAsia="Calibri" w:hAnsi="Franklin Gothic Book" w:cs="Times New Roman"/>
          <w:iCs/>
        </w:rPr>
        <w:t xml:space="preserve">similar arrangements are </w:t>
      </w:r>
      <w:r w:rsidRPr="00490E27">
        <w:rPr>
          <w:rFonts w:ascii="Franklin Gothic Book" w:eastAsia="Calibri" w:hAnsi="Franklin Gothic Book" w:cs="Times New Roman"/>
          <w:iCs/>
        </w:rPr>
        <w:t xml:space="preserve">commonly used for the Pharmaceutical Benefits Scheme (PBS). ESC </w:t>
      </w:r>
      <w:r>
        <w:rPr>
          <w:rFonts w:ascii="Franklin Gothic Book" w:eastAsia="Calibri" w:hAnsi="Franklin Gothic Book" w:cs="Times New Roman"/>
          <w:iCs/>
        </w:rPr>
        <w:t xml:space="preserve">considered </w:t>
      </w:r>
      <w:r w:rsidRPr="00490E27">
        <w:rPr>
          <w:rFonts w:ascii="Franklin Gothic Book" w:eastAsia="Calibri" w:hAnsi="Franklin Gothic Book" w:cs="Times New Roman"/>
          <w:iCs/>
        </w:rPr>
        <w:t>key issues related to the fee structure</w:t>
      </w:r>
      <w:r>
        <w:rPr>
          <w:rFonts w:ascii="Franklin Gothic Book" w:eastAsia="Calibri" w:hAnsi="Franklin Gothic Book" w:cs="Times New Roman"/>
          <w:iCs/>
        </w:rPr>
        <w:t xml:space="preserve"> are</w:t>
      </w:r>
      <w:r w:rsidRPr="00490E27">
        <w:rPr>
          <w:rFonts w:ascii="Franklin Gothic Book" w:eastAsia="Calibri" w:hAnsi="Franklin Gothic Book" w:cs="Times New Roman"/>
          <w:iCs/>
        </w:rPr>
        <w:t>:</w:t>
      </w:r>
    </w:p>
    <w:p w14:paraId="0C2B2541" w14:textId="574B58BF" w:rsidR="006A153F" w:rsidRPr="00076B8D" w:rsidRDefault="006A153F" w:rsidP="006A153F">
      <w:pPr>
        <w:pStyle w:val="ListParagraph"/>
        <w:numPr>
          <w:ilvl w:val="0"/>
          <w:numId w:val="35"/>
        </w:numPr>
        <w:spacing w:after="120" w:line="256" w:lineRule="auto"/>
        <w:ind w:right="396"/>
        <w:rPr>
          <w:rFonts w:eastAsia="Calibri" w:cs="Times New Roman"/>
          <w:iCs/>
        </w:rPr>
      </w:pPr>
      <w:r w:rsidRPr="00076B8D">
        <w:rPr>
          <w:rFonts w:eastAsia="Calibri" w:cs="Times New Roman"/>
          <w:iCs/>
        </w:rPr>
        <w:t>It is uncertain whether any fee reduction (based on annual volume of services) would be passed on from the supplier to the pathology providers</w:t>
      </w:r>
      <w:r>
        <w:rPr>
          <w:rFonts w:eastAsia="Calibri" w:cs="Times New Roman"/>
          <w:iCs/>
        </w:rPr>
        <w:t>. ESC considered there is a risk</w:t>
      </w:r>
      <w:r w:rsidRPr="00076B8D">
        <w:rPr>
          <w:rFonts w:eastAsia="Calibri" w:cs="Times New Roman"/>
          <w:iCs/>
        </w:rPr>
        <w:t xml:space="preserve"> it </w:t>
      </w:r>
      <w:r>
        <w:rPr>
          <w:rFonts w:eastAsia="Calibri" w:cs="Times New Roman"/>
          <w:iCs/>
        </w:rPr>
        <w:t xml:space="preserve">may </w:t>
      </w:r>
      <w:r w:rsidRPr="00076B8D">
        <w:rPr>
          <w:rFonts w:eastAsia="Calibri" w:cs="Times New Roman"/>
          <w:iCs/>
        </w:rPr>
        <w:t>lead to out-of-pocket costs for the patient.</w:t>
      </w:r>
      <w:r>
        <w:rPr>
          <w:rFonts w:eastAsia="Calibri" w:cs="Times New Roman"/>
          <w:iCs/>
        </w:rPr>
        <w:t xml:space="preserve"> This might be mitigated by a guaranteed concomitant reduction in the price of the EndoPredict</w:t>
      </w:r>
      <w:r w:rsidR="005F1260" w:rsidRPr="005F1260">
        <w:rPr>
          <w:rFonts w:eastAsia="SimSun" w:cs="Times New Roman"/>
          <w:color w:val="000000"/>
          <w:vertAlign w:val="superscript"/>
        </w:rPr>
        <w:t>®</w:t>
      </w:r>
      <w:r w:rsidRPr="00917249">
        <w:rPr>
          <w:rFonts w:eastAsia="SimSun" w:cs="Times New Roman"/>
          <w:color w:val="000000"/>
        </w:rPr>
        <w:t xml:space="preserve"> product to pathology providers.</w:t>
      </w:r>
    </w:p>
    <w:p w14:paraId="6E40D3A0" w14:textId="77777777" w:rsidR="006A153F" w:rsidRPr="00076B8D" w:rsidRDefault="006A153F" w:rsidP="006A153F">
      <w:pPr>
        <w:pStyle w:val="ListParagraph"/>
        <w:numPr>
          <w:ilvl w:val="0"/>
          <w:numId w:val="35"/>
        </w:numPr>
        <w:spacing w:after="120" w:line="256" w:lineRule="auto"/>
        <w:ind w:right="396"/>
        <w:rPr>
          <w:rFonts w:eastAsia="Calibri" w:cs="Times New Roman"/>
          <w:iCs/>
        </w:rPr>
      </w:pPr>
      <w:r w:rsidRPr="00076B8D">
        <w:rPr>
          <w:rFonts w:eastAsia="Calibri" w:cs="Times New Roman"/>
          <w:iCs/>
        </w:rPr>
        <w:t>Th</w:t>
      </w:r>
      <w:r>
        <w:rPr>
          <w:rFonts w:eastAsia="Calibri" w:cs="Times New Roman"/>
          <w:iCs/>
        </w:rPr>
        <w:t>e</w:t>
      </w:r>
      <w:r w:rsidRPr="00076B8D">
        <w:rPr>
          <w:rFonts w:eastAsia="Calibri" w:cs="Times New Roman"/>
          <w:iCs/>
        </w:rPr>
        <w:t>re is a high level of uncertainty in the extent of use estimated over the first 5 years of listing (and hence cost to the MBS) and that this is likely to be an underestimate. The cost of the service is a key driver of the incremental cost-effectiveness ratio (ICER).</w:t>
      </w:r>
    </w:p>
    <w:p w14:paraId="480396FD" w14:textId="77777777" w:rsidR="006A153F" w:rsidRPr="00076B8D" w:rsidRDefault="006A153F" w:rsidP="006A153F">
      <w:pPr>
        <w:pStyle w:val="ListParagraph"/>
        <w:numPr>
          <w:ilvl w:val="0"/>
          <w:numId w:val="35"/>
        </w:numPr>
        <w:spacing w:after="120" w:line="256" w:lineRule="auto"/>
        <w:ind w:right="396"/>
        <w:rPr>
          <w:rFonts w:eastAsia="Calibri" w:cs="Times New Roman"/>
          <w:iCs/>
        </w:rPr>
      </w:pPr>
      <w:r w:rsidRPr="00076B8D">
        <w:rPr>
          <w:rFonts w:eastAsia="Calibri" w:cs="Times New Roman"/>
          <w:iCs/>
        </w:rPr>
        <w:t xml:space="preserve">The </w:t>
      </w:r>
      <w:r>
        <w:rPr>
          <w:rFonts w:eastAsia="Calibri" w:cs="Times New Roman"/>
          <w:iCs/>
        </w:rPr>
        <w:t xml:space="preserve">proposed </w:t>
      </w:r>
      <w:r w:rsidRPr="00076B8D">
        <w:rPr>
          <w:rFonts w:eastAsia="Calibri" w:cs="Times New Roman"/>
          <w:iCs/>
        </w:rPr>
        <w:t>volume</w:t>
      </w:r>
      <w:r>
        <w:rPr>
          <w:rFonts w:eastAsia="Calibri" w:cs="Times New Roman"/>
          <w:iCs/>
        </w:rPr>
        <w:t>-based</w:t>
      </w:r>
      <w:r w:rsidRPr="00076B8D">
        <w:rPr>
          <w:rFonts w:eastAsia="Calibri" w:cs="Times New Roman"/>
          <w:iCs/>
        </w:rPr>
        <w:t xml:space="preserve"> fee structure has not been previously </w:t>
      </w:r>
      <w:r>
        <w:rPr>
          <w:rFonts w:eastAsia="Calibri" w:cs="Times New Roman"/>
          <w:iCs/>
        </w:rPr>
        <w:t xml:space="preserve">implemented </w:t>
      </w:r>
      <w:r w:rsidRPr="00076B8D">
        <w:rPr>
          <w:rFonts w:eastAsia="Calibri" w:cs="Times New Roman"/>
          <w:iCs/>
        </w:rPr>
        <w:t>in the MBS.</w:t>
      </w:r>
    </w:p>
    <w:p w14:paraId="4CC4371C" w14:textId="00987F17" w:rsidR="006A153F" w:rsidRPr="00490E27" w:rsidRDefault="006A153F" w:rsidP="006A153F">
      <w:pPr>
        <w:spacing w:before="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lastRenderedPageBreak/>
        <w:t xml:space="preserve">ESC </w:t>
      </w:r>
      <w:r>
        <w:rPr>
          <w:rFonts w:ascii="Franklin Gothic Book" w:eastAsia="Calibri" w:hAnsi="Franklin Gothic Book" w:cs="Times New Roman"/>
          <w:iCs/>
        </w:rPr>
        <w:t xml:space="preserve">considered that the applicant did not provide a rationale for this genetic testing being sufficiently unique to warrant a novel fee </w:t>
      </w:r>
      <w:proofErr w:type="gramStart"/>
      <w:r>
        <w:rPr>
          <w:rFonts w:ascii="Franklin Gothic Book" w:eastAsia="Calibri" w:hAnsi="Franklin Gothic Book" w:cs="Times New Roman"/>
          <w:iCs/>
        </w:rPr>
        <w:t>mechanism, and</w:t>
      </w:r>
      <w:proofErr w:type="gramEnd"/>
      <w:r>
        <w:rPr>
          <w:rFonts w:ascii="Franklin Gothic Book" w:eastAsia="Calibri" w:hAnsi="Franklin Gothic Book" w:cs="Times New Roman"/>
          <w:iCs/>
        </w:rPr>
        <w:t xml:space="preserve"> </w:t>
      </w:r>
      <w:r w:rsidRPr="00490E27">
        <w:rPr>
          <w:rFonts w:ascii="Franklin Gothic Book" w:eastAsia="Calibri" w:hAnsi="Franklin Gothic Book" w:cs="Times New Roman"/>
          <w:iCs/>
        </w:rPr>
        <w:t xml:space="preserve">recalled that the </w:t>
      </w:r>
      <w:r>
        <w:rPr>
          <w:rFonts w:ascii="Franklin Gothic Book" w:eastAsia="Calibri" w:hAnsi="Franklin Gothic Book" w:cs="Times New Roman"/>
          <w:iCs/>
        </w:rPr>
        <w:t xml:space="preserve">applicant for </w:t>
      </w:r>
      <w:r w:rsidRPr="00490E27">
        <w:rPr>
          <w:rFonts w:ascii="Franklin Gothic Book" w:eastAsia="Calibri" w:hAnsi="Franklin Gothic Book" w:cs="Times New Roman"/>
          <w:iCs/>
        </w:rPr>
        <w:t>Oncotype</w:t>
      </w:r>
      <w:r>
        <w:rPr>
          <w:rFonts w:ascii="Franklin Gothic Book" w:eastAsia="Calibri" w:hAnsi="Franklin Gothic Book" w:cs="Times New Roman"/>
          <w:iCs/>
        </w:rPr>
        <w:t xml:space="preserve"> </w:t>
      </w:r>
      <w:r w:rsidRPr="00490E27">
        <w:rPr>
          <w:rFonts w:ascii="Franklin Gothic Book" w:eastAsia="Calibri" w:hAnsi="Franklin Gothic Book" w:cs="Times New Roman"/>
          <w:iCs/>
        </w:rPr>
        <w:t>DX</w:t>
      </w:r>
      <w:r w:rsidR="005F1260" w:rsidRPr="005F1260">
        <w:rPr>
          <w:rFonts w:ascii="Franklin Gothic Book" w:eastAsia="SimSun" w:hAnsi="Franklin Gothic Book" w:cs="Times New Roman"/>
          <w:color w:val="000000"/>
          <w:vertAlign w:val="superscript"/>
        </w:rPr>
        <w:t>®</w:t>
      </w:r>
      <w:r w:rsidRPr="00490E27">
        <w:rPr>
          <w:rFonts w:ascii="Franklin Gothic Book" w:eastAsia="Calibri" w:hAnsi="Franklin Gothic Book" w:cs="Times New Roman"/>
          <w:iCs/>
        </w:rPr>
        <w:t xml:space="preserve"> </w:t>
      </w:r>
      <w:r>
        <w:rPr>
          <w:rFonts w:ascii="Franklin Gothic Book" w:eastAsia="Calibri" w:hAnsi="Franklin Gothic Book" w:cs="Times New Roman"/>
          <w:iCs/>
        </w:rPr>
        <w:t xml:space="preserve">had </w:t>
      </w:r>
      <w:r w:rsidRPr="00490E27">
        <w:rPr>
          <w:rFonts w:ascii="Franklin Gothic Book" w:eastAsia="Calibri" w:hAnsi="Franklin Gothic Book" w:cs="Times New Roman"/>
          <w:iCs/>
        </w:rPr>
        <w:t xml:space="preserve">also </w:t>
      </w:r>
      <w:r>
        <w:rPr>
          <w:rFonts w:ascii="Franklin Gothic Book" w:eastAsia="Calibri" w:hAnsi="Franklin Gothic Book" w:cs="Times New Roman"/>
          <w:iCs/>
        </w:rPr>
        <w:t xml:space="preserve">previously </w:t>
      </w:r>
      <w:r w:rsidRPr="00490E27">
        <w:rPr>
          <w:rFonts w:ascii="Franklin Gothic Book" w:eastAsia="Calibri" w:hAnsi="Franklin Gothic Book" w:cs="Times New Roman"/>
          <w:iCs/>
        </w:rPr>
        <w:t>proposed a non-st</w:t>
      </w:r>
      <w:r>
        <w:rPr>
          <w:rFonts w:ascii="Franklin Gothic Book" w:eastAsia="Calibri" w:hAnsi="Franklin Gothic Book" w:cs="Times New Roman"/>
          <w:iCs/>
        </w:rPr>
        <w:t>a</w:t>
      </w:r>
      <w:r w:rsidRPr="00490E27">
        <w:rPr>
          <w:rFonts w:ascii="Franklin Gothic Book" w:eastAsia="Calibri" w:hAnsi="Franklin Gothic Book" w:cs="Times New Roman"/>
          <w:iCs/>
        </w:rPr>
        <w:t>ndard approach</w:t>
      </w:r>
      <w:r>
        <w:rPr>
          <w:rFonts w:ascii="Franklin Gothic Book" w:eastAsia="Calibri" w:hAnsi="Franklin Gothic Book" w:cs="Times New Roman"/>
          <w:iCs/>
        </w:rPr>
        <w:t xml:space="preserve"> related to the proposed fee, which MSAC had not supported</w:t>
      </w:r>
      <w:r>
        <w:rPr>
          <w:rStyle w:val="FootnoteReference"/>
          <w:rFonts w:ascii="Franklin Gothic Book" w:eastAsia="Calibri" w:hAnsi="Franklin Gothic Book" w:cs="Times New Roman"/>
          <w:iCs/>
        </w:rPr>
        <w:footnoteReference w:id="23"/>
      </w:r>
      <w:r w:rsidRPr="00490E27">
        <w:rPr>
          <w:rFonts w:ascii="Franklin Gothic Book" w:eastAsia="Calibri" w:hAnsi="Franklin Gothic Book" w:cs="Times New Roman"/>
          <w:iCs/>
        </w:rPr>
        <w:t>.</w:t>
      </w:r>
      <w:r>
        <w:rPr>
          <w:rFonts w:ascii="Franklin Gothic Book" w:eastAsia="Calibri" w:hAnsi="Franklin Gothic Book" w:cs="Times New Roman"/>
          <w:iCs/>
        </w:rPr>
        <w:t xml:space="preserve"> </w:t>
      </w:r>
      <w:r w:rsidRPr="00490E27">
        <w:rPr>
          <w:rFonts w:ascii="Franklin Gothic Book" w:eastAsia="Calibri" w:hAnsi="Franklin Gothic Book" w:cs="Times New Roman"/>
          <w:iCs/>
        </w:rPr>
        <w:t>Therefore, ESC queried whether a standard fee proposal (</w:t>
      </w:r>
      <w:proofErr w:type="gramStart"/>
      <w:r w:rsidRPr="00490E27">
        <w:rPr>
          <w:rFonts w:ascii="Franklin Gothic Book" w:eastAsia="Calibri" w:hAnsi="Franklin Gothic Book" w:cs="Times New Roman"/>
          <w:iCs/>
        </w:rPr>
        <w:t>similar to</w:t>
      </w:r>
      <w:proofErr w:type="gramEnd"/>
      <w:r w:rsidRPr="00490E27">
        <w:rPr>
          <w:rFonts w:ascii="Franklin Gothic Book" w:eastAsia="Calibri" w:hAnsi="Franklin Gothic Book" w:cs="Times New Roman"/>
          <w:iCs/>
        </w:rPr>
        <w:t xml:space="preserve"> other pathology services) might be more appropriate.</w:t>
      </w:r>
    </w:p>
    <w:p w14:paraId="1E8306CA" w14:textId="35516C8E" w:rsidR="006A153F" w:rsidRPr="00490E27" w:rsidRDefault="006A153F" w:rsidP="006A153F">
      <w:pPr>
        <w:spacing w:before="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t xml:space="preserve">ESC noted the </w:t>
      </w:r>
      <w:r>
        <w:rPr>
          <w:rFonts w:ascii="Franklin Gothic Book" w:eastAsia="Calibri" w:hAnsi="Franklin Gothic Book" w:cs="Times New Roman"/>
          <w:iCs/>
        </w:rPr>
        <w:t>method-</w:t>
      </w:r>
      <w:r w:rsidRPr="00490E27">
        <w:rPr>
          <w:rFonts w:ascii="Franklin Gothic Book" w:eastAsia="Calibri" w:hAnsi="Franklin Gothic Book" w:cs="Times New Roman"/>
          <w:iCs/>
        </w:rPr>
        <w:t xml:space="preserve">agnostic nature of the </w:t>
      </w:r>
      <w:r>
        <w:rPr>
          <w:rFonts w:ascii="Franklin Gothic Book" w:eastAsia="Calibri" w:hAnsi="Franklin Gothic Book" w:cs="Times New Roman"/>
          <w:iCs/>
        </w:rPr>
        <w:t xml:space="preserve">applicant’s </w:t>
      </w:r>
      <w:r w:rsidRPr="00490E27">
        <w:rPr>
          <w:rFonts w:ascii="Franklin Gothic Book" w:eastAsia="Calibri" w:hAnsi="Franklin Gothic Book" w:cs="Times New Roman"/>
          <w:iCs/>
        </w:rPr>
        <w:t xml:space="preserve">proposed MBS </w:t>
      </w:r>
      <w:r>
        <w:rPr>
          <w:rFonts w:ascii="Franklin Gothic Book" w:eastAsia="Calibri" w:hAnsi="Franklin Gothic Book" w:cs="Times New Roman"/>
          <w:iCs/>
        </w:rPr>
        <w:t xml:space="preserve">item </w:t>
      </w:r>
      <w:r w:rsidRPr="00490E27">
        <w:rPr>
          <w:rFonts w:ascii="Franklin Gothic Book" w:eastAsia="Calibri" w:hAnsi="Franklin Gothic Book" w:cs="Times New Roman"/>
          <w:iCs/>
        </w:rPr>
        <w:t xml:space="preserve">descriptor, </w:t>
      </w:r>
      <w:r>
        <w:rPr>
          <w:rFonts w:ascii="Franklin Gothic Book" w:eastAsia="SimSun" w:hAnsi="Franklin Gothic Book" w:cs="Times New Roman"/>
          <w:color w:val="000000"/>
        </w:rPr>
        <w:t>and the applicant’s comment that the proposed item descriptor would permit EndoPredict</w:t>
      </w:r>
      <w:r w:rsidR="005F1260" w:rsidRPr="005F1260">
        <w:rPr>
          <w:rFonts w:ascii="Franklin Gothic Book" w:eastAsia="SimSun" w:hAnsi="Franklin Gothic Book" w:cs="Times New Roman"/>
          <w:color w:val="000000"/>
          <w:vertAlign w:val="superscript"/>
        </w:rPr>
        <w:t>®</w:t>
      </w:r>
      <w:r>
        <w:rPr>
          <w:rFonts w:ascii="Franklin Gothic Book" w:eastAsia="SimSun" w:hAnsi="Franklin Gothic Book" w:cs="Times New Roman"/>
          <w:color w:val="000000"/>
        </w:rPr>
        <w:t xml:space="preserve"> and Prosigna</w:t>
      </w:r>
      <w:r w:rsidR="005F1260" w:rsidRPr="005F1260">
        <w:rPr>
          <w:rFonts w:ascii="Franklin Gothic Book" w:eastAsia="SimSun" w:hAnsi="Franklin Gothic Book" w:cs="Times New Roman"/>
          <w:color w:val="000000"/>
          <w:vertAlign w:val="superscript"/>
        </w:rPr>
        <w:t>®</w:t>
      </w:r>
      <w:r>
        <w:rPr>
          <w:rFonts w:ascii="Franklin Gothic Book" w:eastAsia="SimSun" w:hAnsi="Franklin Gothic Book" w:cs="Times New Roman"/>
          <w:color w:val="000000"/>
        </w:rPr>
        <w:t>, but that the applicant would agree to EndoPredict</w:t>
      </w:r>
      <w:r w:rsidR="005F1260" w:rsidRPr="005F1260">
        <w:rPr>
          <w:rFonts w:ascii="Franklin Gothic Book" w:eastAsia="SimSun" w:hAnsi="Franklin Gothic Book" w:cs="Times New Roman"/>
          <w:color w:val="000000"/>
          <w:vertAlign w:val="superscript"/>
        </w:rPr>
        <w:t>®</w:t>
      </w:r>
      <w:r>
        <w:rPr>
          <w:rFonts w:ascii="Franklin Gothic Book" w:eastAsia="SimSun" w:hAnsi="Franklin Gothic Book" w:cs="Times New Roman"/>
          <w:color w:val="000000"/>
        </w:rPr>
        <w:t xml:space="preserve"> alone being specified in the item descriptor if MSAC considered this appropriate.</w:t>
      </w:r>
      <w:r w:rsidRPr="00490E27">
        <w:rPr>
          <w:rFonts w:ascii="Franklin Gothic Book" w:eastAsia="Calibri" w:hAnsi="Franklin Gothic Book" w:cs="Times New Roman"/>
          <w:iCs/>
        </w:rPr>
        <w:t xml:space="preserve"> </w:t>
      </w:r>
      <w:r>
        <w:rPr>
          <w:rFonts w:ascii="Franklin Gothic Book" w:eastAsia="Calibri" w:hAnsi="Franklin Gothic Book" w:cs="Times New Roman"/>
          <w:iCs/>
        </w:rPr>
        <w:t>ESC</w:t>
      </w:r>
      <w:r w:rsidRPr="00490E27">
        <w:rPr>
          <w:rFonts w:ascii="Franklin Gothic Book" w:eastAsia="Calibri" w:hAnsi="Franklin Gothic Book" w:cs="Times New Roman"/>
          <w:iCs/>
        </w:rPr>
        <w:t xml:space="preserve"> considered </w:t>
      </w:r>
      <w:r>
        <w:rPr>
          <w:rFonts w:ascii="Franklin Gothic Book" w:eastAsia="Calibri" w:hAnsi="Franklin Gothic Book" w:cs="Times New Roman"/>
          <w:iCs/>
        </w:rPr>
        <w:t>an item descriptor that permitted GEP tests beyond EndoPredict</w:t>
      </w:r>
      <w:r w:rsidR="005F1260" w:rsidRPr="005F1260">
        <w:rPr>
          <w:rFonts w:ascii="Franklin Gothic Book" w:eastAsia="SimSun" w:hAnsi="Franklin Gothic Book" w:cs="Times New Roman"/>
          <w:color w:val="000000"/>
          <w:vertAlign w:val="superscript"/>
        </w:rPr>
        <w:t>®</w:t>
      </w:r>
      <w:r w:rsidRPr="00490E27">
        <w:rPr>
          <w:rFonts w:ascii="Franklin Gothic Book" w:eastAsia="Calibri" w:hAnsi="Franklin Gothic Book" w:cs="Times New Roman"/>
          <w:iCs/>
        </w:rPr>
        <w:t xml:space="preserve"> </w:t>
      </w:r>
      <w:r>
        <w:rPr>
          <w:rFonts w:ascii="Franklin Gothic Book" w:eastAsia="Calibri" w:hAnsi="Franklin Gothic Book" w:cs="Times New Roman"/>
          <w:iCs/>
        </w:rPr>
        <w:t>may be</w:t>
      </w:r>
      <w:r w:rsidRPr="00490E27">
        <w:rPr>
          <w:rFonts w:ascii="Franklin Gothic Book" w:eastAsia="Calibri" w:hAnsi="Franklin Gothic Book" w:cs="Times New Roman"/>
          <w:iCs/>
        </w:rPr>
        <w:t xml:space="preserve"> inappropriate, as </w:t>
      </w:r>
      <w:r>
        <w:rPr>
          <w:rFonts w:ascii="Franklin Gothic Book" w:eastAsia="Calibri" w:hAnsi="Franklin Gothic Book" w:cs="Times New Roman"/>
          <w:iCs/>
        </w:rPr>
        <w:t xml:space="preserve">the evidence being considered for </w:t>
      </w:r>
      <w:r w:rsidRPr="00490E27">
        <w:rPr>
          <w:rFonts w:ascii="Franklin Gothic Book" w:eastAsia="Calibri" w:hAnsi="Franklin Gothic Book" w:cs="Times New Roman"/>
          <w:iCs/>
        </w:rPr>
        <w:t xml:space="preserve">this </w:t>
      </w:r>
      <w:r>
        <w:rPr>
          <w:rFonts w:ascii="Franklin Gothic Book" w:eastAsia="Calibri" w:hAnsi="Franklin Gothic Book" w:cs="Times New Roman"/>
          <w:iCs/>
        </w:rPr>
        <w:t>re-</w:t>
      </w:r>
      <w:r w:rsidRPr="00490E27">
        <w:rPr>
          <w:rFonts w:ascii="Franklin Gothic Book" w:eastAsia="Calibri" w:hAnsi="Franklin Gothic Book" w:cs="Times New Roman"/>
          <w:iCs/>
        </w:rPr>
        <w:t xml:space="preserve">application </w:t>
      </w:r>
      <w:r>
        <w:rPr>
          <w:rFonts w:ascii="Franklin Gothic Book" w:eastAsia="Calibri" w:hAnsi="Franklin Gothic Book" w:cs="Times New Roman"/>
          <w:iCs/>
        </w:rPr>
        <w:t>relates</w:t>
      </w:r>
      <w:r w:rsidRPr="00490E27">
        <w:rPr>
          <w:rFonts w:ascii="Franklin Gothic Book" w:eastAsia="Calibri" w:hAnsi="Franklin Gothic Book" w:cs="Times New Roman"/>
          <w:iCs/>
        </w:rPr>
        <w:t xml:space="preserve"> only </w:t>
      </w:r>
      <w:r>
        <w:rPr>
          <w:rFonts w:ascii="Franklin Gothic Book" w:eastAsia="Calibri" w:hAnsi="Franklin Gothic Book" w:cs="Times New Roman"/>
          <w:iCs/>
        </w:rPr>
        <w:t xml:space="preserve">to </w:t>
      </w:r>
      <w:r w:rsidRPr="00490E27">
        <w:rPr>
          <w:rFonts w:ascii="Franklin Gothic Book" w:eastAsia="Calibri" w:hAnsi="Franklin Gothic Book" w:cs="Times New Roman"/>
          <w:iCs/>
        </w:rPr>
        <w:t>EndoPredict</w:t>
      </w:r>
      <w:r w:rsidR="005F1260" w:rsidRPr="005F1260">
        <w:rPr>
          <w:rFonts w:ascii="Franklin Gothic Book" w:eastAsia="SimSun" w:hAnsi="Franklin Gothic Book" w:cs="Times New Roman"/>
          <w:color w:val="000000"/>
          <w:vertAlign w:val="superscript"/>
        </w:rPr>
        <w:t>®</w:t>
      </w:r>
      <w:r>
        <w:rPr>
          <w:rFonts w:ascii="Franklin Gothic Book" w:eastAsia="SimSun" w:hAnsi="Franklin Gothic Book" w:cs="Times New Roman"/>
          <w:color w:val="000000"/>
        </w:rPr>
        <w:t>. ESC further considered it may not be feasible to extend the proposed fee structure simultaneously to include other GEP tests</w:t>
      </w:r>
      <w:r w:rsidRPr="00490E27">
        <w:rPr>
          <w:rFonts w:ascii="Franklin Gothic Book" w:eastAsia="Calibri" w:hAnsi="Franklin Gothic Book" w:cs="Times New Roman"/>
          <w:iCs/>
        </w:rPr>
        <w:t>.</w:t>
      </w:r>
    </w:p>
    <w:p w14:paraId="23A83027" w14:textId="77777777" w:rsidR="006A153F" w:rsidRPr="00490E27" w:rsidRDefault="006A153F" w:rsidP="006A153F">
      <w:pPr>
        <w:spacing w:before="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t>ESC noted the Department’s suggestion to require multidisciplinary team (MDT) determination that GEP</w:t>
      </w:r>
      <w:r>
        <w:rPr>
          <w:rFonts w:ascii="Franklin Gothic Book" w:eastAsia="Calibri" w:hAnsi="Franklin Gothic Book" w:cs="Times New Roman"/>
          <w:iCs/>
        </w:rPr>
        <w:t xml:space="preserve"> test</w:t>
      </w:r>
      <w:r w:rsidRPr="00490E27">
        <w:rPr>
          <w:rFonts w:ascii="Franklin Gothic Book" w:eastAsia="Calibri" w:hAnsi="Franklin Gothic Book" w:cs="Times New Roman"/>
          <w:iCs/>
        </w:rPr>
        <w:t xml:space="preserve"> is required. </w:t>
      </w:r>
      <w:r>
        <w:rPr>
          <w:rFonts w:ascii="Franklin Gothic Book" w:eastAsia="SimSun" w:hAnsi="Franklin Gothic Book" w:cs="Times New Roman"/>
          <w:color w:val="000000"/>
        </w:rPr>
        <w:t xml:space="preserve">ESC considered that requiring an MDT determination may better define the patient population, and that this would align with both current clinical practice and cohort 2 from the PROSPER study, which ESC noted the commentary considered to be more </w:t>
      </w:r>
      <w:proofErr w:type="gramStart"/>
      <w:r>
        <w:rPr>
          <w:rFonts w:ascii="Franklin Gothic Book" w:eastAsia="SimSun" w:hAnsi="Franklin Gothic Book" w:cs="Times New Roman"/>
          <w:color w:val="000000"/>
        </w:rPr>
        <w:t>similar to</w:t>
      </w:r>
      <w:proofErr w:type="gramEnd"/>
      <w:r>
        <w:rPr>
          <w:rFonts w:ascii="Franklin Gothic Book" w:eastAsia="SimSun" w:hAnsi="Franklin Gothic Book" w:cs="Times New Roman"/>
          <w:color w:val="000000"/>
        </w:rPr>
        <w:t xml:space="preserve"> the intermediate risk population proposed for testing. </w:t>
      </w:r>
      <w:r w:rsidRPr="00490E27">
        <w:rPr>
          <w:rFonts w:ascii="Franklin Gothic Book" w:eastAsia="Calibri" w:hAnsi="Franklin Gothic Book" w:cs="Times New Roman"/>
          <w:iCs/>
        </w:rPr>
        <w:t xml:space="preserve">However, ESC </w:t>
      </w:r>
      <w:r>
        <w:rPr>
          <w:rFonts w:ascii="Franklin Gothic Book" w:eastAsia="Calibri" w:hAnsi="Franklin Gothic Book" w:cs="Times New Roman"/>
          <w:iCs/>
        </w:rPr>
        <w:t>considered</w:t>
      </w:r>
      <w:r w:rsidRPr="00490E27">
        <w:rPr>
          <w:rFonts w:ascii="Franklin Gothic Book" w:eastAsia="Calibri" w:hAnsi="Franklin Gothic Book" w:cs="Times New Roman"/>
          <w:iCs/>
        </w:rPr>
        <w:t xml:space="preserve"> that some MDTs comprise only 2–3 clinicians</w:t>
      </w:r>
      <w:r>
        <w:rPr>
          <w:rFonts w:ascii="Franklin Gothic Book" w:eastAsia="Calibri" w:hAnsi="Franklin Gothic Book" w:cs="Times New Roman"/>
          <w:iCs/>
        </w:rPr>
        <w:t xml:space="preserve"> so does not necessarily represent a consensus</w:t>
      </w:r>
      <w:r w:rsidRPr="00490E27">
        <w:rPr>
          <w:rFonts w:ascii="Franklin Gothic Book" w:eastAsia="Calibri" w:hAnsi="Franklin Gothic Book" w:cs="Times New Roman"/>
          <w:iCs/>
        </w:rPr>
        <w:t xml:space="preserve">, </w:t>
      </w:r>
      <w:r>
        <w:rPr>
          <w:rFonts w:ascii="Franklin Gothic Book" w:eastAsia="Calibri" w:hAnsi="Franklin Gothic Book" w:cs="Times New Roman"/>
          <w:iCs/>
        </w:rPr>
        <w:t>the MDT decision may often be driven by the oncologist anyway,</w:t>
      </w:r>
      <w:r w:rsidRPr="00490E27">
        <w:rPr>
          <w:rFonts w:ascii="Franklin Gothic Book" w:eastAsia="Calibri" w:hAnsi="Franklin Gothic Book" w:cs="Times New Roman"/>
          <w:iCs/>
        </w:rPr>
        <w:t xml:space="preserve"> and it is more important for the treating oncologist and the patient to make the </w:t>
      </w:r>
      <w:r>
        <w:rPr>
          <w:rFonts w:ascii="Franklin Gothic Book" w:eastAsia="Calibri" w:hAnsi="Franklin Gothic Book" w:cs="Times New Roman"/>
          <w:iCs/>
        </w:rPr>
        <w:t xml:space="preserve">treatment </w:t>
      </w:r>
      <w:r w:rsidRPr="00490E27">
        <w:rPr>
          <w:rFonts w:ascii="Franklin Gothic Book" w:eastAsia="Calibri" w:hAnsi="Franklin Gothic Book" w:cs="Times New Roman"/>
          <w:iCs/>
        </w:rPr>
        <w:t>decision together. On the other hand, ESC noted that the PROSPER study showed a clear</w:t>
      </w:r>
      <w:r>
        <w:rPr>
          <w:rFonts w:ascii="Franklin Gothic Book" w:eastAsia="Calibri" w:hAnsi="Franklin Gothic Book" w:cs="Times New Roman"/>
          <w:iCs/>
        </w:rPr>
        <w:t>ly</w:t>
      </w:r>
      <w:r w:rsidRPr="00490E27">
        <w:rPr>
          <w:rFonts w:ascii="Franklin Gothic Book" w:eastAsia="Calibri" w:hAnsi="Franklin Gothic Book" w:cs="Times New Roman"/>
          <w:iCs/>
        </w:rPr>
        <w:t xml:space="preserve"> higher proportion of management decisions changed for cohort 2</w:t>
      </w:r>
      <w:r>
        <w:rPr>
          <w:rFonts w:ascii="Franklin Gothic Book" w:eastAsia="Calibri" w:hAnsi="Franklin Gothic Book" w:cs="Times New Roman"/>
          <w:iCs/>
        </w:rPr>
        <w:t xml:space="preserve"> than cohort 1</w:t>
      </w:r>
      <w:r w:rsidRPr="00490E27">
        <w:rPr>
          <w:rFonts w:ascii="Franklin Gothic Book" w:eastAsia="Calibri" w:hAnsi="Franklin Gothic Book" w:cs="Times New Roman"/>
          <w:iCs/>
        </w:rPr>
        <w:t xml:space="preserve">. Therefore, ESC was uncertain about the value of </w:t>
      </w:r>
      <w:r>
        <w:rPr>
          <w:rFonts w:ascii="Franklin Gothic Book" w:eastAsia="Calibri" w:hAnsi="Franklin Gothic Book" w:cs="Times New Roman"/>
          <w:iCs/>
        </w:rPr>
        <w:t xml:space="preserve">requiring an </w:t>
      </w:r>
      <w:r w:rsidRPr="00490E27">
        <w:rPr>
          <w:rFonts w:ascii="Franklin Gothic Book" w:eastAsia="Calibri" w:hAnsi="Franklin Gothic Book" w:cs="Times New Roman"/>
          <w:iCs/>
        </w:rPr>
        <w:t>MDT determina</w:t>
      </w:r>
      <w:r>
        <w:rPr>
          <w:rFonts w:ascii="Franklin Gothic Book" w:eastAsia="Calibri" w:hAnsi="Franklin Gothic Book" w:cs="Times New Roman"/>
          <w:iCs/>
        </w:rPr>
        <w:t>tion</w:t>
      </w:r>
      <w:r w:rsidRPr="00490E27">
        <w:rPr>
          <w:rFonts w:ascii="Franklin Gothic Book" w:eastAsia="Calibri" w:hAnsi="Franklin Gothic Book" w:cs="Times New Roman"/>
          <w:iCs/>
        </w:rPr>
        <w:t>.</w:t>
      </w:r>
    </w:p>
    <w:p w14:paraId="064C0790" w14:textId="77777777" w:rsidR="006A153F" w:rsidRPr="00490E27" w:rsidRDefault="006A153F" w:rsidP="006A153F">
      <w:pPr>
        <w:spacing w:before="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t>ESC considered it inappropriate for the test to be pathologist</w:t>
      </w:r>
      <w:r>
        <w:rPr>
          <w:rFonts w:ascii="Franklin Gothic Book" w:eastAsia="Calibri" w:hAnsi="Franklin Gothic Book" w:cs="Times New Roman"/>
          <w:iCs/>
        </w:rPr>
        <w:t>-</w:t>
      </w:r>
      <w:r w:rsidRPr="00490E27">
        <w:rPr>
          <w:rFonts w:ascii="Franklin Gothic Book" w:eastAsia="Calibri" w:hAnsi="Franklin Gothic Book" w:cs="Times New Roman"/>
          <w:iCs/>
        </w:rPr>
        <w:t xml:space="preserve">determinable, as </w:t>
      </w:r>
      <w:r>
        <w:rPr>
          <w:rFonts w:ascii="Franklin Gothic Book" w:eastAsia="SimSun" w:hAnsi="Franklin Gothic Book" w:cs="Times New Roman"/>
          <w:color w:val="000000"/>
        </w:rPr>
        <w:t>patients may not opt for chemotherapy for non-clinical reasons, and</w:t>
      </w:r>
      <w:r w:rsidRPr="00BF49B9">
        <w:rPr>
          <w:rFonts w:ascii="Franklin Gothic Book" w:eastAsia="SimSun" w:hAnsi="Franklin Gothic Book" w:cs="Times New Roman"/>
          <w:color w:val="000000"/>
        </w:rPr>
        <w:t xml:space="preserve"> </w:t>
      </w:r>
      <w:r>
        <w:rPr>
          <w:rFonts w:ascii="Franklin Gothic Book" w:eastAsia="SimSun" w:hAnsi="Franklin Gothic Book" w:cs="Times New Roman"/>
          <w:color w:val="000000"/>
        </w:rPr>
        <w:t>it was unclear what the trigger item would be for the pathologist.</w:t>
      </w:r>
    </w:p>
    <w:p w14:paraId="2DCAC60D" w14:textId="77777777" w:rsidR="006A153F" w:rsidRPr="00490E27" w:rsidRDefault="006A153F" w:rsidP="006A153F">
      <w:pPr>
        <w:spacing w:before="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t xml:space="preserve">ESC </w:t>
      </w:r>
      <w:r>
        <w:rPr>
          <w:rFonts w:ascii="Franklin Gothic Book" w:eastAsia="Calibri" w:hAnsi="Franklin Gothic Book" w:cs="Times New Roman"/>
          <w:iCs/>
        </w:rPr>
        <w:t>considered</w:t>
      </w:r>
      <w:r w:rsidRPr="00490E27">
        <w:rPr>
          <w:rFonts w:ascii="Franklin Gothic Book" w:eastAsia="Calibri" w:hAnsi="Franklin Gothic Book" w:cs="Times New Roman"/>
          <w:iCs/>
        </w:rPr>
        <w:t xml:space="preserve"> the MBS </w:t>
      </w:r>
      <w:r>
        <w:rPr>
          <w:rFonts w:ascii="Franklin Gothic Book" w:eastAsia="Calibri" w:hAnsi="Franklin Gothic Book" w:cs="Times New Roman"/>
          <w:iCs/>
        </w:rPr>
        <w:t xml:space="preserve">item </w:t>
      </w:r>
      <w:r w:rsidRPr="00490E27">
        <w:rPr>
          <w:rFonts w:ascii="Franklin Gothic Book" w:eastAsia="Calibri" w:hAnsi="Franklin Gothic Book" w:cs="Times New Roman"/>
          <w:iCs/>
        </w:rPr>
        <w:t>descriptor</w:t>
      </w:r>
      <w:r>
        <w:rPr>
          <w:rFonts w:ascii="Franklin Gothic Book" w:eastAsia="Calibri" w:hAnsi="Franklin Gothic Book" w:cs="Times New Roman"/>
          <w:iCs/>
        </w:rPr>
        <w:t xml:space="preserve">’s frequency restriction </w:t>
      </w:r>
      <w:r w:rsidRPr="00490E27">
        <w:rPr>
          <w:rFonts w:ascii="Franklin Gothic Book" w:eastAsia="Calibri" w:hAnsi="Franklin Gothic Book" w:cs="Times New Roman"/>
          <w:iCs/>
        </w:rPr>
        <w:t xml:space="preserve">“once per </w:t>
      </w:r>
      <w:r>
        <w:rPr>
          <w:rFonts w:ascii="Franklin Gothic Book" w:eastAsia="Calibri" w:hAnsi="Franklin Gothic Book" w:cs="Times New Roman"/>
          <w:iCs/>
        </w:rPr>
        <w:t xml:space="preserve">new primary </w:t>
      </w:r>
      <w:r w:rsidRPr="00490E27">
        <w:rPr>
          <w:rFonts w:ascii="Franklin Gothic Book" w:eastAsia="Calibri" w:hAnsi="Franklin Gothic Book" w:cs="Times New Roman"/>
          <w:iCs/>
        </w:rPr>
        <w:t>breast cancer diagnosis”</w:t>
      </w:r>
      <w:r>
        <w:rPr>
          <w:rFonts w:ascii="Franklin Gothic Book" w:eastAsia="Calibri" w:hAnsi="Franklin Gothic Book" w:cs="Times New Roman"/>
          <w:iCs/>
        </w:rPr>
        <w:t xml:space="preserve"> to be appropriate</w:t>
      </w:r>
      <w:r w:rsidRPr="00490E27">
        <w:rPr>
          <w:rFonts w:ascii="Franklin Gothic Book" w:eastAsia="Calibri" w:hAnsi="Franklin Gothic Book" w:cs="Times New Roman"/>
          <w:iCs/>
        </w:rPr>
        <w:t xml:space="preserve">, as </w:t>
      </w:r>
      <w:r>
        <w:rPr>
          <w:rFonts w:ascii="Franklin Gothic Book" w:eastAsia="Calibri" w:hAnsi="Franklin Gothic Book" w:cs="Times New Roman"/>
          <w:iCs/>
        </w:rPr>
        <w:t>a subsequent contralateral breast cancer diagnosis may have a different risk profile</w:t>
      </w:r>
      <w:r w:rsidRPr="00490E27">
        <w:rPr>
          <w:rFonts w:ascii="Franklin Gothic Book" w:eastAsia="Calibri" w:hAnsi="Franklin Gothic Book" w:cs="Times New Roman"/>
          <w:iCs/>
        </w:rPr>
        <w:t>.</w:t>
      </w:r>
      <w:r>
        <w:rPr>
          <w:rFonts w:ascii="Franklin Gothic Book" w:eastAsia="Calibri" w:hAnsi="Franklin Gothic Book" w:cs="Times New Roman"/>
          <w:iCs/>
        </w:rPr>
        <w:t xml:space="preserve"> ESC considered that this restriction would also assist in appropriately preventing patients from undertaking multiple GEP tests per diagnosis.</w:t>
      </w:r>
    </w:p>
    <w:p w14:paraId="571CB70A" w14:textId="0FBE52CA" w:rsidR="006A153F" w:rsidRPr="00490E27" w:rsidRDefault="006A153F" w:rsidP="006A153F">
      <w:pPr>
        <w:spacing w:before="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t>ESC noted that EndoPredict</w:t>
      </w:r>
      <w:r w:rsidR="005F1260" w:rsidRPr="005F1260">
        <w:rPr>
          <w:rFonts w:ascii="Franklin Gothic Book" w:eastAsia="SimSun" w:hAnsi="Franklin Gothic Book" w:cs="Times New Roman"/>
          <w:color w:val="000000"/>
          <w:vertAlign w:val="superscript"/>
        </w:rPr>
        <w:t>®</w:t>
      </w:r>
      <w:r w:rsidRPr="00490E27">
        <w:rPr>
          <w:rFonts w:ascii="Franklin Gothic Book" w:eastAsia="Calibri" w:hAnsi="Franklin Gothic Book" w:cs="Times New Roman"/>
          <w:iCs/>
        </w:rPr>
        <w:t xml:space="preserve"> is aimed at patients with “intermediate risk”, and that different research groups have defined this differently. Therefore, ESC considered </w:t>
      </w:r>
      <w:r>
        <w:rPr>
          <w:rFonts w:ascii="Franklin Gothic Book" w:eastAsia="Calibri" w:hAnsi="Franklin Gothic Book" w:cs="Times New Roman"/>
          <w:iCs/>
        </w:rPr>
        <w:t>that</w:t>
      </w:r>
      <w:r w:rsidRPr="00490E27">
        <w:rPr>
          <w:rFonts w:ascii="Franklin Gothic Book" w:eastAsia="Calibri" w:hAnsi="Franklin Gothic Book" w:cs="Times New Roman"/>
          <w:iCs/>
        </w:rPr>
        <w:t xml:space="preserve"> </w:t>
      </w:r>
      <w:r>
        <w:rPr>
          <w:rFonts w:ascii="Franklin Gothic Book" w:eastAsia="Calibri" w:hAnsi="Franklin Gothic Book" w:cs="Times New Roman"/>
          <w:iCs/>
        </w:rPr>
        <w:t>the population could be better defined by adding</w:t>
      </w:r>
      <w:r w:rsidRPr="00490E27">
        <w:rPr>
          <w:rFonts w:ascii="Franklin Gothic Book" w:eastAsia="Calibri" w:hAnsi="Franklin Gothic Book" w:cs="Times New Roman"/>
          <w:iCs/>
        </w:rPr>
        <w:t xml:space="preserve"> tumour size upper and lower limits (1–5 cm</w:t>
      </w:r>
      <w:r>
        <w:rPr>
          <w:rFonts w:ascii="Franklin Gothic Book" w:eastAsia="Calibri" w:hAnsi="Franklin Gothic Book" w:cs="Times New Roman"/>
          <w:iCs/>
        </w:rPr>
        <w:t>, based on the PROSPER study</w:t>
      </w:r>
      <w:r w:rsidRPr="00490E27">
        <w:rPr>
          <w:rFonts w:ascii="Franklin Gothic Book" w:eastAsia="Calibri" w:hAnsi="Franklin Gothic Book" w:cs="Times New Roman"/>
          <w:iCs/>
        </w:rPr>
        <w:t xml:space="preserve">) </w:t>
      </w:r>
      <w:r>
        <w:rPr>
          <w:rFonts w:ascii="Franklin Gothic Book" w:eastAsia="Calibri" w:hAnsi="Franklin Gothic Book" w:cs="Times New Roman"/>
          <w:iCs/>
        </w:rPr>
        <w:t>as a mandatory criterion</w:t>
      </w:r>
      <w:r w:rsidRPr="00B25526">
        <w:rPr>
          <w:rFonts w:ascii="Franklin Gothic Book" w:eastAsia="Calibri" w:hAnsi="Franklin Gothic Book" w:cs="Times New Roman"/>
          <w:iCs/>
        </w:rPr>
        <w:t xml:space="preserve"> </w:t>
      </w:r>
      <w:r w:rsidRPr="00490E27">
        <w:rPr>
          <w:rFonts w:ascii="Franklin Gothic Book" w:eastAsia="Calibri" w:hAnsi="Franklin Gothic Book" w:cs="Times New Roman"/>
          <w:iCs/>
        </w:rPr>
        <w:t>in the MBS descriptor</w:t>
      </w:r>
      <w:r>
        <w:rPr>
          <w:rFonts w:ascii="Franklin Gothic Book" w:eastAsia="Calibri" w:hAnsi="Franklin Gothic Book" w:cs="Times New Roman"/>
          <w:iCs/>
        </w:rPr>
        <w:t xml:space="preserve">, specifying axillary </w:t>
      </w:r>
      <w:r w:rsidRPr="00490E27">
        <w:rPr>
          <w:rFonts w:ascii="Franklin Gothic Book" w:eastAsia="Calibri" w:hAnsi="Franklin Gothic Book" w:cs="Times New Roman"/>
          <w:iCs/>
        </w:rPr>
        <w:t>nod</w:t>
      </w:r>
      <w:r>
        <w:rPr>
          <w:rFonts w:ascii="Franklin Gothic Book" w:eastAsia="Calibri" w:hAnsi="Franklin Gothic Book" w:cs="Times New Roman"/>
          <w:iCs/>
        </w:rPr>
        <w:t xml:space="preserve">es, and requiring </w:t>
      </w:r>
      <w:r w:rsidRPr="00490E27">
        <w:rPr>
          <w:rFonts w:ascii="Franklin Gothic Book" w:eastAsia="Calibri" w:hAnsi="Franklin Gothic Book" w:cs="Times New Roman"/>
          <w:iCs/>
        </w:rPr>
        <w:t>no evidence of distal metastasis.</w:t>
      </w:r>
    </w:p>
    <w:p w14:paraId="03A6DE11" w14:textId="77777777" w:rsidR="006A153F" w:rsidRPr="00490E27" w:rsidRDefault="006A153F" w:rsidP="006A153F">
      <w:pPr>
        <w:spacing w:before="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t>ESC considered that including the criteri</w:t>
      </w:r>
      <w:r>
        <w:rPr>
          <w:rFonts w:ascii="Franklin Gothic Book" w:eastAsia="Calibri" w:hAnsi="Franklin Gothic Book" w:cs="Times New Roman"/>
          <w:iCs/>
        </w:rPr>
        <w:t>on</w:t>
      </w:r>
      <w:r w:rsidRPr="00490E27">
        <w:rPr>
          <w:rFonts w:ascii="Franklin Gothic Book" w:eastAsia="Calibri" w:hAnsi="Franklin Gothic Book" w:cs="Times New Roman"/>
          <w:iCs/>
        </w:rPr>
        <w:t xml:space="preserve"> </w:t>
      </w:r>
      <w:r>
        <w:rPr>
          <w:rFonts w:ascii="Franklin Gothic Book" w:eastAsia="Calibri" w:hAnsi="Franklin Gothic Book" w:cs="Times New Roman"/>
          <w:iCs/>
        </w:rPr>
        <w:t>distinguishing</w:t>
      </w:r>
      <w:r w:rsidRPr="00490E27">
        <w:rPr>
          <w:rFonts w:ascii="Franklin Gothic Book" w:eastAsia="Calibri" w:hAnsi="Franklin Gothic Book" w:cs="Times New Roman"/>
          <w:iCs/>
        </w:rPr>
        <w:t xml:space="preserve"> neoadjuvant and adjuvant therapy in the MBS descriptor was not necessary.</w:t>
      </w:r>
      <w:r>
        <w:rPr>
          <w:rFonts w:ascii="Franklin Gothic Book" w:eastAsia="Calibri" w:hAnsi="Franklin Gothic Book" w:cs="Times New Roman"/>
          <w:iCs/>
        </w:rPr>
        <w:t xml:space="preserve"> A revised item descriptor incorporating ESC’s advice is provided below.</w:t>
      </w:r>
    </w:p>
    <w:p w14:paraId="54A1D26A" w14:textId="11C5B2EB" w:rsidR="0073546A" w:rsidRDefault="0073546A" w:rsidP="0073546A">
      <w:pPr>
        <w:pStyle w:val="Caption"/>
      </w:pPr>
      <w:r>
        <w:lastRenderedPageBreak/>
        <w:t xml:space="preserve">Table </w:t>
      </w:r>
      <w:fldSimple w:instr=" SEQ Table \* ARABIC ">
        <w:r w:rsidR="00943826">
          <w:rPr>
            <w:noProof/>
          </w:rPr>
          <w:t>21</w:t>
        </w:r>
      </w:fldSimple>
      <w:r>
        <w:tab/>
      </w:r>
      <w:r>
        <w:rPr>
          <w:rFonts w:cs="Arial"/>
        </w:rPr>
        <w:t>ESC’s revised</w:t>
      </w:r>
      <w:r w:rsidRPr="00CE28E3">
        <w:rPr>
          <w:rFonts w:cs="Arial"/>
        </w:rPr>
        <w:t xml:space="preserve"> MBS item</w:t>
      </w:r>
      <w:r>
        <w:rPr>
          <w:rFonts w:cs="Arial"/>
        </w:rPr>
        <w:t xml:space="preserve"> descriptor</w:t>
      </w:r>
    </w:p>
    <w:tbl>
      <w:tblPr>
        <w:tblStyle w:val="TableGrid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9016"/>
      </w:tblGrid>
      <w:tr w:rsidR="006A153F" w14:paraId="7821C283" w14:textId="77777777" w:rsidTr="005F1260">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652AA6E1" w14:textId="77777777" w:rsidR="006A153F" w:rsidRDefault="006A153F" w:rsidP="005F1260">
            <w:pPr>
              <w:pStyle w:val="TableText0"/>
            </w:pPr>
            <w:r>
              <w:t>MBS XXX</w:t>
            </w:r>
          </w:p>
          <w:p w14:paraId="305103EB" w14:textId="77777777" w:rsidR="006A153F" w:rsidRPr="006E2EF3" w:rsidRDefault="006A153F" w:rsidP="005F1260">
            <w:pPr>
              <w:pStyle w:val="TableText0"/>
              <w:rPr>
                <w:bCs/>
              </w:rPr>
            </w:pPr>
            <w:r w:rsidRPr="00917249">
              <w:rPr>
                <w:bCs/>
              </w:rPr>
              <w:t>Clinically validated gene expression profiling test that algorithmically combines tumour size, lymph node status</w:t>
            </w:r>
            <w:r w:rsidRPr="00E657BE">
              <w:rPr>
                <w:bCs/>
              </w:rPr>
              <w:t xml:space="preserve"> </w:t>
            </w:r>
            <w:r w:rsidRPr="00917249">
              <w:rPr>
                <w:bCs/>
              </w:rPr>
              <w:t>with tumour gene expression</w:t>
            </w:r>
            <w:r w:rsidRPr="00E657BE">
              <w:rPr>
                <w:bCs/>
              </w:rPr>
              <w:t xml:space="preserve"> of FFPE from core needle biopsy or surgical tumour sample in primary breast cancer tissue to predict ≥</w:t>
            </w:r>
            <w:proofErr w:type="gramStart"/>
            <w:r w:rsidRPr="00E657BE">
              <w:rPr>
                <w:bCs/>
              </w:rPr>
              <w:t>10 year</w:t>
            </w:r>
            <w:proofErr w:type="gramEnd"/>
            <w:r w:rsidRPr="00E657BE">
              <w:rPr>
                <w:bCs/>
              </w:rPr>
              <w:t xml:space="preserve"> prognosis.</w:t>
            </w:r>
          </w:p>
          <w:p w14:paraId="2F1023B7" w14:textId="77777777" w:rsidR="006A153F" w:rsidRPr="009111BE" w:rsidRDefault="006A153F" w:rsidP="005F1260">
            <w:pPr>
              <w:pStyle w:val="TableText0"/>
              <w:rPr>
                <w:bCs/>
              </w:rPr>
            </w:pPr>
            <w:r w:rsidRPr="006E2EF3">
              <w:rPr>
                <w:bCs/>
              </w:rPr>
              <w:t xml:space="preserve">The test may </w:t>
            </w:r>
            <w:r w:rsidRPr="009111BE">
              <w:rPr>
                <w:bCs/>
              </w:rPr>
              <w:t>be used when all the following criteria are met:</w:t>
            </w:r>
          </w:p>
          <w:p w14:paraId="1936F90D" w14:textId="77777777" w:rsidR="006A153F" w:rsidRPr="009111BE" w:rsidRDefault="006A153F" w:rsidP="005F1260">
            <w:pPr>
              <w:pStyle w:val="TableText0"/>
              <w:rPr>
                <w:bCs/>
              </w:rPr>
            </w:pPr>
            <w:r w:rsidRPr="009111BE">
              <w:rPr>
                <w:bCs/>
              </w:rPr>
              <w:t>(a) New primary breast cancer, suitable for adjuvant chemotherapy</w:t>
            </w:r>
            <w:r w:rsidRPr="00917249">
              <w:rPr>
                <w:bCs/>
                <w:strike/>
              </w:rPr>
              <w:t>, and not requiring neoadjuvant chemotherapy</w:t>
            </w:r>
            <w:r w:rsidRPr="009111BE">
              <w:rPr>
                <w:bCs/>
              </w:rPr>
              <w:t>.</w:t>
            </w:r>
          </w:p>
          <w:p w14:paraId="6CFD2BD4" w14:textId="77777777" w:rsidR="006A153F" w:rsidRPr="00BC708C" w:rsidRDefault="006A153F" w:rsidP="005F1260">
            <w:pPr>
              <w:pStyle w:val="TableText0"/>
              <w:rPr>
                <w:bCs/>
              </w:rPr>
            </w:pPr>
            <w:r w:rsidRPr="00BC708C">
              <w:rPr>
                <w:bCs/>
              </w:rPr>
              <w:t>(b) Oestrogen receptor positive and HER2 negative as determined by IHC and ISH respectively on surgically removed tumour.</w:t>
            </w:r>
          </w:p>
          <w:p w14:paraId="4787687D" w14:textId="77777777" w:rsidR="006A153F" w:rsidRDefault="006A153F" w:rsidP="005F1260">
            <w:pPr>
              <w:pStyle w:val="TableText0"/>
              <w:rPr>
                <w:bCs/>
              </w:rPr>
            </w:pPr>
            <w:r w:rsidRPr="00BC708C">
              <w:rPr>
                <w:bCs/>
              </w:rPr>
              <w:t xml:space="preserve">(c) </w:t>
            </w:r>
            <w:r w:rsidRPr="007C0620">
              <w:rPr>
                <w:bCs/>
                <w:i/>
                <w:iCs/>
              </w:rPr>
              <w:t>Axillary</w:t>
            </w:r>
            <w:r w:rsidRPr="00917249">
              <w:rPr>
                <w:bCs/>
                <w:color w:val="00B050"/>
              </w:rPr>
              <w:t xml:space="preserve"> </w:t>
            </w:r>
            <w:r>
              <w:rPr>
                <w:bCs/>
              </w:rPr>
              <w:t>n</w:t>
            </w:r>
            <w:r w:rsidRPr="00E657BE">
              <w:rPr>
                <w:bCs/>
              </w:rPr>
              <w:t xml:space="preserve">ode negative or positive (up to 3 nodes) and tumour size </w:t>
            </w:r>
            <w:r w:rsidRPr="0053037D">
              <w:rPr>
                <w:bCs/>
                <w:i/>
                <w:iCs/>
              </w:rPr>
              <w:t>1-5 cm</w:t>
            </w:r>
            <w:r>
              <w:rPr>
                <w:bCs/>
              </w:rPr>
              <w:t xml:space="preserve"> </w:t>
            </w:r>
            <w:r w:rsidRPr="00E657BE">
              <w:rPr>
                <w:bCs/>
              </w:rPr>
              <w:t>determined by histopathology on surgically removed tumour.</w:t>
            </w:r>
          </w:p>
          <w:p w14:paraId="30C062A5" w14:textId="77777777" w:rsidR="006A153F" w:rsidRPr="007C0620" w:rsidRDefault="006A153F" w:rsidP="005F1260">
            <w:pPr>
              <w:pStyle w:val="TableText0"/>
              <w:rPr>
                <w:bCs/>
                <w:i/>
                <w:iCs/>
              </w:rPr>
            </w:pPr>
            <w:r w:rsidRPr="007C0620">
              <w:rPr>
                <w:bCs/>
                <w:i/>
                <w:iCs/>
              </w:rPr>
              <w:t>(d) No evidence of distal metastasis</w:t>
            </w:r>
            <w:r>
              <w:rPr>
                <w:bCs/>
                <w:i/>
                <w:iCs/>
              </w:rPr>
              <w:t>.</w:t>
            </w:r>
          </w:p>
          <w:p w14:paraId="5F95289C" w14:textId="77777777" w:rsidR="006A153F" w:rsidRPr="006E2EF3" w:rsidRDefault="006A153F" w:rsidP="005F1260">
            <w:pPr>
              <w:pStyle w:val="TableText0"/>
              <w:rPr>
                <w:bCs/>
              </w:rPr>
            </w:pPr>
            <w:r w:rsidRPr="007C0620">
              <w:rPr>
                <w:bCs/>
                <w:i/>
                <w:iCs/>
              </w:rPr>
              <w:t>(e)</w:t>
            </w:r>
            <w:r w:rsidRPr="007C0620">
              <w:rPr>
                <w:bCs/>
              </w:rPr>
              <w:t xml:space="preserve"> </w:t>
            </w:r>
            <w:r w:rsidRPr="00E657BE">
              <w:rPr>
                <w:bCs/>
              </w:rPr>
              <w:t>Pre-test intermediate risk of distant metastases defined by at least one of the following char</w:t>
            </w:r>
            <w:r w:rsidRPr="006E2EF3">
              <w:rPr>
                <w:bCs/>
              </w:rPr>
              <w:t xml:space="preserve">acteristics: </w:t>
            </w:r>
            <w:r w:rsidRPr="00917249">
              <w:rPr>
                <w:bCs/>
                <w:strike/>
              </w:rPr>
              <w:t>tumour size ≥ 2 cm; or</w:t>
            </w:r>
            <w:r w:rsidRPr="00E657BE">
              <w:rPr>
                <w:bCs/>
              </w:rPr>
              <w:t xml:space="preserve"> Grade 2; or Grade 3; or one to three lymph nodes involved in metastatic disease (nodes include micrometastases but not isolated tumour</w:t>
            </w:r>
            <w:r w:rsidRPr="006E2EF3">
              <w:rPr>
                <w:bCs/>
              </w:rPr>
              <w:t xml:space="preserve"> cells).</w:t>
            </w:r>
          </w:p>
          <w:p w14:paraId="7843CC40" w14:textId="77777777" w:rsidR="006A153F" w:rsidRPr="006E2EF3" w:rsidRDefault="006A153F" w:rsidP="005F1260">
            <w:pPr>
              <w:pStyle w:val="TableText0"/>
              <w:rPr>
                <w:bCs/>
              </w:rPr>
            </w:pPr>
          </w:p>
          <w:p w14:paraId="5BFF9C73" w14:textId="77777777" w:rsidR="006A153F" w:rsidRDefault="006A153F" w:rsidP="005F1260">
            <w:pPr>
              <w:pStyle w:val="TableText0"/>
            </w:pPr>
            <w:r w:rsidRPr="00917249">
              <w:rPr>
                <w:bCs/>
                <w:strike/>
              </w:rPr>
              <w:t>Laboratory pathologist can determine if required as a reflex test when criteria are met.</w:t>
            </w:r>
            <w:r w:rsidRPr="007C0620">
              <w:rPr>
                <w:strike/>
              </w:rPr>
              <w:t xml:space="preserve"> </w:t>
            </w:r>
            <w:r>
              <w:t>The test may be used once per new primary breast cancer diagnosis.</w:t>
            </w:r>
          </w:p>
        </w:tc>
      </w:tr>
    </w:tbl>
    <w:p w14:paraId="42301A85" w14:textId="77777777" w:rsidR="006A153F" w:rsidRDefault="006A153F" w:rsidP="006A153F">
      <w:pPr>
        <w:pStyle w:val="Tablenotes0"/>
      </w:pPr>
      <w:r>
        <w:t>Strikethrough and italicised text indicate ESC’s deletions and additions (respectively) to the item descriptor.</w:t>
      </w:r>
    </w:p>
    <w:p w14:paraId="4A762EC4" w14:textId="137AC2A3" w:rsidR="006A153F" w:rsidRPr="00490E27" w:rsidRDefault="006A153F" w:rsidP="006A153F">
      <w:pPr>
        <w:spacing w:before="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t xml:space="preserve">ESC noted the </w:t>
      </w:r>
      <w:r>
        <w:rPr>
          <w:rFonts w:ascii="Franklin Gothic Book" w:eastAsia="Calibri" w:hAnsi="Franklin Gothic Book" w:cs="Times New Roman"/>
          <w:iCs/>
        </w:rPr>
        <w:t xml:space="preserve">re-application’s </w:t>
      </w:r>
      <w:r w:rsidRPr="00490E27">
        <w:rPr>
          <w:rFonts w:ascii="Franklin Gothic Book" w:eastAsia="Calibri" w:hAnsi="Franklin Gothic Book" w:cs="Times New Roman"/>
          <w:iCs/>
        </w:rPr>
        <w:t>claim</w:t>
      </w:r>
      <w:r>
        <w:rPr>
          <w:rFonts w:ascii="Franklin Gothic Book" w:eastAsia="Calibri" w:hAnsi="Franklin Gothic Book" w:cs="Times New Roman"/>
          <w:iCs/>
        </w:rPr>
        <w:t>s</w:t>
      </w:r>
      <w:r w:rsidRPr="00490E27">
        <w:rPr>
          <w:rFonts w:ascii="Franklin Gothic Book" w:eastAsia="Calibri" w:hAnsi="Franklin Gothic Book" w:cs="Times New Roman"/>
          <w:iCs/>
        </w:rPr>
        <w:t xml:space="preserve"> w</w:t>
      </w:r>
      <w:r>
        <w:rPr>
          <w:rFonts w:ascii="Franklin Gothic Book" w:eastAsia="Calibri" w:hAnsi="Franklin Gothic Book" w:cs="Times New Roman"/>
          <w:iCs/>
        </w:rPr>
        <w:t>ere</w:t>
      </w:r>
      <w:r w:rsidRPr="00490E27">
        <w:rPr>
          <w:rFonts w:ascii="Franklin Gothic Book" w:eastAsia="Calibri" w:hAnsi="Franklin Gothic Book" w:cs="Times New Roman"/>
          <w:iCs/>
        </w:rPr>
        <w:t xml:space="preserve"> that EndoPredict</w:t>
      </w:r>
      <w:r w:rsidR="005F1260" w:rsidRPr="005F1260">
        <w:rPr>
          <w:rFonts w:ascii="Franklin Gothic Book" w:eastAsia="SimSun" w:hAnsi="Franklin Gothic Book" w:cs="Times New Roman"/>
          <w:color w:val="000000"/>
          <w:vertAlign w:val="superscript"/>
        </w:rPr>
        <w:t>®</w:t>
      </w:r>
      <w:r w:rsidRPr="00490E27">
        <w:rPr>
          <w:rFonts w:ascii="Franklin Gothic Book" w:eastAsia="Calibri" w:hAnsi="Franklin Gothic Book" w:cs="Times New Roman"/>
          <w:iCs/>
        </w:rPr>
        <w:t xml:space="preserve"> has superior effectiveness and non-inferior safety for targeting use of systemic therapy for </w:t>
      </w:r>
      <w:r>
        <w:rPr>
          <w:rFonts w:ascii="Franklin Gothic Book" w:eastAsia="Calibri" w:hAnsi="Franklin Gothic Book" w:cs="Times New Roman"/>
          <w:iCs/>
        </w:rPr>
        <w:t>patients</w:t>
      </w:r>
      <w:r w:rsidRPr="00490E27">
        <w:rPr>
          <w:rFonts w:ascii="Franklin Gothic Book" w:eastAsia="Calibri" w:hAnsi="Franklin Gothic Book" w:cs="Times New Roman"/>
          <w:iCs/>
        </w:rPr>
        <w:t xml:space="preserve"> with ER+, HER2- early breast cancer assessed as intermediate risk of distant recurrence.</w:t>
      </w:r>
    </w:p>
    <w:p w14:paraId="32ECF5DD" w14:textId="6789A3FB" w:rsidR="006A153F" w:rsidRPr="00490E27" w:rsidRDefault="006A153F" w:rsidP="006A153F">
      <w:pPr>
        <w:spacing w:before="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t>ESC noted that the comparative safety claim</w:t>
      </w:r>
      <w:r>
        <w:rPr>
          <w:rFonts w:ascii="Franklin Gothic Book" w:eastAsia="Calibri" w:hAnsi="Franklin Gothic Book" w:cs="Times New Roman"/>
          <w:iCs/>
        </w:rPr>
        <w:t xml:space="preserve"> wa</w:t>
      </w:r>
      <w:r w:rsidRPr="00490E27">
        <w:rPr>
          <w:rFonts w:ascii="Franklin Gothic Book" w:eastAsia="Calibri" w:hAnsi="Franklin Gothic Book" w:cs="Times New Roman"/>
          <w:iCs/>
        </w:rPr>
        <w:t>s unchanged from the 2019 application and that this re-application provided no new evidence</w:t>
      </w:r>
      <w:r>
        <w:rPr>
          <w:rFonts w:ascii="Franklin Gothic Book" w:eastAsia="Calibri" w:hAnsi="Franklin Gothic Book" w:cs="Times New Roman"/>
          <w:iCs/>
        </w:rPr>
        <w:t xml:space="preserve"> in support</w:t>
      </w:r>
      <w:r w:rsidRPr="00490E27">
        <w:rPr>
          <w:rFonts w:ascii="Franklin Gothic Book" w:eastAsia="Calibri" w:hAnsi="Franklin Gothic Book" w:cs="Times New Roman"/>
          <w:iCs/>
        </w:rPr>
        <w:t xml:space="preserve">. ESC noted that the </w:t>
      </w:r>
      <w:r>
        <w:rPr>
          <w:rFonts w:ascii="Franklin Gothic Book" w:eastAsia="Calibri" w:hAnsi="Franklin Gothic Book" w:cs="Times New Roman"/>
          <w:iCs/>
        </w:rPr>
        <w:t>main</w:t>
      </w:r>
      <w:r w:rsidRPr="00490E27">
        <w:rPr>
          <w:rFonts w:ascii="Franklin Gothic Book" w:eastAsia="Calibri" w:hAnsi="Franklin Gothic Book" w:cs="Times New Roman"/>
          <w:iCs/>
        </w:rPr>
        <w:t xml:space="preserve"> safety issues related to false positive or false negative results from EndoPredict</w:t>
      </w:r>
      <w:r w:rsidR="005F1260" w:rsidRPr="005F1260">
        <w:rPr>
          <w:rFonts w:ascii="Franklin Gothic Book" w:eastAsia="SimSun" w:hAnsi="Franklin Gothic Book" w:cs="Times New Roman"/>
          <w:color w:val="000000"/>
          <w:vertAlign w:val="superscript"/>
        </w:rPr>
        <w:t>®</w:t>
      </w:r>
      <w:r>
        <w:rPr>
          <w:rFonts w:ascii="Franklin Gothic Book" w:eastAsia="Calibri" w:hAnsi="Franklin Gothic Book" w:cs="Times New Roman"/>
          <w:iCs/>
        </w:rPr>
        <w:t>, and that t</w:t>
      </w:r>
      <w:r w:rsidRPr="00490E27">
        <w:rPr>
          <w:rFonts w:ascii="Franklin Gothic Book" w:eastAsia="Calibri" w:hAnsi="Franklin Gothic Book" w:cs="Times New Roman"/>
          <w:iCs/>
        </w:rPr>
        <w:t xml:space="preserve">hese impacts are implicit in the Kaplan-Meier analyses. Patients who are overtreated for their level of risk of recurrence may suffer adverse effects of </w:t>
      </w:r>
      <w:r>
        <w:rPr>
          <w:rFonts w:ascii="Franklin Gothic Book" w:eastAsia="Calibri" w:hAnsi="Franklin Gothic Book" w:cs="Times New Roman"/>
          <w:iCs/>
        </w:rPr>
        <w:t>chemotherapy</w:t>
      </w:r>
      <w:r w:rsidRPr="00490E27">
        <w:rPr>
          <w:rFonts w:ascii="Franklin Gothic Book" w:eastAsia="Calibri" w:hAnsi="Franklin Gothic Book" w:cs="Times New Roman"/>
          <w:iCs/>
        </w:rPr>
        <w:t xml:space="preserve"> unnecessarily, and patients who are not offered potentially beneficial </w:t>
      </w:r>
      <w:r>
        <w:rPr>
          <w:rFonts w:ascii="Franklin Gothic Book" w:eastAsia="Calibri" w:hAnsi="Franklin Gothic Book" w:cs="Times New Roman"/>
          <w:iCs/>
        </w:rPr>
        <w:t>chemotherapy</w:t>
      </w:r>
      <w:r w:rsidRPr="00490E27">
        <w:rPr>
          <w:rFonts w:ascii="Franklin Gothic Book" w:eastAsia="Calibri" w:hAnsi="Franklin Gothic Book" w:cs="Times New Roman"/>
          <w:iCs/>
        </w:rPr>
        <w:t xml:space="preserve"> may have disease relapse unnecessarily.</w:t>
      </w:r>
    </w:p>
    <w:p w14:paraId="47A0DEE6" w14:textId="2664B9F0" w:rsidR="006A153F" w:rsidRPr="00490E27" w:rsidRDefault="006A153F" w:rsidP="006A153F">
      <w:pPr>
        <w:spacing w:before="120" w:after="120" w:line="257" w:lineRule="auto"/>
        <w:ind w:right="397"/>
        <w:rPr>
          <w:rFonts w:ascii="Franklin Gothic Book" w:eastAsia="Calibri" w:hAnsi="Franklin Gothic Book" w:cs="Times New Roman"/>
          <w:iCs/>
        </w:rPr>
      </w:pPr>
      <w:r w:rsidRPr="00490E27">
        <w:rPr>
          <w:rFonts w:ascii="Franklin Gothic Book" w:eastAsia="Calibri" w:hAnsi="Franklin Gothic Book" w:cs="Times New Roman"/>
          <w:iCs/>
        </w:rPr>
        <w:t xml:space="preserve">ESC noted the clinical evidence </w:t>
      </w:r>
      <w:r>
        <w:rPr>
          <w:rFonts w:ascii="Franklin Gothic Book" w:eastAsia="Calibri" w:hAnsi="Franklin Gothic Book" w:cs="Times New Roman"/>
          <w:iCs/>
        </w:rPr>
        <w:t xml:space="preserve">base </w:t>
      </w:r>
      <w:r w:rsidRPr="00490E27">
        <w:rPr>
          <w:rFonts w:ascii="Franklin Gothic Book" w:eastAsia="Calibri" w:hAnsi="Franklin Gothic Book" w:cs="Times New Roman"/>
          <w:iCs/>
        </w:rPr>
        <w:t xml:space="preserve">was </w:t>
      </w:r>
      <w:r>
        <w:rPr>
          <w:rFonts w:ascii="Franklin Gothic Book" w:eastAsia="Calibri" w:hAnsi="Franklin Gothic Book" w:cs="Times New Roman"/>
          <w:iCs/>
        </w:rPr>
        <w:t>largely</w:t>
      </w:r>
      <w:r w:rsidRPr="00490E27">
        <w:rPr>
          <w:rFonts w:ascii="Franklin Gothic Book" w:eastAsia="Calibri" w:hAnsi="Franklin Gothic Book" w:cs="Times New Roman"/>
          <w:iCs/>
        </w:rPr>
        <w:t xml:space="preserve"> the same studies as </w:t>
      </w:r>
      <w:r>
        <w:rPr>
          <w:rFonts w:ascii="Franklin Gothic Book" w:eastAsia="Calibri" w:hAnsi="Franklin Gothic Book" w:cs="Times New Roman"/>
          <w:iCs/>
        </w:rPr>
        <w:t xml:space="preserve">were previously </w:t>
      </w:r>
      <w:r w:rsidRPr="00490E27">
        <w:rPr>
          <w:rFonts w:ascii="Franklin Gothic Book" w:eastAsia="Calibri" w:hAnsi="Franklin Gothic Book" w:cs="Times New Roman"/>
          <w:iCs/>
        </w:rPr>
        <w:t xml:space="preserve">considered in </w:t>
      </w:r>
      <w:r>
        <w:rPr>
          <w:rFonts w:ascii="Franklin Gothic Book" w:eastAsia="Calibri" w:hAnsi="Franklin Gothic Book" w:cs="Times New Roman"/>
          <w:iCs/>
        </w:rPr>
        <w:t xml:space="preserve">November </w:t>
      </w:r>
      <w:r w:rsidRPr="00490E27">
        <w:rPr>
          <w:rFonts w:ascii="Franklin Gothic Book" w:eastAsia="Calibri" w:hAnsi="Franklin Gothic Book" w:cs="Times New Roman"/>
          <w:iCs/>
        </w:rPr>
        <w:t xml:space="preserve">2019, and that </w:t>
      </w:r>
      <w:r>
        <w:rPr>
          <w:rFonts w:ascii="Franklin Gothic Book" w:eastAsia="Calibri" w:hAnsi="Franklin Gothic Book" w:cs="Times New Roman"/>
          <w:iCs/>
        </w:rPr>
        <w:t>little</w:t>
      </w:r>
      <w:r w:rsidRPr="00490E27">
        <w:rPr>
          <w:rFonts w:ascii="Franklin Gothic Book" w:eastAsia="Calibri" w:hAnsi="Franklin Gothic Book" w:cs="Times New Roman"/>
          <w:iCs/>
        </w:rPr>
        <w:t xml:space="preserve"> new clinical evidence was provided for this re-consideration. The two studies used in the modelled evaluation were Sestak </w:t>
      </w:r>
      <w:r>
        <w:rPr>
          <w:rFonts w:ascii="Franklin Gothic Book" w:eastAsia="Calibri" w:hAnsi="Franklin Gothic Book" w:cs="Times New Roman"/>
          <w:iCs/>
        </w:rPr>
        <w:t xml:space="preserve">et al. </w:t>
      </w:r>
      <w:r w:rsidRPr="00490E27">
        <w:rPr>
          <w:rFonts w:ascii="Franklin Gothic Book" w:eastAsia="Calibri" w:hAnsi="Franklin Gothic Book" w:cs="Times New Roman"/>
          <w:iCs/>
        </w:rPr>
        <w:t xml:space="preserve">2019 (10-year follow-up) and Dinh </w:t>
      </w:r>
      <w:r>
        <w:rPr>
          <w:rFonts w:ascii="Franklin Gothic Book" w:eastAsia="Calibri" w:hAnsi="Franklin Gothic Book" w:cs="Times New Roman"/>
          <w:iCs/>
        </w:rPr>
        <w:t xml:space="preserve">et al. </w:t>
      </w:r>
      <w:r w:rsidRPr="00490E27">
        <w:rPr>
          <w:rFonts w:ascii="Franklin Gothic Book" w:eastAsia="Calibri" w:hAnsi="Franklin Gothic Book" w:cs="Times New Roman"/>
          <w:iCs/>
        </w:rPr>
        <w:t>202</w:t>
      </w:r>
      <w:r>
        <w:rPr>
          <w:rFonts w:ascii="Franklin Gothic Book" w:eastAsia="Calibri" w:hAnsi="Franklin Gothic Book" w:cs="Times New Roman"/>
          <w:iCs/>
        </w:rPr>
        <w:t>2</w:t>
      </w:r>
      <w:r w:rsidRPr="00490E27">
        <w:rPr>
          <w:rFonts w:ascii="Franklin Gothic Book" w:eastAsia="Calibri" w:hAnsi="Franklin Gothic Book" w:cs="Times New Roman"/>
          <w:iCs/>
        </w:rPr>
        <w:t xml:space="preserve"> (</w:t>
      </w:r>
      <w:r>
        <w:rPr>
          <w:rFonts w:ascii="Franklin Gothic Book" w:eastAsia="Calibri" w:hAnsi="Franklin Gothic Book" w:cs="Times New Roman"/>
          <w:iCs/>
        </w:rPr>
        <w:t xml:space="preserve">updated analysis of the </w:t>
      </w:r>
      <w:r w:rsidRPr="00490E27">
        <w:rPr>
          <w:rFonts w:ascii="Franklin Gothic Book" w:eastAsia="Calibri" w:hAnsi="Franklin Gothic Book" w:cs="Times New Roman"/>
          <w:iCs/>
        </w:rPr>
        <w:t xml:space="preserve">PROSPER study). ESC noted the </w:t>
      </w:r>
      <w:r>
        <w:rPr>
          <w:rFonts w:ascii="Franklin Gothic Book" w:eastAsia="Calibri" w:hAnsi="Franklin Gothic Book" w:cs="Times New Roman"/>
          <w:iCs/>
        </w:rPr>
        <w:t xml:space="preserve">re-application’s </w:t>
      </w:r>
      <w:r w:rsidRPr="00490E27">
        <w:rPr>
          <w:rFonts w:ascii="Franklin Gothic Book" w:eastAsia="Calibri" w:hAnsi="Franklin Gothic Book" w:cs="Times New Roman"/>
          <w:iCs/>
        </w:rPr>
        <w:t>claim</w:t>
      </w:r>
      <w:r>
        <w:rPr>
          <w:rFonts w:ascii="Franklin Gothic Book" w:eastAsia="Calibri" w:hAnsi="Franklin Gothic Book" w:cs="Times New Roman"/>
          <w:iCs/>
        </w:rPr>
        <w:t>s</w:t>
      </w:r>
      <w:r w:rsidRPr="00490E27">
        <w:rPr>
          <w:rFonts w:ascii="Franklin Gothic Book" w:eastAsia="Calibri" w:hAnsi="Franklin Gothic Book" w:cs="Times New Roman"/>
          <w:iCs/>
        </w:rPr>
        <w:t xml:space="preserve"> that EndoPredict</w:t>
      </w:r>
      <w:r w:rsidR="005F1260" w:rsidRPr="005F1260">
        <w:rPr>
          <w:rFonts w:ascii="Franklin Gothic Book" w:eastAsia="SimSun" w:hAnsi="Franklin Gothic Book" w:cs="Times New Roman"/>
          <w:color w:val="000000"/>
          <w:vertAlign w:val="superscript"/>
        </w:rPr>
        <w:t>®</w:t>
      </w:r>
      <w:r>
        <w:rPr>
          <w:rFonts w:ascii="Franklin Gothic Book" w:eastAsia="Calibri" w:hAnsi="Franklin Gothic Book" w:cs="Times New Roman"/>
          <w:iCs/>
        </w:rPr>
        <w:t xml:space="preserve"> </w:t>
      </w:r>
      <w:r w:rsidRPr="00490E27">
        <w:rPr>
          <w:rFonts w:ascii="Franklin Gothic Book" w:eastAsia="Calibri" w:hAnsi="Franklin Gothic Book" w:cs="Times New Roman"/>
          <w:iCs/>
        </w:rPr>
        <w:t>has incremental prognostic value over clinical characteristics (including nodal status, tumour grade and tumour size) and standard assessment tools (</w:t>
      </w:r>
      <w:proofErr w:type="gramStart"/>
      <w:r w:rsidRPr="00490E27">
        <w:rPr>
          <w:rFonts w:ascii="Franklin Gothic Book" w:eastAsia="Calibri" w:hAnsi="Franklin Gothic Book" w:cs="Times New Roman"/>
          <w:iCs/>
        </w:rPr>
        <w:t>Adjuvant!Online</w:t>
      </w:r>
      <w:proofErr w:type="gramEnd"/>
      <w:r w:rsidRPr="00490E27">
        <w:rPr>
          <w:rFonts w:ascii="Franklin Gothic Book" w:eastAsia="Calibri" w:hAnsi="Franklin Gothic Book" w:cs="Times New Roman"/>
          <w:iCs/>
        </w:rPr>
        <w:t>, IHC4, CTS5 and Ki67)</w:t>
      </w:r>
      <w:r>
        <w:rPr>
          <w:rFonts w:ascii="Franklin Gothic Book" w:eastAsia="Calibri" w:hAnsi="Franklin Gothic Book" w:cs="Times New Roman"/>
          <w:iCs/>
        </w:rPr>
        <w:t xml:space="preserve">, </w:t>
      </w:r>
      <w:r w:rsidRPr="00490E27">
        <w:rPr>
          <w:rFonts w:ascii="Franklin Gothic Book" w:eastAsia="Calibri" w:hAnsi="Franklin Gothic Book" w:cs="Times New Roman"/>
          <w:iCs/>
        </w:rPr>
        <w:t>impacts patient management</w:t>
      </w:r>
      <w:r>
        <w:rPr>
          <w:rFonts w:ascii="Franklin Gothic Book" w:eastAsia="Calibri" w:hAnsi="Franklin Gothic Book" w:cs="Times New Roman"/>
          <w:iCs/>
        </w:rPr>
        <w:t>, and</w:t>
      </w:r>
      <w:r w:rsidRPr="00490E27">
        <w:rPr>
          <w:rFonts w:ascii="Franklin Gothic Book" w:eastAsia="Calibri" w:hAnsi="Franklin Gothic Book" w:cs="Times New Roman"/>
          <w:iCs/>
        </w:rPr>
        <w:t xml:space="preserve"> predicts treatment benefits.</w:t>
      </w:r>
    </w:p>
    <w:p w14:paraId="0193FF91" w14:textId="77777777" w:rsidR="006A153F" w:rsidRPr="00490E27" w:rsidRDefault="006A153F" w:rsidP="006A153F">
      <w:pPr>
        <w:spacing w:before="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t>ESC considered that there is some evidence of an incremental prognostic value</w:t>
      </w:r>
      <w:r>
        <w:rPr>
          <w:rFonts w:ascii="Franklin Gothic Book" w:eastAsia="Calibri" w:hAnsi="Franklin Gothic Book" w:cs="Times New Roman"/>
          <w:iCs/>
        </w:rPr>
        <w:t xml:space="preserve"> because</w:t>
      </w:r>
      <w:r w:rsidRPr="00E52389">
        <w:rPr>
          <w:rFonts w:ascii="Franklin Gothic Book" w:eastAsia="SimSun" w:hAnsi="Franklin Gothic Book" w:cs="Times New Roman"/>
          <w:color w:val="000000"/>
        </w:rPr>
        <w:t>,</w:t>
      </w:r>
      <w:r>
        <w:rPr>
          <w:rFonts w:ascii="Franklin Gothic Book" w:eastAsia="SimSun" w:hAnsi="Franklin Gothic Book" w:cs="Times New Roman"/>
          <w:color w:val="000000"/>
        </w:rPr>
        <w:t xml:space="preserve"> in</w:t>
      </w:r>
      <w:r w:rsidRPr="00E52389">
        <w:rPr>
          <w:rFonts w:ascii="Franklin Gothic Book" w:eastAsia="SimSun" w:hAnsi="Franklin Gothic Book" w:cs="Times New Roman"/>
          <w:color w:val="000000"/>
        </w:rPr>
        <w:t xml:space="preserve"> </w:t>
      </w:r>
      <w:r>
        <w:rPr>
          <w:rFonts w:ascii="Franklin Gothic Book" w:eastAsia="SimSun" w:hAnsi="Franklin Gothic Book" w:cs="Times New Roman"/>
          <w:color w:val="000000"/>
        </w:rPr>
        <w:t xml:space="preserve">the </w:t>
      </w:r>
      <w:r w:rsidRPr="00E52389">
        <w:rPr>
          <w:rFonts w:ascii="Franklin Gothic Book" w:eastAsia="SimSun" w:hAnsi="Franklin Gothic Book" w:cs="Times New Roman"/>
          <w:color w:val="000000"/>
        </w:rPr>
        <w:t>multivariate Cox model incl</w:t>
      </w:r>
      <w:r>
        <w:rPr>
          <w:rFonts w:ascii="Franklin Gothic Book" w:eastAsia="SimSun" w:hAnsi="Franklin Gothic Book" w:cs="Times New Roman"/>
          <w:color w:val="000000"/>
        </w:rPr>
        <w:t>uding</w:t>
      </w:r>
      <w:r w:rsidRPr="00E52389">
        <w:rPr>
          <w:rFonts w:ascii="Franklin Gothic Book" w:eastAsia="SimSun" w:hAnsi="Franklin Gothic Book" w:cs="Times New Roman"/>
          <w:color w:val="000000"/>
        </w:rPr>
        <w:t xml:space="preserve"> various clin</w:t>
      </w:r>
      <w:r>
        <w:rPr>
          <w:rFonts w:ascii="Franklin Gothic Book" w:eastAsia="SimSun" w:hAnsi="Franklin Gothic Book" w:cs="Times New Roman"/>
          <w:color w:val="000000"/>
        </w:rPr>
        <w:t>ical</w:t>
      </w:r>
      <w:r w:rsidRPr="00E52389">
        <w:rPr>
          <w:rFonts w:ascii="Franklin Gothic Book" w:eastAsia="SimSun" w:hAnsi="Franklin Gothic Book" w:cs="Times New Roman"/>
          <w:color w:val="000000"/>
        </w:rPr>
        <w:t xml:space="preserve"> variables</w:t>
      </w:r>
      <w:r>
        <w:rPr>
          <w:rFonts w:ascii="Franklin Gothic Book" w:eastAsia="SimSun" w:hAnsi="Franklin Gothic Book" w:cs="Times New Roman"/>
          <w:color w:val="000000"/>
        </w:rPr>
        <w:t>,</w:t>
      </w:r>
      <w:r w:rsidRPr="00E52389">
        <w:rPr>
          <w:rFonts w:ascii="Franklin Gothic Book" w:eastAsia="SimSun" w:hAnsi="Franklin Gothic Book" w:cs="Times New Roman"/>
          <w:color w:val="000000"/>
        </w:rPr>
        <w:t xml:space="preserve"> </w:t>
      </w:r>
      <w:r>
        <w:rPr>
          <w:rFonts w:ascii="Franklin Gothic Book" w:eastAsia="SimSun" w:hAnsi="Franklin Gothic Book" w:cs="Times New Roman"/>
          <w:color w:val="000000"/>
        </w:rPr>
        <w:t>nodal status and</w:t>
      </w:r>
      <w:r w:rsidRPr="00E52389">
        <w:rPr>
          <w:rFonts w:ascii="Franklin Gothic Book" w:eastAsia="SimSun" w:hAnsi="Franklin Gothic Book" w:cs="Times New Roman"/>
          <w:color w:val="000000"/>
        </w:rPr>
        <w:t xml:space="preserve"> EPclin</w:t>
      </w:r>
      <w:r>
        <w:rPr>
          <w:rFonts w:ascii="Franklin Gothic Book" w:eastAsia="SimSun" w:hAnsi="Franklin Gothic Book" w:cs="Times New Roman"/>
          <w:color w:val="000000"/>
        </w:rPr>
        <w:t xml:space="preserve"> score </w:t>
      </w:r>
      <w:r w:rsidRPr="00E52389">
        <w:rPr>
          <w:rFonts w:ascii="Franklin Gothic Book" w:eastAsia="SimSun" w:hAnsi="Franklin Gothic Book" w:cs="Times New Roman"/>
          <w:color w:val="000000"/>
        </w:rPr>
        <w:t>ha</w:t>
      </w:r>
      <w:r>
        <w:rPr>
          <w:rFonts w:ascii="Franklin Gothic Book" w:eastAsia="SimSun" w:hAnsi="Franklin Gothic Book" w:cs="Times New Roman"/>
          <w:color w:val="000000"/>
        </w:rPr>
        <w:t>d</w:t>
      </w:r>
      <w:r w:rsidRPr="00E52389">
        <w:rPr>
          <w:rFonts w:ascii="Franklin Gothic Book" w:eastAsia="SimSun" w:hAnsi="Franklin Gothic Book" w:cs="Times New Roman"/>
          <w:color w:val="000000"/>
        </w:rPr>
        <w:t xml:space="preserve"> indep</w:t>
      </w:r>
      <w:r>
        <w:rPr>
          <w:rFonts w:ascii="Franklin Gothic Book" w:eastAsia="SimSun" w:hAnsi="Franklin Gothic Book" w:cs="Times New Roman"/>
          <w:color w:val="000000"/>
        </w:rPr>
        <w:t>endent</w:t>
      </w:r>
      <w:r w:rsidRPr="00E52389">
        <w:rPr>
          <w:rFonts w:ascii="Franklin Gothic Book" w:eastAsia="SimSun" w:hAnsi="Franklin Gothic Book" w:cs="Times New Roman"/>
          <w:color w:val="000000"/>
        </w:rPr>
        <w:t xml:space="preserve"> prog</w:t>
      </w:r>
      <w:r>
        <w:rPr>
          <w:rFonts w:ascii="Franklin Gothic Book" w:eastAsia="SimSun" w:hAnsi="Franklin Gothic Book" w:cs="Times New Roman"/>
          <w:color w:val="000000"/>
        </w:rPr>
        <w:t>nostic</w:t>
      </w:r>
      <w:r w:rsidRPr="00E52389">
        <w:rPr>
          <w:rFonts w:ascii="Franklin Gothic Book" w:eastAsia="SimSun" w:hAnsi="Franklin Gothic Book" w:cs="Times New Roman"/>
          <w:color w:val="000000"/>
        </w:rPr>
        <w:t xml:space="preserve"> value</w:t>
      </w:r>
      <w:r>
        <w:rPr>
          <w:rFonts w:ascii="Franklin Gothic Book" w:eastAsia="SimSun" w:hAnsi="Franklin Gothic Book" w:cs="Times New Roman"/>
          <w:color w:val="000000"/>
        </w:rPr>
        <w:t xml:space="preserve"> and, in the bivariable model, </w:t>
      </w:r>
      <w:proofErr w:type="gramStart"/>
      <w:r>
        <w:rPr>
          <w:rFonts w:ascii="Franklin Gothic Book" w:eastAsia="SimSun" w:hAnsi="Franklin Gothic Book" w:cs="Times New Roman"/>
          <w:color w:val="000000"/>
        </w:rPr>
        <w:t>Adjuvant!Online</w:t>
      </w:r>
      <w:proofErr w:type="gramEnd"/>
      <w:r>
        <w:rPr>
          <w:rFonts w:ascii="Franklin Gothic Book" w:eastAsia="SimSun" w:hAnsi="Franklin Gothic Book" w:cs="Times New Roman"/>
          <w:color w:val="000000"/>
        </w:rPr>
        <w:t xml:space="preserve"> and EPclin score both had independent prognostic value.</w:t>
      </w:r>
      <w:r w:rsidRPr="00490E27">
        <w:rPr>
          <w:rFonts w:ascii="Franklin Gothic Book" w:eastAsia="Calibri" w:hAnsi="Franklin Gothic Book" w:cs="Times New Roman"/>
          <w:iCs/>
        </w:rPr>
        <w:t xml:space="preserve"> </w:t>
      </w:r>
      <w:r>
        <w:rPr>
          <w:rFonts w:ascii="Franklin Gothic Book" w:eastAsia="Calibri" w:hAnsi="Franklin Gothic Book" w:cs="Times New Roman"/>
          <w:iCs/>
        </w:rPr>
        <w:t>ESC noted</w:t>
      </w:r>
      <w:r w:rsidRPr="00490E27">
        <w:rPr>
          <w:rFonts w:ascii="Franklin Gothic Book" w:eastAsia="Calibri" w:hAnsi="Franklin Gothic Book" w:cs="Times New Roman"/>
          <w:iCs/>
        </w:rPr>
        <w:t xml:space="preserve"> the adjusted hazard ratio</w:t>
      </w:r>
      <w:r>
        <w:rPr>
          <w:rFonts w:ascii="Franklin Gothic Book" w:eastAsia="Calibri" w:hAnsi="Franklin Gothic Book" w:cs="Times New Roman"/>
          <w:iCs/>
        </w:rPr>
        <w:t>s</w:t>
      </w:r>
      <w:r w:rsidRPr="00490E27">
        <w:rPr>
          <w:rFonts w:ascii="Franklin Gothic Book" w:eastAsia="Calibri" w:hAnsi="Franklin Gothic Book" w:cs="Times New Roman"/>
          <w:iCs/>
        </w:rPr>
        <w:t xml:space="preserve"> </w:t>
      </w:r>
      <w:r>
        <w:rPr>
          <w:rFonts w:ascii="Franklin Gothic Book" w:eastAsia="Calibri" w:hAnsi="Franklin Gothic Book" w:cs="Times New Roman"/>
          <w:iCs/>
        </w:rPr>
        <w:t>for these effects are</w:t>
      </w:r>
      <w:r w:rsidRPr="00490E27">
        <w:rPr>
          <w:rFonts w:ascii="Franklin Gothic Book" w:eastAsia="Calibri" w:hAnsi="Franklin Gothic Book" w:cs="Times New Roman"/>
          <w:iCs/>
        </w:rPr>
        <w:t xml:space="preserve"> statistically significant. </w:t>
      </w:r>
      <w:r>
        <w:rPr>
          <w:rFonts w:ascii="Franklin Gothic Book" w:eastAsia="Calibri" w:hAnsi="Franklin Gothic Book" w:cs="Times New Roman"/>
          <w:iCs/>
        </w:rPr>
        <w:t>However,</w:t>
      </w:r>
      <w:r w:rsidRPr="00490E27">
        <w:rPr>
          <w:rFonts w:ascii="Franklin Gothic Book" w:eastAsia="Calibri" w:hAnsi="Franklin Gothic Book" w:cs="Times New Roman"/>
          <w:iCs/>
        </w:rPr>
        <w:t xml:space="preserve"> ESC </w:t>
      </w:r>
      <w:r>
        <w:rPr>
          <w:rFonts w:ascii="Franklin Gothic Book" w:eastAsia="Calibri" w:hAnsi="Franklin Gothic Book" w:cs="Times New Roman"/>
          <w:iCs/>
        </w:rPr>
        <w:t>considered</w:t>
      </w:r>
      <w:r w:rsidRPr="00490E27">
        <w:rPr>
          <w:rFonts w:ascii="Franklin Gothic Book" w:eastAsia="Calibri" w:hAnsi="Franklin Gothic Book" w:cs="Times New Roman"/>
          <w:iCs/>
        </w:rPr>
        <w:t xml:space="preserve"> that th</w:t>
      </w:r>
      <w:r>
        <w:rPr>
          <w:rFonts w:ascii="Franklin Gothic Book" w:eastAsia="Calibri" w:hAnsi="Franklin Gothic Book" w:cs="Times New Roman"/>
          <w:iCs/>
        </w:rPr>
        <w:t>is</w:t>
      </w:r>
      <w:r w:rsidRPr="00490E27">
        <w:rPr>
          <w:rFonts w:ascii="Franklin Gothic Book" w:eastAsia="Calibri" w:hAnsi="Franklin Gothic Book" w:cs="Times New Roman"/>
          <w:iCs/>
        </w:rPr>
        <w:t xml:space="preserve"> evidence is uncertain due to low level study design and population differences.</w:t>
      </w:r>
      <w:r>
        <w:rPr>
          <w:rFonts w:ascii="Franklin Gothic Book" w:eastAsia="Calibri" w:hAnsi="Franklin Gothic Book" w:cs="Times New Roman"/>
          <w:iCs/>
        </w:rPr>
        <w:t xml:space="preserve"> </w:t>
      </w:r>
      <w:r>
        <w:rPr>
          <w:rFonts w:ascii="Franklin Gothic Book" w:eastAsia="SimSun" w:hAnsi="Franklin Gothic Book" w:cs="Times New Roman"/>
          <w:color w:val="000000"/>
        </w:rPr>
        <w:t xml:space="preserve">ESC also considered the gain in c-statistic by adding EPclin to </w:t>
      </w:r>
      <w:proofErr w:type="gramStart"/>
      <w:r>
        <w:rPr>
          <w:rFonts w:ascii="Franklin Gothic Book" w:eastAsia="SimSun" w:hAnsi="Franklin Gothic Book" w:cs="Times New Roman"/>
          <w:color w:val="000000"/>
        </w:rPr>
        <w:t>Adjuvant!Online</w:t>
      </w:r>
      <w:proofErr w:type="gramEnd"/>
      <w:r w:rsidRPr="00C51205">
        <w:rPr>
          <w:rFonts w:ascii="Franklin Gothic Book" w:eastAsia="SimSun" w:hAnsi="Franklin Gothic Book" w:cs="Times New Roman"/>
          <w:color w:val="000000"/>
        </w:rPr>
        <w:t xml:space="preserve"> </w:t>
      </w:r>
      <w:r>
        <w:rPr>
          <w:rFonts w:ascii="Franklin Gothic Book" w:eastAsia="SimSun" w:hAnsi="Franklin Gothic Book" w:cs="Times New Roman"/>
          <w:color w:val="000000"/>
        </w:rPr>
        <w:t>evidenced a modest gain in discrimination, also indicating some incremental prognostic value.</w:t>
      </w:r>
    </w:p>
    <w:p w14:paraId="25C00145" w14:textId="013DF94B" w:rsidR="006A153F" w:rsidRPr="00490E27" w:rsidRDefault="006A153F" w:rsidP="006A153F">
      <w:pPr>
        <w:spacing w:before="120" w:line="256" w:lineRule="auto"/>
        <w:ind w:right="396"/>
        <w:rPr>
          <w:rFonts w:ascii="Franklin Gothic Book" w:eastAsia="Calibri" w:hAnsi="Franklin Gothic Book" w:cs="Times New Roman"/>
          <w:iCs/>
        </w:rPr>
      </w:pPr>
      <w:r>
        <w:rPr>
          <w:rFonts w:ascii="Franklin Gothic Book" w:eastAsia="SimSun" w:hAnsi="Franklin Gothic Book" w:cs="Times New Roman"/>
          <w:color w:val="000000"/>
        </w:rPr>
        <w:t xml:space="preserve">ESC noted the clinical utility evidence came from three studies, all of which have already been considered by MSAC in relation to the first application, and all of which have enlarged populations presented in this re-application: </w:t>
      </w:r>
      <w:r w:rsidRPr="00C51205">
        <w:rPr>
          <w:rFonts w:ascii="Franklin Gothic Book" w:eastAsia="SimSun" w:hAnsi="Franklin Gothic Book" w:cs="Times New Roman"/>
          <w:color w:val="000000"/>
          <w:lang w:val="en-US"/>
        </w:rPr>
        <w:t xml:space="preserve">Dinh </w:t>
      </w:r>
      <w:r>
        <w:rPr>
          <w:rFonts w:ascii="Franklin Gothic Book" w:eastAsia="SimSun" w:hAnsi="Franklin Gothic Book" w:cs="Times New Roman"/>
          <w:color w:val="000000"/>
          <w:lang w:val="en-US"/>
        </w:rPr>
        <w:t xml:space="preserve">et al. </w:t>
      </w:r>
      <w:r w:rsidRPr="00C51205">
        <w:rPr>
          <w:rFonts w:ascii="Franklin Gothic Book" w:eastAsia="SimSun" w:hAnsi="Franklin Gothic Book" w:cs="Times New Roman"/>
          <w:color w:val="000000"/>
          <w:lang w:val="en-US"/>
        </w:rPr>
        <w:t>202</w:t>
      </w:r>
      <w:r>
        <w:rPr>
          <w:rFonts w:ascii="Franklin Gothic Book" w:eastAsia="SimSun" w:hAnsi="Franklin Gothic Book" w:cs="Times New Roman"/>
          <w:color w:val="000000"/>
          <w:lang w:val="en-US"/>
        </w:rPr>
        <w:t>2</w:t>
      </w:r>
      <w:r w:rsidRPr="00C51205">
        <w:rPr>
          <w:rFonts w:ascii="Franklin Gothic Book" w:eastAsia="SimSun" w:hAnsi="Franklin Gothic Book" w:cs="Times New Roman"/>
          <w:color w:val="000000"/>
          <w:lang w:val="en-US"/>
        </w:rPr>
        <w:t xml:space="preserve"> </w:t>
      </w:r>
      <w:r>
        <w:rPr>
          <w:rFonts w:ascii="Franklin Gothic Book" w:eastAsia="SimSun" w:hAnsi="Franklin Gothic Book" w:cs="Times New Roman"/>
          <w:color w:val="000000"/>
          <w:lang w:val="en-US"/>
        </w:rPr>
        <w:t>(</w:t>
      </w:r>
      <w:r w:rsidRPr="00C51205">
        <w:rPr>
          <w:rFonts w:ascii="Franklin Gothic Book" w:eastAsia="SimSun" w:hAnsi="Franklin Gothic Book" w:cs="Times New Roman"/>
          <w:color w:val="000000"/>
          <w:lang w:val="en-US"/>
        </w:rPr>
        <w:t xml:space="preserve">PROSPER </w:t>
      </w:r>
      <w:r>
        <w:rPr>
          <w:rFonts w:ascii="Franklin Gothic Book" w:eastAsia="SimSun" w:hAnsi="Franklin Gothic Book" w:cs="Times New Roman"/>
          <w:color w:val="000000"/>
          <w:lang w:val="en-US"/>
        </w:rPr>
        <w:t xml:space="preserve">– </w:t>
      </w:r>
      <w:r w:rsidRPr="00C51205">
        <w:rPr>
          <w:rFonts w:ascii="Franklin Gothic Book" w:eastAsia="SimSun" w:hAnsi="Franklin Gothic Book" w:cs="Times New Roman"/>
          <w:color w:val="000000"/>
          <w:lang w:val="en-US"/>
        </w:rPr>
        <w:t xml:space="preserve">Australia), Ettl </w:t>
      </w:r>
      <w:r>
        <w:rPr>
          <w:rFonts w:ascii="Franklin Gothic Book" w:eastAsia="SimSun" w:hAnsi="Franklin Gothic Book" w:cs="Times New Roman"/>
          <w:color w:val="000000"/>
          <w:lang w:val="en-US"/>
        </w:rPr>
        <w:t xml:space="preserve">et al. </w:t>
      </w:r>
      <w:r w:rsidRPr="00C51205">
        <w:rPr>
          <w:rFonts w:ascii="Franklin Gothic Book" w:eastAsia="SimSun" w:hAnsi="Franklin Gothic Book" w:cs="Times New Roman"/>
          <w:color w:val="000000"/>
          <w:lang w:val="en-US"/>
        </w:rPr>
        <w:t>2020 (Germany),</w:t>
      </w:r>
      <w:r>
        <w:rPr>
          <w:rFonts w:ascii="Franklin Gothic Book" w:eastAsia="SimSun" w:hAnsi="Franklin Gothic Book" w:cs="Times New Roman"/>
          <w:color w:val="000000"/>
          <w:lang w:val="en-US"/>
        </w:rPr>
        <w:t xml:space="preserve"> and</w:t>
      </w:r>
      <w:r w:rsidRPr="00C51205">
        <w:rPr>
          <w:rFonts w:ascii="Franklin Gothic Book" w:eastAsia="SimSun" w:hAnsi="Franklin Gothic Book" w:cs="Times New Roman"/>
          <w:color w:val="000000"/>
          <w:lang w:val="en-US"/>
        </w:rPr>
        <w:t xml:space="preserve"> Penault-Llorca</w:t>
      </w:r>
      <w:r>
        <w:rPr>
          <w:rFonts w:ascii="Franklin Gothic Book" w:eastAsia="SimSun" w:hAnsi="Franklin Gothic Book" w:cs="Times New Roman"/>
          <w:color w:val="000000"/>
          <w:lang w:val="en-US"/>
        </w:rPr>
        <w:t xml:space="preserve"> et al.</w:t>
      </w:r>
      <w:r w:rsidRPr="00C51205">
        <w:rPr>
          <w:rFonts w:ascii="Franklin Gothic Book" w:eastAsia="SimSun" w:hAnsi="Franklin Gothic Book" w:cs="Times New Roman"/>
          <w:color w:val="000000"/>
          <w:lang w:val="en-US"/>
        </w:rPr>
        <w:t xml:space="preserve"> 2020 (France).</w:t>
      </w:r>
      <w:r>
        <w:rPr>
          <w:rFonts w:ascii="Franklin Gothic Book" w:eastAsia="SimSun" w:hAnsi="Franklin Gothic Book" w:cs="Times New Roman"/>
          <w:color w:val="000000"/>
          <w:lang w:val="en-US"/>
        </w:rPr>
        <w:t xml:space="preserve"> </w:t>
      </w:r>
      <w:r w:rsidRPr="00490E27">
        <w:rPr>
          <w:rFonts w:ascii="Franklin Gothic Book" w:eastAsia="Calibri" w:hAnsi="Franklin Gothic Book" w:cs="Times New Roman"/>
          <w:iCs/>
        </w:rPr>
        <w:t xml:space="preserve">ESC noted that </w:t>
      </w:r>
      <w:r>
        <w:rPr>
          <w:rFonts w:ascii="Franklin Gothic Book" w:eastAsia="Calibri" w:hAnsi="Franklin Gothic Book" w:cs="Times New Roman"/>
          <w:iCs/>
        </w:rPr>
        <w:t xml:space="preserve">the main new evidence presented in this re-application was the modest enlargement of </w:t>
      </w:r>
      <w:r w:rsidRPr="00490E27">
        <w:rPr>
          <w:rFonts w:ascii="Franklin Gothic Book" w:eastAsia="Calibri" w:hAnsi="Franklin Gothic Book" w:cs="Times New Roman"/>
          <w:iCs/>
        </w:rPr>
        <w:t xml:space="preserve">the PROSPER study </w:t>
      </w:r>
      <w:r>
        <w:rPr>
          <w:rFonts w:ascii="Franklin Gothic Book" w:eastAsia="Calibri" w:hAnsi="Franklin Gothic Book" w:cs="Times New Roman"/>
          <w:iCs/>
        </w:rPr>
        <w:lastRenderedPageBreak/>
        <w:t xml:space="preserve">population assessing change in clinical management. </w:t>
      </w:r>
      <w:r>
        <w:rPr>
          <w:rFonts w:ascii="Franklin Gothic Book" w:eastAsia="SimSun" w:hAnsi="Franklin Gothic Book" w:cs="Times New Roman"/>
          <w:color w:val="000000"/>
          <w:lang w:val="en-US"/>
        </w:rPr>
        <w:t>ESC noted the commentary’s analysis included disaggregating where a change in management occurred that could have been attributable to the EndoPredict</w:t>
      </w:r>
      <w:r w:rsidR="005F1260" w:rsidRPr="005F1260">
        <w:rPr>
          <w:rFonts w:ascii="Franklin Gothic Book" w:eastAsia="SimSun" w:hAnsi="Franklin Gothic Book" w:cs="Times New Roman"/>
          <w:color w:val="000000"/>
          <w:vertAlign w:val="superscript"/>
        </w:rPr>
        <w:t>®</w:t>
      </w:r>
      <w:r>
        <w:rPr>
          <w:rFonts w:ascii="Franklin Gothic Book" w:eastAsia="SimSun" w:hAnsi="Franklin Gothic Book" w:cs="Times New Roman"/>
          <w:color w:val="000000"/>
          <w:lang w:val="en-US"/>
        </w:rPr>
        <w:t xml:space="preserve"> result, and </w:t>
      </w:r>
      <w:r>
        <w:rPr>
          <w:rFonts w:ascii="Franklin Gothic Book" w:eastAsia="Calibri" w:hAnsi="Franklin Gothic Book" w:cs="Times New Roman"/>
          <w:iCs/>
        </w:rPr>
        <w:t xml:space="preserve">that </w:t>
      </w:r>
      <w:r w:rsidRPr="00490E27">
        <w:rPr>
          <w:rFonts w:ascii="Franklin Gothic Book" w:eastAsia="Calibri" w:hAnsi="Franklin Gothic Book" w:cs="Times New Roman"/>
          <w:iCs/>
        </w:rPr>
        <w:t xml:space="preserve">a </w:t>
      </w:r>
      <w:r>
        <w:rPr>
          <w:rFonts w:ascii="Franklin Gothic Book" w:eastAsia="Calibri" w:hAnsi="Franklin Gothic Book" w:cs="Times New Roman"/>
          <w:iCs/>
        </w:rPr>
        <w:t xml:space="preserve">final </w:t>
      </w:r>
      <w:r w:rsidRPr="00490E27">
        <w:rPr>
          <w:rFonts w:ascii="Franklin Gothic Book" w:eastAsia="Calibri" w:hAnsi="Franklin Gothic Book" w:cs="Times New Roman"/>
          <w:iCs/>
        </w:rPr>
        <w:t xml:space="preserve">change in clinical management </w:t>
      </w:r>
      <w:r>
        <w:rPr>
          <w:rFonts w:ascii="Franklin Gothic Book" w:eastAsia="Calibri" w:hAnsi="Franklin Gothic Book" w:cs="Times New Roman"/>
          <w:iCs/>
        </w:rPr>
        <w:t xml:space="preserve">occurred </w:t>
      </w:r>
      <w:r w:rsidRPr="00490E27">
        <w:rPr>
          <w:rFonts w:ascii="Franklin Gothic Book" w:eastAsia="Calibri" w:hAnsi="Franklin Gothic Book" w:cs="Times New Roman"/>
          <w:iCs/>
        </w:rPr>
        <w:t xml:space="preserve">for 20.5% </w:t>
      </w:r>
      <w:r>
        <w:rPr>
          <w:rFonts w:ascii="Franklin Gothic Book" w:eastAsia="Calibri" w:hAnsi="Franklin Gothic Book" w:cs="Times New Roman"/>
          <w:iCs/>
        </w:rPr>
        <w:t xml:space="preserve">(44/215) </w:t>
      </w:r>
      <w:r w:rsidRPr="00490E27">
        <w:rPr>
          <w:rFonts w:ascii="Franklin Gothic Book" w:eastAsia="Calibri" w:hAnsi="Franklin Gothic Book" w:cs="Times New Roman"/>
          <w:iCs/>
        </w:rPr>
        <w:t>patients</w:t>
      </w:r>
      <w:r>
        <w:rPr>
          <w:rFonts w:ascii="Franklin Gothic Book" w:eastAsia="Calibri" w:hAnsi="Franklin Gothic Book" w:cs="Times New Roman"/>
          <w:iCs/>
        </w:rPr>
        <w:t>, and the</w:t>
      </w:r>
      <w:r w:rsidRPr="00490E27">
        <w:rPr>
          <w:rFonts w:ascii="Franklin Gothic Book" w:eastAsia="Calibri" w:hAnsi="Franklin Gothic Book" w:cs="Times New Roman"/>
          <w:iCs/>
        </w:rPr>
        <w:t xml:space="preserve"> net change in chemotherapy was </w:t>
      </w:r>
      <w:r>
        <w:rPr>
          <w:rFonts w:ascii="Franklin Gothic Book" w:eastAsia="Calibri" w:hAnsi="Franklin Gothic Book" w:cs="Times New Roman"/>
          <w:iCs/>
        </w:rPr>
        <w:t xml:space="preserve">a </w:t>
      </w:r>
      <w:r w:rsidRPr="00490E27">
        <w:rPr>
          <w:rFonts w:ascii="Franklin Gothic Book" w:eastAsia="Calibri" w:hAnsi="Franklin Gothic Book" w:cs="Times New Roman"/>
          <w:iCs/>
        </w:rPr>
        <w:t>6.5%</w:t>
      </w:r>
      <w:r>
        <w:rPr>
          <w:rFonts w:ascii="Franklin Gothic Book" w:eastAsia="Calibri" w:hAnsi="Franklin Gothic Book" w:cs="Times New Roman"/>
          <w:iCs/>
        </w:rPr>
        <w:t xml:space="preserve"> decrease</w:t>
      </w:r>
      <w:r w:rsidRPr="00490E27">
        <w:rPr>
          <w:rFonts w:ascii="Franklin Gothic Book" w:eastAsia="Calibri" w:hAnsi="Franklin Gothic Book" w:cs="Times New Roman"/>
          <w:iCs/>
        </w:rPr>
        <w:t>.</w:t>
      </w:r>
    </w:p>
    <w:p w14:paraId="51FD7242" w14:textId="6C309ABA" w:rsidR="006A153F" w:rsidRPr="00490E27" w:rsidRDefault="006A153F" w:rsidP="006A153F">
      <w:pPr>
        <w:spacing w:before="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t xml:space="preserve">ESC noted that Ettl </w:t>
      </w:r>
      <w:r>
        <w:rPr>
          <w:rFonts w:ascii="Franklin Gothic Book" w:eastAsia="Calibri" w:hAnsi="Franklin Gothic Book" w:cs="Times New Roman"/>
          <w:iCs/>
        </w:rPr>
        <w:t>et al. (</w:t>
      </w:r>
      <w:r w:rsidRPr="00490E27">
        <w:rPr>
          <w:rFonts w:ascii="Franklin Gothic Book" w:eastAsia="Calibri" w:hAnsi="Franklin Gothic Book" w:cs="Times New Roman"/>
          <w:iCs/>
        </w:rPr>
        <w:t>2020</w:t>
      </w:r>
      <w:r>
        <w:rPr>
          <w:rFonts w:ascii="Franklin Gothic Book" w:eastAsia="Calibri" w:hAnsi="Franklin Gothic Book" w:cs="Times New Roman"/>
          <w:iCs/>
        </w:rPr>
        <w:t>)</w:t>
      </w:r>
      <w:r w:rsidRPr="00490E27">
        <w:rPr>
          <w:rFonts w:ascii="Franklin Gothic Book" w:eastAsia="Calibri" w:hAnsi="Franklin Gothic Book" w:cs="Times New Roman"/>
          <w:iCs/>
        </w:rPr>
        <w:t xml:space="preserve"> reported </w:t>
      </w:r>
      <w:r>
        <w:rPr>
          <w:rFonts w:ascii="Franklin Gothic Book" w:eastAsia="Calibri" w:hAnsi="Franklin Gothic Book" w:cs="Times New Roman"/>
          <w:iCs/>
        </w:rPr>
        <w:t xml:space="preserve">clinical </w:t>
      </w:r>
      <w:r w:rsidRPr="00490E27">
        <w:rPr>
          <w:rFonts w:ascii="Franklin Gothic Book" w:eastAsia="Calibri" w:hAnsi="Franklin Gothic Book" w:cs="Times New Roman"/>
          <w:iCs/>
        </w:rPr>
        <w:t xml:space="preserve">outcomes for a case series of breast cancer patients whose treatment was directed by their EPclin </w:t>
      </w:r>
      <w:r>
        <w:rPr>
          <w:rFonts w:ascii="Franklin Gothic Book" w:eastAsia="Calibri" w:hAnsi="Franklin Gothic Book" w:cs="Times New Roman"/>
          <w:iCs/>
        </w:rPr>
        <w:t>s</w:t>
      </w:r>
      <w:r w:rsidRPr="00490E27">
        <w:rPr>
          <w:rFonts w:ascii="Franklin Gothic Book" w:eastAsia="Calibri" w:hAnsi="Franklin Gothic Book" w:cs="Times New Roman"/>
          <w:iCs/>
        </w:rPr>
        <w:t>core</w:t>
      </w:r>
      <w:r>
        <w:rPr>
          <w:rFonts w:ascii="Franklin Gothic Book" w:eastAsia="Calibri" w:hAnsi="Franklin Gothic Book" w:cs="Times New Roman"/>
          <w:iCs/>
        </w:rPr>
        <w:t>, though only</w:t>
      </w:r>
      <w:r w:rsidRPr="00490E27">
        <w:rPr>
          <w:rFonts w:ascii="Franklin Gothic Book" w:eastAsia="Calibri" w:hAnsi="Franklin Gothic Book" w:cs="Times New Roman"/>
          <w:iCs/>
        </w:rPr>
        <w:t xml:space="preserve"> at </w:t>
      </w:r>
      <w:r>
        <w:rPr>
          <w:rFonts w:ascii="Franklin Gothic Book" w:eastAsia="Calibri" w:hAnsi="Franklin Gothic Book" w:cs="Times New Roman"/>
          <w:iCs/>
        </w:rPr>
        <w:t xml:space="preserve">the </w:t>
      </w:r>
      <w:r w:rsidRPr="00490E27">
        <w:rPr>
          <w:rFonts w:ascii="Franklin Gothic Book" w:eastAsia="Calibri" w:hAnsi="Franklin Gothic Book" w:cs="Times New Roman"/>
          <w:iCs/>
        </w:rPr>
        <w:t xml:space="preserve">3-year follow-up. </w:t>
      </w:r>
      <w:r>
        <w:rPr>
          <w:rFonts w:ascii="Franklin Gothic Book" w:eastAsia="Calibri" w:hAnsi="Franklin Gothic Book" w:cs="Times New Roman"/>
          <w:iCs/>
        </w:rPr>
        <w:t>ESC noted</w:t>
      </w:r>
      <w:r w:rsidRPr="00490E27">
        <w:rPr>
          <w:rFonts w:ascii="Franklin Gothic Book" w:eastAsia="Calibri" w:hAnsi="Franklin Gothic Book" w:cs="Times New Roman"/>
          <w:iCs/>
        </w:rPr>
        <w:t xml:space="preserve"> the study population was not specifically intermediate risk before using EndoPredict</w:t>
      </w:r>
      <w:proofErr w:type="gramStart"/>
      <w:r w:rsidR="005F1260" w:rsidRPr="005F1260">
        <w:rPr>
          <w:rFonts w:ascii="Franklin Gothic Book" w:eastAsia="SimSun" w:hAnsi="Franklin Gothic Book" w:cs="Times New Roman"/>
          <w:color w:val="000000"/>
          <w:vertAlign w:val="superscript"/>
        </w:rPr>
        <w:t>®</w:t>
      </w:r>
      <w:r w:rsidRPr="00490E27">
        <w:rPr>
          <w:rFonts w:ascii="Franklin Gothic Book" w:eastAsia="Calibri" w:hAnsi="Franklin Gothic Book" w:cs="Times New Roman"/>
          <w:iCs/>
        </w:rPr>
        <w:t>, and</w:t>
      </w:r>
      <w:proofErr w:type="gramEnd"/>
      <w:r>
        <w:rPr>
          <w:rFonts w:ascii="Franklin Gothic Book" w:eastAsia="Calibri" w:hAnsi="Franklin Gothic Book" w:cs="Times New Roman"/>
          <w:iCs/>
        </w:rPr>
        <w:t xml:space="preserve"> considered</w:t>
      </w:r>
      <w:r w:rsidRPr="00490E27">
        <w:rPr>
          <w:rFonts w:ascii="Franklin Gothic Book" w:eastAsia="Calibri" w:hAnsi="Franklin Gothic Book" w:cs="Times New Roman"/>
          <w:iCs/>
        </w:rPr>
        <w:t xml:space="preserve"> the study’s applicability to the Australian early breast cancer population is uncertain. In addition, ESC noted that all patients received EndoPredict</w:t>
      </w:r>
      <w:r w:rsidR="005F1260" w:rsidRPr="005F1260">
        <w:rPr>
          <w:rFonts w:ascii="Franklin Gothic Book" w:eastAsia="SimSun" w:hAnsi="Franklin Gothic Book" w:cs="Times New Roman"/>
          <w:color w:val="000000"/>
          <w:vertAlign w:val="superscript"/>
        </w:rPr>
        <w:t>®</w:t>
      </w:r>
      <w:r w:rsidRPr="00490E27">
        <w:rPr>
          <w:rFonts w:ascii="Franklin Gothic Book" w:eastAsia="Calibri" w:hAnsi="Franklin Gothic Book" w:cs="Times New Roman"/>
          <w:iCs/>
        </w:rPr>
        <w:t>, so no comparisons can be made against likely health outcomes resulting from not using EndoPredict</w:t>
      </w:r>
      <w:r w:rsidR="005F1260" w:rsidRPr="005F1260">
        <w:rPr>
          <w:rFonts w:ascii="Franklin Gothic Book" w:eastAsia="SimSun" w:hAnsi="Franklin Gothic Book" w:cs="Times New Roman"/>
          <w:color w:val="000000"/>
          <w:vertAlign w:val="superscript"/>
        </w:rPr>
        <w:t>®</w:t>
      </w:r>
      <w:r>
        <w:rPr>
          <w:rFonts w:ascii="Franklin Gothic Book" w:eastAsia="SimSun" w:hAnsi="Franklin Gothic Book" w:cs="Times New Roman"/>
          <w:color w:val="000000"/>
        </w:rPr>
        <w:t>. ESC considered the comparison of high-risk patients who did versus did not follow the chemotherapy recommendation had limited relevance because these patients deciding to have or not have chemotherapy are likely to differ from patients at intermediate risk</w:t>
      </w:r>
      <w:r w:rsidRPr="00490E27">
        <w:rPr>
          <w:rFonts w:ascii="Franklin Gothic Book" w:eastAsia="Calibri" w:hAnsi="Franklin Gothic Book" w:cs="Times New Roman"/>
          <w:iCs/>
        </w:rPr>
        <w:t>.</w:t>
      </w:r>
    </w:p>
    <w:p w14:paraId="03152A2E" w14:textId="44239433" w:rsidR="006A153F" w:rsidRPr="00490E27" w:rsidRDefault="006A153F" w:rsidP="006A153F">
      <w:pPr>
        <w:spacing w:before="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t xml:space="preserve">ESC noted that Penault-Llorca </w:t>
      </w:r>
      <w:r>
        <w:rPr>
          <w:rFonts w:ascii="Franklin Gothic Book" w:eastAsia="Calibri" w:hAnsi="Franklin Gothic Book" w:cs="Times New Roman"/>
          <w:iCs/>
        </w:rPr>
        <w:t>et al. (</w:t>
      </w:r>
      <w:r w:rsidRPr="00490E27">
        <w:rPr>
          <w:rFonts w:ascii="Franklin Gothic Book" w:eastAsia="Calibri" w:hAnsi="Franklin Gothic Book" w:cs="Times New Roman"/>
          <w:iCs/>
        </w:rPr>
        <w:t>2020</w:t>
      </w:r>
      <w:r>
        <w:rPr>
          <w:rFonts w:ascii="Franklin Gothic Book" w:eastAsia="Calibri" w:hAnsi="Franklin Gothic Book" w:cs="Times New Roman"/>
          <w:iCs/>
        </w:rPr>
        <w:t>)</w:t>
      </w:r>
      <w:r w:rsidRPr="00490E27">
        <w:rPr>
          <w:rFonts w:ascii="Franklin Gothic Book" w:eastAsia="Calibri" w:hAnsi="Franklin Gothic Book" w:cs="Times New Roman"/>
          <w:iCs/>
        </w:rPr>
        <w:t xml:space="preserve"> reported p</w:t>
      </w:r>
      <w:r>
        <w:rPr>
          <w:rFonts w:ascii="Franklin Gothic Book" w:eastAsia="Calibri" w:hAnsi="Franklin Gothic Book" w:cs="Times New Roman"/>
          <w:iCs/>
        </w:rPr>
        <w:t>s</w:t>
      </w:r>
      <w:r w:rsidRPr="00490E27">
        <w:rPr>
          <w:rFonts w:ascii="Franklin Gothic Book" w:eastAsia="Calibri" w:hAnsi="Franklin Gothic Book" w:cs="Times New Roman"/>
          <w:iCs/>
        </w:rPr>
        <w:t>ychologi</w:t>
      </w:r>
      <w:r>
        <w:rPr>
          <w:rFonts w:ascii="Franklin Gothic Book" w:eastAsia="Calibri" w:hAnsi="Franklin Gothic Book" w:cs="Times New Roman"/>
          <w:iCs/>
        </w:rPr>
        <w:t>c</w:t>
      </w:r>
      <w:r w:rsidRPr="00490E27">
        <w:rPr>
          <w:rFonts w:ascii="Franklin Gothic Book" w:eastAsia="Calibri" w:hAnsi="Franklin Gothic Book" w:cs="Times New Roman"/>
          <w:iCs/>
        </w:rPr>
        <w:t>al outcomes for a cohort with grade 2, or grade 3 and pT &lt;2</w:t>
      </w:r>
      <w:r>
        <w:rPr>
          <w:rFonts w:ascii="Franklin Gothic Book" w:eastAsia="Calibri" w:hAnsi="Franklin Gothic Book" w:cs="Times New Roman"/>
          <w:iCs/>
        </w:rPr>
        <w:t> </w:t>
      </w:r>
      <w:r w:rsidRPr="00490E27">
        <w:rPr>
          <w:rFonts w:ascii="Franklin Gothic Book" w:eastAsia="Calibri" w:hAnsi="Franklin Gothic Book" w:cs="Times New Roman"/>
          <w:iCs/>
        </w:rPr>
        <w:t>cm, or lobular histology, which more closely aligns with the intended MBS-eligible population in Australia. Increased anxiety levels were associated with the change in treatment at the second decision point that followed the EndoPredict</w:t>
      </w:r>
      <w:r w:rsidR="005F1260" w:rsidRPr="005F1260">
        <w:rPr>
          <w:rFonts w:ascii="Franklin Gothic Book" w:eastAsia="SimSun" w:hAnsi="Franklin Gothic Book" w:cs="Times New Roman"/>
          <w:color w:val="000000"/>
          <w:vertAlign w:val="superscript"/>
        </w:rPr>
        <w:t>®</w:t>
      </w:r>
      <w:r w:rsidRPr="00490E27">
        <w:rPr>
          <w:rFonts w:ascii="Franklin Gothic Book" w:eastAsia="Calibri" w:hAnsi="Franklin Gothic Book" w:cs="Times New Roman"/>
          <w:iCs/>
        </w:rPr>
        <w:t xml:space="preserve"> test. As patients had already been given a treatment recommendation, ESC noted that it was not possible to determine whether performing EndoPredict</w:t>
      </w:r>
      <w:r w:rsidR="005F1260" w:rsidRPr="005F1260">
        <w:rPr>
          <w:rFonts w:ascii="Franklin Gothic Book" w:eastAsia="SimSun" w:hAnsi="Franklin Gothic Book" w:cs="Times New Roman"/>
          <w:color w:val="000000"/>
          <w:vertAlign w:val="superscript"/>
        </w:rPr>
        <w:t>®</w:t>
      </w:r>
      <w:r w:rsidRPr="00490E27">
        <w:rPr>
          <w:rFonts w:ascii="Franklin Gothic Book" w:eastAsia="Calibri" w:hAnsi="Franklin Gothic Book" w:cs="Times New Roman"/>
          <w:iCs/>
        </w:rPr>
        <w:t xml:space="preserve"> had an impact on decision-related anxiety, or whether </w:t>
      </w:r>
      <w:r>
        <w:rPr>
          <w:rFonts w:ascii="Franklin Gothic Book" w:eastAsia="Calibri" w:hAnsi="Franklin Gothic Book" w:cs="Times New Roman"/>
          <w:iCs/>
        </w:rPr>
        <w:t>the anxiety</w:t>
      </w:r>
      <w:r w:rsidRPr="00490E27">
        <w:rPr>
          <w:rFonts w:ascii="Franklin Gothic Book" w:eastAsia="Calibri" w:hAnsi="Franklin Gothic Book" w:cs="Times New Roman"/>
          <w:iCs/>
        </w:rPr>
        <w:t xml:space="preserve"> was related to changing the treatment plan.</w:t>
      </w:r>
    </w:p>
    <w:p w14:paraId="5DFFDA8F" w14:textId="77777777" w:rsidR="006A153F" w:rsidRDefault="006A153F" w:rsidP="006A153F">
      <w:pPr>
        <w:spacing w:before="120" w:line="256" w:lineRule="auto"/>
        <w:ind w:right="396"/>
        <w:rPr>
          <w:rFonts w:ascii="Franklin Gothic Book" w:eastAsia="SimSun" w:hAnsi="Franklin Gothic Book" w:cs="Times New Roman"/>
          <w:color w:val="000000"/>
          <w:lang w:val="en-US"/>
        </w:rPr>
      </w:pPr>
      <w:r>
        <w:rPr>
          <w:rFonts w:ascii="Franklin Gothic Book" w:eastAsia="SimSun" w:hAnsi="Franklin Gothic Book" w:cs="Times New Roman"/>
          <w:color w:val="000000"/>
        </w:rPr>
        <w:t>ESC noted no new evidence had been provided for treatment benefit predictive value (</w:t>
      </w:r>
      <w:proofErr w:type="gramStart"/>
      <w:r>
        <w:rPr>
          <w:rFonts w:ascii="Franklin Gothic Book" w:eastAsia="SimSun" w:hAnsi="Franklin Gothic Book" w:cs="Times New Roman"/>
          <w:color w:val="000000"/>
        </w:rPr>
        <w:t>e.g.</w:t>
      </w:r>
      <w:proofErr w:type="gramEnd"/>
      <w:r>
        <w:rPr>
          <w:rFonts w:ascii="Franklin Gothic Book" w:eastAsia="SimSun" w:hAnsi="Franklin Gothic Book" w:cs="Times New Roman"/>
          <w:color w:val="000000"/>
        </w:rPr>
        <w:t xml:space="preserve"> effect modification in a prospective randomised controlled trial), to support the claim of predictive value. ESC noted the re-application again provided </w:t>
      </w:r>
      <w:r w:rsidRPr="0007128A">
        <w:rPr>
          <w:rFonts w:ascii="Franklin Gothic Book" w:eastAsia="SimSun" w:hAnsi="Franklin Gothic Book" w:cs="Times New Roman"/>
          <w:color w:val="000000"/>
        </w:rPr>
        <w:t xml:space="preserve">Sestak </w:t>
      </w:r>
      <w:r>
        <w:rPr>
          <w:rFonts w:ascii="Franklin Gothic Book" w:eastAsia="SimSun" w:hAnsi="Franklin Gothic Book" w:cs="Times New Roman"/>
          <w:color w:val="000000"/>
        </w:rPr>
        <w:t>et al. (</w:t>
      </w:r>
      <w:r w:rsidRPr="0007128A">
        <w:rPr>
          <w:rFonts w:ascii="Franklin Gothic Book" w:eastAsia="SimSun" w:hAnsi="Franklin Gothic Book" w:cs="Times New Roman"/>
          <w:color w:val="000000"/>
        </w:rPr>
        <w:t>2019</w:t>
      </w:r>
      <w:r>
        <w:rPr>
          <w:rFonts w:ascii="Franklin Gothic Book" w:eastAsia="SimSun" w:hAnsi="Franklin Gothic Book" w:cs="Times New Roman"/>
          <w:color w:val="000000"/>
        </w:rPr>
        <w:t>)’s</w:t>
      </w:r>
      <w:r w:rsidRPr="0007128A">
        <w:rPr>
          <w:rFonts w:ascii="Franklin Gothic Book" w:eastAsia="SimSun" w:hAnsi="Franklin Gothic Book" w:cs="Times New Roman"/>
          <w:color w:val="000000"/>
        </w:rPr>
        <w:t xml:space="preserve"> retrospective analysis of </w:t>
      </w:r>
      <w:r>
        <w:rPr>
          <w:rFonts w:ascii="Franklin Gothic Book" w:eastAsia="SimSun" w:hAnsi="Franklin Gothic Book" w:cs="Times New Roman"/>
          <w:color w:val="000000"/>
        </w:rPr>
        <w:t>five</w:t>
      </w:r>
      <w:r w:rsidRPr="0007128A">
        <w:rPr>
          <w:rFonts w:ascii="Franklin Gothic Book" w:eastAsia="SimSun" w:hAnsi="Franklin Gothic Book" w:cs="Times New Roman"/>
          <w:color w:val="000000"/>
        </w:rPr>
        <w:t xml:space="preserve"> trials with indirect comparisons across studies</w:t>
      </w:r>
      <w:r>
        <w:rPr>
          <w:rFonts w:ascii="Franklin Gothic Book" w:eastAsia="SimSun" w:hAnsi="Franklin Gothic Book" w:cs="Times New Roman"/>
          <w:color w:val="000000"/>
        </w:rPr>
        <w:t>, which showed a</w:t>
      </w:r>
      <w:r w:rsidRPr="0007128A">
        <w:rPr>
          <w:rFonts w:ascii="Franklin Gothic Book" w:eastAsia="SimSun" w:hAnsi="Franklin Gothic Book" w:cs="Times New Roman"/>
          <w:color w:val="000000"/>
        </w:rPr>
        <w:t xml:space="preserve"> statistically significant </w:t>
      </w:r>
      <w:r>
        <w:rPr>
          <w:rFonts w:ascii="Franklin Gothic Book" w:eastAsia="SimSun" w:hAnsi="Franklin Gothic Book" w:cs="Times New Roman"/>
          <w:color w:val="000000"/>
        </w:rPr>
        <w:t>i</w:t>
      </w:r>
      <w:r w:rsidRPr="0007128A">
        <w:rPr>
          <w:rFonts w:ascii="Franklin Gothic Book" w:eastAsia="SimSun" w:hAnsi="Franklin Gothic Book" w:cs="Times New Roman"/>
          <w:color w:val="000000"/>
        </w:rPr>
        <w:t>nteraction between chemotherapy benefit and EPclin as a continuous variable (p=0.022)</w:t>
      </w:r>
      <w:r>
        <w:rPr>
          <w:rFonts w:ascii="Franklin Gothic Book" w:eastAsia="SimSun" w:hAnsi="Franklin Gothic Book" w:cs="Times New Roman"/>
          <w:color w:val="000000"/>
        </w:rPr>
        <w:t xml:space="preserve"> – however ESC also noted that</w:t>
      </w:r>
      <w:r w:rsidRPr="0007128A">
        <w:rPr>
          <w:rFonts w:ascii="Franklin Gothic Book" w:eastAsia="SimSun" w:hAnsi="Franklin Gothic Book" w:cs="Times New Roman"/>
          <w:color w:val="000000"/>
        </w:rPr>
        <w:t xml:space="preserve"> </w:t>
      </w:r>
      <w:r>
        <w:rPr>
          <w:rFonts w:ascii="Franklin Gothic Book" w:eastAsia="SimSun" w:hAnsi="Franklin Gothic Book" w:cs="Times New Roman"/>
          <w:color w:val="000000"/>
        </w:rPr>
        <w:t xml:space="preserve">MSAC had previously advised that </w:t>
      </w:r>
      <w:r w:rsidRPr="001B035F">
        <w:rPr>
          <w:rFonts w:ascii="Franklin Gothic Book" w:eastAsia="SimSun" w:hAnsi="Franklin Gothic Book" w:cs="Times New Roman"/>
          <w:i/>
          <w:iCs/>
          <w:color w:val="000000"/>
          <w:lang w:val="en-US"/>
        </w:rPr>
        <w:t>“the retrospective analysis of three cohorts derived from four randomised clinical trials … could not be relied upon for decision making”</w:t>
      </w:r>
      <w:r w:rsidRPr="001B035F">
        <w:rPr>
          <w:rFonts w:ascii="Franklin Gothic Book" w:eastAsia="SimSun" w:hAnsi="Franklin Gothic Book" w:cs="Times New Roman"/>
          <w:b/>
          <w:bCs/>
          <w:color w:val="000000"/>
          <w:lang w:val="en-US"/>
        </w:rPr>
        <w:t xml:space="preserve"> </w:t>
      </w:r>
      <w:r w:rsidRPr="001B035F">
        <w:rPr>
          <w:rFonts w:ascii="Franklin Gothic Book" w:eastAsia="SimSun" w:hAnsi="Franklin Gothic Book" w:cs="Times New Roman"/>
          <w:color w:val="000000"/>
          <w:lang w:val="en-US"/>
        </w:rPr>
        <w:t>(1408 PSD</w:t>
      </w:r>
      <w:r>
        <w:rPr>
          <w:rFonts w:ascii="Franklin Gothic Book" w:eastAsia="SimSun" w:hAnsi="Franklin Gothic Book" w:cs="Times New Roman"/>
          <w:color w:val="000000"/>
          <w:lang w:val="en-US"/>
        </w:rPr>
        <w:t>, Nov 2019</w:t>
      </w:r>
      <w:r w:rsidRPr="001B035F">
        <w:rPr>
          <w:rFonts w:ascii="Franklin Gothic Book" w:eastAsia="SimSun" w:hAnsi="Franklin Gothic Book" w:cs="Times New Roman"/>
          <w:color w:val="000000"/>
          <w:lang w:val="en-US"/>
        </w:rPr>
        <w:t>).</w:t>
      </w:r>
    </w:p>
    <w:p w14:paraId="3B709477" w14:textId="77777777" w:rsidR="006A153F" w:rsidRDefault="006A153F" w:rsidP="006A153F">
      <w:pPr>
        <w:spacing w:before="120" w:line="256" w:lineRule="auto"/>
        <w:ind w:right="396"/>
        <w:rPr>
          <w:rFonts w:ascii="Franklin Gothic Book" w:eastAsia="SimSun" w:hAnsi="Franklin Gothic Book" w:cs="Times New Roman"/>
          <w:color w:val="000000"/>
        </w:rPr>
      </w:pPr>
      <w:r>
        <w:rPr>
          <w:rFonts w:ascii="Franklin Gothic Book" w:eastAsia="SimSun" w:hAnsi="Franklin Gothic Book" w:cs="Times New Roman"/>
          <w:color w:val="000000"/>
        </w:rPr>
        <w:t xml:space="preserve">ESC considered the lack of the MSAC-requested level of evidence for any effect modification is pivotal to the economic </w:t>
      </w:r>
      <w:proofErr w:type="gramStart"/>
      <w:r>
        <w:rPr>
          <w:rFonts w:ascii="Franklin Gothic Book" w:eastAsia="SimSun" w:hAnsi="Franklin Gothic Book" w:cs="Times New Roman"/>
          <w:color w:val="000000"/>
        </w:rPr>
        <w:t>model, and</w:t>
      </w:r>
      <w:proofErr w:type="gramEnd"/>
      <w:r>
        <w:rPr>
          <w:rFonts w:ascii="Franklin Gothic Book" w:eastAsia="SimSun" w:hAnsi="Franklin Gothic Book" w:cs="Times New Roman"/>
          <w:color w:val="000000"/>
        </w:rPr>
        <w:t xml:space="preserve"> considered it inappropriate to claim that there is predictive value via an effect modification to drive the economic model. ESC considered that an acceptable use of the prognostic value may be to estimate potential absolute benefit using the baseline absolute risk of recurrence for the patient, multiplying by the relative risk reduction from treatment, and assuming this is a constant relative risk reduction was assumed across all groups (</w:t>
      </w:r>
      <w:proofErr w:type="gramStart"/>
      <w:r>
        <w:rPr>
          <w:rFonts w:ascii="Franklin Gothic Book" w:eastAsia="SimSun" w:hAnsi="Franklin Gothic Book" w:cs="Times New Roman"/>
          <w:color w:val="000000"/>
        </w:rPr>
        <w:t>i.e.</w:t>
      </w:r>
      <w:proofErr w:type="gramEnd"/>
      <w:r>
        <w:rPr>
          <w:rFonts w:ascii="Franklin Gothic Book" w:eastAsia="SimSun" w:hAnsi="Franklin Gothic Book" w:cs="Times New Roman"/>
          <w:color w:val="000000"/>
        </w:rPr>
        <w:t xml:space="preserve"> no effect modification). ESC considered this absolute risk approach is consistent with the “stratified care” approach used for management decisions of other conditions. For example, decisions on whether to start primary cardiovascular preventative drugs may be made based on the person’s baseline absolute risk and the size of potential reduction in this risk with treatment. This approach assumes a constant relative risk reduction across different subgroups, </w:t>
      </w:r>
      <w:proofErr w:type="gramStart"/>
      <w:r>
        <w:rPr>
          <w:rFonts w:ascii="Franklin Gothic Book" w:eastAsia="SimSun" w:hAnsi="Franklin Gothic Book" w:cs="Times New Roman"/>
          <w:color w:val="000000"/>
        </w:rPr>
        <w:t>i.e.</w:t>
      </w:r>
      <w:proofErr w:type="gramEnd"/>
      <w:r>
        <w:rPr>
          <w:rFonts w:ascii="Franklin Gothic Book" w:eastAsia="SimSun" w:hAnsi="Franklin Gothic Book" w:cs="Times New Roman"/>
          <w:color w:val="000000"/>
        </w:rPr>
        <w:t xml:space="preserve"> </w:t>
      </w:r>
      <w:r w:rsidRPr="00216743">
        <w:rPr>
          <w:rFonts w:ascii="Franklin Gothic Book" w:eastAsia="SimSun" w:hAnsi="Franklin Gothic Book" w:cs="Times New Roman"/>
          <w:color w:val="000000"/>
        </w:rPr>
        <w:t>no treatment effect modification</w:t>
      </w:r>
      <w:r>
        <w:rPr>
          <w:rFonts w:ascii="Franklin Gothic Book" w:eastAsia="SimSun" w:hAnsi="Franklin Gothic Book" w:cs="Times New Roman"/>
          <w:color w:val="000000"/>
        </w:rPr>
        <w:t>.</w:t>
      </w:r>
    </w:p>
    <w:p w14:paraId="68FC7504" w14:textId="77777777" w:rsidR="006A153F" w:rsidRPr="00490E27" w:rsidRDefault="006A153F" w:rsidP="006A153F">
      <w:pPr>
        <w:spacing w:before="120" w:line="256" w:lineRule="auto"/>
        <w:ind w:right="396"/>
        <w:rPr>
          <w:rFonts w:ascii="Franklin Gothic Book" w:eastAsia="Calibri" w:hAnsi="Franklin Gothic Book" w:cs="Times New Roman"/>
          <w:iCs/>
        </w:rPr>
      </w:pPr>
      <w:r>
        <w:rPr>
          <w:rFonts w:ascii="Franklin Gothic Book" w:eastAsia="Calibri" w:hAnsi="Franklin Gothic Book" w:cs="Times New Roman"/>
          <w:iCs/>
        </w:rPr>
        <w:t xml:space="preserve">ESC considered that the other economic issues raised by MSAC in November 2019 remained largely unaddressed by this re-application. </w:t>
      </w:r>
      <w:r w:rsidRPr="00490E27">
        <w:rPr>
          <w:rFonts w:ascii="Franklin Gothic Book" w:eastAsia="Calibri" w:hAnsi="Franklin Gothic Book" w:cs="Times New Roman"/>
          <w:iCs/>
        </w:rPr>
        <w:t xml:space="preserve">ESC accepted the </w:t>
      </w:r>
      <w:r>
        <w:rPr>
          <w:rFonts w:ascii="Franklin Gothic Book" w:eastAsia="Calibri" w:hAnsi="Franklin Gothic Book" w:cs="Times New Roman"/>
          <w:iCs/>
        </w:rPr>
        <w:t>decision tree</w:t>
      </w:r>
      <w:r w:rsidRPr="00490E27">
        <w:rPr>
          <w:rFonts w:ascii="Franklin Gothic Book" w:eastAsia="Calibri" w:hAnsi="Franklin Gothic Book" w:cs="Times New Roman"/>
          <w:iCs/>
        </w:rPr>
        <w:t xml:space="preserve">-Markov model as appropriate for the economic evaluation, with </w:t>
      </w:r>
      <w:r>
        <w:rPr>
          <w:rFonts w:ascii="Franklin Gothic Book" w:eastAsia="Calibri" w:hAnsi="Franklin Gothic Book" w:cs="Times New Roman"/>
          <w:iCs/>
        </w:rPr>
        <w:t>the decision tree</w:t>
      </w:r>
      <w:r w:rsidRPr="00490E27">
        <w:rPr>
          <w:rFonts w:ascii="Franklin Gothic Book" w:eastAsia="Calibri" w:hAnsi="Franklin Gothic Book" w:cs="Times New Roman"/>
          <w:iCs/>
        </w:rPr>
        <w:t xml:space="preserve"> representing risk classification (high or low)</w:t>
      </w:r>
      <w:r>
        <w:rPr>
          <w:rFonts w:ascii="Franklin Gothic Book" w:eastAsia="Calibri" w:hAnsi="Franklin Gothic Book" w:cs="Times New Roman"/>
          <w:iCs/>
        </w:rPr>
        <w:t>,</w:t>
      </w:r>
      <w:r w:rsidRPr="00490E27">
        <w:rPr>
          <w:rFonts w:ascii="Franklin Gothic Book" w:eastAsia="Calibri" w:hAnsi="Franklin Gothic Book" w:cs="Times New Roman"/>
          <w:iCs/>
        </w:rPr>
        <w:t xml:space="preserve"> lymph node status (positive or negative) and treatment decision (4 groups), and the Markov </w:t>
      </w:r>
      <w:r>
        <w:rPr>
          <w:rFonts w:ascii="Franklin Gothic Book" w:eastAsia="Calibri" w:hAnsi="Franklin Gothic Book" w:cs="Times New Roman"/>
          <w:iCs/>
        </w:rPr>
        <w:t xml:space="preserve">model </w:t>
      </w:r>
      <w:r w:rsidRPr="00490E27">
        <w:rPr>
          <w:rFonts w:ascii="Franklin Gothic Book" w:eastAsia="Calibri" w:hAnsi="Franklin Gothic Book" w:cs="Times New Roman"/>
          <w:iCs/>
        </w:rPr>
        <w:t>representing patients’ progression (“no distant recurrence”, “distant recurrence”, “cancer death” and “natural death”).</w:t>
      </w:r>
    </w:p>
    <w:p w14:paraId="382207D9" w14:textId="77777777" w:rsidR="006A153F" w:rsidRPr="00490E27" w:rsidRDefault="006A153F" w:rsidP="006A153F">
      <w:pPr>
        <w:spacing w:before="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lastRenderedPageBreak/>
        <w:t xml:space="preserve">ESC noted the main changes to the economic evaluation </w:t>
      </w:r>
      <w:r>
        <w:rPr>
          <w:rFonts w:ascii="Franklin Gothic Book" w:eastAsia="Calibri" w:hAnsi="Franklin Gothic Book" w:cs="Times New Roman"/>
          <w:iCs/>
        </w:rPr>
        <w:t xml:space="preserve">since the first </w:t>
      </w:r>
      <w:r>
        <w:rPr>
          <w:rFonts w:ascii="Franklin Gothic Book" w:eastAsia="SimSun" w:hAnsi="Franklin Gothic Book" w:cs="Times New Roman"/>
          <w:color w:val="000000"/>
        </w:rPr>
        <w:t>application</w:t>
      </w:r>
      <w:r>
        <w:rPr>
          <w:rFonts w:ascii="Franklin Gothic Book" w:eastAsia="Calibri" w:hAnsi="Franklin Gothic Book" w:cs="Times New Roman"/>
          <w:iCs/>
        </w:rPr>
        <w:t xml:space="preserve"> </w:t>
      </w:r>
      <w:r w:rsidRPr="00490E27">
        <w:rPr>
          <w:rFonts w:ascii="Franklin Gothic Book" w:eastAsia="Calibri" w:hAnsi="Franklin Gothic Book" w:cs="Times New Roman"/>
          <w:iCs/>
        </w:rPr>
        <w:t xml:space="preserve">were the updated change in management </w:t>
      </w:r>
      <w:r>
        <w:rPr>
          <w:rFonts w:ascii="Franklin Gothic Book" w:eastAsia="Calibri" w:hAnsi="Franklin Gothic Book" w:cs="Times New Roman"/>
          <w:iCs/>
        </w:rPr>
        <w:t xml:space="preserve">estimates from the </w:t>
      </w:r>
      <w:r w:rsidRPr="00490E27">
        <w:rPr>
          <w:rFonts w:ascii="Franklin Gothic Book" w:eastAsia="Calibri" w:hAnsi="Franklin Gothic Book" w:cs="Times New Roman"/>
          <w:iCs/>
        </w:rPr>
        <w:t xml:space="preserve">PROSPER analysis and the </w:t>
      </w:r>
      <w:r>
        <w:rPr>
          <w:rFonts w:ascii="Franklin Gothic Book" w:eastAsia="Calibri" w:hAnsi="Franklin Gothic Book" w:cs="Times New Roman"/>
          <w:iCs/>
        </w:rPr>
        <w:t xml:space="preserve">updated </w:t>
      </w:r>
      <w:r w:rsidRPr="00490E27">
        <w:rPr>
          <w:rFonts w:ascii="Franklin Gothic Book" w:eastAsia="Calibri" w:hAnsi="Franklin Gothic Book" w:cs="Times New Roman"/>
          <w:iCs/>
        </w:rPr>
        <w:t xml:space="preserve">cost inputs. </w:t>
      </w:r>
      <w:r>
        <w:rPr>
          <w:rFonts w:ascii="Franklin Gothic Book" w:eastAsia="Calibri" w:hAnsi="Franklin Gothic Book" w:cs="Times New Roman"/>
          <w:iCs/>
        </w:rPr>
        <w:t>ESC considered that the PROSPER updated estimates favoured the intervention. The c</w:t>
      </w:r>
      <w:r w:rsidRPr="00490E27">
        <w:rPr>
          <w:rFonts w:ascii="Franklin Gothic Book" w:eastAsia="Calibri" w:hAnsi="Franklin Gothic Book" w:cs="Times New Roman"/>
          <w:iCs/>
        </w:rPr>
        <w:t>ost inputs (treatment of recurrences) for the economic evaluation were sourced from Verry et al</w:t>
      </w:r>
      <w:r>
        <w:rPr>
          <w:rFonts w:ascii="Franklin Gothic Book" w:eastAsia="Calibri" w:hAnsi="Franklin Gothic Book" w:cs="Times New Roman"/>
          <w:iCs/>
        </w:rPr>
        <w:t>.</w:t>
      </w:r>
      <w:r w:rsidRPr="00490E27">
        <w:rPr>
          <w:rFonts w:ascii="Franklin Gothic Book" w:eastAsia="Calibri" w:hAnsi="Franklin Gothic Book" w:cs="Times New Roman"/>
          <w:iCs/>
        </w:rPr>
        <w:t xml:space="preserve"> (2012)</w:t>
      </w:r>
      <w:r>
        <w:rPr>
          <w:rFonts w:ascii="Franklin Gothic Book" w:eastAsia="Calibri" w:hAnsi="Franklin Gothic Book" w:cs="Times New Roman"/>
          <w:iCs/>
        </w:rPr>
        <w:t>, and</w:t>
      </w:r>
      <w:r w:rsidRPr="00490E27">
        <w:rPr>
          <w:rFonts w:ascii="Franklin Gothic Book" w:eastAsia="Calibri" w:hAnsi="Franklin Gothic Book" w:cs="Times New Roman"/>
          <w:iCs/>
        </w:rPr>
        <w:t xml:space="preserve"> updated for inflation</w:t>
      </w:r>
      <w:r>
        <w:rPr>
          <w:rFonts w:ascii="Franklin Gothic Book" w:eastAsia="Calibri" w:hAnsi="Franklin Gothic Book" w:cs="Times New Roman"/>
          <w:iCs/>
        </w:rPr>
        <w:t>,</w:t>
      </w:r>
      <w:r w:rsidRPr="00490E27">
        <w:rPr>
          <w:rFonts w:ascii="Franklin Gothic Book" w:eastAsia="Calibri" w:hAnsi="Franklin Gothic Book" w:cs="Times New Roman"/>
          <w:iCs/>
        </w:rPr>
        <w:t xml:space="preserve"> </w:t>
      </w:r>
      <w:r>
        <w:rPr>
          <w:rFonts w:ascii="Franklin Gothic Book" w:eastAsia="Calibri" w:hAnsi="Franklin Gothic Book" w:cs="Times New Roman"/>
          <w:iCs/>
        </w:rPr>
        <w:t>though</w:t>
      </w:r>
      <w:r w:rsidRPr="00490E27">
        <w:rPr>
          <w:rFonts w:ascii="Franklin Gothic Book" w:eastAsia="Calibri" w:hAnsi="Franklin Gothic Book" w:cs="Times New Roman"/>
          <w:iCs/>
        </w:rPr>
        <w:t xml:space="preserve"> assumed no change to clinical practice since publication.</w:t>
      </w:r>
    </w:p>
    <w:p w14:paraId="0C93F12B" w14:textId="77777777" w:rsidR="006A153F" w:rsidRPr="00490E27" w:rsidRDefault="006A153F" w:rsidP="006A153F">
      <w:pPr>
        <w:spacing w:before="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t>ESC noted the</w:t>
      </w:r>
      <w:r>
        <w:rPr>
          <w:rFonts w:ascii="Franklin Gothic Book" w:eastAsia="Calibri" w:hAnsi="Franklin Gothic Book" w:cs="Times New Roman"/>
          <w:iCs/>
        </w:rPr>
        <w:t xml:space="preserve"> </w:t>
      </w:r>
      <w:r>
        <w:rPr>
          <w:rFonts w:ascii="Franklin Gothic Book" w:eastAsia="SimSun" w:hAnsi="Franklin Gothic Book" w:cs="Times New Roman"/>
          <w:color w:val="000000"/>
        </w:rPr>
        <w:t>re-application</w:t>
      </w:r>
      <w:r>
        <w:rPr>
          <w:rFonts w:ascii="Franklin Gothic Book" w:eastAsia="Calibri" w:hAnsi="Franklin Gothic Book" w:cs="Times New Roman"/>
          <w:iCs/>
        </w:rPr>
        <w:t xml:space="preserve"> used a</w:t>
      </w:r>
      <w:r w:rsidRPr="00490E27">
        <w:rPr>
          <w:rFonts w:ascii="Franklin Gothic Book" w:eastAsia="Calibri" w:hAnsi="Franklin Gothic Book" w:cs="Times New Roman"/>
          <w:iCs/>
        </w:rPr>
        <w:t xml:space="preserve"> 50-year time horizon during which the intervention effect is assumed to continue, which MSAC </w:t>
      </w:r>
      <w:r>
        <w:rPr>
          <w:rFonts w:ascii="Franklin Gothic Book" w:eastAsia="Calibri" w:hAnsi="Franklin Gothic Book" w:cs="Times New Roman"/>
          <w:iCs/>
        </w:rPr>
        <w:t>regarded as a key concern</w:t>
      </w:r>
      <w:r w:rsidRPr="00490E27">
        <w:rPr>
          <w:rFonts w:ascii="Franklin Gothic Book" w:eastAsia="Calibri" w:hAnsi="Franklin Gothic Book" w:cs="Times New Roman"/>
          <w:iCs/>
        </w:rPr>
        <w:t xml:space="preserve"> </w:t>
      </w:r>
      <w:r>
        <w:rPr>
          <w:rFonts w:ascii="Franklin Gothic Book" w:eastAsia="Calibri" w:hAnsi="Franklin Gothic Book" w:cs="Times New Roman"/>
          <w:iCs/>
        </w:rPr>
        <w:t>in</w:t>
      </w:r>
      <w:r w:rsidRPr="00490E27">
        <w:rPr>
          <w:rFonts w:ascii="Franklin Gothic Book" w:eastAsia="Calibri" w:hAnsi="Franklin Gothic Book" w:cs="Times New Roman"/>
          <w:iCs/>
        </w:rPr>
        <w:t xml:space="preserve"> its 2019 consideration. ESC considered the most uncertain aspect of the economic evaluation is using the predictive </w:t>
      </w:r>
      <w:r>
        <w:rPr>
          <w:rFonts w:ascii="Franklin Gothic Book" w:eastAsia="Calibri" w:hAnsi="Franklin Gothic Book" w:cs="Times New Roman"/>
          <w:iCs/>
        </w:rPr>
        <w:t>effect</w:t>
      </w:r>
      <w:r w:rsidRPr="00490E27">
        <w:rPr>
          <w:rFonts w:ascii="Franklin Gothic Book" w:eastAsia="Calibri" w:hAnsi="Franklin Gothic Book" w:cs="Times New Roman"/>
          <w:iCs/>
        </w:rPr>
        <w:t xml:space="preserve"> as the clinical inputs to populate the Markov model; that is, </w:t>
      </w:r>
      <w:r>
        <w:rPr>
          <w:rFonts w:ascii="Franklin Gothic Book" w:eastAsia="Calibri" w:hAnsi="Franklin Gothic Book" w:cs="Times New Roman"/>
          <w:iCs/>
        </w:rPr>
        <w:t xml:space="preserve">whether </w:t>
      </w:r>
      <w:r w:rsidRPr="00490E27">
        <w:rPr>
          <w:rFonts w:ascii="Franklin Gothic Book" w:eastAsia="Calibri" w:hAnsi="Franklin Gothic Book" w:cs="Times New Roman"/>
          <w:iCs/>
        </w:rPr>
        <w:t xml:space="preserve">a high EPclin </w:t>
      </w:r>
      <w:r>
        <w:rPr>
          <w:rFonts w:ascii="Franklin Gothic Book" w:eastAsia="Calibri" w:hAnsi="Franklin Gothic Book" w:cs="Times New Roman"/>
          <w:iCs/>
        </w:rPr>
        <w:t>s</w:t>
      </w:r>
      <w:r w:rsidRPr="00490E27">
        <w:rPr>
          <w:rFonts w:ascii="Franklin Gothic Book" w:eastAsia="Calibri" w:hAnsi="Franklin Gothic Book" w:cs="Times New Roman"/>
          <w:iCs/>
        </w:rPr>
        <w:t xml:space="preserve">core can predict </w:t>
      </w:r>
      <w:r>
        <w:rPr>
          <w:rFonts w:ascii="Franklin Gothic Book" w:eastAsia="Calibri" w:hAnsi="Franklin Gothic Book" w:cs="Times New Roman"/>
          <w:iCs/>
        </w:rPr>
        <w:t>chemotherapy</w:t>
      </w:r>
      <w:r w:rsidRPr="00490E27">
        <w:rPr>
          <w:rFonts w:ascii="Franklin Gothic Book" w:eastAsia="Calibri" w:hAnsi="Franklin Gothic Book" w:cs="Times New Roman"/>
          <w:iCs/>
        </w:rPr>
        <w:t xml:space="preserve"> benefit</w:t>
      </w:r>
      <w:r>
        <w:rPr>
          <w:rFonts w:ascii="Franklin Gothic Book" w:eastAsia="Calibri" w:hAnsi="Franklin Gothic Book" w:cs="Times New Roman"/>
          <w:iCs/>
        </w:rPr>
        <w:t xml:space="preserve"> – </w:t>
      </w:r>
      <w:r w:rsidRPr="00490E27">
        <w:rPr>
          <w:rFonts w:ascii="Franklin Gothic Book" w:eastAsia="Calibri" w:hAnsi="Franklin Gothic Book" w:cs="Times New Roman"/>
          <w:iCs/>
        </w:rPr>
        <w:t xml:space="preserve">an assumption that MSAC did not support in 2019. </w:t>
      </w:r>
      <w:proofErr w:type="gramStart"/>
      <w:r>
        <w:rPr>
          <w:rFonts w:ascii="Franklin Gothic Book" w:eastAsia="Calibri" w:hAnsi="Franklin Gothic Book" w:cs="Times New Roman"/>
          <w:iCs/>
        </w:rPr>
        <w:t>Similarly</w:t>
      </w:r>
      <w:proofErr w:type="gramEnd"/>
      <w:r>
        <w:rPr>
          <w:rFonts w:ascii="Franklin Gothic Book" w:eastAsia="Calibri" w:hAnsi="Franklin Gothic Book" w:cs="Times New Roman"/>
          <w:iCs/>
        </w:rPr>
        <w:t xml:space="preserve"> ESC noted that the unchanged assumption of complete compliance with treatment decisions based on EPclin scores favoured the application and was not previously accepted by MSAC.</w:t>
      </w:r>
    </w:p>
    <w:p w14:paraId="2297B03A" w14:textId="77777777" w:rsidR="006A153F" w:rsidRPr="00490E27" w:rsidRDefault="006A153F" w:rsidP="006A153F">
      <w:pPr>
        <w:spacing w:before="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t xml:space="preserve">ESC noted the </w:t>
      </w:r>
      <w:r>
        <w:rPr>
          <w:rFonts w:ascii="Franklin Gothic Book" w:eastAsia="Calibri" w:hAnsi="Franklin Gothic Book" w:cs="Times New Roman"/>
          <w:iCs/>
        </w:rPr>
        <w:t xml:space="preserve">main source of </w:t>
      </w:r>
      <w:r w:rsidRPr="00490E27">
        <w:rPr>
          <w:rFonts w:ascii="Franklin Gothic Book" w:eastAsia="Calibri" w:hAnsi="Franklin Gothic Book" w:cs="Times New Roman"/>
          <w:iCs/>
        </w:rPr>
        <w:t xml:space="preserve">utility values </w:t>
      </w:r>
      <w:r>
        <w:rPr>
          <w:rFonts w:ascii="Franklin Gothic Book" w:eastAsia="Calibri" w:hAnsi="Franklin Gothic Book" w:cs="Times New Roman"/>
          <w:iCs/>
        </w:rPr>
        <w:t xml:space="preserve">was </w:t>
      </w:r>
      <w:r w:rsidRPr="00490E27">
        <w:rPr>
          <w:rFonts w:ascii="Franklin Gothic Book" w:eastAsia="Calibri" w:hAnsi="Franklin Gothic Book" w:cs="Times New Roman"/>
          <w:iCs/>
        </w:rPr>
        <w:t>unchanged from the previous application, which</w:t>
      </w:r>
      <w:r>
        <w:rPr>
          <w:rFonts w:ascii="Franklin Gothic Book" w:eastAsia="Calibri" w:hAnsi="Franklin Gothic Book" w:cs="Times New Roman"/>
          <w:iCs/>
        </w:rPr>
        <w:t xml:space="preserve"> it considered</w:t>
      </w:r>
      <w:r w:rsidRPr="00490E27">
        <w:rPr>
          <w:rFonts w:ascii="Franklin Gothic Book" w:eastAsia="Calibri" w:hAnsi="Franklin Gothic Book" w:cs="Times New Roman"/>
          <w:iCs/>
        </w:rPr>
        <w:t xml:space="preserve"> favour</w:t>
      </w:r>
      <w:r>
        <w:rPr>
          <w:rFonts w:ascii="Franklin Gothic Book" w:eastAsia="Calibri" w:hAnsi="Franklin Gothic Book" w:cs="Times New Roman"/>
          <w:iCs/>
        </w:rPr>
        <w:t>s</w:t>
      </w:r>
      <w:r w:rsidRPr="00490E27">
        <w:rPr>
          <w:rFonts w:ascii="Franklin Gothic Book" w:eastAsia="Calibri" w:hAnsi="Franklin Gothic Book" w:cs="Times New Roman"/>
          <w:iCs/>
        </w:rPr>
        <w:t xml:space="preserve"> the intervention.</w:t>
      </w:r>
    </w:p>
    <w:p w14:paraId="30505DFD" w14:textId="5AF9A4BF" w:rsidR="006A153F" w:rsidRPr="00490E27" w:rsidRDefault="006A153F" w:rsidP="006A153F">
      <w:pPr>
        <w:spacing w:before="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t xml:space="preserve">ESC noted that the ICER in </w:t>
      </w:r>
      <w:r>
        <w:rPr>
          <w:rFonts w:ascii="Franklin Gothic Book" w:eastAsia="Calibri" w:hAnsi="Franklin Gothic Book" w:cs="Times New Roman"/>
          <w:iCs/>
        </w:rPr>
        <w:t xml:space="preserve">the first </w:t>
      </w:r>
      <w:r>
        <w:rPr>
          <w:rFonts w:ascii="Franklin Gothic Book" w:eastAsia="SimSun" w:hAnsi="Franklin Gothic Book" w:cs="Times New Roman"/>
          <w:color w:val="000000"/>
        </w:rPr>
        <w:t>application</w:t>
      </w:r>
      <w:r w:rsidRPr="00490E27">
        <w:rPr>
          <w:rFonts w:ascii="Franklin Gothic Book" w:eastAsia="Calibri" w:hAnsi="Franklin Gothic Book" w:cs="Times New Roman"/>
          <w:iCs/>
        </w:rPr>
        <w:t xml:space="preserve"> was </w:t>
      </w:r>
      <w:r w:rsidRPr="008F66BB">
        <w:rPr>
          <w:rFonts w:ascii="Franklin Gothic Book" w:eastAsia="Calibri" w:hAnsi="Franklin Gothic Book" w:cs="Times New Roman"/>
          <w:iCs/>
        </w:rPr>
        <w:t>$</w:t>
      </w:r>
      <w:r w:rsidR="00AE3E5D" w:rsidRPr="00AE3E5D">
        <w:rPr>
          <w:rFonts w:ascii="Franklin Gothic Book" w:eastAsia="Calibri" w:hAnsi="Franklin Gothic Book" w:cs="Times New Roman"/>
          <w:iCs/>
          <w:color w:val="000000"/>
          <w:w w:val="67"/>
          <w:shd w:val="solid" w:color="000000" w:fill="000000"/>
          <w:fitText w:val="443" w:id="-1437332218"/>
          <w14:textFill>
            <w14:solidFill>
              <w14:srgbClr w14:val="000000">
                <w14:alpha w14:val="100000"/>
              </w14:srgbClr>
            </w14:solidFill>
          </w14:textFill>
        </w:rPr>
        <w:t>||||||</w:t>
      </w:r>
      <w:r w:rsidRPr="00490E27">
        <w:rPr>
          <w:rFonts w:ascii="Franklin Gothic Book" w:eastAsia="Calibri" w:hAnsi="Franklin Gothic Book" w:cs="Times New Roman"/>
          <w:iCs/>
        </w:rPr>
        <w:t xml:space="preserve"> per quality-ad</w:t>
      </w:r>
      <w:r>
        <w:rPr>
          <w:rFonts w:ascii="Franklin Gothic Book" w:eastAsia="Calibri" w:hAnsi="Franklin Gothic Book" w:cs="Times New Roman"/>
          <w:iCs/>
        </w:rPr>
        <w:t>j</w:t>
      </w:r>
      <w:r w:rsidRPr="00490E27">
        <w:rPr>
          <w:rFonts w:ascii="Franklin Gothic Book" w:eastAsia="Calibri" w:hAnsi="Franklin Gothic Book" w:cs="Times New Roman"/>
          <w:iCs/>
        </w:rPr>
        <w:t>usted life year (QALY) when the EndoPredict</w:t>
      </w:r>
      <w:r w:rsidR="005F1260" w:rsidRPr="005F1260">
        <w:rPr>
          <w:rFonts w:ascii="Franklin Gothic Book" w:eastAsia="SimSun" w:hAnsi="Franklin Gothic Book" w:cs="Times New Roman"/>
          <w:color w:val="000000"/>
          <w:vertAlign w:val="superscript"/>
        </w:rPr>
        <w:t>®</w:t>
      </w:r>
      <w:r w:rsidRPr="00490E27">
        <w:rPr>
          <w:rFonts w:ascii="Franklin Gothic Book" w:eastAsia="Calibri" w:hAnsi="Franklin Gothic Book" w:cs="Times New Roman"/>
          <w:iCs/>
        </w:rPr>
        <w:t xml:space="preserve"> fee was </w:t>
      </w:r>
      <w:r w:rsidRPr="008F66BB">
        <w:rPr>
          <w:rFonts w:ascii="Franklin Gothic Book" w:eastAsia="Calibri" w:hAnsi="Franklin Gothic Book" w:cs="Times New Roman"/>
          <w:iCs/>
        </w:rPr>
        <w:t>$</w:t>
      </w:r>
      <w:r w:rsidR="00AE3E5D" w:rsidRPr="00AE3E5D">
        <w:rPr>
          <w:rFonts w:ascii="Franklin Gothic Book" w:eastAsia="Calibri" w:hAnsi="Franklin Gothic Book" w:cs="Times New Roman"/>
          <w:iCs/>
          <w:color w:val="000000"/>
          <w:w w:val="64"/>
          <w:shd w:val="solid" w:color="000000" w:fill="000000"/>
          <w:fitText w:val="429" w:id="-1437332217"/>
          <w14:textFill>
            <w14:solidFill>
              <w14:srgbClr w14:val="000000">
                <w14:alpha w14:val="100000"/>
              </w14:srgbClr>
            </w14:solidFill>
          </w14:textFill>
        </w:rPr>
        <w:t>|||||</w:t>
      </w:r>
      <w:r w:rsidR="00AE3E5D" w:rsidRPr="00AE3E5D">
        <w:rPr>
          <w:rFonts w:ascii="Franklin Gothic Book" w:eastAsia="Calibri" w:hAnsi="Franklin Gothic Book" w:cs="Times New Roman"/>
          <w:iCs/>
          <w:color w:val="000000"/>
          <w:spacing w:val="6"/>
          <w:w w:val="64"/>
          <w:shd w:val="solid" w:color="000000" w:fill="000000"/>
          <w:fitText w:val="429" w:id="-1437332217"/>
          <w14:textFill>
            <w14:solidFill>
              <w14:srgbClr w14:val="000000">
                <w14:alpha w14:val="100000"/>
              </w14:srgbClr>
            </w14:solidFill>
          </w14:textFill>
        </w:rPr>
        <w:t>|</w:t>
      </w:r>
      <w:r w:rsidRPr="00490E27">
        <w:rPr>
          <w:rFonts w:ascii="Franklin Gothic Book" w:eastAsia="Calibri" w:hAnsi="Franklin Gothic Book" w:cs="Times New Roman"/>
          <w:iCs/>
        </w:rPr>
        <w:t xml:space="preserve">, which has decreased to </w:t>
      </w:r>
      <w:r w:rsidRPr="008F66BB">
        <w:rPr>
          <w:rFonts w:ascii="Franklin Gothic Book" w:eastAsia="Calibri" w:hAnsi="Franklin Gothic Book" w:cs="Times New Roman"/>
          <w:iCs/>
        </w:rPr>
        <w:t>$</w:t>
      </w:r>
      <w:r w:rsidR="00AE3E5D" w:rsidRPr="00AE3E5D">
        <w:rPr>
          <w:rFonts w:ascii="Franklin Gothic Book" w:eastAsia="Calibri" w:hAnsi="Franklin Gothic Book" w:cs="Times New Roman"/>
          <w:iCs/>
          <w:color w:val="000000"/>
          <w:w w:val="67"/>
          <w:shd w:val="solid" w:color="000000" w:fill="000000"/>
          <w:fitText w:val="443" w:id="-1437332216"/>
          <w14:textFill>
            <w14:solidFill>
              <w14:srgbClr w14:val="000000">
                <w14:alpha w14:val="100000"/>
              </w14:srgbClr>
            </w14:solidFill>
          </w14:textFill>
        </w:rPr>
        <w:t>||||||</w:t>
      </w:r>
      <w:r w:rsidRPr="00490E27">
        <w:rPr>
          <w:rFonts w:ascii="Franklin Gothic Book" w:eastAsia="Calibri" w:hAnsi="Franklin Gothic Book" w:cs="Times New Roman"/>
          <w:iCs/>
        </w:rPr>
        <w:t xml:space="preserve"> at an average EndoPredict</w:t>
      </w:r>
      <w:r w:rsidR="005F1260" w:rsidRPr="005F1260">
        <w:rPr>
          <w:rFonts w:ascii="Franklin Gothic Book" w:eastAsia="SimSun" w:hAnsi="Franklin Gothic Book" w:cs="Times New Roman"/>
          <w:color w:val="000000"/>
          <w:vertAlign w:val="superscript"/>
        </w:rPr>
        <w:t>®</w:t>
      </w:r>
      <w:r w:rsidRPr="00490E27">
        <w:rPr>
          <w:rFonts w:ascii="Franklin Gothic Book" w:eastAsia="Calibri" w:hAnsi="Franklin Gothic Book" w:cs="Times New Roman"/>
          <w:iCs/>
        </w:rPr>
        <w:t xml:space="preserve"> fee of </w:t>
      </w:r>
      <w:r w:rsidRPr="008F66BB">
        <w:rPr>
          <w:rFonts w:ascii="Franklin Gothic Book" w:eastAsia="Calibri" w:hAnsi="Franklin Gothic Book" w:cs="Times New Roman"/>
          <w:iCs/>
        </w:rPr>
        <w:t>$</w:t>
      </w:r>
      <w:r w:rsidR="00AE3E5D" w:rsidRPr="00AE3E5D">
        <w:rPr>
          <w:rFonts w:ascii="Franklin Gothic Book" w:eastAsia="Calibri" w:hAnsi="Franklin Gothic Book" w:cs="Times New Roman"/>
          <w:iCs/>
          <w:color w:val="000000"/>
          <w:w w:val="67"/>
          <w:shd w:val="solid" w:color="000000" w:fill="000000"/>
          <w:fitText w:val="443" w:id="-1437332215"/>
          <w14:textFill>
            <w14:solidFill>
              <w14:srgbClr w14:val="000000">
                <w14:alpha w14:val="100000"/>
              </w14:srgbClr>
            </w14:solidFill>
          </w14:textFill>
        </w:rPr>
        <w:t>||||||</w:t>
      </w:r>
      <w:r>
        <w:rPr>
          <w:rFonts w:ascii="Franklin Gothic Book" w:eastAsia="Calibri" w:hAnsi="Franklin Gothic Book" w:cs="Times New Roman"/>
          <w:iCs/>
        </w:rPr>
        <w:t xml:space="preserve"> in this re-application</w:t>
      </w:r>
      <w:r w:rsidRPr="00490E27">
        <w:rPr>
          <w:rFonts w:ascii="Franklin Gothic Book" w:eastAsia="Calibri" w:hAnsi="Franklin Gothic Book" w:cs="Times New Roman"/>
          <w:iCs/>
        </w:rPr>
        <w:t>.</w:t>
      </w:r>
      <w:r>
        <w:rPr>
          <w:rFonts w:ascii="Franklin Gothic Book" w:eastAsia="Calibri" w:hAnsi="Franklin Gothic Book" w:cs="Times New Roman"/>
          <w:iCs/>
        </w:rPr>
        <w:t xml:space="preserve"> ESC considered t</w:t>
      </w:r>
      <w:r w:rsidRPr="002A5FB3">
        <w:rPr>
          <w:rFonts w:ascii="Franklin Gothic Book" w:eastAsia="Calibri" w:hAnsi="Franklin Gothic Book" w:cs="Times New Roman"/>
          <w:iCs/>
        </w:rPr>
        <w:t xml:space="preserve">he ICER </w:t>
      </w:r>
      <w:r>
        <w:rPr>
          <w:rFonts w:ascii="Franklin Gothic Book" w:eastAsia="Calibri" w:hAnsi="Franklin Gothic Book" w:cs="Times New Roman"/>
          <w:iCs/>
        </w:rPr>
        <w:t xml:space="preserve">to be </w:t>
      </w:r>
      <w:r w:rsidRPr="002A5FB3">
        <w:rPr>
          <w:rFonts w:ascii="Franklin Gothic Book" w:eastAsia="Calibri" w:hAnsi="Franklin Gothic Book" w:cs="Times New Roman"/>
          <w:iCs/>
        </w:rPr>
        <w:t xml:space="preserve">strongly sensitive to the fee, the implementation of which is uncertain based on the volume-based fee structure proposed. </w:t>
      </w:r>
      <w:r>
        <w:rPr>
          <w:rFonts w:ascii="Franklin Gothic Book" w:eastAsia="Calibri" w:hAnsi="Franklin Gothic Book" w:cs="Times New Roman"/>
          <w:iCs/>
        </w:rPr>
        <w:t>ESC also considered that if fee reductions resulted in patients being charged out-of-pocket payments, then the estimated full cost of providing the service should be included in estimating the ICER.</w:t>
      </w:r>
    </w:p>
    <w:p w14:paraId="1632803D" w14:textId="2FBB0BBC" w:rsidR="006A153F" w:rsidRPr="00490E27" w:rsidRDefault="006A153F" w:rsidP="006A153F">
      <w:pPr>
        <w:spacing w:before="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t xml:space="preserve">ESC considered that </w:t>
      </w:r>
      <w:r>
        <w:rPr>
          <w:rFonts w:ascii="Franklin Gothic Book" w:eastAsia="Calibri" w:hAnsi="Franklin Gothic Book" w:cs="Times New Roman"/>
          <w:iCs/>
        </w:rPr>
        <w:t>ano</w:t>
      </w:r>
      <w:r w:rsidRPr="00490E27">
        <w:rPr>
          <w:rFonts w:ascii="Franklin Gothic Book" w:eastAsia="Calibri" w:hAnsi="Franklin Gothic Book" w:cs="Times New Roman"/>
          <w:iCs/>
        </w:rPr>
        <w:t>the</w:t>
      </w:r>
      <w:r>
        <w:rPr>
          <w:rFonts w:ascii="Franklin Gothic Book" w:eastAsia="Calibri" w:hAnsi="Franklin Gothic Book" w:cs="Times New Roman"/>
          <w:iCs/>
        </w:rPr>
        <w:t>r</w:t>
      </w:r>
      <w:r w:rsidRPr="00490E27">
        <w:rPr>
          <w:rFonts w:ascii="Franklin Gothic Book" w:eastAsia="Calibri" w:hAnsi="Franklin Gothic Book" w:cs="Times New Roman"/>
          <w:iCs/>
        </w:rPr>
        <w:t xml:space="preserve"> key driver </w:t>
      </w:r>
      <w:r>
        <w:rPr>
          <w:rFonts w:ascii="Franklin Gothic Book" w:eastAsia="Calibri" w:hAnsi="Franklin Gothic Book" w:cs="Times New Roman"/>
          <w:iCs/>
        </w:rPr>
        <w:t xml:space="preserve">of the economic evaluation </w:t>
      </w:r>
      <w:r w:rsidRPr="00490E27">
        <w:rPr>
          <w:rFonts w:ascii="Franklin Gothic Book" w:eastAsia="Calibri" w:hAnsi="Franklin Gothic Book" w:cs="Times New Roman"/>
          <w:iCs/>
        </w:rPr>
        <w:t>was the costs related to distant recurr</w:t>
      </w:r>
      <w:r>
        <w:rPr>
          <w:rFonts w:ascii="Franklin Gothic Book" w:eastAsia="Calibri" w:hAnsi="Franklin Gothic Book" w:cs="Times New Roman"/>
          <w:iCs/>
        </w:rPr>
        <w:t>e</w:t>
      </w:r>
      <w:r w:rsidRPr="00490E27">
        <w:rPr>
          <w:rFonts w:ascii="Franklin Gothic Book" w:eastAsia="Calibri" w:hAnsi="Franklin Gothic Book" w:cs="Times New Roman"/>
          <w:iCs/>
        </w:rPr>
        <w:t xml:space="preserve">nces, which </w:t>
      </w:r>
      <w:r>
        <w:rPr>
          <w:rFonts w:ascii="Franklin Gothic Book" w:eastAsia="Calibri" w:hAnsi="Franklin Gothic Book" w:cs="Times New Roman"/>
          <w:iCs/>
        </w:rPr>
        <w:t>is</w:t>
      </w:r>
      <w:r w:rsidRPr="00490E27">
        <w:rPr>
          <w:rFonts w:ascii="Franklin Gothic Book" w:eastAsia="Calibri" w:hAnsi="Franklin Gothic Book" w:cs="Times New Roman"/>
          <w:iCs/>
        </w:rPr>
        <w:t xml:space="preserve"> related to an uncertain predictive value.</w:t>
      </w:r>
    </w:p>
    <w:p w14:paraId="2A6E6905" w14:textId="1CAD480A" w:rsidR="006A153F" w:rsidRPr="00490E27" w:rsidRDefault="006A153F" w:rsidP="006A153F">
      <w:pPr>
        <w:keepNext/>
        <w:spacing w:before="120" w:after="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t>ESC noted the</w:t>
      </w:r>
      <w:r>
        <w:rPr>
          <w:rFonts w:ascii="Franklin Gothic Book" w:eastAsia="Calibri" w:hAnsi="Franklin Gothic Book" w:cs="Times New Roman"/>
          <w:iCs/>
        </w:rPr>
        <w:t xml:space="preserve"> commentary’s</w:t>
      </w:r>
      <w:r w:rsidRPr="00490E27">
        <w:rPr>
          <w:rFonts w:ascii="Franklin Gothic Book" w:eastAsia="Calibri" w:hAnsi="Franklin Gothic Book" w:cs="Times New Roman"/>
          <w:iCs/>
        </w:rPr>
        <w:t xml:space="preserve"> re-specified base case comprised </w:t>
      </w:r>
      <w:r>
        <w:rPr>
          <w:rFonts w:ascii="Franklin Gothic Book" w:eastAsia="Calibri" w:hAnsi="Franklin Gothic Book" w:cs="Times New Roman"/>
          <w:iCs/>
        </w:rPr>
        <w:t>five</w:t>
      </w:r>
      <w:r w:rsidRPr="00490E27">
        <w:rPr>
          <w:rFonts w:ascii="Franklin Gothic Book" w:eastAsia="Calibri" w:hAnsi="Franklin Gothic Book" w:cs="Times New Roman"/>
          <w:iCs/>
        </w:rPr>
        <w:t xml:space="preserve"> steps, which </w:t>
      </w:r>
      <w:r>
        <w:rPr>
          <w:rFonts w:ascii="Franklin Gothic Book" w:eastAsia="Calibri" w:hAnsi="Franklin Gothic Book" w:cs="Times New Roman"/>
          <w:iCs/>
        </w:rPr>
        <w:t xml:space="preserve">it considered addressed some of the economic issues raised by MSAC in 2019. ESC noted the re-specified base case </w:t>
      </w:r>
      <w:r w:rsidRPr="00490E27">
        <w:rPr>
          <w:rFonts w:ascii="Franklin Gothic Book" w:eastAsia="Calibri" w:hAnsi="Franklin Gothic Book" w:cs="Times New Roman"/>
          <w:iCs/>
        </w:rPr>
        <w:t xml:space="preserve">provided an updated ICER of </w:t>
      </w:r>
      <w:r w:rsidRPr="008F66BB">
        <w:rPr>
          <w:rFonts w:ascii="Franklin Gothic Book" w:eastAsia="Calibri" w:hAnsi="Franklin Gothic Book" w:cs="Times New Roman"/>
          <w:iCs/>
        </w:rPr>
        <w:t>$</w:t>
      </w:r>
      <w:r w:rsidR="00AE3E5D" w:rsidRPr="00AE3E5D">
        <w:rPr>
          <w:rFonts w:ascii="Franklin Gothic Book" w:eastAsia="Calibri" w:hAnsi="Franklin Gothic Book" w:cs="Times New Roman"/>
          <w:iCs/>
          <w:color w:val="000000"/>
          <w:w w:val="67"/>
          <w:shd w:val="solid" w:color="000000" w:fill="000000"/>
          <w:fitText w:val="443" w:id="-1437332214"/>
          <w14:textFill>
            <w14:solidFill>
              <w14:srgbClr w14:val="000000">
                <w14:alpha w14:val="100000"/>
              </w14:srgbClr>
            </w14:solidFill>
          </w14:textFill>
        </w:rPr>
        <w:t>||||||</w:t>
      </w:r>
      <w:r w:rsidRPr="00490E27">
        <w:rPr>
          <w:rFonts w:ascii="Franklin Gothic Book" w:eastAsia="Calibri" w:hAnsi="Franklin Gothic Book" w:cs="Times New Roman"/>
          <w:iCs/>
        </w:rPr>
        <w:t>/QALY</w:t>
      </w:r>
      <w:r>
        <w:rPr>
          <w:rFonts w:ascii="Franklin Gothic Book" w:eastAsia="Calibri" w:hAnsi="Franklin Gothic Book" w:cs="Times New Roman"/>
          <w:iCs/>
        </w:rPr>
        <w:t>.</w:t>
      </w:r>
    </w:p>
    <w:p w14:paraId="68BFBBE2" w14:textId="77777777" w:rsidR="006A153F" w:rsidRPr="00257755" w:rsidRDefault="006A153F" w:rsidP="006A153F">
      <w:pPr>
        <w:pStyle w:val="ListParagraph"/>
        <w:numPr>
          <w:ilvl w:val="0"/>
          <w:numId w:val="36"/>
        </w:numPr>
        <w:spacing w:after="120" w:line="256" w:lineRule="auto"/>
        <w:ind w:right="396"/>
        <w:rPr>
          <w:rFonts w:eastAsia="Calibri" w:cs="Times New Roman"/>
          <w:iCs/>
        </w:rPr>
      </w:pPr>
      <w:r w:rsidRPr="00257755">
        <w:rPr>
          <w:rFonts w:eastAsia="Calibri" w:cs="Times New Roman"/>
          <w:iCs/>
        </w:rPr>
        <w:t xml:space="preserve">Step 1: Change in management from PROSPER (based on </w:t>
      </w:r>
      <w:r>
        <w:rPr>
          <w:rFonts w:eastAsia="Calibri" w:cs="Times New Roman"/>
          <w:iCs/>
        </w:rPr>
        <w:t xml:space="preserve">the </w:t>
      </w:r>
      <w:r w:rsidRPr="00257755">
        <w:rPr>
          <w:rFonts w:eastAsia="Calibri" w:cs="Times New Roman"/>
          <w:iCs/>
        </w:rPr>
        <w:t xml:space="preserve">treatments patients </w:t>
      </w:r>
      <w:proofErr w:type="gramStart"/>
      <w:r w:rsidRPr="00257755">
        <w:rPr>
          <w:rFonts w:eastAsia="Calibri" w:cs="Times New Roman"/>
          <w:iCs/>
        </w:rPr>
        <w:t>actually received</w:t>
      </w:r>
      <w:proofErr w:type="gramEnd"/>
      <w:r w:rsidRPr="00257755">
        <w:rPr>
          <w:rFonts w:eastAsia="Calibri" w:cs="Times New Roman"/>
          <w:iCs/>
        </w:rPr>
        <w:t>)</w:t>
      </w:r>
    </w:p>
    <w:p w14:paraId="1E97A97E" w14:textId="77777777" w:rsidR="006A153F" w:rsidRPr="00257755" w:rsidRDefault="006A153F" w:rsidP="006A153F">
      <w:pPr>
        <w:pStyle w:val="ListParagraph"/>
        <w:numPr>
          <w:ilvl w:val="0"/>
          <w:numId w:val="36"/>
        </w:numPr>
        <w:spacing w:after="120" w:line="256" w:lineRule="auto"/>
        <w:ind w:right="396"/>
        <w:rPr>
          <w:rFonts w:eastAsia="Calibri" w:cs="Times New Roman"/>
          <w:iCs/>
        </w:rPr>
      </w:pPr>
      <w:r w:rsidRPr="00257755">
        <w:rPr>
          <w:rFonts w:eastAsia="Calibri" w:cs="Times New Roman"/>
          <w:iCs/>
        </w:rPr>
        <w:t>Step 2: Step 1 + extrapolation of distant recurrence estimates to 10 years only</w:t>
      </w:r>
    </w:p>
    <w:p w14:paraId="3B4DF8D3" w14:textId="77777777" w:rsidR="006A153F" w:rsidRPr="00257755" w:rsidRDefault="006A153F" w:rsidP="006A153F">
      <w:pPr>
        <w:pStyle w:val="ListParagraph"/>
        <w:numPr>
          <w:ilvl w:val="0"/>
          <w:numId w:val="36"/>
        </w:numPr>
        <w:spacing w:after="120" w:line="256" w:lineRule="auto"/>
        <w:ind w:right="396"/>
        <w:rPr>
          <w:rFonts w:eastAsia="Calibri" w:cs="Times New Roman"/>
          <w:iCs/>
        </w:rPr>
      </w:pPr>
      <w:r w:rsidRPr="00257755">
        <w:rPr>
          <w:rFonts w:eastAsia="Calibri" w:cs="Times New Roman"/>
          <w:iCs/>
        </w:rPr>
        <w:t>Step 3: Step 2 + utilities from Lidgren et al. (2007)</w:t>
      </w:r>
    </w:p>
    <w:p w14:paraId="394F9D61" w14:textId="77777777" w:rsidR="006A153F" w:rsidRPr="00257755" w:rsidRDefault="006A153F" w:rsidP="006A153F">
      <w:pPr>
        <w:pStyle w:val="ListParagraph"/>
        <w:numPr>
          <w:ilvl w:val="0"/>
          <w:numId w:val="36"/>
        </w:numPr>
        <w:spacing w:after="120" w:line="256" w:lineRule="auto"/>
        <w:ind w:right="396"/>
        <w:rPr>
          <w:rFonts w:eastAsia="Calibri" w:cs="Times New Roman"/>
          <w:iCs/>
        </w:rPr>
      </w:pPr>
      <w:r w:rsidRPr="00257755">
        <w:rPr>
          <w:rFonts w:eastAsia="Calibri" w:cs="Times New Roman"/>
          <w:iCs/>
        </w:rPr>
        <w:t>Step 4: Step 3 + time horizon of 30 years</w:t>
      </w:r>
    </w:p>
    <w:p w14:paraId="3E556D34" w14:textId="77777777" w:rsidR="006A153F" w:rsidRPr="00257755" w:rsidRDefault="006A153F" w:rsidP="006A153F">
      <w:pPr>
        <w:pStyle w:val="ListParagraph"/>
        <w:numPr>
          <w:ilvl w:val="0"/>
          <w:numId w:val="36"/>
        </w:numPr>
        <w:spacing w:after="120" w:line="256" w:lineRule="auto"/>
        <w:ind w:right="396"/>
        <w:rPr>
          <w:rFonts w:eastAsia="Calibri" w:cs="Times New Roman"/>
          <w:iCs/>
        </w:rPr>
      </w:pPr>
      <w:r w:rsidRPr="00257755">
        <w:rPr>
          <w:rFonts w:eastAsia="Calibri" w:cs="Times New Roman"/>
          <w:iCs/>
        </w:rPr>
        <w:t xml:space="preserve">Step 5: Step 4 + no predictive effect for chemotherapy benefit by EPclin </w:t>
      </w:r>
      <w:r>
        <w:rPr>
          <w:rFonts w:eastAsia="Calibri" w:cs="Times New Roman"/>
          <w:iCs/>
        </w:rPr>
        <w:t>s</w:t>
      </w:r>
      <w:r w:rsidRPr="00257755">
        <w:rPr>
          <w:rFonts w:eastAsia="Calibri" w:cs="Times New Roman"/>
          <w:iCs/>
        </w:rPr>
        <w:t>core</w:t>
      </w:r>
      <w:r>
        <w:rPr>
          <w:rFonts w:eastAsia="Calibri" w:cs="Times New Roman"/>
          <w:iCs/>
        </w:rPr>
        <w:t>.</w:t>
      </w:r>
    </w:p>
    <w:p w14:paraId="6E4B2AFF" w14:textId="693AF6A6" w:rsidR="006A153F" w:rsidRPr="00490E27" w:rsidRDefault="006A153F" w:rsidP="006A153F">
      <w:pPr>
        <w:spacing w:before="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t xml:space="preserve">ESC noted the sensitivity analysis showing that </w:t>
      </w:r>
      <w:r>
        <w:rPr>
          <w:rFonts w:ascii="Franklin Gothic Book" w:eastAsia="Calibri" w:hAnsi="Franklin Gothic Book" w:cs="Times New Roman"/>
          <w:iCs/>
        </w:rPr>
        <w:t>any</w:t>
      </w:r>
      <w:r w:rsidRPr="00490E27">
        <w:rPr>
          <w:rFonts w:ascii="Franklin Gothic Book" w:eastAsia="Calibri" w:hAnsi="Franklin Gothic Book" w:cs="Times New Roman"/>
          <w:iCs/>
        </w:rPr>
        <w:t xml:space="preserve"> EndoPredict</w:t>
      </w:r>
      <w:r w:rsidR="005F1260" w:rsidRPr="005F1260">
        <w:rPr>
          <w:rFonts w:ascii="Franklin Gothic Book" w:eastAsia="SimSun" w:hAnsi="Franklin Gothic Book" w:cs="Times New Roman"/>
          <w:color w:val="000000"/>
          <w:vertAlign w:val="superscript"/>
        </w:rPr>
        <w:t>®</w:t>
      </w:r>
      <w:r w:rsidRPr="00490E27">
        <w:rPr>
          <w:rFonts w:ascii="Franklin Gothic Book" w:eastAsia="Calibri" w:hAnsi="Franklin Gothic Book" w:cs="Times New Roman"/>
          <w:iCs/>
        </w:rPr>
        <w:t xml:space="preserve"> </w:t>
      </w:r>
      <w:r>
        <w:rPr>
          <w:rFonts w:ascii="Franklin Gothic Book" w:eastAsia="Calibri" w:hAnsi="Franklin Gothic Book" w:cs="Times New Roman"/>
          <w:iCs/>
        </w:rPr>
        <w:t>fee greater than</w:t>
      </w:r>
      <w:r w:rsidRPr="00490E27">
        <w:rPr>
          <w:rFonts w:ascii="Franklin Gothic Book" w:eastAsia="Calibri" w:hAnsi="Franklin Gothic Book" w:cs="Times New Roman"/>
          <w:iCs/>
        </w:rPr>
        <w:t xml:space="preserve"> </w:t>
      </w:r>
      <w:r w:rsidRPr="008F66BB">
        <w:rPr>
          <w:rFonts w:ascii="Franklin Gothic Book" w:eastAsia="Calibri" w:hAnsi="Franklin Gothic Book" w:cs="Times New Roman"/>
          <w:iCs/>
        </w:rPr>
        <w:t>$</w:t>
      </w:r>
      <w:r w:rsidR="00AE3E5D" w:rsidRPr="00AE3E5D">
        <w:rPr>
          <w:rFonts w:ascii="Franklin Gothic Book" w:eastAsia="Calibri" w:hAnsi="Franklin Gothic Book" w:cs="Times New Roman"/>
          <w:iCs/>
          <w:color w:val="000000"/>
          <w:w w:val="67"/>
          <w:shd w:val="solid" w:color="000000" w:fill="000000"/>
          <w:fitText w:val="444" w:id="-1437332213"/>
          <w14:textFill>
            <w14:solidFill>
              <w14:srgbClr w14:val="000000">
                <w14:alpha w14:val="100000"/>
              </w14:srgbClr>
            </w14:solidFill>
          </w14:textFill>
        </w:rPr>
        <w:t>|||||</w:t>
      </w:r>
      <w:r w:rsidR="00AE3E5D" w:rsidRPr="00AE3E5D">
        <w:rPr>
          <w:rFonts w:ascii="Franklin Gothic Book" w:eastAsia="Calibri" w:hAnsi="Franklin Gothic Book" w:cs="Times New Roman"/>
          <w:iCs/>
          <w:color w:val="000000"/>
          <w:spacing w:val="1"/>
          <w:w w:val="67"/>
          <w:shd w:val="solid" w:color="000000" w:fill="000000"/>
          <w:fitText w:val="444" w:id="-1437332213"/>
          <w14:textFill>
            <w14:solidFill>
              <w14:srgbClr w14:val="000000">
                <w14:alpha w14:val="100000"/>
              </w14:srgbClr>
            </w14:solidFill>
          </w14:textFill>
        </w:rPr>
        <w:t>|</w:t>
      </w:r>
      <w:r w:rsidRPr="00490E27">
        <w:rPr>
          <w:rFonts w:ascii="Franklin Gothic Book" w:eastAsia="Calibri" w:hAnsi="Franklin Gothic Book" w:cs="Times New Roman"/>
          <w:iCs/>
        </w:rPr>
        <w:t xml:space="preserve"> would increase the </w:t>
      </w:r>
      <w:r>
        <w:rPr>
          <w:rFonts w:ascii="Franklin Gothic Book" w:eastAsia="Calibri" w:hAnsi="Franklin Gothic Book" w:cs="Times New Roman"/>
          <w:iCs/>
        </w:rPr>
        <w:t xml:space="preserve">re-specified base case </w:t>
      </w:r>
      <w:r w:rsidRPr="00490E27">
        <w:rPr>
          <w:rFonts w:ascii="Franklin Gothic Book" w:eastAsia="Calibri" w:hAnsi="Franklin Gothic Book" w:cs="Times New Roman"/>
          <w:iCs/>
        </w:rPr>
        <w:t xml:space="preserve">ICER to more than </w:t>
      </w:r>
      <w:r w:rsidRPr="008F66BB">
        <w:rPr>
          <w:rFonts w:ascii="Franklin Gothic Book" w:eastAsia="Calibri" w:hAnsi="Franklin Gothic Book" w:cs="Times New Roman"/>
          <w:iCs/>
        </w:rPr>
        <w:t>$</w:t>
      </w:r>
      <w:r w:rsidR="00AE3E5D" w:rsidRPr="00AE3E5D">
        <w:rPr>
          <w:rFonts w:ascii="Franklin Gothic Book" w:eastAsia="Calibri" w:hAnsi="Franklin Gothic Book" w:cs="Times New Roman"/>
          <w:iCs/>
          <w:color w:val="000000"/>
          <w:w w:val="67"/>
          <w:shd w:val="solid" w:color="000000" w:fill="000000"/>
          <w:fitText w:val="443" w:id="-1437332212"/>
          <w14:textFill>
            <w14:solidFill>
              <w14:srgbClr w14:val="000000">
                <w14:alpha w14:val="100000"/>
              </w14:srgbClr>
            </w14:solidFill>
          </w14:textFill>
        </w:rPr>
        <w:t>|||||</w:t>
      </w:r>
      <w:proofErr w:type="gramStart"/>
      <w:r w:rsidR="00AE3E5D" w:rsidRPr="00AE3E5D">
        <w:rPr>
          <w:rFonts w:ascii="Franklin Gothic Book" w:eastAsia="Calibri" w:hAnsi="Franklin Gothic Book" w:cs="Times New Roman"/>
          <w:iCs/>
          <w:color w:val="000000"/>
          <w:w w:val="67"/>
          <w:shd w:val="solid" w:color="000000" w:fill="000000"/>
          <w:fitText w:val="443" w:id="-1437332212"/>
          <w14:textFill>
            <w14:solidFill>
              <w14:srgbClr w14:val="000000">
                <w14:alpha w14:val="100000"/>
              </w14:srgbClr>
            </w14:solidFill>
          </w14:textFill>
        </w:rPr>
        <w:t>|</w:t>
      </w:r>
      <w:r>
        <w:rPr>
          <w:rFonts w:ascii="Franklin Gothic Book" w:eastAsia="Calibri" w:hAnsi="Franklin Gothic Book" w:cs="Times New Roman"/>
          <w:iCs/>
        </w:rPr>
        <w:t>, and</w:t>
      </w:r>
      <w:proofErr w:type="gramEnd"/>
      <w:r>
        <w:rPr>
          <w:rFonts w:ascii="Franklin Gothic Book" w:eastAsia="Calibri" w:hAnsi="Franklin Gothic Book" w:cs="Times New Roman"/>
          <w:iCs/>
        </w:rPr>
        <w:t xml:space="preserve"> considered that if only 165 fewer services were provided in year 1 than the </w:t>
      </w:r>
      <w:r>
        <w:rPr>
          <w:rFonts w:ascii="Franklin Gothic Book" w:eastAsia="SimSun" w:hAnsi="Franklin Gothic Book" w:cs="Times New Roman"/>
          <w:color w:val="000000"/>
        </w:rPr>
        <w:t>re-application</w:t>
      </w:r>
      <w:r>
        <w:rPr>
          <w:rFonts w:ascii="Franklin Gothic Book" w:eastAsia="Calibri" w:hAnsi="Franklin Gothic Book" w:cs="Times New Roman"/>
          <w:iCs/>
        </w:rPr>
        <w:t xml:space="preserve"> had estimated then the average fee would increase to </w:t>
      </w:r>
      <w:r w:rsidRPr="008F66BB">
        <w:rPr>
          <w:rFonts w:ascii="Franklin Gothic Book" w:eastAsia="Calibri" w:hAnsi="Franklin Gothic Book" w:cs="Times New Roman"/>
          <w:iCs/>
        </w:rPr>
        <w:t>$</w:t>
      </w:r>
      <w:r w:rsidR="00AE3E5D" w:rsidRPr="00AE3E5D">
        <w:rPr>
          <w:rFonts w:ascii="Franklin Gothic Book" w:eastAsia="Calibri" w:hAnsi="Franklin Gothic Book" w:cs="Times New Roman"/>
          <w:iCs/>
          <w:color w:val="000000"/>
          <w:w w:val="67"/>
          <w:shd w:val="solid" w:color="000000" w:fill="000000"/>
          <w:fitText w:val="443" w:id="-1437332211"/>
          <w14:textFill>
            <w14:solidFill>
              <w14:srgbClr w14:val="000000">
                <w14:alpha w14:val="100000"/>
              </w14:srgbClr>
            </w14:solidFill>
          </w14:textFill>
        </w:rPr>
        <w:t>||||||</w:t>
      </w:r>
      <w:r w:rsidRPr="00490E27">
        <w:rPr>
          <w:rFonts w:ascii="Franklin Gothic Book" w:eastAsia="Calibri" w:hAnsi="Franklin Gothic Book" w:cs="Times New Roman"/>
          <w:iCs/>
        </w:rPr>
        <w:t xml:space="preserve">. </w:t>
      </w:r>
      <w:r>
        <w:rPr>
          <w:rFonts w:ascii="Franklin Gothic Book" w:eastAsia="Calibri" w:hAnsi="Franklin Gothic Book" w:cs="Times New Roman"/>
          <w:iCs/>
        </w:rPr>
        <w:t>ESC noted i</w:t>
      </w:r>
      <w:r w:rsidRPr="00490E27">
        <w:rPr>
          <w:rFonts w:ascii="Franklin Gothic Book" w:eastAsia="Calibri" w:hAnsi="Franklin Gothic Book" w:cs="Times New Roman"/>
          <w:iCs/>
        </w:rPr>
        <w:t xml:space="preserve">f the fee was less than </w:t>
      </w:r>
      <w:r w:rsidRPr="008F66BB">
        <w:rPr>
          <w:rFonts w:ascii="Franklin Gothic Book" w:eastAsia="Calibri" w:hAnsi="Franklin Gothic Book" w:cs="Times New Roman"/>
          <w:iCs/>
        </w:rPr>
        <w:t>$</w:t>
      </w:r>
      <w:r w:rsidR="00AE3E5D" w:rsidRPr="00AE3E5D">
        <w:rPr>
          <w:rFonts w:ascii="Franklin Gothic Book" w:eastAsia="Calibri" w:hAnsi="Franklin Gothic Book" w:cs="Times New Roman"/>
          <w:iCs/>
          <w:color w:val="000000"/>
          <w:w w:val="64"/>
          <w:shd w:val="solid" w:color="000000" w:fill="000000"/>
          <w:fitText w:val="429" w:id="-1437332210"/>
          <w14:textFill>
            <w14:solidFill>
              <w14:srgbClr w14:val="000000">
                <w14:alpha w14:val="100000"/>
              </w14:srgbClr>
            </w14:solidFill>
          </w14:textFill>
        </w:rPr>
        <w:t>|||||</w:t>
      </w:r>
      <w:r w:rsidR="00AE3E5D" w:rsidRPr="00AE3E5D">
        <w:rPr>
          <w:rFonts w:ascii="Franklin Gothic Book" w:eastAsia="Calibri" w:hAnsi="Franklin Gothic Book" w:cs="Times New Roman"/>
          <w:iCs/>
          <w:color w:val="000000"/>
          <w:spacing w:val="6"/>
          <w:w w:val="64"/>
          <w:shd w:val="solid" w:color="000000" w:fill="000000"/>
          <w:fitText w:val="429" w:id="-1437332210"/>
          <w14:textFill>
            <w14:solidFill>
              <w14:srgbClr w14:val="000000">
                <w14:alpha w14:val="100000"/>
              </w14:srgbClr>
            </w14:solidFill>
          </w14:textFill>
        </w:rPr>
        <w:t>|</w:t>
      </w:r>
      <w:r w:rsidRPr="00490E27">
        <w:rPr>
          <w:rFonts w:ascii="Franklin Gothic Book" w:eastAsia="Calibri" w:hAnsi="Franklin Gothic Book" w:cs="Times New Roman"/>
          <w:iCs/>
        </w:rPr>
        <w:t>, EndoPredict</w:t>
      </w:r>
      <w:r w:rsidR="005F1260" w:rsidRPr="005F1260">
        <w:rPr>
          <w:rFonts w:ascii="Franklin Gothic Book" w:eastAsia="SimSun" w:hAnsi="Franklin Gothic Book" w:cs="Times New Roman"/>
          <w:color w:val="000000"/>
          <w:vertAlign w:val="superscript"/>
        </w:rPr>
        <w:t>®</w:t>
      </w:r>
      <w:r>
        <w:rPr>
          <w:rFonts w:ascii="Franklin Gothic Book" w:eastAsia="SimSun" w:hAnsi="Franklin Gothic Book" w:cs="Times New Roman"/>
          <w:color w:val="000000"/>
          <w:vertAlign w:val="superscript"/>
        </w:rPr>
        <w:t xml:space="preserve"> </w:t>
      </w:r>
      <w:r w:rsidRPr="00490E27">
        <w:rPr>
          <w:rFonts w:ascii="Franklin Gothic Book" w:eastAsia="Calibri" w:hAnsi="Franklin Gothic Book" w:cs="Times New Roman"/>
          <w:iCs/>
        </w:rPr>
        <w:t>become</w:t>
      </w:r>
      <w:r>
        <w:rPr>
          <w:rFonts w:ascii="Franklin Gothic Book" w:eastAsia="Calibri" w:hAnsi="Franklin Gothic Book" w:cs="Times New Roman"/>
          <w:iCs/>
        </w:rPr>
        <w:t>s</w:t>
      </w:r>
      <w:r w:rsidRPr="00490E27">
        <w:rPr>
          <w:rFonts w:ascii="Franklin Gothic Book" w:eastAsia="Calibri" w:hAnsi="Franklin Gothic Book" w:cs="Times New Roman"/>
          <w:iCs/>
        </w:rPr>
        <w:t xml:space="preserve"> dominant.</w:t>
      </w:r>
    </w:p>
    <w:p w14:paraId="54BD60F0" w14:textId="0B420BF4" w:rsidR="006A153F" w:rsidRPr="00490E27" w:rsidRDefault="006A153F" w:rsidP="006A153F">
      <w:pPr>
        <w:spacing w:before="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t xml:space="preserve">ESC noted that when adjusted for cost-savings, the </w:t>
      </w:r>
      <w:r>
        <w:rPr>
          <w:rFonts w:ascii="Franklin Gothic Book" w:eastAsia="Calibri" w:hAnsi="Franklin Gothic Book" w:cs="Times New Roman"/>
          <w:iCs/>
        </w:rPr>
        <w:t>estimated</w:t>
      </w:r>
      <w:r w:rsidRPr="00490E27">
        <w:rPr>
          <w:rFonts w:ascii="Franklin Gothic Book" w:eastAsia="Calibri" w:hAnsi="Franklin Gothic Book" w:cs="Times New Roman"/>
          <w:iCs/>
        </w:rPr>
        <w:t xml:space="preserve"> total</w:t>
      </w:r>
      <w:r>
        <w:rPr>
          <w:rFonts w:ascii="Franklin Gothic Book" w:eastAsia="Calibri" w:hAnsi="Franklin Gothic Book" w:cs="Times New Roman"/>
          <w:iCs/>
        </w:rPr>
        <w:t xml:space="preserve"> </w:t>
      </w:r>
      <w:r w:rsidRPr="00490E27">
        <w:rPr>
          <w:rFonts w:ascii="Franklin Gothic Book" w:eastAsia="Calibri" w:hAnsi="Franklin Gothic Book" w:cs="Times New Roman"/>
          <w:iCs/>
        </w:rPr>
        <w:t xml:space="preserve">cost to the MBS was </w:t>
      </w:r>
      <w:r w:rsidRPr="008F66BB">
        <w:rPr>
          <w:rFonts w:ascii="Franklin Gothic Book" w:eastAsia="Calibri" w:hAnsi="Franklin Gothic Book" w:cs="Times New Roman"/>
          <w:iCs/>
        </w:rPr>
        <w:t>$</w:t>
      </w:r>
      <w:r w:rsidR="00AE3E5D" w:rsidRPr="00AE3E5D">
        <w:rPr>
          <w:rFonts w:ascii="Franklin Gothic Book" w:eastAsia="Calibri" w:hAnsi="Franklin Gothic Book" w:cs="Times New Roman"/>
          <w:iCs/>
          <w:color w:val="000000"/>
          <w:w w:val="67"/>
          <w:shd w:val="solid" w:color="000000" w:fill="000000"/>
          <w:fitText w:val="443" w:id="-1437332209"/>
          <w14:textFill>
            <w14:solidFill>
              <w14:srgbClr w14:val="000000">
                <w14:alpha w14:val="100000"/>
              </w14:srgbClr>
            </w14:solidFill>
          </w14:textFill>
        </w:rPr>
        <w:t>||||||</w:t>
      </w:r>
      <w:r w:rsidRPr="00490E27">
        <w:rPr>
          <w:rFonts w:ascii="Franklin Gothic Book" w:eastAsia="Calibri" w:hAnsi="Franklin Gothic Book" w:cs="Times New Roman"/>
          <w:iCs/>
        </w:rPr>
        <w:t xml:space="preserve"> in Year 1 to </w:t>
      </w:r>
      <w:r w:rsidRPr="008F66BB">
        <w:rPr>
          <w:rFonts w:ascii="Franklin Gothic Book" w:eastAsia="Calibri" w:hAnsi="Franklin Gothic Book" w:cs="Times New Roman"/>
          <w:iCs/>
        </w:rPr>
        <w:t>$</w:t>
      </w:r>
      <w:r w:rsidR="00AE3E5D" w:rsidRPr="00AE3E5D">
        <w:rPr>
          <w:rFonts w:ascii="Franklin Gothic Book" w:eastAsia="Calibri" w:hAnsi="Franklin Gothic Book" w:cs="Times New Roman"/>
          <w:iCs/>
          <w:color w:val="000000"/>
          <w:w w:val="67"/>
          <w:shd w:val="solid" w:color="000000" w:fill="000000"/>
          <w:fitText w:val="443" w:id="-1437332208"/>
          <w14:textFill>
            <w14:solidFill>
              <w14:srgbClr w14:val="000000">
                <w14:alpha w14:val="100000"/>
              </w14:srgbClr>
            </w14:solidFill>
          </w14:textFill>
        </w:rPr>
        <w:t>||||||</w:t>
      </w:r>
      <w:r w:rsidRPr="00490E27">
        <w:rPr>
          <w:rFonts w:ascii="Franklin Gothic Book" w:eastAsia="Calibri" w:hAnsi="Franklin Gothic Book" w:cs="Times New Roman"/>
          <w:iCs/>
        </w:rPr>
        <w:t xml:space="preserve"> in Year 5. ESC considered the uptake to be </w:t>
      </w:r>
      <w:r>
        <w:rPr>
          <w:rFonts w:ascii="Franklin Gothic Book" w:eastAsia="Calibri" w:hAnsi="Franklin Gothic Book" w:cs="Times New Roman"/>
          <w:iCs/>
        </w:rPr>
        <w:t xml:space="preserve">based on unjustified and therefore </w:t>
      </w:r>
      <w:r w:rsidRPr="00490E27">
        <w:rPr>
          <w:rFonts w:ascii="Franklin Gothic Book" w:eastAsia="Calibri" w:hAnsi="Franklin Gothic Book" w:cs="Times New Roman"/>
          <w:iCs/>
        </w:rPr>
        <w:t>uncertain</w:t>
      </w:r>
      <w:r>
        <w:rPr>
          <w:rFonts w:ascii="Franklin Gothic Book" w:eastAsia="Calibri" w:hAnsi="Franklin Gothic Book" w:cs="Times New Roman"/>
          <w:iCs/>
        </w:rPr>
        <w:t xml:space="preserve"> assumptions</w:t>
      </w:r>
      <w:r w:rsidRPr="00490E27">
        <w:rPr>
          <w:rFonts w:ascii="Franklin Gothic Book" w:eastAsia="Calibri" w:hAnsi="Franklin Gothic Book" w:cs="Times New Roman"/>
          <w:iCs/>
        </w:rPr>
        <w:t xml:space="preserve">, making the financial impact uncertain, especially when using the proposed </w:t>
      </w:r>
      <w:r>
        <w:rPr>
          <w:rFonts w:ascii="Franklin Gothic Book" w:eastAsia="Calibri" w:hAnsi="Franklin Gothic Book" w:cs="Times New Roman"/>
          <w:iCs/>
        </w:rPr>
        <w:t xml:space="preserve">volume-based </w:t>
      </w:r>
      <w:r w:rsidRPr="00490E27">
        <w:rPr>
          <w:rFonts w:ascii="Franklin Gothic Book" w:eastAsia="Calibri" w:hAnsi="Franklin Gothic Book" w:cs="Times New Roman"/>
          <w:iCs/>
        </w:rPr>
        <w:t xml:space="preserve">fee structure. ESC also noted that the uncertainties </w:t>
      </w:r>
      <w:r>
        <w:rPr>
          <w:rFonts w:ascii="Franklin Gothic Book" w:eastAsia="Calibri" w:hAnsi="Franklin Gothic Book" w:cs="Times New Roman"/>
          <w:iCs/>
        </w:rPr>
        <w:t xml:space="preserve">regarding predictive value </w:t>
      </w:r>
      <w:r w:rsidRPr="00490E27">
        <w:rPr>
          <w:rFonts w:ascii="Franklin Gothic Book" w:eastAsia="Calibri" w:hAnsi="Franklin Gothic Book" w:cs="Times New Roman"/>
          <w:iCs/>
        </w:rPr>
        <w:t xml:space="preserve">flowed to the </w:t>
      </w:r>
      <w:r>
        <w:rPr>
          <w:rFonts w:ascii="Franklin Gothic Book" w:eastAsia="Calibri" w:hAnsi="Franklin Gothic Book" w:cs="Times New Roman"/>
          <w:iCs/>
        </w:rPr>
        <w:t xml:space="preserve">estimated </w:t>
      </w:r>
      <w:r w:rsidRPr="00490E27">
        <w:rPr>
          <w:rFonts w:ascii="Franklin Gothic Book" w:eastAsia="Calibri" w:hAnsi="Franklin Gothic Book" w:cs="Times New Roman"/>
          <w:iCs/>
        </w:rPr>
        <w:t>cost</w:t>
      </w:r>
      <w:r>
        <w:rPr>
          <w:rFonts w:ascii="Franklin Gothic Book" w:eastAsia="Calibri" w:hAnsi="Franklin Gothic Book" w:cs="Times New Roman"/>
          <w:iCs/>
        </w:rPr>
        <w:t xml:space="preserve"> offset</w:t>
      </w:r>
      <w:r w:rsidRPr="00490E27">
        <w:rPr>
          <w:rFonts w:ascii="Franklin Gothic Book" w:eastAsia="Calibri" w:hAnsi="Franklin Gothic Book" w:cs="Times New Roman"/>
          <w:iCs/>
        </w:rPr>
        <w:t>s of chemotherapies</w:t>
      </w:r>
      <w:r>
        <w:rPr>
          <w:rFonts w:ascii="Franklin Gothic Book" w:eastAsia="Calibri" w:hAnsi="Franklin Gothic Book" w:cs="Times New Roman"/>
          <w:iCs/>
        </w:rPr>
        <w:t xml:space="preserve"> to the PBS</w:t>
      </w:r>
      <w:r w:rsidRPr="00490E27">
        <w:rPr>
          <w:rFonts w:ascii="Franklin Gothic Book" w:eastAsia="Calibri" w:hAnsi="Franklin Gothic Book" w:cs="Times New Roman"/>
          <w:iCs/>
        </w:rPr>
        <w:t xml:space="preserve">. As a result, ESC queried whether a financial risk-sharing </w:t>
      </w:r>
      <w:r>
        <w:rPr>
          <w:rFonts w:ascii="Franklin Gothic Book" w:eastAsia="Calibri" w:hAnsi="Franklin Gothic Book" w:cs="Times New Roman"/>
          <w:iCs/>
        </w:rPr>
        <w:t>arrangement</w:t>
      </w:r>
      <w:r w:rsidRPr="00490E27">
        <w:rPr>
          <w:rFonts w:ascii="Franklin Gothic Book" w:eastAsia="Calibri" w:hAnsi="Franklin Gothic Book" w:cs="Times New Roman"/>
          <w:iCs/>
        </w:rPr>
        <w:t xml:space="preserve"> would be appropriate for EndoPredict</w:t>
      </w:r>
      <w:r w:rsidR="005F1260" w:rsidRPr="005F1260">
        <w:rPr>
          <w:rFonts w:ascii="Franklin Gothic Book" w:eastAsia="SimSun" w:hAnsi="Franklin Gothic Book" w:cs="Times New Roman"/>
          <w:color w:val="000000"/>
          <w:vertAlign w:val="superscript"/>
        </w:rPr>
        <w:t>®</w:t>
      </w:r>
      <w:r w:rsidRPr="00490E27">
        <w:rPr>
          <w:rFonts w:ascii="Franklin Gothic Book" w:eastAsia="Calibri" w:hAnsi="Franklin Gothic Book" w:cs="Times New Roman"/>
          <w:iCs/>
        </w:rPr>
        <w:t>.</w:t>
      </w:r>
    </w:p>
    <w:p w14:paraId="003CAB09" w14:textId="71D38A59" w:rsidR="006A153F" w:rsidRPr="00490E27" w:rsidRDefault="006A153F" w:rsidP="006A153F">
      <w:pPr>
        <w:spacing w:before="120" w:line="256" w:lineRule="auto"/>
        <w:ind w:right="396"/>
        <w:rPr>
          <w:rFonts w:ascii="Franklin Gothic Book" w:eastAsia="Calibri" w:hAnsi="Franklin Gothic Book" w:cs="Times New Roman"/>
          <w:iCs/>
        </w:rPr>
      </w:pPr>
      <w:r w:rsidRPr="00490E27">
        <w:rPr>
          <w:rFonts w:ascii="Franklin Gothic Book" w:eastAsia="Calibri" w:hAnsi="Franklin Gothic Book" w:cs="Times New Roman"/>
          <w:iCs/>
        </w:rPr>
        <w:lastRenderedPageBreak/>
        <w:t xml:space="preserve">ESC noted </w:t>
      </w:r>
      <w:r>
        <w:rPr>
          <w:rFonts w:ascii="Franklin Gothic Book" w:eastAsia="Calibri" w:hAnsi="Franklin Gothic Book" w:cs="Times New Roman"/>
          <w:iCs/>
        </w:rPr>
        <w:t>the pre-ESC response described broad</w:t>
      </w:r>
      <w:r w:rsidRPr="00490E27">
        <w:rPr>
          <w:rFonts w:ascii="Franklin Gothic Book" w:eastAsia="Calibri" w:hAnsi="Franklin Gothic Book" w:cs="Times New Roman"/>
          <w:iCs/>
        </w:rPr>
        <w:t xml:space="preserve"> consumer support</w:t>
      </w:r>
      <w:r>
        <w:rPr>
          <w:rFonts w:ascii="Franklin Gothic Book" w:eastAsia="Calibri" w:hAnsi="Franklin Gothic Book" w:cs="Times New Roman"/>
          <w:iCs/>
        </w:rPr>
        <w:t xml:space="preserve"> for</w:t>
      </w:r>
      <w:r w:rsidRPr="00490E27">
        <w:rPr>
          <w:rFonts w:ascii="Franklin Gothic Book" w:eastAsia="Calibri" w:hAnsi="Franklin Gothic Book" w:cs="Times New Roman"/>
          <w:iCs/>
        </w:rPr>
        <w:t xml:space="preserve"> this </w:t>
      </w:r>
      <w:r>
        <w:rPr>
          <w:rFonts w:ascii="Franklin Gothic Book" w:eastAsia="Calibri" w:hAnsi="Franklin Gothic Book" w:cs="Times New Roman"/>
          <w:iCs/>
        </w:rPr>
        <w:t>re-</w:t>
      </w:r>
      <w:r w:rsidRPr="00490E27">
        <w:rPr>
          <w:rFonts w:ascii="Franklin Gothic Book" w:eastAsia="Calibri" w:hAnsi="Franklin Gothic Book" w:cs="Times New Roman"/>
          <w:iCs/>
        </w:rPr>
        <w:t xml:space="preserve">application, </w:t>
      </w:r>
      <w:r>
        <w:rPr>
          <w:rFonts w:ascii="Franklin Gothic Book" w:eastAsia="Calibri" w:hAnsi="Franklin Gothic Book" w:cs="Times New Roman"/>
          <w:iCs/>
        </w:rPr>
        <w:t>including a petition to the previous Minister for Health with over 17,000 signatories in support of GEP testing</w:t>
      </w:r>
      <w:r w:rsidRPr="00490E27">
        <w:rPr>
          <w:rFonts w:ascii="Franklin Gothic Book" w:eastAsia="Calibri" w:hAnsi="Franklin Gothic Book" w:cs="Times New Roman"/>
          <w:iCs/>
        </w:rPr>
        <w:t>.</w:t>
      </w:r>
      <w:r>
        <w:rPr>
          <w:rFonts w:ascii="Franklin Gothic Book" w:eastAsia="Calibri" w:hAnsi="Franklin Gothic Book" w:cs="Times New Roman"/>
          <w:iCs/>
        </w:rPr>
        <w:t xml:space="preserve"> ESC noted that patients vary in the weight they place on GEP test results, that decisions relating to breast cancer treatments can be complex and difficult, and that there are studies examining how patients negotiate the value of GEP tests. </w:t>
      </w:r>
      <w:bookmarkStart w:id="77" w:name="_Hlk107471041"/>
      <w:r>
        <w:rPr>
          <w:rFonts w:ascii="Franklin Gothic Book" w:eastAsia="Calibri" w:hAnsi="Franklin Gothic Book" w:cs="Times New Roman"/>
          <w:iCs/>
        </w:rPr>
        <w:t xml:space="preserve">ESC considered that patients placed value in knowing their prognosis, though MSAC does yet not have methods to formally incorporate ‘value of knowing’ in a quantifiable form into an economic evaluation. </w:t>
      </w:r>
      <w:bookmarkEnd w:id="77"/>
      <w:r>
        <w:rPr>
          <w:rFonts w:ascii="Franklin Gothic Book" w:eastAsia="Calibri" w:hAnsi="Franklin Gothic Book" w:cs="Times New Roman"/>
          <w:iCs/>
        </w:rPr>
        <w:t>ESC requested that the applicant take the opportunity to address</w:t>
      </w:r>
      <w:r w:rsidRPr="004C5879">
        <w:rPr>
          <w:rFonts w:ascii="Franklin Gothic Book" w:eastAsia="Calibri" w:hAnsi="Franklin Gothic Book" w:cs="Times New Roman"/>
          <w:iCs/>
        </w:rPr>
        <w:t xml:space="preserve"> </w:t>
      </w:r>
      <w:r>
        <w:rPr>
          <w:rFonts w:ascii="Franklin Gothic Book" w:eastAsia="Calibri" w:hAnsi="Franklin Gothic Book" w:cs="Times New Roman"/>
          <w:iCs/>
        </w:rPr>
        <w:t xml:space="preserve">the value of patients better knowing their prognosis based on an </w:t>
      </w:r>
      <w:r w:rsidRPr="00490E27">
        <w:rPr>
          <w:rFonts w:ascii="Franklin Gothic Book" w:eastAsia="Calibri" w:hAnsi="Franklin Gothic Book" w:cs="Times New Roman"/>
          <w:iCs/>
        </w:rPr>
        <w:t>EndoPredict</w:t>
      </w:r>
      <w:r w:rsidR="005F1260" w:rsidRPr="005F1260">
        <w:rPr>
          <w:rFonts w:ascii="Franklin Gothic Book" w:eastAsia="SimSun" w:hAnsi="Franklin Gothic Book" w:cs="Times New Roman"/>
          <w:color w:val="000000"/>
          <w:vertAlign w:val="superscript"/>
        </w:rPr>
        <w:t>®</w:t>
      </w:r>
      <w:r>
        <w:rPr>
          <w:rFonts w:ascii="Franklin Gothic Book" w:eastAsia="SimSun" w:hAnsi="Franklin Gothic Book" w:cs="Times New Roman"/>
          <w:color w:val="000000"/>
          <w:vertAlign w:val="superscript"/>
        </w:rPr>
        <w:t xml:space="preserve"> </w:t>
      </w:r>
      <w:r w:rsidRPr="00A56D31">
        <w:rPr>
          <w:rFonts w:ascii="Franklin Gothic Book" w:eastAsia="SimSun" w:hAnsi="Franklin Gothic Book" w:cs="Times New Roman"/>
          <w:color w:val="000000"/>
        </w:rPr>
        <w:t>result</w:t>
      </w:r>
      <w:r>
        <w:rPr>
          <w:rFonts w:ascii="Franklin Gothic Book" w:eastAsia="Calibri" w:hAnsi="Franklin Gothic Book" w:cs="Times New Roman"/>
          <w:iCs/>
        </w:rPr>
        <w:t xml:space="preserve">. </w:t>
      </w:r>
      <w:r w:rsidRPr="00490E27">
        <w:rPr>
          <w:rFonts w:ascii="Franklin Gothic Book" w:eastAsia="Calibri" w:hAnsi="Franklin Gothic Book" w:cs="Times New Roman"/>
          <w:iCs/>
        </w:rPr>
        <w:t xml:space="preserve">ESC recognised that </w:t>
      </w:r>
      <w:r>
        <w:rPr>
          <w:rFonts w:ascii="Franklin Gothic Book" w:eastAsia="Calibri" w:hAnsi="Franklin Gothic Book" w:cs="Times New Roman"/>
          <w:iCs/>
        </w:rPr>
        <w:t xml:space="preserve">some </w:t>
      </w:r>
      <w:r w:rsidRPr="00490E27">
        <w:rPr>
          <w:rFonts w:ascii="Franklin Gothic Book" w:eastAsia="Calibri" w:hAnsi="Franklin Gothic Book" w:cs="Times New Roman"/>
          <w:iCs/>
        </w:rPr>
        <w:t>clinician</w:t>
      </w:r>
      <w:r>
        <w:rPr>
          <w:rFonts w:ascii="Franklin Gothic Book" w:eastAsia="Calibri" w:hAnsi="Franklin Gothic Book" w:cs="Times New Roman"/>
          <w:iCs/>
        </w:rPr>
        <w:t xml:space="preserve"> group</w:t>
      </w:r>
      <w:r w:rsidRPr="00490E27">
        <w:rPr>
          <w:rFonts w:ascii="Franklin Gothic Book" w:eastAsia="Calibri" w:hAnsi="Franklin Gothic Book" w:cs="Times New Roman"/>
          <w:iCs/>
        </w:rPr>
        <w:t>s</w:t>
      </w:r>
      <w:r>
        <w:rPr>
          <w:rFonts w:ascii="Franklin Gothic Book" w:eastAsia="Calibri" w:hAnsi="Franklin Gothic Book" w:cs="Times New Roman"/>
          <w:iCs/>
        </w:rPr>
        <w:t>, at least one Australian laboratory, and various international guidelines make statements</w:t>
      </w:r>
      <w:r w:rsidRPr="00490E27">
        <w:rPr>
          <w:rFonts w:ascii="Franklin Gothic Book" w:eastAsia="Calibri" w:hAnsi="Franklin Gothic Book" w:cs="Times New Roman"/>
          <w:iCs/>
        </w:rPr>
        <w:t xml:space="preserve"> </w:t>
      </w:r>
      <w:r>
        <w:rPr>
          <w:rFonts w:ascii="Franklin Gothic Book" w:eastAsia="Calibri" w:hAnsi="Franklin Gothic Book" w:cs="Times New Roman"/>
          <w:iCs/>
        </w:rPr>
        <w:t>describing using</w:t>
      </w:r>
      <w:r w:rsidRPr="00490E27">
        <w:rPr>
          <w:rFonts w:ascii="Franklin Gothic Book" w:eastAsia="Calibri" w:hAnsi="Franklin Gothic Book" w:cs="Times New Roman"/>
          <w:iCs/>
        </w:rPr>
        <w:t xml:space="preserve"> GEP </w:t>
      </w:r>
      <w:r>
        <w:rPr>
          <w:rFonts w:ascii="Franklin Gothic Book" w:eastAsia="Calibri" w:hAnsi="Franklin Gothic Book" w:cs="Times New Roman"/>
          <w:iCs/>
        </w:rPr>
        <w:t>tests to assist decision-making regarding the use of chemotherapy in early breast cancer</w:t>
      </w:r>
      <w:r w:rsidRPr="00490E27">
        <w:rPr>
          <w:rFonts w:ascii="Franklin Gothic Book" w:eastAsia="Calibri" w:hAnsi="Franklin Gothic Book" w:cs="Times New Roman"/>
          <w:iCs/>
        </w:rPr>
        <w:t>.</w:t>
      </w:r>
      <w:r>
        <w:rPr>
          <w:rFonts w:ascii="Franklin Gothic Book" w:eastAsia="Calibri" w:hAnsi="Franklin Gothic Book" w:cs="Times New Roman"/>
          <w:iCs/>
        </w:rPr>
        <w:t xml:space="preserve"> </w:t>
      </w:r>
      <w:r>
        <w:rPr>
          <w:rFonts w:ascii="Franklin Gothic Book" w:eastAsia="SimSun" w:hAnsi="Franklin Gothic Book" w:cs="Times New Roman"/>
          <w:color w:val="000000"/>
        </w:rPr>
        <w:t>ESC noted the recent update to ASCO guidelines</w:t>
      </w:r>
      <w:r>
        <w:rPr>
          <w:rStyle w:val="FootnoteReference"/>
          <w:rFonts w:ascii="Franklin Gothic Book" w:eastAsia="SimSun" w:hAnsi="Franklin Gothic Book" w:cs="Times New Roman"/>
          <w:color w:val="000000"/>
        </w:rPr>
        <w:footnoteReference w:id="24"/>
      </w:r>
      <w:r>
        <w:rPr>
          <w:rFonts w:ascii="Franklin Gothic Book" w:eastAsia="SimSun" w:hAnsi="Franklin Gothic Book" w:cs="Times New Roman"/>
          <w:color w:val="000000"/>
        </w:rPr>
        <w:t xml:space="preserve"> may provide useful background for MSAC, though ESC has not specifically evaluated it.</w:t>
      </w:r>
    </w:p>
    <w:p w14:paraId="327A3590" w14:textId="77777777" w:rsidR="006A153F" w:rsidRPr="00C24B79" w:rsidRDefault="006A153F" w:rsidP="006A153F">
      <w:pPr>
        <w:spacing w:before="120" w:line="256" w:lineRule="auto"/>
        <w:ind w:right="396"/>
        <w:rPr>
          <w:rFonts w:ascii="Franklin Gothic Book" w:eastAsia="SimSun" w:hAnsi="Franklin Gothic Book" w:cs="Times New Roman"/>
          <w:color w:val="000000"/>
        </w:rPr>
      </w:pPr>
      <w:r w:rsidRPr="00490E27">
        <w:rPr>
          <w:rFonts w:ascii="Franklin Gothic Book" w:eastAsia="Calibri" w:hAnsi="Franklin Gothic Book" w:cs="Times New Roman"/>
          <w:iCs/>
        </w:rPr>
        <w:t>Finally, ESC noted that advice from NPAAC was that EQA would need to be addressed using sample exchange with other laboratories</w:t>
      </w:r>
      <w:r>
        <w:rPr>
          <w:rFonts w:ascii="Franklin Gothic Book" w:eastAsia="Calibri" w:hAnsi="Franklin Gothic Book" w:cs="Times New Roman"/>
          <w:iCs/>
        </w:rPr>
        <w:t xml:space="preserve">, and considered the requirements around </w:t>
      </w:r>
      <w:r w:rsidRPr="00E657BE">
        <w:rPr>
          <w:rFonts w:ascii="Franklin Gothic Book" w:eastAsia="Calibri" w:hAnsi="Franklin Gothic Book" w:cs="Times New Roman"/>
          <w:iCs/>
        </w:rPr>
        <w:t>TGA approval, NATA and NPAAC accreditation, and an appropriate QAP</w:t>
      </w:r>
      <w:r>
        <w:rPr>
          <w:rFonts w:ascii="Franklin Gothic Book" w:eastAsia="Calibri" w:hAnsi="Franklin Gothic Book" w:cs="Times New Roman"/>
          <w:iCs/>
        </w:rPr>
        <w:t>, to be reasonable</w:t>
      </w:r>
      <w:r w:rsidRPr="00490E27">
        <w:rPr>
          <w:rFonts w:ascii="Franklin Gothic Book" w:eastAsia="Calibri" w:hAnsi="Franklin Gothic Book" w:cs="Times New Roman"/>
          <w:iCs/>
        </w:rPr>
        <w:t>.</w:t>
      </w:r>
    </w:p>
    <w:p w14:paraId="3EC02990" w14:textId="77777777" w:rsidR="001B3166" w:rsidRPr="001B3166" w:rsidRDefault="001B3166" w:rsidP="001B3166">
      <w:pPr>
        <w:pStyle w:val="Heading2"/>
        <w:rPr>
          <w:rFonts w:ascii="Franklin Gothic Medium" w:hAnsi="Franklin Gothic Medium" w:cstheme="majorBidi"/>
        </w:rPr>
      </w:pPr>
      <w:r w:rsidRPr="001B3166">
        <w:rPr>
          <w:rFonts w:ascii="Franklin Gothic Medium" w:hAnsi="Franklin Gothic Medium" w:cstheme="majorBidi"/>
        </w:rPr>
        <w:t>17.</w:t>
      </w:r>
      <w:r w:rsidRPr="001B3166">
        <w:rPr>
          <w:rFonts w:ascii="Franklin Gothic Medium" w:hAnsi="Franklin Gothic Medium" w:cstheme="majorBidi"/>
        </w:rPr>
        <w:tab/>
        <w:t>Applicant comments on MSAC’s Public Summary Document</w:t>
      </w:r>
    </w:p>
    <w:p w14:paraId="3FA9F285" w14:textId="42E89532" w:rsidR="00F2610A" w:rsidRPr="001B3166" w:rsidRDefault="00B56AF0" w:rsidP="008F66BB">
      <w:pPr>
        <w:spacing w:before="120" w:line="256" w:lineRule="auto"/>
        <w:ind w:right="396"/>
        <w:rPr>
          <w:rFonts w:ascii="Franklin Gothic Book" w:hAnsi="Franklin Gothic Book"/>
          <w:color w:val="00B0F0"/>
        </w:rPr>
      </w:pPr>
      <w:r w:rsidRPr="008F66BB">
        <w:rPr>
          <w:rFonts w:ascii="Franklin Gothic Book" w:eastAsia="Calibri" w:hAnsi="Franklin Gothic Book" w:cs="Times New Roman"/>
          <w:iCs/>
        </w:rPr>
        <w:t>We are very excited that MSAC has recognised variance between GEP tests and has recommended EndoPredict</w:t>
      </w:r>
      <w:r w:rsidRPr="00C04DBE">
        <w:rPr>
          <w:rFonts w:ascii="Franklin Gothic Book" w:eastAsia="Calibri" w:hAnsi="Franklin Gothic Book" w:cs="Times New Roman"/>
          <w:iCs/>
          <w:vertAlign w:val="superscript"/>
        </w:rPr>
        <w:t>®</w:t>
      </w:r>
      <w:r w:rsidRPr="008F66BB">
        <w:rPr>
          <w:rFonts w:ascii="Franklin Gothic Book" w:eastAsia="Calibri" w:hAnsi="Franklin Gothic Book" w:cs="Times New Roman"/>
          <w:iCs/>
        </w:rPr>
        <w:t xml:space="preserve"> on its own merit and evidence. Myriad Genetics </w:t>
      </w:r>
      <w:r w:rsidR="008E4BC3" w:rsidRPr="008F66BB">
        <w:rPr>
          <w:rFonts w:ascii="Franklin Gothic Book" w:eastAsia="Calibri" w:hAnsi="Franklin Gothic Book" w:cs="Times New Roman"/>
          <w:iCs/>
        </w:rPr>
        <w:t>is</w:t>
      </w:r>
      <w:r w:rsidRPr="008F66BB">
        <w:rPr>
          <w:rFonts w:ascii="Franklin Gothic Book" w:eastAsia="Calibri" w:hAnsi="Franklin Gothic Book" w:cs="Times New Roman"/>
          <w:iCs/>
        </w:rPr>
        <w:t xml:space="preserve"> committed to resolve this unprecedented substantial out of pocket cost to the patient and will work with all stakeholders in an equitable manner to deliver this service onshore to eligible wom</w:t>
      </w:r>
      <w:r w:rsidR="008F66BB" w:rsidRPr="008F66BB">
        <w:rPr>
          <w:rFonts w:ascii="Franklin Gothic Book" w:eastAsia="Calibri" w:hAnsi="Franklin Gothic Book" w:cs="Times New Roman"/>
          <w:iCs/>
        </w:rPr>
        <w:t>e</w:t>
      </w:r>
      <w:r w:rsidRPr="008F66BB">
        <w:rPr>
          <w:rFonts w:ascii="Franklin Gothic Book" w:eastAsia="Calibri" w:hAnsi="Franklin Gothic Book" w:cs="Times New Roman"/>
          <w:iCs/>
        </w:rPr>
        <w:t>n diagnosed with breast cancer.</w:t>
      </w:r>
    </w:p>
    <w:p w14:paraId="4CCBB3D0" w14:textId="77777777" w:rsidR="001B3166" w:rsidRPr="001B3166" w:rsidRDefault="001B3166" w:rsidP="001B3166">
      <w:pPr>
        <w:pStyle w:val="Heading2"/>
        <w:rPr>
          <w:rFonts w:ascii="Franklin Gothic Medium" w:hAnsi="Franklin Gothic Medium" w:cstheme="majorBidi"/>
        </w:rPr>
      </w:pPr>
      <w:r w:rsidRPr="001B3166">
        <w:rPr>
          <w:rFonts w:ascii="Franklin Gothic Medium" w:hAnsi="Franklin Gothic Medium" w:cstheme="majorBidi"/>
        </w:rPr>
        <w:t>18.</w:t>
      </w:r>
      <w:r w:rsidRPr="001B3166">
        <w:rPr>
          <w:rFonts w:ascii="Franklin Gothic Medium" w:hAnsi="Franklin Gothic Medium" w:cstheme="majorBidi"/>
        </w:rPr>
        <w:tab/>
        <w:t>Further information on MSAC</w:t>
      </w:r>
    </w:p>
    <w:p w14:paraId="632FB642" w14:textId="0B72BFE8" w:rsidR="001B3166" w:rsidRPr="00D76968" w:rsidRDefault="001B3166" w:rsidP="00134431">
      <w:pPr>
        <w:pStyle w:val="BodyText"/>
        <w:rPr>
          <w:rFonts w:ascii="Franklin Gothic Book" w:hAnsi="Franklin Gothic Book"/>
        </w:rPr>
      </w:pPr>
      <w:r w:rsidRPr="001B3166">
        <w:rPr>
          <w:rFonts w:ascii="Franklin Gothic Book" w:hAnsi="Franklin Gothic Book"/>
        </w:rPr>
        <w:t xml:space="preserve">MSAC Terms of Reference and other information are available on the MSAC Website: </w:t>
      </w:r>
      <w:hyperlink r:id="rId19" w:tooltip="Link to the MSAC website" w:history="1">
        <w:r w:rsidRPr="001B3166">
          <w:rPr>
            <w:rStyle w:val="Hyperlink"/>
            <w:rFonts w:ascii="Franklin Gothic Book" w:hAnsi="Franklin Gothic Book"/>
          </w:rPr>
          <w:t>visit the MSAC website</w:t>
        </w:r>
      </w:hyperlink>
    </w:p>
    <w:sectPr w:rsidR="001B3166" w:rsidRPr="00D76968" w:rsidSect="00A55782">
      <w:footerReference w:type="even"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D2E95" w14:textId="77777777" w:rsidR="00F67A75" w:rsidRDefault="00F67A75" w:rsidP="0094012C">
      <w:pPr>
        <w:spacing w:after="0" w:line="240" w:lineRule="auto"/>
      </w:pPr>
      <w:r>
        <w:separator/>
      </w:r>
    </w:p>
  </w:endnote>
  <w:endnote w:type="continuationSeparator" w:id="0">
    <w:p w14:paraId="0FFD50A0" w14:textId="77777777" w:rsidR="00F67A75" w:rsidRDefault="00F67A75" w:rsidP="0094012C">
      <w:pPr>
        <w:spacing w:after="0" w:line="240" w:lineRule="auto"/>
      </w:pPr>
      <w:r>
        <w:continuationSeparator/>
      </w:r>
    </w:p>
  </w:endnote>
  <w:endnote w:type="continuationNotice" w:id="1">
    <w:p w14:paraId="2EBBE4B8" w14:textId="77777777" w:rsidR="00F67A75" w:rsidRDefault="00F67A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Light">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Bahnschrift SemiLight SemiConde">
    <w:panose1 w:val="020B0502040204020203"/>
    <w:charset w:val="00"/>
    <w:family w:val="swiss"/>
    <w:pitch w:val="variable"/>
    <w:sig w:usb0="A00002C7" w:usb1="00000002" w:usb2="00000000" w:usb3="00000000" w:csb0="000001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60831"/>
      <w:docPartObj>
        <w:docPartGallery w:val="Page Numbers (Bottom of Page)"/>
        <w:docPartUnique/>
      </w:docPartObj>
    </w:sdtPr>
    <w:sdtEndPr>
      <w:rPr>
        <w:noProof/>
      </w:rPr>
    </w:sdtEndPr>
    <w:sdtContent>
      <w:p w14:paraId="71F9BBAD" w14:textId="169C04D7" w:rsidR="00C876AC" w:rsidRDefault="00C876AC">
        <w:pPr>
          <w:pStyle w:val="Footer"/>
        </w:pPr>
        <w:r>
          <w:fldChar w:fldCharType="begin"/>
        </w:r>
        <w:r>
          <w:instrText xml:space="preserve"> PAGE   \* MERGEFORMAT </w:instrText>
        </w:r>
        <w:r>
          <w:fldChar w:fldCharType="separate"/>
        </w:r>
        <w:r>
          <w:rPr>
            <w:noProof/>
          </w:rPr>
          <w:t>56</w:t>
        </w:r>
        <w:r>
          <w:rPr>
            <w:noProof/>
          </w:rPr>
          <w:fldChar w:fldCharType="end"/>
        </w:r>
        <w:r>
          <w:rPr>
            <w:noProof/>
          </w:rPr>
          <w:tab/>
        </w:r>
        <w:r>
          <w:rPr>
            <w:noProof/>
          </w:rPr>
          <w:tab/>
        </w:r>
        <w:r>
          <w:t xml:space="preserve">MSAC </w:t>
        </w:r>
        <w:r w:rsidRPr="00807A3E">
          <w:t xml:space="preserve">assessment report </w:t>
        </w:r>
        <w:r w:rsidR="00AE3E5D" w:rsidRPr="00AE3E5D">
          <w:rPr>
            <w:shd w:val="solid" w:color="000000" w:fill="000000"/>
            <w14:textFill>
              <w14:solidFill>
                <w14:schemeClr w14:val="bg2">
                  <w14:alpha w14:val="100000"/>
                  <w14:lumMod w14:val="50000"/>
                </w14:schemeClr>
              </w14:solidFill>
            </w14:textFill>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21780567" w14:textId="3A0B498A" w:rsidR="00C876AC" w:rsidRDefault="00C876AC" w:rsidP="00CD0977">
        <w:pPr>
          <w:pStyle w:val="Footer"/>
          <w:jc w:val="right"/>
        </w:pPr>
        <w:r>
          <w:fldChar w:fldCharType="begin"/>
        </w:r>
        <w:r>
          <w:instrText xml:space="preserve"> PAGE   \* MERGEFORMAT </w:instrText>
        </w:r>
        <w:r>
          <w:fldChar w:fldCharType="separate"/>
        </w:r>
        <w:r>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5A8E" w14:textId="77777777" w:rsidR="00F67A75" w:rsidRDefault="00F67A75" w:rsidP="0094012C">
      <w:pPr>
        <w:spacing w:after="0" w:line="240" w:lineRule="auto"/>
      </w:pPr>
      <w:r>
        <w:separator/>
      </w:r>
    </w:p>
  </w:footnote>
  <w:footnote w:type="continuationSeparator" w:id="0">
    <w:p w14:paraId="18D2C4F6" w14:textId="77777777" w:rsidR="00F67A75" w:rsidRDefault="00F67A75" w:rsidP="0094012C">
      <w:pPr>
        <w:spacing w:after="0" w:line="240" w:lineRule="auto"/>
      </w:pPr>
      <w:r>
        <w:continuationSeparator/>
      </w:r>
    </w:p>
  </w:footnote>
  <w:footnote w:type="continuationNotice" w:id="1">
    <w:p w14:paraId="2D39D312" w14:textId="77777777" w:rsidR="00F67A75" w:rsidRDefault="00F67A75">
      <w:pPr>
        <w:spacing w:after="0" w:line="240" w:lineRule="auto"/>
      </w:pPr>
    </w:p>
  </w:footnote>
  <w:footnote w:id="2">
    <w:p w14:paraId="621E8196" w14:textId="3F06440F" w:rsidR="00C876AC" w:rsidRDefault="00C876AC" w:rsidP="002056CD">
      <w:pPr>
        <w:pStyle w:val="FootnoteText"/>
      </w:pPr>
      <w:r>
        <w:rPr>
          <w:rStyle w:val="FootnoteReference"/>
        </w:rPr>
        <w:footnoteRef/>
      </w:r>
      <w:r>
        <w:t xml:space="preserve"> ASCO = American Society of Clinical Oncology; ESMO = European Society of Medical Oncology; EGTM = European Group on Tumor Markers; NICE = National Institute for Health and Care Excellence</w:t>
      </w:r>
    </w:p>
  </w:footnote>
  <w:footnote w:id="3">
    <w:p w14:paraId="47263B93" w14:textId="598F3919" w:rsidR="00C876AC" w:rsidRDefault="00C876AC">
      <w:pPr>
        <w:pStyle w:val="FootnoteText"/>
      </w:pPr>
      <w:r>
        <w:rPr>
          <w:rStyle w:val="FootnoteReference"/>
        </w:rPr>
        <w:footnoteRef/>
      </w:r>
      <w:r>
        <w:t xml:space="preserve"> Australian Clinical Labs </w:t>
      </w:r>
      <w:hyperlink r:id="rId1" w:history="1">
        <w:r w:rsidRPr="007607D2">
          <w:rPr>
            <w:rStyle w:val="Hyperlink"/>
          </w:rPr>
          <w:t>https://www.clinicallabs.com.au/endopredict/</w:t>
        </w:r>
      </w:hyperlink>
    </w:p>
  </w:footnote>
  <w:footnote w:id="4">
    <w:p w14:paraId="4BEF37FE" w14:textId="77777777" w:rsidR="00C876AC" w:rsidRDefault="00C876AC" w:rsidP="009F2FA8">
      <w:pPr>
        <w:pStyle w:val="FootnoteText"/>
      </w:pPr>
      <w:r>
        <w:rPr>
          <w:rStyle w:val="FootnoteReference"/>
        </w:rPr>
        <w:footnoteRef/>
      </w:r>
      <w:r>
        <w:t xml:space="preserve"> </w:t>
      </w:r>
      <w:r w:rsidRPr="00820442">
        <w:t>Penault-Llorca</w:t>
      </w:r>
      <w:r>
        <w:t xml:space="preserve"> </w:t>
      </w:r>
      <w:r w:rsidRPr="00820442">
        <w:t xml:space="preserve">F, et al. </w:t>
      </w:r>
      <w:r>
        <w:t xml:space="preserve">(2020). </w:t>
      </w:r>
      <w:r w:rsidRPr="00820442">
        <w:t>Decision of adjuvant chemotherapy in intermediate risk luminal breast cancer patients: A prospective multicenter trial assessing the clinical and psychological impact of EndoPredict</w:t>
      </w:r>
      <w:r>
        <w:t>®</w:t>
      </w:r>
      <w:r w:rsidRPr="00820442">
        <w:t xml:space="preserve"> (EpClin) use (UCBG 2-14). </w:t>
      </w:r>
      <w:r w:rsidRPr="00820442">
        <w:rPr>
          <w:i/>
          <w:iCs/>
        </w:rPr>
        <w:t>Breast</w:t>
      </w:r>
      <w:r>
        <w:t xml:space="preserve">, </w:t>
      </w:r>
      <w:r w:rsidRPr="00820442">
        <w:rPr>
          <w:b/>
          <w:bCs/>
        </w:rPr>
        <w:t>49</w:t>
      </w:r>
      <w:r w:rsidRPr="00820442">
        <w:t>:132-40.</w:t>
      </w:r>
    </w:p>
  </w:footnote>
  <w:footnote w:id="5">
    <w:p w14:paraId="5DE21649" w14:textId="15D5DD1B" w:rsidR="00C876AC" w:rsidRDefault="00C876AC">
      <w:pPr>
        <w:pStyle w:val="FootnoteText"/>
      </w:pPr>
      <w:r>
        <w:rPr>
          <w:rStyle w:val="FootnoteReference"/>
        </w:rPr>
        <w:footnoteRef/>
      </w:r>
      <w:r>
        <w:t xml:space="preserve"> </w:t>
      </w:r>
      <w:r w:rsidRPr="00820442">
        <w:t xml:space="preserve">Ettl J, </w:t>
      </w:r>
      <w:r>
        <w:t>et al. (2020)</w:t>
      </w:r>
      <w:r w:rsidRPr="00820442">
        <w:t>. First prospective outcome data for the second-generation multigene test Endo</w:t>
      </w:r>
      <w:r>
        <w:t>P</w:t>
      </w:r>
      <w:r w:rsidRPr="00820442">
        <w:t xml:space="preserve">redict in ER-positive/HER2-negative breast cancer. </w:t>
      </w:r>
      <w:r w:rsidRPr="00820442">
        <w:rPr>
          <w:i/>
          <w:iCs/>
        </w:rPr>
        <w:t>Arch Gynecol Obstet</w:t>
      </w:r>
      <w:r>
        <w:t xml:space="preserve">, </w:t>
      </w:r>
      <w:r w:rsidRPr="00820442">
        <w:rPr>
          <w:b/>
          <w:bCs/>
        </w:rPr>
        <w:t>302</w:t>
      </w:r>
      <w:r w:rsidRPr="00820442">
        <w:t>(6):1461-1467.</w:t>
      </w:r>
    </w:p>
  </w:footnote>
  <w:footnote w:id="6">
    <w:p w14:paraId="6B182509" w14:textId="43E6C65D" w:rsidR="00C876AC" w:rsidRDefault="00C876AC">
      <w:pPr>
        <w:pStyle w:val="FootnoteText"/>
      </w:pPr>
      <w:r>
        <w:rPr>
          <w:rStyle w:val="FootnoteReference"/>
        </w:rPr>
        <w:footnoteRef/>
      </w:r>
      <w:r>
        <w:t xml:space="preserve"> </w:t>
      </w:r>
      <w:r w:rsidRPr="00820442">
        <w:t>Penault-Llorca</w:t>
      </w:r>
      <w:r>
        <w:t xml:space="preserve"> </w:t>
      </w:r>
      <w:r w:rsidRPr="00820442">
        <w:t xml:space="preserve">F, et al. </w:t>
      </w:r>
      <w:r>
        <w:t xml:space="preserve">(2020). </w:t>
      </w:r>
      <w:r w:rsidRPr="00820442">
        <w:t>Decision of adjuvant chemotherapy in intermediate risk luminal breast cancer patients: A prospective multicenter trial assessing the clinical and psychological impact of EndoPredict</w:t>
      </w:r>
      <w:r>
        <w:t>®</w:t>
      </w:r>
      <w:r w:rsidRPr="00820442">
        <w:t xml:space="preserve"> (EpClin) use (UCBG 2-14). </w:t>
      </w:r>
      <w:r w:rsidRPr="00820442">
        <w:rPr>
          <w:i/>
          <w:iCs/>
        </w:rPr>
        <w:t>Breast</w:t>
      </w:r>
      <w:r>
        <w:t xml:space="preserve">, </w:t>
      </w:r>
      <w:r w:rsidRPr="00820442">
        <w:rPr>
          <w:b/>
          <w:bCs/>
        </w:rPr>
        <w:t>49</w:t>
      </w:r>
      <w:r w:rsidRPr="00820442">
        <w:t>:132-40.</w:t>
      </w:r>
    </w:p>
  </w:footnote>
  <w:footnote w:id="7">
    <w:p w14:paraId="4FC92FB0" w14:textId="718C8268" w:rsidR="00C876AC" w:rsidRDefault="00C876AC">
      <w:pPr>
        <w:pStyle w:val="FootnoteText"/>
      </w:pPr>
      <w:r>
        <w:rPr>
          <w:rStyle w:val="FootnoteReference"/>
        </w:rPr>
        <w:footnoteRef/>
      </w:r>
      <w:r>
        <w:t xml:space="preserve"> </w:t>
      </w:r>
      <w:r w:rsidRPr="00820442">
        <w:t xml:space="preserve">Dinh P, </w:t>
      </w:r>
      <w:r>
        <w:t>et al. (2022)</w:t>
      </w:r>
      <w:r w:rsidRPr="00820442">
        <w:t xml:space="preserve">. Impact of the EndoPredict genomic assay on treatment decisions for oestrogen receptor-positive early breast cancer patients: benefits of physician selective testing. </w:t>
      </w:r>
      <w:r w:rsidRPr="00820442">
        <w:rPr>
          <w:i/>
          <w:iCs/>
        </w:rPr>
        <w:t>Breast Cancer Res Treat</w:t>
      </w:r>
      <w:r>
        <w:t>,</w:t>
      </w:r>
      <w:r w:rsidRPr="00820442">
        <w:t xml:space="preserve"> </w:t>
      </w:r>
      <w:r w:rsidRPr="001E5F60">
        <w:rPr>
          <w:b/>
          <w:bCs/>
        </w:rPr>
        <w:t>191</w:t>
      </w:r>
      <w:r>
        <w:t>:</w:t>
      </w:r>
      <w:r w:rsidRPr="001E5F60">
        <w:rPr>
          <w:b/>
          <w:bCs/>
        </w:rPr>
        <w:t> </w:t>
      </w:r>
      <w:r w:rsidRPr="001E5F60">
        <w:t>501</w:t>
      </w:r>
      <w:r>
        <w:t>-</w:t>
      </w:r>
      <w:r w:rsidRPr="001E5F60">
        <w:t>511</w:t>
      </w:r>
      <w:r w:rsidRPr="00820442">
        <w:t>.</w:t>
      </w:r>
    </w:p>
  </w:footnote>
  <w:footnote w:id="8">
    <w:p w14:paraId="4F97A058" w14:textId="502B4418" w:rsidR="00C876AC" w:rsidRDefault="00C876AC">
      <w:pPr>
        <w:pStyle w:val="FootnoteText"/>
      </w:pPr>
      <w:r>
        <w:rPr>
          <w:rStyle w:val="FootnoteReference"/>
        </w:rPr>
        <w:footnoteRef/>
      </w:r>
      <w:r>
        <w:t xml:space="preserve"> </w:t>
      </w:r>
      <w:r w:rsidRPr="00784BAA">
        <w:t xml:space="preserve">Penault-Llorca F, </w:t>
      </w:r>
      <w:r>
        <w:t>et al (2021)</w:t>
      </w:r>
      <w:r w:rsidRPr="00784BAA">
        <w:t xml:space="preserve">. Prognostic value of EndoPredict test in patients screened for UNIRAD, a UCBG randomized, double blind, phase III international trial evaluating the addition of everolimus (EVE) to adjuvant hormone therapy (HT) in women with </w:t>
      </w:r>
      <w:proofErr w:type="gramStart"/>
      <w:r w:rsidRPr="00784BAA">
        <w:t>high risk</w:t>
      </w:r>
      <w:proofErr w:type="gramEnd"/>
      <w:r w:rsidRPr="00784BAA">
        <w:t xml:space="preserve"> HR+, HER2-early breast cancer (eBC). San Antonio Breast Cancer Symposium. 2021 Dec 7-10</w:t>
      </w:r>
      <w:r>
        <w:t>.</w:t>
      </w:r>
    </w:p>
  </w:footnote>
  <w:footnote w:id="9">
    <w:p w14:paraId="73C58E03" w14:textId="6C581452" w:rsidR="00C876AC" w:rsidRDefault="00C876AC">
      <w:pPr>
        <w:pStyle w:val="FootnoteText"/>
      </w:pPr>
      <w:r>
        <w:rPr>
          <w:rStyle w:val="FootnoteReference"/>
        </w:rPr>
        <w:footnoteRef/>
      </w:r>
      <w:r>
        <w:t xml:space="preserve"> </w:t>
      </w:r>
      <w:r w:rsidRPr="002E1C42">
        <w:t xml:space="preserve">Filipits M, </w:t>
      </w:r>
      <w:r>
        <w:t>et al. (2011)</w:t>
      </w:r>
      <w:r w:rsidRPr="002E1C42">
        <w:t xml:space="preserve">. A new molecular predictor of distant recurrence in ER-positive, HER2-negative breast cancer adds independent information to conventional clinical risk factors. </w:t>
      </w:r>
      <w:r w:rsidRPr="00D817EE">
        <w:rPr>
          <w:i/>
          <w:iCs/>
        </w:rPr>
        <w:t>Clin Cancer Res</w:t>
      </w:r>
      <w:r>
        <w:t>,</w:t>
      </w:r>
      <w:r w:rsidRPr="002E1C42">
        <w:t>17(18):6012-20. PMID: 21807638.</w:t>
      </w:r>
    </w:p>
  </w:footnote>
  <w:footnote w:id="10">
    <w:p w14:paraId="3FF79E9F" w14:textId="77777777" w:rsidR="00C876AC" w:rsidRDefault="00C876AC" w:rsidP="002E1C42">
      <w:pPr>
        <w:pStyle w:val="FootnoteText"/>
      </w:pPr>
      <w:r>
        <w:rPr>
          <w:rStyle w:val="FootnoteReference"/>
        </w:rPr>
        <w:footnoteRef/>
      </w:r>
      <w:r>
        <w:t xml:space="preserve"> D</w:t>
      </w:r>
      <w:r w:rsidRPr="002E1C42">
        <w:t xml:space="preserve">ubsky P, </w:t>
      </w:r>
      <w:r>
        <w:t>et al (2013a)</w:t>
      </w:r>
      <w:r w:rsidRPr="002E1C42">
        <w:t xml:space="preserve">. EndoPredict improves the prognostic classification derived from common clinical guidelines in ER-positive, HER2-negative early breast cancer. </w:t>
      </w:r>
      <w:r w:rsidRPr="002E1C42">
        <w:rPr>
          <w:i/>
          <w:iCs/>
        </w:rPr>
        <w:t>Ann Oncol</w:t>
      </w:r>
      <w:r>
        <w:t xml:space="preserve">, </w:t>
      </w:r>
      <w:r w:rsidRPr="004E4EFB">
        <w:rPr>
          <w:b/>
          <w:bCs/>
        </w:rPr>
        <w:t>24</w:t>
      </w:r>
      <w:r w:rsidRPr="002E1C42">
        <w:t>(3):640-7. PMID: 23035151.</w:t>
      </w:r>
    </w:p>
  </w:footnote>
  <w:footnote w:id="11">
    <w:p w14:paraId="71DD2B4B" w14:textId="77777777" w:rsidR="00C876AC" w:rsidRPr="001B4DDB" w:rsidRDefault="00C876AC" w:rsidP="002056CD">
      <w:pPr>
        <w:pStyle w:val="FootnoteText"/>
        <w:rPr>
          <w:rFonts w:ascii="Franklin Gothic Book" w:hAnsi="Franklin Gothic Book"/>
        </w:rPr>
      </w:pPr>
      <w:r w:rsidRPr="001B4DDB">
        <w:rPr>
          <w:rStyle w:val="FootnoteReference"/>
          <w:rFonts w:ascii="Franklin Gothic Book" w:hAnsi="Franklin Gothic Book"/>
        </w:rPr>
        <w:footnoteRef/>
      </w:r>
      <w:r w:rsidRPr="001B4DDB">
        <w:rPr>
          <w:rFonts w:ascii="Franklin Gothic Book" w:hAnsi="Franklin Gothic Book"/>
        </w:rPr>
        <w:t xml:space="preserve"> </w:t>
      </w:r>
      <w:r w:rsidRPr="001B4DDB">
        <w:rPr>
          <w:rFonts w:ascii="Franklin Gothic Book" w:hAnsi="Franklin Gothic Book"/>
          <w:lang w:val="en-US"/>
        </w:rPr>
        <w:t xml:space="preserve">15 patients upgraded from no CTX to </w:t>
      </w:r>
      <w:proofErr w:type="gramStart"/>
      <w:r w:rsidRPr="001B4DDB">
        <w:rPr>
          <w:rFonts w:ascii="Franklin Gothic Book" w:hAnsi="Franklin Gothic Book"/>
          <w:lang w:val="en-US"/>
        </w:rPr>
        <w:t>CTX</w:t>
      </w:r>
      <w:proofErr w:type="gramEnd"/>
      <w:r w:rsidRPr="001B4DDB">
        <w:rPr>
          <w:rFonts w:ascii="Franklin Gothic Book" w:hAnsi="Franklin Gothic Book"/>
          <w:lang w:val="en-US"/>
        </w:rPr>
        <w:t xml:space="preserve"> and 29 patients downgraded from CTX to no CTX. There is therefore a net reduction in chemotherapy use in 14 patients (14/215, 6.5%).</w:t>
      </w:r>
    </w:p>
  </w:footnote>
  <w:footnote w:id="12">
    <w:p w14:paraId="7250AE3B" w14:textId="02129B02" w:rsidR="00C876AC" w:rsidRDefault="00C876AC" w:rsidP="001E5F60">
      <w:pPr>
        <w:pStyle w:val="FootnoteText"/>
      </w:pPr>
      <w:r>
        <w:rPr>
          <w:rStyle w:val="FootnoteReference"/>
        </w:rPr>
        <w:footnoteRef/>
      </w:r>
      <w:r>
        <w:t xml:space="preserve"> </w:t>
      </w:r>
      <w:r w:rsidRPr="00247409">
        <w:t xml:space="preserve">Sestak I, et al. </w:t>
      </w:r>
      <w:r>
        <w:t xml:space="preserve">(2019). </w:t>
      </w:r>
      <w:r w:rsidRPr="00247409">
        <w:t xml:space="preserve">Prediction of chemotherapy benefit by EndoPredict in patients with breast cancer who received adjuvant endocrine therapy plus chemotherapy or endocrine therapy alone. </w:t>
      </w:r>
      <w:r w:rsidRPr="001E5F60">
        <w:rPr>
          <w:i/>
          <w:iCs/>
        </w:rPr>
        <w:t>Breast Cancer Res Treat</w:t>
      </w:r>
      <w:r>
        <w:t>,</w:t>
      </w:r>
      <w:r w:rsidRPr="00247409">
        <w:t xml:space="preserve"> </w:t>
      </w:r>
      <w:r w:rsidRPr="001E5F60">
        <w:rPr>
          <w:b/>
          <w:bCs/>
        </w:rPr>
        <w:t>176</w:t>
      </w:r>
      <w:r w:rsidRPr="00247409">
        <w:t>(2):377-86.</w:t>
      </w:r>
    </w:p>
  </w:footnote>
  <w:footnote w:id="13">
    <w:p w14:paraId="45E6E2DC" w14:textId="52FFF22F" w:rsidR="00C876AC" w:rsidRPr="00844998" w:rsidRDefault="00C876AC">
      <w:pPr>
        <w:pStyle w:val="FootnoteText"/>
        <w:rPr>
          <w:lang w:val="en-US"/>
        </w:rPr>
      </w:pPr>
      <w:r>
        <w:rPr>
          <w:rStyle w:val="FootnoteReference"/>
        </w:rPr>
        <w:footnoteRef/>
      </w:r>
      <w:r>
        <w:t xml:space="preserve"> </w:t>
      </w:r>
      <w:r>
        <w:rPr>
          <w:lang w:val="en-US"/>
        </w:rPr>
        <w:t>Relative risk difference = (46-26)/46</w:t>
      </w:r>
    </w:p>
  </w:footnote>
  <w:footnote w:id="14">
    <w:p w14:paraId="78089D55" w14:textId="04EA24D3" w:rsidR="00C876AC" w:rsidRDefault="00C876AC" w:rsidP="002056CD">
      <w:pPr>
        <w:pStyle w:val="FootnoteText"/>
      </w:pPr>
      <w:r>
        <w:rPr>
          <w:rStyle w:val="FootnoteReference"/>
        </w:rPr>
        <w:footnoteRef/>
      </w:r>
      <w:r>
        <w:t xml:space="preserve"> </w:t>
      </w:r>
      <w:r w:rsidRPr="00430ADF">
        <w:t>Lidgren M,</w:t>
      </w:r>
      <w:r>
        <w:t xml:space="preserve"> et al. (2007)</w:t>
      </w:r>
      <w:r w:rsidRPr="00430ADF">
        <w:t xml:space="preserve">. Health related quality of life in different states of breast cancer. </w:t>
      </w:r>
      <w:r w:rsidRPr="007031F8">
        <w:rPr>
          <w:i/>
          <w:iCs/>
        </w:rPr>
        <w:t>Qual Life Res</w:t>
      </w:r>
      <w:r>
        <w:rPr>
          <w:i/>
          <w:iCs/>
        </w:rPr>
        <w:t>,</w:t>
      </w:r>
      <w:r>
        <w:t xml:space="preserve"> </w:t>
      </w:r>
      <w:r w:rsidRPr="007031F8">
        <w:rPr>
          <w:b/>
          <w:bCs/>
        </w:rPr>
        <w:t>16</w:t>
      </w:r>
      <w:r w:rsidRPr="00430ADF">
        <w:t>(6):1073-81.</w:t>
      </w:r>
    </w:p>
  </w:footnote>
  <w:footnote w:id="15">
    <w:p w14:paraId="7D88BB70" w14:textId="228E99D5" w:rsidR="00C876AC" w:rsidRPr="00D76968" w:rsidRDefault="00C876AC" w:rsidP="002056CD">
      <w:pPr>
        <w:pStyle w:val="FootnoteText"/>
        <w:rPr>
          <w:rFonts w:ascii="Franklin Gothic Book" w:hAnsi="Franklin Gothic Book"/>
        </w:rPr>
      </w:pPr>
      <w:r w:rsidRPr="00D76968">
        <w:rPr>
          <w:rStyle w:val="FootnoteReference"/>
          <w:rFonts w:ascii="Franklin Gothic Book" w:hAnsi="Franklin Gothic Book"/>
        </w:rPr>
        <w:footnoteRef/>
      </w:r>
      <w:r w:rsidRPr="00D76968">
        <w:rPr>
          <w:rFonts w:ascii="Franklin Gothic Book" w:hAnsi="Franklin Gothic Book"/>
        </w:rPr>
        <w:t xml:space="preserve"> Australian Institute of Health and Welfare [AIHW]. Cancer Data in Australia. Canberra: AIHW; 2021 [cited 2022]; Available from: </w:t>
      </w:r>
      <w:hyperlink r:id="rId2" w:history="1">
        <w:r w:rsidRPr="00D76968">
          <w:rPr>
            <w:rStyle w:val="Hyperlink"/>
            <w:rFonts w:ascii="Franklin Gothic Book" w:hAnsi="Franklin Gothic Book"/>
          </w:rPr>
          <w:t>https://www.aihw.gov.au/reports/cancer/cancer-data-in-australia/</w:t>
        </w:r>
      </w:hyperlink>
      <w:r w:rsidRPr="00D76968">
        <w:rPr>
          <w:rFonts w:ascii="Franklin Gothic Book" w:hAnsi="Franklin Gothic Book"/>
        </w:rPr>
        <w:t>.</w:t>
      </w:r>
    </w:p>
  </w:footnote>
  <w:footnote w:id="16">
    <w:p w14:paraId="018BB7BE" w14:textId="2D536EBE" w:rsidR="00C876AC" w:rsidRPr="00D76968" w:rsidRDefault="00C876AC" w:rsidP="002056CD">
      <w:pPr>
        <w:pStyle w:val="FootnoteText"/>
        <w:rPr>
          <w:rFonts w:ascii="Franklin Gothic Book" w:hAnsi="Franklin Gothic Book"/>
        </w:rPr>
      </w:pPr>
      <w:r w:rsidRPr="00D76968">
        <w:rPr>
          <w:rStyle w:val="FootnoteReference"/>
          <w:rFonts w:ascii="Franklin Gothic Book" w:hAnsi="Franklin Gothic Book"/>
        </w:rPr>
        <w:footnoteRef/>
      </w:r>
      <w:r w:rsidRPr="00D76968">
        <w:rPr>
          <w:rFonts w:ascii="Franklin Gothic Book" w:hAnsi="Franklin Gothic Book"/>
        </w:rPr>
        <w:t xml:space="preserve"> Nelson DR, </w:t>
      </w:r>
      <w:r>
        <w:rPr>
          <w:rFonts w:ascii="Franklin Gothic Book" w:hAnsi="Franklin Gothic Book"/>
        </w:rPr>
        <w:t>et al. (2022)</w:t>
      </w:r>
      <w:r w:rsidRPr="00D76968">
        <w:rPr>
          <w:rFonts w:ascii="Franklin Gothic Book" w:hAnsi="Franklin Gothic Book"/>
        </w:rPr>
        <w:t xml:space="preserve">. Breast cancer-specific mortality in early breast cancer as defined by high-risk clinical and pathologic characteristics. </w:t>
      </w:r>
      <w:r w:rsidRPr="003F20EB">
        <w:rPr>
          <w:rFonts w:ascii="Franklin Gothic Book" w:hAnsi="Franklin Gothic Book"/>
          <w:i/>
          <w:iCs/>
        </w:rPr>
        <w:t>PLoS One</w:t>
      </w:r>
      <w:r>
        <w:rPr>
          <w:rFonts w:ascii="Franklin Gothic Book" w:hAnsi="Franklin Gothic Book"/>
        </w:rPr>
        <w:t>,</w:t>
      </w:r>
      <w:r w:rsidRPr="00D76968">
        <w:rPr>
          <w:rFonts w:ascii="Franklin Gothic Book" w:hAnsi="Franklin Gothic Book"/>
        </w:rPr>
        <w:t xml:space="preserve"> </w:t>
      </w:r>
      <w:r w:rsidRPr="003F20EB">
        <w:rPr>
          <w:rFonts w:ascii="Franklin Gothic Book" w:hAnsi="Franklin Gothic Book"/>
          <w:b/>
          <w:bCs/>
        </w:rPr>
        <w:t>17</w:t>
      </w:r>
      <w:r w:rsidRPr="00D76968">
        <w:rPr>
          <w:rFonts w:ascii="Franklin Gothic Book" w:hAnsi="Franklin Gothic Book"/>
        </w:rPr>
        <w:t>(2</w:t>
      </w:r>
      <w:proofErr w:type="gramStart"/>
      <w:r w:rsidRPr="00D76968">
        <w:rPr>
          <w:rFonts w:ascii="Franklin Gothic Book" w:hAnsi="Franklin Gothic Book"/>
        </w:rPr>
        <w:t>):e</w:t>
      </w:r>
      <w:proofErr w:type="gramEnd"/>
      <w:r w:rsidRPr="00D76968">
        <w:rPr>
          <w:rFonts w:ascii="Franklin Gothic Book" w:hAnsi="Franklin Gothic Book"/>
        </w:rPr>
        <w:t>0264637.</w:t>
      </w:r>
    </w:p>
  </w:footnote>
  <w:footnote w:id="17">
    <w:p w14:paraId="6814B7D5" w14:textId="56C12A3C" w:rsidR="00C876AC" w:rsidRPr="00D76968" w:rsidRDefault="00C876AC" w:rsidP="002056CD">
      <w:pPr>
        <w:pStyle w:val="FootnoteText"/>
        <w:rPr>
          <w:rFonts w:ascii="Franklin Gothic Book" w:hAnsi="Franklin Gothic Book"/>
        </w:rPr>
      </w:pPr>
      <w:r w:rsidRPr="00D76968">
        <w:rPr>
          <w:rStyle w:val="FootnoteReference"/>
          <w:rFonts w:ascii="Franklin Gothic Book" w:hAnsi="Franklin Gothic Book"/>
        </w:rPr>
        <w:footnoteRef/>
      </w:r>
      <w:r w:rsidRPr="00D76968">
        <w:rPr>
          <w:rFonts w:ascii="Franklin Gothic Book" w:hAnsi="Franklin Gothic Book"/>
        </w:rPr>
        <w:t xml:space="preserve"> Chan A, </w:t>
      </w:r>
      <w:r>
        <w:rPr>
          <w:rFonts w:ascii="Franklin Gothic Book" w:hAnsi="Franklin Gothic Book"/>
        </w:rPr>
        <w:t xml:space="preserve">et al. (2021). </w:t>
      </w:r>
      <w:r w:rsidRPr="00D76968">
        <w:rPr>
          <w:rFonts w:ascii="Franklin Gothic Book" w:hAnsi="Franklin Gothic Book"/>
        </w:rPr>
        <w:t>BreastSurgANZ members recommendations for adjuvant systemic treatment and patient compliance in Australian breast cancer patients. ANZ J Surg</w:t>
      </w:r>
      <w:r>
        <w:rPr>
          <w:rFonts w:ascii="Franklin Gothic Book" w:hAnsi="Franklin Gothic Book"/>
        </w:rPr>
        <w:t>,</w:t>
      </w:r>
      <w:r w:rsidRPr="00D76968">
        <w:rPr>
          <w:rFonts w:ascii="Franklin Gothic Book" w:hAnsi="Franklin Gothic Book"/>
        </w:rPr>
        <w:t xml:space="preserve"> </w:t>
      </w:r>
      <w:r w:rsidRPr="003F20EB">
        <w:rPr>
          <w:rFonts w:ascii="Franklin Gothic Book" w:hAnsi="Franklin Gothic Book"/>
          <w:b/>
          <w:bCs/>
        </w:rPr>
        <w:t>91</w:t>
      </w:r>
      <w:r w:rsidRPr="00D76968">
        <w:rPr>
          <w:rFonts w:ascii="Franklin Gothic Book" w:hAnsi="Franklin Gothic Book"/>
        </w:rPr>
        <w:t>(11):2418-24.</w:t>
      </w:r>
    </w:p>
  </w:footnote>
  <w:footnote w:id="18">
    <w:p w14:paraId="7DDD4EFA" w14:textId="4236D688" w:rsidR="00C876AC" w:rsidRPr="00D76968" w:rsidRDefault="00C876AC" w:rsidP="002056CD">
      <w:pPr>
        <w:pStyle w:val="FootnoteText"/>
        <w:rPr>
          <w:rFonts w:ascii="Franklin Gothic Book" w:hAnsi="Franklin Gothic Book"/>
        </w:rPr>
      </w:pPr>
      <w:r w:rsidRPr="00D76968">
        <w:rPr>
          <w:rStyle w:val="FootnoteReference"/>
          <w:rFonts w:ascii="Franklin Gothic Book" w:hAnsi="Franklin Gothic Book"/>
        </w:rPr>
        <w:footnoteRef/>
      </w:r>
      <w:r w:rsidRPr="00D76968">
        <w:rPr>
          <w:rFonts w:ascii="Franklin Gothic Book" w:hAnsi="Franklin Gothic Book"/>
        </w:rPr>
        <w:t xml:space="preserve"> Dubsky P, et al. </w:t>
      </w:r>
      <w:r>
        <w:rPr>
          <w:rFonts w:ascii="Franklin Gothic Book" w:hAnsi="Franklin Gothic Book"/>
        </w:rPr>
        <w:t xml:space="preserve">(2013a). </w:t>
      </w:r>
      <w:r w:rsidRPr="00D76968">
        <w:rPr>
          <w:rFonts w:ascii="Franklin Gothic Book" w:hAnsi="Franklin Gothic Book"/>
        </w:rPr>
        <w:t xml:space="preserve">EndoPredict improves the prognostic classification derived from common clinical guidelines in ER-positive, HER2-negative early breast cancer. </w:t>
      </w:r>
      <w:r w:rsidRPr="002E1C42">
        <w:rPr>
          <w:i/>
          <w:iCs/>
        </w:rPr>
        <w:t>Ann Oncol</w:t>
      </w:r>
      <w:r>
        <w:t xml:space="preserve">, </w:t>
      </w:r>
      <w:r w:rsidRPr="004E4EFB">
        <w:rPr>
          <w:b/>
          <w:bCs/>
        </w:rPr>
        <w:t>24</w:t>
      </w:r>
      <w:r w:rsidRPr="002E1C42">
        <w:t>(3):640-7. PMID: 23035151.</w:t>
      </w:r>
    </w:p>
  </w:footnote>
  <w:footnote w:id="19">
    <w:p w14:paraId="2E2BC801" w14:textId="5E64B8AB" w:rsidR="00C876AC" w:rsidRPr="00D76968" w:rsidRDefault="00C876AC" w:rsidP="002056CD">
      <w:pPr>
        <w:pStyle w:val="FootnoteText"/>
        <w:rPr>
          <w:rFonts w:ascii="Franklin Gothic Book" w:hAnsi="Franklin Gothic Book"/>
        </w:rPr>
      </w:pPr>
      <w:r w:rsidRPr="00D76968">
        <w:rPr>
          <w:rStyle w:val="FootnoteReference"/>
          <w:rFonts w:ascii="Franklin Gothic Book" w:hAnsi="Franklin Gothic Book"/>
        </w:rPr>
        <w:footnoteRef/>
      </w:r>
      <w:r w:rsidRPr="00D76968">
        <w:rPr>
          <w:rFonts w:ascii="Franklin Gothic Book" w:hAnsi="Franklin Gothic Book"/>
        </w:rPr>
        <w:t xml:space="preserve"> Verry </w:t>
      </w:r>
      <w:proofErr w:type="gramStart"/>
      <w:r w:rsidRPr="00D76968">
        <w:rPr>
          <w:rFonts w:ascii="Franklin Gothic Book" w:hAnsi="Franklin Gothic Book"/>
        </w:rPr>
        <w:t>H,  et al.</w:t>
      </w:r>
      <w:proofErr w:type="gramEnd"/>
      <w:r>
        <w:rPr>
          <w:rFonts w:ascii="Franklin Gothic Book" w:hAnsi="Franklin Gothic Book"/>
        </w:rPr>
        <w:t xml:space="preserve"> (2012).</w:t>
      </w:r>
      <w:r w:rsidRPr="00D76968">
        <w:rPr>
          <w:rFonts w:ascii="Franklin Gothic Book" w:hAnsi="Franklin Gothic Book"/>
        </w:rPr>
        <w:t xml:space="preserve"> Effectiveness and cost-effectiveness of sentinel lymph node biopsy compared with axillary node dissection in patients with early-stage breast cancer: a decision model analysis. </w:t>
      </w:r>
      <w:r w:rsidRPr="009312CE">
        <w:rPr>
          <w:rFonts w:ascii="Franklin Gothic Book" w:hAnsi="Franklin Gothic Book"/>
          <w:i/>
          <w:iCs/>
        </w:rPr>
        <w:t>Br J Cancer</w:t>
      </w:r>
      <w:r>
        <w:rPr>
          <w:rFonts w:ascii="Franklin Gothic Book" w:hAnsi="Franklin Gothic Book"/>
        </w:rPr>
        <w:t xml:space="preserve">, </w:t>
      </w:r>
      <w:r w:rsidRPr="009312CE">
        <w:rPr>
          <w:rFonts w:ascii="Franklin Gothic Book" w:hAnsi="Franklin Gothic Book"/>
          <w:b/>
          <w:bCs/>
        </w:rPr>
        <w:t>106</w:t>
      </w:r>
      <w:r w:rsidRPr="00D76968">
        <w:rPr>
          <w:rFonts w:ascii="Franklin Gothic Book" w:hAnsi="Franklin Gothic Book"/>
        </w:rPr>
        <w:t>(6):1045-52.</w:t>
      </w:r>
    </w:p>
  </w:footnote>
  <w:footnote w:id="20">
    <w:p w14:paraId="60A49984" w14:textId="77777777" w:rsidR="00C876AC" w:rsidRPr="00D76968" w:rsidRDefault="00C876AC" w:rsidP="002056CD">
      <w:pPr>
        <w:pStyle w:val="FootnoteText"/>
        <w:rPr>
          <w:rFonts w:ascii="Franklin Gothic Book" w:hAnsi="Franklin Gothic Book"/>
          <w:lang w:val="en-US"/>
        </w:rPr>
      </w:pPr>
      <w:r w:rsidRPr="00D76968">
        <w:rPr>
          <w:rStyle w:val="FootnoteReference"/>
          <w:rFonts w:ascii="Franklin Gothic Book" w:hAnsi="Franklin Gothic Book"/>
        </w:rPr>
        <w:footnoteRef/>
      </w:r>
      <w:r w:rsidRPr="00D76968">
        <w:rPr>
          <w:rFonts w:ascii="Franklin Gothic Book" w:hAnsi="Franklin Gothic Book"/>
        </w:rPr>
        <w:t xml:space="preserve"> </w:t>
      </w:r>
      <w:r w:rsidRPr="00D76968">
        <w:rPr>
          <w:rFonts w:ascii="Franklin Gothic Book" w:hAnsi="Franklin Gothic Book"/>
          <w:lang w:val="en-US"/>
        </w:rPr>
        <w:t>One initial specialist consultation ($90.35) and one subsequent specialist consultation ($45.40)</w:t>
      </w:r>
    </w:p>
  </w:footnote>
  <w:footnote w:id="21">
    <w:p w14:paraId="25A23DEA" w14:textId="77777777" w:rsidR="00C876AC" w:rsidRPr="00D76968" w:rsidRDefault="00C876AC" w:rsidP="002056CD">
      <w:pPr>
        <w:pStyle w:val="FootnoteText"/>
        <w:rPr>
          <w:rFonts w:ascii="Franklin Gothic Book" w:hAnsi="Franklin Gothic Book"/>
          <w:lang w:val="en-US"/>
        </w:rPr>
      </w:pPr>
      <w:r w:rsidRPr="00D76968">
        <w:rPr>
          <w:rStyle w:val="FootnoteReference"/>
          <w:rFonts w:ascii="Franklin Gothic Book" w:hAnsi="Franklin Gothic Book"/>
        </w:rPr>
        <w:footnoteRef/>
      </w:r>
      <w:r w:rsidRPr="00D76968">
        <w:rPr>
          <w:rFonts w:ascii="Franklin Gothic Book" w:hAnsi="Franklin Gothic Book"/>
        </w:rPr>
        <w:t xml:space="preserve"> </w:t>
      </w:r>
      <w:r w:rsidRPr="00D76968">
        <w:rPr>
          <w:rFonts w:ascii="Franklin Gothic Book" w:hAnsi="Franklin Gothic Book"/>
          <w:lang w:val="en-US"/>
        </w:rPr>
        <w:t>Four cycles each of docetaxel ($179.18 per cycle) and cyclophosphamide ($200.00 per cycle) in all patients, plus 12 cycles of paclitaxel ($202.83 per cycle) in 39% of patients</w:t>
      </w:r>
    </w:p>
  </w:footnote>
  <w:footnote w:id="22">
    <w:p w14:paraId="5C2DEF21" w14:textId="77777777" w:rsidR="00C876AC" w:rsidRPr="00D76968" w:rsidRDefault="00C876AC" w:rsidP="002056CD">
      <w:pPr>
        <w:pStyle w:val="FootnoteText"/>
        <w:rPr>
          <w:rFonts w:ascii="Franklin Gothic Book" w:hAnsi="Franklin Gothic Book"/>
          <w:lang w:val="en-US"/>
        </w:rPr>
      </w:pPr>
      <w:r w:rsidRPr="00D76968">
        <w:rPr>
          <w:rStyle w:val="FootnoteReference"/>
          <w:rFonts w:ascii="Franklin Gothic Book" w:hAnsi="Franklin Gothic Book"/>
        </w:rPr>
        <w:footnoteRef/>
      </w:r>
      <w:r w:rsidRPr="00D76968">
        <w:rPr>
          <w:rFonts w:ascii="Franklin Gothic Book" w:hAnsi="Franklin Gothic Book"/>
        </w:rPr>
        <w:t xml:space="preserve"> </w:t>
      </w:r>
      <w:r w:rsidRPr="00D76968">
        <w:rPr>
          <w:rFonts w:ascii="Franklin Gothic Book" w:hAnsi="Franklin Gothic Book"/>
          <w:lang w:val="en-US"/>
        </w:rPr>
        <w:t>Four services of chemotherapy MBS administration items in all patients, plus a further 12 in 39% of patients ($112.40 per service)</w:t>
      </w:r>
    </w:p>
  </w:footnote>
  <w:footnote w:id="23">
    <w:p w14:paraId="15659F1F" w14:textId="77777777" w:rsidR="00C876AC" w:rsidRDefault="00C876AC" w:rsidP="006A153F">
      <w:pPr>
        <w:pStyle w:val="FootnoteText"/>
      </w:pPr>
      <w:r>
        <w:rPr>
          <w:rStyle w:val="FootnoteReference"/>
        </w:rPr>
        <w:footnoteRef/>
      </w:r>
      <w:r>
        <w:t xml:space="preserve"> Page 14, Public Summary Document (PSD) for MSAC Application 1342.3. Available at: </w:t>
      </w:r>
      <w:hyperlink r:id="rId3" w:history="1">
        <w:r w:rsidRPr="004B277B">
          <w:rPr>
            <w:rStyle w:val="Hyperlink"/>
          </w:rPr>
          <w:t>http://www.msac.gov.au/internet/msac/publishing.nsf/Content/1342.3-public</w:t>
        </w:r>
      </w:hyperlink>
      <w:r>
        <w:t xml:space="preserve"> </w:t>
      </w:r>
    </w:p>
  </w:footnote>
  <w:footnote w:id="24">
    <w:p w14:paraId="769626E6" w14:textId="77777777" w:rsidR="00C876AC" w:rsidRDefault="00C876AC" w:rsidP="006A153F">
      <w:pPr>
        <w:pStyle w:val="FootnoteText"/>
      </w:pPr>
      <w:r>
        <w:rPr>
          <w:rStyle w:val="FootnoteReference"/>
        </w:rPr>
        <w:footnoteRef/>
      </w:r>
      <w:r>
        <w:t xml:space="preserve"> Andre F, et al. (2022). </w:t>
      </w:r>
      <w:r w:rsidRPr="00EC5F63">
        <w:t>Biomarkers for Adjuvant Endocrine and</w:t>
      </w:r>
      <w:r>
        <w:t xml:space="preserve"> </w:t>
      </w:r>
      <w:r w:rsidRPr="00EC5F63">
        <w:t>Chemotherapy in Early-Stage Breast Cancer:</w:t>
      </w:r>
      <w:r>
        <w:t xml:space="preserve"> </w:t>
      </w:r>
      <w:r w:rsidRPr="00EC5F63">
        <w:t>ASCO Guideline Update</w:t>
      </w:r>
      <w:r>
        <w:t xml:space="preserve">. </w:t>
      </w:r>
      <w:r w:rsidRPr="00EC5F63">
        <w:rPr>
          <w:i/>
          <w:iCs/>
        </w:rPr>
        <w:t>J Clin Oncol</w:t>
      </w:r>
      <w:r>
        <w:t>,</w:t>
      </w:r>
      <w:r w:rsidRPr="00EC5F63">
        <w:t xml:space="preserve"> </w:t>
      </w:r>
      <w:r w:rsidRPr="00EC5F63">
        <w:rPr>
          <w:b/>
          <w:bCs/>
        </w:rPr>
        <w:t>40</w:t>
      </w:r>
      <w:r w:rsidRPr="00EC5F63">
        <w:t>:1816-1837</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5F1"/>
    <w:multiLevelType w:val="hybridMultilevel"/>
    <w:tmpl w:val="404E4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C425D"/>
    <w:multiLevelType w:val="hybridMultilevel"/>
    <w:tmpl w:val="5A7EF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D66911"/>
    <w:multiLevelType w:val="hybridMultilevel"/>
    <w:tmpl w:val="EC1A33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1F4343"/>
    <w:multiLevelType w:val="hybridMultilevel"/>
    <w:tmpl w:val="4C941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36D16"/>
    <w:multiLevelType w:val="hybridMultilevel"/>
    <w:tmpl w:val="5BAAF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E75864"/>
    <w:multiLevelType w:val="hybridMultilevel"/>
    <w:tmpl w:val="35A6AE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C15B77"/>
    <w:multiLevelType w:val="hybridMultilevel"/>
    <w:tmpl w:val="3070A30E"/>
    <w:lvl w:ilvl="0" w:tplc="0C090001">
      <w:start w:val="1"/>
      <w:numFmt w:val="bullet"/>
      <w:lvlText w:val=""/>
      <w:lvlJc w:val="left"/>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80498C"/>
    <w:multiLevelType w:val="hybridMultilevel"/>
    <w:tmpl w:val="A4A0F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B81F1A"/>
    <w:multiLevelType w:val="hybridMultilevel"/>
    <w:tmpl w:val="BAA28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5E0854"/>
    <w:multiLevelType w:val="hybridMultilevel"/>
    <w:tmpl w:val="71AAF6EE"/>
    <w:lvl w:ilvl="0" w:tplc="E4005818">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A169C9"/>
    <w:multiLevelType w:val="hybridMultilevel"/>
    <w:tmpl w:val="38404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3" w15:restartNumberingAfterBreak="0">
    <w:nsid w:val="24574C19"/>
    <w:multiLevelType w:val="hybridMultilevel"/>
    <w:tmpl w:val="16144E7C"/>
    <w:lvl w:ilvl="0" w:tplc="0C09000F">
      <w:start w:val="1"/>
      <w:numFmt w:val="decimal"/>
      <w:lvlText w:val="%1."/>
      <w:lvlJc w:val="left"/>
      <w:pPr>
        <w:ind w:left="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6C78C7"/>
    <w:multiLevelType w:val="multilevel"/>
    <w:tmpl w:val="2B4A15B0"/>
    <w:lvl w:ilvl="0">
      <w:start w:val="1"/>
      <w:numFmt w:val="decimal"/>
      <w:lvlText w:val="Section %1"/>
      <w:lvlJc w:val="left"/>
      <w:pPr>
        <w:ind w:left="786" w:hanging="786"/>
      </w:pPr>
      <w:rPr>
        <w:rFonts w:hint="default"/>
      </w:rPr>
    </w:lvl>
    <w:lvl w:ilvl="1">
      <w:start w:val="1"/>
      <w:numFmt w:val="decimal"/>
      <w:lvlText w:val="%1.%2"/>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191" w:hanging="119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B41A4F"/>
    <w:multiLevelType w:val="hybridMultilevel"/>
    <w:tmpl w:val="0A245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0CB1BC5"/>
    <w:multiLevelType w:val="hybridMultilevel"/>
    <w:tmpl w:val="FEF0018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9"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F500C3"/>
    <w:multiLevelType w:val="hybridMultilevel"/>
    <w:tmpl w:val="6FFA24CA"/>
    <w:lvl w:ilvl="0" w:tplc="EF0C3C4A">
      <w:start w:val="1"/>
      <w:numFmt w:val="bullet"/>
      <w:lvlText w:val="-"/>
      <w:lvlJc w:val="left"/>
      <w:pPr>
        <w:ind w:left="405" w:hanging="360"/>
      </w:pPr>
      <w:rPr>
        <w:rFonts w:ascii="Arial Narrow" w:eastAsia="Times New Roman" w:hAnsi="Arial Narrow"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1" w15:restartNumberingAfterBreak="0">
    <w:nsid w:val="342A6551"/>
    <w:multiLevelType w:val="hybridMultilevel"/>
    <w:tmpl w:val="21A40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8779E6"/>
    <w:multiLevelType w:val="hybridMultilevel"/>
    <w:tmpl w:val="78EC5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F0246C"/>
    <w:multiLevelType w:val="hybridMultilevel"/>
    <w:tmpl w:val="DC1E14FC"/>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4" w15:restartNumberingAfterBreak="0">
    <w:nsid w:val="3C652078"/>
    <w:multiLevelType w:val="hybridMultilevel"/>
    <w:tmpl w:val="825EB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057EC2"/>
    <w:multiLevelType w:val="hybridMultilevel"/>
    <w:tmpl w:val="A6FA6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C7C6340"/>
    <w:multiLevelType w:val="hybridMultilevel"/>
    <w:tmpl w:val="98D46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BF19AE"/>
    <w:multiLevelType w:val="hybridMultilevel"/>
    <w:tmpl w:val="DB783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A429CD"/>
    <w:multiLevelType w:val="multilevel"/>
    <w:tmpl w:val="B5922BB8"/>
    <w:lvl w:ilvl="0">
      <w:start w:val="2"/>
      <w:numFmt w:val="decimal"/>
      <w:pStyle w:val="H12a"/>
      <w:lvlText w:val="Section %1A"/>
      <w:lvlJc w:val="left"/>
      <w:pPr>
        <w:ind w:left="1928" w:hanging="1928"/>
      </w:pPr>
      <w:rPr>
        <w:rFonts w:hint="default"/>
      </w:rPr>
    </w:lvl>
    <w:lvl w:ilvl="1">
      <w:start w:val="1"/>
      <w:numFmt w:val="decimal"/>
      <w:lvlText w:val="%1A.%2"/>
      <w:lvlJc w:val="left"/>
      <w:pPr>
        <w:ind w:left="907" w:hanging="907"/>
      </w:pPr>
      <w:rPr>
        <w:rFonts w:hint="default"/>
      </w:rPr>
    </w:lvl>
    <w:lvl w:ilvl="2">
      <w:start w:val="1"/>
      <w:numFmt w:val="decimal"/>
      <w:pStyle w:val="H32a"/>
      <w:lvlText w:val="%1A.%2.%3"/>
      <w:lvlJc w:val="left"/>
      <w:pPr>
        <w:ind w:left="1191" w:hanging="119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06007F0"/>
    <w:multiLevelType w:val="hybridMultilevel"/>
    <w:tmpl w:val="49BADF10"/>
    <w:lvl w:ilvl="0" w:tplc="D5629546">
      <w:start w:val="5"/>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957FD8"/>
    <w:multiLevelType w:val="hybridMultilevel"/>
    <w:tmpl w:val="46EC5E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E120E0"/>
    <w:multiLevelType w:val="hybridMultilevel"/>
    <w:tmpl w:val="29BA3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4D4313"/>
    <w:multiLevelType w:val="hybridMultilevel"/>
    <w:tmpl w:val="D610E0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B520C6"/>
    <w:multiLevelType w:val="hybridMultilevel"/>
    <w:tmpl w:val="FF087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38"/>
  </w:num>
  <w:num w:numId="2">
    <w:abstractNumId w:val="8"/>
  </w:num>
  <w:num w:numId="3">
    <w:abstractNumId w:val="12"/>
  </w:num>
  <w:num w:numId="4">
    <w:abstractNumId w:val="35"/>
  </w:num>
  <w:num w:numId="5">
    <w:abstractNumId w:val="16"/>
  </w:num>
  <w:num w:numId="6">
    <w:abstractNumId w:val="19"/>
  </w:num>
  <w:num w:numId="7">
    <w:abstractNumId w:val="27"/>
  </w:num>
  <w:num w:numId="8">
    <w:abstractNumId w:val="30"/>
  </w:num>
  <w:num w:numId="9">
    <w:abstractNumId w:val="14"/>
  </w:num>
  <w:num w:numId="10">
    <w:abstractNumId w:val="23"/>
  </w:num>
  <w:num w:numId="11">
    <w:abstractNumId w:val="31"/>
  </w:num>
  <w:num w:numId="12">
    <w:abstractNumId w:val="5"/>
  </w:num>
  <w:num w:numId="13">
    <w:abstractNumId w:val="6"/>
  </w:num>
  <w:num w:numId="14">
    <w:abstractNumId w:val="13"/>
  </w:num>
  <w:num w:numId="15">
    <w:abstractNumId w:val="10"/>
  </w:num>
  <w:num w:numId="16">
    <w:abstractNumId w:val="15"/>
  </w:num>
  <w:num w:numId="17">
    <w:abstractNumId w:val="0"/>
  </w:num>
  <w:num w:numId="18">
    <w:abstractNumId w:val="20"/>
  </w:num>
  <w:num w:numId="19">
    <w:abstractNumId w:val="17"/>
  </w:num>
  <w:num w:numId="20">
    <w:abstractNumId w:val="37"/>
  </w:num>
  <w:num w:numId="21">
    <w:abstractNumId w:val="24"/>
  </w:num>
  <w:num w:numId="22">
    <w:abstractNumId w:val="34"/>
  </w:num>
  <w:num w:numId="23">
    <w:abstractNumId w:val="21"/>
  </w:num>
  <w:num w:numId="24">
    <w:abstractNumId w:val="1"/>
  </w:num>
  <w:num w:numId="25">
    <w:abstractNumId w:val="2"/>
  </w:num>
  <w:num w:numId="26">
    <w:abstractNumId w:val="29"/>
  </w:num>
  <w:num w:numId="27">
    <w:abstractNumId w:val="33"/>
  </w:num>
  <w:num w:numId="28">
    <w:abstractNumId w:val="7"/>
  </w:num>
  <w:num w:numId="29">
    <w:abstractNumId w:val="18"/>
  </w:num>
  <w:num w:numId="30">
    <w:abstractNumId w:val="25"/>
  </w:num>
  <w:num w:numId="31">
    <w:abstractNumId w:val="3"/>
  </w:num>
  <w:num w:numId="32">
    <w:abstractNumId w:val="26"/>
  </w:num>
  <w:num w:numId="33">
    <w:abstractNumId w:val="22"/>
  </w:num>
  <w:num w:numId="34">
    <w:abstractNumId w:val="4"/>
  </w:num>
  <w:num w:numId="35">
    <w:abstractNumId w:val="11"/>
  </w:num>
  <w:num w:numId="36">
    <w:abstractNumId w:val="28"/>
  </w:num>
  <w:num w:numId="37">
    <w:abstractNumId w:val="36"/>
  </w:num>
  <w:num w:numId="38">
    <w:abstractNumId w:val="32"/>
  </w:num>
  <w:num w:numId="3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drz9daxt420awuef02mpwtx8e5fsx5ptapwz&quot;&gt;1408.1 commentary&lt;record-ids&gt;&lt;item&gt;5&lt;/item&gt;&lt;item&gt;6&lt;/item&gt;&lt;item&gt;7&lt;/item&gt;&lt;item&gt;9&lt;/item&gt;&lt;item&gt;11&lt;/item&gt;&lt;item&gt;13&lt;/item&gt;&lt;item&gt;17&lt;/item&gt;&lt;item&gt;21&lt;/item&gt;&lt;item&gt;23&lt;/item&gt;&lt;item&gt;24&lt;/item&gt;&lt;item&gt;28&lt;/item&gt;&lt;item&gt;31&lt;/item&gt;&lt;item&gt;32&lt;/item&gt;&lt;item&gt;33&lt;/item&gt;&lt;item&gt;34&lt;/item&gt;&lt;item&gt;35&lt;/item&gt;&lt;/record-ids&gt;&lt;/item&gt;&lt;/Libraries&gt;"/>
  </w:docVars>
  <w:rsids>
    <w:rsidRoot w:val="00BA75DB"/>
    <w:rsid w:val="0000095D"/>
    <w:rsid w:val="00000AF5"/>
    <w:rsid w:val="00002994"/>
    <w:rsid w:val="00002E9E"/>
    <w:rsid w:val="00002FB2"/>
    <w:rsid w:val="000030F6"/>
    <w:rsid w:val="000031EF"/>
    <w:rsid w:val="00003EF8"/>
    <w:rsid w:val="00004181"/>
    <w:rsid w:val="00004873"/>
    <w:rsid w:val="00005995"/>
    <w:rsid w:val="00005E7B"/>
    <w:rsid w:val="00005E80"/>
    <w:rsid w:val="0000687B"/>
    <w:rsid w:val="000070D3"/>
    <w:rsid w:val="000074B1"/>
    <w:rsid w:val="00007EBA"/>
    <w:rsid w:val="00011372"/>
    <w:rsid w:val="00011F77"/>
    <w:rsid w:val="00012542"/>
    <w:rsid w:val="00012580"/>
    <w:rsid w:val="00012E80"/>
    <w:rsid w:val="000132C2"/>
    <w:rsid w:val="000135D3"/>
    <w:rsid w:val="000138AC"/>
    <w:rsid w:val="00013A50"/>
    <w:rsid w:val="00013C0F"/>
    <w:rsid w:val="00015395"/>
    <w:rsid w:val="000178A7"/>
    <w:rsid w:val="000216F0"/>
    <w:rsid w:val="00021F1A"/>
    <w:rsid w:val="00022EEB"/>
    <w:rsid w:val="000231C6"/>
    <w:rsid w:val="000235E3"/>
    <w:rsid w:val="0002370B"/>
    <w:rsid w:val="00025A17"/>
    <w:rsid w:val="00026005"/>
    <w:rsid w:val="0002619C"/>
    <w:rsid w:val="0002625F"/>
    <w:rsid w:val="00031376"/>
    <w:rsid w:val="000318C0"/>
    <w:rsid w:val="000322F3"/>
    <w:rsid w:val="00032F2A"/>
    <w:rsid w:val="00033CE3"/>
    <w:rsid w:val="00034298"/>
    <w:rsid w:val="00034EE7"/>
    <w:rsid w:val="0003585C"/>
    <w:rsid w:val="000358AF"/>
    <w:rsid w:val="000360E7"/>
    <w:rsid w:val="000361F7"/>
    <w:rsid w:val="000362DB"/>
    <w:rsid w:val="00036B3E"/>
    <w:rsid w:val="000371C4"/>
    <w:rsid w:val="00037450"/>
    <w:rsid w:val="000401D8"/>
    <w:rsid w:val="00040605"/>
    <w:rsid w:val="00040C1D"/>
    <w:rsid w:val="00042850"/>
    <w:rsid w:val="00042DB6"/>
    <w:rsid w:val="00042FFA"/>
    <w:rsid w:val="00043596"/>
    <w:rsid w:val="00044349"/>
    <w:rsid w:val="00044C74"/>
    <w:rsid w:val="0004537C"/>
    <w:rsid w:val="00046714"/>
    <w:rsid w:val="0004672A"/>
    <w:rsid w:val="000468BF"/>
    <w:rsid w:val="000468C0"/>
    <w:rsid w:val="0004704F"/>
    <w:rsid w:val="0005012A"/>
    <w:rsid w:val="00051584"/>
    <w:rsid w:val="000525EB"/>
    <w:rsid w:val="00052AFB"/>
    <w:rsid w:val="00053863"/>
    <w:rsid w:val="000539B3"/>
    <w:rsid w:val="00053D9B"/>
    <w:rsid w:val="00054051"/>
    <w:rsid w:val="0005406A"/>
    <w:rsid w:val="000542B4"/>
    <w:rsid w:val="000545B6"/>
    <w:rsid w:val="00054CE5"/>
    <w:rsid w:val="0005602A"/>
    <w:rsid w:val="00056090"/>
    <w:rsid w:val="0005706F"/>
    <w:rsid w:val="00060087"/>
    <w:rsid w:val="000602B6"/>
    <w:rsid w:val="000603BA"/>
    <w:rsid w:val="00060DD0"/>
    <w:rsid w:val="00060E3D"/>
    <w:rsid w:val="00061F4A"/>
    <w:rsid w:val="00062974"/>
    <w:rsid w:val="000631C6"/>
    <w:rsid w:val="00063422"/>
    <w:rsid w:val="00064805"/>
    <w:rsid w:val="00066276"/>
    <w:rsid w:val="00066485"/>
    <w:rsid w:val="000675FC"/>
    <w:rsid w:val="000676F1"/>
    <w:rsid w:val="00067B97"/>
    <w:rsid w:val="00067C3C"/>
    <w:rsid w:val="00067E64"/>
    <w:rsid w:val="00070A71"/>
    <w:rsid w:val="0007128A"/>
    <w:rsid w:val="000726B2"/>
    <w:rsid w:val="00072B92"/>
    <w:rsid w:val="00072CA8"/>
    <w:rsid w:val="000732C1"/>
    <w:rsid w:val="00073CC4"/>
    <w:rsid w:val="00074840"/>
    <w:rsid w:val="00075B71"/>
    <w:rsid w:val="00076004"/>
    <w:rsid w:val="00076307"/>
    <w:rsid w:val="0007696F"/>
    <w:rsid w:val="00076B8D"/>
    <w:rsid w:val="0007710D"/>
    <w:rsid w:val="000776C3"/>
    <w:rsid w:val="00077D16"/>
    <w:rsid w:val="00080B43"/>
    <w:rsid w:val="00080DE3"/>
    <w:rsid w:val="00081D80"/>
    <w:rsid w:val="00083092"/>
    <w:rsid w:val="000838E9"/>
    <w:rsid w:val="00084CCB"/>
    <w:rsid w:val="00085BC6"/>
    <w:rsid w:val="00085CB0"/>
    <w:rsid w:val="00086785"/>
    <w:rsid w:val="00086E06"/>
    <w:rsid w:val="0008783B"/>
    <w:rsid w:val="00087EAA"/>
    <w:rsid w:val="000900F5"/>
    <w:rsid w:val="00090514"/>
    <w:rsid w:val="000905B0"/>
    <w:rsid w:val="0009070E"/>
    <w:rsid w:val="00090D69"/>
    <w:rsid w:val="0009161C"/>
    <w:rsid w:val="00091AD1"/>
    <w:rsid w:val="00091D34"/>
    <w:rsid w:val="000925E9"/>
    <w:rsid w:val="00092F18"/>
    <w:rsid w:val="00095B6F"/>
    <w:rsid w:val="00096105"/>
    <w:rsid w:val="000965D6"/>
    <w:rsid w:val="00096FF3"/>
    <w:rsid w:val="00097035"/>
    <w:rsid w:val="000978B5"/>
    <w:rsid w:val="00097AD7"/>
    <w:rsid w:val="000A0E7F"/>
    <w:rsid w:val="000A0F97"/>
    <w:rsid w:val="000A1E23"/>
    <w:rsid w:val="000A2BA1"/>
    <w:rsid w:val="000A2DA8"/>
    <w:rsid w:val="000A3AA0"/>
    <w:rsid w:val="000A3E69"/>
    <w:rsid w:val="000A3FE4"/>
    <w:rsid w:val="000A487F"/>
    <w:rsid w:val="000A4F21"/>
    <w:rsid w:val="000A56C1"/>
    <w:rsid w:val="000A5DCE"/>
    <w:rsid w:val="000A6390"/>
    <w:rsid w:val="000A6B34"/>
    <w:rsid w:val="000A6C9B"/>
    <w:rsid w:val="000A762C"/>
    <w:rsid w:val="000A7BFB"/>
    <w:rsid w:val="000B0600"/>
    <w:rsid w:val="000B1D12"/>
    <w:rsid w:val="000B2240"/>
    <w:rsid w:val="000B2596"/>
    <w:rsid w:val="000B299C"/>
    <w:rsid w:val="000B37FF"/>
    <w:rsid w:val="000B45B7"/>
    <w:rsid w:val="000B4C83"/>
    <w:rsid w:val="000B4F0D"/>
    <w:rsid w:val="000B4F44"/>
    <w:rsid w:val="000B5FDD"/>
    <w:rsid w:val="000B6DA2"/>
    <w:rsid w:val="000B781E"/>
    <w:rsid w:val="000C05DF"/>
    <w:rsid w:val="000C2096"/>
    <w:rsid w:val="000C29E9"/>
    <w:rsid w:val="000C3A66"/>
    <w:rsid w:val="000C428F"/>
    <w:rsid w:val="000C44CF"/>
    <w:rsid w:val="000C64E4"/>
    <w:rsid w:val="000C658D"/>
    <w:rsid w:val="000C6697"/>
    <w:rsid w:val="000C6B64"/>
    <w:rsid w:val="000C6CD0"/>
    <w:rsid w:val="000C7DE3"/>
    <w:rsid w:val="000D075D"/>
    <w:rsid w:val="000D1368"/>
    <w:rsid w:val="000D1A9C"/>
    <w:rsid w:val="000D26F0"/>
    <w:rsid w:val="000D319F"/>
    <w:rsid w:val="000D3B7E"/>
    <w:rsid w:val="000D485F"/>
    <w:rsid w:val="000D4DDA"/>
    <w:rsid w:val="000D5420"/>
    <w:rsid w:val="000D5819"/>
    <w:rsid w:val="000D67E2"/>
    <w:rsid w:val="000D6F52"/>
    <w:rsid w:val="000D7091"/>
    <w:rsid w:val="000D7E28"/>
    <w:rsid w:val="000E0940"/>
    <w:rsid w:val="000E219B"/>
    <w:rsid w:val="000E25A5"/>
    <w:rsid w:val="000E273A"/>
    <w:rsid w:val="000E2859"/>
    <w:rsid w:val="000E2A8E"/>
    <w:rsid w:val="000E2D50"/>
    <w:rsid w:val="000E3479"/>
    <w:rsid w:val="000E3A5E"/>
    <w:rsid w:val="000E47DD"/>
    <w:rsid w:val="000E4B05"/>
    <w:rsid w:val="000E648B"/>
    <w:rsid w:val="000E64A9"/>
    <w:rsid w:val="000E6CC3"/>
    <w:rsid w:val="000E7361"/>
    <w:rsid w:val="000E7CE5"/>
    <w:rsid w:val="000F0726"/>
    <w:rsid w:val="000F0A5F"/>
    <w:rsid w:val="000F3A97"/>
    <w:rsid w:val="000F5926"/>
    <w:rsid w:val="000F7790"/>
    <w:rsid w:val="000F790B"/>
    <w:rsid w:val="000F7FCD"/>
    <w:rsid w:val="001001AA"/>
    <w:rsid w:val="001005E6"/>
    <w:rsid w:val="00100AD2"/>
    <w:rsid w:val="00100EFA"/>
    <w:rsid w:val="00102463"/>
    <w:rsid w:val="00102BB2"/>
    <w:rsid w:val="001030CA"/>
    <w:rsid w:val="0010405C"/>
    <w:rsid w:val="0010458D"/>
    <w:rsid w:val="00105B50"/>
    <w:rsid w:val="0010633F"/>
    <w:rsid w:val="00106A85"/>
    <w:rsid w:val="001070F0"/>
    <w:rsid w:val="0010767D"/>
    <w:rsid w:val="00107D4D"/>
    <w:rsid w:val="00110FEC"/>
    <w:rsid w:val="00112401"/>
    <w:rsid w:val="00112855"/>
    <w:rsid w:val="00112A48"/>
    <w:rsid w:val="00112EE6"/>
    <w:rsid w:val="00113177"/>
    <w:rsid w:val="0011398F"/>
    <w:rsid w:val="00113B78"/>
    <w:rsid w:val="0011456C"/>
    <w:rsid w:val="00114A3F"/>
    <w:rsid w:val="00114DF6"/>
    <w:rsid w:val="0011509A"/>
    <w:rsid w:val="00115AD4"/>
    <w:rsid w:val="00115CD1"/>
    <w:rsid w:val="00115E6F"/>
    <w:rsid w:val="00120AE3"/>
    <w:rsid w:val="00120E15"/>
    <w:rsid w:val="00121BDD"/>
    <w:rsid w:val="00121CCF"/>
    <w:rsid w:val="001223CA"/>
    <w:rsid w:val="00122409"/>
    <w:rsid w:val="00122539"/>
    <w:rsid w:val="00122E53"/>
    <w:rsid w:val="00123EC9"/>
    <w:rsid w:val="001243FD"/>
    <w:rsid w:val="001246A4"/>
    <w:rsid w:val="00124996"/>
    <w:rsid w:val="00125D4E"/>
    <w:rsid w:val="001266AF"/>
    <w:rsid w:val="00126789"/>
    <w:rsid w:val="00126983"/>
    <w:rsid w:val="00127079"/>
    <w:rsid w:val="00127E46"/>
    <w:rsid w:val="00130B2E"/>
    <w:rsid w:val="00130D51"/>
    <w:rsid w:val="00132D03"/>
    <w:rsid w:val="00133633"/>
    <w:rsid w:val="00133BE2"/>
    <w:rsid w:val="00134431"/>
    <w:rsid w:val="00134AA5"/>
    <w:rsid w:val="00136FCC"/>
    <w:rsid w:val="001407E6"/>
    <w:rsid w:val="00141289"/>
    <w:rsid w:val="00141922"/>
    <w:rsid w:val="00141BB0"/>
    <w:rsid w:val="00142254"/>
    <w:rsid w:val="00142465"/>
    <w:rsid w:val="001429A3"/>
    <w:rsid w:val="001434EE"/>
    <w:rsid w:val="00144A73"/>
    <w:rsid w:val="00144F64"/>
    <w:rsid w:val="00145924"/>
    <w:rsid w:val="00145CCB"/>
    <w:rsid w:val="00145D2F"/>
    <w:rsid w:val="00145E87"/>
    <w:rsid w:val="001460CB"/>
    <w:rsid w:val="001463CC"/>
    <w:rsid w:val="001464F8"/>
    <w:rsid w:val="00146AB6"/>
    <w:rsid w:val="00146F4E"/>
    <w:rsid w:val="00147510"/>
    <w:rsid w:val="0015036D"/>
    <w:rsid w:val="00150686"/>
    <w:rsid w:val="00150BF1"/>
    <w:rsid w:val="001511F3"/>
    <w:rsid w:val="00151DCF"/>
    <w:rsid w:val="001521B4"/>
    <w:rsid w:val="0015295F"/>
    <w:rsid w:val="00152F01"/>
    <w:rsid w:val="00153E5E"/>
    <w:rsid w:val="00153FDC"/>
    <w:rsid w:val="0015448C"/>
    <w:rsid w:val="0015462A"/>
    <w:rsid w:val="00154C2A"/>
    <w:rsid w:val="00154FA0"/>
    <w:rsid w:val="00156003"/>
    <w:rsid w:val="0015655A"/>
    <w:rsid w:val="001568ED"/>
    <w:rsid w:val="001572BF"/>
    <w:rsid w:val="00157BDA"/>
    <w:rsid w:val="001602A1"/>
    <w:rsid w:val="00160432"/>
    <w:rsid w:val="0016125F"/>
    <w:rsid w:val="00161AEE"/>
    <w:rsid w:val="00162460"/>
    <w:rsid w:val="001629A2"/>
    <w:rsid w:val="00162D29"/>
    <w:rsid w:val="001638DA"/>
    <w:rsid w:val="001639DD"/>
    <w:rsid w:val="00165D68"/>
    <w:rsid w:val="001661EC"/>
    <w:rsid w:val="00166EA4"/>
    <w:rsid w:val="001671D2"/>
    <w:rsid w:val="0017008B"/>
    <w:rsid w:val="00170A08"/>
    <w:rsid w:val="00170F64"/>
    <w:rsid w:val="00171040"/>
    <w:rsid w:val="0017182E"/>
    <w:rsid w:val="00172117"/>
    <w:rsid w:val="00172754"/>
    <w:rsid w:val="00172809"/>
    <w:rsid w:val="001737B8"/>
    <w:rsid w:val="00173895"/>
    <w:rsid w:val="001748BE"/>
    <w:rsid w:val="001751D1"/>
    <w:rsid w:val="00175362"/>
    <w:rsid w:val="001772C9"/>
    <w:rsid w:val="0017754D"/>
    <w:rsid w:val="00177922"/>
    <w:rsid w:val="00177F6E"/>
    <w:rsid w:val="00182D53"/>
    <w:rsid w:val="0018339E"/>
    <w:rsid w:val="00183542"/>
    <w:rsid w:val="00184AA6"/>
    <w:rsid w:val="00184EF7"/>
    <w:rsid w:val="00185810"/>
    <w:rsid w:val="00186086"/>
    <w:rsid w:val="0018640D"/>
    <w:rsid w:val="00186417"/>
    <w:rsid w:val="0018776F"/>
    <w:rsid w:val="00187DE4"/>
    <w:rsid w:val="001907F0"/>
    <w:rsid w:val="00191AD5"/>
    <w:rsid w:val="00191BF8"/>
    <w:rsid w:val="00192231"/>
    <w:rsid w:val="001924A4"/>
    <w:rsid w:val="001943A4"/>
    <w:rsid w:val="001945AD"/>
    <w:rsid w:val="00195109"/>
    <w:rsid w:val="00195407"/>
    <w:rsid w:val="0019596D"/>
    <w:rsid w:val="00196961"/>
    <w:rsid w:val="001971BC"/>
    <w:rsid w:val="001976EC"/>
    <w:rsid w:val="00197DB5"/>
    <w:rsid w:val="001A070B"/>
    <w:rsid w:val="001A0A75"/>
    <w:rsid w:val="001A0ABE"/>
    <w:rsid w:val="001A0C43"/>
    <w:rsid w:val="001A0DF7"/>
    <w:rsid w:val="001A0F6D"/>
    <w:rsid w:val="001A1309"/>
    <w:rsid w:val="001A1CE0"/>
    <w:rsid w:val="001A217A"/>
    <w:rsid w:val="001A221E"/>
    <w:rsid w:val="001A2222"/>
    <w:rsid w:val="001A2533"/>
    <w:rsid w:val="001A2537"/>
    <w:rsid w:val="001A256D"/>
    <w:rsid w:val="001A273C"/>
    <w:rsid w:val="001A28E7"/>
    <w:rsid w:val="001A2DB4"/>
    <w:rsid w:val="001A488C"/>
    <w:rsid w:val="001A4DE0"/>
    <w:rsid w:val="001A6040"/>
    <w:rsid w:val="001A6350"/>
    <w:rsid w:val="001A67BA"/>
    <w:rsid w:val="001A7105"/>
    <w:rsid w:val="001B035F"/>
    <w:rsid w:val="001B0581"/>
    <w:rsid w:val="001B0799"/>
    <w:rsid w:val="001B1F75"/>
    <w:rsid w:val="001B2078"/>
    <w:rsid w:val="001B2781"/>
    <w:rsid w:val="001B2BA8"/>
    <w:rsid w:val="001B3166"/>
    <w:rsid w:val="001B37E8"/>
    <w:rsid w:val="001B3AB2"/>
    <w:rsid w:val="001B3B9D"/>
    <w:rsid w:val="001B433F"/>
    <w:rsid w:val="001B4A99"/>
    <w:rsid w:val="001B4DDB"/>
    <w:rsid w:val="001B4E5E"/>
    <w:rsid w:val="001B4E94"/>
    <w:rsid w:val="001B4EAA"/>
    <w:rsid w:val="001B52C0"/>
    <w:rsid w:val="001B5C58"/>
    <w:rsid w:val="001B5F07"/>
    <w:rsid w:val="001B67CF"/>
    <w:rsid w:val="001B6B52"/>
    <w:rsid w:val="001B6FDF"/>
    <w:rsid w:val="001C05F8"/>
    <w:rsid w:val="001C10DA"/>
    <w:rsid w:val="001C1165"/>
    <w:rsid w:val="001C235C"/>
    <w:rsid w:val="001C269A"/>
    <w:rsid w:val="001C2A1B"/>
    <w:rsid w:val="001C3C24"/>
    <w:rsid w:val="001C4831"/>
    <w:rsid w:val="001C4AE4"/>
    <w:rsid w:val="001C5599"/>
    <w:rsid w:val="001C6423"/>
    <w:rsid w:val="001C6AC0"/>
    <w:rsid w:val="001C6D6C"/>
    <w:rsid w:val="001C792E"/>
    <w:rsid w:val="001C7CE4"/>
    <w:rsid w:val="001D114D"/>
    <w:rsid w:val="001D1173"/>
    <w:rsid w:val="001D2403"/>
    <w:rsid w:val="001D2545"/>
    <w:rsid w:val="001D383B"/>
    <w:rsid w:val="001D38C7"/>
    <w:rsid w:val="001D3C06"/>
    <w:rsid w:val="001D4435"/>
    <w:rsid w:val="001D4453"/>
    <w:rsid w:val="001D4752"/>
    <w:rsid w:val="001D4775"/>
    <w:rsid w:val="001D4836"/>
    <w:rsid w:val="001D7BED"/>
    <w:rsid w:val="001D7FA9"/>
    <w:rsid w:val="001E0151"/>
    <w:rsid w:val="001E1B5B"/>
    <w:rsid w:val="001E2432"/>
    <w:rsid w:val="001E37E5"/>
    <w:rsid w:val="001E4325"/>
    <w:rsid w:val="001E4348"/>
    <w:rsid w:val="001E4837"/>
    <w:rsid w:val="001E5078"/>
    <w:rsid w:val="001E599D"/>
    <w:rsid w:val="001E5CE1"/>
    <w:rsid w:val="001E5F60"/>
    <w:rsid w:val="001E6B1C"/>
    <w:rsid w:val="001E7555"/>
    <w:rsid w:val="001F0678"/>
    <w:rsid w:val="001F0B58"/>
    <w:rsid w:val="001F0CF3"/>
    <w:rsid w:val="001F0E70"/>
    <w:rsid w:val="001F1067"/>
    <w:rsid w:val="001F10C5"/>
    <w:rsid w:val="001F1292"/>
    <w:rsid w:val="001F19C9"/>
    <w:rsid w:val="001F2D82"/>
    <w:rsid w:val="001F3506"/>
    <w:rsid w:val="001F3983"/>
    <w:rsid w:val="001F4059"/>
    <w:rsid w:val="001F55D5"/>
    <w:rsid w:val="001F5CC3"/>
    <w:rsid w:val="001F5D42"/>
    <w:rsid w:val="001F6AF6"/>
    <w:rsid w:val="001F6E4C"/>
    <w:rsid w:val="001F7041"/>
    <w:rsid w:val="001F78A1"/>
    <w:rsid w:val="002001FB"/>
    <w:rsid w:val="0020096B"/>
    <w:rsid w:val="002014DE"/>
    <w:rsid w:val="00202139"/>
    <w:rsid w:val="00202F2A"/>
    <w:rsid w:val="0020348A"/>
    <w:rsid w:val="00203FA3"/>
    <w:rsid w:val="0020494F"/>
    <w:rsid w:val="002056CD"/>
    <w:rsid w:val="0020650D"/>
    <w:rsid w:val="0021166B"/>
    <w:rsid w:val="002120C4"/>
    <w:rsid w:val="00212195"/>
    <w:rsid w:val="00212415"/>
    <w:rsid w:val="0021277A"/>
    <w:rsid w:val="002129D4"/>
    <w:rsid w:val="00212AD1"/>
    <w:rsid w:val="0021329C"/>
    <w:rsid w:val="002138F4"/>
    <w:rsid w:val="002142AC"/>
    <w:rsid w:val="00214344"/>
    <w:rsid w:val="002155DF"/>
    <w:rsid w:val="00215B25"/>
    <w:rsid w:val="00216743"/>
    <w:rsid w:val="00216E25"/>
    <w:rsid w:val="00217447"/>
    <w:rsid w:val="00220263"/>
    <w:rsid w:val="00221118"/>
    <w:rsid w:val="0022187D"/>
    <w:rsid w:val="00221C51"/>
    <w:rsid w:val="00222293"/>
    <w:rsid w:val="00222398"/>
    <w:rsid w:val="00222E72"/>
    <w:rsid w:val="00224141"/>
    <w:rsid w:val="00224849"/>
    <w:rsid w:val="00224991"/>
    <w:rsid w:val="00224DA5"/>
    <w:rsid w:val="00225E46"/>
    <w:rsid w:val="00226442"/>
    <w:rsid w:val="0023007E"/>
    <w:rsid w:val="00230E62"/>
    <w:rsid w:val="00232914"/>
    <w:rsid w:val="00232ECC"/>
    <w:rsid w:val="00233101"/>
    <w:rsid w:val="00234347"/>
    <w:rsid w:val="00234646"/>
    <w:rsid w:val="002352CA"/>
    <w:rsid w:val="00235A7C"/>
    <w:rsid w:val="002367CD"/>
    <w:rsid w:val="00236FED"/>
    <w:rsid w:val="00237391"/>
    <w:rsid w:val="002375DE"/>
    <w:rsid w:val="00237806"/>
    <w:rsid w:val="00237F65"/>
    <w:rsid w:val="0024229E"/>
    <w:rsid w:val="0024261B"/>
    <w:rsid w:val="00242B06"/>
    <w:rsid w:val="00243613"/>
    <w:rsid w:val="002439B7"/>
    <w:rsid w:val="002449F1"/>
    <w:rsid w:val="002464EE"/>
    <w:rsid w:val="00246A2A"/>
    <w:rsid w:val="0025054A"/>
    <w:rsid w:val="00250879"/>
    <w:rsid w:val="00250D48"/>
    <w:rsid w:val="002516A9"/>
    <w:rsid w:val="00251B44"/>
    <w:rsid w:val="00251CD6"/>
    <w:rsid w:val="0025241F"/>
    <w:rsid w:val="002531C2"/>
    <w:rsid w:val="00253792"/>
    <w:rsid w:val="00254902"/>
    <w:rsid w:val="00254B05"/>
    <w:rsid w:val="00254DDD"/>
    <w:rsid w:val="00254E42"/>
    <w:rsid w:val="00256950"/>
    <w:rsid w:val="002570BA"/>
    <w:rsid w:val="00257755"/>
    <w:rsid w:val="00257851"/>
    <w:rsid w:val="002578C3"/>
    <w:rsid w:val="00260612"/>
    <w:rsid w:val="0026111E"/>
    <w:rsid w:val="00262077"/>
    <w:rsid w:val="002637DE"/>
    <w:rsid w:val="00263ACC"/>
    <w:rsid w:val="002646E7"/>
    <w:rsid w:val="00264B53"/>
    <w:rsid w:val="00265457"/>
    <w:rsid w:val="0026587E"/>
    <w:rsid w:val="00265DDD"/>
    <w:rsid w:val="002667CF"/>
    <w:rsid w:val="00266D82"/>
    <w:rsid w:val="00266FEA"/>
    <w:rsid w:val="00270944"/>
    <w:rsid w:val="00271C1F"/>
    <w:rsid w:val="00273AC4"/>
    <w:rsid w:val="00273BDC"/>
    <w:rsid w:val="00273DAE"/>
    <w:rsid w:val="002749DB"/>
    <w:rsid w:val="002756C5"/>
    <w:rsid w:val="002759AE"/>
    <w:rsid w:val="00276294"/>
    <w:rsid w:val="002774C8"/>
    <w:rsid w:val="00277616"/>
    <w:rsid w:val="00277BFE"/>
    <w:rsid w:val="00277C55"/>
    <w:rsid w:val="00280249"/>
    <w:rsid w:val="00280391"/>
    <w:rsid w:val="0028159F"/>
    <w:rsid w:val="002823D1"/>
    <w:rsid w:val="00282834"/>
    <w:rsid w:val="002829E6"/>
    <w:rsid w:val="00282CEC"/>
    <w:rsid w:val="002832A4"/>
    <w:rsid w:val="002835F8"/>
    <w:rsid w:val="00283CCF"/>
    <w:rsid w:val="002841B0"/>
    <w:rsid w:val="00284F61"/>
    <w:rsid w:val="00285FD0"/>
    <w:rsid w:val="00286A26"/>
    <w:rsid w:val="002878DE"/>
    <w:rsid w:val="00287D44"/>
    <w:rsid w:val="00287F1C"/>
    <w:rsid w:val="002902BF"/>
    <w:rsid w:val="002902C1"/>
    <w:rsid w:val="002910D1"/>
    <w:rsid w:val="00291458"/>
    <w:rsid w:val="002915A1"/>
    <w:rsid w:val="002922E1"/>
    <w:rsid w:val="00293404"/>
    <w:rsid w:val="00293B45"/>
    <w:rsid w:val="00294248"/>
    <w:rsid w:val="00294427"/>
    <w:rsid w:val="00294550"/>
    <w:rsid w:val="002946C6"/>
    <w:rsid w:val="00294A56"/>
    <w:rsid w:val="002963E3"/>
    <w:rsid w:val="00296F45"/>
    <w:rsid w:val="00297AFD"/>
    <w:rsid w:val="002A0008"/>
    <w:rsid w:val="002A006E"/>
    <w:rsid w:val="002A1143"/>
    <w:rsid w:val="002A1C7E"/>
    <w:rsid w:val="002A223A"/>
    <w:rsid w:val="002A33CD"/>
    <w:rsid w:val="002A36F6"/>
    <w:rsid w:val="002A3C42"/>
    <w:rsid w:val="002A3CBB"/>
    <w:rsid w:val="002A426D"/>
    <w:rsid w:val="002A4B24"/>
    <w:rsid w:val="002A5279"/>
    <w:rsid w:val="002A544F"/>
    <w:rsid w:val="002A5833"/>
    <w:rsid w:val="002A5FB3"/>
    <w:rsid w:val="002A6475"/>
    <w:rsid w:val="002A67DC"/>
    <w:rsid w:val="002B0A6E"/>
    <w:rsid w:val="002B14DD"/>
    <w:rsid w:val="002B16B3"/>
    <w:rsid w:val="002B19C0"/>
    <w:rsid w:val="002B1C81"/>
    <w:rsid w:val="002B2AE8"/>
    <w:rsid w:val="002B2CCC"/>
    <w:rsid w:val="002B2F37"/>
    <w:rsid w:val="002B3410"/>
    <w:rsid w:val="002B46C7"/>
    <w:rsid w:val="002B49B6"/>
    <w:rsid w:val="002B549D"/>
    <w:rsid w:val="002B6568"/>
    <w:rsid w:val="002B6733"/>
    <w:rsid w:val="002B6E0C"/>
    <w:rsid w:val="002B70E4"/>
    <w:rsid w:val="002B7C45"/>
    <w:rsid w:val="002B7F72"/>
    <w:rsid w:val="002C05CC"/>
    <w:rsid w:val="002C0687"/>
    <w:rsid w:val="002C186B"/>
    <w:rsid w:val="002C2B16"/>
    <w:rsid w:val="002C2B1F"/>
    <w:rsid w:val="002C3AE1"/>
    <w:rsid w:val="002C3C58"/>
    <w:rsid w:val="002C3FC0"/>
    <w:rsid w:val="002C52CE"/>
    <w:rsid w:val="002C5E66"/>
    <w:rsid w:val="002C632B"/>
    <w:rsid w:val="002C7535"/>
    <w:rsid w:val="002C79B3"/>
    <w:rsid w:val="002D04D9"/>
    <w:rsid w:val="002D0E69"/>
    <w:rsid w:val="002D1D85"/>
    <w:rsid w:val="002D22FB"/>
    <w:rsid w:val="002D2427"/>
    <w:rsid w:val="002D4DD0"/>
    <w:rsid w:val="002D50BC"/>
    <w:rsid w:val="002D5631"/>
    <w:rsid w:val="002D5D87"/>
    <w:rsid w:val="002D5E1A"/>
    <w:rsid w:val="002D6866"/>
    <w:rsid w:val="002D6CFE"/>
    <w:rsid w:val="002D72E8"/>
    <w:rsid w:val="002E0A6B"/>
    <w:rsid w:val="002E0B98"/>
    <w:rsid w:val="002E127D"/>
    <w:rsid w:val="002E1923"/>
    <w:rsid w:val="002E1C42"/>
    <w:rsid w:val="002E208A"/>
    <w:rsid w:val="002E20AF"/>
    <w:rsid w:val="002E2F23"/>
    <w:rsid w:val="002E37E7"/>
    <w:rsid w:val="002E3C52"/>
    <w:rsid w:val="002E3DA3"/>
    <w:rsid w:val="002E4480"/>
    <w:rsid w:val="002E5E7C"/>
    <w:rsid w:val="002E62FA"/>
    <w:rsid w:val="002E6A07"/>
    <w:rsid w:val="002E71DA"/>
    <w:rsid w:val="002E7350"/>
    <w:rsid w:val="002E73B3"/>
    <w:rsid w:val="002E7540"/>
    <w:rsid w:val="002E7DAD"/>
    <w:rsid w:val="002F05F3"/>
    <w:rsid w:val="002F1E9B"/>
    <w:rsid w:val="002F2E7F"/>
    <w:rsid w:val="002F4276"/>
    <w:rsid w:val="002F43A6"/>
    <w:rsid w:val="002F4587"/>
    <w:rsid w:val="002F467E"/>
    <w:rsid w:val="002F47AF"/>
    <w:rsid w:val="002F4AA2"/>
    <w:rsid w:val="002F5049"/>
    <w:rsid w:val="002F6592"/>
    <w:rsid w:val="002F6DAA"/>
    <w:rsid w:val="002F7254"/>
    <w:rsid w:val="002F761D"/>
    <w:rsid w:val="002F76B0"/>
    <w:rsid w:val="00300684"/>
    <w:rsid w:val="003007A8"/>
    <w:rsid w:val="00300AC5"/>
    <w:rsid w:val="003019CE"/>
    <w:rsid w:val="00301CF7"/>
    <w:rsid w:val="00302C31"/>
    <w:rsid w:val="003035A0"/>
    <w:rsid w:val="003037AD"/>
    <w:rsid w:val="00303A1F"/>
    <w:rsid w:val="00303F29"/>
    <w:rsid w:val="00303FF2"/>
    <w:rsid w:val="00304008"/>
    <w:rsid w:val="00304DAC"/>
    <w:rsid w:val="003056E8"/>
    <w:rsid w:val="003057A4"/>
    <w:rsid w:val="00306139"/>
    <w:rsid w:val="003062CF"/>
    <w:rsid w:val="003067F6"/>
    <w:rsid w:val="003068F1"/>
    <w:rsid w:val="003069E9"/>
    <w:rsid w:val="00306A07"/>
    <w:rsid w:val="00306FFB"/>
    <w:rsid w:val="00307653"/>
    <w:rsid w:val="00307656"/>
    <w:rsid w:val="00307AB3"/>
    <w:rsid w:val="00307C22"/>
    <w:rsid w:val="00310B62"/>
    <w:rsid w:val="003110A2"/>
    <w:rsid w:val="00311E42"/>
    <w:rsid w:val="00312549"/>
    <w:rsid w:val="00312ADF"/>
    <w:rsid w:val="003135C9"/>
    <w:rsid w:val="003135CB"/>
    <w:rsid w:val="003135D5"/>
    <w:rsid w:val="0031409F"/>
    <w:rsid w:val="003156BD"/>
    <w:rsid w:val="00316690"/>
    <w:rsid w:val="00316751"/>
    <w:rsid w:val="00316984"/>
    <w:rsid w:val="00317A4C"/>
    <w:rsid w:val="003219BD"/>
    <w:rsid w:val="00322713"/>
    <w:rsid w:val="00322FE9"/>
    <w:rsid w:val="0032322C"/>
    <w:rsid w:val="00324023"/>
    <w:rsid w:val="003249D2"/>
    <w:rsid w:val="00324B00"/>
    <w:rsid w:val="0032510A"/>
    <w:rsid w:val="00325CE0"/>
    <w:rsid w:val="00330458"/>
    <w:rsid w:val="00330463"/>
    <w:rsid w:val="00330A49"/>
    <w:rsid w:val="003313C5"/>
    <w:rsid w:val="00331868"/>
    <w:rsid w:val="00332BD5"/>
    <w:rsid w:val="00333F4A"/>
    <w:rsid w:val="00334E4C"/>
    <w:rsid w:val="00335547"/>
    <w:rsid w:val="00335A37"/>
    <w:rsid w:val="00335DC9"/>
    <w:rsid w:val="00336567"/>
    <w:rsid w:val="003366B3"/>
    <w:rsid w:val="00336D48"/>
    <w:rsid w:val="00337212"/>
    <w:rsid w:val="003372D8"/>
    <w:rsid w:val="003379EB"/>
    <w:rsid w:val="00340440"/>
    <w:rsid w:val="0034114A"/>
    <w:rsid w:val="00341BA5"/>
    <w:rsid w:val="00341D3D"/>
    <w:rsid w:val="003428B1"/>
    <w:rsid w:val="00342FC3"/>
    <w:rsid w:val="003437D9"/>
    <w:rsid w:val="00343B31"/>
    <w:rsid w:val="00343EE6"/>
    <w:rsid w:val="00343F43"/>
    <w:rsid w:val="00343FB0"/>
    <w:rsid w:val="00344269"/>
    <w:rsid w:val="00344609"/>
    <w:rsid w:val="00344996"/>
    <w:rsid w:val="00344C42"/>
    <w:rsid w:val="003453B4"/>
    <w:rsid w:val="00345409"/>
    <w:rsid w:val="0034569B"/>
    <w:rsid w:val="00346586"/>
    <w:rsid w:val="00346DF8"/>
    <w:rsid w:val="00347A04"/>
    <w:rsid w:val="00347C5A"/>
    <w:rsid w:val="00350631"/>
    <w:rsid w:val="0035169D"/>
    <w:rsid w:val="00351799"/>
    <w:rsid w:val="0035182E"/>
    <w:rsid w:val="00352240"/>
    <w:rsid w:val="003523D2"/>
    <w:rsid w:val="003529B9"/>
    <w:rsid w:val="00352DD7"/>
    <w:rsid w:val="00352FB2"/>
    <w:rsid w:val="00353A89"/>
    <w:rsid w:val="00354803"/>
    <w:rsid w:val="003551B9"/>
    <w:rsid w:val="00355764"/>
    <w:rsid w:val="00355E64"/>
    <w:rsid w:val="00356196"/>
    <w:rsid w:val="0035632D"/>
    <w:rsid w:val="00360826"/>
    <w:rsid w:val="00361DB3"/>
    <w:rsid w:val="003626EB"/>
    <w:rsid w:val="00362A63"/>
    <w:rsid w:val="00363EA5"/>
    <w:rsid w:val="00363FF3"/>
    <w:rsid w:val="00364B5D"/>
    <w:rsid w:val="003654C3"/>
    <w:rsid w:val="00367233"/>
    <w:rsid w:val="00367EB0"/>
    <w:rsid w:val="0037018B"/>
    <w:rsid w:val="0037045D"/>
    <w:rsid w:val="003706EA"/>
    <w:rsid w:val="00371658"/>
    <w:rsid w:val="003716C1"/>
    <w:rsid w:val="003717BE"/>
    <w:rsid w:val="0037199D"/>
    <w:rsid w:val="00371A42"/>
    <w:rsid w:val="00372230"/>
    <w:rsid w:val="00373E7A"/>
    <w:rsid w:val="00374235"/>
    <w:rsid w:val="00375858"/>
    <w:rsid w:val="0037593B"/>
    <w:rsid w:val="00375C2E"/>
    <w:rsid w:val="00375DC4"/>
    <w:rsid w:val="00376127"/>
    <w:rsid w:val="00376695"/>
    <w:rsid w:val="0037678D"/>
    <w:rsid w:val="00377ABE"/>
    <w:rsid w:val="00377B64"/>
    <w:rsid w:val="00377C63"/>
    <w:rsid w:val="00377C64"/>
    <w:rsid w:val="00380C93"/>
    <w:rsid w:val="00380DF0"/>
    <w:rsid w:val="003817F5"/>
    <w:rsid w:val="003819F9"/>
    <w:rsid w:val="00382347"/>
    <w:rsid w:val="00382350"/>
    <w:rsid w:val="003835FA"/>
    <w:rsid w:val="00383AD6"/>
    <w:rsid w:val="0038450B"/>
    <w:rsid w:val="00384D0A"/>
    <w:rsid w:val="00385747"/>
    <w:rsid w:val="00386386"/>
    <w:rsid w:val="003867BF"/>
    <w:rsid w:val="003869E1"/>
    <w:rsid w:val="00386C5B"/>
    <w:rsid w:val="00387B6E"/>
    <w:rsid w:val="003900FA"/>
    <w:rsid w:val="003906C2"/>
    <w:rsid w:val="00391116"/>
    <w:rsid w:val="003917BB"/>
    <w:rsid w:val="003918C8"/>
    <w:rsid w:val="00391D70"/>
    <w:rsid w:val="0039249D"/>
    <w:rsid w:val="00392723"/>
    <w:rsid w:val="00392967"/>
    <w:rsid w:val="0039370E"/>
    <w:rsid w:val="00393EDC"/>
    <w:rsid w:val="00394717"/>
    <w:rsid w:val="0039481E"/>
    <w:rsid w:val="00394FA3"/>
    <w:rsid w:val="00395454"/>
    <w:rsid w:val="00395CC4"/>
    <w:rsid w:val="003966F2"/>
    <w:rsid w:val="00396D7E"/>
    <w:rsid w:val="00396E72"/>
    <w:rsid w:val="00397091"/>
    <w:rsid w:val="00397D7B"/>
    <w:rsid w:val="003A0A91"/>
    <w:rsid w:val="003A0BCB"/>
    <w:rsid w:val="003A2682"/>
    <w:rsid w:val="003A2981"/>
    <w:rsid w:val="003A47D3"/>
    <w:rsid w:val="003A4950"/>
    <w:rsid w:val="003A4FA6"/>
    <w:rsid w:val="003A57C0"/>
    <w:rsid w:val="003A5DB2"/>
    <w:rsid w:val="003A5F6A"/>
    <w:rsid w:val="003A62DA"/>
    <w:rsid w:val="003A6957"/>
    <w:rsid w:val="003A6E9E"/>
    <w:rsid w:val="003A713D"/>
    <w:rsid w:val="003A78A9"/>
    <w:rsid w:val="003B0155"/>
    <w:rsid w:val="003B0757"/>
    <w:rsid w:val="003B0F35"/>
    <w:rsid w:val="003B124A"/>
    <w:rsid w:val="003B14D0"/>
    <w:rsid w:val="003B20DE"/>
    <w:rsid w:val="003B239C"/>
    <w:rsid w:val="003B2DE5"/>
    <w:rsid w:val="003B3D1F"/>
    <w:rsid w:val="003B417C"/>
    <w:rsid w:val="003B5A28"/>
    <w:rsid w:val="003B5DBA"/>
    <w:rsid w:val="003B660C"/>
    <w:rsid w:val="003B6B83"/>
    <w:rsid w:val="003B7104"/>
    <w:rsid w:val="003B7140"/>
    <w:rsid w:val="003B724E"/>
    <w:rsid w:val="003B74D3"/>
    <w:rsid w:val="003B75E0"/>
    <w:rsid w:val="003C0675"/>
    <w:rsid w:val="003C11F1"/>
    <w:rsid w:val="003C2938"/>
    <w:rsid w:val="003C2F60"/>
    <w:rsid w:val="003C42AD"/>
    <w:rsid w:val="003C4AD0"/>
    <w:rsid w:val="003C51C4"/>
    <w:rsid w:val="003C528D"/>
    <w:rsid w:val="003C5410"/>
    <w:rsid w:val="003C7E60"/>
    <w:rsid w:val="003D041F"/>
    <w:rsid w:val="003D2053"/>
    <w:rsid w:val="003D2BA1"/>
    <w:rsid w:val="003D2FEE"/>
    <w:rsid w:val="003D336B"/>
    <w:rsid w:val="003D33CF"/>
    <w:rsid w:val="003D33EF"/>
    <w:rsid w:val="003D34E4"/>
    <w:rsid w:val="003D396E"/>
    <w:rsid w:val="003D45BA"/>
    <w:rsid w:val="003D4CA2"/>
    <w:rsid w:val="003D5DD7"/>
    <w:rsid w:val="003D5F4C"/>
    <w:rsid w:val="003D6367"/>
    <w:rsid w:val="003D71DB"/>
    <w:rsid w:val="003D726E"/>
    <w:rsid w:val="003E1406"/>
    <w:rsid w:val="003E1530"/>
    <w:rsid w:val="003E15B6"/>
    <w:rsid w:val="003E17AD"/>
    <w:rsid w:val="003E1908"/>
    <w:rsid w:val="003E1D52"/>
    <w:rsid w:val="003E2762"/>
    <w:rsid w:val="003E2E0B"/>
    <w:rsid w:val="003E3A92"/>
    <w:rsid w:val="003E50D9"/>
    <w:rsid w:val="003E5692"/>
    <w:rsid w:val="003E5F73"/>
    <w:rsid w:val="003E6BAD"/>
    <w:rsid w:val="003E7A3D"/>
    <w:rsid w:val="003E7D0D"/>
    <w:rsid w:val="003E7DEE"/>
    <w:rsid w:val="003F0404"/>
    <w:rsid w:val="003F0B9C"/>
    <w:rsid w:val="003F0DA9"/>
    <w:rsid w:val="003F0E4B"/>
    <w:rsid w:val="003F1271"/>
    <w:rsid w:val="003F20EB"/>
    <w:rsid w:val="003F2166"/>
    <w:rsid w:val="003F2306"/>
    <w:rsid w:val="003F2440"/>
    <w:rsid w:val="003F2D78"/>
    <w:rsid w:val="003F3C05"/>
    <w:rsid w:val="003F3E58"/>
    <w:rsid w:val="003F4399"/>
    <w:rsid w:val="003F5539"/>
    <w:rsid w:val="003F593D"/>
    <w:rsid w:val="003F59CA"/>
    <w:rsid w:val="003F6341"/>
    <w:rsid w:val="003F72F4"/>
    <w:rsid w:val="00400170"/>
    <w:rsid w:val="004022E1"/>
    <w:rsid w:val="004029DF"/>
    <w:rsid w:val="00402ACA"/>
    <w:rsid w:val="00402C97"/>
    <w:rsid w:val="00403E9E"/>
    <w:rsid w:val="0040511D"/>
    <w:rsid w:val="004051B7"/>
    <w:rsid w:val="00405F82"/>
    <w:rsid w:val="0040685A"/>
    <w:rsid w:val="00406992"/>
    <w:rsid w:val="00406D19"/>
    <w:rsid w:val="004070B1"/>
    <w:rsid w:val="004107B6"/>
    <w:rsid w:val="00410A37"/>
    <w:rsid w:val="004112FD"/>
    <w:rsid w:val="00411F79"/>
    <w:rsid w:val="00412BFD"/>
    <w:rsid w:val="00412FB2"/>
    <w:rsid w:val="00413A7C"/>
    <w:rsid w:val="00413EDA"/>
    <w:rsid w:val="00413F5F"/>
    <w:rsid w:val="00414ECB"/>
    <w:rsid w:val="0041579A"/>
    <w:rsid w:val="00416987"/>
    <w:rsid w:val="00417A67"/>
    <w:rsid w:val="00417F9B"/>
    <w:rsid w:val="004205B5"/>
    <w:rsid w:val="00421044"/>
    <w:rsid w:val="004214E1"/>
    <w:rsid w:val="004218F2"/>
    <w:rsid w:val="00421F6D"/>
    <w:rsid w:val="00423140"/>
    <w:rsid w:val="0042464F"/>
    <w:rsid w:val="00425A8A"/>
    <w:rsid w:val="004263F4"/>
    <w:rsid w:val="004278EF"/>
    <w:rsid w:val="00427B76"/>
    <w:rsid w:val="00427C12"/>
    <w:rsid w:val="00427E0C"/>
    <w:rsid w:val="004301F9"/>
    <w:rsid w:val="0043154A"/>
    <w:rsid w:val="00431806"/>
    <w:rsid w:val="00431A46"/>
    <w:rsid w:val="004326E0"/>
    <w:rsid w:val="00432843"/>
    <w:rsid w:val="004348FF"/>
    <w:rsid w:val="00434C09"/>
    <w:rsid w:val="00435246"/>
    <w:rsid w:val="00437CE5"/>
    <w:rsid w:val="00440177"/>
    <w:rsid w:val="00440803"/>
    <w:rsid w:val="004409E3"/>
    <w:rsid w:val="00441A86"/>
    <w:rsid w:val="004423C0"/>
    <w:rsid w:val="00443E1F"/>
    <w:rsid w:val="0044430B"/>
    <w:rsid w:val="004443A4"/>
    <w:rsid w:val="004445FB"/>
    <w:rsid w:val="00444CA3"/>
    <w:rsid w:val="00445B5D"/>
    <w:rsid w:val="004461FE"/>
    <w:rsid w:val="00446EB1"/>
    <w:rsid w:val="00446ECA"/>
    <w:rsid w:val="0044754D"/>
    <w:rsid w:val="00447819"/>
    <w:rsid w:val="0045079C"/>
    <w:rsid w:val="004507A4"/>
    <w:rsid w:val="0045131F"/>
    <w:rsid w:val="0045228B"/>
    <w:rsid w:val="00452A1B"/>
    <w:rsid w:val="00452A2E"/>
    <w:rsid w:val="00452BB6"/>
    <w:rsid w:val="00452DBF"/>
    <w:rsid w:val="004537A1"/>
    <w:rsid w:val="00454079"/>
    <w:rsid w:val="0045414C"/>
    <w:rsid w:val="00454200"/>
    <w:rsid w:val="0045433E"/>
    <w:rsid w:val="0045575F"/>
    <w:rsid w:val="00456414"/>
    <w:rsid w:val="004565A5"/>
    <w:rsid w:val="0045660F"/>
    <w:rsid w:val="004571F0"/>
    <w:rsid w:val="00457391"/>
    <w:rsid w:val="00457F16"/>
    <w:rsid w:val="00457FE3"/>
    <w:rsid w:val="0046078A"/>
    <w:rsid w:val="00460A81"/>
    <w:rsid w:val="00461053"/>
    <w:rsid w:val="004610AF"/>
    <w:rsid w:val="0046186A"/>
    <w:rsid w:val="00461A7B"/>
    <w:rsid w:val="0046241A"/>
    <w:rsid w:val="004627D4"/>
    <w:rsid w:val="00462829"/>
    <w:rsid w:val="00463539"/>
    <w:rsid w:val="00463A6A"/>
    <w:rsid w:val="00464021"/>
    <w:rsid w:val="004648AE"/>
    <w:rsid w:val="00464CDF"/>
    <w:rsid w:val="00465074"/>
    <w:rsid w:val="00465B74"/>
    <w:rsid w:val="004667B1"/>
    <w:rsid w:val="0046694C"/>
    <w:rsid w:val="00466A21"/>
    <w:rsid w:val="00466DE3"/>
    <w:rsid w:val="004677DC"/>
    <w:rsid w:val="00467E57"/>
    <w:rsid w:val="004702FC"/>
    <w:rsid w:val="00470C12"/>
    <w:rsid w:val="0047119D"/>
    <w:rsid w:val="0047130D"/>
    <w:rsid w:val="0047199C"/>
    <w:rsid w:val="0047201E"/>
    <w:rsid w:val="0047303F"/>
    <w:rsid w:val="004732B6"/>
    <w:rsid w:val="004739B1"/>
    <w:rsid w:val="004745D0"/>
    <w:rsid w:val="00474708"/>
    <w:rsid w:val="00475CA6"/>
    <w:rsid w:val="00475DA9"/>
    <w:rsid w:val="00476482"/>
    <w:rsid w:val="004768C1"/>
    <w:rsid w:val="00477012"/>
    <w:rsid w:val="00477041"/>
    <w:rsid w:val="00480B6F"/>
    <w:rsid w:val="00481DB8"/>
    <w:rsid w:val="004838FC"/>
    <w:rsid w:val="00483D27"/>
    <w:rsid w:val="00485145"/>
    <w:rsid w:val="00486ED5"/>
    <w:rsid w:val="00486F52"/>
    <w:rsid w:val="00487B69"/>
    <w:rsid w:val="004908C6"/>
    <w:rsid w:val="00490DB5"/>
    <w:rsid w:val="00490E27"/>
    <w:rsid w:val="00491EE0"/>
    <w:rsid w:val="00492694"/>
    <w:rsid w:val="00493B58"/>
    <w:rsid w:val="0049437B"/>
    <w:rsid w:val="00494905"/>
    <w:rsid w:val="00494DE6"/>
    <w:rsid w:val="00495547"/>
    <w:rsid w:val="00495C60"/>
    <w:rsid w:val="004960F0"/>
    <w:rsid w:val="00496402"/>
    <w:rsid w:val="00496C57"/>
    <w:rsid w:val="004A0B66"/>
    <w:rsid w:val="004A1164"/>
    <w:rsid w:val="004A1255"/>
    <w:rsid w:val="004A18A2"/>
    <w:rsid w:val="004A1C7B"/>
    <w:rsid w:val="004A22D8"/>
    <w:rsid w:val="004A24D9"/>
    <w:rsid w:val="004A2805"/>
    <w:rsid w:val="004A2E63"/>
    <w:rsid w:val="004A3242"/>
    <w:rsid w:val="004A3432"/>
    <w:rsid w:val="004A409A"/>
    <w:rsid w:val="004A40F6"/>
    <w:rsid w:val="004A4E5A"/>
    <w:rsid w:val="004A5151"/>
    <w:rsid w:val="004A5596"/>
    <w:rsid w:val="004A5828"/>
    <w:rsid w:val="004A68DE"/>
    <w:rsid w:val="004A788F"/>
    <w:rsid w:val="004A7E57"/>
    <w:rsid w:val="004B015D"/>
    <w:rsid w:val="004B01C3"/>
    <w:rsid w:val="004B054B"/>
    <w:rsid w:val="004B0D13"/>
    <w:rsid w:val="004B131F"/>
    <w:rsid w:val="004B1461"/>
    <w:rsid w:val="004B273C"/>
    <w:rsid w:val="004B2BDD"/>
    <w:rsid w:val="004B4028"/>
    <w:rsid w:val="004B4690"/>
    <w:rsid w:val="004B4771"/>
    <w:rsid w:val="004B6353"/>
    <w:rsid w:val="004B6683"/>
    <w:rsid w:val="004B6948"/>
    <w:rsid w:val="004B7135"/>
    <w:rsid w:val="004B7F86"/>
    <w:rsid w:val="004C0472"/>
    <w:rsid w:val="004C0DA2"/>
    <w:rsid w:val="004C120B"/>
    <w:rsid w:val="004C15FA"/>
    <w:rsid w:val="004C1982"/>
    <w:rsid w:val="004C20EA"/>
    <w:rsid w:val="004C293A"/>
    <w:rsid w:val="004C2EF0"/>
    <w:rsid w:val="004C35F4"/>
    <w:rsid w:val="004C37C9"/>
    <w:rsid w:val="004C3BCD"/>
    <w:rsid w:val="004C42BD"/>
    <w:rsid w:val="004C46DE"/>
    <w:rsid w:val="004C4AB4"/>
    <w:rsid w:val="004C5879"/>
    <w:rsid w:val="004C69E9"/>
    <w:rsid w:val="004C70A7"/>
    <w:rsid w:val="004C72B7"/>
    <w:rsid w:val="004C7CFA"/>
    <w:rsid w:val="004C7FDE"/>
    <w:rsid w:val="004D039D"/>
    <w:rsid w:val="004D09DC"/>
    <w:rsid w:val="004D0FF9"/>
    <w:rsid w:val="004D1868"/>
    <w:rsid w:val="004D1C10"/>
    <w:rsid w:val="004D1ECE"/>
    <w:rsid w:val="004D21F4"/>
    <w:rsid w:val="004D22E1"/>
    <w:rsid w:val="004D24FD"/>
    <w:rsid w:val="004D263E"/>
    <w:rsid w:val="004D293B"/>
    <w:rsid w:val="004D436E"/>
    <w:rsid w:val="004D51F8"/>
    <w:rsid w:val="004D5351"/>
    <w:rsid w:val="004D5698"/>
    <w:rsid w:val="004D5902"/>
    <w:rsid w:val="004D6A3E"/>
    <w:rsid w:val="004E07C1"/>
    <w:rsid w:val="004E086B"/>
    <w:rsid w:val="004E1086"/>
    <w:rsid w:val="004E1391"/>
    <w:rsid w:val="004E2573"/>
    <w:rsid w:val="004E3868"/>
    <w:rsid w:val="004E38DA"/>
    <w:rsid w:val="004E39BA"/>
    <w:rsid w:val="004E3FAC"/>
    <w:rsid w:val="004E3FC4"/>
    <w:rsid w:val="004E54C4"/>
    <w:rsid w:val="004E5CAF"/>
    <w:rsid w:val="004E5CF4"/>
    <w:rsid w:val="004E6706"/>
    <w:rsid w:val="004F04D4"/>
    <w:rsid w:val="004F0850"/>
    <w:rsid w:val="004F0D9F"/>
    <w:rsid w:val="004F2275"/>
    <w:rsid w:val="004F22A2"/>
    <w:rsid w:val="004F2C1D"/>
    <w:rsid w:val="004F38A9"/>
    <w:rsid w:val="004F44A5"/>
    <w:rsid w:val="004F48BA"/>
    <w:rsid w:val="004F4C2B"/>
    <w:rsid w:val="004F56E8"/>
    <w:rsid w:val="004F5D5B"/>
    <w:rsid w:val="004F6B7D"/>
    <w:rsid w:val="004F6FEE"/>
    <w:rsid w:val="004F775E"/>
    <w:rsid w:val="00500611"/>
    <w:rsid w:val="00500C57"/>
    <w:rsid w:val="00501543"/>
    <w:rsid w:val="00501748"/>
    <w:rsid w:val="00501855"/>
    <w:rsid w:val="00501CEF"/>
    <w:rsid w:val="00503BAF"/>
    <w:rsid w:val="00504921"/>
    <w:rsid w:val="00505548"/>
    <w:rsid w:val="005060B4"/>
    <w:rsid w:val="00506DA9"/>
    <w:rsid w:val="005073A2"/>
    <w:rsid w:val="00507F24"/>
    <w:rsid w:val="0051061B"/>
    <w:rsid w:val="00510FA9"/>
    <w:rsid w:val="005116B8"/>
    <w:rsid w:val="00511A66"/>
    <w:rsid w:val="00511EB9"/>
    <w:rsid w:val="00512AF9"/>
    <w:rsid w:val="00512F70"/>
    <w:rsid w:val="00514CDB"/>
    <w:rsid w:val="0051547D"/>
    <w:rsid w:val="0051569D"/>
    <w:rsid w:val="00515E40"/>
    <w:rsid w:val="0051678A"/>
    <w:rsid w:val="00516C59"/>
    <w:rsid w:val="005171E2"/>
    <w:rsid w:val="00517D0C"/>
    <w:rsid w:val="00517D31"/>
    <w:rsid w:val="0052044B"/>
    <w:rsid w:val="00520648"/>
    <w:rsid w:val="00520D1B"/>
    <w:rsid w:val="00521E3C"/>
    <w:rsid w:val="00522A75"/>
    <w:rsid w:val="00523B37"/>
    <w:rsid w:val="00525012"/>
    <w:rsid w:val="00525EAC"/>
    <w:rsid w:val="00525ECD"/>
    <w:rsid w:val="005263BA"/>
    <w:rsid w:val="005264E5"/>
    <w:rsid w:val="005275AB"/>
    <w:rsid w:val="005302A7"/>
    <w:rsid w:val="0053037D"/>
    <w:rsid w:val="0053038C"/>
    <w:rsid w:val="00531EB1"/>
    <w:rsid w:val="0053277F"/>
    <w:rsid w:val="00532C3A"/>
    <w:rsid w:val="005331E5"/>
    <w:rsid w:val="005332FF"/>
    <w:rsid w:val="0053462D"/>
    <w:rsid w:val="005347DD"/>
    <w:rsid w:val="00535194"/>
    <w:rsid w:val="005358A7"/>
    <w:rsid w:val="00535952"/>
    <w:rsid w:val="00536372"/>
    <w:rsid w:val="00536C04"/>
    <w:rsid w:val="00537836"/>
    <w:rsid w:val="00537B76"/>
    <w:rsid w:val="00537B89"/>
    <w:rsid w:val="0054006D"/>
    <w:rsid w:val="00540093"/>
    <w:rsid w:val="0054032A"/>
    <w:rsid w:val="0054039B"/>
    <w:rsid w:val="00540868"/>
    <w:rsid w:val="0054138D"/>
    <w:rsid w:val="00541C28"/>
    <w:rsid w:val="0054224A"/>
    <w:rsid w:val="00542453"/>
    <w:rsid w:val="005426E4"/>
    <w:rsid w:val="005427BB"/>
    <w:rsid w:val="00542A14"/>
    <w:rsid w:val="00543599"/>
    <w:rsid w:val="00544035"/>
    <w:rsid w:val="00544C81"/>
    <w:rsid w:val="00544FF8"/>
    <w:rsid w:val="00545558"/>
    <w:rsid w:val="00545878"/>
    <w:rsid w:val="00546DB4"/>
    <w:rsid w:val="00547D3C"/>
    <w:rsid w:val="00550CD3"/>
    <w:rsid w:val="00550FC7"/>
    <w:rsid w:val="00551FE4"/>
    <w:rsid w:val="00552001"/>
    <w:rsid w:val="005527D9"/>
    <w:rsid w:val="00552DDF"/>
    <w:rsid w:val="00552FD0"/>
    <w:rsid w:val="00553ECB"/>
    <w:rsid w:val="005543C2"/>
    <w:rsid w:val="00554C6A"/>
    <w:rsid w:val="00555D3D"/>
    <w:rsid w:val="0055722D"/>
    <w:rsid w:val="005574EC"/>
    <w:rsid w:val="00557EA7"/>
    <w:rsid w:val="005609DB"/>
    <w:rsid w:val="00560B1D"/>
    <w:rsid w:val="00561591"/>
    <w:rsid w:val="0056316F"/>
    <w:rsid w:val="005632BA"/>
    <w:rsid w:val="00563600"/>
    <w:rsid w:val="00563D5B"/>
    <w:rsid w:val="00564668"/>
    <w:rsid w:val="00564C5A"/>
    <w:rsid w:val="00564E3A"/>
    <w:rsid w:val="00565475"/>
    <w:rsid w:val="00566665"/>
    <w:rsid w:val="005667AD"/>
    <w:rsid w:val="00567E08"/>
    <w:rsid w:val="00570066"/>
    <w:rsid w:val="00570188"/>
    <w:rsid w:val="00571000"/>
    <w:rsid w:val="00571C40"/>
    <w:rsid w:val="00572466"/>
    <w:rsid w:val="005724EE"/>
    <w:rsid w:val="0057316F"/>
    <w:rsid w:val="00573498"/>
    <w:rsid w:val="00574205"/>
    <w:rsid w:val="005747D4"/>
    <w:rsid w:val="00574FAB"/>
    <w:rsid w:val="00575159"/>
    <w:rsid w:val="005755E7"/>
    <w:rsid w:val="00580CD6"/>
    <w:rsid w:val="00581449"/>
    <w:rsid w:val="005818A4"/>
    <w:rsid w:val="00582DB5"/>
    <w:rsid w:val="005837CB"/>
    <w:rsid w:val="00584440"/>
    <w:rsid w:val="00584AAE"/>
    <w:rsid w:val="00584C8D"/>
    <w:rsid w:val="00586107"/>
    <w:rsid w:val="005870CF"/>
    <w:rsid w:val="005872A6"/>
    <w:rsid w:val="005875A7"/>
    <w:rsid w:val="005876F3"/>
    <w:rsid w:val="005877E9"/>
    <w:rsid w:val="0058789C"/>
    <w:rsid w:val="005905AC"/>
    <w:rsid w:val="00590BA2"/>
    <w:rsid w:val="00591103"/>
    <w:rsid w:val="0059146B"/>
    <w:rsid w:val="0059156D"/>
    <w:rsid w:val="00591639"/>
    <w:rsid w:val="0059175E"/>
    <w:rsid w:val="00591B56"/>
    <w:rsid w:val="00591C9B"/>
    <w:rsid w:val="005921B2"/>
    <w:rsid w:val="00592218"/>
    <w:rsid w:val="005924D5"/>
    <w:rsid w:val="0059273B"/>
    <w:rsid w:val="00592873"/>
    <w:rsid w:val="005928DF"/>
    <w:rsid w:val="00592E66"/>
    <w:rsid w:val="005930C6"/>
    <w:rsid w:val="00593A34"/>
    <w:rsid w:val="0059463C"/>
    <w:rsid w:val="00594776"/>
    <w:rsid w:val="00594F24"/>
    <w:rsid w:val="005967C5"/>
    <w:rsid w:val="00596E55"/>
    <w:rsid w:val="0059722E"/>
    <w:rsid w:val="005974D7"/>
    <w:rsid w:val="005979AE"/>
    <w:rsid w:val="005A0495"/>
    <w:rsid w:val="005A0BBD"/>
    <w:rsid w:val="005A0C5B"/>
    <w:rsid w:val="005A0CB5"/>
    <w:rsid w:val="005A125C"/>
    <w:rsid w:val="005A1BA5"/>
    <w:rsid w:val="005A1D02"/>
    <w:rsid w:val="005A20AC"/>
    <w:rsid w:val="005A31CB"/>
    <w:rsid w:val="005A3272"/>
    <w:rsid w:val="005A32A9"/>
    <w:rsid w:val="005A46B1"/>
    <w:rsid w:val="005A47E4"/>
    <w:rsid w:val="005A57A1"/>
    <w:rsid w:val="005A5DB5"/>
    <w:rsid w:val="005A5DEE"/>
    <w:rsid w:val="005A6237"/>
    <w:rsid w:val="005A655F"/>
    <w:rsid w:val="005A66FF"/>
    <w:rsid w:val="005A736E"/>
    <w:rsid w:val="005A775A"/>
    <w:rsid w:val="005B00FD"/>
    <w:rsid w:val="005B040B"/>
    <w:rsid w:val="005B08A2"/>
    <w:rsid w:val="005B0BDC"/>
    <w:rsid w:val="005B12B6"/>
    <w:rsid w:val="005B1360"/>
    <w:rsid w:val="005B13BA"/>
    <w:rsid w:val="005B15BE"/>
    <w:rsid w:val="005B1C15"/>
    <w:rsid w:val="005B1F54"/>
    <w:rsid w:val="005B1FD8"/>
    <w:rsid w:val="005B2139"/>
    <w:rsid w:val="005B226E"/>
    <w:rsid w:val="005B3803"/>
    <w:rsid w:val="005B3B0A"/>
    <w:rsid w:val="005B3C78"/>
    <w:rsid w:val="005B41C2"/>
    <w:rsid w:val="005B4A73"/>
    <w:rsid w:val="005B4DF7"/>
    <w:rsid w:val="005B55DE"/>
    <w:rsid w:val="005B62A9"/>
    <w:rsid w:val="005C045D"/>
    <w:rsid w:val="005C06CB"/>
    <w:rsid w:val="005C10FB"/>
    <w:rsid w:val="005C123E"/>
    <w:rsid w:val="005C1750"/>
    <w:rsid w:val="005C1D37"/>
    <w:rsid w:val="005C2381"/>
    <w:rsid w:val="005C2AD0"/>
    <w:rsid w:val="005C2FD5"/>
    <w:rsid w:val="005C301F"/>
    <w:rsid w:val="005C35F2"/>
    <w:rsid w:val="005C3751"/>
    <w:rsid w:val="005C3ABE"/>
    <w:rsid w:val="005C43A0"/>
    <w:rsid w:val="005C4667"/>
    <w:rsid w:val="005C47B7"/>
    <w:rsid w:val="005C4D12"/>
    <w:rsid w:val="005C586B"/>
    <w:rsid w:val="005C5EA3"/>
    <w:rsid w:val="005C665B"/>
    <w:rsid w:val="005C6973"/>
    <w:rsid w:val="005C6C21"/>
    <w:rsid w:val="005C6E74"/>
    <w:rsid w:val="005C6F65"/>
    <w:rsid w:val="005C70B1"/>
    <w:rsid w:val="005C7859"/>
    <w:rsid w:val="005D0E96"/>
    <w:rsid w:val="005D2BE3"/>
    <w:rsid w:val="005D307E"/>
    <w:rsid w:val="005D3381"/>
    <w:rsid w:val="005D33C1"/>
    <w:rsid w:val="005D38FD"/>
    <w:rsid w:val="005D3B94"/>
    <w:rsid w:val="005D490A"/>
    <w:rsid w:val="005D670C"/>
    <w:rsid w:val="005D74B6"/>
    <w:rsid w:val="005D7F40"/>
    <w:rsid w:val="005E0641"/>
    <w:rsid w:val="005E0EF2"/>
    <w:rsid w:val="005E14A5"/>
    <w:rsid w:val="005E241C"/>
    <w:rsid w:val="005E2F23"/>
    <w:rsid w:val="005E381F"/>
    <w:rsid w:val="005E3FDF"/>
    <w:rsid w:val="005E485C"/>
    <w:rsid w:val="005E526A"/>
    <w:rsid w:val="005E53E4"/>
    <w:rsid w:val="005E5B29"/>
    <w:rsid w:val="005E6B6D"/>
    <w:rsid w:val="005E6B83"/>
    <w:rsid w:val="005E7092"/>
    <w:rsid w:val="005E7103"/>
    <w:rsid w:val="005E714E"/>
    <w:rsid w:val="005E747C"/>
    <w:rsid w:val="005E7639"/>
    <w:rsid w:val="005E7D92"/>
    <w:rsid w:val="005F00B2"/>
    <w:rsid w:val="005F0E32"/>
    <w:rsid w:val="005F11E4"/>
    <w:rsid w:val="005F1260"/>
    <w:rsid w:val="005F1536"/>
    <w:rsid w:val="005F16E2"/>
    <w:rsid w:val="005F230D"/>
    <w:rsid w:val="005F364B"/>
    <w:rsid w:val="005F3E30"/>
    <w:rsid w:val="005F4527"/>
    <w:rsid w:val="005F4746"/>
    <w:rsid w:val="005F47CD"/>
    <w:rsid w:val="005F4868"/>
    <w:rsid w:val="005F4D56"/>
    <w:rsid w:val="005F5530"/>
    <w:rsid w:val="005F68F2"/>
    <w:rsid w:val="005F6912"/>
    <w:rsid w:val="005F6954"/>
    <w:rsid w:val="005F6C13"/>
    <w:rsid w:val="0060092F"/>
    <w:rsid w:val="00600D6D"/>
    <w:rsid w:val="006014C5"/>
    <w:rsid w:val="00601979"/>
    <w:rsid w:val="00601B11"/>
    <w:rsid w:val="006025C4"/>
    <w:rsid w:val="006042AD"/>
    <w:rsid w:val="006045EA"/>
    <w:rsid w:val="00604819"/>
    <w:rsid w:val="00604FA6"/>
    <w:rsid w:val="0060509A"/>
    <w:rsid w:val="00605153"/>
    <w:rsid w:val="00605B8C"/>
    <w:rsid w:val="00606E0A"/>
    <w:rsid w:val="00606FF4"/>
    <w:rsid w:val="00607A43"/>
    <w:rsid w:val="00607BE5"/>
    <w:rsid w:val="00607C68"/>
    <w:rsid w:val="00607E10"/>
    <w:rsid w:val="0061027F"/>
    <w:rsid w:val="00611B8F"/>
    <w:rsid w:val="00611FC6"/>
    <w:rsid w:val="00612691"/>
    <w:rsid w:val="00612913"/>
    <w:rsid w:val="00612E52"/>
    <w:rsid w:val="0061346B"/>
    <w:rsid w:val="0061351E"/>
    <w:rsid w:val="00614CD5"/>
    <w:rsid w:val="0061557F"/>
    <w:rsid w:val="00615878"/>
    <w:rsid w:val="00616201"/>
    <w:rsid w:val="0061681B"/>
    <w:rsid w:val="00616D27"/>
    <w:rsid w:val="00616F02"/>
    <w:rsid w:val="00620534"/>
    <w:rsid w:val="0062098A"/>
    <w:rsid w:val="00620CB9"/>
    <w:rsid w:val="006211A6"/>
    <w:rsid w:val="0062120D"/>
    <w:rsid w:val="0062128E"/>
    <w:rsid w:val="00623219"/>
    <w:rsid w:val="00623896"/>
    <w:rsid w:val="00623BA3"/>
    <w:rsid w:val="006240A3"/>
    <w:rsid w:val="006240B6"/>
    <w:rsid w:val="00624E57"/>
    <w:rsid w:val="006250E5"/>
    <w:rsid w:val="00625A7F"/>
    <w:rsid w:val="00625EA6"/>
    <w:rsid w:val="00626889"/>
    <w:rsid w:val="00626B8D"/>
    <w:rsid w:val="00626BE3"/>
    <w:rsid w:val="006274B5"/>
    <w:rsid w:val="006276D5"/>
    <w:rsid w:val="0062798F"/>
    <w:rsid w:val="006301EF"/>
    <w:rsid w:val="006304F4"/>
    <w:rsid w:val="00630CA7"/>
    <w:rsid w:val="00630E8E"/>
    <w:rsid w:val="0063181D"/>
    <w:rsid w:val="00632D33"/>
    <w:rsid w:val="00632EED"/>
    <w:rsid w:val="00633BF0"/>
    <w:rsid w:val="00634010"/>
    <w:rsid w:val="00635025"/>
    <w:rsid w:val="00636797"/>
    <w:rsid w:val="00637339"/>
    <w:rsid w:val="006375F3"/>
    <w:rsid w:val="00637B7B"/>
    <w:rsid w:val="00637E21"/>
    <w:rsid w:val="00640315"/>
    <w:rsid w:val="00641001"/>
    <w:rsid w:val="00641481"/>
    <w:rsid w:val="006414DB"/>
    <w:rsid w:val="00641515"/>
    <w:rsid w:val="006417D4"/>
    <w:rsid w:val="00641A0D"/>
    <w:rsid w:val="006426AF"/>
    <w:rsid w:val="006436A0"/>
    <w:rsid w:val="0064383D"/>
    <w:rsid w:val="006453B4"/>
    <w:rsid w:val="00645BD5"/>
    <w:rsid w:val="00645C08"/>
    <w:rsid w:val="00645CFA"/>
    <w:rsid w:val="006465C8"/>
    <w:rsid w:val="006468A7"/>
    <w:rsid w:val="0064706B"/>
    <w:rsid w:val="006473D4"/>
    <w:rsid w:val="00647D1A"/>
    <w:rsid w:val="00647E47"/>
    <w:rsid w:val="0065004A"/>
    <w:rsid w:val="006504F8"/>
    <w:rsid w:val="00650D3A"/>
    <w:rsid w:val="006510D0"/>
    <w:rsid w:val="00651657"/>
    <w:rsid w:val="00652BF6"/>
    <w:rsid w:val="006537E7"/>
    <w:rsid w:val="00653962"/>
    <w:rsid w:val="00654E69"/>
    <w:rsid w:val="0065511D"/>
    <w:rsid w:val="00655A87"/>
    <w:rsid w:val="00656E94"/>
    <w:rsid w:val="00657AD2"/>
    <w:rsid w:val="00657CD1"/>
    <w:rsid w:val="00657FBD"/>
    <w:rsid w:val="0066024A"/>
    <w:rsid w:val="0066028E"/>
    <w:rsid w:val="006602EB"/>
    <w:rsid w:val="00660604"/>
    <w:rsid w:val="006607E6"/>
    <w:rsid w:val="006614F4"/>
    <w:rsid w:val="00663F86"/>
    <w:rsid w:val="00664775"/>
    <w:rsid w:val="00665067"/>
    <w:rsid w:val="00665136"/>
    <w:rsid w:val="00665450"/>
    <w:rsid w:val="00665AC0"/>
    <w:rsid w:val="00665EF8"/>
    <w:rsid w:val="006664EC"/>
    <w:rsid w:val="00667769"/>
    <w:rsid w:val="00667D4C"/>
    <w:rsid w:val="00667FFE"/>
    <w:rsid w:val="00670926"/>
    <w:rsid w:val="00672172"/>
    <w:rsid w:val="00672DA7"/>
    <w:rsid w:val="0067399E"/>
    <w:rsid w:val="006742DA"/>
    <w:rsid w:val="0067503F"/>
    <w:rsid w:val="006755E4"/>
    <w:rsid w:val="006756CB"/>
    <w:rsid w:val="00675C89"/>
    <w:rsid w:val="00676143"/>
    <w:rsid w:val="006763D9"/>
    <w:rsid w:val="0067682A"/>
    <w:rsid w:val="006779E7"/>
    <w:rsid w:val="00680939"/>
    <w:rsid w:val="0068172D"/>
    <w:rsid w:val="0068184D"/>
    <w:rsid w:val="00681EC4"/>
    <w:rsid w:val="00682C9A"/>
    <w:rsid w:val="00682F0E"/>
    <w:rsid w:val="00682F24"/>
    <w:rsid w:val="0068328F"/>
    <w:rsid w:val="006832C4"/>
    <w:rsid w:val="006837CC"/>
    <w:rsid w:val="00684344"/>
    <w:rsid w:val="006854BE"/>
    <w:rsid w:val="00685592"/>
    <w:rsid w:val="006856F9"/>
    <w:rsid w:val="00685B69"/>
    <w:rsid w:val="00685D55"/>
    <w:rsid w:val="0068602D"/>
    <w:rsid w:val="00686BBA"/>
    <w:rsid w:val="00686CEC"/>
    <w:rsid w:val="00690026"/>
    <w:rsid w:val="00691AED"/>
    <w:rsid w:val="0069312E"/>
    <w:rsid w:val="006938FD"/>
    <w:rsid w:val="00694CD7"/>
    <w:rsid w:val="00696590"/>
    <w:rsid w:val="006968EA"/>
    <w:rsid w:val="0069694E"/>
    <w:rsid w:val="00696A31"/>
    <w:rsid w:val="006A03B3"/>
    <w:rsid w:val="006A0DC8"/>
    <w:rsid w:val="006A0E00"/>
    <w:rsid w:val="006A102D"/>
    <w:rsid w:val="006A153F"/>
    <w:rsid w:val="006A1781"/>
    <w:rsid w:val="006A218E"/>
    <w:rsid w:val="006A2C29"/>
    <w:rsid w:val="006A391E"/>
    <w:rsid w:val="006A3EE0"/>
    <w:rsid w:val="006A4A75"/>
    <w:rsid w:val="006A5073"/>
    <w:rsid w:val="006A52E4"/>
    <w:rsid w:val="006A5F14"/>
    <w:rsid w:val="006A61BE"/>
    <w:rsid w:val="006A634B"/>
    <w:rsid w:val="006A6F7A"/>
    <w:rsid w:val="006A765B"/>
    <w:rsid w:val="006A7BC4"/>
    <w:rsid w:val="006B03D9"/>
    <w:rsid w:val="006B057D"/>
    <w:rsid w:val="006B0BCC"/>
    <w:rsid w:val="006B1614"/>
    <w:rsid w:val="006B166C"/>
    <w:rsid w:val="006B1ED9"/>
    <w:rsid w:val="006B1F0B"/>
    <w:rsid w:val="006B277B"/>
    <w:rsid w:val="006B27E8"/>
    <w:rsid w:val="006B3007"/>
    <w:rsid w:val="006B3385"/>
    <w:rsid w:val="006B4819"/>
    <w:rsid w:val="006B4BF9"/>
    <w:rsid w:val="006B525C"/>
    <w:rsid w:val="006B549E"/>
    <w:rsid w:val="006B5688"/>
    <w:rsid w:val="006B6508"/>
    <w:rsid w:val="006B796A"/>
    <w:rsid w:val="006B7D1F"/>
    <w:rsid w:val="006B7E32"/>
    <w:rsid w:val="006B7E67"/>
    <w:rsid w:val="006C0401"/>
    <w:rsid w:val="006C09C5"/>
    <w:rsid w:val="006C12DC"/>
    <w:rsid w:val="006C1315"/>
    <w:rsid w:val="006C18DE"/>
    <w:rsid w:val="006C19DF"/>
    <w:rsid w:val="006C202A"/>
    <w:rsid w:val="006C27E9"/>
    <w:rsid w:val="006C2D80"/>
    <w:rsid w:val="006C3197"/>
    <w:rsid w:val="006C3608"/>
    <w:rsid w:val="006C4B83"/>
    <w:rsid w:val="006C5730"/>
    <w:rsid w:val="006C5D61"/>
    <w:rsid w:val="006C601B"/>
    <w:rsid w:val="006C6D0E"/>
    <w:rsid w:val="006C7CD2"/>
    <w:rsid w:val="006C7E8F"/>
    <w:rsid w:val="006D0B2D"/>
    <w:rsid w:val="006D1156"/>
    <w:rsid w:val="006D1D46"/>
    <w:rsid w:val="006D20A1"/>
    <w:rsid w:val="006D2521"/>
    <w:rsid w:val="006D2BB3"/>
    <w:rsid w:val="006D2D5B"/>
    <w:rsid w:val="006D2F9F"/>
    <w:rsid w:val="006D3993"/>
    <w:rsid w:val="006D3F9B"/>
    <w:rsid w:val="006D422C"/>
    <w:rsid w:val="006D4D08"/>
    <w:rsid w:val="006D5255"/>
    <w:rsid w:val="006D5D2D"/>
    <w:rsid w:val="006D6920"/>
    <w:rsid w:val="006D6A82"/>
    <w:rsid w:val="006D6E92"/>
    <w:rsid w:val="006D749B"/>
    <w:rsid w:val="006D7A1C"/>
    <w:rsid w:val="006E0D75"/>
    <w:rsid w:val="006E124D"/>
    <w:rsid w:val="006E1BAA"/>
    <w:rsid w:val="006E24EF"/>
    <w:rsid w:val="006E289D"/>
    <w:rsid w:val="006E2B08"/>
    <w:rsid w:val="006E2EF3"/>
    <w:rsid w:val="006E3781"/>
    <w:rsid w:val="006E3962"/>
    <w:rsid w:val="006E3DF7"/>
    <w:rsid w:val="006E432A"/>
    <w:rsid w:val="006E477B"/>
    <w:rsid w:val="006E536A"/>
    <w:rsid w:val="006E60B8"/>
    <w:rsid w:val="006E6A21"/>
    <w:rsid w:val="006E6AEF"/>
    <w:rsid w:val="006E6D96"/>
    <w:rsid w:val="006F0EF2"/>
    <w:rsid w:val="006F14B4"/>
    <w:rsid w:val="006F253B"/>
    <w:rsid w:val="006F278A"/>
    <w:rsid w:val="006F333E"/>
    <w:rsid w:val="006F33FD"/>
    <w:rsid w:val="006F3EC7"/>
    <w:rsid w:val="006F4012"/>
    <w:rsid w:val="006F4143"/>
    <w:rsid w:val="006F44B7"/>
    <w:rsid w:val="006F482D"/>
    <w:rsid w:val="006F4DE1"/>
    <w:rsid w:val="006F4F49"/>
    <w:rsid w:val="006F53C4"/>
    <w:rsid w:val="006F624F"/>
    <w:rsid w:val="006F7D90"/>
    <w:rsid w:val="00700378"/>
    <w:rsid w:val="007005DC"/>
    <w:rsid w:val="007018E1"/>
    <w:rsid w:val="00701C9C"/>
    <w:rsid w:val="00702874"/>
    <w:rsid w:val="00702987"/>
    <w:rsid w:val="0070298F"/>
    <w:rsid w:val="00702B23"/>
    <w:rsid w:val="00702B52"/>
    <w:rsid w:val="00703112"/>
    <w:rsid w:val="00703148"/>
    <w:rsid w:val="007031F8"/>
    <w:rsid w:val="00703252"/>
    <w:rsid w:val="007033BD"/>
    <w:rsid w:val="00703472"/>
    <w:rsid w:val="00703541"/>
    <w:rsid w:val="00703F77"/>
    <w:rsid w:val="00704BB2"/>
    <w:rsid w:val="007053EE"/>
    <w:rsid w:val="00705A4C"/>
    <w:rsid w:val="00705A59"/>
    <w:rsid w:val="00706361"/>
    <w:rsid w:val="007064F6"/>
    <w:rsid w:val="00710110"/>
    <w:rsid w:val="00710321"/>
    <w:rsid w:val="00710753"/>
    <w:rsid w:val="00711470"/>
    <w:rsid w:val="007114F6"/>
    <w:rsid w:val="007131AA"/>
    <w:rsid w:val="00713777"/>
    <w:rsid w:val="00713945"/>
    <w:rsid w:val="0071460B"/>
    <w:rsid w:val="007148D1"/>
    <w:rsid w:val="00715197"/>
    <w:rsid w:val="007151FB"/>
    <w:rsid w:val="007157D8"/>
    <w:rsid w:val="00716278"/>
    <w:rsid w:val="0071650C"/>
    <w:rsid w:val="007165C8"/>
    <w:rsid w:val="00716FA2"/>
    <w:rsid w:val="00717B8D"/>
    <w:rsid w:val="00720D1F"/>
    <w:rsid w:val="00720DD0"/>
    <w:rsid w:val="00721362"/>
    <w:rsid w:val="00721C80"/>
    <w:rsid w:val="0072224B"/>
    <w:rsid w:val="0072238A"/>
    <w:rsid w:val="00722A18"/>
    <w:rsid w:val="00722F9F"/>
    <w:rsid w:val="00723371"/>
    <w:rsid w:val="00723445"/>
    <w:rsid w:val="00723673"/>
    <w:rsid w:val="00725E4E"/>
    <w:rsid w:val="00726387"/>
    <w:rsid w:val="00726548"/>
    <w:rsid w:val="007275F1"/>
    <w:rsid w:val="00730E1C"/>
    <w:rsid w:val="00731428"/>
    <w:rsid w:val="00731F12"/>
    <w:rsid w:val="00732204"/>
    <w:rsid w:val="00732464"/>
    <w:rsid w:val="00732580"/>
    <w:rsid w:val="0073433F"/>
    <w:rsid w:val="00734A1A"/>
    <w:rsid w:val="00734CA4"/>
    <w:rsid w:val="0073546A"/>
    <w:rsid w:val="00735702"/>
    <w:rsid w:val="00735A11"/>
    <w:rsid w:val="00736CF3"/>
    <w:rsid w:val="00736D8C"/>
    <w:rsid w:val="007370EB"/>
    <w:rsid w:val="00737D8A"/>
    <w:rsid w:val="00737EBE"/>
    <w:rsid w:val="00740D1F"/>
    <w:rsid w:val="00740F35"/>
    <w:rsid w:val="00741682"/>
    <w:rsid w:val="0074208F"/>
    <w:rsid w:val="00743B11"/>
    <w:rsid w:val="00743C5F"/>
    <w:rsid w:val="00744166"/>
    <w:rsid w:val="00745270"/>
    <w:rsid w:val="007456E5"/>
    <w:rsid w:val="007458D1"/>
    <w:rsid w:val="00745C7F"/>
    <w:rsid w:val="00745D86"/>
    <w:rsid w:val="0074690C"/>
    <w:rsid w:val="00746C1D"/>
    <w:rsid w:val="00746DA4"/>
    <w:rsid w:val="007473BB"/>
    <w:rsid w:val="00747C6F"/>
    <w:rsid w:val="00747DEB"/>
    <w:rsid w:val="0075156B"/>
    <w:rsid w:val="007515DD"/>
    <w:rsid w:val="00751810"/>
    <w:rsid w:val="00751A37"/>
    <w:rsid w:val="00751D4F"/>
    <w:rsid w:val="00751E13"/>
    <w:rsid w:val="007527F2"/>
    <w:rsid w:val="007540A0"/>
    <w:rsid w:val="00754339"/>
    <w:rsid w:val="00754415"/>
    <w:rsid w:val="007548F7"/>
    <w:rsid w:val="00755EC3"/>
    <w:rsid w:val="007568A1"/>
    <w:rsid w:val="00757590"/>
    <w:rsid w:val="00757A02"/>
    <w:rsid w:val="00757A26"/>
    <w:rsid w:val="00760E34"/>
    <w:rsid w:val="007624AE"/>
    <w:rsid w:val="00762633"/>
    <w:rsid w:val="007627E4"/>
    <w:rsid w:val="00762C22"/>
    <w:rsid w:val="00763AE3"/>
    <w:rsid w:val="007640A0"/>
    <w:rsid w:val="007640A6"/>
    <w:rsid w:val="007660C9"/>
    <w:rsid w:val="007666D9"/>
    <w:rsid w:val="0076738A"/>
    <w:rsid w:val="00767F7C"/>
    <w:rsid w:val="00767FFA"/>
    <w:rsid w:val="0077146E"/>
    <w:rsid w:val="00771AFB"/>
    <w:rsid w:val="0077286A"/>
    <w:rsid w:val="00772953"/>
    <w:rsid w:val="007737DD"/>
    <w:rsid w:val="00773B6B"/>
    <w:rsid w:val="007756CE"/>
    <w:rsid w:val="00775A2F"/>
    <w:rsid w:val="00776349"/>
    <w:rsid w:val="0078056E"/>
    <w:rsid w:val="00781900"/>
    <w:rsid w:val="00782702"/>
    <w:rsid w:val="00782C1D"/>
    <w:rsid w:val="00782EE2"/>
    <w:rsid w:val="0078471D"/>
    <w:rsid w:val="00784BAA"/>
    <w:rsid w:val="00784DF4"/>
    <w:rsid w:val="00785667"/>
    <w:rsid w:val="00785914"/>
    <w:rsid w:val="00785B5D"/>
    <w:rsid w:val="0078610A"/>
    <w:rsid w:val="00786243"/>
    <w:rsid w:val="0078642F"/>
    <w:rsid w:val="007872C4"/>
    <w:rsid w:val="00787E27"/>
    <w:rsid w:val="0079097F"/>
    <w:rsid w:val="00791391"/>
    <w:rsid w:val="0079149A"/>
    <w:rsid w:val="00791573"/>
    <w:rsid w:val="007916BD"/>
    <w:rsid w:val="007919D4"/>
    <w:rsid w:val="00792A78"/>
    <w:rsid w:val="00792D1A"/>
    <w:rsid w:val="007937D0"/>
    <w:rsid w:val="0079471C"/>
    <w:rsid w:val="00794ABE"/>
    <w:rsid w:val="00794C25"/>
    <w:rsid w:val="00795EAA"/>
    <w:rsid w:val="007960E4"/>
    <w:rsid w:val="00796867"/>
    <w:rsid w:val="007971B7"/>
    <w:rsid w:val="007975F3"/>
    <w:rsid w:val="00797ABC"/>
    <w:rsid w:val="007A0431"/>
    <w:rsid w:val="007A11EB"/>
    <w:rsid w:val="007A1459"/>
    <w:rsid w:val="007A1845"/>
    <w:rsid w:val="007A1EBD"/>
    <w:rsid w:val="007A2EA8"/>
    <w:rsid w:val="007A2F8B"/>
    <w:rsid w:val="007A32DA"/>
    <w:rsid w:val="007A3676"/>
    <w:rsid w:val="007A3DFF"/>
    <w:rsid w:val="007A66EE"/>
    <w:rsid w:val="007B03E9"/>
    <w:rsid w:val="007B04CF"/>
    <w:rsid w:val="007B0C8C"/>
    <w:rsid w:val="007B1470"/>
    <w:rsid w:val="007B16A6"/>
    <w:rsid w:val="007B1CCE"/>
    <w:rsid w:val="007B1CE4"/>
    <w:rsid w:val="007B2479"/>
    <w:rsid w:val="007B2CB6"/>
    <w:rsid w:val="007B2F4B"/>
    <w:rsid w:val="007B3BF3"/>
    <w:rsid w:val="007B47A6"/>
    <w:rsid w:val="007B6DA9"/>
    <w:rsid w:val="007B7345"/>
    <w:rsid w:val="007C0620"/>
    <w:rsid w:val="007C0DC5"/>
    <w:rsid w:val="007C0FBB"/>
    <w:rsid w:val="007C123F"/>
    <w:rsid w:val="007C1D65"/>
    <w:rsid w:val="007C25AB"/>
    <w:rsid w:val="007C28EB"/>
    <w:rsid w:val="007C29F3"/>
    <w:rsid w:val="007C2FE6"/>
    <w:rsid w:val="007C3CD4"/>
    <w:rsid w:val="007C3DB1"/>
    <w:rsid w:val="007C439A"/>
    <w:rsid w:val="007C49E0"/>
    <w:rsid w:val="007C6750"/>
    <w:rsid w:val="007C6F3A"/>
    <w:rsid w:val="007C7513"/>
    <w:rsid w:val="007C7943"/>
    <w:rsid w:val="007D0ED2"/>
    <w:rsid w:val="007D1DAF"/>
    <w:rsid w:val="007D2409"/>
    <w:rsid w:val="007D26B9"/>
    <w:rsid w:val="007D2894"/>
    <w:rsid w:val="007D3072"/>
    <w:rsid w:val="007D3887"/>
    <w:rsid w:val="007D3F91"/>
    <w:rsid w:val="007D5F5F"/>
    <w:rsid w:val="007D69D7"/>
    <w:rsid w:val="007D6C46"/>
    <w:rsid w:val="007D6D39"/>
    <w:rsid w:val="007D6F66"/>
    <w:rsid w:val="007D72B4"/>
    <w:rsid w:val="007D7EAF"/>
    <w:rsid w:val="007E04BC"/>
    <w:rsid w:val="007E0613"/>
    <w:rsid w:val="007E073B"/>
    <w:rsid w:val="007E16CD"/>
    <w:rsid w:val="007E1B4C"/>
    <w:rsid w:val="007E2FB6"/>
    <w:rsid w:val="007E3316"/>
    <w:rsid w:val="007E4261"/>
    <w:rsid w:val="007E4859"/>
    <w:rsid w:val="007E5C5E"/>
    <w:rsid w:val="007E5FBE"/>
    <w:rsid w:val="007E64FC"/>
    <w:rsid w:val="007E6546"/>
    <w:rsid w:val="007E6A56"/>
    <w:rsid w:val="007E761B"/>
    <w:rsid w:val="007E763B"/>
    <w:rsid w:val="007E7665"/>
    <w:rsid w:val="007E76A9"/>
    <w:rsid w:val="007E77DC"/>
    <w:rsid w:val="007E7BA2"/>
    <w:rsid w:val="007E7BC1"/>
    <w:rsid w:val="007F1E14"/>
    <w:rsid w:val="007F286B"/>
    <w:rsid w:val="007F2F6D"/>
    <w:rsid w:val="007F30A8"/>
    <w:rsid w:val="007F3712"/>
    <w:rsid w:val="007F3743"/>
    <w:rsid w:val="007F3757"/>
    <w:rsid w:val="007F3AA6"/>
    <w:rsid w:val="007F3FEE"/>
    <w:rsid w:val="007F3FF8"/>
    <w:rsid w:val="007F40C6"/>
    <w:rsid w:val="007F4338"/>
    <w:rsid w:val="007F4E96"/>
    <w:rsid w:val="007F5046"/>
    <w:rsid w:val="007F53C8"/>
    <w:rsid w:val="007F5A56"/>
    <w:rsid w:val="007F63C9"/>
    <w:rsid w:val="007F6549"/>
    <w:rsid w:val="007F7EF8"/>
    <w:rsid w:val="0080009C"/>
    <w:rsid w:val="008013A1"/>
    <w:rsid w:val="008023D1"/>
    <w:rsid w:val="00802444"/>
    <w:rsid w:val="008024E8"/>
    <w:rsid w:val="00802711"/>
    <w:rsid w:val="00803274"/>
    <w:rsid w:val="00803FA5"/>
    <w:rsid w:val="00804802"/>
    <w:rsid w:val="00804A5C"/>
    <w:rsid w:val="00804A74"/>
    <w:rsid w:val="0080514F"/>
    <w:rsid w:val="008059A6"/>
    <w:rsid w:val="00806248"/>
    <w:rsid w:val="0080677E"/>
    <w:rsid w:val="00806AB1"/>
    <w:rsid w:val="00806FA1"/>
    <w:rsid w:val="00807579"/>
    <w:rsid w:val="00810E32"/>
    <w:rsid w:val="00811399"/>
    <w:rsid w:val="00811ACB"/>
    <w:rsid w:val="00811C66"/>
    <w:rsid w:val="0081234B"/>
    <w:rsid w:val="00812D94"/>
    <w:rsid w:val="00813157"/>
    <w:rsid w:val="0081385C"/>
    <w:rsid w:val="0081410E"/>
    <w:rsid w:val="00814BF5"/>
    <w:rsid w:val="00814F04"/>
    <w:rsid w:val="00814FBB"/>
    <w:rsid w:val="00815375"/>
    <w:rsid w:val="008156C2"/>
    <w:rsid w:val="008158EF"/>
    <w:rsid w:val="00815F7B"/>
    <w:rsid w:val="00815FC5"/>
    <w:rsid w:val="00816850"/>
    <w:rsid w:val="00816A93"/>
    <w:rsid w:val="008175A4"/>
    <w:rsid w:val="008179D2"/>
    <w:rsid w:val="00817A9E"/>
    <w:rsid w:val="00820442"/>
    <w:rsid w:val="00820696"/>
    <w:rsid w:val="00820943"/>
    <w:rsid w:val="0082114D"/>
    <w:rsid w:val="00821819"/>
    <w:rsid w:val="008220A9"/>
    <w:rsid w:val="00822214"/>
    <w:rsid w:val="00822933"/>
    <w:rsid w:val="008234EA"/>
    <w:rsid w:val="00823540"/>
    <w:rsid w:val="008236F3"/>
    <w:rsid w:val="00823A83"/>
    <w:rsid w:val="008240B6"/>
    <w:rsid w:val="00824191"/>
    <w:rsid w:val="00824346"/>
    <w:rsid w:val="00824E67"/>
    <w:rsid w:val="00824FE5"/>
    <w:rsid w:val="00825173"/>
    <w:rsid w:val="008251EB"/>
    <w:rsid w:val="00825657"/>
    <w:rsid w:val="0082573B"/>
    <w:rsid w:val="00826495"/>
    <w:rsid w:val="00826663"/>
    <w:rsid w:val="00831046"/>
    <w:rsid w:val="00831B7E"/>
    <w:rsid w:val="0083334F"/>
    <w:rsid w:val="008341DB"/>
    <w:rsid w:val="00834406"/>
    <w:rsid w:val="00835519"/>
    <w:rsid w:val="00836831"/>
    <w:rsid w:val="00836C21"/>
    <w:rsid w:val="008370E6"/>
    <w:rsid w:val="00837C98"/>
    <w:rsid w:val="008402B6"/>
    <w:rsid w:val="00840545"/>
    <w:rsid w:val="0084097A"/>
    <w:rsid w:val="00842503"/>
    <w:rsid w:val="00842B6F"/>
    <w:rsid w:val="00843D3C"/>
    <w:rsid w:val="0084488A"/>
    <w:rsid w:val="00844998"/>
    <w:rsid w:val="00845490"/>
    <w:rsid w:val="008459DC"/>
    <w:rsid w:val="008465A6"/>
    <w:rsid w:val="00846A95"/>
    <w:rsid w:val="00846F1A"/>
    <w:rsid w:val="0084734A"/>
    <w:rsid w:val="00850100"/>
    <w:rsid w:val="0085015D"/>
    <w:rsid w:val="00850175"/>
    <w:rsid w:val="00851339"/>
    <w:rsid w:val="00851494"/>
    <w:rsid w:val="008515E4"/>
    <w:rsid w:val="00851777"/>
    <w:rsid w:val="00851D10"/>
    <w:rsid w:val="0085234C"/>
    <w:rsid w:val="00852D8B"/>
    <w:rsid w:val="00853586"/>
    <w:rsid w:val="00855685"/>
    <w:rsid w:val="00855B4A"/>
    <w:rsid w:val="00856AC4"/>
    <w:rsid w:val="00856E96"/>
    <w:rsid w:val="00857D1E"/>
    <w:rsid w:val="00860A4C"/>
    <w:rsid w:val="00860D90"/>
    <w:rsid w:val="00861E69"/>
    <w:rsid w:val="00861ED6"/>
    <w:rsid w:val="00864301"/>
    <w:rsid w:val="008647ED"/>
    <w:rsid w:val="00865225"/>
    <w:rsid w:val="00865841"/>
    <w:rsid w:val="008658BD"/>
    <w:rsid w:val="00866160"/>
    <w:rsid w:val="008666C3"/>
    <w:rsid w:val="008700C2"/>
    <w:rsid w:val="008707B4"/>
    <w:rsid w:val="00870ACA"/>
    <w:rsid w:val="00871863"/>
    <w:rsid w:val="00871C5E"/>
    <w:rsid w:val="00871D7C"/>
    <w:rsid w:val="00873D7C"/>
    <w:rsid w:val="0087452B"/>
    <w:rsid w:val="0087467C"/>
    <w:rsid w:val="00874D28"/>
    <w:rsid w:val="008769FE"/>
    <w:rsid w:val="00876A62"/>
    <w:rsid w:val="00876DF0"/>
    <w:rsid w:val="00876E8C"/>
    <w:rsid w:val="00877150"/>
    <w:rsid w:val="00877D9F"/>
    <w:rsid w:val="008801D6"/>
    <w:rsid w:val="00882D12"/>
    <w:rsid w:val="00882D8A"/>
    <w:rsid w:val="00883BF4"/>
    <w:rsid w:val="00884268"/>
    <w:rsid w:val="008847B5"/>
    <w:rsid w:val="00885558"/>
    <w:rsid w:val="00885B74"/>
    <w:rsid w:val="00885FD3"/>
    <w:rsid w:val="00886071"/>
    <w:rsid w:val="00887044"/>
    <w:rsid w:val="008870D7"/>
    <w:rsid w:val="0088710F"/>
    <w:rsid w:val="00887722"/>
    <w:rsid w:val="00890BAF"/>
    <w:rsid w:val="00890CC3"/>
    <w:rsid w:val="00891272"/>
    <w:rsid w:val="00891364"/>
    <w:rsid w:val="008918B5"/>
    <w:rsid w:val="00891DC1"/>
    <w:rsid w:val="008920F2"/>
    <w:rsid w:val="008921DA"/>
    <w:rsid w:val="008925B5"/>
    <w:rsid w:val="00893931"/>
    <w:rsid w:val="00893C9D"/>
    <w:rsid w:val="00894305"/>
    <w:rsid w:val="008943CD"/>
    <w:rsid w:val="00894D03"/>
    <w:rsid w:val="008956CD"/>
    <w:rsid w:val="00895EF8"/>
    <w:rsid w:val="00896248"/>
    <w:rsid w:val="00896CB1"/>
    <w:rsid w:val="00897CDA"/>
    <w:rsid w:val="00897D2A"/>
    <w:rsid w:val="00897D5F"/>
    <w:rsid w:val="008A0082"/>
    <w:rsid w:val="008A0245"/>
    <w:rsid w:val="008A0690"/>
    <w:rsid w:val="008A0ED2"/>
    <w:rsid w:val="008A1C18"/>
    <w:rsid w:val="008A1E1A"/>
    <w:rsid w:val="008A22EC"/>
    <w:rsid w:val="008A2C18"/>
    <w:rsid w:val="008A320F"/>
    <w:rsid w:val="008A36F0"/>
    <w:rsid w:val="008A47B4"/>
    <w:rsid w:val="008A4B01"/>
    <w:rsid w:val="008A5C51"/>
    <w:rsid w:val="008A5FE8"/>
    <w:rsid w:val="008A736F"/>
    <w:rsid w:val="008A74B1"/>
    <w:rsid w:val="008B0738"/>
    <w:rsid w:val="008B17FE"/>
    <w:rsid w:val="008B586F"/>
    <w:rsid w:val="008B6632"/>
    <w:rsid w:val="008B6AF3"/>
    <w:rsid w:val="008B734C"/>
    <w:rsid w:val="008B7B09"/>
    <w:rsid w:val="008B7B55"/>
    <w:rsid w:val="008B7CBA"/>
    <w:rsid w:val="008B7F80"/>
    <w:rsid w:val="008C00E9"/>
    <w:rsid w:val="008C08B1"/>
    <w:rsid w:val="008C132A"/>
    <w:rsid w:val="008C212B"/>
    <w:rsid w:val="008C2892"/>
    <w:rsid w:val="008C2AA1"/>
    <w:rsid w:val="008C2D6E"/>
    <w:rsid w:val="008C33DD"/>
    <w:rsid w:val="008C35B6"/>
    <w:rsid w:val="008C5123"/>
    <w:rsid w:val="008C5605"/>
    <w:rsid w:val="008C5608"/>
    <w:rsid w:val="008C58D5"/>
    <w:rsid w:val="008C6196"/>
    <w:rsid w:val="008C686A"/>
    <w:rsid w:val="008C72B7"/>
    <w:rsid w:val="008C75AE"/>
    <w:rsid w:val="008C7D64"/>
    <w:rsid w:val="008D0F2B"/>
    <w:rsid w:val="008D1107"/>
    <w:rsid w:val="008D18A8"/>
    <w:rsid w:val="008D1D4E"/>
    <w:rsid w:val="008D23B7"/>
    <w:rsid w:val="008D5418"/>
    <w:rsid w:val="008D54D4"/>
    <w:rsid w:val="008D5A89"/>
    <w:rsid w:val="008D5C47"/>
    <w:rsid w:val="008D6420"/>
    <w:rsid w:val="008E0051"/>
    <w:rsid w:val="008E0BED"/>
    <w:rsid w:val="008E20BD"/>
    <w:rsid w:val="008E242E"/>
    <w:rsid w:val="008E243B"/>
    <w:rsid w:val="008E2596"/>
    <w:rsid w:val="008E33D8"/>
    <w:rsid w:val="008E3EFF"/>
    <w:rsid w:val="008E3F08"/>
    <w:rsid w:val="008E4BC3"/>
    <w:rsid w:val="008E4D76"/>
    <w:rsid w:val="008E4EDC"/>
    <w:rsid w:val="008E53DA"/>
    <w:rsid w:val="008E54AE"/>
    <w:rsid w:val="008E5614"/>
    <w:rsid w:val="008E59C6"/>
    <w:rsid w:val="008E6388"/>
    <w:rsid w:val="008E6D25"/>
    <w:rsid w:val="008E7A47"/>
    <w:rsid w:val="008F01C6"/>
    <w:rsid w:val="008F0546"/>
    <w:rsid w:val="008F0AE9"/>
    <w:rsid w:val="008F2BDF"/>
    <w:rsid w:val="008F40D7"/>
    <w:rsid w:val="008F4A1A"/>
    <w:rsid w:val="008F4B6B"/>
    <w:rsid w:val="008F4DBD"/>
    <w:rsid w:val="008F4E66"/>
    <w:rsid w:val="008F4F96"/>
    <w:rsid w:val="008F5EEB"/>
    <w:rsid w:val="008F66BB"/>
    <w:rsid w:val="008F7C0F"/>
    <w:rsid w:val="008F7DAF"/>
    <w:rsid w:val="0090003F"/>
    <w:rsid w:val="00900DBF"/>
    <w:rsid w:val="0090274F"/>
    <w:rsid w:val="00903D63"/>
    <w:rsid w:val="0090424C"/>
    <w:rsid w:val="00904422"/>
    <w:rsid w:val="0090494C"/>
    <w:rsid w:val="009060EE"/>
    <w:rsid w:val="00906480"/>
    <w:rsid w:val="00906A04"/>
    <w:rsid w:val="00906E6B"/>
    <w:rsid w:val="009074D7"/>
    <w:rsid w:val="009075A1"/>
    <w:rsid w:val="00907A7E"/>
    <w:rsid w:val="00907EFB"/>
    <w:rsid w:val="009108B6"/>
    <w:rsid w:val="00910EF6"/>
    <w:rsid w:val="009111BE"/>
    <w:rsid w:val="00911AF0"/>
    <w:rsid w:val="00912644"/>
    <w:rsid w:val="00912F2E"/>
    <w:rsid w:val="00913D18"/>
    <w:rsid w:val="00914333"/>
    <w:rsid w:val="00914771"/>
    <w:rsid w:val="009157AF"/>
    <w:rsid w:val="00915A17"/>
    <w:rsid w:val="00915C90"/>
    <w:rsid w:val="00916CC2"/>
    <w:rsid w:val="00917249"/>
    <w:rsid w:val="00920843"/>
    <w:rsid w:val="009218E3"/>
    <w:rsid w:val="009219DC"/>
    <w:rsid w:val="00921B41"/>
    <w:rsid w:val="009221D1"/>
    <w:rsid w:val="00923217"/>
    <w:rsid w:val="009236C4"/>
    <w:rsid w:val="00923750"/>
    <w:rsid w:val="00923C3C"/>
    <w:rsid w:val="00924064"/>
    <w:rsid w:val="009253AA"/>
    <w:rsid w:val="00925474"/>
    <w:rsid w:val="00925E02"/>
    <w:rsid w:val="009273AF"/>
    <w:rsid w:val="009279EA"/>
    <w:rsid w:val="00927E7B"/>
    <w:rsid w:val="00927EEA"/>
    <w:rsid w:val="0093074B"/>
    <w:rsid w:val="009310C1"/>
    <w:rsid w:val="00931238"/>
    <w:rsid w:val="009312CE"/>
    <w:rsid w:val="0093245B"/>
    <w:rsid w:val="009326E2"/>
    <w:rsid w:val="00934C37"/>
    <w:rsid w:val="00934F66"/>
    <w:rsid w:val="0093534F"/>
    <w:rsid w:val="00935640"/>
    <w:rsid w:val="0093783D"/>
    <w:rsid w:val="0094012C"/>
    <w:rsid w:val="00940D6F"/>
    <w:rsid w:val="00942672"/>
    <w:rsid w:val="009432E2"/>
    <w:rsid w:val="009433C9"/>
    <w:rsid w:val="00943826"/>
    <w:rsid w:val="009446A1"/>
    <w:rsid w:val="00944A02"/>
    <w:rsid w:val="00944C71"/>
    <w:rsid w:val="009450FB"/>
    <w:rsid w:val="00945254"/>
    <w:rsid w:val="009466C3"/>
    <w:rsid w:val="0094697A"/>
    <w:rsid w:val="00951D28"/>
    <w:rsid w:val="00951F65"/>
    <w:rsid w:val="00952036"/>
    <w:rsid w:val="0095204A"/>
    <w:rsid w:val="00952B5D"/>
    <w:rsid w:val="00953633"/>
    <w:rsid w:val="00953EE8"/>
    <w:rsid w:val="00954755"/>
    <w:rsid w:val="009548DB"/>
    <w:rsid w:val="00954DDF"/>
    <w:rsid w:val="00955283"/>
    <w:rsid w:val="00955298"/>
    <w:rsid w:val="009603FD"/>
    <w:rsid w:val="00961A65"/>
    <w:rsid w:val="00962B3B"/>
    <w:rsid w:val="00963282"/>
    <w:rsid w:val="009637C5"/>
    <w:rsid w:val="009639C8"/>
    <w:rsid w:val="0096449B"/>
    <w:rsid w:val="00964593"/>
    <w:rsid w:val="00964ABC"/>
    <w:rsid w:val="00964D33"/>
    <w:rsid w:val="00964DD1"/>
    <w:rsid w:val="00965D36"/>
    <w:rsid w:val="0096619A"/>
    <w:rsid w:val="00966C0C"/>
    <w:rsid w:val="00967801"/>
    <w:rsid w:val="00970578"/>
    <w:rsid w:val="00970584"/>
    <w:rsid w:val="0097079E"/>
    <w:rsid w:val="00970EB2"/>
    <w:rsid w:val="0097196F"/>
    <w:rsid w:val="0097218D"/>
    <w:rsid w:val="009722BA"/>
    <w:rsid w:val="009725BF"/>
    <w:rsid w:val="00972825"/>
    <w:rsid w:val="0097388D"/>
    <w:rsid w:val="009742A0"/>
    <w:rsid w:val="009744BA"/>
    <w:rsid w:val="00974C33"/>
    <w:rsid w:val="00975851"/>
    <w:rsid w:val="00976AB8"/>
    <w:rsid w:val="00976F44"/>
    <w:rsid w:val="0097706F"/>
    <w:rsid w:val="009771F2"/>
    <w:rsid w:val="0097744C"/>
    <w:rsid w:val="00977D9F"/>
    <w:rsid w:val="009800F4"/>
    <w:rsid w:val="009815CD"/>
    <w:rsid w:val="00982354"/>
    <w:rsid w:val="0098335E"/>
    <w:rsid w:val="0098358C"/>
    <w:rsid w:val="009838D4"/>
    <w:rsid w:val="0098420C"/>
    <w:rsid w:val="00984A47"/>
    <w:rsid w:val="00984A7B"/>
    <w:rsid w:val="00984D54"/>
    <w:rsid w:val="00984E4D"/>
    <w:rsid w:val="009857CB"/>
    <w:rsid w:val="00986803"/>
    <w:rsid w:val="00986EA9"/>
    <w:rsid w:val="00990221"/>
    <w:rsid w:val="00991A6E"/>
    <w:rsid w:val="009920AE"/>
    <w:rsid w:val="00992436"/>
    <w:rsid w:val="0099302F"/>
    <w:rsid w:val="00994E3A"/>
    <w:rsid w:val="009953A2"/>
    <w:rsid w:val="009955B8"/>
    <w:rsid w:val="00995F1F"/>
    <w:rsid w:val="00996AD8"/>
    <w:rsid w:val="00996FCA"/>
    <w:rsid w:val="009973E6"/>
    <w:rsid w:val="009A03FF"/>
    <w:rsid w:val="009A2161"/>
    <w:rsid w:val="009A40E2"/>
    <w:rsid w:val="009A5F83"/>
    <w:rsid w:val="009A68DF"/>
    <w:rsid w:val="009A6B5B"/>
    <w:rsid w:val="009A6E16"/>
    <w:rsid w:val="009A7B88"/>
    <w:rsid w:val="009A7CB0"/>
    <w:rsid w:val="009A7ED8"/>
    <w:rsid w:val="009B0DD9"/>
    <w:rsid w:val="009B0F0E"/>
    <w:rsid w:val="009B15DC"/>
    <w:rsid w:val="009B2EC1"/>
    <w:rsid w:val="009B386C"/>
    <w:rsid w:val="009B4104"/>
    <w:rsid w:val="009B4798"/>
    <w:rsid w:val="009B5727"/>
    <w:rsid w:val="009B65F1"/>
    <w:rsid w:val="009B66BA"/>
    <w:rsid w:val="009B6C29"/>
    <w:rsid w:val="009B7D92"/>
    <w:rsid w:val="009C0031"/>
    <w:rsid w:val="009C02F5"/>
    <w:rsid w:val="009C033E"/>
    <w:rsid w:val="009C0475"/>
    <w:rsid w:val="009C053E"/>
    <w:rsid w:val="009C1035"/>
    <w:rsid w:val="009C193A"/>
    <w:rsid w:val="009C1FA2"/>
    <w:rsid w:val="009C225B"/>
    <w:rsid w:val="009C2652"/>
    <w:rsid w:val="009C2AB9"/>
    <w:rsid w:val="009C3CBF"/>
    <w:rsid w:val="009C3D77"/>
    <w:rsid w:val="009C44C5"/>
    <w:rsid w:val="009C45F5"/>
    <w:rsid w:val="009C5696"/>
    <w:rsid w:val="009C5AF0"/>
    <w:rsid w:val="009C5C62"/>
    <w:rsid w:val="009C603F"/>
    <w:rsid w:val="009C6191"/>
    <w:rsid w:val="009C667C"/>
    <w:rsid w:val="009C6D01"/>
    <w:rsid w:val="009C756C"/>
    <w:rsid w:val="009D03A1"/>
    <w:rsid w:val="009D0626"/>
    <w:rsid w:val="009D07AF"/>
    <w:rsid w:val="009D12B9"/>
    <w:rsid w:val="009D3AFA"/>
    <w:rsid w:val="009D4AE9"/>
    <w:rsid w:val="009D4D9F"/>
    <w:rsid w:val="009D5B53"/>
    <w:rsid w:val="009D6322"/>
    <w:rsid w:val="009D6BFE"/>
    <w:rsid w:val="009D6C1A"/>
    <w:rsid w:val="009D7846"/>
    <w:rsid w:val="009E05E4"/>
    <w:rsid w:val="009E32D8"/>
    <w:rsid w:val="009E352E"/>
    <w:rsid w:val="009E3870"/>
    <w:rsid w:val="009E3AF2"/>
    <w:rsid w:val="009E3EE3"/>
    <w:rsid w:val="009E42B2"/>
    <w:rsid w:val="009E4E9A"/>
    <w:rsid w:val="009E7754"/>
    <w:rsid w:val="009F0EE1"/>
    <w:rsid w:val="009F12E4"/>
    <w:rsid w:val="009F135C"/>
    <w:rsid w:val="009F1B8C"/>
    <w:rsid w:val="009F1F6F"/>
    <w:rsid w:val="009F227B"/>
    <w:rsid w:val="009F2793"/>
    <w:rsid w:val="009F2FA8"/>
    <w:rsid w:val="009F3AA3"/>
    <w:rsid w:val="009F458D"/>
    <w:rsid w:val="009F50C6"/>
    <w:rsid w:val="009F5288"/>
    <w:rsid w:val="009F5C94"/>
    <w:rsid w:val="009F5D34"/>
    <w:rsid w:val="009F6014"/>
    <w:rsid w:val="009F614F"/>
    <w:rsid w:val="009F63D3"/>
    <w:rsid w:val="009F654C"/>
    <w:rsid w:val="009F692B"/>
    <w:rsid w:val="009F69D4"/>
    <w:rsid w:val="009F6DB7"/>
    <w:rsid w:val="009F7178"/>
    <w:rsid w:val="009F7830"/>
    <w:rsid w:val="00A0116A"/>
    <w:rsid w:val="00A01C4F"/>
    <w:rsid w:val="00A0221C"/>
    <w:rsid w:val="00A03733"/>
    <w:rsid w:val="00A043EB"/>
    <w:rsid w:val="00A0460C"/>
    <w:rsid w:val="00A04DF2"/>
    <w:rsid w:val="00A05531"/>
    <w:rsid w:val="00A056E0"/>
    <w:rsid w:val="00A05AEF"/>
    <w:rsid w:val="00A0662A"/>
    <w:rsid w:val="00A07012"/>
    <w:rsid w:val="00A075DF"/>
    <w:rsid w:val="00A07AD1"/>
    <w:rsid w:val="00A10005"/>
    <w:rsid w:val="00A10150"/>
    <w:rsid w:val="00A1085B"/>
    <w:rsid w:val="00A108BE"/>
    <w:rsid w:val="00A10966"/>
    <w:rsid w:val="00A11469"/>
    <w:rsid w:val="00A115C4"/>
    <w:rsid w:val="00A12731"/>
    <w:rsid w:val="00A12B06"/>
    <w:rsid w:val="00A12D2F"/>
    <w:rsid w:val="00A13119"/>
    <w:rsid w:val="00A13DB2"/>
    <w:rsid w:val="00A14DD2"/>
    <w:rsid w:val="00A15AF0"/>
    <w:rsid w:val="00A1627E"/>
    <w:rsid w:val="00A16BCB"/>
    <w:rsid w:val="00A172A2"/>
    <w:rsid w:val="00A17F22"/>
    <w:rsid w:val="00A17FAE"/>
    <w:rsid w:val="00A20AAA"/>
    <w:rsid w:val="00A210E9"/>
    <w:rsid w:val="00A21E1E"/>
    <w:rsid w:val="00A228BE"/>
    <w:rsid w:val="00A230B9"/>
    <w:rsid w:val="00A2338F"/>
    <w:rsid w:val="00A238F4"/>
    <w:rsid w:val="00A23D93"/>
    <w:rsid w:val="00A24782"/>
    <w:rsid w:val="00A25528"/>
    <w:rsid w:val="00A25BD4"/>
    <w:rsid w:val="00A268A4"/>
    <w:rsid w:val="00A27C74"/>
    <w:rsid w:val="00A303E3"/>
    <w:rsid w:val="00A30ED7"/>
    <w:rsid w:val="00A31B81"/>
    <w:rsid w:val="00A31C78"/>
    <w:rsid w:val="00A31E38"/>
    <w:rsid w:val="00A3203D"/>
    <w:rsid w:val="00A322FC"/>
    <w:rsid w:val="00A328CC"/>
    <w:rsid w:val="00A32E8B"/>
    <w:rsid w:val="00A32EDC"/>
    <w:rsid w:val="00A332C2"/>
    <w:rsid w:val="00A33FEC"/>
    <w:rsid w:val="00A3459A"/>
    <w:rsid w:val="00A346D4"/>
    <w:rsid w:val="00A34A57"/>
    <w:rsid w:val="00A35917"/>
    <w:rsid w:val="00A3622A"/>
    <w:rsid w:val="00A3623A"/>
    <w:rsid w:val="00A36977"/>
    <w:rsid w:val="00A36F8D"/>
    <w:rsid w:val="00A37B73"/>
    <w:rsid w:val="00A37C86"/>
    <w:rsid w:val="00A4083D"/>
    <w:rsid w:val="00A40ABF"/>
    <w:rsid w:val="00A40C61"/>
    <w:rsid w:val="00A40E2B"/>
    <w:rsid w:val="00A40FF9"/>
    <w:rsid w:val="00A413B9"/>
    <w:rsid w:val="00A413DF"/>
    <w:rsid w:val="00A4189A"/>
    <w:rsid w:val="00A41AA2"/>
    <w:rsid w:val="00A42DFA"/>
    <w:rsid w:val="00A42E1F"/>
    <w:rsid w:val="00A442AF"/>
    <w:rsid w:val="00A44676"/>
    <w:rsid w:val="00A44832"/>
    <w:rsid w:val="00A44ECA"/>
    <w:rsid w:val="00A45420"/>
    <w:rsid w:val="00A45CFA"/>
    <w:rsid w:val="00A4634F"/>
    <w:rsid w:val="00A4660B"/>
    <w:rsid w:val="00A501B7"/>
    <w:rsid w:val="00A50527"/>
    <w:rsid w:val="00A514DD"/>
    <w:rsid w:val="00A5238C"/>
    <w:rsid w:val="00A528DE"/>
    <w:rsid w:val="00A52A06"/>
    <w:rsid w:val="00A52C1F"/>
    <w:rsid w:val="00A52FC2"/>
    <w:rsid w:val="00A532E2"/>
    <w:rsid w:val="00A533A6"/>
    <w:rsid w:val="00A533A8"/>
    <w:rsid w:val="00A53F4F"/>
    <w:rsid w:val="00A543E7"/>
    <w:rsid w:val="00A55782"/>
    <w:rsid w:val="00A5664F"/>
    <w:rsid w:val="00A56D31"/>
    <w:rsid w:val="00A57513"/>
    <w:rsid w:val="00A57F4C"/>
    <w:rsid w:val="00A60231"/>
    <w:rsid w:val="00A6025E"/>
    <w:rsid w:val="00A613C1"/>
    <w:rsid w:val="00A6181B"/>
    <w:rsid w:val="00A61D89"/>
    <w:rsid w:val="00A62BF7"/>
    <w:rsid w:val="00A64F33"/>
    <w:rsid w:val="00A65524"/>
    <w:rsid w:val="00A66F88"/>
    <w:rsid w:val="00A6772C"/>
    <w:rsid w:val="00A67D4E"/>
    <w:rsid w:val="00A67FF7"/>
    <w:rsid w:val="00A7074A"/>
    <w:rsid w:val="00A70B0E"/>
    <w:rsid w:val="00A72382"/>
    <w:rsid w:val="00A723D7"/>
    <w:rsid w:val="00A72760"/>
    <w:rsid w:val="00A7292C"/>
    <w:rsid w:val="00A7319C"/>
    <w:rsid w:val="00A7332E"/>
    <w:rsid w:val="00A733B0"/>
    <w:rsid w:val="00A735D2"/>
    <w:rsid w:val="00A739A8"/>
    <w:rsid w:val="00A743D6"/>
    <w:rsid w:val="00A74E03"/>
    <w:rsid w:val="00A7597D"/>
    <w:rsid w:val="00A76171"/>
    <w:rsid w:val="00A761A8"/>
    <w:rsid w:val="00A76296"/>
    <w:rsid w:val="00A763A9"/>
    <w:rsid w:val="00A77AAD"/>
    <w:rsid w:val="00A80184"/>
    <w:rsid w:val="00A81324"/>
    <w:rsid w:val="00A81922"/>
    <w:rsid w:val="00A822A2"/>
    <w:rsid w:val="00A84CD1"/>
    <w:rsid w:val="00A852C8"/>
    <w:rsid w:val="00A853D5"/>
    <w:rsid w:val="00A858A6"/>
    <w:rsid w:val="00A85E5D"/>
    <w:rsid w:val="00A85E67"/>
    <w:rsid w:val="00A860F5"/>
    <w:rsid w:val="00A86812"/>
    <w:rsid w:val="00A902E0"/>
    <w:rsid w:val="00A9150E"/>
    <w:rsid w:val="00A91EE2"/>
    <w:rsid w:val="00A927A6"/>
    <w:rsid w:val="00A92BBC"/>
    <w:rsid w:val="00A92D9B"/>
    <w:rsid w:val="00A93483"/>
    <w:rsid w:val="00A93513"/>
    <w:rsid w:val="00A93AF4"/>
    <w:rsid w:val="00A9579A"/>
    <w:rsid w:val="00A9585C"/>
    <w:rsid w:val="00A95E6D"/>
    <w:rsid w:val="00A96D1B"/>
    <w:rsid w:val="00A96E2B"/>
    <w:rsid w:val="00A979E1"/>
    <w:rsid w:val="00A979EC"/>
    <w:rsid w:val="00AA045C"/>
    <w:rsid w:val="00AA1CDE"/>
    <w:rsid w:val="00AA1DFB"/>
    <w:rsid w:val="00AA25A0"/>
    <w:rsid w:val="00AA25E7"/>
    <w:rsid w:val="00AA35D9"/>
    <w:rsid w:val="00AA3A18"/>
    <w:rsid w:val="00AA3D8F"/>
    <w:rsid w:val="00AA40DF"/>
    <w:rsid w:val="00AA4743"/>
    <w:rsid w:val="00AA4994"/>
    <w:rsid w:val="00AA54F6"/>
    <w:rsid w:val="00AA5709"/>
    <w:rsid w:val="00AA57EF"/>
    <w:rsid w:val="00AA5B0F"/>
    <w:rsid w:val="00AA60B9"/>
    <w:rsid w:val="00AA6A22"/>
    <w:rsid w:val="00AA6C11"/>
    <w:rsid w:val="00AA6D64"/>
    <w:rsid w:val="00AA7418"/>
    <w:rsid w:val="00AA7535"/>
    <w:rsid w:val="00AA7594"/>
    <w:rsid w:val="00AB02B6"/>
    <w:rsid w:val="00AB0D7F"/>
    <w:rsid w:val="00AB1215"/>
    <w:rsid w:val="00AB159D"/>
    <w:rsid w:val="00AB1982"/>
    <w:rsid w:val="00AB1BEC"/>
    <w:rsid w:val="00AB2AC2"/>
    <w:rsid w:val="00AB443C"/>
    <w:rsid w:val="00AB4598"/>
    <w:rsid w:val="00AB59B9"/>
    <w:rsid w:val="00AB5DEA"/>
    <w:rsid w:val="00AB61C2"/>
    <w:rsid w:val="00AB61D6"/>
    <w:rsid w:val="00AB6223"/>
    <w:rsid w:val="00AB69F2"/>
    <w:rsid w:val="00AB781A"/>
    <w:rsid w:val="00AB7B09"/>
    <w:rsid w:val="00AC016B"/>
    <w:rsid w:val="00AC0345"/>
    <w:rsid w:val="00AC1E1B"/>
    <w:rsid w:val="00AC231B"/>
    <w:rsid w:val="00AC2CF3"/>
    <w:rsid w:val="00AC2D4C"/>
    <w:rsid w:val="00AC3510"/>
    <w:rsid w:val="00AC5CA3"/>
    <w:rsid w:val="00AC642A"/>
    <w:rsid w:val="00AC65F4"/>
    <w:rsid w:val="00AC6CB2"/>
    <w:rsid w:val="00AC7DC0"/>
    <w:rsid w:val="00AD0F60"/>
    <w:rsid w:val="00AD1042"/>
    <w:rsid w:val="00AD155A"/>
    <w:rsid w:val="00AD15D2"/>
    <w:rsid w:val="00AD1B8E"/>
    <w:rsid w:val="00AD1D93"/>
    <w:rsid w:val="00AD2976"/>
    <w:rsid w:val="00AD2DD9"/>
    <w:rsid w:val="00AD398D"/>
    <w:rsid w:val="00AD39FB"/>
    <w:rsid w:val="00AD4EB5"/>
    <w:rsid w:val="00AD5656"/>
    <w:rsid w:val="00AD5F57"/>
    <w:rsid w:val="00AD6271"/>
    <w:rsid w:val="00AD6B37"/>
    <w:rsid w:val="00AD742A"/>
    <w:rsid w:val="00AD7FD7"/>
    <w:rsid w:val="00AE0349"/>
    <w:rsid w:val="00AE035B"/>
    <w:rsid w:val="00AE0363"/>
    <w:rsid w:val="00AE10AC"/>
    <w:rsid w:val="00AE1E5E"/>
    <w:rsid w:val="00AE2D15"/>
    <w:rsid w:val="00AE36DC"/>
    <w:rsid w:val="00AE3ABE"/>
    <w:rsid w:val="00AE3E5D"/>
    <w:rsid w:val="00AE4205"/>
    <w:rsid w:val="00AE45F3"/>
    <w:rsid w:val="00AE5413"/>
    <w:rsid w:val="00AE5AAB"/>
    <w:rsid w:val="00AE6F8D"/>
    <w:rsid w:val="00AE7EDB"/>
    <w:rsid w:val="00AF166E"/>
    <w:rsid w:val="00AF1DC0"/>
    <w:rsid w:val="00AF1E60"/>
    <w:rsid w:val="00AF1EEF"/>
    <w:rsid w:val="00AF20ED"/>
    <w:rsid w:val="00AF268F"/>
    <w:rsid w:val="00AF2896"/>
    <w:rsid w:val="00AF2E3D"/>
    <w:rsid w:val="00AF3EBE"/>
    <w:rsid w:val="00AF55DA"/>
    <w:rsid w:val="00AF6175"/>
    <w:rsid w:val="00AF67B9"/>
    <w:rsid w:val="00AF6ECB"/>
    <w:rsid w:val="00AF79DA"/>
    <w:rsid w:val="00B016A5"/>
    <w:rsid w:val="00B02E91"/>
    <w:rsid w:val="00B035FE"/>
    <w:rsid w:val="00B040DB"/>
    <w:rsid w:val="00B055F4"/>
    <w:rsid w:val="00B059B4"/>
    <w:rsid w:val="00B0623E"/>
    <w:rsid w:val="00B068AA"/>
    <w:rsid w:val="00B070AA"/>
    <w:rsid w:val="00B07345"/>
    <w:rsid w:val="00B078C7"/>
    <w:rsid w:val="00B07F8E"/>
    <w:rsid w:val="00B10C4E"/>
    <w:rsid w:val="00B111E1"/>
    <w:rsid w:val="00B11E6A"/>
    <w:rsid w:val="00B12205"/>
    <w:rsid w:val="00B12AFD"/>
    <w:rsid w:val="00B12E76"/>
    <w:rsid w:val="00B13425"/>
    <w:rsid w:val="00B137DF"/>
    <w:rsid w:val="00B141D8"/>
    <w:rsid w:val="00B15473"/>
    <w:rsid w:val="00B16511"/>
    <w:rsid w:val="00B1677C"/>
    <w:rsid w:val="00B169EB"/>
    <w:rsid w:val="00B16B6B"/>
    <w:rsid w:val="00B16C92"/>
    <w:rsid w:val="00B16C9E"/>
    <w:rsid w:val="00B172CE"/>
    <w:rsid w:val="00B17B8E"/>
    <w:rsid w:val="00B2050A"/>
    <w:rsid w:val="00B2115C"/>
    <w:rsid w:val="00B23770"/>
    <w:rsid w:val="00B23C02"/>
    <w:rsid w:val="00B24482"/>
    <w:rsid w:val="00B24D5B"/>
    <w:rsid w:val="00B25123"/>
    <w:rsid w:val="00B25526"/>
    <w:rsid w:val="00B25DC7"/>
    <w:rsid w:val="00B30021"/>
    <w:rsid w:val="00B30698"/>
    <w:rsid w:val="00B306E9"/>
    <w:rsid w:val="00B31E5D"/>
    <w:rsid w:val="00B31E84"/>
    <w:rsid w:val="00B321FF"/>
    <w:rsid w:val="00B322F8"/>
    <w:rsid w:val="00B324D3"/>
    <w:rsid w:val="00B32AF5"/>
    <w:rsid w:val="00B32E6F"/>
    <w:rsid w:val="00B33A7F"/>
    <w:rsid w:val="00B33EBC"/>
    <w:rsid w:val="00B340F4"/>
    <w:rsid w:val="00B3430D"/>
    <w:rsid w:val="00B353EE"/>
    <w:rsid w:val="00B35BF2"/>
    <w:rsid w:val="00B35F85"/>
    <w:rsid w:val="00B3668C"/>
    <w:rsid w:val="00B36D3E"/>
    <w:rsid w:val="00B400D6"/>
    <w:rsid w:val="00B40351"/>
    <w:rsid w:val="00B40B94"/>
    <w:rsid w:val="00B41707"/>
    <w:rsid w:val="00B41861"/>
    <w:rsid w:val="00B41D91"/>
    <w:rsid w:val="00B42D0B"/>
    <w:rsid w:val="00B42FE4"/>
    <w:rsid w:val="00B434DE"/>
    <w:rsid w:val="00B43CAB"/>
    <w:rsid w:val="00B442FC"/>
    <w:rsid w:val="00B44D98"/>
    <w:rsid w:val="00B44EFA"/>
    <w:rsid w:val="00B45578"/>
    <w:rsid w:val="00B461FB"/>
    <w:rsid w:val="00B464F6"/>
    <w:rsid w:val="00B469EC"/>
    <w:rsid w:val="00B46B42"/>
    <w:rsid w:val="00B46D4E"/>
    <w:rsid w:val="00B472B8"/>
    <w:rsid w:val="00B47B4B"/>
    <w:rsid w:val="00B506DA"/>
    <w:rsid w:val="00B50853"/>
    <w:rsid w:val="00B50A5A"/>
    <w:rsid w:val="00B50E39"/>
    <w:rsid w:val="00B51912"/>
    <w:rsid w:val="00B51E9E"/>
    <w:rsid w:val="00B539D9"/>
    <w:rsid w:val="00B53AF5"/>
    <w:rsid w:val="00B5528D"/>
    <w:rsid w:val="00B5593A"/>
    <w:rsid w:val="00B564EC"/>
    <w:rsid w:val="00B56AF0"/>
    <w:rsid w:val="00B56BD2"/>
    <w:rsid w:val="00B56D19"/>
    <w:rsid w:val="00B575F4"/>
    <w:rsid w:val="00B57E1C"/>
    <w:rsid w:val="00B6057A"/>
    <w:rsid w:val="00B6133D"/>
    <w:rsid w:val="00B6178C"/>
    <w:rsid w:val="00B61FFF"/>
    <w:rsid w:val="00B6223A"/>
    <w:rsid w:val="00B626D0"/>
    <w:rsid w:val="00B6278F"/>
    <w:rsid w:val="00B62DC8"/>
    <w:rsid w:val="00B62DDA"/>
    <w:rsid w:val="00B63233"/>
    <w:rsid w:val="00B64BED"/>
    <w:rsid w:val="00B64FD5"/>
    <w:rsid w:val="00B65363"/>
    <w:rsid w:val="00B66A8C"/>
    <w:rsid w:val="00B66B09"/>
    <w:rsid w:val="00B66BC6"/>
    <w:rsid w:val="00B66E7D"/>
    <w:rsid w:val="00B66FD2"/>
    <w:rsid w:val="00B70065"/>
    <w:rsid w:val="00B707CD"/>
    <w:rsid w:val="00B713EB"/>
    <w:rsid w:val="00B71E16"/>
    <w:rsid w:val="00B723D2"/>
    <w:rsid w:val="00B72530"/>
    <w:rsid w:val="00B73190"/>
    <w:rsid w:val="00B731AE"/>
    <w:rsid w:val="00B73FD6"/>
    <w:rsid w:val="00B74824"/>
    <w:rsid w:val="00B755F2"/>
    <w:rsid w:val="00B766DC"/>
    <w:rsid w:val="00B768D8"/>
    <w:rsid w:val="00B770E8"/>
    <w:rsid w:val="00B7740C"/>
    <w:rsid w:val="00B777B2"/>
    <w:rsid w:val="00B77CB5"/>
    <w:rsid w:val="00B804D8"/>
    <w:rsid w:val="00B805D7"/>
    <w:rsid w:val="00B80A0D"/>
    <w:rsid w:val="00B82332"/>
    <w:rsid w:val="00B827A5"/>
    <w:rsid w:val="00B82A4C"/>
    <w:rsid w:val="00B83251"/>
    <w:rsid w:val="00B8492D"/>
    <w:rsid w:val="00B84E38"/>
    <w:rsid w:val="00B84F48"/>
    <w:rsid w:val="00B851F1"/>
    <w:rsid w:val="00B854DE"/>
    <w:rsid w:val="00B86777"/>
    <w:rsid w:val="00B878EE"/>
    <w:rsid w:val="00B90490"/>
    <w:rsid w:val="00B90F92"/>
    <w:rsid w:val="00B9182A"/>
    <w:rsid w:val="00B922F5"/>
    <w:rsid w:val="00B92A85"/>
    <w:rsid w:val="00B9350C"/>
    <w:rsid w:val="00B93735"/>
    <w:rsid w:val="00B94583"/>
    <w:rsid w:val="00B94742"/>
    <w:rsid w:val="00B95009"/>
    <w:rsid w:val="00B969CD"/>
    <w:rsid w:val="00B96AE2"/>
    <w:rsid w:val="00B97471"/>
    <w:rsid w:val="00B978EB"/>
    <w:rsid w:val="00B97B33"/>
    <w:rsid w:val="00B97DAD"/>
    <w:rsid w:val="00BA0403"/>
    <w:rsid w:val="00BA0668"/>
    <w:rsid w:val="00BA1045"/>
    <w:rsid w:val="00BA1FAB"/>
    <w:rsid w:val="00BA2791"/>
    <w:rsid w:val="00BA2B9A"/>
    <w:rsid w:val="00BA3187"/>
    <w:rsid w:val="00BA332F"/>
    <w:rsid w:val="00BA38E5"/>
    <w:rsid w:val="00BA3A1E"/>
    <w:rsid w:val="00BA3BD0"/>
    <w:rsid w:val="00BA3F74"/>
    <w:rsid w:val="00BA45A6"/>
    <w:rsid w:val="00BA4CAD"/>
    <w:rsid w:val="00BA56E1"/>
    <w:rsid w:val="00BA5A85"/>
    <w:rsid w:val="00BA60D6"/>
    <w:rsid w:val="00BA6FDE"/>
    <w:rsid w:val="00BA6FFD"/>
    <w:rsid w:val="00BA7178"/>
    <w:rsid w:val="00BA73D0"/>
    <w:rsid w:val="00BA75DB"/>
    <w:rsid w:val="00BA75E4"/>
    <w:rsid w:val="00BA7727"/>
    <w:rsid w:val="00BB0058"/>
    <w:rsid w:val="00BB0132"/>
    <w:rsid w:val="00BB03A9"/>
    <w:rsid w:val="00BB19E7"/>
    <w:rsid w:val="00BB1C01"/>
    <w:rsid w:val="00BB3026"/>
    <w:rsid w:val="00BB38CB"/>
    <w:rsid w:val="00BB38ED"/>
    <w:rsid w:val="00BB3922"/>
    <w:rsid w:val="00BB3DB8"/>
    <w:rsid w:val="00BB3ED5"/>
    <w:rsid w:val="00BB430C"/>
    <w:rsid w:val="00BB4817"/>
    <w:rsid w:val="00BB494B"/>
    <w:rsid w:val="00BB4953"/>
    <w:rsid w:val="00BB4EB0"/>
    <w:rsid w:val="00BB541A"/>
    <w:rsid w:val="00BB602F"/>
    <w:rsid w:val="00BB640D"/>
    <w:rsid w:val="00BB6F23"/>
    <w:rsid w:val="00BB7E89"/>
    <w:rsid w:val="00BC162E"/>
    <w:rsid w:val="00BC1FA0"/>
    <w:rsid w:val="00BC21FC"/>
    <w:rsid w:val="00BC34C7"/>
    <w:rsid w:val="00BC3FD1"/>
    <w:rsid w:val="00BC4576"/>
    <w:rsid w:val="00BC4E6C"/>
    <w:rsid w:val="00BC708C"/>
    <w:rsid w:val="00BC7315"/>
    <w:rsid w:val="00BC783B"/>
    <w:rsid w:val="00BC7C5B"/>
    <w:rsid w:val="00BC7F36"/>
    <w:rsid w:val="00BD0938"/>
    <w:rsid w:val="00BD0C1C"/>
    <w:rsid w:val="00BD0C7B"/>
    <w:rsid w:val="00BD33CB"/>
    <w:rsid w:val="00BD5431"/>
    <w:rsid w:val="00BD5B7D"/>
    <w:rsid w:val="00BD6032"/>
    <w:rsid w:val="00BD605C"/>
    <w:rsid w:val="00BD60F5"/>
    <w:rsid w:val="00BD65CD"/>
    <w:rsid w:val="00BD67C8"/>
    <w:rsid w:val="00BD6F7E"/>
    <w:rsid w:val="00BD7BDD"/>
    <w:rsid w:val="00BE0B57"/>
    <w:rsid w:val="00BE0DC8"/>
    <w:rsid w:val="00BE0E44"/>
    <w:rsid w:val="00BE143F"/>
    <w:rsid w:val="00BE213C"/>
    <w:rsid w:val="00BE24EE"/>
    <w:rsid w:val="00BE2821"/>
    <w:rsid w:val="00BE2876"/>
    <w:rsid w:val="00BE2A57"/>
    <w:rsid w:val="00BE2DE8"/>
    <w:rsid w:val="00BE504A"/>
    <w:rsid w:val="00BE56D7"/>
    <w:rsid w:val="00BE682C"/>
    <w:rsid w:val="00BE6AF3"/>
    <w:rsid w:val="00BE6CBA"/>
    <w:rsid w:val="00BE714D"/>
    <w:rsid w:val="00BF01C1"/>
    <w:rsid w:val="00BF14FE"/>
    <w:rsid w:val="00BF2189"/>
    <w:rsid w:val="00BF2461"/>
    <w:rsid w:val="00BF3846"/>
    <w:rsid w:val="00BF3B7A"/>
    <w:rsid w:val="00BF3F90"/>
    <w:rsid w:val="00BF490A"/>
    <w:rsid w:val="00BF49B9"/>
    <w:rsid w:val="00BF49FA"/>
    <w:rsid w:val="00BF5508"/>
    <w:rsid w:val="00BF5E90"/>
    <w:rsid w:val="00BF5EEB"/>
    <w:rsid w:val="00BF60C8"/>
    <w:rsid w:val="00BF73F8"/>
    <w:rsid w:val="00C0041D"/>
    <w:rsid w:val="00C009D9"/>
    <w:rsid w:val="00C00F9B"/>
    <w:rsid w:val="00C0145B"/>
    <w:rsid w:val="00C04CD5"/>
    <w:rsid w:val="00C04DBE"/>
    <w:rsid w:val="00C04F1E"/>
    <w:rsid w:val="00C059C4"/>
    <w:rsid w:val="00C060FB"/>
    <w:rsid w:val="00C0657C"/>
    <w:rsid w:val="00C0679F"/>
    <w:rsid w:val="00C07F48"/>
    <w:rsid w:val="00C07FDF"/>
    <w:rsid w:val="00C1185A"/>
    <w:rsid w:val="00C1359E"/>
    <w:rsid w:val="00C13E4F"/>
    <w:rsid w:val="00C14181"/>
    <w:rsid w:val="00C1483B"/>
    <w:rsid w:val="00C148E8"/>
    <w:rsid w:val="00C14BF5"/>
    <w:rsid w:val="00C14E38"/>
    <w:rsid w:val="00C151B2"/>
    <w:rsid w:val="00C15350"/>
    <w:rsid w:val="00C15946"/>
    <w:rsid w:val="00C15E46"/>
    <w:rsid w:val="00C16E58"/>
    <w:rsid w:val="00C17A0F"/>
    <w:rsid w:val="00C17FEB"/>
    <w:rsid w:val="00C20A73"/>
    <w:rsid w:val="00C20C4D"/>
    <w:rsid w:val="00C21E32"/>
    <w:rsid w:val="00C21F25"/>
    <w:rsid w:val="00C21F5F"/>
    <w:rsid w:val="00C225F3"/>
    <w:rsid w:val="00C22CDA"/>
    <w:rsid w:val="00C23E67"/>
    <w:rsid w:val="00C24065"/>
    <w:rsid w:val="00C245F4"/>
    <w:rsid w:val="00C24B79"/>
    <w:rsid w:val="00C25ADF"/>
    <w:rsid w:val="00C25D1B"/>
    <w:rsid w:val="00C262D8"/>
    <w:rsid w:val="00C266B4"/>
    <w:rsid w:val="00C267C1"/>
    <w:rsid w:val="00C26B00"/>
    <w:rsid w:val="00C26B0A"/>
    <w:rsid w:val="00C271EA"/>
    <w:rsid w:val="00C27296"/>
    <w:rsid w:val="00C2760A"/>
    <w:rsid w:val="00C276BF"/>
    <w:rsid w:val="00C3037C"/>
    <w:rsid w:val="00C30468"/>
    <w:rsid w:val="00C31446"/>
    <w:rsid w:val="00C31AAA"/>
    <w:rsid w:val="00C31EBA"/>
    <w:rsid w:val="00C31F9A"/>
    <w:rsid w:val="00C3308E"/>
    <w:rsid w:val="00C330F8"/>
    <w:rsid w:val="00C335FE"/>
    <w:rsid w:val="00C33D8B"/>
    <w:rsid w:val="00C33F54"/>
    <w:rsid w:val="00C351BE"/>
    <w:rsid w:val="00C35E1B"/>
    <w:rsid w:val="00C369EB"/>
    <w:rsid w:val="00C36EF1"/>
    <w:rsid w:val="00C36FBA"/>
    <w:rsid w:val="00C37B12"/>
    <w:rsid w:val="00C408C4"/>
    <w:rsid w:val="00C40906"/>
    <w:rsid w:val="00C40B2A"/>
    <w:rsid w:val="00C40D0C"/>
    <w:rsid w:val="00C41162"/>
    <w:rsid w:val="00C41425"/>
    <w:rsid w:val="00C41664"/>
    <w:rsid w:val="00C417C8"/>
    <w:rsid w:val="00C419C4"/>
    <w:rsid w:val="00C424D4"/>
    <w:rsid w:val="00C425F4"/>
    <w:rsid w:val="00C426D1"/>
    <w:rsid w:val="00C44061"/>
    <w:rsid w:val="00C445F1"/>
    <w:rsid w:val="00C450D6"/>
    <w:rsid w:val="00C4548C"/>
    <w:rsid w:val="00C456A3"/>
    <w:rsid w:val="00C45854"/>
    <w:rsid w:val="00C50BE4"/>
    <w:rsid w:val="00C510FB"/>
    <w:rsid w:val="00C51205"/>
    <w:rsid w:val="00C517B1"/>
    <w:rsid w:val="00C519BD"/>
    <w:rsid w:val="00C524EC"/>
    <w:rsid w:val="00C5264C"/>
    <w:rsid w:val="00C53377"/>
    <w:rsid w:val="00C5344D"/>
    <w:rsid w:val="00C53833"/>
    <w:rsid w:val="00C540B7"/>
    <w:rsid w:val="00C558E0"/>
    <w:rsid w:val="00C565B6"/>
    <w:rsid w:val="00C566CF"/>
    <w:rsid w:val="00C56A5E"/>
    <w:rsid w:val="00C56FEA"/>
    <w:rsid w:val="00C57051"/>
    <w:rsid w:val="00C5737A"/>
    <w:rsid w:val="00C577CB"/>
    <w:rsid w:val="00C60510"/>
    <w:rsid w:val="00C60B50"/>
    <w:rsid w:val="00C61600"/>
    <w:rsid w:val="00C6187A"/>
    <w:rsid w:val="00C61A09"/>
    <w:rsid w:val="00C61BC5"/>
    <w:rsid w:val="00C627E6"/>
    <w:rsid w:val="00C62AC1"/>
    <w:rsid w:val="00C63D4E"/>
    <w:rsid w:val="00C64059"/>
    <w:rsid w:val="00C64295"/>
    <w:rsid w:val="00C642C2"/>
    <w:rsid w:val="00C64500"/>
    <w:rsid w:val="00C64C43"/>
    <w:rsid w:val="00C64FCC"/>
    <w:rsid w:val="00C65553"/>
    <w:rsid w:val="00C65CEF"/>
    <w:rsid w:val="00C667E2"/>
    <w:rsid w:val="00C67A8F"/>
    <w:rsid w:val="00C67EA0"/>
    <w:rsid w:val="00C7024D"/>
    <w:rsid w:val="00C70519"/>
    <w:rsid w:val="00C708C2"/>
    <w:rsid w:val="00C70CB5"/>
    <w:rsid w:val="00C711DB"/>
    <w:rsid w:val="00C7132D"/>
    <w:rsid w:val="00C71560"/>
    <w:rsid w:val="00C71DDF"/>
    <w:rsid w:val="00C7288E"/>
    <w:rsid w:val="00C72B3A"/>
    <w:rsid w:val="00C73322"/>
    <w:rsid w:val="00C74E58"/>
    <w:rsid w:val="00C75909"/>
    <w:rsid w:val="00C768DE"/>
    <w:rsid w:val="00C76B2D"/>
    <w:rsid w:val="00C76E23"/>
    <w:rsid w:val="00C7731E"/>
    <w:rsid w:val="00C77769"/>
    <w:rsid w:val="00C80377"/>
    <w:rsid w:val="00C80818"/>
    <w:rsid w:val="00C81494"/>
    <w:rsid w:val="00C82192"/>
    <w:rsid w:val="00C828F7"/>
    <w:rsid w:val="00C83400"/>
    <w:rsid w:val="00C853E2"/>
    <w:rsid w:val="00C863A1"/>
    <w:rsid w:val="00C86B00"/>
    <w:rsid w:val="00C87213"/>
    <w:rsid w:val="00C876AC"/>
    <w:rsid w:val="00C8788B"/>
    <w:rsid w:val="00C8795B"/>
    <w:rsid w:val="00C87DD4"/>
    <w:rsid w:val="00C87EFB"/>
    <w:rsid w:val="00C90BA4"/>
    <w:rsid w:val="00C90CD7"/>
    <w:rsid w:val="00C9207D"/>
    <w:rsid w:val="00C925AB"/>
    <w:rsid w:val="00C92FE0"/>
    <w:rsid w:val="00C93ECD"/>
    <w:rsid w:val="00C95080"/>
    <w:rsid w:val="00C95758"/>
    <w:rsid w:val="00C9640A"/>
    <w:rsid w:val="00C96EAB"/>
    <w:rsid w:val="00C97EEA"/>
    <w:rsid w:val="00CA09E1"/>
    <w:rsid w:val="00CA1095"/>
    <w:rsid w:val="00CA2901"/>
    <w:rsid w:val="00CA2B43"/>
    <w:rsid w:val="00CA4147"/>
    <w:rsid w:val="00CA42EF"/>
    <w:rsid w:val="00CA4BE8"/>
    <w:rsid w:val="00CA510A"/>
    <w:rsid w:val="00CA53A6"/>
    <w:rsid w:val="00CA5AF6"/>
    <w:rsid w:val="00CA6C8C"/>
    <w:rsid w:val="00CA768A"/>
    <w:rsid w:val="00CA77CE"/>
    <w:rsid w:val="00CA7C24"/>
    <w:rsid w:val="00CB0523"/>
    <w:rsid w:val="00CB07EF"/>
    <w:rsid w:val="00CB084E"/>
    <w:rsid w:val="00CB0928"/>
    <w:rsid w:val="00CB1101"/>
    <w:rsid w:val="00CB11CA"/>
    <w:rsid w:val="00CB11F1"/>
    <w:rsid w:val="00CB1859"/>
    <w:rsid w:val="00CB1DE9"/>
    <w:rsid w:val="00CB1ECE"/>
    <w:rsid w:val="00CB3A4C"/>
    <w:rsid w:val="00CB3DB7"/>
    <w:rsid w:val="00CB4713"/>
    <w:rsid w:val="00CB508E"/>
    <w:rsid w:val="00CB53E3"/>
    <w:rsid w:val="00CB612C"/>
    <w:rsid w:val="00CB6138"/>
    <w:rsid w:val="00CB663B"/>
    <w:rsid w:val="00CB6788"/>
    <w:rsid w:val="00CB7081"/>
    <w:rsid w:val="00CB72ED"/>
    <w:rsid w:val="00CB7C23"/>
    <w:rsid w:val="00CB7E3E"/>
    <w:rsid w:val="00CC019C"/>
    <w:rsid w:val="00CC149C"/>
    <w:rsid w:val="00CC151E"/>
    <w:rsid w:val="00CC1D75"/>
    <w:rsid w:val="00CC3453"/>
    <w:rsid w:val="00CC5763"/>
    <w:rsid w:val="00CC5C12"/>
    <w:rsid w:val="00CC6C20"/>
    <w:rsid w:val="00CC6DF4"/>
    <w:rsid w:val="00CD0977"/>
    <w:rsid w:val="00CD0A84"/>
    <w:rsid w:val="00CD1DC2"/>
    <w:rsid w:val="00CD1E20"/>
    <w:rsid w:val="00CD26B1"/>
    <w:rsid w:val="00CD2B0D"/>
    <w:rsid w:val="00CD3248"/>
    <w:rsid w:val="00CD3BB4"/>
    <w:rsid w:val="00CD3C64"/>
    <w:rsid w:val="00CD50F3"/>
    <w:rsid w:val="00CD541B"/>
    <w:rsid w:val="00CD5ABE"/>
    <w:rsid w:val="00CD5F23"/>
    <w:rsid w:val="00CD6B28"/>
    <w:rsid w:val="00CE162C"/>
    <w:rsid w:val="00CE47B4"/>
    <w:rsid w:val="00CE5AC0"/>
    <w:rsid w:val="00CE6D28"/>
    <w:rsid w:val="00CE712F"/>
    <w:rsid w:val="00CE72C4"/>
    <w:rsid w:val="00CE7399"/>
    <w:rsid w:val="00CE7919"/>
    <w:rsid w:val="00CF05FD"/>
    <w:rsid w:val="00CF3175"/>
    <w:rsid w:val="00CF33EF"/>
    <w:rsid w:val="00CF463F"/>
    <w:rsid w:val="00CF4723"/>
    <w:rsid w:val="00CF4D3E"/>
    <w:rsid w:val="00CF5126"/>
    <w:rsid w:val="00CF51BB"/>
    <w:rsid w:val="00CF69F4"/>
    <w:rsid w:val="00D0260C"/>
    <w:rsid w:val="00D02D7E"/>
    <w:rsid w:val="00D02EEA"/>
    <w:rsid w:val="00D036C3"/>
    <w:rsid w:val="00D03A58"/>
    <w:rsid w:val="00D0451B"/>
    <w:rsid w:val="00D04AA1"/>
    <w:rsid w:val="00D05872"/>
    <w:rsid w:val="00D06384"/>
    <w:rsid w:val="00D065A1"/>
    <w:rsid w:val="00D0661C"/>
    <w:rsid w:val="00D07086"/>
    <w:rsid w:val="00D10785"/>
    <w:rsid w:val="00D1159F"/>
    <w:rsid w:val="00D14562"/>
    <w:rsid w:val="00D1506B"/>
    <w:rsid w:val="00D15305"/>
    <w:rsid w:val="00D158E5"/>
    <w:rsid w:val="00D15B99"/>
    <w:rsid w:val="00D1614E"/>
    <w:rsid w:val="00D16307"/>
    <w:rsid w:val="00D1636C"/>
    <w:rsid w:val="00D1673A"/>
    <w:rsid w:val="00D16CDA"/>
    <w:rsid w:val="00D17258"/>
    <w:rsid w:val="00D17DAA"/>
    <w:rsid w:val="00D20E07"/>
    <w:rsid w:val="00D21247"/>
    <w:rsid w:val="00D21519"/>
    <w:rsid w:val="00D22545"/>
    <w:rsid w:val="00D22AB9"/>
    <w:rsid w:val="00D22B3D"/>
    <w:rsid w:val="00D22FB3"/>
    <w:rsid w:val="00D234E2"/>
    <w:rsid w:val="00D23659"/>
    <w:rsid w:val="00D23B5E"/>
    <w:rsid w:val="00D24B23"/>
    <w:rsid w:val="00D25610"/>
    <w:rsid w:val="00D25812"/>
    <w:rsid w:val="00D25816"/>
    <w:rsid w:val="00D258B3"/>
    <w:rsid w:val="00D25B17"/>
    <w:rsid w:val="00D25DBA"/>
    <w:rsid w:val="00D26DE0"/>
    <w:rsid w:val="00D2719D"/>
    <w:rsid w:val="00D27209"/>
    <w:rsid w:val="00D273C8"/>
    <w:rsid w:val="00D27606"/>
    <w:rsid w:val="00D276C7"/>
    <w:rsid w:val="00D30636"/>
    <w:rsid w:val="00D30D72"/>
    <w:rsid w:val="00D30EDC"/>
    <w:rsid w:val="00D317FA"/>
    <w:rsid w:val="00D31FA6"/>
    <w:rsid w:val="00D320E2"/>
    <w:rsid w:val="00D325F2"/>
    <w:rsid w:val="00D3268E"/>
    <w:rsid w:val="00D32839"/>
    <w:rsid w:val="00D330E8"/>
    <w:rsid w:val="00D34633"/>
    <w:rsid w:val="00D34845"/>
    <w:rsid w:val="00D35629"/>
    <w:rsid w:val="00D357A8"/>
    <w:rsid w:val="00D36026"/>
    <w:rsid w:val="00D366C7"/>
    <w:rsid w:val="00D36CF7"/>
    <w:rsid w:val="00D3706D"/>
    <w:rsid w:val="00D372BA"/>
    <w:rsid w:val="00D3776F"/>
    <w:rsid w:val="00D40383"/>
    <w:rsid w:val="00D40578"/>
    <w:rsid w:val="00D41440"/>
    <w:rsid w:val="00D41482"/>
    <w:rsid w:val="00D430AA"/>
    <w:rsid w:val="00D43E9A"/>
    <w:rsid w:val="00D44215"/>
    <w:rsid w:val="00D44784"/>
    <w:rsid w:val="00D44ABD"/>
    <w:rsid w:val="00D44DC9"/>
    <w:rsid w:val="00D451D6"/>
    <w:rsid w:val="00D458FE"/>
    <w:rsid w:val="00D463E2"/>
    <w:rsid w:val="00D4651B"/>
    <w:rsid w:val="00D467CA"/>
    <w:rsid w:val="00D47F72"/>
    <w:rsid w:val="00D5060D"/>
    <w:rsid w:val="00D50E5C"/>
    <w:rsid w:val="00D5100B"/>
    <w:rsid w:val="00D51473"/>
    <w:rsid w:val="00D52F69"/>
    <w:rsid w:val="00D53457"/>
    <w:rsid w:val="00D539FA"/>
    <w:rsid w:val="00D53AB5"/>
    <w:rsid w:val="00D541EF"/>
    <w:rsid w:val="00D54AF8"/>
    <w:rsid w:val="00D54B41"/>
    <w:rsid w:val="00D553ED"/>
    <w:rsid w:val="00D55F58"/>
    <w:rsid w:val="00D56A36"/>
    <w:rsid w:val="00D577AA"/>
    <w:rsid w:val="00D57FBE"/>
    <w:rsid w:val="00D60658"/>
    <w:rsid w:val="00D606C9"/>
    <w:rsid w:val="00D60709"/>
    <w:rsid w:val="00D60C37"/>
    <w:rsid w:val="00D60F02"/>
    <w:rsid w:val="00D611EE"/>
    <w:rsid w:val="00D61486"/>
    <w:rsid w:val="00D61768"/>
    <w:rsid w:val="00D6177C"/>
    <w:rsid w:val="00D62F85"/>
    <w:rsid w:val="00D630F8"/>
    <w:rsid w:val="00D64B31"/>
    <w:rsid w:val="00D650D1"/>
    <w:rsid w:val="00D65A6D"/>
    <w:rsid w:val="00D65C76"/>
    <w:rsid w:val="00D663E4"/>
    <w:rsid w:val="00D66970"/>
    <w:rsid w:val="00D6768C"/>
    <w:rsid w:val="00D701A6"/>
    <w:rsid w:val="00D711F3"/>
    <w:rsid w:val="00D712B4"/>
    <w:rsid w:val="00D720DE"/>
    <w:rsid w:val="00D7260B"/>
    <w:rsid w:val="00D72979"/>
    <w:rsid w:val="00D73157"/>
    <w:rsid w:val="00D73AEE"/>
    <w:rsid w:val="00D73E37"/>
    <w:rsid w:val="00D7419F"/>
    <w:rsid w:val="00D74882"/>
    <w:rsid w:val="00D74E7D"/>
    <w:rsid w:val="00D7517A"/>
    <w:rsid w:val="00D75FA8"/>
    <w:rsid w:val="00D76968"/>
    <w:rsid w:val="00D76A35"/>
    <w:rsid w:val="00D77687"/>
    <w:rsid w:val="00D8002F"/>
    <w:rsid w:val="00D8054F"/>
    <w:rsid w:val="00D8139B"/>
    <w:rsid w:val="00D817EE"/>
    <w:rsid w:val="00D81A4D"/>
    <w:rsid w:val="00D81A86"/>
    <w:rsid w:val="00D81E3E"/>
    <w:rsid w:val="00D82ED9"/>
    <w:rsid w:val="00D831F6"/>
    <w:rsid w:val="00D83FC2"/>
    <w:rsid w:val="00D84095"/>
    <w:rsid w:val="00D8468B"/>
    <w:rsid w:val="00D84980"/>
    <w:rsid w:val="00D84B91"/>
    <w:rsid w:val="00D853EA"/>
    <w:rsid w:val="00D85B55"/>
    <w:rsid w:val="00D85DD6"/>
    <w:rsid w:val="00D86135"/>
    <w:rsid w:val="00D86503"/>
    <w:rsid w:val="00D87109"/>
    <w:rsid w:val="00D8711F"/>
    <w:rsid w:val="00D8778E"/>
    <w:rsid w:val="00D87EA6"/>
    <w:rsid w:val="00D90E84"/>
    <w:rsid w:val="00D91170"/>
    <w:rsid w:val="00D9135C"/>
    <w:rsid w:val="00D91418"/>
    <w:rsid w:val="00D91D76"/>
    <w:rsid w:val="00D9271B"/>
    <w:rsid w:val="00D92D4B"/>
    <w:rsid w:val="00D92F2A"/>
    <w:rsid w:val="00D92F36"/>
    <w:rsid w:val="00D93328"/>
    <w:rsid w:val="00D96321"/>
    <w:rsid w:val="00D97261"/>
    <w:rsid w:val="00D977C7"/>
    <w:rsid w:val="00DA012A"/>
    <w:rsid w:val="00DA0356"/>
    <w:rsid w:val="00DA05CB"/>
    <w:rsid w:val="00DA0648"/>
    <w:rsid w:val="00DA083E"/>
    <w:rsid w:val="00DA146F"/>
    <w:rsid w:val="00DA18EC"/>
    <w:rsid w:val="00DA1A46"/>
    <w:rsid w:val="00DA1A47"/>
    <w:rsid w:val="00DA24A3"/>
    <w:rsid w:val="00DA2974"/>
    <w:rsid w:val="00DA3090"/>
    <w:rsid w:val="00DA597F"/>
    <w:rsid w:val="00DA5D51"/>
    <w:rsid w:val="00DA5E21"/>
    <w:rsid w:val="00DA65D6"/>
    <w:rsid w:val="00DB0209"/>
    <w:rsid w:val="00DB0338"/>
    <w:rsid w:val="00DB216E"/>
    <w:rsid w:val="00DB2592"/>
    <w:rsid w:val="00DB32A0"/>
    <w:rsid w:val="00DB33AD"/>
    <w:rsid w:val="00DB3527"/>
    <w:rsid w:val="00DB3EDC"/>
    <w:rsid w:val="00DB415E"/>
    <w:rsid w:val="00DB47DA"/>
    <w:rsid w:val="00DB4874"/>
    <w:rsid w:val="00DB4D5D"/>
    <w:rsid w:val="00DB6649"/>
    <w:rsid w:val="00DB7D68"/>
    <w:rsid w:val="00DC0840"/>
    <w:rsid w:val="00DC12BF"/>
    <w:rsid w:val="00DC1813"/>
    <w:rsid w:val="00DC1F85"/>
    <w:rsid w:val="00DC214A"/>
    <w:rsid w:val="00DC30B3"/>
    <w:rsid w:val="00DC32A0"/>
    <w:rsid w:val="00DC3809"/>
    <w:rsid w:val="00DC3A1A"/>
    <w:rsid w:val="00DC40AA"/>
    <w:rsid w:val="00DC48B4"/>
    <w:rsid w:val="00DC5714"/>
    <w:rsid w:val="00DC676E"/>
    <w:rsid w:val="00DC6A7C"/>
    <w:rsid w:val="00DC6B87"/>
    <w:rsid w:val="00DC751E"/>
    <w:rsid w:val="00DC7B2B"/>
    <w:rsid w:val="00DD0A7C"/>
    <w:rsid w:val="00DD0EA0"/>
    <w:rsid w:val="00DD1112"/>
    <w:rsid w:val="00DD1758"/>
    <w:rsid w:val="00DD1966"/>
    <w:rsid w:val="00DD28CB"/>
    <w:rsid w:val="00DD4D18"/>
    <w:rsid w:val="00DD648E"/>
    <w:rsid w:val="00DD67AC"/>
    <w:rsid w:val="00DD6AD0"/>
    <w:rsid w:val="00DD6D68"/>
    <w:rsid w:val="00DD794A"/>
    <w:rsid w:val="00DE07B0"/>
    <w:rsid w:val="00DE0FFA"/>
    <w:rsid w:val="00DE1D12"/>
    <w:rsid w:val="00DE2223"/>
    <w:rsid w:val="00DE34BC"/>
    <w:rsid w:val="00DE3CDA"/>
    <w:rsid w:val="00DE3DDF"/>
    <w:rsid w:val="00DE43FC"/>
    <w:rsid w:val="00DE4688"/>
    <w:rsid w:val="00DE4C6B"/>
    <w:rsid w:val="00DE5A36"/>
    <w:rsid w:val="00DE5AAE"/>
    <w:rsid w:val="00DE5FBA"/>
    <w:rsid w:val="00DE6923"/>
    <w:rsid w:val="00DE6CE0"/>
    <w:rsid w:val="00DE70E9"/>
    <w:rsid w:val="00DE7527"/>
    <w:rsid w:val="00DF0030"/>
    <w:rsid w:val="00DF04AF"/>
    <w:rsid w:val="00DF0995"/>
    <w:rsid w:val="00DF0C3D"/>
    <w:rsid w:val="00DF1996"/>
    <w:rsid w:val="00DF1C0A"/>
    <w:rsid w:val="00DF2ADA"/>
    <w:rsid w:val="00DF3291"/>
    <w:rsid w:val="00DF36F5"/>
    <w:rsid w:val="00DF53E7"/>
    <w:rsid w:val="00DF5FB3"/>
    <w:rsid w:val="00DF6360"/>
    <w:rsid w:val="00DF724A"/>
    <w:rsid w:val="00DF7C11"/>
    <w:rsid w:val="00DF7CAE"/>
    <w:rsid w:val="00E00149"/>
    <w:rsid w:val="00E00443"/>
    <w:rsid w:val="00E01304"/>
    <w:rsid w:val="00E01A02"/>
    <w:rsid w:val="00E01F28"/>
    <w:rsid w:val="00E01FF4"/>
    <w:rsid w:val="00E02469"/>
    <w:rsid w:val="00E0248F"/>
    <w:rsid w:val="00E03315"/>
    <w:rsid w:val="00E04140"/>
    <w:rsid w:val="00E045FC"/>
    <w:rsid w:val="00E049D6"/>
    <w:rsid w:val="00E04D7F"/>
    <w:rsid w:val="00E04EEF"/>
    <w:rsid w:val="00E0568F"/>
    <w:rsid w:val="00E05C96"/>
    <w:rsid w:val="00E05F05"/>
    <w:rsid w:val="00E05FBF"/>
    <w:rsid w:val="00E06314"/>
    <w:rsid w:val="00E06720"/>
    <w:rsid w:val="00E06A70"/>
    <w:rsid w:val="00E072AB"/>
    <w:rsid w:val="00E0730B"/>
    <w:rsid w:val="00E104FD"/>
    <w:rsid w:val="00E10710"/>
    <w:rsid w:val="00E1074D"/>
    <w:rsid w:val="00E10B52"/>
    <w:rsid w:val="00E10C65"/>
    <w:rsid w:val="00E11091"/>
    <w:rsid w:val="00E1115A"/>
    <w:rsid w:val="00E1241A"/>
    <w:rsid w:val="00E125C0"/>
    <w:rsid w:val="00E12F37"/>
    <w:rsid w:val="00E138B8"/>
    <w:rsid w:val="00E14E9D"/>
    <w:rsid w:val="00E15F3B"/>
    <w:rsid w:val="00E163CD"/>
    <w:rsid w:val="00E16A46"/>
    <w:rsid w:val="00E16DD5"/>
    <w:rsid w:val="00E16EF5"/>
    <w:rsid w:val="00E17238"/>
    <w:rsid w:val="00E174DB"/>
    <w:rsid w:val="00E20590"/>
    <w:rsid w:val="00E206F9"/>
    <w:rsid w:val="00E207FF"/>
    <w:rsid w:val="00E20975"/>
    <w:rsid w:val="00E2209F"/>
    <w:rsid w:val="00E227DB"/>
    <w:rsid w:val="00E228AC"/>
    <w:rsid w:val="00E24312"/>
    <w:rsid w:val="00E2445D"/>
    <w:rsid w:val="00E246BD"/>
    <w:rsid w:val="00E24F54"/>
    <w:rsid w:val="00E26206"/>
    <w:rsid w:val="00E26846"/>
    <w:rsid w:val="00E26BD7"/>
    <w:rsid w:val="00E273C6"/>
    <w:rsid w:val="00E27871"/>
    <w:rsid w:val="00E27B5D"/>
    <w:rsid w:val="00E27F17"/>
    <w:rsid w:val="00E305C9"/>
    <w:rsid w:val="00E30CA2"/>
    <w:rsid w:val="00E31CF0"/>
    <w:rsid w:val="00E32761"/>
    <w:rsid w:val="00E32B72"/>
    <w:rsid w:val="00E3303E"/>
    <w:rsid w:val="00E33757"/>
    <w:rsid w:val="00E34421"/>
    <w:rsid w:val="00E354B3"/>
    <w:rsid w:val="00E35639"/>
    <w:rsid w:val="00E3774A"/>
    <w:rsid w:val="00E37895"/>
    <w:rsid w:val="00E37BAB"/>
    <w:rsid w:val="00E37DC1"/>
    <w:rsid w:val="00E40478"/>
    <w:rsid w:val="00E411ED"/>
    <w:rsid w:val="00E4185F"/>
    <w:rsid w:val="00E41923"/>
    <w:rsid w:val="00E427C8"/>
    <w:rsid w:val="00E42BD9"/>
    <w:rsid w:val="00E42EA8"/>
    <w:rsid w:val="00E42EF3"/>
    <w:rsid w:val="00E4302E"/>
    <w:rsid w:val="00E43722"/>
    <w:rsid w:val="00E44672"/>
    <w:rsid w:val="00E45B46"/>
    <w:rsid w:val="00E45BC4"/>
    <w:rsid w:val="00E462AA"/>
    <w:rsid w:val="00E462D4"/>
    <w:rsid w:val="00E47EC8"/>
    <w:rsid w:val="00E47F81"/>
    <w:rsid w:val="00E5027B"/>
    <w:rsid w:val="00E504B0"/>
    <w:rsid w:val="00E5119D"/>
    <w:rsid w:val="00E51820"/>
    <w:rsid w:val="00E5193E"/>
    <w:rsid w:val="00E519D4"/>
    <w:rsid w:val="00E520A5"/>
    <w:rsid w:val="00E52389"/>
    <w:rsid w:val="00E532DC"/>
    <w:rsid w:val="00E53D9A"/>
    <w:rsid w:val="00E53ECA"/>
    <w:rsid w:val="00E54087"/>
    <w:rsid w:val="00E5498C"/>
    <w:rsid w:val="00E54C90"/>
    <w:rsid w:val="00E54D94"/>
    <w:rsid w:val="00E550A6"/>
    <w:rsid w:val="00E5599D"/>
    <w:rsid w:val="00E559DC"/>
    <w:rsid w:val="00E5682F"/>
    <w:rsid w:val="00E5738B"/>
    <w:rsid w:val="00E579B9"/>
    <w:rsid w:val="00E57A31"/>
    <w:rsid w:val="00E57C98"/>
    <w:rsid w:val="00E60F84"/>
    <w:rsid w:val="00E62BF0"/>
    <w:rsid w:val="00E62C30"/>
    <w:rsid w:val="00E6308B"/>
    <w:rsid w:val="00E635DF"/>
    <w:rsid w:val="00E63E4F"/>
    <w:rsid w:val="00E64855"/>
    <w:rsid w:val="00E657BE"/>
    <w:rsid w:val="00E65B0D"/>
    <w:rsid w:val="00E65EAF"/>
    <w:rsid w:val="00E6642E"/>
    <w:rsid w:val="00E679AB"/>
    <w:rsid w:val="00E707CB"/>
    <w:rsid w:val="00E71762"/>
    <w:rsid w:val="00E72569"/>
    <w:rsid w:val="00E72748"/>
    <w:rsid w:val="00E72AFC"/>
    <w:rsid w:val="00E72CD2"/>
    <w:rsid w:val="00E72D11"/>
    <w:rsid w:val="00E7345D"/>
    <w:rsid w:val="00E74034"/>
    <w:rsid w:val="00E74885"/>
    <w:rsid w:val="00E74A31"/>
    <w:rsid w:val="00E7621F"/>
    <w:rsid w:val="00E76CAA"/>
    <w:rsid w:val="00E7748B"/>
    <w:rsid w:val="00E800E8"/>
    <w:rsid w:val="00E80801"/>
    <w:rsid w:val="00E810C5"/>
    <w:rsid w:val="00E818A3"/>
    <w:rsid w:val="00E81F5A"/>
    <w:rsid w:val="00E821D4"/>
    <w:rsid w:val="00E82586"/>
    <w:rsid w:val="00E8292A"/>
    <w:rsid w:val="00E82DE9"/>
    <w:rsid w:val="00E83B6D"/>
    <w:rsid w:val="00E83E66"/>
    <w:rsid w:val="00E83F92"/>
    <w:rsid w:val="00E84055"/>
    <w:rsid w:val="00E84082"/>
    <w:rsid w:val="00E84A16"/>
    <w:rsid w:val="00E8553F"/>
    <w:rsid w:val="00E8557E"/>
    <w:rsid w:val="00E859EF"/>
    <w:rsid w:val="00E85E4E"/>
    <w:rsid w:val="00E87209"/>
    <w:rsid w:val="00E87C9E"/>
    <w:rsid w:val="00E919EB"/>
    <w:rsid w:val="00E91A6A"/>
    <w:rsid w:val="00E91EFE"/>
    <w:rsid w:val="00E91F80"/>
    <w:rsid w:val="00E9209D"/>
    <w:rsid w:val="00E920C7"/>
    <w:rsid w:val="00E92174"/>
    <w:rsid w:val="00E92648"/>
    <w:rsid w:val="00E92870"/>
    <w:rsid w:val="00E929DC"/>
    <w:rsid w:val="00E92A55"/>
    <w:rsid w:val="00E92AE0"/>
    <w:rsid w:val="00E9389D"/>
    <w:rsid w:val="00E93C25"/>
    <w:rsid w:val="00E93EAC"/>
    <w:rsid w:val="00E94294"/>
    <w:rsid w:val="00E94651"/>
    <w:rsid w:val="00E950DD"/>
    <w:rsid w:val="00E95974"/>
    <w:rsid w:val="00E95AB4"/>
    <w:rsid w:val="00E95B0F"/>
    <w:rsid w:val="00E95EED"/>
    <w:rsid w:val="00E95F5A"/>
    <w:rsid w:val="00E96071"/>
    <w:rsid w:val="00E971FE"/>
    <w:rsid w:val="00E97628"/>
    <w:rsid w:val="00E97846"/>
    <w:rsid w:val="00EA0F3C"/>
    <w:rsid w:val="00EA194B"/>
    <w:rsid w:val="00EA19CA"/>
    <w:rsid w:val="00EA24C7"/>
    <w:rsid w:val="00EA27CC"/>
    <w:rsid w:val="00EA2F65"/>
    <w:rsid w:val="00EA41CE"/>
    <w:rsid w:val="00EA426C"/>
    <w:rsid w:val="00EA4296"/>
    <w:rsid w:val="00EA4541"/>
    <w:rsid w:val="00EA4D90"/>
    <w:rsid w:val="00EA56F9"/>
    <w:rsid w:val="00EA5EA0"/>
    <w:rsid w:val="00EA62CE"/>
    <w:rsid w:val="00EA7BAC"/>
    <w:rsid w:val="00EA7E4C"/>
    <w:rsid w:val="00EA7FE6"/>
    <w:rsid w:val="00EB003C"/>
    <w:rsid w:val="00EB0B5F"/>
    <w:rsid w:val="00EB1423"/>
    <w:rsid w:val="00EB15B1"/>
    <w:rsid w:val="00EB197F"/>
    <w:rsid w:val="00EB1DC5"/>
    <w:rsid w:val="00EB2794"/>
    <w:rsid w:val="00EB2DD0"/>
    <w:rsid w:val="00EB30B6"/>
    <w:rsid w:val="00EB47E3"/>
    <w:rsid w:val="00EB4FF5"/>
    <w:rsid w:val="00EB50DD"/>
    <w:rsid w:val="00EB5189"/>
    <w:rsid w:val="00EB5AA5"/>
    <w:rsid w:val="00EB60EA"/>
    <w:rsid w:val="00EB739E"/>
    <w:rsid w:val="00EC021F"/>
    <w:rsid w:val="00EC0267"/>
    <w:rsid w:val="00EC041E"/>
    <w:rsid w:val="00EC0877"/>
    <w:rsid w:val="00EC2595"/>
    <w:rsid w:val="00EC2A2D"/>
    <w:rsid w:val="00EC2B14"/>
    <w:rsid w:val="00EC2FC4"/>
    <w:rsid w:val="00EC386C"/>
    <w:rsid w:val="00EC3B01"/>
    <w:rsid w:val="00EC4FE2"/>
    <w:rsid w:val="00EC50D7"/>
    <w:rsid w:val="00EC5F63"/>
    <w:rsid w:val="00EC7B6F"/>
    <w:rsid w:val="00ED0BAD"/>
    <w:rsid w:val="00ED148A"/>
    <w:rsid w:val="00ED1D45"/>
    <w:rsid w:val="00ED2AEB"/>
    <w:rsid w:val="00ED2C2A"/>
    <w:rsid w:val="00ED4191"/>
    <w:rsid w:val="00ED42A1"/>
    <w:rsid w:val="00ED4A08"/>
    <w:rsid w:val="00ED5851"/>
    <w:rsid w:val="00ED5CB1"/>
    <w:rsid w:val="00ED614C"/>
    <w:rsid w:val="00ED6DFD"/>
    <w:rsid w:val="00ED7D07"/>
    <w:rsid w:val="00ED7D88"/>
    <w:rsid w:val="00ED7ED3"/>
    <w:rsid w:val="00EE114C"/>
    <w:rsid w:val="00EE135F"/>
    <w:rsid w:val="00EE160D"/>
    <w:rsid w:val="00EE201B"/>
    <w:rsid w:val="00EE21CA"/>
    <w:rsid w:val="00EE2E1F"/>
    <w:rsid w:val="00EE318F"/>
    <w:rsid w:val="00EE38C8"/>
    <w:rsid w:val="00EE3D02"/>
    <w:rsid w:val="00EE41DA"/>
    <w:rsid w:val="00EE5B30"/>
    <w:rsid w:val="00EE6AF1"/>
    <w:rsid w:val="00EE6B2B"/>
    <w:rsid w:val="00EE6FEF"/>
    <w:rsid w:val="00EE7DAD"/>
    <w:rsid w:val="00EF0124"/>
    <w:rsid w:val="00EF0464"/>
    <w:rsid w:val="00EF088D"/>
    <w:rsid w:val="00EF0CA3"/>
    <w:rsid w:val="00EF232C"/>
    <w:rsid w:val="00EF27F4"/>
    <w:rsid w:val="00EF2EA6"/>
    <w:rsid w:val="00EF4284"/>
    <w:rsid w:val="00EF4FA2"/>
    <w:rsid w:val="00EF607E"/>
    <w:rsid w:val="00EF61D9"/>
    <w:rsid w:val="00EF6682"/>
    <w:rsid w:val="00EF6A89"/>
    <w:rsid w:val="00EF71B5"/>
    <w:rsid w:val="00EF7650"/>
    <w:rsid w:val="00F00341"/>
    <w:rsid w:val="00F00D62"/>
    <w:rsid w:val="00F00E28"/>
    <w:rsid w:val="00F014BF"/>
    <w:rsid w:val="00F01754"/>
    <w:rsid w:val="00F01C10"/>
    <w:rsid w:val="00F01DAD"/>
    <w:rsid w:val="00F02423"/>
    <w:rsid w:val="00F02DBB"/>
    <w:rsid w:val="00F02F71"/>
    <w:rsid w:val="00F03453"/>
    <w:rsid w:val="00F03DC6"/>
    <w:rsid w:val="00F04453"/>
    <w:rsid w:val="00F047D4"/>
    <w:rsid w:val="00F04839"/>
    <w:rsid w:val="00F05469"/>
    <w:rsid w:val="00F05B8A"/>
    <w:rsid w:val="00F05E54"/>
    <w:rsid w:val="00F06366"/>
    <w:rsid w:val="00F0673B"/>
    <w:rsid w:val="00F06997"/>
    <w:rsid w:val="00F07421"/>
    <w:rsid w:val="00F07670"/>
    <w:rsid w:val="00F0785C"/>
    <w:rsid w:val="00F101C2"/>
    <w:rsid w:val="00F10453"/>
    <w:rsid w:val="00F1045F"/>
    <w:rsid w:val="00F10520"/>
    <w:rsid w:val="00F10708"/>
    <w:rsid w:val="00F109F4"/>
    <w:rsid w:val="00F10B42"/>
    <w:rsid w:val="00F1184C"/>
    <w:rsid w:val="00F1190F"/>
    <w:rsid w:val="00F12C21"/>
    <w:rsid w:val="00F12D0D"/>
    <w:rsid w:val="00F12DB1"/>
    <w:rsid w:val="00F1379D"/>
    <w:rsid w:val="00F144FB"/>
    <w:rsid w:val="00F162C7"/>
    <w:rsid w:val="00F17022"/>
    <w:rsid w:val="00F17A81"/>
    <w:rsid w:val="00F17BB6"/>
    <w:rsid w:val="00F206DF"/>
    <w:rsid w:val="00F20717"/>
    <w:rsid w:val="00F20837"/>
    <w:rsid w:val="00F2126E"/>
    <w:rsid w:val="00F22416"/>
    <w:rsid w:val="00F22E15"/>
    <w:rsid w:val="00F238D5"/>
    <w:rsid w:val="00F23964"/>
    <w:rsid w:val="00F243B1"/>
    <w:rsid w:val="00F24923"/>
    <w:rsid w:val="00F25FA1"/>
    <w:rsid w:val="00F2610A"/>
    <w:rsid w:val="00F26284"/>
    <w:rsid w:val="00F264C0"/>
    <w:rsid w:val="00F264D0"/>
    <w:rsid w:val="00F2699A"/>
    <w:rsid w:val="00F26E3D"/>
    <w:rsid w:val="00F26EF3"/>
    <w:rsid w:val="00F27321"/>
    <w:rsid w:val="00F3060D"/>
    <w:rsid w:val="00F310D4"/>
    <w:rsid w:val="00F31572"/>
    <w:rsid w:val="00F31653"/>
    <w:rsid w:val="00F34A67"/>
    <w:rsid w:val="00F34FA8"/>
    <w:rsid w:val="00F354CD"/>
    <w:rsid w:val="00F35547"/>
    <w:rsid w:val="00F357CE"/>
    <w:rsid w:val="00F35B6A"/>
    <w:rsid w:val="00F360DD"/>
    <w:rsid w:val="00F36329"/>
    <w:rsid w:val="00F367C0"/>
    <w:rsid w:val="00F37304"/>
    <w:rsid w:val="00F40008"/>
    <w:rsid w:val="00F40BD0"/>
    <w:rsid w:val="00F410ED"/>
    <w:rsid w:val="00F4287C"/>
    <w:rsid w:val="00F43EBD"/>
    <w:rsid w:val="00F45586"/>
    <w:rsid w:val="00F45E5E"/>
    <w:rsid w:val="00F469C2"/>
    <w:rsid w:val="00F47486"/>
    <w:rsid w:val="00F4754E"/>
    <w:rsid w:val="00F475E7"/>
    <w:rsid w:val="00F4793A"/>
    <w:rsid w:val="00F511D2"/>
    <w:rsid w:val="00F511FA"/>
    <w:rsid w:val="00F51364"/>
    <w:rsid w:val="00F52884"/>
    <w:rsid w:val="00F52C5F"/>
    <w:rsid w:val="00F53300"/>
    <w:rsid w:val="00F534C1"/>
    <w:rsid w:val="00F534E1"/>
    <w:rsid w:val="00F54557"/>
    <w:rsid w:val="00F54AEC"/>
    <w:rsid w:val="00F552AC"/>
    <w:rsid w:val="00F556A2"/>
    <w:rsid w:val="00F55E54"/>
    <w:rsid w:val="00F56E36"/>
    <w:rsid w:val="00F56E90"/>
    <w:rsid w:val="00F56F44"/>
    <w:rsid w:val="00F5791E"/>
    <w:rsid w:val="00F57CF1"/>
    <w:rsid w:val="00F6013A"/>
    <w:rsid w:val="00F61B61"/>
    <w:rsid w:val="00F6203C"/>
    <w:rsid w:val="00F63AD5"/>
    <w:rsid w:val="00F6637A"/>
    <w:rsid w:val="00F6712C"/>
    <w:rsid w:val="00F6714D"/>
    <w:rsid w:val="00F67A75"/>
    <w:rsid w:val="00F70DA0"/>
    <w:rsid w:val="00F70F1E"/>
    <w:rsid w:val="00F716DF"/>
    <w:rsid w:val="00F724BD"/>
    <w:rsid w:val="00F72878"/>
    <w:rsid w:val="00F73548"/>
    <w:rsid w:val="00F73942"/>
    <w:rsid w:val="00F73B2F"/>
    <w:rsid w:val="00F73D30"/>
    <w:rsid w:val="00F73FC3"/>
    <w:rsid w:val="00F74058"/>
    <w:rsid w:val="00F74911"/>
    <w:rsid w:val="00F76B10"/>
    <w:rsid w:val="00F76F91"/>
    <w:rsid w:val="00F7708A"/>
    <w:rsid w:val="00F77501"/>
    <w:rsid w:val="00F77D0F"/>
    <w:rsid w:val="00F80877"/>
    <w:rsid w:val="00F8173E"/>
    <w:rsid w:val="00F81FBF"/>
    <w:rsid w:val="00F8244E"/>
    <w:rsid w:val="00F82575"/>
    <w:rsid w:val="00F82D6A"/>
    <w:rsid w:val="00F83AA9"/>
    <w:rsid w:val="00F83B48"/>
    <w:rsid w:val="00F83C38"/>
    <w:rsid w:val="00F83F44"/>
    <w:rsid w:val="00F846BF"/>
    <w:rsid w:val="00F851B9"/>
    <w:rsid w:val="00F85D0D"/>
    <w:rsid w:val="00F85F4C"/>
    <w:rsid w:val="00F85FE9"/>
    <w:rsid w:val="00F8619C"/>
    <w:rsid w:val="00F9006F"/>
    <w:rsid w:val="00F904BB"/>
    <w:rsid w:val="00F90C44"/>
    <w:rsid w:val="00F90F3C"/>
    <w:rsid w:val="00F923C8"/>
    <w:rsid w:val="00F9264D"/>
    <w:rsid w:val="00F92EDF"/>
    <w:rsid w:val="00F9300C"/>
    <w:rsid w:val="00F933FF"/>
    <w:rsid w:val="00F941A6"/>
    <w:rsid w:val="00F941FE"/>
    <w:rsid w:val="00F94B73"/>
    <w:rsid w:val="00F94EAF"/>
    <w:rsid w:val="00F95151"/>
    <w:rsid w:val="00F9550A"/>
    <w:rsid w:val="00F96590"/>
    <w:rsid w:val="00F96CCE"/>
    <w:rsid w:val="00F96ED5"/>
    <w:rsid w:val="00F97ADC"/>
    <w:rsid w:val="00F97FEB"/>
    <w:rsid w:val="00FA0DDA"/>
    <w:rsid w:val="00FA0E08"/>
    <w:rsid w:val="00FA15E1"/>
    <w:rsid w:val="00FA2EC6"/>
    <w:rsid w:val="00FA32F4"/>
    <w:rsid w:val="00FA39CD"/>
    <w:rsid w:val="00FA5093"/>
    <w:rsid w:val="00FA5B7C"/>
    <w:rsid w:val="00FA66EA"/>
    <w:rsid w:val="00FA6DEF"/>
    <w:rsid w:val="00FA73EC"/>
    <w:rsid w:val="00FA7A09"/>
    <w:rsid w:val="00FB0114"/>
    <w:rsid w:val="00FB0228"/>
    <w:rsid w:val="00FB04CD"/>
    <w:rsid w:val="00FB0D4E"/>
    <w:rsid w:val="00FB11EB"/>
    <w:rsid w:val="00FB1CDA"/>
    <w:rsid w:val="00FB2018"/>
    <w:rsid w:val="00FB2855"/>
    <w:rsid w:val="00FB4539"/>
    <w:rsid w:val="00FB5398"/>
    <w:rsid w:val="00FB5B08"/>
    <w:rsid w:val="00FB5CBF"/>
    <w:rsid w:val="00FB6D8D"/>
    <w:rsid w:val="00FB6F97"/>
    <w:rsid w:val="00FB7304"/>
    <w:rsid w:val="00FB7342"/>
    <w:rsid w:val="00FC0C49"/>
    <w:rsid w:val="00FC0F6B"/>
    <w:rsid w:val="00FC135F"/>
    <w:rsid w:val="00FC1507"/>
    <w:rsid w:val="00FC1AA1"/>
    <w:rsid w:val="00FC213A"/>
    <w:rsid w:val="00FC27FE"/>
    <w:rsid w:val="00FC2A8F"/>
    <w:rsid w:val="00FC3EA8"/>
    <w:rsid w:val="00FC4B97"/>
    <w:rsid w:val="00FC4BD5"/>
    <w:rsid w:val="00FC4BD8"/>
    <w:rsid w:val="00FC5256"/>
    <w:rsid w:val="00FC5DC9"/>
    <w:rsid w:val="00FC607A"/>
    <w:rsid w:val="00FC66A5"/>
    <w:rsid w:val="00FC6778"/>
    <w:rsid w:val="00FC6ECC"/>
    <w:rsid w:val="00FD01FB"/>
    <w:rsid w:val="00FD25E6"/>
    <w:rsid w:val="00FD4A3B"/>
    <w:rsid w:val="00FD4BAE"/>
    <w:rsid w:val="00FD541E"/>
    <w:rsid w:val="00FD6F73"/>
    <w:rsid w:val="00FD71CE"/>
    <w:rsid w:val="00FD73B0"/>
    <w:rsid w:val="00FD7F72"/>
    <w:rsid w:val="00FE0228"/>
    <w:rsid w:val="00FE1592"/>
    <w:rsid w:val="00FE16B3"/>
    <w:rsid w:val="00FE16BF"/>
    <w:rsid w:val="00FE1EA8"/>
    <w:rsid w:val="00FE235B"/>
    <w:rsid w:val="00FE30B0"/>
    <w:rsid w:val="00FE440F"/>
    <w:rsid w:val="00FE4470"/>
    <w:rsid w:val="00FE53F6"/>
    <w:rsid w:val="00FE57F9"/>
    <w:rsid w:val="00FE5E88"/>
    <w:rsid w:val="00FE5ECA"/>
    <w:rsid w:val="00FE6A02"/>
    <w:rsid w:val="00FE6A0F"/>
    <w:rsid w:val="00FE7510"/>
    <w:rsid w:val="00FE77AA"/>
    <w:rsid w:val="00FE7E4C"/>
    <w:rsid w:val="00FF1C00"/>
    <w:rsid w:val="00FF1EF9"/>
    <w:rsid w:val="00FF2588"/>
    <w:rsid w:val="00FF2C8D"/>
    <w:rsid w:val="00FF3024"/>
    <w:rsid w:val="00FF3867"/>
    <w:rsid w:val="00FF3B43"/>
    <w:rsid w:val="00FF4F92"/>
    <w:rsid w:val="00FF52CE"/>
    <w:rsid w:val="00FF5929"/>
    <w:rsid w:val="00FF743C"/>
    <w:rsid w:val="00FF798B"/>
    <w:rsid w:val="00FF7B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A54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A1A"/>
  </w:style>
  <w:style w:type="paragraph" w:styleId="Heading1">
    <w:name w:val="heading 1"/>
    <w:basedOn w:val="Normal"/>
    <w:next w:val="Heading2"/>
    <w:link w:val="Heading1Char"/>
    <w:uiPriority w:val="9"/>
    <w:qFormat/>
    <w:rsid w:val="0056316F"/>
    <w:pPr>
      <w:keepNext/>
      <w:keepLines/>
      <w:pageBreakBefore/>
      <w:pBdr>
        <w:bottom w:val="single" w:sz="4" w:space="1" w:color="auto"/>
      </w:pBdr>
      <w:spacing w:after="480" w:line="240" w:lineRule="auto"/>
      <w:outlineLvl w:val="0"/>
    </w:pPr>
    <w:rPr>
      <w:rFonts w:asciiTheme="majorHAnsi" w:eastAsiaTheme="majorEastAsia" w:hAnsiTheme="majorHAnsi" w:cstheme="majorBidi"/>
      <w:b/>
      <w:sz w:val="40"/>
      <w:szCs w:val="32"/>
    </w:rPr>
  </w:style>
  <w:style w:type="paragraph" w:styleId="Heading2">
    <w:name w:val="heading 2"/>
    <w:basedOn w:val="Normal"/>
    <w:next w:val="BodyText"/>
    <w:link w:val="Heading2Char"/>
    <w:uiPriority w:val="9"/>
    <w:unhideWhenUsed/>
    <w:qFormat/>
    <w:rsid w:val="00E125C0"/>
    <w:pPr>
      <w:keepNext/>
      <w:keepLines/>
      <w:spacing w:before="360" w:after="240"/>
      <w:outlineLvl w:val="1"/>
    </w:pPr>
    <w:rPr>
      <w:rFonts w:asciiTheme="majorHAnsi" w:eastAsiaTheme="majorEastAsia" w:hAnsiTheme="majorHAnsi" w:cstheme="minorHAnsi"/>
      <w:color w:val="000000" w:themeColor="text1"/>
      <w:sz w:val="32"/>
      <w:szCs w:val="26"/>
    </w:rPr>
  </w:style>
  <w:style w:type="paragraph" w:styleId="Heading3">
    <w:name w:val="heading 3"/>
    <w:basedOn w:val="Normal"/>
    <w:next w:val="Normal"/>
    <w:link w:val="Heading3Char"/>
    <w:uiPriority w:val="9"/>
    <w:unhideWhenUsed/>
    <w:qFormat/>
    <w:rsid w:val="00A743D6"/>
    <w:pPr>
      <w:keepNext/>
      <w:keepLines/>
      <w:numPr>
        <w:ilvl w:val="2"/>
        <w:numId w:val="9"/>
      </w:numPr>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E125C0"/>
    <w:pPr>
      <w:numPr>
        <w:ilvl w:val="0"/>
        <w:numId w:val="0"/>
      </w:numPr>
      <w:outlineLvl w:val="3"/>
    </w:pPr>
    <w:rPr>
      <w:rFonts w:asciiTheme="majorHAnsi" w:hAnsiTheme="majorHAnsi"/>
      <w:b/>
      <w:i/>
    </w:rPr>
  </w:style>
  <w:style w:type="paragraph" w:styleId="Heading5">
    <w:name w:val="heading 5"/>
    <w:basedOn w:val="Normal"/>
    <w:next w:val="Normal"/>
    <w:link w:val="Heading5Char"/>
    <w:uiPriority w:val="9"/>
    <w:semiHidden/>
    <w:unhideWhenUsed/>
    <w:qFormat/>
    <w:rsid w:val="00E125C0"/>
    <w:pPr>
      <w:keepNext/>
      <w:keepLines/>
      <w:spacing w:before="40" w:after="0"/>
      <w:outlineLvl w:val="4"/>
    </w:pPr>
    <w:rPr>
      <w:rFonts w:asciiTheme="majorHAnsi" w:eastAsiaTheme="majorEastAsia" w:hAnsiTheme="majorHAnsi" w:cstheme="majorBidi"/>
      <w:b/>
      <w:color w:val="3B3838" w:themeColor="background2" w:themeShade="40"/>
    </w:rPr>
  </w:style>
  <w:style w:type="paragraph" w:styleId="Heading7">
    <w:name w:val="heading 7"/>
    <w:basedOn w:val="Normal"/>
    <w:next w:val="Normal"/>
    <w:link w:val="Heading7Char"/>
    <w:uiPriority w:val="9"/>
    <w:semiHidden/>
    <w:unhideWhenUsed/>
    <w:qFormat/>
    <w:rsid w:val="00E125C0"/>
    <w:pPr>
      <w:keepNext/>
      <w:keepLines/>
      <w:spacing w:before="40" w:after="0"/>
      <w:outlineLvl w:val="6"/>
    </w:pPr>
    <w:rPr>
      <w:rFonts w:asciiTheme="majorHAnsi" w:eastAsiaTheme="majorEastAsia" w:hAnsiTheme="majorHAnsi" w:cstheme="majorBidi"/>
      <w:i/>
      <w:iCs/>
      <w:color w:val="3B3838"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16F"/>
    <w:rPr>
      <w:rFonts w:asciiTheme="majorHAnsi" w:eastAsiaTheme="majorEastAsia" w:hAnsiTheme="majorHAnsi" w:cstheme="majorBidi"/>
      <w:b/>
      <w:sz w:val="40"/>
      <w:szCs w:val="32"/>
    </w:rPr>
  </w:style>
  <w:style w:type="paragraph" w:styleId="Title">
    <w:name w:val="Title"/>
    <w:basedOn w:val="Normal"/>
    <w:link w:val="TitleChar"/>
    <w:qFormat/>
    <w:rsid w:val="00D712B4"/>
    <w:pPr>
      <w:spacing w:before="3840" w:after="560" w:line="240" w:lineRule="auto"/>
      <w:ind w:left="4536" w:right="113"/>
    </w:pPr>
    <w:rPr>
      <w:rFonts w:ascii="Arial" w:eastAsiaTheme="majorEastAsia" w:hAnsi="Arial" w:cstheme="majorBidi"/>
      <w:b/>
      <w:i/>
      <w:spacing w:val="-10"/>
      <w:sz w:val="44"/>
      <w:szCs w:val="56"/>
    </w:rPr>
  </w:style>
  <w:style w:type="character" w:customStyle="1" w:styleId="TitleChar">
    <w:name w:val="Title Char"/>
    <w:basedOn w:val="DefaultParagraphFont"/>
    <w:link w:val="Title"/>
    <w:rsid w:val="00D712B4"/>
    <w:rPr>
      <w:rFonts w:ascii="Arial" w:eastAsiaTheme="majorEastAsia" w:hAnsi="Arial" w:cstheme="majorBidi"/>
      <w:b/>
      <w:i/>
      <w:spacing w:val="-10"/>
      <w:sz w:val="44"/>
      <w:szCs w:val="56"/>
    </w:rPr>
  </w:style>
  <w:style w:type="paragraph" w:styleId="Date">
    <w:name w:val="Date"/>
    <w:basedOn w:val="Normal"/>
    <w:next w:val="Normal"/>
    <w:link w:val="DateChar"/>
    <w:unhideWhenUsed/>
    <w:rsid w:val="00B169EB"/>
    <w:pPr>
      <w:spacing w:before="900" w:after="1560"/>
      <w:ind w:left="4536" w:right="113"/>
    </w:pPr>
    <w:rPr>
      <w:rFonts w:ascii="Arial" w:hAnsi="Arial"/>
      <w:b/>
      <w:sz w:val="36"/>
    </w:rPr>
  </w:style>
  <w:style w:type="character" w:customStyle="1" w:styleId="DateChar">
    <w:name w:val="Date Char"/>
    <w:basedOn w:val="DefaultParagraphFont"/>
    <w:link w:val="Date"/>
    <w:rsid w:val="00B169EB"/>
    <w:rPr>
      <w:rFonts w:ascii="Arial" w:hAnsi="Arial"/>
      <w:b/>
      <w:sz w:val="36"/>
    </w:rPr>
  </w:style>
  <w:style w:type="paragraph" w:styleId="Subtitle">
    <w:name w:val="Subtitle"/>
    <w:basedOn w:val="Normal"/>
    <w:next w:val="Normal"/>
    <w:link w:val="SubtitleChar"/>
    <w:qFormat/>
    <w:rsid w:val="00D712B4"/>
    <w:pPr>
      <w:numPr>
        <w:ilvl w:val="1"/>
      </w:numPr>
      <w:spacing w:before="1600" w:after="100" w:afterAutospacing="1"/>
      <w:ind w:left="4536" w:right="113"/>
    </w:pPr>
    <w:rPr>
      <w:rFonts w:ascii="Arial" w:eastAsiaTheme="minorEastAsia" w:hAnsi="Arial"/>
      <w:b/>
      <w:spacing w:val="15"/>
      <w:sz w:val="32"/>
    </w:rPr>
  </w:style>
  <w:style w:type="character" w:customStyle="1" w:styleId="SubtitleChar">
    <w:name w:val="Subtitle Char"/>
    <w:basedOn w:val="DefaultParagraphFont"/>
    <w:link w:val="Subtitle"/>
    <w:rsid w:val="00D712B4"/>
    <w:rPr>
      <w:rFonts w:ascii="Arial" w:eastAsiaTheme="minorEastAsia" w:hAnsi="Arial"/>
      <w:b/>
      <w:spacing w:val="15"/>
      <w:sz w:val="32"/>
    </w:rPr>
  </w:style>
  <w:style w:type="paragraph" w:styleId="Header">
    <w:name w:val="header"/>
    <w:basedOn w:val="Normal"/>
    <w:link w:val="HeaderChar"/>
    <w:uiPriority w:val="99"/>
    <w:unhideWhenUsed/>
    <w:rsid w:val="00940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12C"/>
  </w:style>
  <w:style w:type="paragraph" w:styleId="Footer">
    <w:name w:val="footer"/>
    <w:basedOn w:val="Normal"/>
    <w:link w:val="FooterChar"/>
    <w:uiPriority w:val="99"/>
    <w:unhideWhenUsed/>
    <w:rsid w:val="0094012C"/>
    <w:pPr>
      <w:tabs>
        <w:tab w:val="center" w:pos="4513"/>
        <w:tab w:val="right" w:pos="9026"/>
      </w:tabs>
      <w:spacing w:after="0" w:line="240" w:lineRule="auto"/>
    </w:pPr>
    <w:rPr>
      <w:color w:val="767171" w:themeColor="background2" w:themeShade="80"/>
    </w:rPr>
  </w:style>
  <w:style w:type="character" w:customStyle="1" w:styleId="FooterChar">
    <w:name w:val="Footer Char"/>
    <w:basedOn w:val="DefaultParagraphFont"/>
    <w:link w:val="Footer"/>
    <w:uiPriority w:val="99"/>
    <w:rsid w:val="0094012C"/>
    <w:rPr>
      <w:color w:val="767171" w:themeColor="background2" w:themeShade="80"/>
    </w:rPr>
  </w:style>
  <w:style w:type="character" w:styleId="Strong">
    <w:name w:val="Strong"/>
    <w:basedOn w:val="DefaultParagraphFont"/>
    <w:uiPriority w:val="22"/>
    <w:qFormat/>
    <w:rsid w:val="0094012C"/>
    <w:rPr>
      <w:b/>
      <w:bCs/>
    </w:rPr>
  </w:style>
  <w:style w:type="paragraph" w:customStyle="1" w:styleId="H1notocunderline">
    <w:name w:val="H1 notoc underline"/>
    <w:basedOn w:val="Normal"/>
    <w:next w:val="BodyText"/>
    <w:qFormat/>
    <w:rsid w:val="00E42EA8"/>
    <w:pPr>
      <w:pageBreakBefore/>
      <w:pBdr>
        <w:bottom w:val="single" w:sz="2" w:space="1" w:color="auto"/>
      </w:pBdr>
      <w:spacing w:after="360"/>
    </w:pPr>
    <w:rPr>
      <w:rFonts w:asciiTheme="majorHAnsi" w:hAnsiTheme="majorHAnsi"/>
      <w:b/>
      <w:sz w:val="40"/>
    </w:rPr>
  </w:style>
  <w:style w:type="paragraph" w:customStyle="1" w:styleId="Abbreviations">
    <w:name w:val="Abbreviations"/>
    <w:basedOn w:val="Normal"/>
    <w:qFormat/>
    <w:rsid w:val="00322713"/>
    <w:pPr>
      <w:tabs>
        <w:tab w:val="left" w:pos="2835"/>
      </w:tabs>
    </w:pPr>
  </w:style>
  <w:style w:type="paragraph" w:styleId="BodyText">
    <w:name w:val="Body Text"/>
    <w:basedOn w:val="Normal"/>
    <w:link w:val="BodyTextChar"/>
    <w:unhideWhenUsed/>
    <w:qFormat/>
    <w:rsid w:val="00744166"/>
    <w:pPr>
      <w:spacing w:before="120"/>
    </w:pPr>
  </w:style>
  <w:style w:type="character" w:customStyle="1" w:styleId="BodyTextChar">
    <w:name w:val="Body Text Char"/>
    <w:basedOn w:val="DefaultParagraphFont"/>
    <w:link w:val="BodyText"/>
    <w:rsid w:val="00744166"/>
  </w:style>
  <w:style w:type="character" w:customStyle="1" w:styleId="Heading2Char">
    <w:name w:val="Heading 2 Char"/>
    <w:basedOn w:val="DefaultParagraphFont"/>
    <w:link w:val="Heading2"/>
    <w:uiPriority w:val="9"/>
    <w:rsid w:val="00E125C0"/>
    <w:rPr>
      <w:rFonts w:asciiTheme="majorHAnsi" w:eastAsiaTheme="majorEastAsia" w:hAnsiTheme="majorHAnsi" w:cstheme="minorHAnsi"/>
      <w:color w:val="000000" w:themeColor="text1"/>
      <w:sz w:val="32"/>
      <w:szCs w:val="26"/>
    </w:rPr>
  </w:style>
  <w:style w:type="paragraph" w:customStyle="1" w:styleId="Instructionaltext">
    <w:name w:val="Instructional text"/>
    <w:basedOn w:val="Normal"/>
    <w:next w:val="BodyText"/>
    <w:link w:val="InstructionaltextChar"/>
    <w:qFormat/>
    <w:rsid w:val="00D0260C"/>
    <w:pPr>
      <w:spacing w:before="120"/>
    </w:pPr>
    <w:rPr>
      <w:rFonts w:ascii="Segoe UI Light" w:hAnsi="Segoe UI Light"/>
      <w:color w:val="2D9191"/>
      <w:sz w:val="20"/>
    </w:rPr>
  </w:style>
  <w:style w:type="character" w:customStyle="1" w:styleId="InstructionaltextChar">
    <w:name w:val="Instructional text Char"/>
    <w:basedOn w:val="DefaultParagraphFont"/>
    <w:link w:val="Instructionaltext"/>
    <w:rsid w:val="00D0260C"/>
    <w:rPr>
      <w:rFonts w:ascii="Segoe UI Light" w:hAnsi="Segoe UI Light"/>
      <w:color w:val="2D9191"/>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nhideWhenUsed/>
    <w:qFormat/>
    <w:rsid w:val="00572466"/>
    <w:pPr>
      <w:keepNext/>
      <w:tabs>
        <w:tab w:val="left" w:pos="1021"/>
      </w:tabs>
      <w:spacing w:before="360" w:after="120" w:line="240" w:lineRule="auto"/>
      <w:ind w:left="1021" w:hanging="1021"/>
    </w:pPr>
    <w:rPr>
      <w:rFonts w:ascii="Arial Narrow" w:eastAsia="Times New Roman" w:hAnsi="Arial Narrow" w:cs="Times New Roman"/>
      <w:b/>
      <w:bCs/>
      <w:sz w:val="20"/>
      <w:szCs w:val="20"/>
    </w:rPr>
  </w:style>
  <w:style w:type="table" w:styleId="TableGrid">
    <w:name w:val="Table Grid"/>
    <w:aliases w:val="Summary box,Table Gridbeth,RTI AMCP Table,new style,ASD Table"/>
    <w:basedOn w:val="TableNormal"/>
    <w:rsid w:val="00254DDD"/>
    <w:pPr>
      <w:spacing w:after="0" w:line="240" w:lineRule="auto"/>
    </w:pPr>
    <w:rPr>
      <w:rFonts w:ascii="Arial Narrow" w:hAnsi="Arial Narrow"/>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cPr>
      <w:vAlign w:val="center"/>
    </w:tcPr>
    <w:tblStylePr w:type="firstRow">
      <w:rPr>
        <w:rFonts w:ascii="Arial Black" w:hAnsi="Arial Black"/>
        <w:b/>
        <w:sz w:val="20"/>
      </w:rPr>
      <w:tblPr/>
      <w:trPr>
        <w:tblHeader/>
      </w:trPr>
      <w:tcPr>
        <w:vAlign w:val="top"/>
      </w:tcPr>
    </w:tblStylePr>
  </w:style>
  <w:style w:type="character" w:styleId="EndnoteReference">
    <w:name w:val="endnote reference"/>
    <w:basedOn w:val="DefaultParagraphFont"/>
    <w:uiPriority w:val="99"/>
    <w:semiHidden/>
    <w:unhideWhenUsed/>
    <w:rsid w:val="00130B2E"/>
    <w:rPr>
      <w:rFonts w:asciiTheme="minorHAnsi" w:hAnsiTheme="minorHAnsi"/>
      <w:sz w:val="22"/>
      <w:vertAlign w:val="superscript"/>
    </w:rPr>
  </w:style>
  <w:style w:type="paragraph" w:customStyle="1" w:styleId="Tabletext">
    <w:name w:val="Table text"/>
    <w:basedOn w:val="Normal"/>
    <w:link w:val="TabletextChar"/>
    <w:uiPriority w:val="4"/>
    <w:qFormat/>
    <w:rsid w:val="00130B2E"/>
    <w:pPr>
      <w:spacing w:before="20" w:after="20" w:line="240" w:lineRule="auto"/>
    </w:pPr>
    <w:rPr>
      <w:rFonts w:ascii="Arial Narrow" w:eastAsia="Calibri" w:hAnsi="Arial Narrow" w:cs="Times New Roman"/>
      <w:sz w:val="20"/>
    </w:rPr>
  </w:style>
  <w:style w:type="paragraph" w:customStyle="1" w:styleId="Tableheading">
    <w:name w:val="Table heading"/>
    <w:basedOn w:val="BodyText"/>
    <w:qFormat/>
    <w:rsid w:val="00254DDD"/>
    <w:pPr>
      <w:spacing w:after="0" w:line="240" w:lineRule="auto"/>
    </w:pPr>
    <w:rPr>
      <w:rFonts w:ascii="Arial Narrow" w:hAnsi="Arial Narrow"/>
      <w:bCs/>
      <w:sz w:val="20"/>
    </w:rPr>
  </w:style>
  <w:style w:type="table" w:customStyle="1" w:styleId="Style1">
    <w:name w:val="Style1"/>
    <w:basedOn w:val="TableNormal"/>
    <w:uiPriority w:val="99"/>
    <w:rsid w:val="00CD0A84"/>
    <w:pPr>
      <w:spacing w:before="20" w:after="20" w:line="240" w:lineRule="auto"/>
    </w:pPr>
    <w:rPr>
      <w:rFonts w:ascii="Arial Narrow" w:hAnsi="Arial Narrow"/>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rFonts w:ascii="Arial Black" w:hAnsi="Arial Black"/>
        <w:b/>
        <w:sz w:val="20"/>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Heading3Char">
    <w:name w:val="Heading 3 Char"/>
    <w:basedOn w:val="DefaultParagraphFont"/>
    <w:link w:val="Heading3"/>
    <w:uiPriority w:val="9"/>
    <w:rsid w:val="00A743D6"/>
    <w:rPr>
      <w:rFonts w:ascii="Franklin Gothic Medium" w:eastAsiaTheme="majorEastAsia" w:hAnsi="Franklin Gothic Medium" w:cstheme="majorBidi"/>
      <w:sz w:val="24"/>
      <w:szCs w:val="24"/>
    </w:rPr>
  </w:style>
  <w:style w:type="character" w:customStyle="1" w:styleId="Heading4Char">
    <w:name w:val="Heading 4 Char"/>
    <w:basedOn w:val="DefaultParagraphFont"/>
    <w:link w:val="Heading4"/>
    <w:uiPriority w:val="9"/>
    <w:rsid w:val="00E125C0"/>
    <w:rPr>
      <w:rFonts w:asciiTheme="majorHAnsi" w:eastAsiaTheme="majorEastAsia" w:hAnsiTheme="majorHAnsi" w:cstheme="majorBidi"/>
      <w:b/>
      <w:i/>
      <w:sz w:val="24"/>
      <w:szCs w:val="24"/>
    </w:rPr>
  </w:style>
  <w:style w:type="paragraph" w:customStyle="1" w:styleId="TableText0">
    <w:name w:val="Table Text"/>
    <w:basedOn w:val="Normal"/>
    <w:link w:val="TableTextChar0"/>
    <w:qFormat/>
    <w:rsid w:val="006276D5"/>
    <w:pPr>
      <w:spacing w:before="20" w:after="20" w:line="240" w:lineRule="auto"/>
    </w:pPr>
    <w:rPr>
      <w:rFonts w:ascii="Arial Narrow" w:hAnsi="Arial Narrow"/>
      <w:sz w:val="20"/>
    </w:rPr>
  </w:style>
  <w:style w:type="paragraph" w:customStyle="1" w:styleId="TableHeading0">
    <w:name w:val="TableHeading"/>
    <w:basedOn w:val="Normal"/>
    <w:link w:val="TableHeadingChar"/>
    <w:qFormat/>
    <w:rsid w:val="00405F82"/>
    <w:pPr>
      <w:keepNext/>
      <w:widowControl w:val="0"/>
      <w:spacing w:before="120" w:after="60" w:line="240" w:lineRule="auto"/>
    </w:pPr>
    <w:rPr>
      <w:rFonts w:ascii="Arial Narrow" w:eastAsia="Times New Roman" w:hAnsi="Arial Narrow" w:cs="Times New Roman"/>
      <w:b/>
      <w:bCs/>
      <w:sz w:val="20"/>
      <w:szCs w:val="20"/>
      <w:lang w:eastAsia="en-AU"/>
    </w:rPr>
  </w:style>
  <w:style w:type="paragraph" w:styleId="CommentText">
    <w:name w:val="annotation text"/>
    <w:basedOn w:val="Normal"/>
    <w:link w:val="CommentTextChar"/>
    <w:unhideWhenUsed/>
    <w:rsid w:val="00254DDD"/>
    <w:pPr>
      <w:spacing w:before="120"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rsid w:val="00254DDD"/>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254DDD"/>
    <w:rPr>
      <w:sz w:val="16"/>
      <w:szCs w:val="16"/>
    </w:rPr>
  </w:style>
  <w:style w:type="character" w:customStyle="1" w:styleId="TableTextChar0">
    <w:name w:val="Table Text Char"/>
    <w:basedOn w:val="DefaultParagraphFont"/>
    <w:link w:val="TableText0"/>
    <w:rsid w:val="006276D5"/>
    <w:rPr>
      <w:rFonts w:ascii="Arial Narrow" w:hAnsi="Arial Narrow"/>
      <w:sz w:val="20"/>
    </w:rPr>
  </w:style>
  <w:style w:type="character" w:customStyle="1" w:styleId="TableHeadingChar">
    <w:name w:val="TableHeading Char"/>
    <w:link w:val="TableHeading0"/>
    <w:rsid w:val="00405F82"/>
    <w:rPr>
      <w:rFonts w:ascii="Arial Narrow" w:eastAsia="Times New Roman" w:hAnsi="Arial Narrow" w:cs="Times New Roman"/>
      <w:b/>
      <w:bCs/>
      <w:sz w:val="20"/>
      <w:szCs w:val="20"/>
      <w:lang w:eastAsia="en-AU"/>
    </w:rPr>
  </w:style>
  <w:style w:type="paragraph" w:styleId="BalloonText">
    <w:name w:val="Balloon Text"/>
    <w:basedOn w:val="Normal"/>
    <w:link w:val="BalloonTextChar"/>
    <w:uiPriority w:val="99"/>
    <w:semiHidden/>
    <w:unhideWhenUsed/>
    <w:rsid w:val="00254DDD"/>
    <w:pPr>
      <w:spacing w:before="12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D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54DDD"/>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254DDD"/>
    <w:rPr>
      <w:rFonts w:ascii="Calibri" w:eastAsia="Times New Roman" w:hAnsi="Calibri" w:cs="Times New Roman"/>
      <w:b/>
      <w:bCs/>
      <w:color w:val="000000"/>
      <w:sz w:val="20"/>
      <w:szCs w:val="20"/>
      <w:lang w:eastAsia="en-AU"/>
    </w:rPr>
  </w:style>
  <w:style w:type="table" w:customStyle="1" w:styleId="MSAC">
    <w:name w:val="MSAC"/>
    <w:basedOn w:val="TableNormal"/>
    <w:next w:val="TableGrid"/>
    <w:locked/>
    <w:rsid w:val="00572466"/>
    <w:pPr>
      <w:widowControl w:val="0"/>
      <w:spacing w:before="20" w:after="2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Arial Black" w:hAnsi="Arial Black"/>
        <w:b/>
        <w:sz w:val="20"/>
      </w:rPr>
      <w:tblPr/>
      <w:trPr>
        <w:tblHeader/>
      </w:trPr>
      <w:tcPr>
        <w:vAlign w:val="top"/>
      </w:tc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572466"/>
    <w:rPr>
      <w:rFonts w:ascii="Arial Narrow" w:eastAsia="Times New Roman" w:hAnsi="Arial Narrow" w:cs="Times New Roman"/>
      <w:b/>
      <w:bCs/>
      <w:sz w:val="20"/>
      <w:szCs w:val="20"/>
    </w:rPr>
  </w:style>
  <w:style w:type="paragraph" w:customStyle="1" w:styleId="TableFigNote">
    <w:name w:val="TableFigNote"/>
    <w:basedOn w:val="Normal"/>
    <w:qFormat/>
    <w:rsid w:val="00254DDD"/>
    <w:pPr>
      <w:spacing w:before="120" w:after="360" w:line="240" w:lineRule="auto"/>
      <w:contextualSpacing/>
    </w:pPr>
    <w:rPr>
      <w:rFonts w:ascii="Franklin Gothic Book" w:hAnsi="Franklin Gothic Book"/>
      <w:sz w:val="18"/>
    </w:rPr>
  </w:style>
  <w:style w:type="paragraph" w:styleId="ListParagraph">
    <w:name w:val="List Paragraph"/>
    <w:basedOn w:val="Normal"/>
    <w:link w:val="ListParagraphChar"/>
    <w:uiPriority w:val="34"/>
    <w:qFormat/>
    <w:rsid w:val="00254DDD"/>
    <w:pPr>
      <w:spacing w:before="120"/>
      <w:ind w:left="720"/>
      <w:contextualSpacing/>
    </w:pPr>
    <w:rPr>
      <w:rFonts w:ascii="Franklin Gothic Book" w:hAnsi="Franklin Gothic Book"/>
    </w:rPr>
  </w:style>
  <w:style w:type="paragraph" w:customStyle="1" w:styleId="TableName">
    <w:name w:val="TableName"/>
    <w:basedOn w:val="Normal"/>
    <w:qFormat/>
    <w:rsid w:val="00254DDD"/>
    <w:pPr>
      <w:keepNext/>
      <w:spacing w:before="120"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254DDD"/>
    <w:pPr>
      <w:ind w:left="142" w:hanging="142"/>
    </w:pPr>
  </w:style>
  <w:style w:type="paragraph" w:customStyle="1" w:styleId="TableTextCA">
    <w:name w:val="Table Text CA"/>
    <w:basedOn w:val="TableText0"/>
    <w:qFormat/>
    <w:rsid w:val="00254DDD"/>
    <w:pPr>
      <w:jc w:val="center"/>
    </w:pPr>
  </w:style>
  <w:style w:type="paragraph" w:customStyle="1" w:styleId="TableHeadingCA">
    <w:name w:val="Table Heading CA"/>
    <w:basedOn w:val="TableHeading1"/>
    <w:qFormat/>
    <w:rsid w:val="00254DDD"/>
    <w:pPr>
      <w:jc w:val="center"/>
    </w:pPr>
  </w:style>
  <w:style w:type="paragraph" w:customStyle="1" w:styleId="TableHeading1">
    <w:name w:val="Table Heading"/>
    <w:basedOn w:val="Normal"/>
    <w:qFormat/>
    <w:rsid w:val="006276D5"/>
    <w:pPr>
      <w:spacing w:before="20" w:after="20" w:line="240" w:lineRule="auto"/>
    </w:pPr>
    <w:rPr>
      <w:rFonts w:ascii="Arial Narrow" w:hAnsi="Arial Narrow"/>
      <w:b/>
      <w:sz w:val="20"/>
    </w:rPr>
  </w:style>
  <w:style w:type="paragraph" w:customStyle="1" w:styleId="TableFigNoteLast">
    <w:name w:val="TableFigNote Last"/>
    <w:basedOn w:val="TableFigNote"/>
    <w:qFormat/>
    <w:rsid w:val="00254DDD"/>
  </w:style>
  <w:style w:type="paragraph" w:customStyle="1" w:styleId="2ChapterText">
    <w:name w:val="2ChapterText"/>
    <w:basedOn w:val="Normal"/>
    <w:qFormat/>
    <w:rsid w:val="00254DDD"/>
    <w:pPr>
      <w:spacing w:before="120"/>
    </w:pPr>
    <w:rPr>
      <w:rFonts w:ascii="Franklin Gothic Book" w:hAnsi="Franklin Gothic Book"/>
      <w:shd w:val="clear" w:color="auto" w:fill="B4C6E7" w:themeFill="accent1" w:themeFillTint="66"/>
    </w:rPr>
  </w:style>
  <w:style w:type="paragraph" w:customStyle="1" w:styleId="1ExplanatoryText">
    <w:name w:val="1ExplanatoryText"/>
    <w:basedOn w:val="Normal"/>
    <w:qFormat/>
    <w:rsid w:val="00254DDD"/>
    <w:pPr>
      <w:shd w:val="clear" w:color="auto" w:fill="C5E0B3" w:themeFill="accent6" w:themeFillTint="66"/>
      <w:spacing w:before="120"/>
    </w:pPr>
    <w:rPr>
      <w:rFonts w:ascii="Franklin Gothic Book" w:hAnsi="Franklin Gothic Book"/>
    </w:rPr>
  </w:style>
  <w:style w:type="character" w:styleId="Hyperlink">
    <w:name w:val="Hyperlink"/>
    <w:basedOn w:val="DefaultParagraphFont"/>
    <w:uiPriority w:val="99"/>
    <w:unhideWhenUsed/>
    <w:rsid w:val="00254DDD"/>
    <w:rPr>
      <w:color w:val="0070C0"/>
      <w:u w:val="single"/>
    </w:rPr>
  </w:style>
  <w:style w:type="paragraph" w:styleId="TOC1">
    <w:name w:val="toc 1"/>
    <w:basedOn w:val="Normal"/>
    <w:next w:val="Normal"/>
    <w:autoRedefine/>
    <w:uiPriority w:val="39"/>
    <w:unhideWhenUsed/>
    <w:rsid w:val="00254DDD"/>
    <w:pPr>
      <w:tabs>
        <w:tab w:val="left" w:pos="1100"/>
        <w:tab w:val="left" w:pos="1531"/>
        <w:tab w:val="right" w:leader="dot" w:pos="9010"/>
      </w:tabs>
      <w:spacing w:before="120" w:after="100" w:line="240" w:lineRule="auto"/>
    </w:pPr>
    <w:rPr>
      <w:b/>
    </w:rPr>
  </w:style>
  <w:style w:type="paragraph" w:styleId="TOC2">
    <w:name w:val="toc 2"/>
    <w:basedOn w:val="Normal"/>
    <w:next w:val="Normal"/>
    <w:autoRedefine/>
    <w:uiPriority w:val="39"/>
    <w:unhideWhenUsed/>
    <w:rsid w:val="00254DDD"/>
    <w:pPr>
      <w:tabs>
        <w:tab w:val="left" w:pos="1089"/>
        <w:tab w:val="right" w:leader="dot" w:pos="9010"/>
      </w:tabs>
      <w:spacing w:before="120" w:after="100" w:line="240" w:lineRule="auto"/>
    </w:pPr>
  </w:style>
  <w:style w:type="paragraph" w:styleId="TOC3">
    <w:name w:val="toc 3"/>
    <w:basedOn w:val="Normal"/>
    <w:next w:val="Normal"/>
    <w:autoRedefine/>
    <w:uiPriority w:val="39"/>
    <w:unhideWhenUsed/>
    <w:rsid w:val="00254DDD"/>
    <w:pPr>
      <w:spacing w:before="120" w:after="100" w:line="240" w:lineRule="auto"/>
      <w:ind w:left="720"/>
    </w:pPr>
  </w:style>
  <w:style w:type="character" w:styleId="FollowedHyperlink">
    <w:name w:val="FollowedHyperlink"/>
    <w:basedOn w:val="DefaultParagraphFont"/>
    <w:uiPriority w:val="99"/>
    <w:semiHidden/>
    <w:unhideWhenUsed/>
    <w:rsid w:val="00254DDD"/>
    <w:rPr>
      <w:color w:val="954F72" w:themeColor="followedHyperlink"/>
      <w:u w:val="single"/>
    </w:rPr>
  </w:style>
  <w:style w:type="paragraph" w:styleId="TOC9">
    <w:name w:val="toc 9"/>
    <w:basedOn w:val="Normal"/>
    <w:next w:val="Normal"/>
    <w:autoRedefine/>
    <w:uiPriority w:val="39"/>
    <w:unhideWhenUsed/>
    <w:rsid w:val="00254DDD"/>
    <w:pPr>
      <w:spacing w:before="120" w:after="100"/>
      <w:ind w:left="1760"/>
    </w:pPr>
    <w:rPr>
      <w:rFonts w:ascii="Franklin Gothic Book" w:hAnsi="Franklin Gothic Book"/>
    </w:rPr>
  </w:style>
  <w:style w:type="paragraph" w:customStyle="1" w:styleId="PublicationTitle">
    <w:name w:val="PublicationTitle"/>
    <w:basedOn w:val="Normal"/>
    <w:rsid w:val="00254DDD"/>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254DDD"/>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254DDD"/>
    <w:pPr>
      <w:numPr>
        <w:numId w:val="1"/>
      </w:numPr>
      <w:spacing w:before="120"/>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254DDD"/>
    <w:pPr>
      <w:pageBreakBefore w:val="0"/>
      <w:pBdr>
        <w:bottom w:val="none" w:sz="0" w:space="0" w:color="auto"/>
      </w:pBdr>
      <w:spacing w:before="240" w:after="0"/>
      <w:outlineLvl w:val="9"/>
    </w:pPr>
    <w:rPr>
      <w:b w:val="0"/>
      <w:color w:val="2F5496" w:themeColor="accent1" w:themeShade="BF"/>
      <w:sz w:val="32"/>
      <w:lang w:val="en-US"/>
    </w:rPr>
  </w:style>
  <w:style w:type="paragraph" w:styleId="TOC4">
    <w:name w:val="toc 4"/>
    <w:basedOn w:val="Normal"/>
    <w:next w:val="Normal"/>
    <w:autoRedefine/>
    <w:uiPriority w:val="39"/>
    <w:unhideWhenUsed/>
    <w:rsid w:val="00254DDD"/>
    <w:pPr>
      <w:spacing w:before="120" w:after="100"/>
      <w:ind w:left="660"/>
    </w:pPr>
    <w:rPr>
      <w:rFonts w:eastAsiaTheme="minorEastAsia"/>
      <w:lang w:eastAsia="en-AU"/>
    </w:rPr>
  </w:style>
  <w:style w:type="paragraph" w:styleId="TOC5">
    <w:name w:val="toc 5"/>
    <w:basedOn w:val="Normal"/>
    <w:next w:val="Normal"/>
    <w:autoRedefine/>
    <w:uiPriority w:val="39"/>
    <w:unhideWhenUsed/>
    <w:rsid w:val="00254DDD"/>
    <w:pPr>
      <w:spacing w:before="120" w:after="100"/>
      <w:ind w:left="880"/>
    </w:pPr>
    <w:rPr>
      <w:rFonts w:eastAsiaTheme="minorEastAsia"/>
      <w:lang w:eastAsia="en-AU"/>
    </w:rPr>
  </w:style>
  <w:style w:type="paragraph" w:styleId="TOC6">
    <w:name w:val="toc 6"/>
    <w:basedOn w:val="Normal"/>
    <w:next w:val="Normal"/>
    <w:autoRedefine/>
    <w:uiPriority w:val="39"/>
    <w:unhideWhenUsed/>
    <w:rsid w:val="00254DDD"/>
    <w:pPr>
      <w:spacing w:before="120" w:after="100"/>
      <w:ind w:left="1100"/>
    </w:pPr>
    <w:rPr>
      <w:rFonts w:eastAsiaTheme="minorEastAsia"/>
      <w:lang w:eastAsia="en-AU"/>
    </w:rPr>
  </w:style>
  <w:style w:type="paragraph" w:styleId="TOC7">
    <w:name w:val="toc 7"/>
    <w:basedOn w:val="Normal"/>
    <w:next w:val="Normal"/>
    <w:autoRedefine/>
    <w:uiPriority w:val="39"/>
    <w:unhideWhenUsed/>
    <w:rsid w:val="00254DDD"/>
    <w:pPr>
      <w:spacing w:before="120" w:after="100"/>
      <w:ind w:left="1320"/>
    </w:pPr>
    <w:rPr>
      <w:rFonts w:eastAsiaTheme="minorEastAsia"/>
      <w:lang w:eastAsia="en-AU"/>
    </w:rPr>
  </w:style>
  <w:style w:type="paragraph" w:styleId="TOC8">
    <w:name w:val="toc 8"/>
    <w:basedOn w:val="Normal"/>
    <w:next w:val="Normal"/>
    <w:autoRedefine/>
    <w:uiPriority w:val="39"/>
    <w:unhideWhenUsed/>
    <w:rsid w:val="00254DDD"/>
    <w:pPr>
      <w:spacing w:before="120" w:after="100"/>
      <w:ind w:left="1540"/>
    </w:pPr>
    <w:rPr>
      <w:rFonts w:eastAsiaTheme="minorEastAsia"/>
      <w:lang w:eastAsia="en-AU"/>
    </w:rPr>
  </w:style>
  <w:style w:type="paragraph" w:customStyle="1" w:styleId="In-tableHeading">
    <w:name w:val="In-table Heading"/>
    <w:qFormat/>
    <w:rsid w:val="00D0260C"/>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next w:val="BodyText"/>
    <w:link w:val="TableFigureFooterChar"/>
    <w:qFormat/>
    <w:rsid w:val="006276D5"/>
    <w:pPr>
      <w:tabs>
        <w:tab w:val="left" w:pos="284"/>
      </w:tabs>
      <w:spacing w:before="120" w:after="360" w:line="240" w:lineRule="auto"/>
      <w:contextualSpacing/>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6276D5"/>
    <w:rPr>
      <w:rFonts w:ascii="Arial Narrow" w:eastAsia="Times New Roman" w:hAnsi="Arial Narrow" w:cs="Arial"/>
      <w:snapToGrid w:val="0"/>
      <w:sz w:val="18"/>
      <w:lang w:eastAsia="en-AU"/>
    </w:rPr>
  </w:style>
  <w:style w:type="character" w:styleId="Emphasis">
    <w:name w:val="Emphasis"/>
    <w:uiPriority w:val="20"/>
    <w:qFormat/>
    <w:rsid w:val="00254DDD"/>
    <w:rPr>
      <w:i/>
      <w:iCs/>
    </w:rPr>
  </w:style>
  <w:style w:type="paragraph" w:customStyle="1" w:styleId="Tablenotes">
    <w:name w:val="Tablenotes"/>
    <w:basedOn w:val="Normal"/>
    <w:link w:val="TablenotesChar"/>
    <w:qFormat/>
    <w:rsid w:val="00254DDD"/>
    <w:pPr>
      <w:widowControl w:val="0"/>
      <w:spacing w:before="120"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54DDD"/>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254DDD"/>
    <w:rPr>
      <w:rFonts w:ascii="Franklin Gothic Book" w:hAnsi="Franklin Gothic Book"/>
    </w:rPr>
  </w:style>
  <w:style w:type="table" w:styleId="PlainTable1">
    <w:name w:val="Plain Table 1"/>
    <w:basedOn w:val="TableNormal"/>
    <w:uiPriority w:val="41"/>
    <w:rsid w:val="006276D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
    <w:name w:val="Bullet"/>
    <w:basedOn w:val="Normal"/>
    <w:qFormat/>
    <w:rsid w:val="00254DDD"/>
    <w:pPr>
      <w:numPr>
        <w:numId w:val="2"/>
      </w:numPr>
      <w:spacing w:before="120" w:after="120" w:line="240" w:lineRule="auto"/>
    </w:pPr>
  </w:style>
  <w:style w:type="paragraph" w:customStyle="1" w:styleId="TableFigureHeading">
    <w:name w:val="Table/Figure Heading"/>
    <w:next w:val="In-tableHeading"/>
    <w:link w:val="TableFigureHeadingChar"/>
    <w:qFormat/>
    <w:rsid w:val="00254DDD"/>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254DDD"/>
    <w:rPr>
      <w:rFonts w:ascii="Arial Narrow" w:eastAsiaTheme="majorEastAsia" w:hAnsi="Arial Narrow" w:cstheme="majorBidi"/>
      <w:b/>
      <w:bCs/>
      <w:sz w:val="20"/>
      <w:szCs w:val="24"/>
      <w:lang w:eastAsia="en-AU"/>
    </w:rPr>
  </w:style>
  <w:style w:type="character" w:customStyle="1" w:styleId="TabletextChar">
    <w:name w:val="Table text Char"/>
    <w:link w:val="Tabletext"/>
    <w:uiPriority w:val="4"/>
    <w:rsid w:val="00254DDD"/>
    <w:rPr>
      <w:rFonts w:ascii="Arial Narrow" w:eastAsia="Calibri" w:hAnsi="Arial Narrow" w:cs="Times New Roman"/>
      <w:sz w:val="20"/>
    </w:rPr>
  </w:style>
  <w:style w:type="paragraph" w:customStyle="1" w:styleId="Tablenotes0">
    <w:name w:val="Table notes"/>
    <w:basedOn w:val="Normal"/>
    <w:link w:val="TablenotesChar0"/>
    <w:qFormat/>
    <w:rsid w:val="00254DDD"/>
    <w:pPr>
      <w:spacing w:before="120"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254DDD"/>
    <w:rPr>
      <w:rFonts w:ascii="Arial Narrow" w:hAnsi="Arial Narrow" w:cs="Arial"/>
      <w:sz w:val="18"/>
    </w:rPr>
  </w:style>
  <w:style w:type="numbering" w:customStyle="1" w:styleId="ESSectionheading-numbered">
    <w:name w:val="ES. Section heading - numbered"/>
    <w:uiPriority w:val="99"/>
    <w:rsid w:val="00254DDD"/>
    <w:pPr>
      <w:numPr>
        <w:numId w:val="3"/>
      </w:numPr>
    </w:pPr>
  </w:style>
  <w:style w:type="paragraph" w:customStyle="1" w:styleId="2-SectionHeading">
    <w:name w:val="2-Section Heading"/>
    <w:qFormat/>
    <w:rsid w:val="00254DDD"/>
    <w:pPr>
      <w:keepNext/>
      <w:numPr>
        <w:numId w:val="4"/>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254DDD"/>
    <w:pPr>
      <w:numPr>
        <w:ilvl w:val="1"/>
        <w:numId w:val="4"/>
      </w:numPr>
      <w:tabs>
        <w:tab w:val="num" w:pos="643"/>
      </w:tabs>
      <w:spacing w:after="120" w:line="240" w:lineRule="auto"/>
      <w:ind w:left="643" w:hanging="360"/>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54DDD"/>
    <w:pPr>
      <w:pBdr>
        <w:top w:val="single" w:sz="4" w:space="4" w:color="auto"/>
        <w:left w:val="single" w:sz="4" w:space="4" w:color="auto"/>
        <w:bottom w:val="single" w:sz="4" w:space="4" w:color="auto"/>
        <w:right w:val="single" w:sz="4" w:space="4" w:color="auto"/>
      </w:pBdr>
      <w:spacing w:before="120"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254DD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254DDD"/>
    <w:pPr>
      <w:numPr>
        <w:numId w:val="5"/>
      </w:numPr>
      <w:spacing w:before="120"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254DDD"/>
    <w:rPr>
      <w:rFonts w:ascii="Arial Narrow" w:eastAsia="Times New Roman" w:hAnsi="Arial Narrow" w:cs="Arial"/>
      <w:sz w:val="18"/>
      <w:szCs w:val="20"/>
    </w:rPr>
  </w:style>
  <w:style w:type="paragraph" w:customStyle="1" w:styleId="TableFooter">
    <w:name w:val="Table Footer"/>
    <w:basedOn w:val="Normal"/>
    <w:link w:val="TableFooterChar"/>
    <w:qFormat/>
    <w:rsid w:val="00254DDD"/>
    <w:pPr>
      <w:widowControl w:val="0"/>
      <w:snapToGrid w:val="0"/>
      <w:spacing w:before="120"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
    <w:uiPriority w:val="99"/>
    <w:rsid w:val="00254DDD"/>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ahnschrift SemiBold" w:hAnsi="Bahnschrift SemiBold"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ahnschrift SemiBold" w:hAnsi="Bahnschrift SemiBold"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ahnschrift SemiBold" w:hAnsi="Bahnschrift SemiBold"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
    <w:name w:val="Table Grid 1"/>
    <w:basedOn w:val="TableNormal"/>
    <w:uiPriority w:val="99"/>
    <w:semiHidden/>
    <w:unhideWhenUsed/>
    <w:rsid w:val="00254D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254DDD"/>
    <w:rPr>
      <w:rFonts w:ascii="Times New Roman" w:hAnsi="Times New Roman" w:cs="Times New Roman"/>
      <w:sz w:val="24"/>
    </w:rPr>
  </w:style>
  <w:style w:type="paragraph" w:customStyle="1" w:styleId="MSACESParagraph">
    <w:name w:val="MSAC ES Paragraph"/>
    <w:link w:val="MSACESParagraphChar"/>
    <w:uiPriority w:val="1"/>
    <w:qFormat/>
    <w:rsid w:val="00254DDD"/>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254DDD"/>
    <w:pPr>
      <w:spacing w:before="120" w:after="0" w:line="240" w:lineRule="auto"/>
    </w:pPr>
    <w:rPr>
      <w:sz w:val="18"/>
      <w:szCs w:val="20"/>
    </w:rPr>
  </w:style>
  <w:style w:type="character" w:customStyle="1" w:styleId="FootnoteTextChar">
    <w:name w:val="Footnote Text Char"/>
    <w:basedOn w:val="DefaultParagraphFont"/>
    <w:link w:val="FootnoteText"/>
    <w:uiPriority w:val="99"/>
    <w:rsid w:val="00254DDD"/>
    <w:rPr>
      <w:sz w:val="18"/>
      <w:szCs w:val="20"/>
    </w:rPr>
  </w:style>
  <w:style w:type="character" w:styleId="FootnoteReference">
    <w:name w:val="footnote reference"/>
    <w:basedOn w:val="DefaultParagraphFont"/>
    <w:uiPriority w:val="99"/>
    <w:unhideWhenUsed/>
    <w:rsid w:val="00254DDD"/>
    <w:rPr>
      <w:vertAlign w:val="superscript"/>
    </w:rPr>
  </w:style>
  <w:style w:type="paragraph" w:customStyle="1" w:styleId="TableFigNoteHanging">
    <w:name w:val="TableFigNoteHanging"/>
    <w:basedOn w:val="TableFigNoteHangingLast"/>
    <w:qFormat/>
    <w:rsid w:val="00254DDD"/>
    <w:pPr>
      <w:spacing w:after="0"/>
      <w:contextualSpacing w:val="0"/>
    </w:pPr>
    <w:rPr>
      <w:rFonts w:asciiTheme="minorHAnsi" w:hAnsiTheme="minorHAnsi"/>
    </w:rPr>
  </w:style>
  <w:style w:type="table" w:customStyle="1" w:styleId="MSACdefault">
    <w:name w:val="MSAC default"/>
    <w:basedOn w:val="TableNormal"/>
    <w:uiPriority w:val="99"/>
    <w:rsid w:val="00572466"/>
    <w:pPr>
      <w:spacing w:before="20" w:after="20" w:line="240" w:lineRule="auto"/>
    </w:pPr>
    <w:rPr>
      <w:rFonts w:ascii="Arial Narrow" w:hAnsi="Arial Narrow"/>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vAlign w:val="top"/>
      </w:tcPr>
    </w:tblStylePr>
  </w:style>
  <w:style w:type="paragraph" w:customStyle="1" w:styleId="Summaryboxheading">
    <w:name w:val="Summary box heading"/>
    <w:basedOn w:val="Normal"/>
    <w:rsid w:val="00254DDD"/>
    <w:pPr>
      <w:spacing w:before="120"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254DDD"/>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254DDD"/>
    <w:rPr>
      <w:rFonts w:ascii="Arial Narrow" w:eastAsia="Times New Roman" w:hAnsi="Arial Narrow" w:cs="Tahoma"/>
      <w:sz w:val="18"/>
      <w:lang w:eastAsia="en-AU"/>
    </w:rPr>
  </w:style>
  <w:style w:type="paragraph" w:customStyle="1" w:styleId="References">
    <w:name w:val="References"/>
    <w:basedOn w:val="Normal"/>
    <w:rsid w:val="00254DDD"/>
    <w:pPr>
      <w:keepLines/>
      <w:spacing w:before="120" w:after="240" w:line="312" w:lineRule="auto"/>
      <w:ind w:left="1440" w:hanging="720"/>
    </w:pPr>
    <w:rPr>
      <w:rFonts w:ascii="Calibri" w:eastAsia="Times New Roman" w:hAnsi="Calibri" w:cs="Tahoma"/>
      <w:lang w:eastAsia="en-AU"/>
    </w:rPr>
  </w:style>
  <w:style w:type="character" w:customStyle="1" w:styleId="Heading5Char">
    <w:name w:val="Heading 5 Char"/>
    <w:basedOn w:val="DefaultParagraphFont"/>
    <w:link w:val="Heading5"/>
    <w:uiPriority w:val="9"/>
    <w:semiHidden/>
    <w:rsid w:val="00E125C0"/>
    <w:rPr>
      <w:rFonts w:asciiTheme="majorHAnsi" w:eastAsiaTheme="majorEastAsia" w:hAnsiTheme="majorHAnsi" w:cstheme="majorBidi"/>
      <w:b/>
      <w:color w:val="3B3838" w:themeColor="background2" w:themeShade="40"/>
    </w:rPr>
  </w:style>
  <w:style w:type="paragraph" w:customStyle="1" w:styleId="NormalBeforeBullet">
    <w:name w:val="Normal Before Bullet"/>
    <w:basedOn w:val="Normal"/>
    <w:qFormat/>
    <w:rsid w:val="00254DDD"/>
    <w:pPr>
      <w:keepNext/>
      <w:spacing w:before="120" w:after="120" w:line="240" w:lineRule="auto"/>
    </w:pPr>
  </w:style>
  <w:style w:type="paragraph" w:customStyle="1" w:styleId="Dash">
    <w:name w:val="Dash"/>
    <w:basedOn w:val="Bullet"/>
    <w:qFormat/>
    <w:rsid w:val="00254DDD"/>
    <w:pPr>
      <w:numPr>
        <w:numId w:val="6"/>
      </w:numPr>
      <w:spacing w:after="40"/>
      <w:ind w:left="714" w:hanging="357"/>
    </w:pPr>
  </w:style>
  <w:style w:type="character" w:customStyle="1" w:styleId="UnresolvedMention1">
    <w:name w:val="Unresolved Mention1"/>
    <w:basedOn w:val="DefaultParagraphFont"/>
    <w:uiPriority w:val="99"/>
    <w:semiHidden/>
    <w:unhideWhenUsed/>
    <w:rsid w:val="00254DDD"/>
    <w:rPr>
      <w:color w:val="605E5C"/>
      <w:shd w:val="clear" w:color="auto" w:fill="E1DFDD"/>
    </w:rPr>
  </w:style>
  <w:style w:type="paragraph" w:customStyle="1" w:styleId="Instructionaltext-bullet">
    <w:name w:val="Instructional text - bullet"/>
    <w:basedOn w:val="Instructionaltext"/>
    <w:qFormat/>
    <w:rsid w:val="00254DDD"/>
    <w:pPr>
      <w:numPr>
        <w:numId w:val="7"/>
      </w:numPr>
      <w:tabs>
        <w:tab w:val="num" w:pos="360"/>
      </w:tabs>
      <w:spacing w:before="0" w:after="0"/>
      <w:ind w:left="714" w:hanging="357"/>
    </w:pPr>
  </w:style>
  <w:style w:type="paragraph" w:customStyle="1" w:styleId="Instructionaltext-afterfiguretable">
    <w:name w:val="Instructional text - after figure/table"/>
    <w:basedOn w:val="Instructionaltext"/>
    <w:qFormat/>
    <w:rsid w:val="00254DDD"/>
    <w:pPr>
      <w:spacing w:before="360"/>
    </w:pPr>
  </w:style>
  <w:style w:type="paragraph" w:customStyle="1" w:styleId="Guidelinescross-ref">
    <w:name w:val="Guidelines cross-ref"/>
    <w:basedOn w:val="Normal"/>
    <w:qFormat/>
    <w:rsid w:val="00D0260C"/>
    <w:pPr>
      <w:spacing w:before="240" w:after="240"/>
    </w:pPr>
    <w:rPr>
      <w:rFonts w:ascii="Segoe UI Light" w:hAnsi="Segoe UI Light"/>
      <w:color w:val="7030A0"/>
      <w:sz w:val="20"/>
    </w:rPr>
  </w:style>
  <w:style w:type="paragraph" w:styleId="Revision">
    <w:name w:val="Revision"/>
    <w:hidden/>
    <w:uiPriority w:val="99"/>
    <w:semiHidden/>
    <w:rsid w:val="00254DDD"/>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54DDD"/>
    <w:rPr>
      <w:color w:val="605E5C"/>
      <w:shd w:val="clear" w:color="auto" w:fill="E1DFDD"/>
    </w:rPr>
  </w:style>
  <w:style w:type="character" w:customStyle="1" w:styleId="UnresolvedMention3">
    <w:name w:val="Unresolved Mention3"/>
    <w:basedOn w:val="DefaultParagraphFont"/>
    <w:uiPriority w:val="99"/>
    <w:semiHidden/>
    <w:unhideWhenUsed/>
    <w:rsid w:val="00254DDD"/>
    <w:rPr>
      <w:color w:val="605E5C"/>
      <w:shd w:val="clear" w:color="auto" w:fill="E1DFDD"/>
    </w:rPr>
  </w:style>
  <w:style w:type="paragraph" w:customStyle="1" w:styleId="H12a">
    <w:name w:val="H1 (2a)"/>
    <w:basedOn w:val="Heading1"/>
    <w:qFormat/>
    <w:rsid w:val="00FC5DC9"/>
    <w:pPr>
      <w:numPr>
        <w:numId w:val="8"/>
      </w:numPr>
    </w:pPr>
  </w:style>
  <w:style w:type="paragraph" w:customStyle="1" w:styleId="H22a">
    <w:name w:val="H2 (2a)"/>
    <w:basedOn w:val="Heading2"/>
    <w:qFormat/>
    <w:rsid w:val="00E125C0"/>
    <w:pPr>
      <w:ind w:left="1928" w:hanging="1928"/>
    </w:pPr>
  </w:style>
  <w:style w:type="paragraph" w:customStyle="1" w:styleId="H12b">
    <w:name w:val="H1 (2b)"/>
    <w:basedOn w:val="H12a"/>
    <w:qFormat/>
    <w:rsid w:val="00FC5DC9"/>
    <w:pPr>
      <w:numPr>
        <w:numId w:val="0"/>
      </w:numPr>
    </w:pPr>
  </w:style>
  <w:style w:type="paragraph" w:customStyle="1" w:styleId="H22b">
    <w:name w:val="H2 (2b)"/>
    <w:basedOn w:val="H22a"/>
    <w:qFormat/>
    <w:rsid w:val="008D5A89"/>
    <w:pPr>
      <w:ind w:left="0" w:firstLine="0"/>
    </w:pPr>
  </w:style>
  <w:style w:type="paragraph" w:customStyle="1" w:styleId="TableHeadingcent">
    <w:name w:val="TableHeading (cent)"/>
    <w:basedOn w:val="TableHeading0"/>
    <w:qFormat/>
    <w:rsid w:val="00405F82"/>
    <w:pPr>
      <w:jc w:val="center"/>
    </w:pPr>
    <w:rPr>
      <w:bCs w:val="0"/>
    </w:rPr>
  </w:style>
  <w:style w:type="table" w:customStyle="1" w:styleId="MSACLeft">
    <w:name w:val="MSAC Left"/>
    <w:basedOn w:val="TableNormal"/>
    <w:uiPriority w:val="99"/>
    <w:rsid w:val="007C0DC5"/>
    <w:pPr>
      <w:spacing w:after="0" w:line="240" w:lineRule="auto"/>
    </w:pPr>
    <w:tblPr/>
    <w:tblStylePr w:type="firstRow">
      <w:pPr>
        <w:jc w:val="left"/>
      </w:pPr>
      <w:rPr>
        <w:b/>
      </w:rPr>
    </w:tblStylePr>
  </w:style>
  <w:style w:type="paragraph" w:customStyle="1" w:styleId="H1Appendix">
    <w:name w:val="H1 Appendix"/>
    <w:qFormat/>
    <w:rsid w:val="00E125C0"/>
    <w:pPr>
      <w:pBdr>
        <w:bottom w:val="single" w:sz="2" w:space="1" w:color="auto"/>
      </w:pBdr>
    </w:pPr>
    <w:rPr>
      <w:rFonts w:asciiTheme="majorHAnsi" w:eastAsiaTheme="majorEastAsia" w:hAnsiTheme="majorHAnsi" w:cstheme="majorBidi"/>
      <w:b/>
      <w:sz w:val="40"/>
      <w:szCs w:val="32"/>
    </w:rPr>
  </w:style>
  <w:style w:type="paragraph" w:customStyle="1" w:styleId="H2Appendix">
    <w:name w:val="H2 Appendix"/>
    <w:next w:val="BodyText"/>
    <w:qFormat/>
    <w:rsid w:val="00E125C0"/>
    <w:pPr>
      <w:ind w:left="357" w:hanging="357"/>
    </w:pPr>
    <w:rPr>
      <w:rFonts w:asciiTheme="majorHAnsi" w:eastAsiaTheme="majorEastAsia" w:hAnsiTheme="majorHAnsi" w:cstheme="minorHAnsi"/>
      <w:color w:val="000000" w:themeColor="text1"/>
      <w:sz w:val="32"/>
      <w:szCs w:val="26"/>
    </w:rPr>
  </w:style>
  <w:style w:type="paragraph" w:customStyle="1" w:styleId="H3Appendix">
    <w:name w:val="H3 Appendix"/>
    <w:next w:val="BodyText"/>
    <w:qFormat/>
    <w:rsid w:val="00E125C0"/>
    <w:rPr>
      <w:rFonts w:asciiTheme="majorHAnsi" w:eastAsiaTheme="majorEastAsia" w:hAnsiTheme="majorHAnsi" w:cstheme="majorBidi"/>
      <w:b/>
      <w:sz w:val="24"/>
      <w:szCs w:val="24"/>
    </w:rPr>
  </w:style>
  <w:style w:type="paragraph" w:customStyle="1" w:styleId="H32a">
    <w:name w:val="H3 (2a)"/>
    <w:basedOn w:val="Heading3"/>
    <w:qFormat/>
    <w:rsid w:val="00E125C0"/>
    <w:pPr>
      <w:numPr>
        <w:numId w:val="8"/>
      </w:numPr>
    </w:pPr>
    <w:rPr>
      <w:rFonts w:asciiTheme="majorHAnsi" w:hAnsiTheme="majorHAnsi"/>
      <w:b/>
    </w:rPr>
  </w:style>
  <w:style w:type="paragraph" w:customStyle="1" w:styleId="H32b">
    <w:name w:val="H3 (2b)"/>
    <w:basedOn w:val="H32a"/>
    <w:qFormat/>
    <w:rsid w:val="008E33D8"/>
    <w:pPr>
      <w:numPr>
        <w:ilvl w:val="0"/>
        <w:numId w:val="0"/>
      </w:numPr>
    </w:pPr>
  </w:style>
  <w:style w:type="paragraph" w:customStyle="1" w:styleId="H1nonum">
    <w:name w:val="H1 nonum"/>
    <w:basedOn w:val="Heading1"/>
    <w:qFormat/>
    <w:rsid w:val="008E33D8"/>
  </w:style>
  <w:style w:type="paragraph" w:customStyle="1" w:styleId="H2ESnotoc">
    <w:name w:val="H2 ES notoc"/>
    <w:basedOn w:val="Heading2"/>
    <w:qFormat/>
    <w:rsid w:val="00E125C0"/>
  </w:style>
  <w:style w:type="paragraph" w:customStyle="1" w:styleId="H3ESnotoc">
    <w:name w:val="H3 ES notoc"/>
    <w:next w:val="BodyText"/>
    <w:qFormat/>
    <w:rsid w:val="00E125C0"/>
    <w:rPr>
      <w:rFonts w:asciiTheme="majorHAnsi" w:eastAsiaTheme="majorEastAsia" w:hAnsiTheme="majorHAnsi" w:cstheme="majorBidi"/>
      <w:b/>
      <w:sz w:val="24"/>
      <w:szCs w:val="24"/>
    </w:rPr>
  </w:style>
  <w:style w:type="character" w:customStyle="1" w:styleId="Heading7Char">
    <w:name w:val="Heading 7 Char"/>
    <w:basedOn w:val="DefaultParagraphFont"/>
    <w:link w:val="Heading7"/>
    <w:uiPriority w:val="9"/>
    <w:semiHidden/>
    <w:rsid w:val="00E125C0"/>
    <w:rPr>
      <w:rFonts w:asciiTheme="majorHAnsi" w:eastAsiaTheme="majorEastAsia" w:hAnsiTheme="majorHAnsi" w:cstheme="majorBidi"/>
      <w:i/>
      <w:iCs/>
      <w:color w:val="3B3838" w:themeColor="background2" w:themeShade="40"/>
    </w:rPr>
  </w:style>
  <w:style w:type="table" w:customStyle="1" w:styleId="TableGrid10">
    <w:name w:val="Table Grid1"/>
    <w:basedOn w:val="TableNormal"/>
    <w:next w:val="TableGrid"/>
    <w:rsid w:val="00992436"/>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ahnschrift Light SemiCondensed" w:hAnsi="Bahnschrift Light SemiCondensed"/>
        <w:b w:val="0"/>
        <w:sz w:val="20"/>
      </w:rPr>
    </w:tblStylePr>
  </w:style>
  <w:style w:type="paragraph" w:customStyle="1" w:styleId="TFAbbrevs18">
    <w:name w:val="TFAbbrevs+18"/>
    <w:basedOn w:val="Normal"/>
    <w:next w:val="Normal"/>
    <w:qFormat/>
    <w:rsid w:val="00992436"/>
    <w:pPr>
      <w:keepLines/>
      <w:spacing w:after="360" w:line="240" w:lineRule="auto"/>
      <w:contextualSpacing/>
    </w:pPr>
    <w:rPr>
      <w:rFonts w:ascii="Arial Narrow" w:eastAsia="Times New Roman" w:hAnsi="Arial Narrow" w:cs="Times New Roman"/>
      <w:color w:val="000000"/>
      <w:sz w:val="18"/>
      <w:szCs w:val="18"/>
      <w:lang w:eastAsia="en-AU"/>
    </w:rPr>
  </w:style>
  <w:style w:type="paragraph" w:customStyle="1" w:styleId="TableTextcenter">
    <w:name w:val="Table Text center"/>
    <w:basedOn w:val="Normal"/>
    <w:qFormat/>
    <w:rsid w:val="00992436"/>
    <w:pPr>
      <w:keepNext/>
      <w:spacing w:before="40" w:after="40" w:line="240" w:lineRule="auto"/>
      <w:jc w:val="center"/>
    </w:pPr>
    <w:rPr>
      <w:rFonts w:ascii="Arial Narrow" w:eastAsia="Times New Roman" w:hAnsi="Arial Narrow" w:cs="Tahoma"/>
      <w:sz w:val="20"/>
    </w:rPr>
  </w:style>
  <w:style w:type="paragraph" w:customStyle="1" w:styleId="TableTextLeft">
    <w:name w:val="Table Text Left"/>
    <w:basedOn w:val="Tabletext"/>
    <w:link w:val="TableTextLeftChar"/>
    <w:qFormat/>
    <w:rsid w:val="00992436"/>
    <w:pPr>
      <w:keepNext/>
      <w:spacing w:before="40" w:after="40"/>
    </w:pPr>
    <w:rPr>
      <w:rFonts w:eastAsia="Times New Roman" w:cs="Tahoma"/>
    </w:rPr>
  </w:style>
  <w:style w:type="character" w:customStyle="1" w:styleId="TableTextLeftChar">
    <w:name w:val="Table Text Left Char"/>
    <w:link w:val="TableTextLeft"/>
    <w:rsid w:val="00992436"/>
    <w:rPr>
      <w:rFonts w:ascii="Arial Narrow" w:eastAsia="Times New Roman" w:hAnsi="Arial Narrow" w:cs="Tahoma"/>
      <w:sz w:val="20"/>
    </w:rPr>
  </w:style>
  <w:style w:type="paragraph" w:customStyle="1" w:styleId="TableHeadingcenter">
    <w:name w:val="Table Heading center"/>
    <w:basedOn w:val="TableTextcenter"/>
    <w:next w:val="TableTextcenter"/>
    <w:qFormat/>
    <w:rsid w:val="00EF4FA2"/>
    <w:rPr>
      <w:b/>
    </w:rPr>
  </w:style>
  <w:style w:type="table" w:customStyle="1" w:styleId="HTATable">
    <w:name w:val="HTA Table"/>
    <w:basedOn w:val="TableNormal"/>
    <w:rsid w:val="00E1241A"/>
    <w:pPr>
      <w:spacing w:before="40" w:after="20" w:line="240" w:lineRule="auto"/>
      <w:jc w:val="center"/>
    </w:pPr>
    <w:rPr>
      <w:rFonts w:ascii="Arial Narrow" w:eastAsia="Times New Roman" w:hAnsi="Arial Narrow"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rPr>
        <w:rFonts w:ascii="Bahnschrift SemiLight SemiConde" w:hAnsi="Bahnschrift SemiLight SemiConde"/>
        <w:b/>
        <w:sz w:val="18"/>
      </w:rPr>
      <w:tblPr/>
      <w:tcPr>
        <w:tcBorders>
          <w:top w:val="single" w:sz="12" w:space="0" w:color="auto"/>
          <w:left w:val="single" w:sz="4" w:space="0" w:color="auto"/>
          <w:bottom w:val="single" w:sz="12" w:space="0" w:color="auto"/>
          <w:right w:val="single" w:sz="4" w:space="0" w:color="auto"/>
          <w:insideH w:val="single" w:sz="4" w:space="0" w:color="auto"/>
          <w:insideV w:val="single" w:sz="4" w:space="0" w:color="auto"/>
          <w:tl2br w:val="nil"/>
          <w:tr2bl w:val="nil"/>
        </w:tcBorders>
      </w:tcPr>
    </w:tblStylePr>
    <w:tblStylePr w:type="firstCol">
      <w:pPr>
        <w:jc w:val="left"/>
      </w:pPr>
    </w:tblStylePr>
    <w:tblStylePr w:type="nwCell">
      <w:pPr>
        <w:jc w:val="left"/>
      </w:pPr>
      <w:rPr>
        <w:b/>
      </w:rPr>
    </w:tblStylePr>
  </w:style>
  <w:style w:type="character" w:customStyle="1" w:styleId="cf01">
    <w:name w:val="cf01"/>
    <w:basedOn w:val="DefaultParagraphFont"/>
    <w:rsid w:val="003706EA"/>
    <w:rPr>
      <w:rFonts w:ascii="Segoe UI" w:hAnsi="Segoe UI" w:cs="Segoe UI" w:hint="default"/>
      <w:sz w:val="18"/>
      <w:szCs w:val="18"/>
    </w:rPr>
  </w:style>
  <w:style w:type="paragraph" w:customStyle="1" w:styleId="pf0">
    <w:name w:val="pf0"/>
    <w:basedOn w:val="Normal"/>
    <w:rsid w:val="00F0345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21">
    <w:name w:val="cf21"/>
    <w:basedOn w:val="DefaultParagraphFont"/>
    <w:rsid w:val="00520648"/>
    <w:rPr>
      <w:rFonts w:ascii="Segoe UI" w:hAnsi="Segoe UI" w:cs="Segoe UI" w:hint="default"/>
      <w:sz w:val="18"/>
      <w:szCs w:val="18"/>
    </w:rPr>
  </w:style>
  <w:style w:type="paragraph" w:customStyle="1" w:styleId="EndNoteBibliographyTitle">
    <w:name w:val="EndNote Bibliography Title"/>
    <w:basedOn w:val="Normal"/>
    <w:link w:val="EndNoteBibliographyTitleChar"/>
    <w:rsid w:val="004A0B66"/>
    <w:pPr>
      <w:spacing w:after="0"/>
      <w:jc w:val="center"/>
    </w:pPr>
    <w:rPr>
      <w:rFonts w:ascii="Calibri" w:hAnsi="Calibri" w:cs="Calibri"/>
      <w:noProof/>
      <w:sz w:val="20"/>
      <w:lang w:val="en-US"/>
    </w:rPr>
  </w:style>
  <w:style w:type="character" w:customStyle="1" w:styleId="EndNoteBibliographyTitleChar">
    <w:name w:val="EndNote Bibliography Title Char"/>
    <w:basedOn w:val="BodyTextChar"/>
    <w:link w:val="EndNoteBibliographyTitle"/>
    <w:rsid w:val="004A0B66"/>
    <w:rPr>
      <w:rFonts w:ascii="Calibri" w:hAnsi="Calibri" w:cs="Calibri"/>
      <w:noProof/>
      <w:sz w:val="20"/>
      <w:lang w:val="en-US"/>
    </w:rPr>
  </w:style>
  <w:style w:type="paragraph" w:customStyle="1" w:styleId="EndNoteBibliography">
    <w:name w:val="EndNote Bibliography"/>
    <w:basedOn w:val="Normal"/>
    <w:link w:val="EndNoteBibliographyChar"/>
    <w:rsid w:val="004A0B66"/>
    <w:pPr>
      <w:spacing w:line="240" w:lineRule="auto"/>
    </w:pPr>
    <w:rPr>
      <w:rFonts w:ascii="Calibri" w:hAnsi="Calibri" w:cs="Calibri"/>
      <w:noProof/>
      <w:sz w:val="20"/>
      <w:lang w:val="en-US"/>
    </w:rPr>
  </w:style>
  <w:style w:type="character" w:customStyle="1" w:styleId="EndNoteBibliographyChar">
    <w:name w:val="EndNote Bibliography Char"/>
    <w:basedOn w:val="BodyTextChar"/>
    <w:link w:val="EndNoteBibliography"/>
    <w:rsid w:val="004A0B66"/>
    <w:rPr>
      <w:rFonts w:ascii="Calibri" w:hAnsi="Calibri" w:cs="Calibri"/>
      <w:noProof/>
      <w:sz w:val="20"/>
      <w:lang w:val="en-US"/>
    </w:rPr>
  </w:style>
  <w:style w:type="table" w:customStyle="1" w:styleId="TableGridLight1">
    <w:name w:val="Table Grid Light1"/>
    <w:basedOn w:val="TableNormal"/>
    <w:uiPriority w:val="40"/>
    <w:rsid w:val="002056CD"/>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table" w:customStyle="1" w:styleId="TableGrid2">
    <w:name w:val="Table Grid2"/>
    <w:basedOn w:val="TableNormal"/>
    <w:next w:val="TableGrid"/>
    <w:uiPriority w:val="59"/>
    <w:rsid w:val="002056CD"/>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1">
    <w:name w:val="ES Heading1"/>
    <w:basedOn w:val="Heading2"/>
    <w:next w:val="Normal"/>
    <w:qFormat/>
    <w:rsid w:val="002056CD"/>
    <w:pPr>
      <w:numPr>
        <w:numId w:val="19"/>
      </w:numPr>
      <w:spacing w:before="240" w:line="240" w:lineRule="auto"/>
      <w:ind w:left="2154" w:hanging="357"/>
    </w:pPr>
    <w:rPr>
      <w:rFonts w:ascii="Franklin Gothic Medium" w:hAnsi="Franklin Gothic Medium" w:cstheme="majorBidi"/>
    </w:rPr>
  </w:style>
  <w:style w:type="table" w:customStyle="1" w:styleId="ASDTable1">
    <w:name w:val="ASD Table1"/>
    <w:basedOn w:val="TableNormal"/>
    <w:next w:val="TableGrid"/>
    <w:uiPriority w:val="39"/>
    <w:rsid w:val="002056CD"/>
    <w:pPr>
      <w:spacing w:after="0" w:line="240" w:lineRule="auto"/>
    </w:pPr>
    <w:rPr>
      <w:rFonts w:ascii="Arial Narrow" w:hAnsi="Arial Narrow"/>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cPr>
      <w:vAlign w:val="center"/>
    </w:tcPr>
    <w:tblStylePr w:type="firstRow">
      <w:rPr>
        <w:rFonts w:ascii="Arial Black" w:hAnsi="Arial Black"/>
        <w:b/>
        <w:sz w:val="20"/>
      </w:rPr>
      <w:tblPr/>
      <w:trPr>
        <w:tblHeader/>
      </w:trPr>
      <w:tcPr>
        <w:vAlign w:val="top"/>
      </w:tcPr>
    </w:tblStylePr>
  </w:style>
  <w:style w:type="paragraph" w:styleId="EndnoteText">
    <w:name w:val="endnote text"/>
    <w:basedOn w:val="Normal"/>
    <w:link w:val="EndnoteTextChar"/>
    <w:uiPriority w:val="99"/>
    <w:semiHidden/>
    <w:unhideWhenUsed/>
    <w:rsid w:val="002056CD"/>
    <w:pPr>
      <w:spacing w:after="0" w:line="240" w:lineRule="auto"/>
    </w:pPr>
    <w:rPr>
      <w:rFonts w:ascii="Franklin Gothic Book" w:hAnsi="Franklin Gothic Book"/>
      <w:sz w:val="20"/>
      <w:szCs w:val="20"/>
    </w:rPr>
  </w:style>
  <w:style w:type="character" w:customStyle="1" w:styleId="EndnoteTextChar">
    <w:name w:val="Endnote Text Char"/>
    <w:basedOn w:val="DefaultParagraphFont"/>
    <w:link w:val="EndnoteText"/>
    <w:uiPriority w:val="99"/>
    <w:semiHidden/>
    <w:rsid w:val="002056CD"/>
    <w:rPr>
      <w:rFonts w:ascii="Franklin Gothic Book" w:hAnsi="Franklin Gothic Book"/>
      <w:sz w:val="20"/>
      <w:szCs w:val="20"/>
    </w:rPr>
  </w:style>
  <w:style w:type="table" w:customStyle="1" w:styleId="TableGrid11">
    <w:name w:val="Table Grid11"/>
    <w:basedOn w:val="TableNormal"/>
    <w:next w:val="TableGrid"/>
    <w:locked/>
    <w:rsid w:val="002056CD"/>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val="0"/>
        <w:sz w:val="20"/>
      </w:rPr>
    </w:tblStylePr>
  </w:style>
  <w:style w:type="table" w:customStyle="1" w:styleId="ASDTable2">
    <w:name w:val="ASD Table2"/>
    <w:basedOn w:val="TableNormal"/>
    <w:next w:val="TableGrid"/>
    <w:uiPriority w:val="39"/>
    <w:rsid w:val="00205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3">
    <w:name w:val="ASD Table3"/>
    <w:basedOn w:val="TableNormal"/>
    <w:next w:val="TableGrid"/>
    <w:uiPriority w:val="59"/>
    <w:rsid w:val="00821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1">
    <w:name w:val="ASD Table11"/>
    <w:basedOn w:val="TableNormal"/>
    <w:next w:val="TableGrid"/>
    <w:uiPriority w:val="39"/>
    <w:rsid w:val="00924064"/>
    <w:pPr>
      <w:spacing w:after="0" w:line="240" w:lineRule="auto"/>
    </w:pPr>
    <w:rPr>
      <w:rFonts w:ascii="Arial Narrow" w:eastAsia="Calibri" w:hAnsi="Arial Narrow" w:cs="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cPr>
      <w:vAlign w:val="center"/>
    </w:tcPr>
    <w:tblStylePr w:type="firstRow">
      <w:rPr>
        <w:rFonts w:ascii="Arial Black" w:hAnsi="Arial Black"/>
        <w:b/>
        <w:sz w:val="20"/>
      </w:rPr>
      <w:tblPr/>
      <w:trPr>
        <w:tblHeader/>
      </w:trPr>
      <w:tcPr>
        <w:vAlign w:val="top"/>
      </w:tcPr>
    </w:tblStylePr>
  </w:style>
  <w:style w:type="table" w:customStyle="1" w:styleId="HTAtableplain1">
    <w:name w:val="HTAtableplain1"/>
    <w:basedOn w:val="TableNormal"/>
    <w:next w:val="TableGrid"/>
    <w:uiPriority w:val="59"/>
    <w:rsid w:val="000E6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Bullet"/>
    <w:basedOn w:val="TableText1"/>
    <w:rsid w:val="000E64A9"/>
    <w:pPr>
      <w:numPr>
        <w:numId w:val="32"/>
      </w:numPr>
      <w:tabs>
        <w:tab w:val="left" w:pos="216"/>
      </w:tabs>
      <w:spacing w:before="60" w:after="60" w:line="240" w:lineRule="auto"/>
      <w:ind w:left="216" w:hanging="216"/>
      <w:jc w:val="left"/>
    </w:pPr>
    <w:rPr>
      <w:rFonts w:ascii="Times New Roman" w:hAnsi="Times New Roman" w:cs="Times New Roman"/>
      <w:color w:val="000000"/>
      <w:sz w:val="21"/>
      <w:szCs w:val="21"/>
    </w:rPr>
  </w:style>
  <w:style w:type="character" w:styleId="UnresolvedMention">
    <w:name w:val="Unresolved Mention"/>
    <w:basedOn w:val="DefaultParagraphFont"/>
    <w:uiPriority w:val="99"/>
    <w:semiHidden/>
    <w:unhideWhenUsed/>
    <w:rsid w:val="00820442"/>
    <w:rPr>
      <w:color w:val="605E5C"/>
      <w:shd w:val="clear" w:color="auto" w:fill="E1DFDD"/>
    </w:rPr>
  </w:style>
  <w:style w:type="table" w:customStyle="1" w:styleId="ASDTable4">
    <w:name w:val="ASD Table4"/>
    <w:basedOn w:val="TableNormal"/>
    <w:next w:val="TableGrid"/>
    <w:uiPriority w:val="59"/>
    <w:rsid w:val="00490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15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ulletBeforeDash">
    <w:name w:val="BulletBeforeDash"/>
    <w:basedOn w:val="Normal"/>
    <w:rsid w:val="002F43A6"/>
    <w:pPr>
      <w:numPr>
        <w:numId w:val="37"/>
      </w:numPr>
      <w:spacing w:after="0" w:line="240" w:lineRule="auto"/>
      <w:ind w:left="720"/>
    </w:pPr>
    <w:rPr>
      <w:rFonts w:ascii="Times New Roman" w:eastAsia="Times New Roman" w:hAnsi="Times New Roman" w:cs="Times New Roman"/>
      <w:color w:val="000000"/>
      <w:sz w:val="24"/>
      <w:szCs w:val="20"/>
      <w:lang w:eastAsia="en-AU"/>
    </w:rPr>
  </w:style>
  <w:style w:type="paragraph" w:customStyle="1" w:styleId="NormalBeforeBullet0">
    <w:name w:val="NormalBeforeBullet"/>
    <w:basedOn w:val="Normal"/>
    <w:qFormat/>
    <w:rsid w:val="002F43A6"/>
    <w:pPr>
      <w:keepNext/>
      <w:spacing w:before="120" w:after="120"/>
    </w:pPr>
    <w:rPr>
      <w:rFonts w:ascii="Franklin Gothic Book" w:hAnsi="Franklin Gothic Book"/>
    </w:rPr>
  </w:style>
  <w:style w:type="paragraph" w:customStyle="1" w:styleId="Pa9">
    <w:name w:val="Pa9"/>
    <w:basedOn w:val="Default"/>
    <w:next w:val="Default"/>
    <w:uiPriority w:val="99"/>
    <w:rsid w:val="00B15473"/>
    <w:pPr>
      <w:spacing w:line="201" w:lineRule="atLeast"/>
    </w:pPr>
    <w:rPr>
      <w:rFonts w:ascii="Myriad Pro Light" w:eastAsiaTheme="minorHAnsi" w:hAnsi="Myriad Pro Light" w:cstheme="minorBidi"/>
      <w:color w:val="auto"/>
    </w:rPr>
  </w:style>
  <w:style w:type="character" w:customStyle="1" w:styleId="A9">
    <w:name w:val="A9"/>
    <w:uiPriority w:val="99"/>
    <w:rsid w:val="00B15473"/>
    <w:rPr>
      <w:rFonts w:cs="Myriad Pro Light"/>
      <w:b/>
      <w:bCs/>
      <w:color w:val="000000"/>
    </w:rPr>
  </w:style>
  <w:style w:type="paragraph" w:styleId="NormalWeb">
    <w:name w:val="Normal (Web)"/>
    <w:basedOn w:val="Normal"/>
    <w:uiPriority w:val="99"/>
    <w:unhideWhenUsed/>
    <w:rsid w:val="00FC4B9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4717">
      <w:bodyDiv w:val="1"/>
      <w:marLeft w:val="0"/>
      <w:marRight w:val="0"/>
      <w:marTop w:val="0"/>
      <w:marBottom w:val="0"/>
      <w:divBdr>
        <w:top w:val="none" w:sz="0" w:space="0" w:color="auto"/>
        <w:left w:val="none" w:sz="0" w:space="0" w:color="auto"/>
        <w:bottom w:val="none" w:sz="0" w:space="0" w:color="auto"/>
        <w:right w:val="none" w:sz="0" w:space="0" w:color="auto"/>
      </w:divBdr>
    </w:div>
    <w:div w:id="158815275">
      <w:bodyDiv w:val="1"/>
      <w:marLeft w:val="0"/>
      <w:marRight w:val="0"/>
      <w:marTop w:val="0"/>
      <w:marBottom w:val="0"/>
      <w:divBdr>
        <w:top w:val="none" w:sz="0" w:space="0" w:color="auto"/>
        <w:left w:val="none" w:sz="0" w:space="0" w:color="auto"/>
        <w:bottom w:val="none" w:sz="0" w:space="0" w:color="auto"/>
        <w:right w:val="none" w:sz="0" w:space="0" w:color="auto"/>
      </w:divBdr>
    </w:div>
    <w:div w:id="309864979">
      <w:bodyDiv w:val="1"/>
      <w:marLeft w:val="0"/>
      <w:marRight w:val="0"/>
      <w:marTop w:val="0"/>
      <w:marBottom w:val="0"/>
      <w:divBdr>
        <w:top w:val="none" w:sz="0" w:space="0" w:color="auto"/>
        <w:left w:val="none" w:sz="0" w:space="0" w:color="auto"/>
        <w:bottom w:val="none" w:sz="0" w:space="0" w:color="auto"/>
        <w:right w:val="none" w:sz="0" w:space="0" w:color="auto"/>
      </w:divBdr>
    </w:div>
    <w:div w:id="345063745">
      <w:bodyDiv w:val="1"/>
      <w:marLeft w:val="0"/>
      <w:marRight w:val="0"/>
      <w:marTop w:val="0"/>
      <w:marBottom w:val="0"/>
      <w:divBdr>
        <w:top w:val="none" w:sz="0" w:space="0" w:color="auto"/>
        <w:left w:val="none" w:sz="0" w:space="0" w:color="auto"/>
        <w:bottom w:val="none" w:sz="0" w:space="0" w:color="auto"/>
        <w:right w:val="none" w:sz="0" w:space="0" w:color="auto"/>
      </w:divBdr>
    </w:div>
    <w:div w:id="376008629">
      <w:bodyDiv w:val="1"/>
      <w:marLeft w:val="0"/>
      <w:marRight w:val="0"/>
      <w:marTop w:val="0"/>
      <w:marBottom w:val="0"/>
      <w:divBdr>
        <w:top w:val="none" w:sz="0" w:space="0" w:color="auto"/>
        <w:left w:val="none" w:sz="0" w:space="0" w:color="auto"/>
        <w:bottom w:val="none" w:sz="0" w:space="0" w:color="auto"/>
        <w:right w:val="none" w:sz="0" w:space="0" w:color="auto"/>
      </w:divBdr>
    </w:div>
    <w:div w:id="414205505">
      <w:bodyDiv w:val="1"/>
      <w:marLeft w:val="0"/>
      <w:marRight w:val="0"/>
      <w:marTop w:val="0"/>
      <w:marBottom w:val="0"/>
      <w:divBdr>
        <w:top w:val="none" w:sz="0" w:space="0" w:color="auto"/>
        <w:left w:val="none" w:sz="0" w:space="0" w:color="auto"/>
        <w:bottom w:val="none" w:sz="0" w:space="0" w:color="auto"/>
        <w:right w:val="none" w:sz="0" w:space="0" w:color="auto"/>
      </w:divBdr>
    </w:div>
    <w:div w:id="457191053">
      <w:bodyDiv w:val="1"/>
      <w:marLeft w:val="0"/>
      <w:marRight w:val="0"/>
      <w:marTop w:val="0"/>
      <w:marBottom w:val="0"/>
      <w:divBdr>
        <w:top w:val="none" w:sz="0" w:space="0" w:color="auto"/>
        <w:left w:val="none" w:sz="0" w:space="0" w:color="auto"/>
        <w:bottom w:val="none" w:sz="0" w:space="0" w:color="auto"/>
        <w:right w:val="none" w:sz="0" w:space="0" w:color="auto"/>
      </w:divBdr>
    </w:div>
    <w:div w:id="478881493">
      <w:bodyDiv w:val="1"/>
      <w:marLeft w:val="0"/>
      <w:marRight w:val="0"/>
      <w:marTop w:val="0"/>
      <w:marBottom w:val="0"/>
      <w:divBdr>
        <w:top w:val="none" w:sz="0" w:space="0" w:color="auto"/>
        <w:left w:val="none" w:sz="0" w:space="0" w:color="auto"/>
        <w:bottom w:val="none" w:sz="0" w:space="0" w:color="auto"/>
        <w:right w:val="none" w:sz="0" w:space="0" w:color="auto"/>
      </w:divBdr>
    </w:div>
    <w:div w:id="499661265">
      <w:bodyDiv w:val="1"/>
      <w:marLeft w:val="0"/>
      <w:marRight w:val="0"/>
      <w:marTop w:val="0"/>
      <w:marBottom w:val="0"/>
      <w:divBdr>
        <w:top w:val="none" w:sz="0" w:space="0" w:color="auto"/>
        <w:left w:val="none" w:sz="0" w:space="0" w:color="auto"/>
        <w:bottom w:val="none" w:sz="0" w:space="0" w:color="auto"/>
        <w:right w:val="none" w:sz="0" w:space="0" w:color="auto"/>
      </w:divBdr>
    </w:div>
    <w:div w:id="519589923">
      <w:bodyDiv w:val="1"/>
      <w:marLeft w:val="0"/>
      <w:marRight w:val="0"/>
      <w:marTop w:val="0"/>
      <w:marBottom w:val="0"/>
      <w:divBdr>
        <w:top w:val="none" w:sz="0" w:space="0" w:color="auto"/>
        <w:left w:val="none" w:sz="0" w:space="0" w:color="auto"/>
        <w:bottom w:val="none" w:sz="0" w:space="0" w:color="auto"/>
        <w:right w:val="none" w:sz="0" w:space="0" w:color="auto"/>
      </w:divBdr>
    </w:div>
    <w:div w:id="538322595">
      <w:bodyDiv w:val="1"/>
      <w:marLeft w:val="0"/>
      <w:marRight w:val="0"/>
      <w:marTop w:val="0"/>
      <w:marBottom w:val="0"/>
      <w:divBdr>
        <w:top w:val="none" w:sz="0" w:space="0" w:color="auto"/>
        <w:left w:val="none" w:sz="0" w:space="0" w:color="auto"/>
        <w:bottom w:val="none" w:sz="0" w:space="0" w:color="auto"/>
        <w:right w:val="none" w:sz="0" w:space="0" w:color="auto"/>
      </w:divBdr>
    </w:div>
    <w:div w:id="584731842">
      <w:bodyDiv w:val="1"/>
      <w:marLeft w:val="0"/>
      <w:marRight w:val="0"/>
      <w:marTop w:val="0"/>
      <w:marBottom w:val="0"/>
      <w:divBdr>
        <w:top w:val="none" w:sz="0" w:space="0" w:color="auto"/>
        <w:left w:val="none" w:sz="0" w:space="0" w:color="auto"/>
        <w:bottom w:val="none" w:sz="0" w:space="0" w:color="auto"/>
        <w:right w:val="none" w:sz="0" w:space="0" w:color="auto"/>
      </w:divBdr>
    </w:div>
    <w:div w:id="590699459">
      <w:bodyDiv w:val="1"/>
      <w:marLeft w:val="0"/>
      <w:marRight w:val="0"/>
      <w:marTop w:val="0"/>
      <w:marBottom w:val="0"/>
      <w:divBdr>
        <w:top w:val="none" w:sz="0" w:space="0" w:color="auto"/>
        <w:left w:val="none" w:sz="0" w:space="0" w:color="auto"/>
        <w:bottom w:val="none" w:sz="0" w:space="0" w:color="auto"/>
        <w:right w:val="none" w:sz="0" w:space="0" w:color="auto"/>
      </w:divBdr>
    </w:div>
    <w:div w:id="599605936">
      <w:bodyDiv w:val="1"/>
      <w:marLeft w:val="0"/>
      <w:marRight w:val="0"/>
      <w:marTop w:val="0"/>
      <w:marBottom w:val="0"/>
      <w:divBdr>
        <w:top w:val="none" w:sz="0" w:space="0" w:color="auto"/>
        <w:left w:val="none" w:sz="0" w:space="0" w:color="auto"/>
        <w:bottom w:val="none" w:sz="0" w:space="0" w:color="auto"/>
        <w:right w:val="none" w:sz="0" w:space="0" w:color="auto"/>
      </w:divBdr>
    </w:div>
    <w:div w:id="725223452">
      <w:bodyDiv w:val="1"/>
      <w:marLeft w:val="0"/>
      <w:marRight w:val="0"/>
      <w:marTop w:val="0"/>
      <w:marBottom w:val="0"/>
      <w:divBdr>
        <w:top w:val="none" w:sz="0" w:space="0" w:color="auto"/>
        <w:left w:val="none" w:sz="0" w:space="0" w:color="auto"/>
        <w:bottom w:val="none" w:sz="0" w:space="0" w:color="auto"/>
        <w:right w:val="none" w:sz="0" w:space="0" w:color="auto"/>
      </w:divBdr>
    </w:div>
    <w:div w:id="824122413">
      <w:bodyDiv w:val="1"/>
      <w:marLeft w:val="0"/>
      <w:marRight w:val="0"/>
      <w:marTop w:val="0"/>
      <w:marBottom w:val="0"/>
      <w:divBdr>
        <w:top w:val="none" w:sz="0" w:space="0" w:color="auto"/>
        <w:left w:val="none" w:sz="0" w:space="0" w:color="auto"/>
        <w:bottom w:val="none" w:sz="0" w:space="0" w:color="auto"/>
        <w:right w:val="none" w:sz="0" w:space="0" w:color="auto"/>
      </w:divBdr>
    </w:div>
    <w:div w:id="958804921">
      <w:bodyDiv w:val="1"/>
      <w:marLeft w:val="0"/>
      <w:marRight w:val="0"/>
      <w:marTop w:val="0"/>
      <w:marBottom w:val="0"/>
      <w:divBdr>
        <w:top w:val="none" w:sz="0" w:space="0" w:color="auto"/>
        <w:left w:val="none" w:sz="0" w:space="0" w:color="auto"/>
        <w:bottom w:val="none" w:sz="0" w:space="0" w:color="auto"/>
        <w:right w:val="none" w:sz="0" w:space="0" w:color="auto"/>
      </w:divBdr>
    </w:div>
    <w:div w:id="1061908534">
      <w:bodyDiv w:val="1"/>
      <w:marLeft w:val="0"/>
      <w:marRight w:val="0"/>
      <w:marTop w:val="0"/>
      <w:marBottom w:val="0"/>
      <w:divBdr>
        <w:top w:val="none" w:sz="0" w:space="0" w:color="auto"/>
        <w:left w:val="none" w:sz="0" w:space="0" w:color="auto"/>
        <w:bottom w:val="none" w:sz="0" w:space="0" w:color="auto"/>
        <w:right w:val="none" w:sz="0" w:space="0" w:color="auto"/>
      </w:divBdr>
    </w:div>
    <w:div w:id="1072898517">
      <w:bodyDiv w:val="1"/>
      <w:marLeft w:val="0"/>
      <w:marRight w:val="0"/>
      <w:marTop w:val="0"/>
      <w:marBottom w:val="0"/>
      <w:divBdr>
        <w:top w:val="none" w:sz="0" w:space="0" w:color="auto"/>
        <w:left w:val="none" w:sz="0" w:space="0" w:color="auto"/>
        <w:bottom w:val="none" w:sz="0" w:space="0" w:color="auto"/>
        <w:right w:val="none" w:sz="0" w:space="0" w:color="auto"/>
      </w:divBdr>
    </w:div>
    <w:div w:id="1089083276">
      <w:bodyDiv w:val="1"/>
      <w:marLeft w:val="0"/>
      <w:marRight w:val="0"/>
      <w:marTop w:val="0"/>
      <w:marBottom w:val="0"/>
      <w:divBdr>
        <w:top w:val="none" w:sz="0" w:space="0" w:color="auto"/>
        <w:left w:val="none" w:sz="0" w:space="0" w:color="auto"/>
        <w:bottom w:val="none" w:sz="0" w:space="0" w:color="auto"/>
        <w:right w:val="none" w:sz="0" w:space="0" w:color="auto"/>
      </w:divBdr>
    </w:div>
    <w:div w:id="1141458664">
      <w:bodyDiv w:val="1"/>
      <w:marLeft w:val="0"/>
      <w:marRight w:val="0"/>
      <w:marTop w:val="0"/>
      <w:marBottom w:val="0"/>
      <w:divBdr>
        <w:top w:val="none" w:sz="0" w:space="0" w:color="auto"/>
        <w:left w:val="none" w:sz="0" w:space="0" w:color="auto"/>
        <w:bottom w:val="none" w:sz="0" w:space="0" w:color="auto"/>
        <w:right w:val="none" w:sz="0" w:space="0" w:color="auto"/>
      </w:divBdr>
    </w:div>
    <w:div w:id="1174958548">
      <w:bodyDiv w:val="1"/>
      <w:marLeft w:val="0"/>
      <w:marRight w:val="0"/>
      <w:marTop w:val="0"/>
      <w:marBottom w:val="0"/>
      <w:divBdr>
        <w:top w:val="none" w:sz="0" w:space="0" w:color="auto"/>
        <w:left w:val="none" w:sz="0" w:space="0" w:color="auto"/>
        <w:bottom w:val="none" w:sz="0" w:space="0" w:color="auto"/>
        <w:right w:val="none" w:sz="0" w:space="0" w:color="auto"/>
      </w:divBdr>
    </w:div>
    <w:div w:id="1178469289">
      <w:bodyDiv w:val="1"/>
      <w:marLeft w:val="0"/>
      <w:marRight w:val="0"/>
      <w:marTop w:val="0"/>
      <w:marBottom w:val="0"/>
      <w:divBdr>
        <w:top w:val="none" w:sz="0" w:space="0" w:color="auto"/>
        <w:left w:val="none" w:sz="0" w:space="0" w:color="auto"/>
        <w:bottom w:val="none" w:sz="0" w:space="0" w:color="auto"/>
        <w:right w:val="none" w:sz="0" w:space="0" w:color="auto"/>
      </w:divBdr>
    </w:div>
    <w:div w:id="1242832629">
      <w:bodyDiv w:val="1"/>
      <w:marLeft w:val="0"/>
      <w:marRight w:val="0"/>
      <w:marTop w:val="0"/>
      <w:marBottom w:val="0"/>
      <w:divBdr>
        <w:top w:val="none" w:sz="0" w:space="0" w:color="auto"/>
        <w:left w:val="none" w:sz="0" w:space="0" w:color="auto"/>
        <w:bottom w:val="none" w:sz="0" w:space="0" w:color="auto"/>
        <w:right w:val="none" w:sz="0" w:space="0" w:color="auto"/>
      </w:divBdr>
    </w:div>
    <w:div w:id="1253585746">
      <w:bodyDiv w:val="1"/>
      <w:marLeft w:val="0"/>
      <w:marRight w:val="0"/>
      <w:marTop w:val="0"/>
      <w:marBottom w:val="0"/>
      <w:divBdr>
        <w:top w:val="none" w:sz="0" w:space="0" w:color="auto"/>
        <w:left w:val="none" w:sz="0" w:space="0" w:color="auto"/>
        <w:bottom w:val="none" w:sz="0" w:space="0" w:color="auto"/>
        <w:right w:val="none" w:sz="0" w:space="0" w:color="auto"/>
      </w:divBdr>
    </w:div>
    <w:div w:id="1346394754">
      <w:bodyDiv w:val="1"/>
      <w:marLeft w:val="0"/>
      <w:marRight w:val="0"/>
      <w:marTop w:val="0"/>
      <w:marBottom w:val="0"/>
      <w:divBdr>
        <w:top w:val="none" w:sz="0" w:space="0" w:color="auto"/>
        <w:left w:val="none" w:sz="0" w:space="0" w:color="auto"/>
        <w:bottom w:val="none" w:sz="0" w:space="0" w:color="auto"/>
        <w:right w:val="none" w:sz="0" w:space="0" w:color="auto"/>
      </w:divBdr>
    </w:div>
    <w:div w:id="1372654391">
      <w:bodyDiv w:val="1"/>
      <w:marLeft w:val="0"/>
      <w:marRight w:val="0"/>
      <w:marTop w:val="0"/>
      <w:marBottom w:val="0"/>
      <w:divBdr>
        <w:top w:val="none" w:sz="0" w:space="0" w:color="auto"/>
        <w:left w:val="none" w:sz="0" w:space="0" w:color="auto"/>
        <w:bottom w:val="none" w:sz="0" w:space="0" w:color="auto"/>
        <w:right w:val="none" w:sz="0" w:space="0" w:color="auto"/>
      </w:divBdr>
    </w:div>
    <w:div w:id="1412891759">
      <w:bodyDiv w:val="1"/>
      <w:marLeft w:val="0"/>
      <w:marRight w:val="0"/>
      <w:marTop w:val="0"/>
      <w:marBottom w:val="0"/>
      <w:divBdr>
        <w:top w:val="none" w:sz="0" w:space="0" w:color="auto"/>
        <w:left w:val="none" w:sz="0" w:space="0" w:color="auto"/>
        <w:bottom w:val="none" w:sz="0" w:space="0" w:color="auto"/>
        <w:right w:val="none" w:sz="0" w:space="0" w:color="auto"/>
      </w:divBdr>
    </w:div>
    <w:div w:id="1510097651">
      <w:bodyDiv w:val="1"/>
      <w:marLeft w:val="0"/>
      <w:marRight w:val="0"/>
      <w:marTop w:val="0"/>
      <w:marBottom w:val="0"/>
      <w:divBdr>
        <w:top w:val="none" w:sz="0" w:space="0" w:color="auto"/>
        <w:left w:val="none" w:sz="0" w:space="0" w:color="auto"/>
        <w:bottom w:val="none" w:sz="0" w:space="0" w:color="auto"/>
        <w:right w:val="none" w:sz="0" w:space="0" w:color="auto"/>
      </w:divBdr>
    </w:div>
    <w:div w:id="1525710509">
      <w:bodyDiv w:val="1"/>
      <w:marLeft w:val="0"/>
      <w:marRight w:val="0"/>
      <w:marTop w:val="0"/>
      <w:marBottom w:val="0"/>
      <w:divBdr>
        <w:top w:val="none" w:sz="0" w:space="0" w:color="auto"/>
        <w:left w:val="none" w:sz="0" w:space="0" w:color="auto"/>
        <w:bottom w:val="none" w:sz="0" w:space="0" w:color="auto"/>
        <w:right w:val="none" w:sz="0" w:space="0" w:color="auto"/>
      </w:divBdr>
    </w:div>
    <w:div w:id="1526015872">
      <w:bodyDiv w:val="1"/>
      <w:marLeft w:val="0"/>
      <w:marRight w:val="0"/>
      <w:marTop w:val="0"/>
      <w:marBottom w:val="0"/>
      <w:divBdr>
        <w:top w:val="none" w:sz="0" w:space="0" w:color="auto"/>
        <w:left w:val="none" w:sz="0" w:space="0" w:color="auto"/>
        <w:bottom w:val="none" w:sz="0" w:space="0" w:color="auto"/>
        <w:right w:val="none" w:sz="0" w:space="0" w:color="auto"/>
      </w:divBdr>
    </w:div>
    <w:div w:id="1547794514">
      <w:bodyDiv w:val="1"/>
      <w:marLeft w:val="0"/>
      <w:marRight w:val="0"/>
      <w:marTop w:val="0"/>
      <w:marBottom w:val="0"/>
      <w:divBdr>
        <w:top w:val="none" w:sz="0" w:space="0" w:color="auto"/>
        <w:left w:val="none" w:sz="0" w:space="0" w:color="auto"/>
        <w:bottom w:val="none" w:sz="0" w:space="0" w:color="auto"/>
        <w:right w:val="none" w:sz="0" w:space="0" w:color="auto"/>
      </w:divBdr>
    </w:div>
    <w:div w:id="1560361553">
      <w:bodyDiv w:val="1"/>
      <w:marLeft w:val="0"/>
      <w:marRight w:val="0"/>
      <w:marTop w:val="0"/>
      <w:marBottom w:val="0"/>
      <w:divBdr>
        <w:top w:val="none" w:sz="0" w:space="0" w:color="auto"/>
        <w:left w:val="none" w:sz="0" w:space="0" w:color="auto"/>
        <w:bottom w:val="none" w:sz="0" w:space="0" w:color="auto"/>
        <w:right w:val="none" w:sz="0" w:space="0" w:color="auto"/>
      </w:divBdr>
    </w:div>
    <w:div w:id="1644693844">
      <w:bodyDiv w:val="1"/>
      <w:marLeft w:val="0"/>
      <w:marRight w:val="0"/>
      <w:marTop w:val="0"/>
      <w:marBottom w:val="0"/>
      <w:divBdr>
        <w:top w:val="none" w:sz="0" w:space="0" w:color="auto"/>
        <w:left w:val="none" w:sz="0" w:space="0" w:color="auto"/>
        <w:bottom w:val="none" w:sz="0" w:space="0" w:color="auto"/>
        <w:right w:val="none" w:sz="0" w:space="0" w:color="auto"/>
      </w:divBdr>
    </w:div>
    <w:div w:id="1664966386">
      <w:bodyDiv w:val="1"/>
      <w:marLeft w:val="0"/>
      <w:marRight w:val="0"/>
      <w:marTop w:val="0"/>
      <w:marBottom w:val="0"/>
      <w:divBdr>
        <w:top w:val="none" w:sz="0" w:space="0" w:color="auto"/>
        <w:left w:val="none" w:sz="0" w:space="0" w:color="auto"/>
        <w:bottom w:val="none" w:sz="0" w:space="0" w:color="auto"/>
        <w:right w:val="none" w:sz="0" w:space="0" w:color="auto"/>
      </w:divBdr>
    </w:div>
    <w:div w:id="1750349542">
      <w:bodyDiv w:val="1"/>
      <w:marLeft w:val="0"/>
      <w:marRight w:val="0"/>
      <w:marTop w:val="0"/>
      <w:marBottom w:val="0"/>
      <w:divBdr>
        <w:top w:val="none" w:sz="0" w:space="0" w:color="auto"/>
        <w:left w:val="none" w:sz="0" w:space="0" w:color="auto"/>
        <w:bottom w:val="none" w:sz="0" w:space="0" w:color="auto"/>
        <w:right w:val="none" w:sz="0" w:space="0" w:color="auto"/>
      </w:divBdr>
    </w:div>
    <w:div w:id="1800756142">
      <w:bodyDiv w:val="1"/>
      <w:marLeft w:val="0"/>
      <w:marRight w:val="0"/>
      <w:marTop w:val="0"/>
      <w:marBottom w:val="0"/>
      <w:divBdr>
        <w:top w:val="none" w:sz="0" w:space="0" w:color="auto"/>
        <w:left w:val="none" w:sz="0" w:space="0" w:color="auto"/>
        <w:bottom w:val="none" w:sz="0" w:space="0" w:color="auto"/>
        <w:right w:val="none" w:sz="0" w:space="0" w:color="auto"/>
      </w:divBdr>
      <w:divsChild>
        <w:div w:id="254872429">
          <w:marLeft w:val="446"/>
          <w:marRight w:val="0"/>
          <w:marTop w:val="0"/>
          <w:marBottom w:val="0"/>
          <w:divBdr>
            <w:top w:val="none" w:sz="0" w:space="0" w:color="auto"/>
            <w:left w:val="none" w:sz="0" w:space="0" w:color="auto"/>
            <w:bottom w:val="none" w:sz="0" w:space="0" w:color="auto"/>
            <w:right w:val="none" w:sz="0" w:space="0" w:color="auto"/>
          </w:divBdr>
        </w:div>
      </w:divsChild>
    </w:div>
    <w:div w:id="1803843689">
      <w:bodyDiv w:val="1"/>
      <w:marLeft w:val="0"/>
      <w:marRight w:val="0"/>
      <w:marTop w:val="0"/>
      <w:marBottom w:val="0"/>
      <w:divBdr>
        <w:top w:val="none" w:sz="0" w:space="0" w:color="auto"/>
        <w:left w:val="none" w:sz="0" w:space="0" w:color="auto"/>
        <w:bottom w:val="none" w:sz="0" w:space="0" w:color="auto"/>
        <w:right w:val="none" w:sz="0" w:space="0" w:color="auto"/>
      </w:divBdr>
    </w:div>
    <w:div w:id="1825589564">
      <w:bodyDiv w:val="1"/>
      <w:marLeft w:val="0"/>
      <w:marRight w:val="0"/>
      <w:marTop w:val="0"/>
      <w:marBottom w:val="0"/>
      <w:divBdr>
        <w:top w:val="none" w:sz="0" w:space="0" w:color="auto"/>
        <w:left w:val="none" w:sz="0" w:space="0" w:color="auto"/>
        <w:bottom w:val="none" w:sz="0" w:space="0" w:color="auto"/>
        <w:right w:val="none" w:sz="0" w:space="0" w:color="auto"/>
      </w:divBdr>
    </w:div>
    <w:div w:id="1828814020">
      <w:bodyDiv w:val="1"/>
      <w:marLeft w:val="0"/>
      <w:marRight w:val="0"/>
      <w:marTop w:val="0"/>
      <w:marBottom w:val="0"/>
      <w:divBdr>
        <w:top w:val="none" w:sz="0" w:space="0" w:color="auto"/>
        <w:left w:val="none" w:sz="0" w:space="0" w:color="auto"/>
        <w:bottom w:val="none" w:sz="0" w:space="0" w:color="auto"/>
        <w:right w:val="none" w:sz="0" w:space="0" w:color="auto"/>
      </w:divBdr>
    </w:div>
    <w:div w:id="1886721877">
      <w:bodyDiv w:val="1"/>
      <w:marLeft w:val="0"/>
      <w:marRight w:val="0"/>
      <w:marTop w:val="0"/>
      <w:marBottom w:val="0"/>
      <w:divBdr>
        <w:top w:val="none" w:sz="0" w:space="0" w:color="auto"/>
        <w:left w:val="none" w:sz="0" w:space="0" w:color="auto"/>
        <w:bottom w:val="none" w:sz="0" w:space="0" w:color="auto"/>
        <w:right w:val="none" w:sz="0" w:space="0" w:color="auto"/>
      </w:divBdr>
    </w:div>
    <w:div w:id="1893542398">
      <w:bodyDiv w:val="1"/>
      <w:marLeft w:val="0"/>
      <w:marRight w:val="0"/>
      <w:marTop w:val="0"/>
      <w:marBottom w:val="0"/>
      <w:divBdr>
        <w:top w:val="none" w:sz="0" w:space="0" w:color="auto"/>
        <w:left w:val="none" w:sz="0" w:space="0" w:color="auto"/>
        <w:bottom w:val="none" w:sz="0" w:space="0" w:color="auto"/>
        <w:right w:val="none" w:sz="0" w:space="0" w:color="auto"/>
      </w:divBdr>
    </w:div>
    <w:div w:id="1925719047">
      <w:bodyDiv w:val="1"/>
      <w:marLeft w:val="0"/>
      <w:marRight w:val="0"/>
      <w:marTop w:val="0"/>
      <w:marBottom w:val="0"/>
      <w:divBdr>
        <w:top w:val="none" w:sz="0" w:space="0" w:color="auto"/>
        <w:left w:val="none" w:sz="0" w:space="0" w:color="auto"/>
        <w:bottom w:val="none" w:sz="0" w:space="0" w:color="auto"/>
        <w:right w:val="none" w:sz="0" w:space="0" w:color="auto"/>
      </w:divBdr>
    </w:div>
    <w:div w:id="2018143740">
      <w:bodyDiv w:val="1"/>
      <w:marLeft w:val="0"/>
      <w:marRight w:val="0"/>
      <w:marTop w:val="0"/>
      <w:marBottom w:val="0"/>
      <w:divBdr>
        <w:top w:val="none" w:sz="0" w:space="0" w:color="auto"/>
        <w:left w:val="none" w:sz="0" w:space="0" w:color="auto"/>
        <w:bottom w:val="none" w:sz="0" w:space="0" w:color="auto"/>
        <w:right w:val="none" w:sz="0" w:space="0" w:color="auto"/>
      </w:divBdr>
    </w:div>
    <w:div w:id="2037728546">
      <w:bodyDiv w:val="1"/>
      <w:marLeft w:val="0"/>
      <w:marRight w:val="0"/>
      <w:marTop w:val="0"/>
      <w:marBottom w:val="0"/>
      <w:divBdr>
        <w:top w:val="none" w:sz="0" w:space="0" w:color="auto"/>
        <w:left w:val="none" w:sz="0" w:space="0" w:color="auto"/>
        <w:bottom w:val="none" w:sz="0" w:space="0" w:color="auto"/>
        <w:right w:val="none" w:sz="0" w:space="0" w:color="auto"/>
      </w:divBdr>
    </w:div>
    <w:div w:id="2126458290">
      <w:bodyDiv w:val="1"/>
      <w:marLeft w:val="0"/>
      <w:marRight w:val="0"/>
      <w:marTop w:val="0"/>
      <w:marBottom w:val="0"/>
      <w:divBdr>
        <w:top w:val="none" w:sz="0" w:space="0" w:color="auto"/>
        <w:left w:val="none" w:sz="0" w:space="0" w:color="auto"/>
        <w:bottom w:val="none" w:sz="0" w:space="0" w:color="auto"/>
        <w:right w:val="none" w:sz="0" w:space="0" w:color="auto"/>
      </w:divBdr>
    </w:div>
    <w:div w:id="2138988858">
      <w:bodyDiv w:val="1"/>
      <w:marLeft w:val="0"/>
      <w:marRight w:val="0"/>
      <w:marTop w:val="0"/>
      <w:marBottom w:val="0"/>
      <w:divBdr>
        <w:top w:val="none" w:sz="0" w:space="0" w:color="auto"/>
        <w:left w:val="none" w:sz="0" w:space="0" w:color="auto"/>
        <w:bottom w:val="none" w:sz="0" w:space="0" w:color="auto"/>
        <w:right w:val="none" w:sz="0" w:space="0" w:color="auto"/>
      </w:divBdr>
      <w:divsChild>
        <w:div w:id="1861161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file://\\uofa\shared$\HealthSciences\SPHCP\Public%20Health\Projects\AHTA\MSAC\ADAR%20commentaries\1408.1%20EndoPredict\This%20wording%20was%20added%20by%20the%20applicant.%20Can%20MSAC%20confirm%20whether%20a%20laboratory%20pathologist%20should%20be%20able%20to%20order%20the%20GEP%20test%20when%20FPE%20pathological%20criteria%20are%20met?" TargetMode="External"/><Relationship Id="rId19" Type="http://schemas.openxmlformats.org/officeDocument/2006/relationships/hyperlink" Target="http://msac.gov.au/internet/msac/publishing.nsf/Content/Home-1"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5.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sac.gov.au/internet/msac/publishing.nsf/Content/1342.3-public" TargetMode="External"/><Relationship Id="rId2" Type="http://schemas.openxmlformats.org/officeDocument/2006/relationships/hyperlink" Target="https://www.aihw.gov.au/reports/cancer/cancer-data-in-australia/" TargetMode="External"/><Relationship Id="rId1" Type="http://schemas.openxmlformats.org/officeDocument/2006/relationships/hyperlink" Target="https://www.clinicallabs.com.au/endopred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4C804-6740-4770-A89C-E8D9785D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21258</Words>
  <Characters>121173</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142147</CharactersWithSpaces>
  <SharedDoc>false</SharedDoc>
  <HLinks>
    <vt:vector size="120" baseType="variant">
      <vt:variant>
        <vt:i4>4128801</vt:i4>
      </vt:variant>
      <vt:variant>
        <vt:i4>279</vt:i4>
      </vt:variant>
      <vt:variant>
        <vt:i4>0</vt:i4>
      </vt:variant>
      <vt:variant>
        <vt:i4>5</vt:i4>
      </vt:variant>
      <vt:variant>
        <vt:lpwstr>http://www.nice.org.uk/</vt:lpwstr>
      </vt:variant>
      <vt:variant>
        <vt:lpwstr/>
      </vt:variant>
      <vt:variant>
        <vt:i4>1310783</vt:i4>
      </vt:variant>
      <vt:variant>
        <vt:i4>110</vt:i4>
      </vt:variant>
      <vt:variant>
        <vt:i4>0</vt:i4>
      </vt:variant>
      <vt:variant>
        <vt:i4>5</vt:i4>
      </vt:variant>
      <vt:variant>
        <vt:lpwstr/>
      </vt:variant>
      <vt:variant>
        <vt:lpwstr>_Toc95205016</vt:lpwstr>
      </vt:variant>
      <vt:variant>
        <vt:i4>1507391</vt:i4>
      </vt:variant>
      <vt:variant>
        <vt:i4>104</vt:i4>
      </vt:variant>
      <vt:variant>
        <vt:i4>0</vt:i4>
      </vt:variant>
      <vt:variant>
        <vt:i4>5</vt:i4>
      </vt:variant>
      <vt:variant>
        <vt:lpwstr/>
      </vt:variant>
      <vt:variant>
        <vt:lpwstr>_Toc95205015</vt:lpwstr>
      </vt:variant>
      <vt:variant>
        <vt:i4>1441855</vt:i4>
      </vt:variant>
      <vt:variant>
        <vt:i4>98</vt:i4>
      </vt:variant>
      <vt:variant>
        <vt:i4>0</vt:i4>
      </vt:variant>
      <vt:variant>
        <vt:i4>5</vt:i4>
      </vt:variant>
      <vt:variant>
        <vt:lpwstr/>
      </vt:variant>
      <vt:variant>
        <vt:lpwstr>_Toc95205014</vt:lpwstr>
      </vt:variant>
      <vt:variant>
        <vt:i4>1114175</vt:i4>
      </vt:variant>
      <vt:variant>
        <vt:i4>92</vt:i4>
      </vt:variant>
      <vt:variant>
        <vt:i4>0</vt:i4>
      </vt:variant>
      <vt:variant>
        <vt:i4>5</vt:i4>
      </vt:variant>
      <vt:variant>
        <vt:lpwstr/>
      </vt:variant>
      <vt:variant>
        <vt:lpwstr>_Toc95205013</vt:lpwstr>
      </vt:variant>
      <vt:variant>
        <vt:i4>1048639</vt:i4>
      </vt:variant>
      <vt:variant>
        <vt:i4>86</vt:i4>
      </vt:variant>
      <vt:variant>
        <vt:i4>0</vt:i4>
      </vt:variant>
      <vt:variant>
        <vt:i4>5</vt:i4>
      </vt:variant>
      <vt:variant>
        <vt:lpwstr/>
      </vt:variant>
      <vt:variant>
        <vt:lpwstr>_Toc95205012</vt:lpwstr>
      </vt:variant>
      <vt:variant>
        <vt:i4>1245247</vt:i4>
      </vt:variant>
      <vt:variant>
        <vt:i4>80</vt:i4>
      </vt:variant>
      <vt:variant>
        <vt:i4>0</vt:i4>
      </vt:variant>
      <vt:variant>
        <vt:i4>5</vt:i4>
      </vt:variant>
      <vt:variant>
        <vt:lpwstr/>
      </vt:variant>
      <vt:variant>
        <vt:lpwstr>_Toc95205011</vt:lpwstr>
      </vt:variant>
      <vt:variant>
        <vt:i4>1179711</vt:i4>
      </vt:variant>
      <vt:variant>
        <vt:i4>74</vt:i4>
      </vt:variant>
      <vt:variant>
        <vt:i4>0</vt:i4>
      </vt:variant>
      <vt:variant>
        <vt:i4>5</vt:i4>
      </vt:variant>
      <vt:variant>
        <vt:lpwstr/>
      </vt:variant>
      <vt:variant>
        <vt:lpwstr>_Toc95205010</vt:lpwstr>
      </vt:variant>
      <vt:variant>
        <vt:i4>1769534</vt:i4>
      </vt:variant>
      <vt:variant>
        <vt:i4>68</vt:i4>
      </vt:variant>
      <vt:variant>
        <vt:i4>0</vt:i4>
      </vt:variant>
      <vt:variant>
        <vt:i4>5</vt:i4>
      </vt:variant>
      <vt:variant>
        <vt:lpwstr/>
      </vt:variant>
      <vt:variant>
        <vt:lpwstr>_Toc95205009</vt:lpwstr>
      </vt:variant>
      <vt:variant>
        <vt:i4>1703998</vt:i4>
      </vt:variant>
      <vt:variant>
        <vt:i4>62</vt:i4>
      </vt:variant>
      <vt:variant>
        <vt:i4>0</vt:i4>
      </vt:variant>
      <vt:variant>
        <vt:i4>5</vt:i4>
      </vt:variant>
      <vt:variant>
        <vt:lpwstr/>
      </vt:variant>
      <vt:variant>
        <vt:lpwstr>_Toc95205008</vt:lpwstr>
      </vt:variant>
      <vt:variant>
        <vt:i4>1376318</vt:i4>
      </vt:variant>
      <vt:variant>
        <vt:i4>56</vt:i4>
      </vt:variant>
      <vt:variant>
        <vt:i4>0</vt:i4>
      </vt:variant>
      <vt:variant>
        <vt:i4>5</vt:i4>
      </vt:variant>
      <vt:variant>
        <vt:lpwstr/>
      </vt:variant>
      <vt:variant>
        <vt:lpwstr>_Toc95205007</vt:lpwstr>
      </vt:variant>
      <vt:variant>
        <vt:i4>1310782</vt:i4>
      </vt:variant>
      <vt:variant>
        <vt:i4>50</vt:i4>
      </vt:variant>
      <vt:variant>
        <vt:i4>0</vt:i4>
      </vt:variant>
      <vt:variant>
        <vt:i4>5</vt:i4>
      </vt:variant>
      <vt:variant>
        <vt:lpwstr/>
      </vt:variant>
      <vt:variant>
        <vt:lpwstr>_Toc95205006</vt:lpwstr>
      </vt:variant>
      <vt:variant>
        <vt:i4>1507390</vt:i4>
      </vt:variant>
      <vt:variant>
        <vt:i4>44</vt:i4>
      </vt:variant>
      <vt:variant>
        <vt:i4>0</vt:i4>
      </vt:variant>
      <vt:variant>
        <vt:i4>5</vt:i4>
      </vt:variant>
      <vt:variant>
        <vt:lpwstr/>
      </vt:variant>
      <vt:variant>
        <vt:lpwstr>_Toc95205005</vt:lpwstr>
      </vt:variant>
      <vt:variant>
        <vt:i4>1441854</vt:i4>
      </vt:variant>
      <vt:variant>
        <vt:i4>38</vt:i4>
      </vt:variant>
      <vt:variant>
        <vt:i4>0</vt:i4>
      </vt:variant>
      <vt:variant>
        <vt:i4>5</vt:i4>
      </vt:variant>
      <vt:variant>
        <vt:lpwstr/>
      </vt:variant>
      <vt:variant>
        <vt:lpwstr>_Toc95205004</vt:lpwstr>
      </vt:variant>
      <vt:variant>
        <vt:i4>1114174</vt:i4>
      </vt:variant>
      <vt:variant>
        <vt:i4>32</vt:i4>
      </vt:variant>
      <vt:variant>
        <vt:i4>0</vt:i4>
      </vt:variant>
      <vt:variant>
        <vt:i4>5</vt:i4>
      </vt:variant>
      <vt:variant>
        <vt:lpwstr/>
      </vt:variant>
      <vt:variant>
        <vt:lpwstr>_Toc95205003</vt:lpwstr>
      </vt:variant>
      <vt:variant>
        <vt:i4>1048638</vt:i4>
      </vt:variant>
      <vt:variant>
        <vt:i4>26</vt:i4>
      </vt:variant>
      <vt:variant>
        <vt:i4>0</vt:i4>
      </vt:variant>
      <vt:variant>
        <vt:i4>5</vt:i4>
      </vt:variant>
      <vt:variant>
        <vt:lpwstr/>
      </vt:variant>
      <vt:variant>
        <vt:lpwstr>_Toc95205002</vt:lpwstr>
      </vt:variant>
      <vt:variant>
        <vt:i4>1245246</vt:i4>
      </vt:variant>
      <vt:variant>
        <vt:i4>20</vt:i4>
      </vt:variant>
      <vt:variant>
        <vt:i4>0</vt:i4>
      </vt:variant>
      <vt:variant>
        <vt:i4>5</vt:i4>
      </vt:variant>
      <vt:variant>
        <vt:lpwstr/>
      </vt:variant>
      <vt:variant>
        <vt:lpwstr>_Toc95205001</vt:lpwstr>
      </vt:variant>
      <vt:variant>
        <vt:i4>1179710</vt:i4>
      </vt:variant>
      <vt:variant>
        <vt:i4>14</vt:i4>
      </vt:variant>
      <vt:variant>
        <vt:i4>0</vt:i4>
      </vt:variant>
      <vt:variant>
        <vt:i4>5</vt:i4>
      </vt:variant>
      <vt:variant>
        <vt:lpwstr/>
      </vt:variant>
      <vt:variant>
        <vt:lpwstr>_Toc95205000</vt:lpwstr>
      </vt:variant>
      <vt:variant>
        <vt:i4>1179702</vt:i4>
      </vt:variant>
      <vt:variant>
        <vt:i4>8</vt:i4>
      </vt:variant>
      <vt:variant>
        <vt:i4>0</vt:i4>
      </vt:variant>
      <vt:variant>
        <vt:i4>5</vt:i4>
      </vt:variant>
      <vt:variant>
        <vt:lpwstr/>
      </vt:variant>
      <vt:variant>
        <vt:lpwstr>_Toc95204999</vt:lpwstr>
      </vt:variant>
      <vt:variant>
        <vt:i4>1245238</vt:i4>
      </vt:variant>
      <vt:variant>
        <vt:i4>2</vt:i4>
      </vt:variant>
      <vt:variant>
        <vt:i4>0</vt:i4>
      </vt:variant>
      <vt:variant>
        <vt:i4>5</vt:i4>
      </vt:variant>
      <vt:variant>
        <vt:lpwstr/>
      </vt:variant>
      <vt:variant>
        <vt:lpwstr>_Toc95204998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2022-11-16T05:37:00Z</dcterms:created>
  <dcterms:modified xsi:type="dcterms:W3CDTF">2022-11-16T05:48:00Z</dcterms:modified>
</cp:coreProperties>
</file>