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84D57" w14:textId="77777777" w:rsidR="00E44B80" w:rsidRPr="00F637B3" w:rsidRDefault="00E44B80" w:rsidP="008B63FD">
      <w:pPr>
        <w:jc w:val="center"/>
      </w:pPr>
      <w:r w:rsidRPr="00F637B3">
        <w:rPr>
          <w:noProof/>
        </w:rPr>
        <w:drawing>
          <wp:inline distT="0" distB="0" distL="0" distR="0" wp14:anchorId="527A4A3E" wp14:editId="387F077D">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63408376" w14:textId="3D0040D3" w:rsidR="00D5266E" w:rsidRPr="00D5266E" w:rsidRDefault="00D5266E" w:rsidP="004B0D85">
      <w:pPr>
        <w:pStyle w:val="Title"/>
      </w:pPr>
      <w:r>
        <w:t xml:space="preserve">MSAC </w:t>
      </w:r>
      <w:r w:rsidR="008B2610" w:rsidRPr="001906CD">
        <w:t xml:space="preserve">Application </w:t>
      </w:r>
      <w:r>
        <w:t>1408.1</w:t>
      </w:r>
    </w:p>
    <w:p w14:paraId="4591CAB1" w14:textId="77777777" w:rsidR="005167C8" w:rsidRPr="005167C8" w:rsidRDefault="005167C8" w:rsidP="004B0D85"/>
    <w:p w14:paraId="579298CA" w14:textId="2BC97EEB" w:rsidR="00627F05" w:rsidRPr="00627F05" w:rsidRDefault="00627F05" w:rsidP="00627F05">
      <w:pPr>
        <w:pStyle w:val="Heading1"/>
        <w:shd w:val="clear" w:color="auto" w:fill="FFFFFF"/>
        <w:spacing w:after="330"/>
        <w:ind w:left="0" w:firstLine="0"/>
        <w:jc w:val="center"/>
        <w:rPr>
          <w:rFonts w:ascii="Arial" w:hAnsi="Arial" w:cs="Arial"/>
          <w:b/>
          <w:bCs w:val="0"/>
          <w:color w:val="548DD4" w:themeColor="text2" w:themeTint="99"/>
          <w:sz w:val="52"/>
          <w:szCs w:val="52"/>
        </w:rPr>
      </w:pPr>
      <w:r w:rsidRPr="00627F05">
        <w:rPr>
          <w:rFonts w:ascii="Arial" w:hAnsi="Arial" w:cs="Arial"/>
          <w:b/>
          <w:bCs w:val="0"/>
          <w:color w:val="548DD4" w:themeColor="text2" w:themeTint="99"/>
          <w:sz w:val="52"/>
          <w:szCs w:val="52"/>
        </w:rPr>
        <w:t>A prognostic RT-qPCR test</w:t>
      </w:r>
      <w:r w:rsidR="0028460F">
        <w:rPr>
          <w:rFonts w:ascii="Arial" w:hAnsi="Arial" w:cs="Arial"/>
          <w:b/>
          <w:bCs w:val="0"/>
          <w:color w:val="548DD4" w:themeColor="text2" w:themeTint="99"/>
          <w:sz w:val="52"/>
          <w:szCs w:val="52"/>
        </w:rPr>
        <w:t xml:space="preserve"> for prediction of risk of distant recurrence of breast cancer </w:t>
      </w:r>
      <w:r w:rsidRPr="00627F05">
        <w:rPr>
          <w:rFonts w:ascii="Arial" w:hAnsi="Arial" w:cs="Arial"/>
          <w:b/>
          <w:bCs w:val="0"/>
          <w:color w:val="548DD4" w:themeColor="text2" w:themeTint="99"/>
          <w:sz w:val="52"/>
          <w:szCs w:val="52"/>
        </w:rPr>
        <w:t>under endocrine treatment</w:t>
      </w:r>
    </w:p>
    <w:p w14:paraId="11C3BF9B" w14:textId="3DCAC284" w:rsidR="00E41E08" w:rsidRDefault="00E41E08" w:rsidP="004B0D85"/>
    <w:p w14:paraId="26950444" w14:textId="75515DE5" w:rsidR="0028460F" w:rsidRDefault="0028460F" w:rsidP="004B0D85"/>
    <w:p w14:paraId="4D8C0F74" w14:textId="15D1924D" w:rsidR="0028460F" w:rsidRDefault="0028460F" w:rsidP="004B0D85"/>
    <w:p w14:paraId="23E63FCF" w14:textId="40D60D4B" w:rsidR="0028460F" w:rsidRDefault="0028460F" w:rsidP="004B0D85"/>
    <w:p w14:paraId="6EC8C4D8" w14:textId="77777777" w:rsidR="0028460F" w:rsidRPr="00E41E08" w:rsidRDefault="0028460F" w:rsidP="004B0D85"/>
    <w:p w14:paraId="3CCBD859" w14:textId="77777777" w:rsidR="00D5266E" w:rsidRDefault="00D5266E" w:rsidP="004B0D85">
      <w:pPr>
        <w:rPr>
          <w:color w:val="4F81BD" w:themeColor="accent1"/>
          <w:sz w:val="40"/>
          <w:szCs w:val="32"/>
        </w:rPr>
      </w:pPr>
      <w:r>
        <w:br w:type="page"/>
      </w:r>
    </w:p>
    <w:p w14:paraId="697072C7" w14:textId="18D19EF5" w:rsidR="00E04FB3" w:rsidRPr="00C776B1" w:rsidRDefault="00494011" w:rsidP="0056015F">
      <w:pPr>
        <w:pStyle w:val="Heading1"/>
      </w:pPr>
      <w:r>
        <w:lastRenderedPageBreak/>
        <w:t>PART 1</w:t>
      </w:r>
      <w:r w:rsidR="00F93784">
        <w:t xml:space="preserve"> – </w:t>
      </w:r>
      <w:r w:rsidR="00E04FB3" w:rsidRPr="00C776B1">
        <w:t>APPLICANT DETAILS</w:t>
      </w:r>
    </w:p>
    <w:p w14:paraId="19F03D2C" w14:textId="77777777" w:rsidR="00392F00" w:rsidRDefault="00D57F88" w:rsidP="004B0D85">
      <w:pPr>
        <w:pStyle w:val="Heading2"/>
      </w:pPr>
      <w:r w:rsidRPr="00A8732C">
        <w:t>Applicant d</w:t>
      </w:r>
      <w:r w:rsidR="00392F00" w:rsidRPr="00A8732C">
        <w:t>etails</w:t>
      </w:r>
      <w:r w:rsidR="000D066E" w:rsidRPr="00A8732C">
        <w:t xml:space="preserve"> (primary and alternative contacts)</w:t>
      </w:r>
    </w:p>
    <w:p w14:paraId="306784A5" w14:textId="4788D350" w:rsidR="00C171FB" w:rsidRDefault="00C171FB" w:rsidP="006B3A92">
      <w:pPr>
        <w:pBdr>
          <w:top w:val="single" w:sz="4" w:space="1" w:color="auto"/>
          <w:left w:val="single" w:sz="4" w:space="4" w:color="auto"/>
          <w:bottom w:val="single" w:sz="4" w:space="1" w:color="auto"/>
          <w:right w:val="single" w:sz="4" w:space="4" w:color="auto"/>
        </w:pBdr>
      </w:pPr>
      <w:r>
        <w:t xml:space="preserve">Corporation / partnership details (where relevant): </w:t>
      </w:r>
      <w:r w:rsidR="00084541">
        <w:t xml:space="preserve"> </w:t>
      </w:r>
    </w:p>
    <w:p w14:paraId="0E58889C" w14:textId="73694F3D" w:rsidR="00C171FB" w:rsidRDefault="00C171FB" w:rsidP="006B3A92">
      <w:pPr>
        <w:pBdr>
          <w:top w:val="single" w:sz="4" w:space="1" w:color="auto"/>
          <w:left w:val="single" w:sz="4" w:space="4" w:color="auto"/>
          <w:bottom w:val="single" w:sz="4" w:space="1" w:color="auto"/>
          <w:right w:val="single" w:sz="4" w:space="4" w:color="auto"/>
        </w:pBdr>
      </w:pPr>
      <w:r>
        <w:t xml:space="preserve">Corporation name: </w:t>
      </w:r>
      <w:r w:rsidR="00084541">
        <w:t>Myriad Genetics</w:t>
      </w:r>
    </w:p>
    <w:p w14:paraId="757D73E7" w14:textId="133B25FA" w:rsidR="00C171FB" w:rsidRDefault="00C171FB" w:rsidP="006B3A92">
      <w:pPr>
        <w:pBdr>
          <w:top w:val="single" w:sz="4" w:space="1" w:color="auto"/>
          <w:left w:val="single" w:sz="4" w:space="4" w:color="auto"/>
          <w:bottom w:val="single" w:sz="4" w:space="1" w:color="auto"/>
          <w:right w:val="single" w:sz="4" w:space="4" w:color="auto"/>
        </w:pBdr>
      </w:pPr>
      <w:r>
        <w:t xml:space="preserve">ABN: </w:t>
      </w:r>
      <w:r w:rsidR="00084541">
        <w:t>168356572</w:t>
      </w:r>
    </w:p>
    <w:p w14:paraId="361B94BD" w14:textId="71A24640" w:rsidR="00C171FB" w:rsidRPr="00C171FB" w:rsidRDefault="00C171FB" w:rsidP="006B3A92">
      <w:pPr>
        <w:pBdr>
          <w:top w:val="single" w:sz="4" w:space="1" w:color="auto"/>
          <w:left w:val="single" w:sz="4" w:space="4" w:color="auto"/>
          <w:bottom w:val="single" w:sz="4" w:space="1" w:color="auto"/>
          <w:right w:val="single" w:sz="4" w:space="4" w:color="auto"/>
        </w:pBdr>
      </w:pPr>
      <w:r>
        <w:t xml:space="preserve">Business trading name: </w:t>
      </w:r>
      <w:r w:rsidR="00084541">
        <w:t>Myriad Genetics Australia Pty Ltd</w:t>
      </w:r>
    </w:p>
    <w:p w14:paraId="5B25E209" w14:textId="5821F14F" w:rsidR="00C171FB" w:rsidRPr="00C171FB" w:rsidRDefault="00C171FB" w:rsidP="004B0D85">
      <w:r>
        <w:t xml:space="preserve">Primary contact name: </w:t>
      </w:r>
      <w:r w:rsidR="00D5266E" w:rsidRPr="004B0D85">
        <w:rPr>
          <w:b/>
          <w:sz w:val="22"/>
          <w:szCs w:val="24"/>
        </w:rPr>
        <w:t>REDACTED</w:t>
      </w:r>
    </w:p>
    <w:p w14:paraId="575D6921" w14:textId="77777777" w:rsidR="00C171FB" w:rsidRDefault="00C171FB" w:rsidP="006B3A92">
      <w:pPr>
        <w:pBdr>
          <w:top w:val="single" w:sz="4" w:space="1" w:color="auto"/>
          <w:left w:val="single" w:sz="4" w:space="4" w:color="auto"/>
          <w:bottom w:val="single" w:sz="4" w:space="1" w:color="auto"/>
          <w:right w:val="single" w:sz="4" w:space="4" w:color="auto"/>
        </w:pBdr>
      </w:pPr>
      <w:r>
        <w:t>Primary contact numbers</w:t>
      </w:r>
    </w:p>
    <w:p w14:paraId="35970C7A" w14:textId="16FC9FDA" w:rsidR="00C171FB" w:rsidRDefault="00C171FB" w:rsidP="006B3A92">
      <w:pPr>
        <w:pBdr>
          <w:top w:val="single" w:sz="4" w:space="1" w:color="auto"/>
          <w:left w:val="single" w:sz="4" w:space="4" w:color="auto"/>
          <w:bottom w:val="single" w:sz="4" w:space="1" w:color="auto"/>
          <w:right w:val="single" w:sz="4" w:space="4" w:color="auto"/>
        </w:pBdr>
      </w:pPr>
      <w:r>
        <w:t>Business:</w:t>
      </w:r>
      <w:r w:rsidR="00084541">
        <w:t xml:space="preserve"> Myriad Genetics Australia Pty Ltd</w:t>
      </w:r>
    </w:p>
    <w:p w14:paraId="7EC676F6" w14:textId="0868BE63" w:rsidR="00C171FB" w:rsidRDefault="00C171FB" w:rsidP="006B3A92">
      <w:pPr>
        <w:pBdr>
          <w:top w:val="single" w:sz="4" w:space="1" w:color="auto"/>
          <w:left w:val="single" w:sz="4" w:space="4" w:color="auto"/>
          <w:bottom w:val="single" w:sz="4" w:space="1" w:color="auto"/>
          <w:right w:val="single" w:sz="4" w:space="4" w:color="auto"/>
        </w:pBdr>
      </w:pPr>
      <w:r>
        <w:t>Mobile:</w:t>
      </w:r>
      <w:r w:rsidR="000D640D">
        <w:t xml:space="preserve"> </w:t>
      </w:r>
      <w:r w:rsidR="00D5266E" w:rsidRPr="00D5266E">
        <w:rPr>
          <w:b/>
          <w:bCs/>
          <w:sz w:val="22"/>
          <w:szCs w:val="24"/>
        </w:rPr>
        <w:t>REDACTED</w:t>
      </w:r>
    </w:p>
    <w:p w14:paraId="7E012AB5" w14:textId="0F6A072F" w:rsidR="00C171FB" w:rsidRDefault="00C171FB" w:rsidP="006B3A92">
      <w:pPr>
        <w:pBdr>
          <w:top w:val="single" w:sz="4" w:space="1" w:color="auto"/>
          <w:left w:val="single" w:sz="4" w:space="4" w:color="auto"/>
          <w:bottom w:val="single" w:sz="4" w:space="1" w:color="auto"/>
          <w:right w:val="single" w:sz="4" w:space="4" w:color="auto"/>
        </w:pBdr>
      </w:pPr>
      <w:r>
        <w:t>Email:</w:t>
      </w:r>
      <w:r w:rsidR="00084541">
        <w:t xml:space="preserve"> </w:t>
      </w:r>
      <w:r w:rsidR="00D5266E" w:rsidRPr="006B3A92">
        <w:rPr>
          <w:b/>
          <w:bCs/>
          <w:sz w:val="22"/>
          <w:szCs w:val="24"/>
        </w:rPr>
        <w:t>REDACTED</w:t>
      </w:r>
    </w:p>
    <w:p w14:paraId="0DD066AE" w14:textId="2F3E9B01" w:rsidR="00C171FB" w:rsidRPr="00C171FB" w:rsidRDefault="00C171FB" w:rsidP="004B0D85">
      <w:r>
        <w:t xml:space="preserve">Alternative contact name: </w:t>
      </w:r>
      <w:r w:rsidR="00D5266E" w:rsidRPr="006B3A92">
        <w:rPr>
          <w:b/>
          <w:sz w:val="22"/>
          <w:szCs w:val="24"/>
        </w:rPr>
        <w:t>REDACTED</w:t>
      </w:r>
    </w:p>
    <w:p w14:paraId="0EFFDDAE" w14:textId="77777777" w:rsidR="00C171FB" w:rsidRDefault="00C171FB" w:rsidP="006B3A92">
      <w:pPr>
        <w:pBdr>
          <w:top w:val="single" w:sz="4" w:space="1" w:color="auto"/>
          <w:left w:val="single" w:sz="4" w:space="4" w:color="auto"/>
          <w:bottom w:val="single" w:sz="4" w:space="1" w:color="auto"/>
          <w:right w:val="single" w:sz="4" w:space="4" w:color="auto"/>
        </w:pBdr>
      </w:pPr>
      <w:r>
        <w:t>Alternative contact numbers</w:t>
      </w:r>
      <w:r>
        <w:tab/>
      </w:r>
    </w:p>
    <w:p w14:paraId="08E82618" w14:textId="48FE09AB" w:rsidR="00C171FB" w:rsidRDefault="00C171FB" w:rsidP="006B3A92">
      <w:pPr>
        <w:pBdr>
          <w:top w:val="single" w:sz="4" w:space="1" w:color="auto"/>
          <w:left w:val="single" w:sz="4" w:space="4" w:color="auto"/>
          <w:bottom w:val="single" w:sz="4" w:space="1" w:color="auto"/>
          <w:right w:val="single" w:sz="4" w:space="4" w:color="auto"/>
        </w:pBdr>
      </w:pPr>
      <w:r>
        <w:t xml:space="preserve">Business: </w:t>
      </w:r>
      <w:r w:rsidR="00084541">
        <w:t>Myriad Genetics Australia Pty Ltd</w:t>
      </w:r>
    </w:p>
    <w:p w14:paraId="4D0A1DF1" w14:textId="48C62A66" w:rsidR="00C171FB" w:rsidRDefault="00C171FB" w:rsidP="006B3A92">
      <w:pPr>
        <w:pBdr>
          <w:top w:val="single" w:sz="4" w:space="1" w:color="auto"/>
          <w:left w:val="single" w:sz="4" w:space="4" w:color="auto"/>
          <w:bottom w:val="single" w:sz="4" w:space="1" w:color="auto"/>
          <w:right w:val="single" w:sz="4" w:space="4" w:color="auto"/>
        </w:pBdr>
      </w:pPr>
      <w:r>
        <w:t xml:space="preserve">Mobile: </w:t>
      </w:r>
      <w:r w:rsidR="00D5266E" w:rsidRPr="00D5266E">
        <w:rPr>
          <w:b/>
          <w:bCs/>
          <w:sz w:val="22"/>
          <w:szCs w:val="24"/>
        </w:rPr>
        <w:t>REDACTED</w:t>
      </w:r>
    </w:p>
    <w:p w14:paraId="182B7B5F" w14:textId="2E7C6B22" w:rsidR="00C171FB" w:rsidRDefault="00C171FB" w:rsidP="006B3A92">
      <w:pPr>
        <w:pBdr>
          <w:top w:val="single" w:sz="4" w:space="1" w:color="auto"/>
          <w:left w:val="single" w:sz="4" w:space="4" w:color="auto"/>
          <w:bottom w:val="single" w:sz="4" w:space="1" w:color="auto"/>
          <w:right w:val="single" w:sz="4" w:space="4" w:color="auto"/>
        </w:pBdr>
      </w:pPr>
      <w:r>
        <w:t xml:space="preserve">Email: </w:t>
      </w:r>
      <w:r w:rsidR="00D5266E" w:rsidRPr="006B3A92">
        <w:rPr>
          <w:b/>
          <w:bCs/>
          <w:sz w:val="22"/>
          <w:szCs w:val="24"/>
        </w:rPr>
        <w:t>REDACTED</w:t>
      </w:r>
    </w:p>
    <w:p w14:paraId="5728B6AA" w14:textId="77777777" w:rsidR="00C171FB" w:rsidRPr="00C171FB" w:rsidRDefault="00C171FB" w:rsidP="004B0D85"/>
    <w:p w14:paraId="4FF478B7" w14:textId="77777777" w:rsidR="00AD2E85" w:rsidRDefault="00AD2E85" w:rsidP="004B0D85">
      <w:pPr>
        <w:pStyle w:val="Heading2"/>
      </w:pPr>
      <w:r>
        <w:t>(a) Are you a consultant acting on behalf on an applicant?</w:t>
      </w:r>
    </w:p>
    <w:p w14:paraId="70C7DFF7" w14:textId="6EEC3C6E" w:rsidR="00AD2E85" w:rsidRPr="006B3A92" w:rsidRDefault="00AD2E85" w:rsidP="006B3A92">
      <w:pPr>
        <w:pStyle w:val="Tickboxes"/>
      </w:pPr>
      <w:r w:rsidRPr="006B3A92">
        <w:fldChar w:fldCharType="begin">
          <w:ffData>
            <w:name w:val="Check1"/>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w:t>
      </w:r>
    </w:p>
    <w:p w14:paraId="3EE7FE9E" w14:textId="02703F45" w:rsidR="00AD2E85" w:rsidRPr="006B3A92" w:rsidRDefault="00084541" w:rsidP="006B3A92">
      <w:pPr>
        <w:pStyle w:val="Tickboxes"/>
      </w:pPr>
      <w:r w:rsidRPr="006B3A92">
        <w:fldChar w:fldCharType="begin">
          <w:ffData>
            <w:name w:val="Check2"/>
            <w:enabled w:val="0"/>
            <w:calcOnExit w:val="0"/>
            <w:checkBox>
              <w:sizeAuto/>
              <w:default w:val="1"/>
            </w:checkBox>
          </w:ffData>
        </w:fldChar>
      </w:r>
      <w:bookmarkStart w:id="0" w:name="Check2"/>
      <w:r w:rsidRPr="006B3A92">
        <w:instrText xml:space="preserve"> FORMCHECKBOX </w:instrText>
      </w:r>
      <w:r w:rsidR="009701F3">
        <w:fldChar w:fldCharType="separate"/>
      </w:r>
      <w:r w:rsidRPr="006B3A92">
        <w:fldChar w:fldCharType="end"/>
      </w:r>
      <w:bookmarkEnd w:id="0"/>
      <w:r w:rsidR="00AD2E85" w:rsidRPr="006B3A92">
        <w:t xml:space="preserve"> No  </w:t>
      </w:r>
    </w:p>
    <w:p w14:paraId="651FBED9" w14:textId="77777777" w:rsidR="00AD2E85" w:rsidRPr="00AD2E85" w:rsidRDefault="00AD2E85" w:rsidP="004B0D85">
      <w:r w:rsidRPr="00AD2E85">
        <w:t>(b) If yes what is the Applicant(s) name that you are acting on behalf of?</w:t>
      </w:r>
    </w:p>
    <w:p w14:paraId="0DE987AA" w14:textId="172717B4" w:rsidR="00AD2E85" w:rsidRPr="00AD2E85" w:rsidRDefault="00D5266E" w:rsidP="004B0D85">
      <w:r>
        <w:t>Not applicable</w:t>
      </w:r>
    </w:p>
    <w:p w14:paraId="53064FC3" w14:textId="77777777" w:rsidR="00534C5F" w:rsidRPr="00154B00" w:rsidRDefault="00494011" w:rsidP="004B0D85">
      <w:pPr>
        <w:pStyle w:val="Heading2"/>
      </w:pPr>
      <w:r>
        <w:t xml:space="preserve">(a) </w:t>
      </w:r>
      <w:r w:rsidR="00534C5F">
        <w:t>Are you a lobbyist acting on behalf of an Applicant?</w:t>
      </w:r>
    </w:p>
    <w:p w14:paraId="342EBEDD" w14:textId="4F8F6525" w:rsidR="00A6491A" w:rsidRPr="006B3A92" w:rsidRDefault="00A6491A" w:rsidP="006B3A92">
      <w:pPr>
        <w:pStyle w:val="Tickboxes"/>
      </w:pPr>
      <w:r w:rsidRPr="006B3A92">
        <w:fldChar w:fldCharType="begin">
          <w:ffData>
            <w:name w:val="Check1"/>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w:t>
      </w:r>
    </w:p>
    <w:p w14:paraId="005CE1A8" w14:textId="1F73645B" w:rsidR="00A6491A" w:rsidRPr="006B3A92" w:rsidRDefault="00084541" w:rsidP="006B3A92">
      <w:pPr>
        <w:pStyle w:val="Tickboxes"/>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A6491A" w:rsidRPr="006B3A92">
        <w:t xml:space="preserve"> No  </w:t>
      </w:r>
    </w:p>
    <w:p w14:paraId="06499472" w14:textId="77777777" w:rsidR="00534C5F" w:rsidRPr="00154B00" w:rsidRDefault="00534C5F" w:rsidP="004B0D85">
      <w:pPr>
        <w:pStyle w:val="Heading2"/>
        <w:numPr>
          <w:ilvl w:val="0"/>
          <w:numId w:val="2"/>
        </w:numPr>
      </w:pPr>
      <w:r w:rsidRPr="00154B00">
        <w:t xml:space="preserve">If yes, </w:t>
      </w:r>
      <w:r>
        <w:t xml:space="preserve">are </w:t>
      </w:r>
      <w:r w:rsidRPr="00FE33A6">
        <w:t>you</w:t>
      </w:r>
      <w:r>
        <w:t xml:space="preserve"> listed on the Register of Lobbyists?</w:t>
      </w:r>
    </w:p>
    <w:p w14:paraId="4FD0858C" w14:textId="79820E9E" w:rsidR="00A6491A" w:rsidRPr="006B3A92" w:rsidRDefault="00A6491A" w:rsidP="006B3A92">
      <w:pPr>
        <w:pStyle w:val="Tickboxes"/>
      </w:pPr>
      <w:r w:rsidRPr="006B3A92">
        <w:fldChar w:fldCharType="begin">
          <w:ffData>
            <w:name w:val="Check1"/>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w:t>
      </w:r>
    </w:p>
    <w:p w14:paraId="0DA0338D" w14:textId="77777777" w:rsidR="00A6491A" w:rsidRPr="006B3A92" w:rsidRDefault="00A6491A" w:rsidP="006B3A92">
      <w:pPr>
        <w:pStyle w:val="Tickboxes"/>
      </w:pPr>
      <w:r w:rsidRPr="006B3A92">
        <w:fldChar w:fldCharType="begin">
          <w:ffData>
            <w:name w:val="Check2"/>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No  </w:t>
      </w:r>
    </w:p>
    <w:p w14:paraId="55E653D4" w14:textId="77777777" w:rsidR="00CE0F9E" w:rsidRPr="00154B00" w:rsidRDefault="00CE0F9E" w:rsidP="004B0D85">
      <w:pPr>
        <w:pStyle w:val="Heading2"/>
        <w:numPr>
          <w:ilvl w:val="0"/>
          <w:numId w:val="2"/>
        </w:numPr>
      </w:pPr>
      <w:r>
        <w:t>Have you engaged a consultant on your behalf?</w:t>
      </w:r>
    </w:p>
    <w:p w14:paraId="002AE148" w14:textId="3CAE0AD1" w:rsidR="00CE0F9E" w:rsidRPr="006B3A92" w:rsidRDefault="007568A5" w:rsidP="006B3A92">
      <w:pPr>
        <w:pStyle w:val="Tickboxes"/>
      </w:pPr>
      <w:r w:rsidRPr="006B3A92">
        <w:fldChar w:fldCharType="begin">
          <w:ffData>
            <w:name w:val="Check1"/>
            <w:enabled/>
            <w:calcOnExit w:val="0"/>
            <w:checkBox>
              <w:sizeAuto/>
              <w:default w:val="0"/>
            </w:checkBox>
          </w:ffData>
        </w:fldChar>
      </w:r>
      <w:bookmarkStart w:id="1" w:name="Check1"/>
      <w:r w:rsidRPr="006B3A92">
        <w:instrText xml:space="preserve"> FORMCHECKBOX </w:instrText>
      </w:r>
      <w:r w:rsidR="009701F3">
        <w:fldChar w:fldCharType="separate"/>
      </w:r>
      <w:r w:rsidRPr="006B3A92">
        <w:fldChar w:fldCharType="end"/>
      </w:r>
      <w:bookmarkEnd w:id="1"/>
      <w:r w:rsidR="00CE0F9E" w:rsidRPr="006B3A92">
        <w:t xml:space="preserve">  </w:t>
      </w:r>
    </w:p>
    <w:p w14:paraId="081144E7" w14:textId="52123CE1" w:rsidR="00CE0F9E" w:rsidRPr="006B3A92" w:rsidRDefault="007568A5" w:rsidP="006B3A92">
      <w:pPr>
        <w:pStyle w:val="Tickboxes"/>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CE0F9E" w:rsidRPr="006B3A92">
        <w:t xml:space="preserve"> No  </w:t>
      </w:r>
    </w:p>
    <w:p w14:paraId="198CF8CF" w14:textId="77777777" w:rsidR="00CE0F9E" w:rsidRDefault="00CE0F9E" w:rsidP="004B0D85"/>
    <w:p w14:paraId="3A028308" w14:textId="77777777" w:rsidR="00721065" w:rsidRPr="00753C44" w:rsidRDefault="00721065" w:rsidP="004B0D85"/>
    <w:p w14:paraId="25D667BD" w14:textId="77777777" w:rsidR="00E04FB3" w:rsidRDefault="00E04FB3" w:rsidP="004B0D85">
      <w:r w:rsidRPr="00154B00">
        <w:br w:type="page"/>
      </w:r>
    </w:p>
    <w:p w14:paraId="2D56963A"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27DF83C" w14:textId="526DDDF1" w:rsidR="009056C5" w:rsidRDefault="000B3CD0" w:rsidP="004B0D85">
      <w:pPr>
        <w:pStyle w:val="Heading2"/>
      </w:pPr>
      <w:r w:rsidRPr="00154B00">
        <w:t>Application title</w:t>
      </w:r>
      <w:r w:rsidR="00A8732C">
        <w:t xml:space="preserve"> </w:t>
      </w:r>
    </w:p>
    <w:p w14:paraId="44509E3C" w14:textId="20C91541" w:rsidR="00E41E08" w:rsidRPr="00E41E08" w:rsidRDefault="00627F05" w:rsidP="004B0D85">
      <w:r w:rsidRPr="230BE74A">
        <w:t xml:space="preserve">A prognostic RT-qPCR test for </w:t>
      </w:r>
      <w:proofErr w:type="spellStart"/>
      <w:r w:rsidRPr="230BE74A">
        <w:t>ER+ve</w:t>
      </w:r>
      <w:proofErr w:type="spellEnd"/>
      <w:r w:rsidRPr="230BE74A">
        <w:t xml:space="preserve"> /HER2-ve breast cancer that determines the risk of early and late metastasis in node negative and positive cancer </w:t>
      </w:r>
      <w:r w:rsidR="00682303">
        <w:t>treated with</w:t>
      </w:r>
      <w:r w:rsidR="00682303" w:rsidRPr="230BE74A">
        <w:t xml:space="preserve"> </w:t>
      </w:r>
      <w:r w:rsidRPr="230BE74A">
        <w:t>endocrine treatment.</w:t>
      </w:r>
    </w:p>
    <w:p w14:paraId="05A8DDA8" w14:textId="77777777" w:rsidR="009B4E1E" w:rsidRDefault="009B4E1E" w:rsidP="004B0D85">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494D9976" w14:textId="05DDE15E" w:rsidR="004E2B58" w:rsidRPr="009056C5" w:rsidRDefault="00D453CB" w:rsidP="004B0D85">
      <w:bookmarkStart w:id="2" w:name="_Hlk10470587"/>
      <w:r w:rsidRPr="00682303">
        <w:t>EndoPredict</w:t>
      </w:r>
      <w:r w:rsidR="00B9380B">
        <w:t>®</w:t>
      </w:r>
      <w:r w:rsidRPr="00682303">
        <w:t xml:space="preserve"> is an in vitro prognostic gene expression assay </w:t>
      </w:r>
      <w:bookmarkEnd w:id="2"/>
      <w:r w:rsidRPr="00682303">
        <w:t xml:space="preserve">for patients with primary </w:t>
      </w:r>
      <w:bookmarkStart w:id="3" w:name="_Hlk10470530"/>
      <w:r w:rsidRPr="00682303">
        <w:t>ER+/HER2–</w:t>
      </w:r>
      <w:r w:rsidR="00627F05" w:rsidRPr="00682303">
        <w:t>early-stage</w:t>
      </w:r>
      <w:r w:rsidRPr="00682303">
        <w:t xml:space="preserve"> breast cancer</w:t>
      </w:r>
      <w:bookmarkEnd w:id="3"/>
      <w:r w:rsidRPr="00682303">
        <w:t xml:space="preserve">. The final test result of the product, which includes a molecular signature combined with clinical markers assessed by a pathologist, scores the 10-year risk of distant metastasis </w:t>
      </w:r>
      <w:r w:rsidR="00EF4A38" w:rsidRPr="00682303">
        <w:t xml:space="preserve">with </w:t>
      </w:r>
      <w:r w:rsidRPr="00682303">
        <w:t xml:space="preserve">5 years of </w:t>
      </w:r>
      <w:r w:rsidR="00682303" w:rsidRPr="006041BD">
        <w:t xml:space="preserve">Endocrine </w:t>
      </w:r>
      <w:r w:rsidRPr="00682303">
        <w:t xml:space="preserve">therapy only. </w:t>
      </w:r>
      <w:r w:rsidR="00682303">
        <w:t xml:space="preserve">The test score (EPclin) helps guide treatment decisions, allowing clinicians to determine whether adjuvant chemotherapy should be administered in cases where the established prognosis factors such as grading, Ki67, quantitative immunohistochemistry of the oestrogen receptor, and nodal status do not enable a clear-cut decision (i.e. the pre-test risk of distant metastases is considered intermediate). </w:t>
      </w:r>
      <w:r w:rsidR="00682303" w:rsidRPr="00682303">
        <w:t>The report also provides the estimated absolute chemotherapy benefit at 10 years (for patients treated with 5 years of ET only) and the likelihood of late distant recurrence (5–15 years) (for patients with no recurrence after 5 years of ET only).</w:t>
      </w:r>
      <w:r w:rsidR="00682303">
        <w:t xml:space="preserve"> </w:t>
      </w:r>
    </w:p>
    <w:p w14:paraId="17FDC519" w14:textId="77777777" w:rsidR="000955E7" w:rsidRDefault="000955E7" w:rsidP="004B0D85">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54D500D" w14:textId="7A644D80" w:rsidR="007568A5" w:rsidRPr="004B0D85" w:rsidRDefault="007568A5" w:rsidP="004B0D85">
      <w:r w:rsidRPr="004B0D85">
        <w:t xml:space="preserve">EndoPredict® is an in vitro prognostic product which uses RT-qPCR technology in combination with </w:t>
      </w:r>
      <w:r w:rsidR="0026316A" w:rsidRPr="004B0D85">
        <w:t xml:space="preserve">the two </w:t>
      </w:r>
      <w:r w:rsidRPr="004B0D85">
        <w:t xml:space="preserve">clinical markers </w:t>
      </w:r>
      <w:r w:rsidR="00C81692" w:rsidRPr="004B0D85">
        <w:t>tumo</w:t>
      </w:r>
      <w:r w:rsidR="007E3D74" w:rsidRPr="004B0D85">
        <w:t>u</w:t>
      </w:r>
      <w:r w:rsidR="00C81692" w:rsidRPr="004B0D85">
        <w:t xml:space="preserve">r size and nodal status </w:t>
      </w:r>
      <w:r w:rsidRPr="004B0D85">
        <w:t>(assessed by the pathologist) to score individual breast cancer patients for risk of distant recurrence</w:t>
      </w:r>
      <w:r w:rsidR="00685AD3" w:rsidRPr="004B0D85">
        <w:t xml:space="preserve"> </w:t>
      </w:r>
      <w:r w:rsidR="009701F3">
        <w:t>up to</w:t>
      </w:r>
      <w:r w:rsidR="00685AD3" w:rsidRPr="004B0D85">
        <w:t xml:space="preserve"> 10 years (on a continuous scale) if treated with endocrine therapy only</w:t>
      </w:r>
      <w:r w:rsidRPr="004B0D85">
        <w:t xml:space="preserve">. RT-qPCR is conducted in a </w:t>
      </w:r>
      <w:r w:rsidR="004E2B58" w:rsidRPr="004B0D85">
        <w:t xml:space="preserve">local </w:t>
      </w:r>
      <w:r w:rsidRPr="004B0D85">
        <w:t xml:space="preserve">laboratory </w:t>
      </w:r>
      <w:r w:rsidR="004E2B58" w:rsidRPr="004B0D85">
        <w:t xml:space="preserve">under Australian regulatory standards </w:t>
      </w:r>
      <w:r w:rsidRPr="004B0D85">
        <w:t xml:space="preserve">using the EndoPredict® Kit manufactured by </w:t>
      </w:r>
      <w:r w:rsidR="004E2B58" w:rsidRPr="004B0D85">
        <w:t xml:space="preserve">Myriad Genetics </w:t>
      </w:r>
      <w:r w:rsidR="002342A3" w:rsidRPr="004B0D85">
        <w:t xml:space="preserve">GmbH </w:t>
      </w:r>
      <w:r w:rsidRPr="004B0D85">
        <w:t>and distributed by Myriad Genetics</w:t>
      </w:r>
      <w:r w:rsidR="004E2B58" w:rsidRPr="004B0D85">
        <w:t xml:space="preserve"> </w:t>
      </w:r>
      <w:r w:rsidR="009701F3">
        <w:t>Pty Ltd</w:t>
      </w:r>
      <w:r w:rsidR="004E2B58" w:rsidRPr="004B0D85">
        <w:t>.</w:t>
      </w:r>
      <w:r w:rsidR="00685AD3" w:rsidRPr="004B0D85">
        <w:t xml:space="preserve"> </w:t>
      </w:r>
      <w:r w:rsidRPr="004B0D85">
        <w:t>Online software is used in conjunction with the qPCR module, analyses expression data</w:t>
      </w:r>
      <w:r w:rsidR="004E2B58" w:rsidRPr="004B0D85">
        <w:t xml:space="preserve"> and</w:t>
      </w:r>
      <w:r w:rsidRPr="004B0D85">
        <w:t xml:space="preserve"> </w:t>
      </w:r>
      <w:r w:rsidR="004E2B58" w:rsidRPr="004B0D85">
        <w:t xml:space="preserve">clinical information (node status and tumour size) is entered </w:t>
      </w:r>
      <w:r w:rsidRPr="004B0D85">
        <w:t>and calculates a</w:t>
      </w:r>
      <w:r w:rsidR="00AA2FBA" w:rsidRPr="004B0D85">
        <w:t>n</w:t>
      </w:r>
      <w:r w:rsidRPr="004B0D85">
        <w:t xml:space="preserve"> </w:t>
      </w:r>
      <w:r w:rsidR="00AA2FBA" w:rsidRPr="004B0D85">
        <w:t xml:space="preserve">EPclin </w:t>
      </w:r>
      <w:r w:rsidRPr="004B0D85">
        <w:t xml:space="preserve">score. </w:t>
      </w:r>
      <w:r w:rsidR="00685AD3" w:rsidRPr="004B0D85">
        <w:t xml:space="preserve">The report also provides estimated absolute chemotherapy benefit at 10 years and the likelihood of late distant recurrence (5–15 years). </w:t>
      </w:r>
      <w:r w:rsidRPr="004B0D85">
        <w:t>The oncologist will decide on treatment of endocrine therapy alone, extended endocrine therapy or endocrine and chemotherapy, based on the calculated risk.</w:t>
      </w:r>
    </w:p>
    <w:p w14:paraId="0EC09F37" w14:textId="77777777" w:rsidR="00D11EB1" w:rsidRPr="0011036E" w:rsidRDefault="00730C04" w:rsidP="004B0D85">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0EA8C971" w14:textId="553DE88A" w:rsidR="00753C44" w:rsidRPr="006B3A92" w:rsidRDefault="007568A5" w:rsidP="006B3A92">
      <w:pPr>
        <w:pStyle w:val="Tickboxes"/>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6B6390" w:rsidRPr="006B3A92">
        <w:t xml:space="preserve"> Yes</w:t>
      </w:r>
    </w:p>
    <w:p w14:paraId="7C4499F6" w14:textId="2637140A" w:rsidR="00753C44" w:rsidRPr="006B3A92" w:rsidRDefault="006B6390" w:rsidP="006B3A92">
      <w:pPr>
        <w:pStyle w:val="Tickboxes"/>
      </w:pPr>
      <w:r w:rsidRPr="006B3A92">
        <w:fldChar w:fldCharType="begin">
          <w:ffData>
            <w:name w:val="Check2"/>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w:t>
      </w:r>
      <w:r w:rsidR="00753C44" w:rsidRPr="006B3A92">
        <w:t xml:space="preserve">  </w:t>
      </w:r>
    </w:p>
    <w:p w14:paraId="6ED36F1F" w14:textId="77777777" w:rsidR="000B3CD0" w:rsidRPr="0011036E" w:rsidRDefault="000B3CD0" w:rsidP="004B0D8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05AE2BC" w14:textId="0D1C82CB" w:rsidR="00753C44" w:rsidRPr="006B3A92" w:rsidRDefault="006B6390" w:rsidP="006B3A92">
      <w:pPr>
        <w:pStyle w:val="Tickboxes"/>
      </w:pPr>
      <w:r w:rsidRPr="006B3A92">
        <w:fldChar w:fldCharType="begin">
          <w:ffData>
            <w:name w:val="Check2"/>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w:t>
      </w:r>
    </w:p>
    <w:p w14:paraId="79B9247B" w14:textId="1B4D5462" w:rsidR="00753C44" w:rsidRPr="006B3A92" w:rsidRDefault="007568A5" w:rsidP="006B3A92">
      <w:pPr>
        <w:pStyle w:val="Tickboxes"/>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6B6390" w:rsidRPr="006B3A92">
        <w:t xml:space="preserve"> </w:t>
      </w:r>
      <w:r w:rsidR="00753C44" w:rsidRPr="006B3A92">
        <w:t>New MBS item(s)</w:t>
      </w:r>
    </w:p>
    <w:p w14:paraId="4EB968E3" w14:textId="77777777" w:rsidR="000B3CD0" w:rsidRPr="0011036E" w:rsidRDefault="000B3CD0" w:rsidP="004B0D8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3628817D" w14:textId="468433F9" w:rsidR="001A30DA" w:rsidRPr="00CB12EC" w:rsidRDefault="001A30DA" w:rsidP="004B0D85">
      <w:r>
        <w:t xml:space="preserve">MSAC Application </w:t>
      </w:r>
      <w:r w:rsidR="007568A5">
        <w:t xml:space="preserve">1408 </w:t>
      </w:r>
    </w:p>
    <w:p w14:paraId="3809600C" w14:textId="77777777" w:rsidR="006C0843" w:rsidRPr="0011036E" w:rsidRDefault="006C0843" w:rsidP="004B0D8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AB66BAC" w14:textId="77777777" w:rsidR="002A270B" w:rsidRPr="004A263B" w:rsidRDefault="002A270B" w:rsidP="00B15F25">
      <w:pPr>
        <w:pStyle w:val="ListParagraph"/>
        <w:numPr>
          <w:ilvl w:val="0"/>
          <w:numId w:val="13"/>
        </w:numPr>
        <w:ind w:hanging="578"/>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701F3">
        <w:rPr>
          <w:b/>
          <w:szCs w:val="20"/>
        </w:rPr>
      </w:r>
      <w:r w:rsidR="009701F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234D91FC" w14:textId="77777777" w:rsidR="002A270B" w:rsidRPr="004A263B" w:rsidRDefault="002A270B" w:rsidP="00B15F25">
      <w:pPr>
        <w:pStyle w:val="ListParagraph"/>
        <w:numPr>
          <w:ilvl w:val="0"/>
          <w:numId w:val="13"/>
        </w:numPr>
        <w:ind w:hanging="578"/>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701F3">
        <w:rPr>
          <w:b/>
          <w:szCs w:val="20"/>
        </w:rPr>
      </w:r>
      <w:r w:rsidR="009701F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71E6249F" w14:textId="33EC53A0" w:rsidR="002A270B" w:rsidRPr="004A263B" w:rsidRDefault="001A30DA" w:rsidP="00B15F25">
      <w:pPr>
        <w:pStyle w:val="ListParagraph"/>
        <w:numPr>
          <w:ilvl w:val="0"/>
          <w:numId w:val="13"/>
        </w:numPr>
        <w:ind w:hanging="578"/>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9701F3">
        <w:rPr>
          <w:b/>
          <w:szCs w:val="20"/>
        </w:rPr>
      </w:r>
      <w:r w:rsidR="009701F3">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schedule fee of the existing item(s)</w:t>
      </w:r>
    </w:p>
    <w:p w14:paraId="2517CAD2" w14:textId="77777777" w:rsidR="002A270B" w:rsidRPr="004A263B" w:rsidRDefault="002A270B" w:rsidP="00B15F25">
      <w:pPr>
        <w:pStyle w:val="ListParagraph"/>
        <w:numPr>
          <w:ilvl w:val="0"/>
          <w:numId w:val="13"/>
        </w:numPr>
        <w:ind w:hanging="578"/>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701F3">
        <w:rPr>
          <w:b/>
          <w:szCs w:val="20"/>
        </w:rPr>
      </w:r>
      <w:r w:rsidR="009701F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1CCC92DD" w14:textId="77777777" w:rsidR="002A270B" w:rsidRPr="004A263B" w:rsidRDefault="002A270B" w:rsidP="00B15F25">
      <w:pPr>
        <w:pStyle w:val="ListParagraph"/>
        <w:numPr>
          <w:ilvl w:val="0"/>
          <w:numId w:val="13"/>
        </w:numPr>
        <w:ind w:hanging="578"/>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701F3">
        <w:rPr>
          <w:b/>
          <w:szCs w:val="20"/>
        </w:rPr>
      </w:r>
      <w:r w:rsidR="009701F3">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6F2AE114" w14:textId="6A2D1EBD" w:rsidR="002A270B" w:rsidRPr="004A263B" w:rsidRDefault="001A30DA" w:rsidP="00B15F25">
      <w:pPr>
        <w:pStyle w:val="ListParagraph"/>
        <w:numPr>
          <w:ilvl w:val="0"/>
          <w:numId w:val="13"/>
        </w:numPr>
        <w:ind w:hanging="578"/>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9701F3">
        <w:rPr>
          <w:b/>
          <w:szCs w:val="20"/>
        </w:rPr>
      </w:r>
      <w:r w:rsidR="009701F3">
        <w:rPr>
          <w:b/>
          <w:szCs w:val="20"/>
        </w:rPr>
        <w:fldChar w:fldCharType="separate"/>
      </w:r>
      <w:r>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14:paraId="5B09B054" w14:textId="77777777" w:rsidR="002A270B" w:rsidRPr="004A263B" w:rsidRDefault="002A270B" w:rsidP="00B15F25">
      <w:pPr>
        <w:pStyle w:val="ListParagraph"/>
        <w:numPr>
          <w:ilvl w:val="0"/>
          <w:numId w:val="13"/>
        </w:numPr>
        <w:ind w:hanging="578"/>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701F3">
        <w:rPr>
          <w:b/>
          <w:szCs w:val="20"/>
        </w:rPr>
      </w:r>
      <w:r w:rsidR="009701F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DBE6E4B" w14:textId="77777777" w:rsidR="002A270B" w:rsidRPr="004A263B" w:rsidRDefault="002A270B" w:rsidP="00B15F25">
      <w:pPr>
        <w:pStyle w:val="ListParagraph"/>
        <w:numPr>
          <w:ilvl w:val="0"/>
          <w:numId w:val="13"/>
        </w:numPr>
        <w:ind w:hanging="578"/>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9701F3">
        <w:rPr>
          <w:b/>
          <w:szCs w:val="20"/>
        </w:rPr>
      </w:r>
      <w:r w:rsidR="009701F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2D99FCAD" w14:textId="473A1F5A" w:rsidR="002A270B" w:rsidRPr="00B15F25" w:rsidRDefault="001A30DA" w:rsidP="00B15F25">
      <w:pPr>
        <w:pStyle w:val="ListParagraph"/>
        <w:numPr>
          <w:ilvl w:val="0"/>
          <w:numId w:val="13"/>
        </w:numPr>
        <w:ind w:hanging="578"/>
        <w:rPr>
          <w:rStyle w:val="Strong"/>
        </w:rPr>
      </w:pPr>
      <w:r>
        <w:rPr>
          <w:b/>
          <w:szCs w:val="20"/>
        </w:rPr>
        <w:fldChar w:fldCharType="begin">
          <w:ffData>
            <w:name w:val=""/>
            <w:enabled/>
            <w:calcOnExit w:val="0"/>
            <w:checkBox>
              <w:sizeAuto/>
              <w:default w:val="1"/>
            </w:checkBox>
          </w:ffData>
        </w:fldChar>
      </w:r>
      <w:r>
        <w:rPr>
          <w:b/>
          <w:szCs w:val="20"/>
        </w:rPr>
        <w:instrText xml:space="preserve"> FORMCHECKBOX </w:instrText>
      </w:r>
      <w:r w:rsidR="009701F3">
        <w:rPr>
          <w:b/>
          <w:szCs w:val="20"/>
        </w:rPr>
      </w:r>
      <w:r w:rsidR="009701F3">
        <w:rPr>
          <w:b/>
          <w:szCs w:val="20"/>
        </w:rPr>
        <w:fldChar w:fldCharType="separate"/>
      </w:r>
      <w:r>
        <w:rPr>
          <w:b/>
          <w:szCs w:val="20"/>
        </w:rPr>
        <w:fldChar w:fldCharType="end"/>
      </w:r>
      <w:r w:rsidR="004A263B" w:rsidRPr="004A263B">
        <w:rPr>
          <w:b/>
          <w:szCs w:val="20"/>
        </w:rPr>
        <w:t xml:space="preserve"> </w:t>
      </w:r>
      <w:r w:rsidR="002A270B" w:rsidRPr="004A263B">
        <w:rPr>
          <w:rStyle w:val="Strong"/>
          <w:b w:val="0"/>
        </w:rPr>
        <w:t>Other (please describe below)</w:t>
      </w:r>
      <w:r w:rsidR="00A6491A" w:rsidRPr="004A263B">
        <w:rPr>
          <w:rStyle w:val="Strong"/>
          <w:b w:val="0"/>
        </w:rPr>
        <w:t>:</w:t>
      </w:r>
    </w:p>
    <w:p w14:paraId="1BD1903F" w14:textId="77777777" w:rsidR="00B15F25" w:rsidRPr="001A30DA" w:rsidRDefault="00B15F25" w:rsidP="00B15F25">
      <w:pPr>
        <w:pStyle w:val="ListParagraph"/>
        <w:ind w:left="1004"/>
        <w:rPr>
          <w:rStyle w:val="Strong"/>
        </w:rPr>
      </w:pPr>
    </w:p>
    <w:p w14:paraId="6A07290F" w14:textId="67ABC26E" w:rsidR="001A30DA" w:rsidRPr="001A30DA" w:rsidRDefault="001A30DA" w:rsidP="004B0D85">
      <w:pPr>
        <w:pStyle w:val="ListParagraph"/>
        <w:numPr>
          <w:ilvl w:val="0"/>
          <w:numId w:val="16"/>
        </w:numPr>
        <w:rPr>
          <w:rStyle w:val="Strong"/>
          <w:b w:val="0"/>
        </w:rPr>
      </w:pPr>
      <w:r w:rsidRPr="001A30DA">
        <w:rPr>
          <w:rStyle w:val="Strong"/>
          <w:b w:val="0"/>
        </w:rPr>
        <w:t>Demonstrate Evidence of Incremental Prognostic Value</w:t>
      </w:r>
    </w:p>
    <w:p w14:paraId="7176ED36" w14:textId="76393C88" w:rsidR="001A30DA" w:rsidRPr="001A30DA" w:rsidRDefault="001A30DA" w:rsidP="004B0D85">
      <w:pPr>
        <w:pStyle w:val="ListParagraph"/>
        <w:numPr>
          <w:ilvl w:val="0"/>
          <w:numId w:val="16"/>
        </w:numPr>
        <w:rPr>
          <w:rStyle w:val="Strong"/>
          <w:b w:val="0"/>
        </w:rPr>
      </w:pPr>
      <w:r w:rsidRPr="001A30DA">
        <w:rPr>
          <w:rStyle w:val="Strong"/>
          <w:b w:val="0"/>
        </w:rPr>
        <w:t xml:space="preserve">Illustrate Confirmatory Evidence of Clinical Utility within Australia  </w:t>
      </w:r>
    </w:p>
    <w:p w14:paraId="7A36C5CC" w14:textId="6A7C5621" w:rsidR="001A30DA" w:rsidRPr="001A30DA" w:rsidRDefault="001A30DA" w:rsidP="004B0D85">
      <w:pPr>
        <w:pStyle w:val="ListParagraph"/>
        <w:numPr>
          <w:ilvl w:val="0"/>
          <w:numId w:val="16"/>
        </w:numPr>
        <w:rPr>
          <w:rStyle w:val="Strong"/>
          <w:b w:val="0"/>
        </w:rPr>
      </w:pPr>
      <w:r w:rsidRPr="001A30DA">
        <w:rPr>
          <w:rStyle w:val="Strong"/>
          <w:b w:val="0"/>
        </w:rPr>
        <w:t>Improve the Definition of the Descriptor</w:t>
      </w:r>
      <w:r w:rsidR="004E7E3F">
        <w:rPr>
          <w:rStyle w:val="Strong"/>
          <w:b w:val="0"/>
        </w:rPr>
        <w:t>, remaining test agnostic</w:t>
      </w:r>
    </w:p>
    <w:p w14:paraId="47095786" w14:textId="1BB579E0" w:rsidR="001A30DA" w:rsidRPr="001A30DA" w:rsidRDefault="001A30DA" w:rsidP="004B0D85">
      <w:pPr>
        <w:pStyle w:val="ListParagraph"/>
        <w:numPr>
          <w:ilvl w:val="0"/>
          <w:numId w:val="16"/>
        </w:numPr>
        <w:rPr>
          <w:rStyle w:val="Strong"/>
          <w:b w:val="0"/>
        </w:rPr>
      </w:pPr>
      <w:r w:rsidRPr="001A30DA">
        <w:rPr>
          <w:rStyle w:val="Strong"/>
          <w:b w:val="0"/>
        </w:rPr>
        <w:t>Exemplify the Differentiation from Grouped GEP Assays as a Class Value </w:t>
      </w:r>
    </w:p>
    <w:p w14:paraId="1C11373B" w14:textId="713B386E" w:rsidR="001A30DA" w:rsidRPr="001A30DA" w:rsidRDefault="001A30DA" w:rsidP="004B0D85">
      <w:pPr>
        <w:pStyle w:val="ListParagraph"/>
        <w:numPr>
          <w:ilvl w:val="0"/>
          <w:numId w:val="16"/>
        </w:numPr>
        <w:rPr>
          <w:rStyle w:val="Strong"/>
          <w:b w:val="0"/>
        </w:rPr>
      </w:pPr>
      <w:r w:rsidRPr="001A30DA">
        <w:rPr>
          <w:rStyle w:val="Strong"/>
          <w:b w:val="0"/>
        </w:rPr>
        <w:t>Offer a Price to Volume Fee </w:t>
      </w:r>
    </w:p>
    <w:p w14:paraId="060C5AC7" w14:textId="022A51DD" w:rsidR="001A30DA" w:rsidRPr="00B15F25" w:rsidRDefault="001A30DA" w:rsidP="00B15F25">
      <w:pPr>
        <w:pStyle w:val="ListParagraph"/>
        <w:numPr>
          <w:ilvl w:val="0"/>
          <w:numId w:val="16"/>
        </w:numPr>
        <w:rPr>
          <w:rStyle w:val="Strong"/>
          <w:b w:val="0"/>
        </w:rPr>
      </w:pPr>
      <w:r w:rsidRPr="001A30DA">
        <w:rPr>
          <w:rStyle w:val="Strong"/>
          <w:b w:val="0"/>
        </w:rPr>
        <w:t>Recognise the Discrepancy between TGA Approval, IVD regulatory, Global Guidelines and the Position taken by MSAC </w:t>
      </w:r>
      <w:r w:rsidR="004E7E3F">
        <w:rPr>
          <w:rStyle w:val="Strong"/>
          <w:b w:val="0"/>
        </w:rPr>
        <w:t>regarding prognostic versus predictive</w:t>
      </w:r>
    </w:p>
    <w:p w14:paraId="3A9F7B18" w14:textId="77777777" w:rsidR="00534C5F" w:rsidRPr="007E39E4" w:rsidRDefault="000770BA" w:rsidP="004B0D8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34210A1" w14:textId="77777777" w:rsidR="006B6390" w:rsidRPr="00AA2CFE" w:rsidRDefault="006B6390" w:rsidP="00B15F25">
      <w:pPr>
        <w:pStyle w:val="ListParagraph"/>
        <w:numPr>
          <w:ilvl w:val="0"/>
          <w:numId w:val="14"/>
        </w:numPr>
        <w:ind w:hanging="578"/>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701F3">
        <w:rPr>
          <w:b/>
          <w:szCs w:val="20"/>
        </w:rPr>
      </w:r>
      <w:r w:rsidR="009701F3">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88499D9" w14:textId="49FBBD3C" w:rsidR="006B6390" w:rsidRPr="00FD01E4" w:rsidRDefault="00BB45E3" w:rsidP="00B15F25">
      <w:pPr>
        <w:pStyle w:val="ListParagraph"/>
        <w:numPr>
          <w:ilvl w:val="0"/>
          <w:numId w:val="14"/>
        </w:numPr>
        <w:ind w:hanging="578"/>
        <w:rPr>
          <w:rStyle w:val="Strong"/>
          <w:b w:val="0"/>
        </w:rPr>
      </w:pPr>
      <w:r w:rsidRPr="00FD01E4">
        <w:rPr>
          <w:b/>
          <w:bCs/>
        </w:rPr>
        <w:fldChar w:fldCharType="begin">
          <w:ffData>
            <w:name w:val=""/>
            <w:enabled/>
            <w:calcOnExit w:val="0"/>
            <w:checkBox>
              <w:sizeAuto/>
              <w:default w:val="1"/>
            </w:checkBox>
          </w:ffData>
        </w:fldChar>
      </w:r>
      <w:r w:rsidRPr="00FD01E4">
        <w:rPr>
          <w:b/>
          <w:bCs/>
        </w:rPr>
        <w:instrText xml:space="preserve"> FORMCHECKBOX </w:instrText>
      </w:r>
      <w:r w:rsidR="009701F3">
        <w:rPr>
          <w:b/>
          <w:bCs/>
        </w:rPr>
      </w:r>
      <w:r w:rsidR="009701F3">
        <w:rPr>
          <w:b/>
          <w:bCs/>
        </w:rPr>
        <w:fldChar w:fldCharType="separate"/>
      </w:r>
      <w:r w:rsidRPr="00FD01E4">
        <w:rPr>
          <w:b/>
          <w:bCs/>
        </w:rPr>
        <w:fldChar w:fldCharType="end"/>
      </w:r>
      <w:r w:rsidR="006B6390" w:rsidRPr="00FD01E4">
        <w:rPr>
          <w:b/>
          <w:bCs/>
        </w:rPr>
        <w:t xml:space="preserve"> </w:t>
      </w:r>
      <w:r w:rsidR="006B6390" w:rsidRPr="00FD01E4">
        <w:rPr>
          <w:rStyle w:val="Strong"/>
          <w:b w:val="0"/>
        </w:rPr>
        <w:t>A new item that is proposing a way of clinically delivering a service that is new to the MBS (in terms of new technology and / or population)</w:t>
      </w:r>
    </w:p>
    <w:p w14:paraId="420EFDDD" w14:textId="77777777" w:rsidR="006B6390" w:rsidRPr="00AA2CFE" w:rsidRDefault="006B6390" w:rsidP="00B15F25">
      <w:pPr>
        <w:pStyle w:val="ListParagraph"/>
        <w:numPr>
          <w:ilvl w:val="0"/>
          <w:numId w:val="14"/>
        </w:numPr>
        <w:ind w:hanging="578"/>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701F3">
        <w:rPr>
          <w:b/>
          <w:szCs w:val="20"/>
        </w:rPr>
      </w:r>
      <w:r w:rsidR="009701F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42DCD91" w14:textId="77777777" w:rsidR="006B6390" w:rsidRPr="00AA2CFE" w:rsidRDefault="006B6390" w:rsidP="00B15F25">
      <w:pPr>
        <w:pStyle w:val="ListParagraph"/>
        <w:numPr>
          <w:ilvl w:val="0"/>
          <w:numId w:val="14"/>
        </w:numPr>
        <w:ind w:hanging="578"/>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701F3">
        <w:rPr>
          <w:b/>
          <w:szCs w:val="20"/>
        </w:rPr>
      </w:r>
      <w:r w:rsidR="009701F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7C341C0C" w14:textId="77777777" w:rsidR="003027BB" w:rsidRPr="007E39E4" w:rsidRDefault="00F30C22" w:rsidP="004B0D8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7624F988" w14:textId="4BD52009" w:rsidR="000A5B32" w:rsidRPr="006B3A92" w:rsidRDefault="000A5B32" w:rsidP="006B3A92">
      <w:pPr>
        <w:pStyle w:val="Tickboxes"/>
      </w:pPr>
      <w:r w:rsidRPr="006B3A92">
        <w:fldChar w:fldCharType="begin">
          <w:ffData>
            <w:name w:val="Check1"/>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w:t>
      </w:r>
    </w:p>
    <w:p w14:paraId="50A988EB" w14:textId="59FC1FF3" w:rsidR="00626365" w:rsidRPr="006B3A92" w:rsidRDefault="00AB14C2" w:rsidP="006B3A92">
      <w:pPr>
        <w:pStyle w:val="Tickboxes"/>
        <w:rPr>
          <w:rStyle w:val="Strong"/>
          <w:rFonts w:asciiTheme="minorHAnsi" w:eastAsiaTheme="minorHAnsi" w:hAnsiTheme="minorHAnsi" w:cstheme="minorBidi"/>
          <w:b w:val="0"/>
        </w:rPr>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0A5B32" w:rsidRPr="006B3A92">
        <w:t xml:space="preserve"> No</w:t>
      </w:r>
    </w:p>
    <w:p w14:paraId="12F685F3" w14:textId="77777777" w:rsidR="003027BB" w:rsidRPr="007E39E4" w:rsidRDefault="003027BB" w:rsidP="004B0D8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167D884E" w14:textId="7DC83A02" w:rsidR="000A5B32" w:rsidRPr="00855944" w:rsidRDefault="00AB14C2" w:rsidP="004B0D85">
      <w:pPr>
        <w:rPr>
          <w:rStyle w:val="Strong"/>
        </w:rPr>
      </w:pPr>
      <w:r>
        <w:t>Not applicable</w:t>
      </w:r>
    </w:p>
    <w:p w14:paraId="68E2E7AF" w14:textId="77777777" w:rsidR="000B3CD0" w:rsidRPr="00FD01E4" w:rsidRDefault="000B3CD0" w:rsidP="004B0D85">
      <w:pPr>
        <w:pStyle w:val="Heading2"/>
      </w:pPr>
      <w:r w:rsidRPr="00FD01E4">
        <w:t xml:space="preserve">What is the type of </w:t>
      </w:r>
      <w:r w:rsidR="00B45CA5" w:rsidRPr="00FD01E4">
        <w:t xml:space="preserve">medical </w:t>
      </w:r>
      <w:r w:rsidRPr="00FD01E4">
        <w:t>service</w:t>
      </w:r>
      <w:r w:rsidR="00B45CA5" w:rsidRPr="00FD01E4">
        <w:t>/technology?</w:t>
      </w:r>
    </w:p>
    <w:p w14:paraId="63DF0C20" w14:textId="77777777" w:rsidR="00A6594E" w:rsidRPr="006B3A92" w:rsidRDefault="00A6594E" w:rsidP="006B3A92">
      <w:pPr>
        <w:pStyle w:val="Tickboxes"/>
      </w:pPr>
      <w:r w:rsidRPr="006B3A92">
        <w:fldChar w:fldCharType="begin">
          <w:ffData>
            <w:name w:val="Check2"/>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Therapeutic medical service</w:t>
      </w:r>
    </w:p>
    <w:p w14:paraId="7EE10282" w14:textId="70D33C2B" w:rsidR="00A6594E" w:rsidRPr="006B3A92" w:rsidRDefault="00BB45E3" w:rsidP="006B3A92">
      <w:pPr>
        <w:pStyle w:val="Tickboxes"/>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A6594E" w:rsidRPr="006B3A92">
        <w:t xml:space="preserve"> Investigative medical service</w:t>
      </w:r>
    </w:p>
    <w:p w14:paraId="192A4218" w14:textId="4B950055" w:rsidR="00A6594E" w:rsidRPr="006B3A92" w:rsidRDefault="00BB45E3" w:rsidP="006B3A92">
      <w:pPr>
        <w:pStyle w:val="Tickboxes"/>
      </w:pPr>
      <w:r w:rsidRPr="006B3A92">
        <w:fldChar w:fldCharType="begin">
          <w:ffData>
            <w:name w:val=""/>
            <w:enabled/>
            <w:calcOnExit w:val="0"/>
            <w:checkBox>
              <w:sizeAuto/>
              <w:default w:val="0"/>
            </w:checkBox>
          </w:ffData>
        </w:fldChar>
      </w:r>
      <w:r w:rsidRPr="006B3A92">
        <w:instrText xml:space="preserve"> FORMCHECKBOX </w:instrText>
      </w:r>
      <w:r w:rsidR="009701F3">
        <w:fldChar w:fldCharType="separate"/>
      </w:r>
      <w:r w:rsidRPr="006B3A92">
        <w:fldChar w:fldCharType="end"/>
      </w:r>
      <w:r w:rsidR="00A6594E" w:rsidRPr="006B3A92">
        <w:t xml:space="preserve"> Single consultation medical service</w:t>
      </w:r>
    </w:p>
    <w:p w14:paraId="053658C8" w14:textId="77777777" w:rsidR="00A6594E" w:rsidRPr="006B3A92" w:rsidRDefault="00A6594E" w:rsidP="006B3A92">
      <w:pPr>
        <w:pStyle w:val="Tickboxes"/>
      </w:pPr>
      <w:r w:rsidRPr="006B3A92">
        <w:fldChar w:fldCharType="begin">
          <w:ffData>
            <w:name w:val="Check2"/>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Global consultation medical service</w:t>
      </w:r>
    </w:p>
    <w:p w14:paraId="10F89DC4" w14:textId="77777777" w:rsidR="00A6594E" w:rsidRPr="006B3A92" w:rsidRDefault="00A6594E" w:rsidP="006B3A92">
      <w:pPr>
        <w:pStyle w:val="Tickboxes"/>
      </w:pPr>
      <w:r w:rsidRPr="006B3A92">
        <w:fldChar w:fldCharType="begin">
          <w:ffData>
            <w:name w:val="Check2"/>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Allied health service</w:t>
      </w:r>
    </w:p>
    <w:p w14:paraId="2CC92905" w14:textId="77777777" w:rsidR="00A6594E" w:rsidRPr="006B3A92" w:rsidRDefault="00A6594E" w:rsidP="006B3A92">
      <w:pPr>
        <w:pStyle w:val="Tickboxes"/>
      </w:pPr>
      <w:r w:rsidRPr="006B3A92">
        <w:fldChar w:fldCharType="begin">
          <w:ffData>
            <w:name w:val="Check2"/>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Co-dependent technology</w:t>
      </w:r>
    </w:p>
    <w:p w14:paraId="3C375CDD" w14:textId="77777777" w:rsidR="00A6594E" w:rsidRPr="006B3A92" w:rsidRDefault="00A6594E" w:rsidP="006B3A92">
      <w:pPr>
        <w:pStyle w:val="Tickboxes"/>
      </w:pPr>
      <w:r w:rsidRPr="006B3A92">
        <w:fldChar w:fldCharType="begin">
          <w:ffData>
            <w:name w:val="Check2"/>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Hybrid health technology</w:t>
      </w:r>
    </w:p>
    <w:p w14:paraId="32F25F08" w14:textId="77777777" w:rsidR="0054594B" w:rsidRDefault="0054594B" w:rsidP="004B0D85">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7347A18" w14:textId="77777777" w:rsidR="00A6594E" w:rsidRDefault="00A6594E" w:rsidP="00B15F25">
      <w:pPr>
        <w:pStyle w:val="ListParagraph"/>
        <w:numPr>
          <w:ilvl w:val="0"/>
          <w:numId w:val="15"/>
        </w:numPr>
        <w:ind w:hanging="578"/>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701F3">
        <w:rPr>
          <w:b/>
          <w:szCs w:val="20"/>
        </w:rPr>
      </w:r>
      <w:r w:rsidR="009701F3">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533CA96F" w14:textId="77777777" w:rsidR="00A6594E" w:rsidRDefault="00A6594E" w:rsidP="00B15F25">
      <w:pPr>
        <w:pStyle w:val="ListParagraph"/>
        <w:numPr>
          <w:ilvl w:val="0"/>
          <w:numId w:val="15"/>
        </w:numPr>
        <w:ind w:hanging="578"/>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701F3">
        <w:rPr>
          <w:b/>
          <w:szCs w:val="20"/>
        </w:rPr>
      </w:r>
      <w:r w:rsidR="009701F3">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593CE270" w14:textId="7A39551B" w:rsidR="00A6594E" w:rsidRPr="00FD01E4" w:rsidRDefault="00AB14C2" w:rsidP="00B15F25">
      <w:pPr>
        <w:pStyle w:val="ListParagraph"/>
        <w:numPr>
          <w:ilvl w:val="0"/>
          <w:numId w:val="15"/>
        </w:numPr>
        <w:ind w:hanging="578"/>
      </w:pPr>
      <w:r w:rsidRPr="00FD01E4">
        <w:rPr>
          <w:b/>
          <w:bCs/>
        </w:rPr>
        <w:fldChar w:fldCharType="begin">
          <w:ffData>
            <w:name w:val=""/>
            <w:enabled/>
            <w:calcOnExit w:val="0"/>
            <w:checkBox>
              <w:sizeAuto/>
              <w:default w:val="1"/>
            </w:checkBox>
          </w:ffData>
        </w:fldChar>
      </w:r>
      <w:r w:rsidRPr="00FD01E4">
        <w:rPr>
          <w:b/>
          <w:bCs/>
        </w:rPr>
        <w:instrText xml:space="preserve"> FORMCHECKBOX </w:instrText>
      </w:r>
      <w:r w:rsidR="009701F3">
        <w:rPr>
          <w:b/>
          <w:bCs/>
        </w:rPr>
      </w:r>
      <w:r w:rsidR="009701F3">
        <w:rPr>
          <w:b/>
          <w:bCs/>
        </w:rPr>
        <w:fldChar w:fldCharType="separate"/>
      </w:r>
      <w:r w:rsidRPr="00FD01E4">
        <w:rPr>
          <w:b/>
          <w:bCs/>
        </w:rPr>
        <w:fldChar w:fldCharType="end"/>
      </w:r>
      <w:r w:rsidR="00A6594E" w:rsidRPr="00FD01E4">
        <w:rPr>
          <w:b/>
          <w:bCs/>
        </w:rPr>
        <w:t xml:space="preserve"> </w:t>
      </w:r>
      <w:r w:rsidR="00A6594E" w:rsidRPr="00FD01E4">
        <w:t>Provides information about prognosis</w:t>
      </w:r>
    </w:p>
    <w:p w14:paraId="0FC7B7BC" w14:textId="23352491" w:rsidR="00A6594E" w:rsidRPr="00FD01E4" w:rsidRDefault="00AB14C2" w:rsidP="00B15F25">
      <w:pPr>
        <w:pStyle w:val="ListParagraph"/>
        <w:numPr>
          <w:ilvl w:val="0"/>
          <w:numId w:val="15"/>
        </w:numPr>
        <w:ind w:hanging="578"/>
      </w:pPr>
      <w:r w:rsidRPr="00FD01E4">
        <w:rPr>
          <w:b/>
          <w:bCs/>
        </w:rPr>
        <w:fldChar w:fldCharType="begin">
          <w:ffData>
            <w:name w:val=""/>
            <w:enabled/>
            <w:calcOnExit w:val="0"/>
            <w:checkBox>
              <w:sizeAuto/>
              <w:default w:val="1"/>
            </w:checkBox>
          </w:ffData>
        </w:fldChar>
      </w:r>
      <w:r w:rsidRPr="00FD01E4">
        <w:rPr>
          <w:b/>
          <w:bCs/>
        </w:rPr>
        <w:instrText xml:space="preserve"> FORMCHECKBOX </w:instrText>
      </w:r>
      <w:r w:rsidR="009701F3">
        <w:rPr>
          <w:b/>
          <w:bCs/>
        </w:rPr>
      </w:r>
      <w:r w:rsidR="009701F3">
        <w:rPr>
          <w:b/>
          <w:bCs/>
        </w:rPr>
        <w:fldChar w:fldCharType="separate"/>
      </w:r>
      <w:r w:rsidRPr="00FD01E4">
        <w:rPr>
          <w:b/>
          <w:bCs/>
        </w:rPr>
        <w:fldChar w:fldCharType="end"/>
      </w:r>
      <w:r w:rsidR="00A6594E" w:rsidRPr="00FD01E4">
        <w:rPr>
          <w:b/>
          <w:bCs/>
        </w:rPr>
        <w:t xml:space="preserve"> </w:t>
      </w:r>
      <w:r w:rsidR="00A6594E" w:rsidRPr="00FD01E4">
        <w:t>Identifies a patient as suitable for therapy by predicting a variation in the effect of the therapy</w:t>
      </w:r>
    </w:p>
    <w:p w14:paraId="7BE060FD" w14:textId="77777777" w:rsidR="00A6594E" w:rsidRPr="00A6594E" w:rsidRDefault="00A6594E" w:rsidP="00B15F25">
      <w:pPr>
        <w:pStyle w:val="ListParagraph"/>
        <w:numPr>
          <w:ilvl w:val="0"/>
          <w:numId w:val="15"/>
        </w:numPr>
        <w:ind w:hanging="578"/>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701F3">
        <w:rPr>
          <w:b/>
          <w:szCs w:val="20"/>
        </w:rPr>
      </w:r>
      <w:r w:rsidR="009701F3">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9F5C4DE" w14:textId="77777777" w:rsidR="000B3CD0" w:rsidRDefault="000B3CD0" w:rsidP="004B0D85">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48E5556" w14:textId="49572EC2" w:rsidR="00FE16C1" w:rsidRDefault="001F26AA" w:rsidP="00B15F25">
      <w:pPr>
        <w:pStyle w:val="Tickboxes"/>
      </w:pPr>
      <w:r>
        <w:rPr>
          <w:b/>
          <w:bCs/>
        </w:rPr>
        <w:fldChar w:fldCharType="begin">
          <w:ffData>
            <w:name w:val=""/>
            <w:enabled/>
            <w:calcOnExit w:val="0"/>
            <w:checkBox>
              <w:sizeAuto/>
              <w:default w:val="0"/>
            </w:checkBox>
          </w:ffData>
        </w:fldChar>
      </w:r>
      <w:r>
        <w:rPr>
          <w:b/>
          <w:bCs/>
        </w:rPr>
        <w:instrText xml:space="preserve"> FORMCHECKBOX </w:instrText>
      </w:r>
      <w:r w:rsidR="009701F3">
        <w:rPr>
          <w:b/>
          <w:bCs/>
        </w:rPr>
      </w:r>
      <w:r w:rsidR="009701F3">
        <w:rPr>
          <w:b/>
          <w:bCs/>
        </w:rPr>
        <w:fldChar w:fldCharType="separate"/>
      </w:r>
      <w:r>
        <w:rPr>
          <w:b/>
          <w:bCs/>
        </w:rPr>
        <w:fldChar w:fldCharType="end"/>
      </w:r>
      <w:r w:rsidR="00FE16C1" w:rsidRPr="230BE74A">
        <w:rPr>
          <w:b/>
          <w:bCs/>
        </w:rPr>
        <w:t xml:space="preserve"> </w:t>
      </w:r>
      <w:r w:rsidR="00FE16C1" w:rsidRPr="000E1F73">
        <w:t>Pharmaceutical / Biological</w:t>
      </w:r>
    </w:p>
    <w:p w14:paraId="336C922B" w14:textId="77777777" w:rsidR="00FE16C1" w:rsidRDefault="00FE16C1" w:rsidP="00B15F25">
      <w:pPr>
        <w:pStyle w:val="Tickboxes"/>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701F3">
        <w:rPr>
          <w:b/>
          <w:szCs w:val="20"/>
        </w:rPr>
      </w:r>
      <w:r w:rsidR="009701F3">
        <w:rPr>
          <w:b/>
          <w:szCs w:val="20"/>
        </w:rPr>
        <w:fldChar w:fldCharType="separate"/>
      </w:r>
      <w:r w:rsidRPr="0027105F">
        <w:rPr>
          <w:b/>
          <w:szCs w:val="20"/>
        </w:rPr>
        <w:fldChar w:fldCharType="end"/>
      </w:r>
      <w:r w:rsidRPr="0027105F">
        <w:rPr>
          <w:b/>
          <w:szCs w:val="20"/>
        </w:rPr>
        <w:t xml:space="preserve"> </w:t>
      </w:r>
      <w:r>
        <w:t>Prosthesis or device</w:t>
      </w:r>
    </w:p>
    <w:p w14:paraId="673051DD" w14:textId="30A99355" w:rsidR="00FE16C1" w:rsidRPr="00FE16C1" w:rsidRDefault="001F26AA" w:rsidP="00B15F25">
      <w:pPr>
        <w:pStyle w:val="Tickboxes"/>
      </w:pPr>
      <w:r>
        <w:fldChar w:fldCharType="begin">
          <w:ffData>
            <w:name w:val=""/>
            <w:enabled/>
            <w:calcOnExit w:val="0"/>
            <w:checkBox>
              <w:sizeAuto/>
              <w:default w:val="1"/>
            </w:checkBox>
          </w:ffData>
        </w:fldChar>
      </w:r>
      <w:r>
        <w:instrText xml:space="preserve"> FORMCHECKBOX </w:instrText>
      </w:r>
      <w:r w:rsidR="009701F3">
        <w:fldChar w:fldCharType="separate"/>
      </w:r>
      <w:r>
        <w:fldChar w:fldCharType="end"/>
      </w:r>
      <w:r w:rsidR="00FE16C1" w:rsidRPr="0027105F">
        <w:t xml:space="preserve"> </w:t>
      </w:r>
      <w:r w:rsidR="00FE16C1">
        <w:t>No</w:t>
      </w:r>
    </w:p>
    <w:p w14:paraId="43C167BF" w14:textId="621980CA" w:rsidR="000E5439" w:rsidRPr="001E6958" w:rsidRDefault="00530204" w:rsidP="004B0D85">
      <w:pPr>
        <w:pStyle w:val="Heading2"/>
      </w:pPr>
      <w:r>
        <w:t xml:space="preserve">(a)  </w:t>
      </w:r>
      <w:r w:rsidR="000E5439" w:rsidRPr="001E6958">
        <w:t>If the proposed service has a pharmaceutical component to it, is it already covered under an existing Pharmaceutical Benefits Scheme (PBS) listing?</w:t>
      </w:r>
    </w:p>
    <w:p w14:paraId="6DB5E9C5" w14:textId="05E1D7A2" w:rsidR="00FE16C1" w:rsidRDefault="001F26AA" w:rsidP="00B15F25">
      <w:pPr>
        <w:pStyle w:val="Tickboxes"/>
      </w:pPr>
      <w:r>
        <w:fldChar w:fldCharType="begin">
          <w:ffData>
            <w:name w:val=""/>
            <w:enabled/>
            <w:calcOnExit w:val="0"/>
            <w:checkBox>
              <w:sizeAuto/>
              <w:default w:val="0"/>
            </w:checkBox>
          </w:ffData>
        </w:fldChar>
      </w:r>
      <w:r>
        <w:instrText xml:space="preserve"> FORMCHECKBOX </w:instrText>
      </w:r>
      <w:r w:rsidR="009701F3">
        <w:fldChar w:fldCharType="separate"/>
      </w:r>
      <w:r>
        <w:fldChar w:fldCharType="end"/>
      </w:r>
      <w:r w:rsidR="00FE16C1" w:rsidRPr="000A5B32">
        <w:t xml:space="preserve"> </w:t>
      </w:r>
    </w:p>
    <w:p w14:paraId="76D60D2B" w14:textId="5A592FA8" w:rsidR="00FE16C1" w:rsidRPr="00FE16C1" w:rsidRDefault="001F26AA" w:rsidP="00B15F25">
      <w:pPr>
        <w:pStyle w:val="Tickboxes"/>
      </w:pPr>
      <w:r>
        <w:fldChar w:fldCharType="begin">
          <w:ffData>
            <w:name w:val=""/>
            <w:enabled/>
            <w:calcOnExit w:val="0"/>
            <w:checkBox>
              <w:sizeAuto/>
              <w:default w:val="1"/>
            </w:checkBox>
          </w:ffData>
        </w:fldChar>
      </w:r>
      <w:r>
        <w:instrText xml:space="preserve"> FORMCHECKBOX </w:instrText>
      </w:r>
      <w:r w:rsidR="009701F3">
        <w:fldChar w:fldCharType="separate"/>
      </w:r>
      <w:r>
        <w:fldChar w:fldCharType="end"/>
      </w:r>
      <w:r w:rsidR="00FE16C1" w:rsidRPr="230BE74A">
        <w:t xml:space="preserve"> </w:t>
      </w:r>
      <w:r w:rsidR="00BB45E3">
        <w:t>No</w:t>
      </w:r>
      <w:r w:rsidR="00FE16C1" w:rsidRPr="230BE74A">
        <w:t xml:space="preserve">  </w:t>
      </w:r>
    </w:p>
    <w:p w14:paraId="0CC42C53" w14:textId="08F639BD" w:rsidR="00EC127A" w:rsidRPr="001E6958" w:rsidRDefault="000E5439" w:rsidP="004B0D85">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EE9E423" w14:textId="77777777" w:rsidR="00D5266E" w:rsidRPr="00AD2E85" w:rsidRDefault="00D5266E" w:rsidP="004B0D85">
      <w:r>
        <w:t>Not applicable</w:t>
      </w:r>
    </w:p>
    <w:p w14:paraId="5CE52FD0" w14:textId="234D2D42" w:rsidR="007E39E4" w:rsidRDefault="007E39E4" w:rsidP="004B0D85"/>
    <w:p w14:paraId="5F681939" w14:textId="77777777" w:rsidR="00411735" w:rsidRPr="001E6958" w:rsidRDefault="00411735" w:rsidP="004B0D85">
      <w:pPr>
        <w:pStyle w:val="Heading2"/>
        <w:numPr>
          <w:ilvl w:val="0"/>
          <w:numId w:val="4"/>
        </w:numPr>
      </w:pPr>
      <w:r w:rsidRPr="001E6958">
        <w:lastRenderedPageBreak/>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379C97AB" w14:textId="77777777" w:rsidR="007E39E4" w:rsidRPr="006B3A92" w:rsidRDefault="007E39E4" w:rsidP="00B15F25">
      <w:pPr>
        <w:pStyle w:val="Tickboxes"/>
        <w:ind w:left="720" w:hanging="294"/>
      </w:pPr>
      <w:r w:rsidRPr="006B3A92">
        <w:fldChar w:fldCharType="begin">
          <w:ffData>
            <w:name w:val="Check1"/>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Yes</w:t>
      </w:r>
      <w:r w:rsidR="001E6919" w:rsidRPr="006B3A92">
        <w:t xml:space="preserve"> (please provide PBAC submission item number below)</w:t>
      </w:r>
    </w:p>
    <w:p w14:paraId="1B729FD8" w14:textId="233CE92C" w:rsidR="001E6919" w:rsidRPr="006B3A92" w:rsidRDefault="0055425F" w:rsidP="00B15F25">
      <w:pPr>
        <w:pStyle w:val="Tickboxes"/>
        <w:ind w:left="720" w:hanging="294"/>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1E6919" w:rsidRPr="006B3A92">
        <w:t xml:space="preserve"> No</w:t>
      </w:r>
    </w:p>
    <w:p w14:paraId="176AECD9" w14:textId="77777777" w:rsidR="000E5439" w:rsidRDefault="000E5439" w:rsidP="004B0D85">
      <w:pPr>
        <w:pStyle w:val="Heading2"/>
        <w:numPr>
          <w:ilvl w:val="0"/>
          <w:numId w:val="4"/>
        </w:numPr>
      </w:pPr>
      <w:r w:rsidRPr="007E39E4">
        <w:t>If you are seeking both MBS and PBS listing</w:t>
      </w:r>
      <w:r w:rsidR="00B75965" w:rsidRPr="007E39E4">
        <w:t>, what is the trade name and generic name of the pharmaceutical?</w:t>
      </w:r>
    </w:p>
    <w:p w14:paraId="39FD6C9F" w14:textId="77777777" w:rsidR="00D5266E" w:rsidRPr="00AD2E85" w:rsidRDefault="00D5266E" w:rsidP="00B15F25">
      <w:pPr>
        <w:ind w:left="360"/>
      </w:pPr>
      <w:r>
        <w:t>Not applicable</w:t>
      </w:r>
    </w:p>
    <w:p w14:paraId="392E6503" w14:textId="77777777" w:rsidR="00B75965" w:rsidRDefault="00530204" w:rsidP="004B0D85">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3E5E4FA" w14:textId="77777777" w:rsidR="001E6958" w:rsidRPr="006B3A92" w:rsidRDefault="001E6958" w:rsidP="006B3A92">
      <w:pPr>
        <w:pStyle w:val="Tickboxes"/>
      </w:pPr>
      <w:r w:rsidRPr="006B3A92">
        <w:fldChar w:fldCharType="begin">
          <w:ffData>
            <w:name w:val="Check1"/>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Yes</w:t>
      </w:r>
    </w:p>
    <w:p w14:paraId="00F2CDBB" w14:textId="72C9F314" w:rsidR="001E6919" w:rsidRPr="006B3A92" w:rsidRDefault="0055425F" w:rsidP="006B3A92">
      <w:pPr>
        <w:pStyle w:val="Tickboxes"/>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1E6958" w:rsidRPr="006B3A92">
        <w:t xml:space="preserve"> No  </w:t>
      </w:r>
    </w:p>
    <w:p w14:paraId="7DCB3A20" w14:textId="77777777" w:rsidR="00B75965" w:rsidRDefault="00B75965" w:rsidP="004B0D85">
      <w:pPr>
        <w:pStyle w:val="Heading2"/>
        <w:numPr>
          <w:ilvl w:val="0"/>
          <w:numId w:val="5"/>
        </w:numPr>
      </w:pPr>
      <w:r w:rsidRPr="001E6958">
        <w:t xml:space="preserve">If yes, </w:t>
      </w:r>
      <w:r w:rsidR="00C73B62" w:rsidRPr="001E6958">
        <w:t xml:space="preserve">please provide the following information (where relevant): </w:t>
      </w:r>
    </w:p>
    <w:p w14:paraId="067CA0E6" w14:textId="63A4AA83" w:rsidR="009939DC" w:rsidRDefault="00D5266E" w:rsidP="004B0D85">
      <w:r>
        <w:t>Not applicable</w:t>
      </w:r>
    </w:p>
    <w:p w14:paraId="76354ACD" w14:textId="77777777" w:rsidR="00411735" w:rsidRDefault="00411735" w:rsidP="004B0D85">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7583A3F7" w14:textId="77777777" w:rsidR="009939DC" w:rsidRPr="006B3A92" w:rsidRDefault="009939DC" w:rsidP="006B3A92">
      <w:pPr>
        <w:pStyle w:val="Tickboxes"/>
      </w:pPr>
      <w:r w:rsidRPr="006B3A92">
        <w:fldChar w:fldCharType="begin">
          <w:ffData>
            <w:name w:val="Check1"/>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Yes</w:t>
      </w:r>
    </w:p>
    <w:p w14:paraId="5636208F" w14:textId="382D1523" w:rsidR="001E6958" w:rsidRPr="006B3A92" w:rsidRDefault="0055425F" w:rsidP="006B3A92">
      <w:pPr>
        <w:pStyle w:val="Tickboxes"/>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9939DC" w:rsidRPr="006B3A92">
        <w:t xml:space="preserve"> No  </w:t>
      </w:r>
    </w:p>
    <w:p w14:paraId="758BE217" w14:textId="77777777" w:rsidR="00016B6E" w:rsidRPr="009939DC" w:rsidRDefault="00016B6E" w:rsidP="004B0D85">
      <w:pPr>
        <w:pStyle w:val="Heading2"/>
        <w:numPr>
          <w:ilvl w:val="0"/>
          <w:numId w:val="5"/>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126D8BE3" w14:textId="1B947137" w:rsidR="009939DC" w:rsidRPr="006B3A92" w:rsidRDefault="0055425F" w:rsidP="006B3A92">
      <w:pPr>
        <w:pStyle w:val="Tickboxes"/>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9939DC" w:rsidRPr="006B3A92">
        <w:t xml:space="preserve"> Yes</w:t>
      </w:r>
    </w:p>
    <w:p w14:paraId="0F9C3CF0" w14:textId="480CDFC6" w:rsidR="009939DC" w:rsidRPr="006B3A92" w:rsidRDefault="009939DC" w:rsidP="006B3A92">
      <w:pPr>
        <w:pStyle w:val="Tickboxes"/>
      </w:pPr>
      <w:r w:rsidRPr="006B3A92">
        <w:fldChar w:fldCharType="begin">
          <w:ffData>
            <w:name w:val="Check2"/>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w:t>
      </w:r>
    </w:p>
    <w:p w14:paraId="77DA82E0" w14:textId="77777777" w:rsidR="009939DC" w:rsidRDefault="00016B6E" w:rsidP="004B0D85">
      <w:pPr>
        <w:pStyle w:val="Heading2"/>
        <w:numPr>
          <w:ilvl w:val="0"/>
          <w:numId w:val="5"/>
        </w:numPr>
      </w:pPr>
      <w:r w:rsidRPr="009939DC">
        <w:t>If yes, please provide the name(s) of the spon</w:t>
      </w:r>
      <w:r w:rsidR="009939DC">
        <w:t>sor(s) and / or manufacturer(s):</w:t>
      </w:r>
    </w:p>
    <w:p w14:paraId="635E67D1" w14:textId="2A6772B6" w:rsidR="0055425F" w:rsidRDefault="0055425F" w:rsidP="004B0D85">
      <w:r>
        <w:t>Exact Sciences</w:t>
      </w:r>
    </w:p>
    <w:p w14:paraId="3E0284E6" w14:textId="6B71D1D2" w:rsidR="0055425F" w:rsidRDefault="0055425F" w:rsidP="004B0D85">
      <w:proofErr w:type="spellStart"/>
      <w:r>
        <w:t>Agend</w:t>
      </w:r>
      <w:r w:rsidR="21E5B09F">
        <w:t>i</w:t>
      </w:r>
      <w:r>
        <w:t>a</w:t>
      </w:r>
      <w:proofErr w:type="spellEnd"/>
    </w:p>
    <w:p w14:paraId="38B39D06" w14:textId="3F2E569B" w:rsidR="0055425F" w:rsidRPr="009939DC" w:rsidRDefault="0055425F" w:rsidP="004B0D85">
      <w:proofErr w:type="spellStart"/>
      <w:r>
        <w:t>Veracyte</w:t>
      </w:r>
      <w:proofErr w:type="spellEnd"/>
    </w:p>
    <w:p w14:paraId="4BA2A69A" w14:textId="77777777" w:rsidR="0084657B" w:rsidRPr="009939DC" w:rsidRDefault="00A9062D" w:rsidP="004B0D85">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9DE4DD8" w14:textId="0BC8E586" w:rsidR="009939DC" w:rsidRDefault="009939DC" w:rsidP="004B0D85">
      <w:r>
        <w:t xml:space="preserve">Single use consumables: </w:t>
      </w:r>
      <w:r w:rsidR="00FC4265">
        <w:t xml:space="preserve">EndoPredict® Kit and associated </w:t>
      </w:r>
      <w:r w:rsidR="00632E42">
        <w:t xml:space="preserve">disposable </w:t>
      </w:r>
      <w:r w:rsidR="00FC4265">
        <w:t>laboratory consumables (</w:t>
      </w:r>
      <w:proofErr w:type="gramStart"/>
      <w:r w:rsidR="00FC4265">
        <w:t>e.g.</w:t>
      </w:r>
      <w:proofErr w:type="gramEnd"/>
      <w:r w:rsidR="00FC4265">
        <w:t xml:space="preserve"> laboratory pipette tips and laboratory </w:t>
      </w:r>
      <w:r w:rsidR="00B217D1">
        <w:t>safety ware</w:t>
      </w:r>
      <w:r w:rsidR="00FC4265">
        <w:t>)</w:t>
      </w:r>
    </w:p>
    <w:p w14:paraId="3519F543" w14:textId="597CA620" w:rsidR="001F26AA" w:rsidRDefault="001F26AA" w:rsidP="004B0D85"/>
    <w:p w14:paraId="1DFE0B12" w14:textId="40FA9F1B" w:rsidR="001F26AA" w:rsidRDefault="001F26AA" w:rsidP="004B0D85"/>
    <w:p w14:paraId="69B6B72E" w14:textId="4ED40BA5" w:rsidR="001F26AA" w:rsidRDefault="001F26AA" w:rsidP="004B0D85"/>
    <w:p w14:paraId="37CF95B4" w14:textId="77777777" w:rsidR="001F26AA" w:rsidRDefault="001F26AA" w:rsidP="004B0D85"/>
    <w:p w14:paraId="4BF9F981" w14:textId="77777777" w:rsidR="00D5266E" w:rsidRDefault="00D5266E" w:rsidP="004B0D85">
      <w:pPr>
        <w:rPr>
          <w:color w:val="4F81BD" w:themeColor="accent1"/>
          <w:sz w:val="40"/>
          <w:szCs w:val="32"/>
        </w:rPr>
      </w:pPr>
      <w:r>
        <w:br w:type="page"/>
      </w:r>
    </w:p>
    <w:p w14:paraId="2FB59257" w14:textId="6FBD4B2D"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63BBEF64" w14:textId="77777777" w:rsidR="001A1ADF" w:rsidRPr="00A6491A" w:rsidRDefault="000E2E02" w:rsidP="004B0D85">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3BDBBCB9" w14:textId="5AAD9837" w:rsidR="00A26343" w:rsidRPr="00A26343" w:rsidRDefault="00A26343" w:rsidP="004B0D85">
      <w:pPr>
        <w:rPr>
          <w:szCs w:val="20"/>
        </w:rPr>
      </w:pPr>
      <w:r w:rsidRPr="00A26343">
        <w:rPr>
          <w:szCs w:val="20"/>
        </w:rPr>
        <w:t>Type of therapeutic good</w:t>
      </w:r>
      <w:r>
        <w:rPr>
          <w:szCs w:val="20"/>
        </w:rPr>
        <w:t xml:space="preserve">: </w:t>
      </w:r>
      <w:r w:rsidR="00B217D1">
        <w:t>Acquired Genetic Alteration IVDs</w:t>
      </w:r>
    </w:p>
    <w:p w14:paraId="77E3E689" w14:textId="12464633" w:rsidR="00A26343" w:rsidRPr="00A26343" w:rsidRDefault="00A26343" w:rsidP="004B0D85">
      <w:pPr>
        <w:rPr>
          <w:szCs w:val="20"/>
        </w:rPr>
      </w:pPr>
      <w:r w:rsidRPr="00A26343">
        <w:rPr>
          <w:szCs w:val="20"/>
        </w:rPr>
        <w:t>Manufacturer’s name</w:t>
      </w:r>
      <w:r>
        <w:rPr>
          <w:szCs w:val="20"/>
        </w:rPr>
        <w:t xml:space="preserve">: </w:t>
      </w:r>
      <w:r w:rsidR="00B217D1">
        <w:t>Myriad International GmbH</w:t>
      </w:r>
    </w:p>
    <w:p w14:paraId="6CDFE682" w14:textId="4424FBEE" w:rsidR="000E2E02" w:rsidRPr="00A26343" w:rsidRDefault="00A26343" w:rsidP="00B15F25">
      <w:r w:rsidRPr="00A26343">
        <w:rPr>
          <w:szCs w:val="20"/>
        </w:rPr>
        <w:t>Sponsor’s name</w:t>
      </w:r>
      <w:r>
        <w:rPr>
          <w:szCs w:val="20"/>
        </w:rPr>
        <w:t xml:space="preserve">: </w:t>
      </w:r>
      <w:r w:rsidR="00B217D1">
        <w:t>Myriad Genetics Pty Ltd</w:t>
      </w:r>
    </w:p>
    <w:p w14:paraId="2AFF101F" w14:textId="4513028D" w:rsidR="00704082" w:rsidRDefault="000E2E02" w:rsidP="004B0D85">
      <w:pPr>
        <w:pStyle w:val="Heading2"/>
        <w:numPr>
          <w:ilvl w:val="0"/>
          <w:numId w:val="6"/>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161A4FEE" w14:textId="4B9BD841" w:rsidR="00704082" w:rsidRDefault="008C251B" w:rsidP="004B0D85">
      <w:r>
        <w:t>A</w:t>
      </w:r>
      <w:r w:rsidR="00704082">
        <w:t>R</w:t>
      </w:r>
      <w:r>
        <w:t>T</w:t>
      </w:r>
      <w:r w:rsidR="00704082">
        <w:t xml:space="preserve">G ID: </w:t>
      </w:r>
      <w:r w:rsidR="00B217D1">
        <w:t>285557</w:t>
      </w:r>
    </w:p>
    <w:p w14:paraId="6B09A46D" w14:textId="77777777" w:rsidR="00B217D1" w:rsidRDefault="00917DEB" w:rsidP="004B0D85">
      <w:r w:rsidRPr="0047581D">
        <w:t>TGA approved indication(s), if applicable</w:t>
      </w:r>
      <w:r>
        <w:t xml:space="preserve">:  </w:t>
      </w:r>
      <w:r w:rsidR="00B217D1">
        <w:t>CT929 Acquired genetic alteration IVDs</w:t>
      </w:r>
    </w:p>
    <w:p w14:paraId="61328956" w14:textId="14D4D611" w:rsidR="000F3129" w:rsidRPr="00B15F25" w:rsidRDefault="00917DEB" w:rsidP="00B15F25">
      <w:pPr>
        <w:rPr>
          <w:szCs w:val="20"/>
        </w:rPr>
      </w:pPr>
      <w:r w:rsidRPr="0047581D">
        <w:rPr>
          <w:szCs w:val="20"/>
        </w:rPr>
        <w:t>TGA approved purpose(s), if applicable</w:t>
      </w:r>
      <w:r>
        <w:rPr>
          <w:szCs w:val="20"/>
        </w:rPr>
        <w:t xml:space="preserve">:  </w:t>
      </w:r>
      <w:r w:rsidR="00B217D1">
        <w:t>An in vitro diagnostic kit for patients with estrogen-receptor-positive, HER-2 negative primary breast cancer to determine the risk of distant recurrence and to estimate the adjuvant chemotherapy benefit</w:t>
      </w:r>
      <w:r w:rsidR="00B217D1" w:rsidRPr="0047581D">
        <w:rPr>
          <w:szCs w:val="20"/>
        </w:rPr>
        <w:t xml:space="preserve"> </w:t>
      </w:r>
    </w:p>
    <w:p w14:paraId="6ACB99FB" w14:textId="77777777" w:rsidR="000E2E02" w:rsidRPr="00154B00" w:rsidRDefault="000E2E02" w:rsidP="004B0D85">
      <w:pPr>
        <w:pStyle w:val="Heading2"/>
        <w:numPr>
          <w:ilvl w:val="0"/>
          <w:numId w:val="6"/>
        </w:numPr>
      </w:pPr>
      <w:r>
        <w:t>If a</w:t>
      </w:r>
      <w:r w:rsidRPr="000E2E02">
        <w:t xml:space="preserve"> medical device is involved, has the medical device been classified by TGA as a Class III OR Active Implantable Medical Device (AIMD) under the TGA regulatory scheme for devices?</w:t>
      </w:r>
    </w:p>
    <w:p w14:paraId="1FDF280C" w14:textId="1D15AE46" w:rsidR="000E2E02" w:rsidRPr="006B3A92" w:rsidRDefault="00B217D1" w:rsidP="006B3A92">
      <w:pPr>
        <w:pStyle w:val="Tickboxes"/>
      </w:pPr>
      <w:r w:rsidRPr="006B3A92">
        <w:fldChar w:fldCharType="begin">
          <w:ffData>
            <w:name w:val=""/>
            <w:enabled/>
            <w:calcOnExit w:val="0"/>
            <w:checkBox>
              <w:sizeAuto/>
              <w:default w:val="1"/>
            </w:checkBox>
          </w:ffData>
        </w:fldChar>
      </w:r>
      <w:r w:rsidRPr="006B3A92">
        <w:instrText xml:space="preserve"> FORMCHECKBOX </w:instrText>
      </w:r>
      <w:r w:rsidR="009701F3">
        <w:fldChar w:fldCharType="separate"/>
      </w:r>
      <w:r w:rsidRPr="006B3A92">
        <w:fldChar w:fldCharType="end"/>
      </w:r>
      <w:r w:rsidR="000E2E02" w:rsidRPr="006B3A92">
        <w:t xml:space="preserve"> Class III</w:t>
      </w:r>
    </w:p>
    <w:p w14:paraId="4F10238F" w14:textId="77777777" w:rsidR="000E2E02" w:rsidRPr="006B3A92" w:rsidRDefault="000E2E02" w:rsidP="006B3A92">
      <w:pPr>
        <w:pStyle w:val="Tickboxes"/>
      </w:pPr>
      <w:r w:rsidRPr="006B3A92">
        <w:fldChar w:fldCharType="begin">
          <w:ffData>
            <w:name w:val="Check1"/>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AIMD</w:t>
      </w:r>
    </w:p>
    <w:p w14:paraId="27A2BD72" w14:textId="2A5187D6" w:rsidR="000F3129" w:rsidRPr="00154B00" w:rsidRDefault="000E2E02" w:rsidP="00B15F25">
      <w:pPr>
        <w:pStyle w:val="Tickboxes"/>
      </w:pPr>
      <w:r w:rsidRPr="006B3A92">
        <w:fldChar w:fldCharType="begin">
          <w:ffData>
            <w:name w:val="Check1"/>
            <w:enabled/>
            <w:calcOnExit w:val="0"/>
            <w:checkBox>
              <w:sizeAuto/>
              <w:default w:val="0"/>
            </w:checkBox>
          </w:ffData>
        </w:fldChar>
      </w:r>
      <w:r w:rsidRPr="006B3A92">
        <w:instrText xml:space="preserve"> FORMCHECKBOX </w:instrText>
      </w:r>
      <w:r w:rsidR="009701F3">
        <w:fldChar w:fldCharType="separate"/>
      </w:r>
      <w:r w:rsidRPr="006B3A92">
        <w:fldChar w:fldCharType="end"/>
      </w:r>
      <w:r w:rsidRPr="006B3A92">
        <w:t xml:space="preserve"> N/A</w:t>
      </w:r>
    </w:p>
    <w:p w14:paraId="294A7DCE" w14:textId="63CB621C" w:rsidR="000E2E02" w:rsidRDefault="000E2E02" w:rsidP="004B0D85">
      <w:pPr>
        <w:pStyle w:val="Heading2"/>
        <w:numPr>
          <w:ilvl w:val="0"/>
          <w:numId w:val="6"/>
        </w:numPr>
        <w:rPr>
          <w:lang w:val="en-GB"/>
        </w:rPr>
      </w:pPr>
      <w:r w:rsidRPr="000E2E02">
        <w:rPr>
          <w:lang w:val="en-GB"/>
        </w:rPr>
        <w:t>Is the therapeutic good classified by TGA for Research Use Only (RUO)?</w:t>
      </w:r>
    </w:p>
    <w:p w14:paraId="29C914F0" w14:textId="09EEEC17" w:rsidR="000E2E02" w:rsidRPr="000E2E02" w:rsidRDefault="00B217D1" w:rsidP="004B0D85">
      <w:pPr>
        <w:rPr>
          <w:lang w:val="en-GB"/>
        </w:rPr>
      </w:pPr>
      <w:r w:rsidRPr="230BE74A">
        <w:rPr>
          <w:lang w:val="en-GB"/>
        </w:rPr>
        <w:t>No, the Product Type is a</w:t>
      </w:r>
      <w:r w:rsidR="51264232" w:rsidRPr="230BE74A">
        <w:rPr>
          <w:lang w:val="en-GB"/>
        </w:rPr>
        <w:t>n</w:t>
      </w:r>
      <w:r w:rsidRPr="230BE74A">
        <w:rPr>
          <w:lang w:val="en-GB"/>
        </w:rPr>
        <w:t xml:space="preserve"> IVD</w:t>
      </w:r>
    </w:p>
    <w:p w14:paraId="22351182" w14:textId="77777777" w:rsidR="003421AE" w:rsidRPr="00A6491A" w:rsidRDefault="0011369B" w:rsidP="004B0D85">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07666336" w14:textId="0B470659" w:rsidR="00D56765" w:rsidRPr="00D5266E" w:rsidRDefault="00D5266E" w:rsidP="004B0D85">
      <w:r>
        <w:t>Not applicable</w:t>
      </w:r>
    </w:p>
    <w:p w14:paraId="4AF027C1" w14:textId="208DA7A2" w:rsidR="00D56765" w:rsidRPr="00D56765" w:rsidRDefault="00FF23B8" w:rsidP="004B0D85">
      <w:pPr>
        <w:pStyle w:val="Heading2"/>
        <w:numPr>
          <w:ilvl w:val="0"/>
          <w:numId w:val="7"/>
        </w:numPr>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165BD392" w14:textId="35B2CCA5" w:rsidR="00FF23B8" w:rsidRPr="00D5266E" w:rsidRDefault="00D5266E" w:rsidP="004B0D85">
      <w:r>
        <w:t>Not applicable</w:t>
      </w:r>
    </w:p>
    <w:p w14:paraId="5BD0463A" w14:textId="77777777" w:rsidR="00FF23B8" w:rsidRPr="00B15F25" w:rsidRDefault="00FF23B8" w:rsidP="004B0D85">
      <w:pPr>
        <w:pStyle w:val="ListParagraph"/>
        <w:numPr>
          <w:ilvl w:val="0"/>
          <w:numId w:val="7"/>
        </w:numPr>
        <w:rPr>
          <w:b/>
          <w:bCs/>
        </w:rPr>
      </w:pPr>
      <w:r w:rsidRPr="00B15F25">
        <w:rPr>
          <w:b/>
          <w:bCs/>
        </w:rPr>
        <w:t>If the therapeutic good is NOT in the process of being considered by TGA, is an application to TGA being prepared?</w:t>
      </w:r>
    </w:p>
    <w:p w14:paraId="2761964E" w14:textId="77777777" w:rsidR="00D5266E" w:rsidRPr="00AD2E85" w:rsidRDefault="00D5266E" w:rsidP="004B0D85">
      <w:r>
        <w:t>Not applicable</w:t>
      </w:r>
    </w:p>
    <w:p w14:paraId="7824633C" w14:textId="77777777" w:rsidR="00F83A9D" w:rsidRPr="00154B00" w:rsidRDefault="00F83A9D" w:rsidP="004B0D85"/>
    <w:p w14:paraId="26FFEF88" w14:textId="77777777" w:rsidR="00DD308E" w:rsidRDefault="00DD308E" w:rsidP="004B0D85">
      <w:pPr>
        <w:sectPr w:rsidR="00DD308E" w:rsidSect="006D2828">
          <w:footerReference w:type="default" r:id="rId9"/>
          <w:pgSz w:w="11906" w:h="16838"/>
          <w:pgMar w:top="1440" w:right="1274" w:bottom="1440" w:left="1440" w:header="708" w:footer="708" w:gutter="0"/>
          <w:pgNumType w:start="0"/>
          <w:cols w:space="708"/>
          <w:titlePg/>
          <w:docGrid w:linePitch="360"/>
        </w:sectPr>
      </w:pPr>
    </w:p>
    <w:p w14:paraId="4394FC43" w14:textId="77777777" w:rsidR="00DD308E" w:rsidRPr="00C776B1" w:rsidRDefault="00B17CBE" w:rsidP="0056015F">
      <w:pPr>
        <w:pStyle w:val="Heading1"/>
      </w:pPr>
      <w:r w:rsidRPr="003C45D7">
        <w:t>PART 4</w:t>
      </w:r>
      <w:r w:rsidR="00DD308E" w:rsidRPr="003C45D7">
        <w:t xml:space="preserve"> – SUMMARY OF EVIDENCE</w:t>
      </w:r>
    </w:p>
    <w:p w14:paraId="2C9DE3B9" w14:textId="67AB76B0" w:rsidR="00B15F25" w:rsidRPr="00B15F25" w:rsidRDefault="00643755" w:rsidP="00B15F25">
      <w:pPr>
        <w:pStyle w:val="Heading2"/>
      </w:pPr>
      <w:bookmarkStart w:id="4" w:name="_Hlk86351569"/>
      <w:r w:rsidRPr="00643755">
        <w:t>Provide one or more recent (published) high quality clinical studies that support use of the proposed health service/technology. At ‘Application Form lodgement’, please do not attach full text articles; just provide a summary.</w:t>
      </w:r>
    </w:p>
    <w:tbl>
      <w:tblPr>
        <w:tblStyle w:val="TableGrid"/>
        <w:tblW w:w="5080" w:type="pct"/>
        <w:tblLayout w:type="fixed"/>
        <w:tblLook w:val="04A0" w:firstRow="1" w:lastRow="0" w:firstColumn="1" w:lastColumn="0" w:noHBand="0" w:noVBand="1"/>
        <w:tblCaption w:val="Summary of Evidence - Published"/>
      </w:tblPr>
      <w:tblGrid>
        <w:gridCol w:w="423"/>
        <w:gridCol w:w="2837"/>
        <w:gridCol w:w="2834"/>
        <w:gridCol w:w="3687"/>
        <w:gridCol w:w="2990"/>
        <w:gridCol w:w="1400"/>
      </w:tblGrid>
      <w:tr w:rsidR="00B15F25" w:rsidRPr="006B3A92" w14:paraId="277AE74B" w14:textId="77777777" w:rsidTr="009701F3">
        <w:trPr>
          <w:cantSplit/>
          <w:tblHeader/>
        </w:trPr>
        <w:tc>
          <w:tcPr>
            <w:tcW w:w="149" w:type="pct"/>
          </w:tcPr>
          <w:p w14:paraId="7426CC3A" w14:textId="77777777" w:rsidR="00B15F25" w:rsidRPr="006B3A92" w:rsidRDefault="00B15F25" w:rsidP="00E81928">
            <w:pPr>
              <w:pStyle w:val="TableText0"/>
            </w:pPr>
          </w:p>
        </w:tc>
        <w:tc>
          <w:tcPr>
            <w:tcW w:w="1001" w:type="pct"/>
          </w:tcPr>
          <w:p w14:paraId="0F75BBF8" w14:textId="77777777" w:rsidR="00B15F25" w:rsidRPr="00B15F25" w:rsidRDefault="00B15F25" w:rsidP="00E81928">
            <w:pPr>
              <w:pStyle w:val="TableText0"/>
              <w:rPr>
                <w:b/>
                <w:bCs w:val="0"/>
              </w:rPr>
            </w:pPr>
            <w:r w:rsidRPr="00B15F25">
              <w:rPr>
                <w:b/>
                <w:bCs w:val="0"/>
              </w:rPr>
              <w:t>Type of study design</w:t>
            </w:r>
          </w:p>
        </w:tc>
        <w:tc>
          <w:tcPr>
            <w:tcW w:w="1000" w:type="pct"/>
          </w:tcPr>
          <w:p w14:paraId="32B8C5FA" w14:textId="77777777" w:rsidR="00B15F25" w:rsidRPr="00B15F25" w:rsidRDefault="00B15F25" w:rsidP="00E81928">
            <w:pPr>
              <w:pStyle w:val="TableText0"/>
              <w:rPr>
                <w:b/>
                <w:bCs w:val="0"/>
              </w:rPr>
            </w:pPr>
            <w:r w:rsidRPr="00B15F25">
              <w:rPr>
                <w:b/>
                <w:bCs w:val="0"/>
              </w:rPr>
              <w:t xml:space="preserve">Title of journal article or research project </w:t>
            </w:r>
          </w:p>
        </w:tc>
        <w:tc>
          <w:tcPr>
            <w:tcW w:w="1301" w:type="pct"/>
          </w:tcPr>
          <w:p w14:paraId="758FDA17" w14:textId="77777777" w:rsidR="00B15F25" w:rsidRPr="00B15F25" w:rsidRDefault="00B15F25" w:rsidP="00E81928">
            <w:pPr>
              <w:pStyle w:val="TableText0"/>
              <w:rPr>
                <w:b/>
                <w:bCs w:val="0"/>
              </w:rPr>
            </w:pPr>
            <w:r w:rsidRPr="00B15F25">
              <w:rPr>
                <w:b/>
                <w:bCs w:val="0"/>
              </w:rPr>
              <w:t>Short description of research</w:t>
            </w:r>
          </w:p>
        </w:tc>
        <w:tc>
          <w:tcPr>
            <w:tcW w:w="1055" w:type="pct"/>
          </w:tcPr>
          <w:p w14:paraId="2AAE8F21" w14:textId="77777777" w:rsidR="00B15F25" w:rsidRPr="00B15F25" w:rsidRDefault="00B15F25" w:rsidP="00E81928">
            <w:pPr>
              <w:pStyle w:val="TableText0"/>
              <w:rPr>
                <w:b/>
                <w:bCs w:val="0"/>
              </w:rPr>
            </w:pPr>
            <w:r w:rsidRPr="00B15F25">
              <w:rPr>
                <w:b/>
                <w:bCs w:val="0"/>
              </w:rPr>
              <w:t>Website link to journal article or research</w:t>
            </w:r>
          </w:p>
        </w:tc>
        <w:tc>
          <w:tcPr>
            <w:tcW w:w="495" w:type="pct"/>
          </w:tcPr>
          <w:p w14:paraId="05B5B8B0" w14:textId="77777777" w:rsidR="00B15F25" w:rsidRPr="00B15F25" w:rsidRDefault="00B15F25" w:rsidP="00E81928">
            <w:pPr>
              <w:pStyle w:val="TableText0"/>
              <w:rPr>
                <w:b/>
                <w:bCs w:val="0"/>
              </w:rPr>
            </w:pPr>
            <w:r w:rsidRPr="00B15F25">
              <w:rPr>
                <w:b/>
                <w:bCs w:val="0"/>
              </w:rPr>
              <w:t>Date of publication</w:t>
            </w:r>
          </w:p>
        </w:tc>
      </w:tr>
      <w:tr w:rsidR="00B15F25" w:rsidRPr="006B3A92" w14:paraId="0CFBC20B" w14:textId="77777777" w:rsidTr="009701F3">
        <w:trPr>
          <w:cantSplit/>
        </w:trPr>
        <w:tc>
          <w:tcPr>
            <w:tcW w:w="149" w:type="pct"/>
          </w:tcPr>
          <w:p w14:paraId="3107FA4B" w14:textId="77777777" w:rsidR="00B15F25" w:rsidRPr="006B3A92" w:rsidRDefault="00B15F25" w:rsidP="00E81928">
            <w:pPr>
              <w:pStyle w:val="TableText0"/>
            </w:pPr>
            <w:r w:rsidRPr="006B3A92">
              <w:t>1</w:t>
            </w:r>
          </w:p>
        </w:tc>
        <w:tc>
          <w:tcPr>
            <w:tcW w:w="1001" w:type="pct"/>
          </w:tcPr>
          <w:p w14:paraId="1A19E51E" w14:textId="77777777" w:rsidR="00B15F25" w:rsidRPr="006B3A92" w:rsidRDefault="00B15F25" w:rsidP="00E81928">
            <w:pPr>
              <w:pStyle w:val="TableText0"/>
            </w:pPr>
            <w:r w:rsidRPr="006B3A92">
              <w:t>R-RCT</w:t>
            </w:r>
          </w:p>
          <w:p w14:paraId="6E776984" w14:textId="77777777" w:rsidR="00B15F25" w:rsidRPr="006B3A92" w:rsidRDefault="00B15F25" w:rsidP="00E81928">
            <w:pPr>
              <w:pStyle w:val="TableText0"/>
            </w:pPr>
            <w:r w:rsidRPr="006B3A92">
              <w:t>A combined cohort from ABCSG-6</w:t>
            </w:r>
          </w:p>
          <w:p w14:paraId="7617E0F0" w14:textId="77777777" w:rsidR="00B15F25" w:rsidRPr="006B3A92" w:rsidRDefault="00B15F25" w:rsidP="00E81928">
            <w:pPr>
              <w:pStyle w:val="TableText0"/>
            </w:pPr>
            <w:r w:rsidRPr="006B3A92">
              <w:t xml:space="preserve">a phase III RCT comparing Tam alone for 5 years with </w:t>
            </w:r>
            <w:proofErr w:type="spellStart"/>
            <w:r w:rsidRPr="006B3A92">
              <w:t>Tam+Ana</w:t>
            </w:r>
            <w:proofErr w:type="spellEnd"/>
            <w:r w:rsidRPr="006B3A92">
              <w:t xml:space="preserve"> for the first 2 years and</w:t>
            </w:r>
          </w:p>
          <w:p w14:paraId="0D1D5E49" w14:textId="77777777" w:rsidR="00B15F25" w:rsidRPr="006B3A92" w:rsidRDefault="00B15F25" w:rsidP="00E81928">
            <w:pPr>
              <w:pStyle w:val="TableText0"/>
            </w:pPr>
            <w:r w:rsidRPr="006B3A92">
              <w:t>ABCSG-8</w:t>
            </w:r>
          </w:p>
          <w:p w14:paraId="3AB6DD2D" w14:textId="77777777" w:rsidR="00B15F25" w:rsidRPr="006B3A92" w:rsidRDefault="00B15F25" w:rsidP="00E81928">
            <w:pPr>
              <w:pStyle w:val="TableText0"/>
            </w:pPr>
            <w:r w:rsidRPr="006B3A92">
              <w:t>a phase III RCT comparing Tam for either 5 or 2 years followed by Ana for 3 years</w:t>
            </w:r>
          </w:p>
        </w:tc>
        <w:tc>
          <w:tcPr>
            <w:tcW w:w="1000" w:type="pct"/>
          </w:tcPr>
          <w:p w14:paraId="144FEC34" w14:textId="77777777" w:rsidR="00B15F25" w:rsidRPr="006B3A92" w:rsidRDefault="00B15F25" w:rsidP="00E81928">
            <w:pPr>
              <w:pStyle w:val="TableText0"/>
            </w:pPr>
            <w:r w:rsidRPr="006B3A92">
              <w:t xml:space="preserve">Filipits M et al., A new molecular predictor of </w:t>
            </w:r>
            <w:r w:rsidRPr="006B3A92">
              <w:rPr>
                <w:rStyle w:val="BodyTextChar"/>
                <w:rFonts w:eastAsiaTheme="minorHAnsi" w:cs="Calibri"/>
              </w:rPr>
              <w:t>distant recurrence in ER-positive, HER2-negative</w:t>
            </w:r>
            <w:r w:rsidRPr="006B3A92">
              <w:t xml:space="preserve"> breast cancer adds independent information to conventional clinical risk factors.</w:t>
            </w:r>
          </w:p>
        </w:tc>
        <w:tc>
          <w:tcPr>
            <w:tcW w:w="1301" w:type="pct"/>
          </w:tcPr>
          <w:p w14:paraId="59254D19" w14:textId="77777777" w:rsidR="00B15F25" w:rsidRPr="006B3A92" w:rsidRDefault="00B15F25" w:rsidP="00E81928">
            <w:pPr>
              <w:pStyle w:val="TableText0"/>
            </w:pPr>
            <w:r w:rsidRPr="006B3A92">
              <w:t>ABCSG-6 &amp; 8</w:t>
            </w:r>
          </w:p>
          <w:p w14:paraId="070B997E" w14:textId="77777777" w:rsidR="00B15F25" w:rsidRPr="006B3A92" w:rsidRDefault="00B15F25" w:rsidP="00E81928">
            <w:pPr>
              <w:pStyle w:val="TableText0"/>
            </w:pPr>
            <w:r w:rsidRPr="006B3A92">
              <w:t>n=1702</w:t>
            </w:r>
          </w:p>
          <w:p w14:paraId="630C2F58" w14:textId="77777777" w:rsidR="00B15F25" w:rsidRPr="006B3A92" w:rsidRDefault="00B15F25" w:rsidP="00E81928">
            <w:pPr>
              <w:pStyle w:val="TableText0"/>
            </w:pPr>
            <w:r w:rsidRPr="006B3A92">
              <w:t>Prospective- retrospective in design</w:t>
            </w:r>
          </w:p>
          <w:p w14:paraId="65812220" w14:textId="77777777" w:rsidR="00B15F25" w:rsidRPr="006B3A92" w:rsidRDefault="00B15F25" w:rsidP="00E81928">
            <w:pPr>
              <w:pStyle w:val="TableText0"/>
            </w:pPr>
            <w:r w:rsidRPr="006B3A92">
              <w:t>The multigene EP risk score provided additional prognostic information to the risk of distant recurrence of breast cancer patients, independent from clinicopathologic parameters. The EPclin score outperformed all conventional clinicopathologic risk factors</w:t>
            </w:r>
          </w:p>
        </w:tc>
        <w:tc>
          <w:tcPr>
            <w:tcW w:w="1055" w:type="pct"/>
          </w:tcPr>
          <w:p w14:paraId="260719B1" w14:textId="77777777" w:rsidR="00B15F25" w:rsidRPr="006B3A92" w:rsidRDefault="009701F3" w:rsidP="009701F3">
            <w:pPr>
              <w:pStyle w:val="Weblink"/>
            </w:pPr>
            <w:hyperlink r:id="rId10" w:history="1">
              <w:r w:rsidR="00B15F25" w:rsidRPr="006B3A92">
                <w:rPr>
                  <w:rStyle w:val="Hyperlink"/>
                  <w:color w:val="0070C0"/>
                </w:rPr>
                <w:t>https://clincancerres.aacrjournals.org/content/17/18/6012.long</w:t>
              </w:r>
            </w:hyperlink>
          </w:p>
        </w:tc>
        <w:tc>
          <w:tcPr>
            <w:tcW w:w="495" w:type="pct"/>
          </w:tcPr>
          <w:p w14:paraId="79715CA3" w14:textId="77777777" w:rsidR="00B15F25" w:rsidRPr="006B3A92" w:rsidRDefault="00B15F25" w:rsidP="00E81928">
            <w:pPr>
              <w:pStyle w:val="TableText0"/>
            </w:pPr>
            <w:r w:rsidRPr="006B3A92">
              <w:t>September 2011</w:t>
            </w:r>
          </w:p>
        </w:tc>
      </w:tr>
      <w:tr w:rsidR="00B15F25" w:rsidRPr="006B3A92" w14:paraId="163F729F" w14:textId="77777777" w:rsidTr="009701F3">
        <w:trPr>
          <w:cantSplit/>
        </w:trPr>
        <w:tc>
          <w:tcPr>
            <w:tcW w:w="149" w:type="pct"/>
          </w:tcPr>
          <w:p w14:paraId="314FD7F8" w14:textId="77777777" w:rsidR="00B15F25" w:rsidRPr="006B3A92" w:rsidRDefault="00B15F25" w:rsidP="00E81928">
            <w:pPr>
              <w:pStyle w:val="TableText0"/>
            </w:pPr>
            <w:r w:rsidRPr="006B3A92">
              <w:t>2</w:t>
            </w:r>
          </w:p>
        </w:tc>
        <w:tc>
          <w:tcPr>
            <w:tcW w:w="1001" w:type="pct"/>
          </w:tcPr>
          <w:p w14:paraId="5F1D12DE" w14:textId="77777777" w:rsidR="00B15F25" w:rsidRPr="006B3A92" w:rsidRDefault="00B15F25" w:rsidP="00E81928">
            <w:pPr>
              <w:pStyle w:val="TableText0"/>
            </w:pPr>
            <w:r w:rsidRPr="006B3A92">
              <w:t>R-CT</w:t>
            </w:r>
          </w:p>
          <w:p w14:paraId="7969BD50" w14:textId="77777777" w:rsidR="00B15F25" w:rsidRPr="006B3A92" w:rsidRDefault="00B15F25" w:rsidP="00E81928">
            <w:pPr>
              <w:pStyle w:val="TableText0"/>
            </w:pPr>
            <w:r w:rsidRPr="006B3A92">
              <w:t xml:space="preserve">ABCSG 6&amp;8 </w:t>
            </w:r>
          </w:p>
          <w:p w14:paraId="6890B121" w14:textId="77777777" w:rsidR="00B15F25" w:rsidRPr="006B3A92" w:rsidRDefault="00B15F25" w:rsidP="00E81928">
            <w:pPr>
              <w:pStyle w:val="TableText0"/>
            </w:pPr>
            <w:r w:rsidRPr="006B3A92">
              <w:t>(Same as 1)</w:t>
            </w:r>
          </w:p>
          <w:p w14:paraId="11E81DA0" w14:textId="77777777" w:rsidR="00B15F25" w:rsidRPr="006B3A92" w:rsidRDefault="00B15F25" w:rsidP="00E81928">
            <w:pPr>
              <w:pStyle w:val="TableText0"/>
            </w:pPr>
          </w:p>
        </w:tc>
        <w:tc>
          <w:tcPr>
            <w:tcW w:w="1000" w:type="pct"/>
          </w:tcPr>
          <w:p w14:paraId="10C5466A" w14:textId="77777777" w:rsidR="00B15F25" w:rsidRPr="006B3A92" w:rsidRDefault="00B15F25" w:rsidP="00E81928">
            <w:pPr>
              <w:pStyle w:val="TableText0"/>
            </w:pPr>
            <w:r w:rsidRPr="006B3A92">
              <w:t>Dubsky et al., EndoPredict improves the prognostic classification derived from common clinical guidelines in ER positive, HER2 negative early breast cancer</w:t>
            </w:r>
          </w:p>
          <w:p w14:paraId="7B2B0853" w14:textId="77777777" w:rsidR="00B15F25" w:rsidRPr="006B3A92" w:rsidRDefault="00B15F25" w:rsidP="00E81928">
            <w:pPr>
              <w:pStyle w:val="TableText0"/>
            </w:pPr>
            <w:r w:rsidRPr="006B3A92">
              <w:t>.</w:t>
            </w:r>
          </w:p>
          <w:p w14:paraId="3CEB64B8" w14:textId="77777777" w:rsidR="00B15F25" w:rsidRPr="006B3A92" w:rsidRDefault="00B15F25" w:rsidP="00E81928">
            <w:pPr>
              <w:pStyle w:val="TableText0"/>
            </w:pPr>
          </w:p>
        </w:tc>
        <w:tc>
          <w:tcPr>
            <w:tcW w:w="1301" w:type="pct"/>
          </w:tcPr>
          <w:p w14:paraId="2D83B765" w14:textId="77777777" w:rsidR="00B15F25" w:rsidRPr="006B3A92" w:rsidRDefault="00B15F25" w:rsidP="00E81928">
            <w:pPr>
              <w:pStyle w:val="TableText0"/>
            </w:pPr>
            <w:r w:rsidRPr="006B3A92">
              <w:t>ABCSG-6 &amp; 8 n=1702</w:t>
            </w:r>
          </w:p>
          <w:p w14:paraId="311F5B49" w14:textId="77777777" w:rsidR="00B15F25" w:rsidRPr="006B3A92" w:rsidRDefault="00B15F25" w:rsidP="00E81928">
            <w:pPr>
              <w:pStyle w:val="TableText0"/>
            </w:pPr>
            <w:r w:rsidRPr="006B3A92">
              <w:t xml:space="preserve">The EPclin score </w:t>
            </w:r>
            <w:proofErr w:type="gramStart"/>
            <w:r w:rsidRPr="006B3A92">
              <w:t>is able to</w:t>
            </w:r>
            <w:proofErr w:type="gramEnd"/>
            <w:r w:rsidRPr="006B3A92">
              <w:t xml:space="preserve"> predict favourable prognosis in a majority of patients that clinical guidelines would assign to intermediate or high risk. EPclin may reduce the indications for chemotherapy in ER-positive postmenopausal women with a limited number of clinical risk factors.</w:t>
            </w:r>
          </w:p>
        </w:tc>
        <w:tc>
          <w:tcPr>
            <w:tcW w:w="1055" w:type="pct"/>
          </w:tcPr>
          <w:p w14:paraId="1AFDBED6" w14:textId="77777777" w:rsidR="00B15F25" w:rsidRPr="006B3A92" w:rsidRDefault="009701F3" w:rsidP="009701F3">
            <w:pPr>
              <w:pStyle w:val="Weblink"/>
            </w:pPr>
            <w:hyperlink r:id="rId11" w:history="1">
              <w:r w:rsidR="00B15F25" w:rsidRPr="006B3A92">
                <w:rPr>
                  <w:rStyle w:val="Hyperlink"/>
                  <w:color w:val="0070C0"/>
                </w:rPr>
                <w:t>https://www.sciencedirect.com/science/article/pii/S0923753419371200</w:t>
              </w:r>
            </w:hyperlink>
          </w:p>
          <w:p w14:paraId="138EDDE1" w14:textId="77777777" w:rsidR="00B15F25" w:rsidRPr="006B3A92" w:rsidRDefault="00B15F25" w:rsidP="009701F3">
            <w:pPr>
              <w:pStyle w:val="Weblink"/>
            </w:pPr>
          </w:p>
        </w:tc>
        <w:tc>
          <w:tcPr>
            <w:tcW w:w="495" w:type="pct"/>
          </w:tcPr>
          <w:p w14:paraId="6AE2B4D0" w14:textId="77777777" w:rsidR="00B15F25" w:rsidRPr="006B3A92" w:rsidRDefault="00B15F25" w:rsidP="00E81928">
            <w:pPr>
              <w:pStyle w:val="TableText0"/>
            </w:pPr>
            <w:r w:rsidRPr="006B3A92">
              <w:t>2013</w:t>
            </w:r>
          </w:p>
        </w:tc>
      </w:tr>
      <w:tr w:rsidR="00B15F25" w:rsidRPr="006B3A92" w14:paraId="0BB04F9A" w14:textId="77777777" w:rsidTr="009701F3">
        <w:trPr>
          <w:cantSplit/>
        </w:trPr>
        <w:tc>
          <w:tcPr>
            <w:tcW w:w="149" w:type="pct"/>
          </w:tcPr>
          <w:p w14:paraId="1B1CF656" w14:textId="77777777" w:rsidR="00B15F25" w:rsidRPr="006B3A92" w:rsidRDefault="00B15F25" w:rsidP="00E81928">
            <w:pPr>
              <w:pStyle w:val="TableText0"/>
            </w:pPr>
            <w:r w:rsidRPr="006B3A92">
              <w:t>3</w:t>
            </w:r>
          </w:p>
        </w:tc>
        <w:tc>
          <w:tcPr>
            <w:tcW w:w="1001" w:type="pct"/>
          </w:tcPr>
          <w:p w14:paraId="4122FA0A" w14:textId="77777777" w:rsidR="00B15F25" w:rsidRPr="006B3A92" w:rsidRDefault="00B15F25" w:rsidP="00E81928">
            <w:pPr>
              <w:pStyle w:val="TableText0"/>
            </w:pPr>
            <w:r w:rsidRPr="006B3A92">
              <w:t>RCT</w:t>
            </w:r>
          </w:p>
          <w:p w14:paraId="75DF1F55" w14:textId="77777777" w:rsidR="00B15F25" w:rsidRPr="006B3A92" w:rsidRDefault="00B15F25" w:rsidP="00E81928">
            <w:pPr>
              <w:pStyle w:val="TableText0"/>
            </w:pPr>
            <w:r w:rsidRPr="006B3A92">
              <w:t>GEICAM 9906</w:t>
            </w:r>
          </w:p>
          <w:p w14:paraId="0BC1E795" w14:textId="77777777" w:rsidR="00B15F25" w:rsidRPr="006B3A92" w:rsidRDefault="00B15F25" w:rsidP="00E81928">
            <w:pPr>
              <w:pStyle w:val="TableText0"/>
            </w:pPr>
            <w:r w:rsidRPr="006B3A92">
              <w:t>a phase III RCT comparing two adjuvant chemotherapy regimens – four 21-day cycles of</w:t>
            </w:r>
          </w:p>
          <w:p w14:paraId="28DE0198" w14:textId="77777777" w:rsidR="00B15F25" w:rsidRPr="006B3A92" w:rsidRDefault="00B15F25" w:rsidP="00E81928">
            <w:pPr>
              <w:pStyle w:val="TableText0"/>
            </w:pPr>
            <w:r w:rsidRPr="006B3A92">
              <w:t>FEC followed by eight weekly courses of paclitaxel (FEC-P) vs six</w:t>
            </w:r>
          </w:p>
          <w:p w14:paraId="67EFDC1D" w14:textId="77777777" w:rsidR="00B15F25" w:rsidRPr="006B3A92" w:rsidRDefault="00B15F25" w:rsidP="00E81928">
            <w:pPr>
              <w:pStyle w:val="TableText0"/>
            </w:pPr>
            <w:r w:rsidRPr="006B3A92">
              <w:t xml:space="preserve">21-day cycles of 5-fluorouracil, </w:t>
            </w:r>
            <w:proofErr w:type="spellStart"/>
            <w:r w:rsidRPr="006B3A92">
              <w:t>epirubicin</w:t>
            </w:r>
            <w:proofErr w:type="spellEnd"/>
            <w:r w:rsidRPr="006B3A92">
              <w:t xml:space="preserve"> and cyclophosphamide (FEC) experimental arm), and then followed by 5-year hormonal therapy – in 1246 women with lymph node positive disease,</w:t>
            </w:r>
          </w:p>
          <w:p w14:paraId="77DC31B4" w14:textId="77777777" w:rsidR="00B15F25" w:rsidRPr="006B3A92" w:rsidRDefault="00B15F25" w:rsidP="00E81928">
            <w:pPr>
              <w:pStyle w:val="TableText0"/>
            </w:pPr>
            <w:r w:rsidRPr="006B3A92">
              <w:t>Prospective-retrospective design</w:t>
            </w:r>
          </w:p>
          <w:p w14:paraId="556BB92E" w14:textId="77777777" w:rsidR="00B15F25" w:rsidRPr="006B3A92" w:rsidRDefault="00B15F25" w:rsidP="00E81928">
            <w:pPr>
              <w:pStyle w:val="TableText0"/>
            </w:pPr>
          </w:p>
        </w:tc>
        <w:tc>
          <w:tcPr>
            <w:tcW w:w="1000" w:type="pct"/>
          </w:tcPr>
          <w:p w14:paraId="20ABFE0B" w14:textId="77777777" w:rsidR="00B15F25" w:rsidRPr="006B3A92" w:rsidRDefault="00B15F25" w:rsidP="00E81928">
            <w:pPr>
              <w:pStyle w:val="TableText0"/>
            </w:pPr>
            <w:r w:rsidRPr="006B3A92">
              <w:t>Martin et al., Clinical validation of the EndoPredict test in node</w:t>
            </w:r>
          </w:p>
          <w:p w14:paraId="013DA7CB" w14:textId="77777777" w:rsidR="00B15F25" w:rsidRPr="006B3A92" w:rsidRDefault="00B15F25" w:rsidP="00E81928">
            <w:pPr>
              <w:pStyle w:val="TableText0"/>
            </w:pPr>
            <w:r w:rsidRPr="006B3A92">
              <w:t>positive, chemotherapy</w:t>
            </w:r>
          </w:p>
          <w:p w14:paraId="355AC846" w14:textId="77777777" w:rsidR="00B15F25" w:rsidRPr="006B3A92" w:rsidRDefault="00B15F25" w:rsidP="00E81928">
            <w:pPr>
              <w:pStyle w:val="TableText0"/>
            </w:pPr>
            <w:r w:rsidRPr="006B3A92">
              <w:t xml:space="preserve">treated ER+/HER2 breast cancer patients: results from the GEICAM </w:t>
            </w:r>
          </w:p>
          <w:p w14:paraId="76C201BD" w14:textId="77777777" w:rsidR="00B15F25" w:rsidRPr="006B3A92" w:rsidRDefault="00B15F25" w:rsidP="00E81928">
            <w:pPr>
              <w:pStyle w:val="TableText0"/>
            </w:pPr>
            <w:r w:rsidRPr="006B3A92">
              <w:t>9906 trial</w:t>
            </w:r>
          </w:p>
          <w:p w14:paraId="0BC9B2FA" w14:textId="77777777" w:rsidR="00B15F25" w:rsidRPr="006B3A92" w:rsidRDefault="00B15F25" w:rsidP="00E81928">
            <w:pPr>
              <w:pStyle w:val="TableText0"/>
            </w:pPr>
          </w:p>
        </w:tc>
        <w:tc>
          <w:tcPr>
            <w:tcW w:w="1301" w:type="pct"/>
          </w:tcPr>
          <w:p w14:paraId="53E3CDB4" w14:textId="77777777" w:rsidR="00B15F25" w:rsidRPr="006B3A92" w:rsidRDefault="00B15F25" w:rsidP="00E81928">
            <w:pPr>
              <w:pStyle w:val="TableText0"/>
            </w:pPr>
            <w:r w:rsidRPr="006B3A92">
              <w:t>N=555</w:t>
            </w:r>
          </w:p>
          <w:p w14:paraId="655744A9" w14:textId="77777777" w:rsidR="00B15F25" w:rsidRPr="006B3A92" w:rsidRDefault="00B15F25" w:rsidP="00E81928">
            <w:pPr>
              <w:pStyle w:val="TableText0"/>
            </w:pPr>
            <w:r w:rsidRPr="006B3A92">
              <w:t>EP is an independent prognostic parameter in node-positive, ER+/HER2− BC patients treated with adjuvant chemotherapy followed by hormone therapy. EP did not predict a greater efficacy of FEC-P compared to FEC alone.</w:t>
            </w:r>
          </w:p>
        </w:tc>
        <w:tc>
          <w:tcPr>
            <w:tcW w:w="1055" w:type="pct"/>
          </w:tcPr>
          <w:p w14:paraId="5FF1F22A" w14:textId="77777777" w:rsidR="00B15F25" w:rsidRPr="006B3A92" w:rsidRDefault="009701F3" w:rsidP="009701F3">
            <w:pPr>
              <w:pStyle w:val="Weblink"/>
            </w:pPr>
            <w:hyperlink r:id="rId12" w:history="1">
              <w:r w:rsidR="00B15F25" w:rsidRPr="006B3A92">
                <w:rPr>
                  <w:rStyle w:val="Hyperlink"/>
                  <w:color w:val="0070C0"/>
                </w:rPr>
                <w:t>https://breast-cancer-research.biomedcentral.com/articles/10.1186/bcr3642</w:t>
              </w:r>
            </w:hyperlink>
          </w:p>
          <w:p w14:paraId="5FE42F3D" w14:textId="77777777" w:rsidR="00B15F25" w:rsidRPr="006B3A92" w:rsidRDefault="00B15F25" w:rsidP="009701F3">
            <w:pPr>
              <w:pStyle w:val="Weblink"/>
            </w:pPr>
          </w:p>
        </w:tc>
        <w:tc>
          <w:tcPr>
            <w:tcW w:w="495" w:type="pct"/>
          </w:tcPr>
          <w:p w14:paraId="4FF52C46" w14:textId="77777777" w:rsidR="00B15F25" w:rsidRPr="006B3A92" w:rsidRDefault="00B15F25" w:rsidP="00E81928">
            <w:pPr>
              <w:pStyle w:val="TableText0"/>
            </w:pPr>
            <w:r w:rsidRPr="006B3A92">
              <w:t>2014</w:t>
            </w:r>
          </w:p>
        </w:tc>
      </w:tr>
      <w:tr w:rsidR="00B15F25" w:rsidRPr="006B3A92" w14:paraId="08CD1573" w14:textId="77777777" w:rsidTr="009701F3">
        <w:trPr>
          <w:cantSplit/>
        </w:trPr>
        <w:tc>
          <w:tcPr>
            <w:tcW w:w="149" w:type="pct"/>
          </w:tcPr>
          <w:p w14:paraId="05EA7614" w14:textId="77777777" w:rsidR="00B15F25" w:rsidRPr="006B3A92" w:rsidRDefault="00B15F25" w:rsidP="00E81928">
            <w:pPr>
              <w:pStyle w:val="TableText0"/>
            </w:pPr>
            <w:r w:rsidRPr="006B3A92">
              <w:t>4</w:t>
            </w:r>
          </w:p>
        </w:tc>
        <w:tc>
          <w:tcPr>
            <w:tcW w:w="1001" w:type="pct"/>
          </w:tcPr>
          <w:p w14:paraId="0EC09A69" w14:textId="77777777" w:rsidR="00B15F25" w:rsidRPr="006B3A92" w:rsidRDefault="00B15F25" w:rsidP="00E81928">
            <w:pPr>
              <w:pStyle w:val="TableText0"/>
            </w:pPr>
            <w:r w:rsidRPr="006B3A92">
              <w:t>Comparator to other GEPs</w:t>
            </w:r>
          </w:p>
          <w:p w14:paraId="5B1FD3F3" w14:textId="55C7503E" w:rsidR="00B15F25" w:rsidRPr="006B3A92" w:rsidRDefault="00B15F25" w:rsidP="00E81928">
            <w:pPr>
              <w:pStyle w:val="TableText0"/>
            </w:pPr>
            <w:r w:rsidRPr="006B3A92">
              <w:t xml:space="preserve">RCT </w:t>
            </w:r>
          </w:p>
          <w:p w14:paraId="6F12E977" w14:textId="77777777" w:rsidR="00B15F25" w:rsidRPr="006B3A92" w:rsidRDefault="00B15F25" w:rsidP="00E81928">
            <w:pPr>
              <w:pStyle w:val="TableText0"/>
            </w:pPr>
            <w:proofErr w:type="spellStart"/>
            <w:r w:rsidRPr="006B3A92">
              <w:t>Arimidex</w:t>
            </w:r>
            <w:proofErr w:type="spellEnd"/>
            <w:r w:rsidRPr="006B3A92">
              <w:t>, Tamoxifen, Alone or in Combination trial (ATAC)</w:t>
            </w:r>
          </w:p>
          <w:p w14:paraId="4393726A" w14:textId="77777777" w:rsidR="00B15F25" w:rsidRPr="006B3A92" w:rsidRDefault="00B15F25" w:rsidP="00E81928">
            <w:pPr>
              <w:pStyle w:val="TableText0"/>
            </w:pPr>
            <w:r w:rsidRPr="006B3A92">
              <w:t>an RCT evaluated efficacy and safety of anastrozole vs tamoxifen given for five years in post-menopausal women with localised primary breast cancer</w:t>
            </w:r>
          </w:p>
          <w:p w14:paraId="0A9933D6" w14:textId="77777777" w:rsidR="00B15F25" w:rsidRPr="006B3A92" w:rsidRDefault="00B15F25" w:rsidP="00E81928">
            <w:pPr>
              <w:pStyle w:val="TableText0"/>
            </w:pPr>
            <w:proofErr w:type="spellStart"/>
            <w:r w:rsidRPr="006B3A92">
              <w:t>TransATAC</w:t>
            </w:r>
            <w:proofErr w:type="spellEnd"/>
            <w:r w:rsidRPr="006B3A92">
              <w:t xml:space="preserve"> </w:t>
            </w:r>
          </w:p>
          <w:p w14:paraId="32665EBA" w14:textId="77777777" w:rsidR="00B15F25" w:rsidRPr="006B3A92" w:rsidRDefault="00B15F25" w:rsidP="00E81928">
            <w:pPr>
              <w:pStyle w:val="TableText0"/>
            </w:pPr>
            <w:r w:rsidRPr="006B3A92">
              <w:t xml:space="preserve">the translational </w:t>
            </w:r>
            <w:proofErr w:type="spellStart"/>
            <w:r w:rsidRPr="006B3A92">
              <w:t>substudy</w:t>
            </w:r>
            <w:proofErr w:type="spellEnd"/>
            <w:r w:rsidRPr="006B3A92">
              <w:t xml:space="preserve"> of the ATAC served as a validation study</w:t>
            </w:r>
          </w:p>
          <w:p w14:paraId="4A23E7D6" w14:textId="74FE2B12" w:rsidR="00B15F25" w:rsidRPr="006B3A92" w:rsidRDefault="00B15F25" w:rsidP="00E81928">
            <w:pPr>
              <w:pStyle w:val="TableText0"/>
            </w:pPr>
            <w:r w:rsidRPr="006B3A92">
              <w:t>prospective-retrospective design</w:t>
            </w:r>
          </w:p>
        </w:tc>
        <w:tc>
          <w:tcPr>
            <w:tcW w:w="1000" w:type="pct"/>
          </w:tcPr>
          <w:p w14:paraId="5E81DAC7" w14:textId="77777777" w:rsidR="00B15F25" w:rsidRPr="006B3A92" w:rsidRDefault="00B15F25" w:rsidP="00E81928">
            <w:pPr>
              <w:pStyle w:val="TableText0"/>
            </w:pPr>
            <w:r w:rsidRPr="006B3A92">
              <w:t>Sestak et al., Comparison of the Performance of 6 Prognostic Signatures for Estrogen Receptor–Positive Breast Cancer A Secondary Analysis of a Randomized Clinical Trial</w:t>
            </w:r>
          </w:p>
          <w:p w14:paraId="36B2DC8F" w14:textId="77777777" w:rsidR="00B15F25" w:rsidRPr="006B3A92" w:rsidRDefault="00B15F25" w:rsidP="00E81928">
            <w:pPr>
              <w:pStyle w:val="TableText0"/>
            </w:pPr>
          </w:p>
        </w:tc>
        <w:tc>
          <w:tcPr>
            <w:tcW w:w="1301" w:type="pct"/>
          </w:tcPr>
          <w:p w14:paraId="06C432BE" w14:textId="77777777" w:rsidR="00B15F25" w:rsidRPr="006B3A92" w:rsidRDefault="00B15F25" w:rsidP="00E81928">
            <w:pPr>
              <w:pStyle w:val="TableText0"/>
            </w:pPr>
            <w:r w:rsidRPr="006B3A92">
              <w:t xml:space="preserve">Retrospective biomarker analysis of 774 postmenopausal women with ER-positive HER2 negative breast cancer. The signatures included the Oncotype Dx recurrence score, PAM50-based </w:t>
            </w:r>
            <w:proofErr w:type="spellStart"/>
            <w:r w:rsidRPr="006B3A92">
              <w:t>Prosigna</w:t>
            </w:r>
            <w:proofErr w:type="spellEnd"/>
            <w:r w:rsidRPr="006B3A92">
              <w:t xml:space="preserve"> risk of recurrence (ROR), Breast Cancer Index (BCI), EndoPredict (EPclin), Clinical Treatment Score, and 4-marker immunohistochemical score. Prognostic value was compared.</w:t>
            </w:r>
          </w:p>
        </w:tc>
        <w:tc>
          <w:tcPr>
            <w:tcW w:w="1055" w:type="pct"/>
          </w:tcPr>
          <w:p w14:paraId="2FDB5FDE" w14:textId="77777777" w:rsidR="00B15F25" w:rsidRPr="006B3A92" w:rsidRDefault="009701F3" w:rsidP="009701F3">
            <w:pPr>
              <w:pStyle w:val="Weblink"/>
            </w:pPr>
            <w:hyperlink r:id="rId13" w:history="1">
              <w:r w:rsidR="00B15F25" w:rsidRPr="006B3A92">
                <w:rPr>
                  <w:rStyle w:val="Hyperlink"/>
                  <w:color w:val="0070C0"/>
                </w:rPr>
                <w:t>https://pubmed.ncbi.nlm.nih.gov/29450494/</w:t>
              </w:r>
            </w:hyperlink>
          </w:p>
          <w:p w14:paraId="0DF98E02" w14:textId="77777777" w:rsidR="00B15F25" w:rsidRPr="006B3A92" w:rsidRDefault="00B15F25" w:rsidP="009701F3">
            <w:pPr>
              <w:pStyle w:val="Weblink"/>
            </w:pPr>
          </w:p>
        </w:tc>
        <w:tc>
          <w:tcPr>
            <w:tcW w:w="495" w:type="pct"/>
          </w:tcPr>
          <w:p w14:paraId="39C9ABB5" w14:textId="77777777" w:rsidR="00B15F25" w:rsidRPr="006B3A92" w:rsidRDefault="00B15F25" w:rsidP="00E81928">
            <w:pPr>
              <w:pStyle w:val="TableText0"/>
            </w:pPr>
            <w:r w:rsidRPr="006B3A92">
              <w:t>2018</w:t>
            </w:r>
          </w:p>
        </w:tc>
      </w:tr>
      <w:tr w:rsidR="00B15F25" w:rsidRPr="006B3A92" w14:paraId="19BF51FF" w14:textId="77777777" w:rsidTr="009701F3">
        <w:trPr>
          <w:cantSplit/>
        </w:trPr>
        <w:tc>
          <w:tcPr>
            <w:tcW w:w="149" w:type="pct"/>
          </w:tcPr>
          <w:p w14:paraId="3EBC9653" w14:textId="77777777" w:rsidR="00B15F25" w:rsidRPr="006B3A92" w:rsidRDefault="00B15F25" w:rsidP="00E81928">
            <w:pPr>
              <w:pStyle w:val="TableText0"/>
            </w:pPr>
            <w:r w:rsidRPr="006B3A92">
              <w:t>5</w:t>
            </w:r>
          </w:p>
        </w:tc>
        <w:tc>
          <w:tcPr>
            <w:tcW w:w="1001" w:type="pct"/>
          </w:tcPr>
          <w:p w14:paraId="63DFB4CF" w14:textId="77777777" w:rsidR="00B15F25" w:rsidRPr="006B3A92" w:rsidRDefault="00B15F25" w:rsidP="00E81928">
            <w:pPr>
              <w:pStyle w:val="TableText0"/>
            </w:pPr>
            <w:r w:rsidRPr="006B3A92">
              <w:t>Comparative multicohort non-randomised analysis</w:t>
            </w:r>
          </w:p>
        </w:tc>
        <w:tc>
          <w:tcPr>
            <w:tcW w:w="1000" w:type="pct"/>
          </w:tcPr>
          <w:p w14:paraId="18284E0E" w14:textId="77777777" w:rsidR="00B15F25" w:rsidRPr="006B3A92" w:rsidRDefault="00B15F25" w:rsidP="00E81928">
            <w:pPr>
              <w:pStyle w:val="TableText0"/>
            </w:pPr>
            <w:r w:rsidRPr="006B3A92">
              <w:t xml:space="preserve">Sestak et al., Prediction of chemotherapy benefit by EndoPredict in patients with breast cancer who received adjuvant endocrine therapy plus chemotherapy </w:t>
            </w:r>
          </w:p>
          <w:p w14:paraId="5D47354B" w14:textId="77777777" w:rsidR="00B15F25" w:rsidRPr="006B3A92" w:rsidRDefault="00B15F25" w:rsidP="00E81928">
            <w:pPr>
              <w:pStyle w:val="TableText0"/>
            </w:pPr>
            <w:r w:rsidRPr="006B3A92">
              <w:t>or endocrine therapy alone</w:t>
            </w:r>
          </w:p>
          <w:p w14:paraId="0FD45FA8" w14:textId="77777777" w:rsidR="00B15F25" w:rsidRPr="006B3A92" w:rsidRDefault="00B15F25" w:rsidP="00E81928">
            <w:pPr>
              <w:pStyle w:val="TableText0"/>
            </w:pPr>
          </w:p>
        </w:tc>
        <w:tc>
          <w:tcPr>
            <w:tcW w:w="1301" w:type="pct"/>
          </w:tcPr>
          <w:p w14:paraId="6166689A" w14:textId="77777777" w:rsidR="00B15F25" w:rsidRPr="006B3A92" w:rsidRDefault="00B15F25" w:rsidP="00E81928">
            <w:pPr>
              <w:pStyle w:val="TableText0"/>
            </w:pPr>
            <w:r w:rsidRPr="006B3A92">
              <w:t xml:space="preserve">N=3746 </w:t>
            </w:r>
          </w:p>
          <w:p w14:paraId="30C7BB1B" w14:textId="77777777" w:rsidR="00B15F25" w:rsidRPr="006B3A92" w:rsidRDefault="00B15F25" w:rsidP="00E81928">
            <w:pPr>
              <w:pStyle w:val="TableText0"/>
            </w:pPr>
            <w:r w:rsidRPr="006B3A92">
              <w:t xml:space="preserve">2630 patients received 5 years of ET alone (ABCSG-6/8, </w:t>
            </w:r>
            <w:proofErr w:type="spellStart"/>
            <w:r w:rsidRPr="006B3A92">
              <w:t>TransATAC</w:t>
            </w:r>
            <w:proofErr w:type="spellEnd"/>
            <w:r w:rsidRPr="006B3A92">
              <w:t>) and 1116 patients received ET + C (GEICAM 2003-02/9906). The primary objective was to evaluate the ability of EPclin to provide an estimate of the 10-year DR rate as a continuous function of EPclin separately for ET alone and ET + C. </w:t>
            </w:r>
          </w:p>
        </w:tc>
        <w:tc>
          <w:tcPr>
            <w:tcW w:w="1055" w:type="pct"/>
          </w:tcPr>
          <w:p w14:paraId="6A1F7CC3" w14:textId="55022E43" w:rsidR="009701F3" w:rsidRPr="009701F3" w:rsidRDefault="009701F3" w:rsidP="009701F3">
            <w:pPr>
              <w:pStyle w:val="Weblink"/>
              <w:rPr>
                <w:color w:val="0070C0"/>
                <w:u w:val="single"/>
              </w:rPr>
            </w:pPr>
            <w:hyperlink r:id="rId14" w:history="1">
              <w:r w:rsidR="00B15F25" w:rsidRPr="009701F3">
                <w:rPr>
                  <w:rStyle w:val="Hyperlink"/>
                  <w:color w:val="0070C0"/>
                </w:rPr>
                <w:t>https://pubmed.ncbi.nlm.nih.gov/31041683/</w:t>
              </w:r>
            </w:hyperlink>
          </w:p>
          <w:p w14:paraId="37560AEE" w14:textId="77777777" w:rsidR="00B15F25" w:rsidRPr="006B3A92" w:rsidRDefault="00B15F25" w:rsidP="009701F3">
            <w:pPr>
              <w:pStyle w:val="Weblink"/>
            </w:pPr>
          </w:p>
        </w:tc>
        <w:tc>
          <w:tcPr>
            <w:tcW w:w="495" w:type="pct"/>
          </w:tcPr>
          <w:p w14:paraId="7AEE0EEB" w14:textId="77777777" w:rsidR="00B15F25" w:rsidRPr="006B3A92" w:rsidRDefault="00B15F25" w:rsidP="00E81928">
            <w:pPr>
              <w:pStyle w:val="TableText0"/>
            </w:pPr>
            <w:r w:rsidRPr="006B3A92">
              <w:t>2019</w:t>
            </w:r>
          </w:p>
        </w:tc>
      </w:tr>
      <w:tr w:rsidR="00B15F25" w:rsidRPr="006B3A92" w14:paraId="45DF581B" w14:textId="77777777" w:rsidTr="009701F3">
        <w:trPr>
          <w:cantSplit/>
        </w:trPr>
        <w:tc>
          <w:tcPr>
            <w:tcW w:w="149" w:type="pct"/>
          </w:tcPr>
          <w:p w14:paraId="5BB96A98" w14:textId="77777777" w:rsidR="00B15F25" w:rsidRPr="006B3A92" w:rsidRDefault="00B15F25" w:rsidP="00E81928">
            <w:pPr>
              <w:pStyle w:val="TableText0"/>
            </w:pPr>
            <w:r w:rsidRPr="006B3A92">
              <w:t>6</w:t>
            </w:r>
          </w:p>
        </w:tc>
        <w:tc>
          <w:tcPr>
            <w:tcW w:w="1001" w:type="pct"/>
          </w:tcPr>
          <w:p w14:paraId="733B2394" w14:textId="77777777" w:rsidR="00B15F25" w:rsidRPr="006B3A92" w:rsidRDefault="00B15F25" w:rsidP="00E81928">
            <w:pPr>
              <w:pStyle w:val="TableText0"/>
            </w:pPr>
            <w:r w:rsidRPr="006B3A92">
              <w:t>Follow up of DR free rate of the ABCSG 6 &amp; 8 after 10 and 15yrs</w:t>
            </w:r>
          </w:p>
          <w:p w14:paraId="3ED0E737" w14:textId="77777777" w:rsidR="00B15F25" w:rsidRPr="006B3A92" w:rsidRDefault="00B15F25" w:rsidP="00E81928">
            <w:pPr>
              <w:pStyle w:val="TableText0"/>
            </w:pPr>
            <w:r w:rsidRPr="006B3A92">
              <w:t>Prospective-retrospective design</w:t>
            </w:r>
          </w:p>
        </w:tc>
        <w:tc>
          <w:tcPr>
            <w:tcW w:w="1000" w:type="pct"/>
          </w:tcPr>
          <w:p w14:paraId="6F430BF5" w14:textId="77777777" w:rsidR="00B15F25" w:rsidRPr="006B3A92" w:rsidRDefault="00B15F25" w:rsidP="00E81928">
            <w:pPr>
              <w:pStyle w:val="TableText0"/>
            </w:pPr>
            <w:r w:rsidRPr="006B3A92">
              <w:t>Filipits et al., Prediction of Distant Recurrence using EndoPredict among Women with ER+, HER2-Node</w:t>
            </w:r>
          </w:p>
          <w:p w14:paraId="7A2EB42E" w14:textId="77777777" w:rsidR="00B15F25" w:rsidRPr="006B3A92" w:rsidRDefault="00B15F25" w:rsidP="00E81928">
            <w:pPr>
              <w:pStyle w:val="TableText0"/>
            </w:pPr>
            <w:r w:rsidRPr="006B3A92">
              <w:t>Positive and Node</w:t>
            </w:r>
          </w:p>
          <w:p w14:paraId="6CC3446A" w14:textId="77777777" w:rsidR="00B15F25" w:rsidRPr="006B3A92" w:rsidRDefault="00B15F25" w:rsidP="00E81928">
            <w:pPr>
              <w:pStyle w:val="TableText0"/>
            </w:pPr>
            <w:r w:rsidRPr="006B3A92">
              <w:t>Negative Breast Cancer Treated with Endocrine Therapy Only</w:t>
            </w:r>
          </w:p>
          <w:p w14:paraId="1A249284" w14:textId="77777777" w:rsidR="00B15F25" w:rsidRPr="006B3A92" w:rsidRDefault="00B15F25" w:rsidP="00E81928">
            <w:pPr>
              <w:pStyle w:val="TableText0"/>
            </w:pPr>
          </w:p>
        </w:tc>
        <w:tc>
          <w:tcPr>
            <w:tcW w:w="1301" w:type="pct"/>
          </w:tcPr>
          <w:p w14:paraId="08159D1C" w14:textId="77777777" w:rsidR="00B15F25" w:rsidRPr="006B3A92" w:rsidRDefault="00B15F25" w:rsidP="00E81928">
            <w:pPr>
              <w:pStyle w:val="TableText0"/>
            </w:pPr>
            <w:r w:rsidRPr="006B3A92">
              <w:t>EndoPredict (EP; molecular score, EPclin score) was evaluated in women with ER-positive, HER2-negative node-positive and node-negative breast cancer who received 5 years of endocrine therapy only (median follow-up, 9.6 years; N = 1,702). Distant recurrence-free rate (DRFR; 95% confidence interval) was assessed 10 and 15 years after diagnosis.</w:t>
            </w:r>
          </w:p>
        </w:tc>
        <w:tc>
          <w:tcPr>
            <w:tcW w:w="1055" w:type="pct"/>
          </w:tcPr>
          <w:p w14:paraId="06A5700C" w14:textId="13C83CF3" w:rsidR="009701F3" w:rsidRPr="009701F3" w:rsidRDefault="009701F3" w:rsidP="009701F3">
            <w:pPr>
              <w:pStyle w:val="Weblink"/>
              <w:rPr>
                <w:rStyle w:val="Hyperlink"/>
                <w:color w:val="0070C0"/>
              </w:rPr>
            </w:pPr>
            <w:hyperlink r:id="rId15" w:history="1">
              <w:r w:rsidR="00B15F25" w:rsidRPr="009701F3">
                <w:rPr>
                  <w:rStyle w:val="Hyperlink"/>
                  <w:color w:val="0070C0"/>
                </w:rPr>
                <w:t>https://clincancerres.aacrjournals.org/content/25/13/3865</w:t>
              </w:r>
            </w:hyperlink>
          </w:p>
          <w:p w14:paraId="64393BB0" w14:textId="66B3D4B6" w:rsidR="00B15F25" w:rsidRPr="006B3A92" w:rsidRDefault="00B15F25" w:rsidP="00E81928">
            <w:pPr>
              <w:pStyle w:val="TableText0"/>
            </w:pPr>
          </w:p>
        </w:tc>
        <w:tc>
          <w:tcPr>
            <w:tcW w:w="495" w:type="pct"/>
          </w:tcPr>
          <w:p w14:paraId="02B3C6D4" w14:textId="77777777" w:rsidR="00B15F25" w:rsidRPr="006B3A92" w:rsidRDefault="00B15F25" w:rsidP="00E81928">
            <w:pPr>
              <w:pStyle w:val="TableText0"/>
            </w:pPr>
            <w:r w:rsidRPr="006B3A92">
              <w:t>2019</w:t>
            </w:r>
          </w:p>
        </w:tc>
      </w:tr>
    </w:tbl>
    <w:p w14:paraId="0081A9E4" w14:textId="7A2F053A" w:rsidR="00DD308E" w:rsidRDefault="00DD308E" w:rsidP="004B0D85"/>
    <w:p w14:paraId="1030D947" w14:textId="77777777" w:rsidR="00B15F25" w:rsidRDefault="00B15F25" w:rsidP="00B15F25">
      <w:pPr>
        <w:pStyle w:val="Heading2"/>
      </w:pPr>
      <w:r w:rsidRPr="00643755">
        <w:t xml:space="preserve">Identify </w:t>
      </w:r>
      <w:r w:rsidRPr="00643755">
        <w:rPr>
          <w:u w:val="single"/>
        </w:rPr>
        <w:t>yet-to-be-published</w:t>
      </w:r>
      <w:r w:rsidRPr="00643755">
        <w:t xml:space="preserve"> 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Pr="00643755">
        <w:rPr>
          <w:i/>
        </w:rPr>
        <w:t>.</w:t>
      </w:r>
    </w:p>
    <w:tbl>
      <w:tblPr>
        <w:tblStyle w:val="TableGrid"/>
        <w:tblW w:w="5080" w:type="pct"/>
        <w:tblLayout w:type="fixed"/>
        <w:tblLook w:val="04A0" w:firstRow="1" w:lastRow="0" w:firstColumn="1" w:lastColumn="0" w:noHBand="0" w:noVBand="1"/>
        <w:tblCaption w:val="Summary of Evidence - Yet to be Published"/>
      </w:tblPr>
      <w:tblGrid>
        <w:gridCol w:w="423"/>
        <w:gridCol w:w="2834"/>
        <w:gridCol w:w="2837"/>
        <w:gridCol w:w="3684"/>
        <w:gridCol w:w="3047"/>
        <w:gridCol w:w="1346"/>
      </w:tblGrid>
      <w:tr w:rsidR="00B15F25" w14:paraId="4CCBD4D7" w14:textId="77777777" w:rsidTr="009701F3">
        <w:trPr>
          <w:cantSplit/>
          <w:tblHeader/>
        </w:trPr>
        <w:tc>
          <w:tcPr>
            <w:tcW w:w="149" w:type="pct"/>
          </w:tcPr>
          <w:p w14:paraId="3D0C4093" w14:textId="77777777" w:rsidR="00B15F25" w:rsidRDefault="00B15F25" w:rsidP="00E81928">
            <w:pPr>
              <w:pStyle w:val="TableText0"/>
            </w:pPr>
          </w:p>
        </w:tc>
        <w:tc>
          <w:tcPr>
            <w:tcW w:w="1000" w:type="pct"/>
          </w:tcPr>
          <w:p w14:paraId="1A1621B2" w14:textId="77777777" w:rsidR="00B15F25" w:rsidRPr="00B15F25" w:rsidRDefault="00B15F25" w:rsidP="00E81928">
            <w:pPr>
              <w:pStyle w:val="TableText0"/>
              <w:rPr>
                <w:b/>
                <w:bCs w:val="0"/>
              </w:rPr>
            </w:pPr>
            <w:r w:rsidRPr="00B15F25">
              <w:rPr>
                <w:b/>
                <w:bCs w:val="0"/>
              </w:rPr>
              <w:t>Type of study design</w:t>
            </w:r>
          </w:p>
        </w:tc>
        <w:tc>
          <w:tcPr>
            <w:tcW w:w="1001" w:type="pct"/>
          </w:tcPr>
          <w:p w14:paraId="5E17586B" w14:textId="77777777" w:rsidR="00B15F25" w:rsidRPr="00B15F25" w:rsidRDefault="00B15F25" w:rsidP="00E81928">
            <w:pPr>
              <w:pStyle w:val="TableText0"/>
              <w:rPr>
                <w:b/>
                <w:bCs w:val="0"/>
              </w:rPr>
            </w:pPr>
            <w:r w:rsidRPr="00B15F25">
              <w:rPr>
                <w:b/>
                <w:bCs w:val="0"/>
              </w:rPr>
              <w:t>Title of research (including any trial identifier if relevant)</w:t>
            </w:r>
          </w:p>
        </w:tc>
        <w:tc>
          <w:tcPr>
            <w:tcW w:w="1300" w:type="pct"/>
          </w:tcPr>
          <w:p w14:paraId="40A7E7E6" w14:textId="77777777" w:rsidR="00B15F25" w:rsidRPr="00B15F25" w:rsidRDefault="00B15F25" w:rsidP="00E81928">
            <w:pPr>
              <w:pStyle w:val="TableText0"/>
              <w:rPr>
                <w:b/>
                <w:bCs w:val="0"/>
              </w:rPr>
            </w:pPr>
            <w:r w:rsidRPr="00B15F25">
              <w:rPr>
                <w:b/>
                <w:bCs w:val="0"/>
              </w:rPr>
              <w:t>Short description of research</w:t>
            </w:r>
          </w:p>
        </w:tc>
        <w:tc>
          <w:tcPr>
            <w:tcW w:w="1075" w:type="pct"/>
          </w:tcPr>
          <w:p w14:paraId="04783308" w14:textId="77777777" w:rsidR="00B15F25" w:rsidRPr="00B15F25" w:rsidRDefault="00B15F25" w:rsidP="00E81928">
            <w:pPr>
              <w:pStyle w:val="TableText0"/>
              <w:rPr>
                <w:b/>
                <w:bCs w:val="0"/>
              </w:rPr>
            </w:pPr>
            <w:r w:rsidRPr="00B15F25">
              <w:rPr>
                <w:b/>
                <w:bCs w:val="0"/>
              </w:rPr>
              <w:t xml:space="preserve">Website link to research </w:t>
            </w:r>
          </w:p>
        </w:tc>
        <w:tc>
          <w:tcPr>
            <w:tcW w:w="475" w:type="pct"/>
          </w:tcPr>
          <w:p w14:paraId="124A7088" w14:textId="77777777" w:rsidR="00B15F25" w:rsidRPr="00B15F25" w:rsidRDefault="00B15F25" w:rsidP="00E81928">
            <w:pPr>
              <w:pStyle w:val="TableText0"/>
              <w:rPr>
                <w:b/>
                <w:bCs w:val="0"/>
              </w:rPr>
            </w:pPr>
            <w:r w:rsidRPr="00B15F25">
              <w:rPr>
                <w:b/>
                <w:bCs w:val="0"/>
              </w:rPr>
              <w:t>Date</w:t>
            </w:r>
          </w:p>
        </w:tc>
      </w:tr>
      <w:tr w:rsidR="00B15F25" w:rsidRPr="003C45D7" w14:paraId="719AC849" w14:textId="77777777" w:rsidTr="009701F3">
        <w:trPr>
          <w:cantSplit/>
        </w:trPr>
        <w:tc>
          <w:tcPr>
            <w:tcW w:w="149" w:type="pct"/>
          </w:tcPr>
          <w:p w14:paraId="42B1283A" w14:textId="77777777" w:rsidR="00B15F25" w:rsidRPr="004678D9" w:rsidRDefault="00B15F25" w:rsidP="00E81928">
            <w:pPr>
              <w:pStyle w:val="TableText0"/>
            </w:pPr>
            <w:r w:rsidRPr="004678D9">
              <w:t>1</w:t>
            </w:r>
          </w:p>
        </w:tc>
        <w:tc>
          <w:tcPr>
            <w:tcW w:w="1000" w:type="pct"/>
          </w:tcPr>
          <w:p w14:paraId="21611708" w14:textId="77777777" w:rsidR="00B15F25" w:rsidRPr="00B9380B" w:rsidRDefault="00B15F25" w:rsidP="00E81928">
            <w:pPr>
              <w:pStyle w:val="TableText0"/>
            </w:pPr>
            <w:r w:rsidRPr="00B9380B">
              <w:t>Clinical Utility Study Australia</w:t>
            </w:r>
          </w:p>
        </w:tc>
        <w:tc>
          <w:tcPr>
            <w:tcW w:w="1001" w:type="pct"/>
          </w:tcPr>
          <w:p w14:paraId="24BD5F35" w14:textId="77777777" w:rsidR="00B15F25" w:rsidRDefault="00B15F25" w:rsidP="00E81928">
            <w:pPr>
              <w:pStyle w:val="TableText0"/>
              <w:rPr>
                <w:noProof/>
              </w:rPr>
            </w:pPr>
            <w:r w:rsidRPr="004678D9">
              <w:rPr>
                <w:noProof/>
              </w:rPr>
              <w:t>Impact of the EndoPredict Genomic Assay on Treatment Decisions for ER Positive Early Breast cancer Patients: Benefits of Selective Physician Testing (PI: Dr. Nirmala Pathmanathan, Westmead Breast Cancer Institute)</w:t>
            </w:r>
          </w:p>
          <w:p w14:paraId="0FFA2ACE" w14:textId="77777777" w:rsidR="00B15F25" w:rsidRPr="00B9380B" w:rsidRDefault="00B15F25" w:rsidP="00E81928">
            <w:pPr>
              <w:pStyle w:val="TableText0"/>
              <w:rPr>
                <w:noProof/>
              </w:rPr>
            </w:pPr>
            <w:r w:rsidRPr="00B9380B">
              <w:rPr>
                <w:noProof/>
              </w:rPr>
              <w:t>ACTRN12618001284257</w:t>
            </w:r>
          </w:p>
        </w:tc>
        <w:tc>
          <w:tcPr>
            <w:tcW w:w="1300" w:type="pct"/>
          </w:tcPr>
          <w:p w14:paraId="0B48DD4E" w14:textId="77777777" w:rsidR="00B15F25" w:rsidRPr="004678D9" w:rsidRDefault="00B15F25" w:rsidP="00E81928">
            <w:pPr>
              <w:pStyle w:val="TableText0"/>
              <w:rPr>
                <w:noProof/>
              </w:rPr>
            </w:pPr>
            <w:r w:rsidRPr="004678D9">
              <w:rPr>
                <w:noProof/>
              </w:rPr>
              <w:t>This study evaluated the clinical utility of EndoPredict, and its impact on adjuvant therapy recommendations in patients with breast cancer</w:t>
            </w:r>
            <w:r>
              <w:rPr>
                <w:noProof/>
              </w:rPr>
              <w:t xml:space="preserve"> in Australia</w:t>
            </w:r>
            <w:r w:rsidRPr="004678D9">
              <w:rPr>
                <w:noProof/>
              </w:rPr>
              <w:t>. The significant impact of the test result on the treatment decision in patients who were selectively recruited based on clinical team discretion undersored the value of EndoPredict.</w:t>
            </w:r>
          </w:p>
        </w:tc>
        <w:tc>
          <w:tcPr>
            <w:tcW w:w="1075" w:type="pct"/>
          </w:tcPr>
          <w:p w14:paraId="1B8CAFF5" w14:textId="168A7DAA" w:rsidR="00B15F25" w:rsidRPr="009701F3" w:rsidRDefault="009701F3" w:rsidP="009701F3">
            <w:pPr>
              <w:pStyle w:val="Weblink"/>
              <w:rPr>
                <w:rStyle w:val="Hyperlink"/>
                <w:color w:val="0070C0"/>
              </w:rPr>
            </w:pPr>
            <w:hyperlink r:id="rId16" w:history="1">
              <w:r w:rsidRPr="009701F3">
                <w:rPr>
                  <w:rStyle w:val="Hyperlink"/>
                  <w:color w:val="0070C0"/>
                </w:rPr>
                <w:t>https://link.springer.com/article/10.1007/s10549-021-06456-5</w:t>
              </w:r>
            </w:hyperlink>
          </w:p>
          <w:p w14:paraId="055EC338" w14:textId="573EB403" w:rsidR="009701F3" w:rsidRPr="004678D9" w:rsidRDefault="009701F3" w:rsidP="00E81928">
            <w:pPr>
              <w:pStyle w:val="TableText0"/>
            </w:pPr>
          </w:p>
        </w:tc>
        <w:tc>
          <w:tcPr>
            <w:tcW w:w="475" w:type="pct"/>
          </w:tcPr>
          <w:p w14:paraId="3E2D797F" w14:textId="6F60A7E1" w:rsidR="00B15F25" w:rsidRPr="004678D9" w:rsidRDefault="009B7490" w:rsidP="00E81928">
            <w:pPr>
              <w:pStyle w:val="TableText0"/>
              <w:rPr>
                <w:noProof/>
              </w:rPr>
            </w:pPr>
            <w:r>
              <w:rPr>
                <w:noProof/>
              </w:rPr>
              <w:t>2022</w:t>
            </w:r>
          </w:p>
        </w:tc>
      </w:tr>
      <w:tr w:rsidR="00B15F25" w:rsidRPr="003C45D7" w14:paraId="7A5ABBF8" w14:textId="77777777" w:rsidTr="009701F3">
        <w:trPr>
          <w:cantSplit/>
        </w:trPr>
        <w:tc>
          <w:tcPr>
            <w:tcW w:w="149" w:type="pct"/>
          </w:tcPr>
          <w:p w14:paraId="5A029FD7" w14:textId="77777777" w:rsidR="00B15F25" w:rsidRPr="003C45D7" w:rsidRDefault="00B15F25" w:rsidP="00E81928">
            <w:pPr>
              <w:pStyle w:val="TableText0"/>
              <w:rPr>
                <w:highlight w:val="yellow"/>
              </w:rPr>
            </w:pPr>
            <w:r w:rsidRPr="004678D9">
              <w:t>2</w:t>
            </w:r>
          </w:p>
        </w:tc>
        <w:tc>
          <w:tcPr>
            <w:tcW w:w="1000" w:type="pct"/>
          </w:tcPr>
          <w:p w14:paraId="31BAD6BE" w14:textId="77777777" w:rsidR="00B15F25" w:rsidRPr="003C45D7" w:rsidRDefault="00B15F25" w:rsidP="00E81928">
            <w:pPr>
              <w:pStyle w:val="TableText0"/>
              <w:rPr>
                <w:b/>
                <w:highlight w:val="yellow"/>
              </w:rPr>
            </w:pPr>
            <w:r w:rsidRPr="004678D9">
              <w:t>Prospective observational care research study</w:t>
            </w:r>
          </w:p>
        </w:tc>
        <w:tc>
          <w:tcPr>
            <w:tcW w:w="1001" w:type="pct"/>
          </w:tcPr>
          <w:p w14:paraId="67CD167B" w14:textId="13445738" w:rsidR="00B15F25" w:rsidRDefault="00B15F25" w:rsidP="00E81928">
            <w:pPr>
              <w:pStyle w:val="TableText0"/>
            </w:pPr>
            <w:r>
              <w:t>Reaching for Evidence-</w:t>
            </w:r>
            <w:r w:rsidR="00865498">
              <w:t>based</w:t>
            </w:r>
            <w:r>
              <w:t xml:space="preserve"> Chemotherapy Use in Endocrine Sensitive Breast Cancer (RESCUE)</w:t>
            </w:r>
          </w:p>
          <w:p w14:paraId="41E45642" w14:textId="77777777" w:rsidR="00B15F25" w:rsidRDefault="00B15F25" w:rsidP="00E81928">
            <w:pPr>
              <w:pStyle w:val="TableText0"/>
            </w:pPr>
            <w:r w:rsidRPr="00B55825">
              <w:t>NCT03503799</w:t>
            </w:r>
          </w:p>
          <w:p w14:paraId="6FCDF931" w14:textId="77777777" w:rsidR="00B15F25" w:rsidRPr="003C45D7" w:rsidRDefault="00B15F25" w:rsidP="00E81928">
            <w:pPr>
              <w:pStyle w:val="TableText0"/>
              <w:rPr>
                <w:b/>
                <w:highlight w:val="yellow"/>
              </w:rPr>
            </w:pPr>
            <w:r>
              <w:t>PI: Marion Kiechle, Technical University Munich, Germany)</w:t>
            </w:r>
          </w:p>
        </w:tc>
        <w:tc>
          <w:tcPr>
            <w:tcW w:w="1300" w:type="pct"/>
          </w:tcPr>
          <w:p w14:paraId="4BDDB720" w14:textId="77777777" w:rsidR="00B15F25" w:rsidRPr="004678D9" w:rsidRDefault="00B15F25" w:rsidP="00E81928">
            <w:pPr>
              <w:pStyle w:val="TableText0"/>
              <w:rPr>
                <w:lang w:val="en-US"/>
              </w:rPr>
            </w:pPr>
            <w:r w:rsidRPr="004678D9">
              <w:rPr>
                <w:lang w:val="en-US"/>
              </w:rPr>
              <w:t xml:space="preserve">Prospective assessment of the clinical outcome </w:t>
            </w:r>
            <w:r>
              <w:rPr>
                <w:lang w:val="en-US"/>
              </w:rPr>
              <w:t xml:space="preserve">(distant metastasis-free survival) </w:t>
            </w:r>
            <w:r w:rsidRPr="004678D9">
              <w:rPr>
                <w:lang w:val="en-US"/>
              </w:rPr>
              <w:t xml:space="preserve">of patients with primary breast cancer </w:t>
            </w:r>
            <w:r>
              <w:rPr>
                <w:lang w:val="en-US"/>
              </w:rPr>
              <w:t>who have</w:t>
            </w:r>
            <w:r w:rsidRPr="004678D9">
              <w:rPr>
                <w:lang w:val="en-US"/>
              </w:rPr>
              <w:t xml:space="preserve"> been tested with EndoPredict</w:t>
            </w:r>
            <w:r>
              <w:rPr>
                <w:lang w:val="en-US"/>
              </w:rPr>
              <w:t xml:space="preserve">; </w:t>
            </w:r>
            <w:r w:rsidRPr="007C6F32">
              <w:rPr>
                <w:lang w:val="en-US"/>
              </w:rPr>
              <w:t>ER+/HER2- early-stage BC</w:t>
            </w:r>
            <w:r>
              <w:rPr>
                <w:lang w:val="en-US"/>
              </w:rPr>
              <w:t xml:space="preserve">, </w:t>
            </w:r>
            <w:r w:rsidRPr="007C6F32">
              <w:rPr>
                <w:lang w:val="en-US"/>
              </w:rPr>
              <w:t>N0-N1, T1-T3</w:t>
            </w:r>
            <w:r w:rsidRPr="004678D9">
              <w:rPr>
                <w:lang w:val="en-US"/>
              </w:rPr>
              <w:t xml:space="preserve"> (N=</w:t>
            </w:r>
            <w:r w:rsidRPr="004678D9">
              <w:rPr>
                <w:lang w:val="pt-BR"/>
              </w:rPr>
              <w:t>1191)</w:t>
            </w:r>
            <w:r w:rsidRPr="004678D9">
              <w:rPr>
                <w:lang w:val="en-US"/>
              </w:rPr>
              <w:t>.</w:t>
            </w:r>
          </w:p>
          <w:p w14:paraId="13C716E0" w14:textId="77777777" w:rsidR="00B15F25" w:rsidRPr="003C45D7" w:rsidRDefault="00B15F25" w:rsidP="00E81928">
            <w:pPr>
              <w:pStyle w:val="TableText0"/>
              <w:rPr>
                <w:highlight w:val="yellow"/>
              </w:rPr>
            </w:pPr>
          </w:p>
        </w:tc>
        <w:tc>
          <w:tcPr>
            <w:tcW w:w="1075" w:type="pct"/>
          </w:tcPr>
          <w:p w14:paraId="57C55774" w14:textId="77777777" w:rsidR="00B15F25" w:rsidRPr="003C45D7" w:rsidRDefault="00B15F25" w:rsidP="00E81928">
            <w:pPr>
              <w:pStyle w:val="TableText0"/>
              <w:rPr>
                <w:highlight w:val="yellow"/>
              </w:rPr>
            </w:pPr>
          </w:p>
        </w:tc>
        <w:tc>
          <w:tcPr>
            <w:tcW w:w="475" w:type="pct"/>
          </w:tcPr>
          <w:p w14:paraId="48B8F34D" w14:textId="77777777" w:rsidR="00B15F25" w:rsidRPr="003C45D7" w:rsidRDefault="00B15F25" w:rsidP="00E81928">
            <w:pPr>
              <w:pStyle w:val="TableText0"/>
              <w:rPr>
                <w:b/>
                <w:highlight w:val="yellow"/>
              </w:rPr>
            </w:pPr>
            <w:r w:rsidRPr="004678D9">
              <w:t>First results with 5 years follow-up expected 2026</w:t>
            </w:r>
          </w:p>
        </w:tc>
      </w:tr>
      <w:tr w:rsidR="00B15F25" w:rsidRPr="003C45D7" w14:paraId="56EBCEA9" w14:textId="77777777" w:rsidTr="009701F3">
        <w:trPr>
          <w:cantSplit/>
        </w:trPr>
        <w:tc>
          <w:tcPr>
            <w:tcW w:w="149" w:type="pct"/>
            <w:shd w:val="clear" w:color="auto" w:fill="auto"/>
          </w:tcPr>
          <w:p w14:paraId="05EA019F" w14:textId="77777777" w:rsidR="00B15F25" w:rsidRPr="004678D9" w:rsidRDefault="00B15F25" w:rsidP="00E81928">
            <w:pPr>
              <w:pStyle w:val="TableText0"/>
            </w:pPr>
            <w:r w:rsidRPr="004678D9">
              <w:t>3</w:t>
            </w:r>
          </w:p>
        </w:tc>
        <w:tc>
          <w:tcPr>
            <w:tcW w:w="1000" w:type="pct"/>
            <w:shd w:val="clear" w:color="auto" w:fill="auto"/>
          </w:tcPr>
          <w:p w14:paraId="7D4CF338" w14:textId="77777777" w:rsidR="00B15F25" w:rsidRPr="004678D9" w:rsidRDefault="00B15F25" w:rsidP="00E81928">
            <w:pPr>
              <w:pStyle w:val="TableText0"/>
            </w:pPr>
            <w:r w:rsidRPr="004678D9">
              <w:t>Prospective randomized phase III study</w:t>
            </w:r>
          </w:p>
        </w:tc>
        <w:tc>
          <w:tcPr>
            <w:tcW w:w="1001" w:type="pct"/>
            <w:shd w:val="clear" w:color="auto" w:fill="auto"/>
          </w:tcPr>
          <w:p w14:paraId="0C1BAFF8" w14:textId="77777777" w:rsidR="00B15F25" w:rsidRDefault="00B15F25" w:rsidP="00E81928">
            <w:pPr>
              <w:pStyle w:val="TableText0"/>
            </w:pPr>
            <w:r w:rsidRPr="00E816D0">
              <w:t xml:space="preserve">Safety Study of Adding </w:t>
            </w:r>
            <w:proofErr w:type="spellStart"/>
            <w:r w:rsidRPr="00E816D0">
              <w:t>Everolimus</w:t>
            </w:r>
            <w:proofErr w:type="spellEnd"/>
            <w:r w:rsidRPr="00E816D0">
              <w:t xml:space="preserve"> to Adjuvant Hormone Therapy in Women </w:t>
            </w:r>
            <w:proofErr w:type="gramStart"/>
            <w:r w:rsidRPr="00E816D0">
              <w:t>With</w:t>
            </w:r>
            <w:proofErr w:type="gramEnd"/>
            <w:r w:rsidRPr="00E816D0">
              <w:t xml:space="preserve"> High Risk of Relapse, ER+ and HER2- Primary Breast Cancer, Free of Disease After Receiving at Least One Year of Adjuvant Hormone Therapy</w:t>
            </w:r>
            <w:r>
              <w:t xml:space="preserve"> (UNIRAD)</w:t>
            </w:r>
          </w:p>
          <w:p w14:paraId="1D3A840E" w14:textId="77777777" w:rsidR="00B15F25" w:rsidRDefault="00B15F25" w:rsidP="00E81928">
            <w:pPr>
              <w:pStyle w:val="TableText0"/>
            </w:pPr>
            <w:r w:rsidRPr="00EB76C7">
              <w:t>NCT01805271</w:t>
            </w:r>
          </w:p>
          <w:p w14:paraId="68E8C116" w14:textId="77777777" w:rsidR="00B15F25" w:rsidRPr="003C45D7" w:rsidRDefault="00B15F25" w:rsidP="00E81928">
            <w:pPr>
              <w:pStyle w:val="TableText0"/>
              <w:rPr>
                <w:highlight w:val="yellow"/>
              </w:rPr>
            </w:pPr>
            <w:r w:rsidRPr="004678D9">
              <w:t xml:space="preserve">PI: </w:t>
            </w:r>
            <w:r w:rsidRPr="00E5451F">
              <w:t xml:space="preserve">Thomas Bachelot, </w:t>
            </w:r>
            <w:r>
              <w:t>C</w:t>
            </w:r>
            <w:r w:rsidRPr="00E5451F">
              <w:t>entre Leon Berard, Lyon, France</w:t>
            </w:r>
            <w:r>
              <w:t xml:space="preserve">; </w:t>
            </w:r>
            <w:r w:rsidRPr="008E09BA">
              <w:t xml:space="preserve">Fabrice Andre, Gustave </w:t>
            </w:r>
            <w:proofErr w:type="spellStart"/>
            <w:r w:rsidRPr="008E09BA">
              <w:t>Roussy</w:t>
            </w:r>
            <w:proofErr w:type="spellEnd"/>
            <w:r w:rsidRPr="008E09BA">
              <w:t>, Villejuif, France</w:t>
            </w:r>
          </w:p>
        </w:tc>
        <w:tc>
          <w:tcPr>
            <w:tcW w:w="1300" w:type="pct"/>
            <w:shd w:val="clear" w:color="auto" w:fill="auto"/>
          </w:tcPr>
          <w:p w14:paraId="44444514" w14:textId="77777777" w:rsidR="00B15F25" w:rsidRDefault="00B15F25" w:rsidP="00E81928">
            <w:pPr>
              <w:pStyle w:val="TableText0"/>
            </w:pPr>
            <w:r>
              <w:t xml:space="preserve">Prospective assessment of disease-free and metastasis-free survival according to EndoPredict risk class and the ability to predict benefit from </w:t>
            </w:r>
            <w:proofErr w:type="spellStart"/>
            <w:r>
              <w:t>everolimus</w:t>
            </w:r>
            <w:proofErr w:type="spellEnd"/>
          </w:p>
          <w:p w14:paraId="0A1AF32D" w14:textId="77777777" w:rsidR="00B15F25" w:rsidRPr="003C45D7" w:rsidRDefault="00B15F25" w:rsidP="00E81928">
            <w:pPr>
              <w:pStyle w:val="TableText0"/>
              <w:rPr>
                <w:highlight w:val="yellow"/>
              </w:rPr>
            </w:pPr>
            <w:r w:rsidRPr="006A01CF">
              <w:t>ER+/HER2-, early-stage BC</w:t>
            </w:r>
            <w:r>
              <w:t xml:space="preserve">, </w:t>
            </w:r>
            <w:r w:rsidRPr="006A01CF">
              <w:t>N1, Any T</w:t>
            </w:r>
            <w:r>
              <w:t xml:space="preserve"> (N=767)</w:t>
            </w:r>
          </w:p>
        </w:tc>
        <w:tc>
          <w:tcPr>
            <w:tcW w:w="1075" w:type="pct"/>
            <w:shd w:val="clear" w:color="auto" w:fill="auto"/>
          </w:tcPr>
          <w:p w14:paraId="46EFAFD5" w14:textId="77777777" w:rsidR="00B15F25" w:rsidRPr="003C45D7" w:rsidRDefault="00B15F25" w:rsidP="00E81928">
            <w:pPr>
              <w:pStyle w:val="TableText0"/>
              <w:rPr>
                <w:highlight w:val="yellow"/>
              </w:rPr>
            </w:pPr>
          </w:p>
        </w:tc>
        <w:tc>
          <w:tcPr>
            <w:tcW w:w="475" w:type="pct"/>
            <w:shd w:val="clear" w:color="auto" w:fill="auto"/>
          </w:tcPr>
          <w:p w14:paraId="743957D7" w14:textId="6A15535A" w:rsidR="00B15F25" w:rsidRPr="003C45D7" w:rsidRDefault="00B15F25" w:rsidP="00E81928">
            <w:pPr>
              <w:pStyle w:val="TableText0"/>
              <w:rPr>
                <w:highlight w:val="yellow"/>
              </w:rPr>
            </w:pPr>
            <w:r w:rsidRPr="004678D9">
              <w:t>First results with 5 years follow-up presented at SABCS Dec 2021</w:t>
            </w:r>
            <w:r w:rsidRPr="004678D9">
              <w:br/>
            </w:r>
            <w:r w:rsidRPr="004678D9">
              <w:br/>
              <w:t>Publication expected 2022</w:t>
            </w:r>
          </w:p>
        </w:tc>
      </w:tr>
      <w:tr w:rsidR="00B15F25" w:rsidRPr="003C45D7" w14:paraId="3484AA72" w14:textId="77777777" w:rsidTr="009701F3">
        <w:trPr>
          <w:cantSplit/>
        </w:trPr>
        <w:tc>
          <w:tcPr>
            <w:tcW w:w="149" w:type="pct"/>
            <w:shd w:val="clear" w:color="auto" w:fill="auto"/>
          </w:tcPr>
          <w:p w14:paraId="2F641777" w14:textId="77777777" w:rsidR="00B15F25" w:rsidRPr="004678D9" w:rsidRDefault="00B15F25" w:rsidP="00E81928">
            <w:pPr>
              <w:pStyle w:val="TableText0"/>
            </w:pPr>
            <w:r w:rsidRPr="004678D9">
              <w:t>4</w:t>
            </w:r>
          </w:p>
        </w:tc>
        <w:tc>
          <w:tcPr>
            <w:tcW w:w="1000" w:type="pct"/>
            <w:shd w:val="clear" w:color="auto" w:fill="auto"/>
          </w:tcPr>
          <w:p w14:paraId="2DE5038D" w14:textId="77777777" w:rsidR="00B15F25" w:rsidRPr="004678D9" w:rsidRDefault="00B15F25" w:rsidP="00E81928">
            <w:pPr>
              <w:pStyle w:val="TableText0"/>
            </w:pPr>
            <w:r w:rsidRPr="004678D9">
              <w:t>Retrospective cohort study</w:t>
            </w:r>
          </w:p>
        </w:tc>
        <w:tc>
          <w:tcPr>
            <w:tcW w:w="1001" w:type="pct"/>
            <w:shd w:val="clear" w:color="auto" w:fill="auto"/>
          </w:tcPr>
          <w:p w14:paraId="45C61176" w14:textId="77777777" w:rsidR="00B15F25" w:rsidRDefault="00B15F25" w:rsidP="00E81928">
            <w:pPr>
              <w:pStyle w:val="TableText0"/>
            </w:pPr>
            <w:r>
              <w:t>C</w:t>
            </w:r>
            <w:r w:rsidRPr="0023110D">
              <w:t xml:space="preserve">linical validation of </w:t>
            </w:r>
            <w:r>
              <w:t xml:space="preserve">EndoPredict® </w:t>
            </w:r>
            <w:r w:rsidRPr="0023110D">
              <w:t xml:space="preserve">in pre-menopausal patients with </w:t>
            </w:r>
            <w:r>
              <w:t>estrogen receptor-positive (ER</w:t>
            </w:r>
            <w:r w:rsidRPr="0023110D">
              <w:t>+</w:t>
            </w:r>
            <w:r>
              <w:t>)</w:t>
            </w:r>
            <w:r w:rsidRPr="0023110D">
              <w:t xml:space="preserve">, </w:t>
            </w:r>
            <w:r>
              <w:t>human epidermal growth factor receptor 2-negative (</w:t>
            </w:r>
            <w:r w:rsidRPr="0023110D">
              <w:t>HER2-</w:t>
            </w:r>
            <w:r>
              <w:t>)</w:t>
            </w:r>
            <w:r w:rsidRPr="0023110D">
              <w:t xml:space="preserve"> primary breast cancer </w:t>
            </w:r>
            <w:r>
              <w:t>who received endocrine therapy only.</w:t>
            </w:r>
          </w:p>
          <w:p w14:paraId="5A98C285" w14:textId="77777777" w:rsidR="00B15F25" w:rsidRPr="003C45D7" w:rsidRDefault="00B15F25" w:rsidP="00E81928">
            <w:pPr>
              <w:pStyle w:val="TableText0"/>
              <w:rPr>
                <w:highlight w:val="yellow"/>
              </w:rPr>
            </w:pPr>
            <w:r>
              <w:t xml:space="preserve">PI: Anastasia </w:t>
            </w:r>
            <w:proofErr w:type="spellStart"/>
            <w:r>
              <w:t>Constantinidou</w:t>
            </w:r>
            <w:proofErr w:type="spellEnd"/>
            <w:r>
              <w:t xml:space="preserve">, Bank of Cyprus Oncology Centre, Nicosia, </w:t>
            </w:r>
            <w:proofErr w:type="spellStart"/>
            <w:r>
              <w:t>Cypru</w:t>
            </w:r>
            <w:proofErr w:type="spellEnd"/>
          </w:p>
        </w:tc>
        <w:tc>
          <w:tcPr>
            <w:tcW w:w="1300" w:type="pct"/>
            <w:shd w:val="clear" w:color="auto" w:fill="auto"/>
          </w:tcPr>
          <w:p w14:paraId="316B3C50" w14:textId="77777777" w:rsidR="00B15F25" w:rsidRPr="00B55321" w:rsidRDefault="00B15F25" w:rsidP="00E81928">
            <w:pPr>
              <w:pStyle w:val="TableText0"/>
            </w:pPr>
            <w:r>
              <w:t xml:space="preserve">This clinical validation study showed that EPclin score is highly associated with DRFS in pre-menopausal women who received adjuvant endocrine therapy alone. Patients with a low risk EPclin classification had such a low risk of recurrence that they may safely forgo adjuvant chemotherapy. </w:t>
            </w:r>
            <w:r w:rsidRPr="007C6F32">
              <w:rPr>
                <w:lang w:val="en-US"/>
              </w:rPr>
              <w:t>ER+/HER2- N0-N1, T1-T3</w:t>
            </w:r>
            <w:r w:rsidRPr="00556AD3">
              <w:rPr>
                <w:lang w:val="en-US"/>
              </w:rPr>
              <w:t xml:space="preserve"> (N=</w:t>
            </w:r>
            <w:r>
              <w:rPr>
                <w:lang w:val="pt-BR"/>
              </w:rPr>
              <w:t>385</w:t>
            </w:r>
            <w:r w:rsidRPr="00556AD3">
              <w:rPr>
                <w:lang w:val="pt-BR"/>
              </w:rPr>
              <w:t>)</w:t>
            </w:r>
            <w:r w:rsidRPr="00556AD3">
              <w:rPr>
                <w:lang w:val="en-US"/>
              </w:rPr>
              <w:t>.</w:t>
            </w:r>
          </w:p>
          <w:p w14:paraId="79F5944A" w14:textId="77777777" w:rsidR="00B15F25" w:rsidRPr="003C45D7" w:rsidRDefault="00B15F25" w:rsidP="00E81928">
            <w:pPr>
              <w:pStyle w:val="TableText0"/>
              <w:rPr>
                <w:highlight w:val="yellow"/>
              </w:rPr>
            </w:pPr>
          </w:p>
        </w:tc>
        <w:tc>
          <w:tcPr>
            <w:tcW w:w="1075" w:type="pct"/>
            <w:shd w:val="clear" w:color="auto" w:fill="auto"/>
          </w:tcPr>
          <w:p w14:paraId="58A9D651" w14:textId="431A391C" w:rsidR="00B15F25" w:rsidRPr="009701F3" w:rsidRDefault="009701F3" w:rsidP="009701F3">
            <w:pPr>
              <w:pStyle w:val="Weblink"/>
              <w:rPr>
                <w:rStyle w:val="Hyperlink"/>
                <w:color w:val="0070C0"/>
              </w:rPr>
            </w:pPr>
            <w:hyperlink r:id="rId17" w:history="1">
              <w:r w:rsidRPr="009701F3">
                <w:rPr>
                  <w:rStyle w:val="Hyperlink"/>
                  <w:color w:val="0070C0"/>
                </w:rPr>
                <w:t>https://ascopubs.org/doi/abs/10.1200/JCO.2021.39.15_suppl.537</w:t>
              </w:r>
            </w:hyperlink>
          </w:p>
          <w:p w14:paraId="5D46C2CF" w14:textId="5A03A3A5" w:rsidR="009701F3" w:rsidRPr="003C45D7" w:rsidRDefault="009701F3" w:rsidP="00E81928">
            <w:pPr>
              <w:pStyle w:val="TableText0"/>
              <w:rPr>
                <w:highlight w:val="yellow"/>
              </w:rPr>
            </w:pPr>
          </w:p>
        </w:tc>
        <w:tc>
          <w:tcPr>
            <w:tcW w:w="475" w:type="pct"/>
            <w:shd w:val="clear" w:color="auto" w:fill="auto"/>
          </w:tcPr>
          <w:p w14:paraId="7EAC56A3" w14:textId="77777777" w:rsidR="00B15F25" w:rsidRPr="003C45D7" w:rsidRDefault="00B15F25" w:rsidP="00E81928">
            <w:pPr>
              <w:pStyle w:val="TableText0"/>
              <w:rPr>
                <w:highlight w:val="yellow"/>
              </w:rPr>
            </w:pPr>
            <w:r w:rsidRPr="004678D9">
              <w:t>Presented at ASCO 2021</w:t>
            </w:r>
            <w:r>
              <w:t>;</w:t>
            </w:r>
            <w:r w:rsidRPr="004678D9">
              <w:t xml:space="preserve"> </w:t>
            </w:r>
            <w:r>
              <w:t>publication expected</w:t>
            </w:r>
            <w:r w:rsidRPr="004678D9">
              <w:t xml:space="preserve"> in 2022</w:t>
            </w:r>
          </w:p>
        </w:tc>
      </w:tr>
      <w:tr w:rsidR="00B15F25" w:rsidRPr="003C45D7" w14:paraId="34CFB256" w14:textId="77777777" w:rsidTr="009701F3">
        <w:trPr>
          <w:cantSplit/>
        </w:trPr>
        <w:tc>
          <w:tcPr>
            <w:tcW w:w="149" w:type="pct"/>
            <w:shd w:val="clear" w:color="auto" w:fill="auto"/>
          </w:tcPr>
          <w:p w14:paraId="608B9B5F" w14:textId="77777777" w:rsidR="00B15F25" w:rsidRPr="004678D9" w:rsidRDefault="00B15F25" w:rsidP="00E81928">
            <w:pPr>
              <w:pStyle w:val="TableText0"/>
            </w:pPr>
            <w:r w:rsidRPr="004678D9">
              <w:t>5</w:t>
            </w:r>
          </w:p>
        </w:tc>
        <w:tc>
          <w:tcPr>
            <w:tcW w:w="1000" w:type="pct"/>
            <w:shd w:val="clear" w:color="auto" w:fill="auto"/>
          </w:tcPr>
          <w:p w14:paraId="66D4820C" w14:textId="77777777" w:rsidR="00B15F25" w:rsidRPr="004678D9" w:rsidRDefault="00B15F25" w:rsidP="00E81928">
            <w:pPr>
              <w:pStyle w:val="TableText0"/>
            </w:pPr>
            <w:r w:rsidRPr="004678D9">
              <w:t>Prospective-retrospective real</w:t>
            </w:r>
            <w:r>
              <w:t>-life</w:t>
            </w:r>
            <w:r w:rsidRPr="004678D9">
              <w:t xml:space="preserve"> registry</w:t>
            </w:r>
          </w:p>
        </w:tc>
        <w:tc>
          <w:tcPr>
            <w:tcW w:w="1001" w:type="pct"/>
            <w:shd w:val="clear" w:color="auto" w:fill="auto"/>
          </w:tcPr>
          <w:p w14:paraId="018DEDD7" w14:textId="77777777" w:rsidR="00B15F25" w:rsidRPr="002E54F3" w:rsidRDefault="00B15F25" w:rsidP="00E81928">
            <w:pPr>
              <w:pStyle w:val="TableText0"/>
            </w:pPr>
            <w:r w:rsidRPr="002E54F3">
              <w:t>Retrospective evaluation of prospective EndoPredict Assays for assessment of prognosis in luminal breast cancer – correlation with clinical parameters and outcome (Charité Registry)</w:t>
            </w:r>
          </w:p>
          <w:p w14:paraId="3CE9FEAA" w14:textId="77777777" w:rsidR="00B15F25" w:rsidRPr="004678D9" w:rsidRDefault="00B15F25" w:rsidP="00E81928">
            <w:pPr>
              <w:pStyle w:val="TableText0"/>
            </w:pPr>
            <w:r w:rsidRPr="002E54F3">
              <w:t xml:space="preserve">PI: Carsten </w:t>
            </w:r>
            <w:proofErr w:type="spellStart"/>
            <w:r w:rsidRPr="002E54F3">
              <w:t>Denkert</w:t>
            </w:r>
            <w:proofErr w:type="spellEnd"/>
            <w:r w:rsidRPr="002E54F3">
              <w:t>, University of Marburg, Germany</w:t>
            </w:r>
          </w:p>
        </w:tc>
        <w:tc>
          <w:tcPr>
            <w:tcW w:w="1300" w:type="pct"/>
            <w:shd w:val="clear" w:color="auto" w:fill="auto"/>
          </w:tcPr>
          <w:p w14:paraId="77DB8404" w14:textId="77777777" w:rsidR="00B15F25" w:rsidRPr="004678D9" w:rsidRDefault="00B15F25" w:rsidP="00E81928">
            <w:pPr>
              <w:pStyle w:val="TableText0"/>
            </w:pPr>
            <w:r w:rsidRPr="004678D9">
              <w:t xml:space="preserve">Retrospective assessment of distant recurrence-free survival of patients prospectively tested with EndoPredict in a real-world setting in a German lab from 2011-2016; HR+, HER2-, N0/N+ (N=1726) </w:t>
            </w:r>
          </w:p>
        </w:tc>
        <w:tc>
          <w:tcPr>
            <w:tcW w:w="1075" w:type="pct"/>
            <w:shd w:val="clear" w:color="auto" w:fill="auto"/>
          </w:tcPr>
          <w:p w14:paraId="3B6484F7" w14:textId="77777777" w:rsidR="00B15F25" w:rsidRPr="004678D9" w:rsidRDefault="00B15F25" w:rsidP="00E81928">
            <w:pPr>
              <w:pStyle w:val="TableText0"/>
            </w:pPr>
          </w:p>
        </w:tc>
        <w:tc>
          <w:tcPr>
            <w:tcW w:w="475" w:type="pct"/>
            <w:shd w:val="clear" w:color="auto" w:fill="auto"/>
          </w:tcPr>
          <w:p w14:paraId="1A4DC6C8" w14:textId="77777777" w:rsidR="00B15F25" w:rsidRPr="004678D9" w:rsidRDefault="00B15F25" w:rsidP="00E81928">
            <w:pPr>
              <w:pStyle w:val="TableText0"/>
            </w:pPr>
            <w:r w:rsidRPr="004678D9">
              <w:t>Expected publication end 2022</w:t>
            </w:r>
          </w:p>
        </w:tc>
      </w:tr>
      <w:tr w:rsidR="00B15F25" w:rsidRPr="003C45D7" w14:paraId="3FAF5495" w14:textId="77777777" w:rsidTr="009701F3">
        <w:trPr>
          <w:cantSplit/>
        </w:trPr>
        <w:tc>
          <w:tcPr>
            <w:tcW w:w="149" w:type="pct"/>
          </w:tcPr>
          <w:p w14:paraId="1EF95241" w14:textId="77777777" w:rsidR="00B15F25" w:rsidRPr="004678D9" w:rsidRDefault="00B15F25" w:rsidP="00E81928">
            <w:pPr>
              <w:pStyle w:val="TableText0"/>
            </w:pPr>
            <w:r w:rsidRPr="004678D9">
              <w:t>6</w:t>
            </w:r>
          </w:p>
        </w:tc>
        <w:tc>
          <w:tcPr>
            <w:tcW w:w="1000" w:type="pct"/>
          </w:tcPr>
          <w:p w14:paraId="5DD54640" w14:textId="77777777" w:rsidR="00B15F25" w:rsidRPr="004678D9" w:rsidRDefault="00B15F25" w:rsidP="00E81928">
            <w:pPr>
              <w:pStyle w:val="TableText0"/>
            </w:pPr>
            <w:r w:rsidRPr="002A51A4">
              <w:t>Prospective real-life registry</w:t>
            </w:r>
          </w:p>
        </w:tc>
        <w:tc>
          <w:tcPr>
            <w:tcW w:w="1001" w:type="pct"/>
          </w:tcPr>
          <w:p w14:paraId="59F4FFC2" w14:textId="77777777" w:rsidR="00B15F25" w:rsidRPr="004678D9" w:rsidRDefault="00B15F25" w:rsidP="00E81928">
            <w:pPr>
              <w:pStyle w:val="TableText0"/>
            </w:pPr>
            <w:proofErr w:type="spellStart"/>
            <w:r w:rsidRPr="004678D9">
              <w:t>SiMoSein</w:t>
            </w:r>
            <w:proofErr w:type="spellEnd"/>
            <w:r w:rsidRPr="004678D9">
              <w:t>, a real -life prospective evaluation of EndoPredict use in early ER positive, HER2-ve breast Cancers</w:t>
            </w:r>
          </w:p>
          <w:p w14:paraId="27048EA5" w14:textId="77777777" w:rsidR="00B15F25" w:rsidRPr="004678D9" w:rsidRDefault="00B15F25" w:rsidP="00E81928">
            <w:pPr>
              <w:pStyle w:val="TableText0"/>
              <w:rPr>
                <w:lang w:val="it-IT"/>
              </w:rPr>
            </w:pPr>
            <w:r w:rsidRPr="004678D9">
              <w:rPr>
                <w:lang w:val="it-IT"/>
              </w:rPr>
              <w:t xml:space="preserve">PI: Jaqueline Lehmann-Che, St. Louis Hospital, Paris, France; Frederique Penault-Llorca, </w:t>
            </w:r>
            <w:r w:rsidRPr="002A51A4">
              <w:rPr>
                <w:lang w:val="it-IT"/>
              </w:rPr>
              <w:t>Jean Perrin Center, Clermont-Ferrand, France</w:t>
            </w:r>
          </w:p>
        </w:tc>
        <w:tc>
          <w:tcPr>
            <w:tcW w:w="1300" w:type="pct"/>
          </w:tcPr>
          <w:p w14:paraId="74E10942" w14:textId="77777777" w:rsidR="00B15F25" w:rsidRPr="003C45D7" w:rsidRDefault="00B15F25" w:rsidP="00E81928">
            <w:pPr>
              <w:pStyle w:val="TableText0"/>
              <w:rPr>
                <w:highlight w:val="yellow"/>
              </w:rPr>
            </w:pPr>
            <w:r>
              <w:t xml:space="preserve">This </w:t>
            </w:r>
            <w:r w:rsidRPr="00601C06">
              <w:t xml:space="preserve">French National Registry, </w:t>
            </w:r>
            <w:proofErr w:type="spellStart"/>
            <w:r w:rsidRPr="00601C06">
              <w:t>SiMoSein</w:t>
            </w:r>
            <w:proofErr w:type="spellEnd"/>
            <w:r>
              <w:t>,</w:t>
            </w:r>
            <w:r w:rsidRPr="00601C06">
              <w:t xml:space="preserve"> </w:t>
            </w:r>
            <w:r>
              <w:t xml:space="preserve">includes </w:t>
            </w:r>
            <w:r w:rsidRPr="00601C06">
              <w:t>4,766 patients from 14 laboratories</w:t>
            </w:r>
            <w:r>
              <w:t xml:space="preserve"> tested in a real-life setting with EndoPredict from 2016-2019. Patients are monitored and survival by EndoPredict risk class will be evaluated; </w:t>
            </w:r>
            <w:r w:rsidRPr="00601C06">
              <w:t>HR</w:t>
            </w:r>
            <w:r w:rsidRPr="00556AD3">
              <w:t>+, HER2-, N0/N+ (N=</w:t>
            </w:r>
            <w:r>
              <w:t>4766</w:t>
            </w:r>
            <w:r w:rsidRPr="00556AD3">
              <w:t>)</w:t>
            </w:r>
            <w:r w:rsidRPr="00601C06">
              <w:t xml:space="preserve">. </w:t>
            </w:r>
          </w:p>
        </w:tc>
        <w:tc>
          <w:tcPr>
            <w:tcW w:w="1075" w:type="pct"/>
          </w:tcPr>
          <w:p w14:paraId="782D2774" w14:textId="77777777" w:rsidR="00B15F25" w:rsidRPr="003C45D7" w:rsidRDefault="00B15F25" w:rsidP="00E81928">
            <w:pPr>
              <w:pStyle w:val="TableText0"/>
              <w:rPr>
                <w:highlight w:val="yellow"/>
              </w:rPr>
            </w:pPr>
          </w:p>
        </w:tc>
        <w:tc>
          <w:tcPr>
            <w:tcW w:w="475" w:type="pct"/>
          </w:tcPr>
          <w:p w14:paraId="774F7E5B" w14:textId="77777777" w:rsidR="00B15F25" w:rsidRPr="003C45D7" w:rsidRDefault="00B15F25" w:rsidP="00E81928">
            <w:pPr>
              <w:pStyle w:val="TableText0"/>
              <w:rPr>
                <w:highlight w:val="yellow"/>
              </w:rPr>
            </w:pPr>
            <w:r w:rsidRPr="00556AD3">
              <w:t>First results with 5 years follow-up expected 202</w:t>
            </w:r>
            <w:r>
              <w:t>2</w:t>
            </w:r>
          </w:p>
        </w:tc>
      </w:tr>
    </w:tbl>
    <w:p w14:paraId="294C6DBF" w14:textId="72CDE5F9" w:rsidR="00B15F25" w:rsidRDefault="00B15F25" w:rsidP="00B15F25">
      <w:pPr>
        <w:ind w:left="0"/>
        <w:sectPr w:rsidR="00B15F25" w:rsidSect="00DD308E">
          <w:pgSz w:w="16838" w:h="11906" w:orient="landscape"/>
          <w:pgMar w:top="1440" w:right="1440" w:bottom="1440" w:left="1440" w:header="708" w:footer="708" w:gutter="0"/>
          <w:cols w:space="708"/>
          <w:docGrid w:linePitch="360"/>
        </w:sectPr>
      </w:pPr>
    </w:p>
    <w:bookmarkEnd w:id="4"/>
    <w:p w14:paraId="4C22E018" w14:textId="77777777" w:rsidR="00E82F54" w:rsidRPr="00C776B1" w:rsidRDefault="005C3AE7" w:rsidP="0056015F">
      <w:pPr>
        <w:pStyle w:val="Heading1"/>
      </w:pPr>
      <w:r>
        <w:t>PART 5</w:t>
      </w:r>
      <w:r w:rsidR="00F93784">
        <w:t xml:space="preserve"> – </w:t>
      </w:r>
      <w:r w:rsidR="00E82F54" w:rsidRPr="00C776B1">
        <w:t>CLINICAL ENDORSEMENT AND CONSUMER INFORMATION</w:t>
      </w:r>
    </w:p>
    <w:p w14:paraId="70FBD5B4" w14:textId="77777777" w:rsidR="00E82F54" w:rsidRDefault="00E82F54" w:rsidP="004B0D85">
      <w:pPr>
        <w:pStyle w:val="Heading2"/>
      </w:pPr>
      <w:bookmarkStart w:id="5" w:name="_Hlk86333532"/>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bookmarkEnd w:id="5"/>
    <w:p w14:paraId="08424431" w14:textId="3AE9A120" w:rsidR="00A727B6" w:rsidRPr="004B0D85" w:rsidRDefault="00E327B3" w:rsidP="004B0D85">
      <w:r w:rsidRPr="004B0D85">
        <w:t>RCPA: The Royal College of Pathologists of Australasia</w:t>
      </w:r>
    </w:p>
    <w:p w14:paraId="26A6286B" w14:textId="4EF1904F" w:rsidR="001F26AA" w:rsidRPr="004B0D85" w:rsidRDefault="00E327B3" w:rsidP="004B0D85">
      <w:r w:rsidRPr="004B0D85">
        <w:t>MOGA: The Medical Oncology Group of Australia</w:t>
      </w:r>
    </w:p>
    <w:p w14:paraId="243A14EC" w14:textId="1D35A0E4" w:rsidR="00AA0CB0" w:rsidRPr="004B0D85" w:rsidRDefault="00AA0CB0" w:rsidP="004B0D85">
      <w:r w:rsidRPr="004B0D85">
        <w:t>Breast Surgeons of Australia and New Zealand</w:t>
      </w:r>
    </w:p>
    <w:p w14:paraId="77A88397" w14:textId="64D3B628" w:rsidR="00AA0CB0" w:rsidRPr="004B0D85" w:rsidRDefault="00AA0CB0" w:rsidP="004B0D85">
      <w:r w:rsidRPr="004B0D85">
        <w:t>ASBD: Australian Society for Breast Disease</w:t>
      </w:r>
    </w:p>
    <w:p w14:paraId="30F69416" w14:textId="346BCD0D" w:rsidR="00E327B3" w:rsidRPr="004B0D85" w:rsidRDefault="00632E42" w:rsidP="004B0D85">
      <w:r w:rsidRPr="004B0D85">
        <w:t xml:space="preserve">A ‘Statement of Clinical Relevance’ is not required </w:t>
      </w:r>
      <w:r w:rsidR="004E7E3F" w:rsidRPr="004B0D85">
        <w:t>taking into consideration</w:t>
      </w:r>
      <w:r w:rsidR="00E327B3" w:rsidRPr="004B0D85">
        <w:t xml:space="preserve"> RCPA </w:t>
      </w:r>
      <w:r w:rsidR="003F5F39" w:rsidRPr="004B0D85">
        <w:t>hosted</w:t>
      </w:r>
      <w:r w:rsidR="00E327B3" w:rsidRPr="004B0D85">
        <w:t xml:space="preserve"> the </w:t>
      </w:r>
      <w:r w:rsidR="003F5F39" w:rsidRPr="004B0D85">
        <w:t xml:space="preserve">Stakeholder Meeting on 21stJune to ‘break the stalemate’ </w:t>
      </w:r>
    </w:p>
    <w:p w14:paraId="713ED18E" w14:textId="77777777" w:rsidR="00EA173C" w:rsidRPr="00154B00" w:rsidRDefault="00EA173C" w:rsidP="004B0D85">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11FA38EA" w14:textId="5F1A834E" w:rsidR="00EA173C" w:rsidRDefault="003F5F39" w:rsidP="004B0D85">
      <w:r>
        <w:t>No medical services are impacted by this service</w:t>
      </w:r>
    </w:p>
    <w:p w14:paraId="47661417" w14:textId="77777777" w:rsidR="00E82F54" w:rsidRPr="00154B00" w:rsidRDefault="00E82F54" w:rsidP="004B0D85">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321DA134" w14:textId="06E14910" w:rsidR="00E82F54" w:rsidRDefault="003F5F39" w:rsidP="004B0D85">
      <w:r>
        <w:t>BCNA:</w:t>
      </w:r>
      <w:r w:rsidRPr="003F5F39">
        <w:rPr>
          <w:rFonts w:ascii="Arial" w:hAnsi="Arial" w:cs="Arial"/>
          <w:b/>
          <w:bCs/>
          <w:i/>
          <w:iCs/>
          <w:color w:val="5F6368"/>
          <w:sz w:val="21"/>
          <w:szCs w:val="21"/>
          <w:shd w:val="clear" w:color="auto" w:fill="FFFFFF"/>
        </w:rPr>
        <w:t xml:space="preserve"> </w:t>
      </w:r>
      <w:r w:rsidRPr="003F5F39">
        <w:t>Breast Cancer Network Australia</w:t>
      </w:r>
    </w:p>
    <w:p w14:paraId="7E89E992" w14:textId="159461E7" w:rsidR="003F5F39" w:rsidRDefault="003F5F39" w:rsidP="00B15F25">
      <w:r>
        <w:t>Cancer Australia</w:t>
      </w:r>
    </w:p>
    <w:p w14:paraId="35BE227B" w14:textId="77777777" w:rsidR="003433D1" w:rsidRDefault="003433D1" w:rsidP="004B0D85">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309DA405" w14:textId="69FA3EC4" w:rsidR="003F0D5C" w:rsidRDefault="003F0D5C" w:rsidP="009701F3">
      <w:r>
        <w:t>Exact Sciences</w:t>
      </w:r>
    </w:p>
    <w:p w14:paraId="0445980F" w14:textId="77777777" w:rsidR="009701F3" w:rsidRDefault="003F0D5C" w:rsidP="009701F3">
      <w:proofErr w:type="spellStart"/>
      <w:r>
        <w:t>Agend</w:t>
      </w:r>
      <w:r w:rsidR="0DAF0B1A">
        <w:t>i</w:t>
      </w:r>
      <w:r>
        <w:t>a</w:t>
      </w:r>
      <w:proofErr w:type="spellEnd"/>
    </w:p>
    <w:p w14:paraId="5BCC0D0A" w14:textId="2C1B670F" w:rsidR="003F0D5C" w:rsidRDefault="009701F3" w:rsidP="009701F3">
      <w:proofErr w:type="spellStart"/>
      <w:r>
        <w:t>V</w:t>
      </w:r>
      <w:r w:rsidR="003F0D5C">
        <w:t>eracyte</w:t>
      </w:r>
      <w:proofErr w:type="spellEnd"/>
    </w:p>
    <w:p w14:paraId="1F5A1E48" w14:textId="4872D4A9" w:rsidR="00A96329" w:rsidRPr="00A96329" w:rsidRDefault="00BA72E3" w:rsidP="004B0D85">
      <w:pPr>
        <w:pStyle w:val="Heading2"/>
      </w:pPr>
      <w:r w:rsidRPr="00BA72E3">
        <w:t>Nominate two experts that can be contacted about the proposed medical service, and current clinical management of the condition</w:t>
      </w:r>
      <w:r>
        <w:t>:</w:t>
      </w:r>
    </w:p>
    <w:p w14:paraId="5F487F0E" w14:textId="7E62D15A" w:rsidR="00987ABE" w:rsidRPr="003F0D5C" w:rsidRDefault="00987ABE" w:rsidP="004B0D85">
      <w:r w:rsidRPr="005134C3">
        <w:t xml:space="preserve">Name of expert 1: </w:t>
      </w:r>
      <w:r w:rsidR="00DF5FC2" w:rsidRPr="00DF5FC2">
        <w:rPr>
          <w:b/>
          <w:bCs/>
          <w:sz w:val="22"/>
        </w:rPr>
        <w:t>REDACTED</w:t>
      </w:r>
    </w:p>
    <w:p w14:paraId="7B3F2030" w14:textId="781BEE73" w:rsidR="00987ABE" w:rsidRPr="003F0D5C" w:rsidRDefault="00987ABE" w:rsidP="004B0D85">
      <w:r w:rsidRPr="005134C3">
        <w:t xml:space="preserve">Telephone number(s): </w:t>
      </w:r>
      <w:r w:rsidR="00DF5FC2" w:rsidRPr="00DF5FC2">
        <w:rPr>
          <w:b/>
          <w:bCs/>
          <w:sz w:val="22"/>
        </w:rPr>
        <w:t>REDACTED</w:t>
      </w:r>
    </w:p>
    <w:p w14:paraId="0A00AE6A" w14:textId="77777777" w:rsidR="00DF5FC2" w:rsidRDefault="00987ABE" w:rsidP="004B0D85">
      <w:r>
        <w:t xml:space="preserve">Email address: </w:t>
      </w:r>
      <w:r w:rsidR="00DF5FC2" w:rsidRPr="00DF5FC2">
        <w:rPr>
          <w:b/>
          <w:bCs/>
          <w:sz w:val="22"/>
        </w:rPr>
        <w:t>REDACTED</w:t>
      </w:r>
      <w:r w:rsidR="00DF5FC2">
        <w:t xml:space="preserve"> </w:t>
      </w:r>
    </w:p>
    <w:p w14:paraId="2E0E680E" w14:textId="60F065DD" w:rsidR="00987ABE" w:rsidRPr="003F0D5C" w:rsidRDefault="00987ABE" w:rsidP="004B0D85">
      <w:r>
        <w:t xml:space="preserve">Justification of expertise: </w:t>
      </w:r>
      <w:r w:rsidR="00DF5FC2" w:rsidRPr="00DF5FC2">
        <w:rPr>
          <w:b/>
          <w:bCs/>
          <w:sz w:val="22"/>
        </w:rPr>
        <w:t>REDACTED</w:t>
      </w:r>
    </w:p>
    <w:p w14:paraId="79BA9CE0" w14:textId="77777777" w:rsidR="00987ABE" w:rsidRPr="00987ABE" w:rsidRDefault="00987ABE" w:rsidP="004B0D85"/>
    <w:p w14:paraId="42C64D9D" w14:textId="3407EB62" w:rsidR="008C57A2" w:rsidRDefault="00987ABE" w:rsidP="004B0D85">
      <w:r w:rsidRPr="230BE74A">
        <w:t>Name of expert 2</w:t>
      </w:r>
      <w:r w:rsidR="008C57A2">
        <w:t xml:space="preserve">: </w:t>
      </w:r>
      <w:r w:rsidR="00DF5FC2" w:rsidRPr="00DF5FC2">
        <w:rPr>
          <w:b/>
          <w:bCs/>
          <w:sz w:val="22"/>
        </w:rPr>
        <w:t>REDACTED</w:t>
      </w:r>
    </w:p>
    <w:p w14:paraId="20F96BE1" w14:textId="03DFBD91" w:rsidR="00987ABE" w:rsidRPr="00987ABE" w:rsidRDefault="00987ABE" w:rsidP="004B0D85">
      <w:pPr>
        <w:rPr>
          <w:noProof/>
          <w:highlight w:val="yellow"/>
        </w:rPr>
      </w:pPr>
      <w:r w:rsidRPr="2EF688D0">
        <w:t xml:space="preserve">Telephone number(s): </w:t>
      </w:r>
      <w:r w:rsidR="00DF5FC2" w:rsidRPr="00DF5FC2">
        <w:rPr>
          <w:b/>
          <w:bCs/>
          <w:sz w:val="22"/>
        </w:rPr>
        <w:t>REDACTED</w:t>
      </w:r>
      <w:r w:rsidR="008C57A2">
        <w:t xml:space="preserve"> </w:t>
      </w:r>
    </w:p>
    <w:p w14:paraId="69D27421" w14:textId="77777777" w:rsidR="00DF5FC2" w:rsidRDefault="00987ABE" w:rsidP="004B0D85">
      <w:r w:rsidRPr="230BE74A">
        <w:t xml:space="preserve">Email address: </w:t>
      </w:r>
      <w:r w:rsidR="00DF5FC2" w:rsidRPr="00DF5FC2">
        <w:rPr>
          <w:b/>
          <w:bCs/>
          <w:sz w:val="22"/>
        </w:rPr>
        <w:t>REDACTED</w:t>
      </w:r>
      <w:r w:rsidR="00DF5FC2" w:rsidRPr="2EF688D0">
        <w:t xml:space="preserve"> </w:t>
      </w:r>
    </w:p>
    <w:p w14:paraId="049FBF56" w14:textId="1855964B" w:rsidR="008C57A2" w:rsidRDefault="00987ABE" w:rsidP="004B0D85">
      <w:r w:rsidRPr="2EF688D0">
        <w:t xml:space="preserve">Justification of expertise: </w:t>
      </w:r>
      <w:r w:rsidR="00DF5FC2" w:rsidRPr="00DF5FC2">
        <w:rPr>
          <w:b/>
          <w:bCs/>
          <w:sz w:val="22"/>
        </w:rPr>
        <w:t>REDACTED</w:t>
      </w:r>
    </w:p>
    <w:p w14:paraId="16490A98" w14:textId="66A19820" w:rsidR="003433D1" w:rsidRPr="005134C3" w:rsidRDefault="003433D1" w:rsidP="00DF5FC2">
      <w:pPr>
        <w:ind w:left="0"/>
      </w:pPr>
      <w:r>
        <w:rPr>
          <w:b/>
          <w:sz w:val="32"/>
          <w:szCs w:val="32"/>
        </w:rPr>
        <w:br w:type="page"/>
      </w:r>
    </w:p>
    <w:p w14:paraId="0B2816B4" w14:textId="77777777" w:rsidR="00E82F54" w:rsidRPr="00EA173C" w:rsidRDefault="00F93784" w:rsidP="0056015F">
      <w:pPr>
        <w:pStyle w:val="Heading1"/>
      </w:pPr>
      <w:r>
        <w:t>PAR</w:t>
      </w:r>
      <w:r w:rsidR="005C3AE7">
        <w:t>T 6</w:t>
      </w:r>
      <w:r>
        <w:t xml:space="preserve"> – POPULATION</w:t>
      </w:r>
      <w:r w:rsidR="000525BC">
        <w:t xml:space="preserve"> (AND PRIOR TESTS)</w:t>
      </w:r>
      <w:r>
        <w:t xml:space="preserve">, </w:t>
      </w:r>
      <w:r w:rsidR="00CC5AB1">
        <w:t>INTERVENTION</w:t>
      </w:r>
      <w:r>
        <w:t>, COMPARATOR, OUTCOME (PICO)</w:t>
      </w:r>
    </w:p>
    <w:p w14:paraId="1BFBB4AF" w14:textId="77777777" w:rsidR="0021185D" w:rsidRPr="005C3AE7" w:rsidRDefault="005C3AE7" w:rsidP="006B3A92">
      <w:pPr>
        <w:pStyle w:val="Subtitle"/>
        <w:ind w:left="0"/>
      </w:pPr>
      <w:r w:rsidRPr="005C3AE7">
        <w:t xml:space="preserve">PART 6a – </w:t>
      </w:r>
      <w:r w:rsidR="0021185D" w:rsidRPr="005C3AE7">
        <w:t>INFORMATION ABOUT THE PROPOSED POPULATION</w:t>
      </w:r>
    </w:p>
    <w:p w14:paraId="224F6761" w14:textId="369DA713" w:rsidR="0021185D" w:rsidRDefault="0021185D" w:rsidP="004B0D85">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w:t>
      </w:r>
      <w:r w:rsidR="009701F3">
        <w:t>-</w:t>
      </w:r>
      <w:r w:rsidR="0018630F" w:rsidRPr="00A96329">
        <w:t>level</w:t>
      </w:r>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3A96CDDE" w14:textId="77777777" w:rsidR="005134C3" w:rsidRDefault="00A81D77" w:rsidP="004B0D85">
      <w:r w:rsidRPr="00A81D77">
        <w:t xml:space="preserve">Breast Cancer is the most common cancer in females where therapy is based on subtypes. The most predominant subtype (65%) is ER+/HER-, which falls in the intermediate risk group where treatment is not well defined. While many patients require chemotherapy, </w:t>
      </w:r>
      <w:proofErr w:type="gramStart"/>
      <w:r w:rsidRPr="00A81D77">
        <w:t>the majority of</w:t>
      </w:r>
      <w:proofErr w:type="gramEnd"/>
      <w:r w:rsidRPr="00A81D77">
        <w:t xml:space="preserve"> these patients could be sufficiently treated with anti-hormonal therapy alone, which has fewer side effects.</w:t>
      </w:r>
    </w:p>
    <w:p w14:paraId="18678884" w14:textId="427FC434" w:rsidR="00A81D77" w:rsidRPr="00A81D77" w:rsidRDefault="00A81D77" w:rsidP="004B0D85">
      <w:r w:rsidRPr="00A81D77">
        <w:t>EndoPredict® reliably determines early and late risk of re</w:t>
      </w:r>
      <w:r w:rsidR="001D7B6D">
        <w:t>currence</w:t>
      </w:r>
      <w:r w:rsidRPr="00A81D77">
        <w:t xml:space="preserve"> in these patient subtypes. By understanding a patient’s prognosis, this valuable information can be used to select appropriate therapy without jeopardizing the overall treatment success. Many patients can be spared unnecessary toxic chemotherapy and at times the associated debilitating side effects. EndoPredict® is a useful tool to help patients and clinicians guiding </w:t>
      </w:r>
    </w:p>
    <w:p w14:paraId="56ECE347" w14:textId="77777777" w:rsidR="00A81D77" w:rsidRPr="00A81D77" w:rsidRDefault="00A81D77" w:rsidP="004B0D85">
      <w:r w:rsidRPr="00A81D77">
        <w:t>treatment decisions for chemotherapy as well as extended anti-hormonal therapy.</w:t>
      </w:r>
    </w:p>
    <w:p w14:paraId="58D804E4" w14:textId="11B68F6E" w:rsidR="00A81D77" w:rsidRPr="00A81D77" w:rsidRDefault="00A81D77" w:rsidP="004B0D85">
      <w:r w:rsidRPr="00A81D77">
        <w:t xml:space="preserve"> EndoPredict® is a 2nd generation test which combines the molecular biology of the tumour with </w:t>
      </w:r>
      <w:r w:rsidR="00AE7803">
        <w:t xml:space="preserve">the two </w:t>
      </w:r>
      <w:r w:rsidRPr="00A81D77">
        <w:t>classical clinical markers</w:t>
      </w:r>
      <w:r w:rsidR="00AE7803">
        <w:t xml:space="preserve"> tumour size and nodal status</w:t>
      </w:r>
      <w:r w:rsidRPr="00A81D77">
        <w:t>. The results provide a clear unambiguous prognosis of high or low risk and it can be performed in local pathology laboratories under Australian regulatory standards.</w:t>
      </w:r>
    </w:p>
    <w:p w14:paraId="0858D474" w14:textId="7DF577BA" w:rsidR="008C57A2" w:rsidRPr="008C57A2" w:rsidRDefault="00A81D77" w:rsidP="004B0D85">
      <w:r w:rsidRPr="00A81D77">
        <w:t>EndopPredict® is available globally. Recent studies have showed that using EndoPredict® reduces chemotherapy usage and overall associated treatment costs in primary breast cancer patients. EndoPredict® is available on the private market only to those with the ability to pay for it; the test cost can be out of reach for many. A Medicare rebate will provide access to EndoPredict® in an equitable manner for all Australian eligible patients diagnosed with breast cancer. Better access to this valuable test will result in improved treatment allocation benefiting both the patient’s wellbeing and our healthcare system</w:t>
      </w:r>
      <w:r w:rsidR="005134C3">
        <w:t>.</w:t>
      </w:r>
    </w:p>
    <w:p w14:paraId="6C9C0C7F" w14:textId="77777777" w:rsidR="00AA5FDA" w:rsidRPr="00154B00" w:rsidRDefault="00E95FE2" w:rsidP="004B0D85">
      <w:pPr>
        <w:pStyle w:val="Heading2"/>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1236B853" w14:textId="1977D05B" w:rsidR="008C57A2" w:rsidRDefault="00436ED6" w:rsidP="004B0D85">
      <w:r>
        <w:t>The characteristics of the patients eligible for the service are pre- or post- menopausal women with primary breast cancer who have had no prior adjuvant treatment and have been assessed by an oncologist as suitable for adjuvant chemotherapy</w:t>
      </w:r>
      <w:r w:rsidR="008C57A2">
        <w:t>.</w:t>
      </w:r>
    </w:p>
    <w:p w14:paraId="3FF00DB9" w14:textId="35D046BE" w:rsidR="00436ED6" w:rsidRDefault="00436ED6" w:rsidP="004B0D85">
      <w:r>
        <w:t xml:space="preserve">Additional criteria are: </w:t>
      </w:r>
    </w:p>
    <w:p w14:paraId="774B49CC" w14:textId="77777777" w:rsidR="00436ED6" w:rsidRPr="00DF5FC2" w:rsidRDefault="00436ED6" w:rsidP="00DF5FC2">
      <w:pPr>
        <w:pStyle w:val="Bullet"/>
        <w:spacing w:line="240" w:lineRule="auto"/>
        <w:ind w:left="714" w:hanging="357"/>
        <w:rPr>
          <w:sz w:val="20"/>
          <w:szCs w:val="20"/>
        </w:rPr>
      </w:pPr>
      <w:r w:rsidRPr="00DF5FC2">
        <w:rPr>
          <w:sz w:val="20"/>
          <w:szCs w:val="20"/>
        </w:rPr>
        <w:t xml:space="preserve">ER+ (either </w:t>
      </w:r>
      <w:proofErr w:type="spellStart"/>
      <w:r w:rsidRPr="00DF5FC2">
        <w:rPr>
          <w:sz w:val="20"/>
          <w:szCs w:val="20"/>
        </w:rPr>
        <w:t>PgR</w:t>
      </w:r>
      <w:proofErr w:type="spellEnd"/>
      <w:r w:rsidRPr="00DF5FC2">
        <w:rPr>
          <w:sz w:val="20"/>
          <w:szCs w:val="20"/>
        </w:rPr>
        <w:t xml:space="preserve">+ or </w:t>
      </w:r>
      <w:proofErr w:type="spellStart"/>
      <w:r w:rsidRPr="00DF5FC2">
        <w:rPr>
          <w:sz w:val="20"/>
          <w:szCs w:val="20"/>
        </w:rPr>
        <w:t>PgR</w:t>
      </w:r>
      <w:proofErr w:type="spellEnd"/>
      <w:r w:rsidRPr="00DF5FC2">
        <w:rPr>
          <w:sz w:val="20"/>
          <w:szCs w:val="20"/>
        </w:rPr>
        <w:t>–) determined by immunohistochemistry (IHC)</w:t>
      </w:r>
      <w:r w:rsidRPr="00DF5FC2">
        <w:rPr>
          <w:rStyle w:val="FootnoteReference"/>
          <w:sz w:val="20"/>
          <w:szCs w:val="20"/>
        </w:rPr>
        <w:footnoteReference w:id="2"/>
      </w:r>
    </w:p>
    <w:p w14:paraId="1E5AFDEA" w14:textId="77777777" w:rsidR="00436ED6" w:rsidRPr="00DF5FC2" w:rsidRDefault="00436ED6" w:rsidP="00DF5FC2">
      <w:pPr>
        <w:pStyle w:val="Bullet"/>
        <w:spacing w:line="240" w:lineRule="auto"/>
        <w:ind w:left="714" w:hanging="357"/>
        <w:rPr>
          <w:sz w:val="20"/>
          <w:szCs w:val="20"/>
        </w:rPr>
      </w:pPr>
      <w:r w:rsidRPr="00DF5FC2">
        <w:rPr>
          <w:sz w:val="20"/>
          <w:szCs w:val="20"/>
        </w:rPr>
        <w:t>HER2– (either Luminal A or B type) determined by in situ hybridisation [ISH])</w:t>
      </w:r>
      <w:r w:rsidRPr="00DF5FC2">
        <w:rPr>
          <w:rStyle w:val="FootnoteReference"/>
          <w:sz w:val="20"/>
          <w:szCs w:val="20"/>
        </w:rPr>
        <w:footnoteReference w:id="3"/>
      </w:r>
    </w:p>
    <w:p w14:paraId="23CBB594" w14:textId="77777777" w:rsidR="00436ED6" w:rsidRPr="00DF5FC2" w:rsidRDefault="00436ED6" w:rsidP="00DF5FC2">
      <w:pPr>
        <w:pStyle w:val="Bullet"/>
        <w:spacing w:line="240" w:lineRule="auto"/>
        <w:ind w:left="714" w:hanging="357"/>
        <w:rPr>
          <w:sz w:val="20"/>
          <w:szCs w:val="20"/>
        </w:rPr>
      </w:pPr>
      <w:r w:rsidRPr="00DF5FC2">
        <w:rPr>
          <w:sz w:val="20"/>
          <w:szCs w:val="20"/>
        </w:rPr>
        <w:t>have an operable T1, T2, or T3 tumour, with or without lymph node (N+ or N0) involvement (up to three nodes)</w:t>
      </w:r>
    </w:p>
    <w:p w14:paraId="5901B1C0" w14:textId="77777777" w:rsidR="00436ED6" w:rsidRPr="006B3A92" w:rsidRDefault="00436ED6" w:rsidP="00DF5FC2">
      <w:pPr>
        <w:pStyle w:val="Bullet"/>
        <w:spacing w:line="240" w:lineRule="auto"/>
        <w:ind w:left="714" w:hanging="357"/>
        <w:rPr>
          <w:sz w:val="20"/>
          <w:szCs w:val="20"/>
        </w:rPr>
      </w:pPr>
      <w:r w:rsidRPr="006B3A92">
        <w:rPr>
          <w:sz w:val="20"/>
          <w:szCs w:val="20"/>
        </w:rPr>
        <w:t xml:space="preserve">are assessed as having a pre-test </w:t>
      </w:r>
      <w:r w:rsidRPr="006B3A92">
        <w:rPr>
          <w:rStyle w:val="Emphasis"/>
          <w:sz w:val="20"/>
          <w:szCs w:val="20"/>
        </w:rPr>
        <w:t>intermediate clinical risk</w:t>
      </w:r>
      <w:r w:rsidRPr="006B3A92">
        <w:rPr>
          <w:sz w:val="20"/>
          <w:szCs w:val="20"/>
        </w:rPr>
        <w:t xml:space="preserve"> of distant metastases based on postsurgical pathological examination of the tumour tissue, which requires at least one of the following characteristics:</w:t>
      </w:r>
    </w:p>
    <w:p w14:paraId="310CFB6D" w14:textId="77777777" w:rsidR="00436ED6" w:rsidRPr="006B3A92" w:rsidRDefault="00436ED6" w:rsidP="004B0D85">
      <w:pPr>
        <w:pStyle w:val="Bullet"/>
        <w:numPr>
          <w:ilvl w:val="1"/>
          <w:numId w:val="17"/>
        </w:numPr>
        <w:rPr>
          <w:sz w:val="20"/>
          <w:szCs w:val="20"/>
        </w:rPr>
      </w:pPr>
      <w:r w:rsidRPr="006B3A92">
        <w:rPr>
          <w:sz w:val="20"/>
          <w:szCs w:val="20"/>
        </w:rPr>
        <w:t>tumour size &gt; 2 cm</w:t>
      </w:r>
    </w:p>
    <w:p w14:paraId="5A1654EB" w14:textId="77777777" w:rsidR="00436ED6" w:rsidRPr="006B3A92" w:rsidRDefault="00436ED6" w:rsidP="004B0D85">
      <w:pPr>
        <w:pStyle w:val="Bullet"/>
        <w:numPr>
          <w:ilvl w:val="1"/>
          <w:numId w:val="17"/>
        </w:numPr>
        <w:rPr>
          <w:sz w:val="20"/>
          <w:szCs w:val="20"/>
        </w:rPr>
      </w:pPr>
      <w:r w:rsidRPr="006B3A92">
        <w:rPr>
          <w:sz w:val="20"/>
          <w:szCs w:val="20"/>
        </w:rPr>
        <w:t>tumour grade 2/3</w:t>
      </w:r>
    </w:p>
    <w:p w14:paraId="25C4B0C9" w14:textId="77777777" w:rsidR="00436ED6" w:rsidRPr="006B3A92" w:rsidRDefault="00436ED6" w:rsidP="00B15F25">
      <w:pPr>
        <w:pStyle w:val="Bullet"/>
        <w:numPr>
          <w:ilvl w:val="1"/>
          <w:numId w:val="17"/>
        </w:numPr>
        <w:spacing w:after="120"/>
        <w:ind w:left="1434" w:hanging="357"/>
        <w:rPr>
          <w:sz w:val="20"/>
          <w:szCs w:val="20"/>
        </w:rPr>
      </w:pPr>
      <w:r w:rsidRPr="006B3A92">
        <w:rPr>
          <w:sz w:val="20"/>
          <w:szCs w:val="20"/>
        </w:rPr>
        <w:t xml:space="preserve">one to three lymph nodes involved in metastatic disease (including </w:t>
      </w:r>
      <w:proofErr w:type="spellStart"/>
      <w:r w:rsidRPr="006B3A92">
        <w:rPr>
          <w:sz w:val="20"/>
          <w:szCs w:val="20"/>
        </w:rPr>
        <w:t>micrometastases</w:t>
      </w:r>
      <w:proofErr w:type="spellEnd"/>
      <w:r w:rsidRPr="006B3A92">
        <w:rPr>
          <w:sz w:val="20"/>
          <w:szCs w:val="20"/>
        </w:rPr>
        <w:t xml:space="preserve"> but excluding isolated tumour cells).</w:t>
      </w:r>
    </w:p>
    <w:p w14:paraId="05BEDAB3" w14:textId="58AFECD6" w:rsidR="00436ED6" w:rsidRPr="006B3A92" w:rsidRDefault="00436ED6" w:rsidP="004B0D85">
      <w:pPr>
        <w:pStyle w:val="BodyText"/>
        <w:rPr>
          <w:sz w:val="20"/>
          <w:szCs w:val="20"/>
        </w:rPr>
      </w:pPr>
      <w:r w:rsidRPr="006B3A92">
        <w:rPr>
          <w:sz w:val="20"/>
          <w:szCs w:val="20"/>
        </w:rPr>
        <w:t xml:space="preserve">Patients assessed to be at </w:t>
      </w:r>
      <w:r w:rsidRPr="006B3A92">
        <w:rPr>
          <w:rStyle w:val="Emphasis"/>
          <w:sz w:val="20"/>
          <w:szCs w:val="20"/>
        </w:rPr>
        <w:t>low clinical risk</w:t>
      </w:r>
      <w:r w:rsidRPr="006B3A92">
        <w:rPr>
          <w:sz w:val="20"/>
          <w:szCs w:val="20"/>
        </w:rPr>
        <w:t xml:space="preserve"> of distant metastases and those at </w:t>
      </w:r>
      <w:r w:rsidRPr="006B3A92">
        <w:rPr>
          <w:rStyle w:val="Emphasis"/>
          <w:sz w:val="20"/>
          <w:szCs w:val="20"/>
        </w:rPr>
        <w:t>high clinical risk</w:t>
      </w:r>
      <w:r w:rsidRPr="006B3A92">
        <w:rPr>
          <w:i/>
          <w:iCs/>
          <w:sz w:val="20"/>
          <w:szCs w:val="20"/>
        </w:rPr>
        <w:t xml:space="preserve"> </w:t>
      </w:r>
      <w:r w:rsidRPr="006B3A92">
        <w:rPr>
          <w:sz w:val="20"/>
          <w:szCs w:val="20"/>
        </w:rPr>
        <w:t>of distant metastases are not eligible for the proposed service as treatment decisions for these patients do not require additional guidance.</w:t>
      </w:r>
    </w:p>
    <w:p w14:paraId="240C696C" w14:textId="77777777" w:rsidR="002A50FD" w:rsidRPr="00881F93" w:rsidRDefault="005C3AE7" w:rsidP="00DF5FC2">
      <w:pPr>
        <w:pStyle w:val="Subtitle"/>
        <w:ind w:left="0"/>
      </w:pPr>
      <w:r>
        <w:t xml:space="preserve">PART 6b – </w:t>
      </w:r>
      <w:r w:rsidR="002A50FD" w:rsidRPr="00881F93">
        <w:t>INFORMATION ABOUT THE INTERVENTION</w:t>
      </w:r>
    </w:p>
    <w:p w14:paraId="0B352BE7" w14:textId="77777777" w:rsidR="002A50FD" w:rsidRPr="00154B00" w:rsidRDefault="002A6753" w:rsidP="004B0D85">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79101070" w14:textId="30CB0F2F" w:rsidR="00436ED6" w:rsidRPr="00D5266E" w:rsidRDefault="00436ED6" w:rsidP="004B0D85">
      <w:r w:rsidRPr="00D5266E">
        <w:t xml:space="preserve">Patients with primary breast cancer diagnosed by core needle biopsy are assessed for surgical removal of the tumour. After surgery, a pathologist will determine ER and HER2 status, assess tumour size and nodal status, and report the histological results to the treating oncologist. The oncologist (sometimes in consultation with a multidisciplinary team [MDT]), will decide whether the tumour is considered at low, intermediate, or high clinical risk of distant recurrence, and, after consultation with the patient, make a treatment decision. </w:t>
      </w:r>
    </w:p>
    <w:p w14:paraId="78539943" w14:textId="07481159" w:rsidR="00436ED6" w:rsidRPr="00D5266E" w:rsidRDefault="00436ED6" w:rsidP="004B0D85">
      <w:r w:rsidRPr="00D5266E">
        <w:t xml:space="preserve">Patients with ER+, HER2– cancer who are assessed to be at intermediate risk of distant metastases and suitable for adjuvant chemotherapy, will have the EndoPredict® test requested from pathology. Here, a 10 </w:t>
      </w:r>
      <w:proofErr w:type="spellStart"/>
      <w:r w:rsidRPr="00D5266E">
        <w:t>μm</w:t>
      </w:r>
      <w:proofErr w:type="spellEnd"/>
      <w:r w:rsidRPr="00D5266E">
        <w:t xml:space="preserve"> section of the routine formalin-fixed paraffin-embedded (FFPE) is used to prepare RNA for RT-qPCR using the EndoPredict Kit reagents. The prepared tissue sample along with quality control samples are run on the RT-qPCR instrumentation to produce data which are exported into the reporter software. Combined with additional clinical information, the reporter software uses an algorithm to generate the EPclin risk assessment score, which predicts the risk of distant recurrence within 10 years (on a continuous scale). Using the EPclin score, the patient is categorised as being at high or low risk of distant recurrence, which may be used by the oncologist and patient to guide treatment decisions.</w:t>
      </w:r>
    </w:p>
    <w:p w14:paraId="3A2B93DB" w14:textId="77777777" w:rsidR="00436ED6" w:rsidRPr="00D5266E" w:rsidRDefault="00436ED6" w:rsidP="004B0D85">
      <w:r w:rsidRPr="00D5266E">
        <w:t xml:space="preserve">Patients who fall into the </w:t>
      </w:r>
      <w:proofErr w:type="gramStart"/>
      <w:r w:rsidRPr="00D5266E">
        <w:t>low risk</w:t>
      </w:r>
      <w:proofErr w:type="gramEnd"/>
      <w:r w:rsidRPr="00D5266E">
        <w:t xml:space="preserve"> category according to the EndoPredict tool would be offered ET alone (short or extended term), whereas those in the high risk category would be offered chemotherapy plus ET.</w:t>
      </w:r>
    </w:p>
    <w:p w14:paraId="26CCC1F7" w14:textId="77777777" w:rsidR="002A6753" w:rsidRPr="00154B00" w:rsidRDefault="002A6753" w:rsidP="004B0D85">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218AC7C" w14:textId="5EA635BB" w:rsidR="007F6B92" w:rsidRPr="005134C3" w:rsidRDefault="007F6B92" w:rsidP="004B0D85">
      <w:r w:rsidRPr="005134C3">
        <w:t xml:space="preserve">The test is registered with the Registered/Protected trademarks </w:t>
      </w:r>
    </w:p>
    <w:p w14:paraId="179E026B" w14:textId="77777777" w:rsidR="007F6B92" w:rsidRPr="005134C3" w:rsidRDefault="007F6B92" w:rsidP="004B0D85">
      <w:r w:rsidRPr="005134C3">
        <w:t>AUS: 1672186 filed February 3, 2015, registered February 5, 2016</w:t>
      </w:r>
    </w:p>
    <w:p w14:paraId="23CF6F88" w14:textId="77777777" w:rsidR="007F6B92" w:rsidRPr="005134C3" w:rsidRDefault="007F6B92" w:rsidP="004B0D85">
      <w:r w:rsidRPr="005134C3">
        <w:t>EU: 009612409 filed December 20, 2010; registered April 29, 2011</w:t>
      </w:r>
    </w:p>
    <w:p w14:paraId="1839E418" w14:textId="0A3F5F0E" w:rsidR="002A6753" w:rsidRDefault="007F6B92" w:rsidP="004B0D85">
      <w:r w:rsidRPr="005134C3">
        <w:t>US: 85520009 filed 1/2012; registered January 5, 2016</w:t>
      </w:r>
    </w:p>
    <w:p w14:paraId="7FF02B81" w14:textId="77777777" w:rsidR="00C22AD8" w:rsidRPr="00154B00" w:rsidRDefault="00C22AD8" w:rsidP="004B0D85">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BC1FC4F" w14:textId="0E86491F" w:rsidR="00DF0C51" w:rsidRDefault="004B0D85" w:rsidP="004B0D85">
      <w:pPr>
        <w:rPr>
          <w:b/>
          <w:szCs w:val="20"/>
        </w:rPr>
      </w:pPr>
      <w:r>
        <w:t>Not applicable</w:t>
      </w:r>
    </w:p>
    <w:p w14:paraId="1BF933B3" w14:textId="77777777" w:rsidR="006B1B49" w:rsidRPr="00E357B9" w:rsidRDefault="006B1B49" w:rsidP="004B0D85">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42411B11" w14:textId="30546AC1" w:rsidR="00CC09D7" w:rsidRPr="00154B00" w:rsidRDefault="00E364FF" w:rsidP="004B0D85">
      <w:pPr>
        <w:rPr>
          <w:szCs w:val="20"/>
        </w:rPr>
      </w:pPr>
      <w:r>
        <w:t>The test is a once off test only relevant to primary breast cancer, not recurrence.</w:t>
      </w:r>
    </w:p>
    <w:p w14:paraId="47E53CAD" w14:textId="77777777" w:rsidR="008B63FD" w:rsidRDefault="008B63FD">
      <w:pPr>
        <w:spacing w:before="0" w:after="200" w:line="276" w:lineRule="auto"/>
        <w:ind w:left="0"/>
        <w:rPr>
          <w:b/>
          <w:szCs w:val="20"/>
        </w:rPr>
      </w:pPr>
      <w:r>
        <w:br w:type="page"/>
      </w:r>
    </w:p>
    <w:p w14:paraId="56B82820" w14:textId="3D60DC03" w:rsidR="00791C8D" w:rsidRPr="00154B00" w:rsidRDefault="00791C8D" w:rsidP="004B0D85">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71E8425E" w14:textId="11E54D27" w:rsidR="00791C8D" w:rsidRPr="00154B00" w:rsidRDefault="007F6B92" w:rsidP="004B0D85">
      <w:pPr>
        <w:rPr>
          <w:szCs w:val="20"/>
        </w:rPr>
      </w:pPr>
      <w:r>
        <w:t>Archival block retreival via pathology networks</w:t>
      </w:r>
    </w:p>
    <w:p w14:paraId="7646FBD1" w14:textId="77777777" w:rsidR="00B17E26" w:rsidRPr="00154B00" w:rsidRDefault="00B17E26" w:rsidP="004B0D85">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C3781E1" w14:textId="6035795B" w:rsidR="00B17E26" w:rsidRDefault="007F6B92" w:rsidP="004B0D85">
      <w:r>
        <w:t>Oncologist</w:t>
      </w:r>
    </w:p>
    <w:p w14:paraId="7E7D76FD" w14:textId="08702E1F" w:rsidR="007F6B92" w:rsidRPr="00154B00" w:rsidRDefault="007F6B92" w:rsidP="004B0D85">
      <w:pPr>
        <w:rPr>
          <w:szCs w:val="20"/>
        </w:rPr>
      </w:pPr>
      <w:r>
        <w:t>Pathologist</w:t>
      </w:r>
    </w:p>
    <w:p w14:paraId="187E5F72" w14:textId="77777777" w:rsidR="00B17E26" w:rsidRPr="00154B00" w:rsidRDefault="00B17E26" w:rsidP="004B0D85">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3204F90" w14:textId="75FFA33F" w:rsidR="00B17E26" w:rsidRPr="00154B00" w:rsidRDefault="007F6B92" w:rsidP="004B0D85">
      <w:pPr>
        <w:rPr>
          <w:szCs w:val="20"/>
        </w:rPr>
      </w:pPr>
      <w:r>
        <w:t>Possibly a surgeon, as this is typically the patients first specialist in contact.</w:t>
      </w:r>
    </w:p>
    <w:p w14:paraId="4999152A" w14:textId="77777777" w:rsidR="00EA0E25" w:rsidRPr="00154B00" w:rsidRDefault="00EA0E25" w:rsidP="004B0D85">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0CDBB89" w14:textId="5EC5E72E" w:rsidR="00EA0E25" w:rsidRPr="00154B00" w:rsidRDefault="00E364FF" w:rsidP="004B0D85">
      <w:pPr>
        <w:rPr>
          <w:szCs w:val="20"/>
        </w:rPr>
      </w:pPr>
      <w:r>
        <w:t xml:space="preserve">The proposed service should be restricted to a qualified </w:t>
      </w:r>
      <w:r w:rsidR="00951627">
        <w:t xml:space="preserve">and accredited </w:t>
      </w:r>
      <w:r>
        <w:t xml:space="preserve">oncologist, surgeon </w:t>
      </w:r>
      <w:r w:rsidR="00951627">
        <w:t xml:space="preserve">and/or pathologist. </w:t>
      </w:r>
    </w:p>
    <w:p w14:paraId="3FA030FD" w14:textId="77777777" w:rsidR="00EA0E25" w:rsidRPr="00154B00" w:rsidRDefault="00EA0E25" w:rsidP="004B0D85">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F8438EA" w14:textId="2EC74931" w:rsidR="00EA0E25" w:rsidRPr="00154B00" w:rsidRDefault="00951627" w:rsidP="004B0D85">
      <w:pPr>
        <w:rPr>
          <w:szCs w:val="20"/>
        </w:rPr>
      </w:pPr>
      <w:r>
        <w:t>Laboratory training is required to perform the test (which is typically a one-off fee service), along with NATA accreditation.</w:t>
      </w:r>
    </w:p>
    <w:p w14:paraId="0E887580" w14:textId="77777777" w:rsidR="005F3F07" w:rsidRDefault="005C3AE7" w:rsidP="004B0D85">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24107928" w14:textId="501CCC9C" w:rsidR="000A478F" w:rsidRDefault="00DB2EB7" w:rsidP="006B3A92">
      <w:pPr>
        <w:pStyle w:val="Tickboxes"/>
      </w:pPr>
      <w:r>
        <w:rPr>
          <w:szCs w:val="20"/>
        </w:rPr>
        <w:fldChar w:fldCharType="begin">
          <w:ffData>
            <w:name w:val=""/>
            <w:enabled/>
            <w:calcOnExit w:val="0"/>
            <w:checkBox>
              <w:sizeAuto/>
              <w:default w:val="1"/>
            </w:checkBox>
          </w:ffData>
        </w:fldChar>
      </w:r>
      <w:r>
        <w:rPr>
          <w:szCs w:val="20"/>
        </w:rPr>
        <w:instrText xml:space="preserve"> FORMCHECKBOX </w:instrText>
      </w:r>
      <w:r w:rsidR="009701F3">
        <w:rPr>
          <w:szCs w:val="20"/>
        </w:rPr>
      </w:r>
      <w:r w:rsidR="009701F3">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2704BC37" w14:textId="4DEF8176" w:rsidR="000A478F" w:rsidRDefault="00DB2EB7" w:rsidP="006B3A92">
      <w:pPr>
        <w:pStyle w:val="Tickboxes"/>
      </w:pPr>
      <w:r>
        <w:rPr>
          <w:szCs w:val="20"/>
        </w:rPr>
        <w:fldChar w:fldCharType="begin">
          <w:ffData>
            <w:name w:val=""/>
            <w:enabled/>
            <w:calcOnExit w:val="0"/>
            <w:checkBox>
              <w:sizeAuto/>
              <w:default w:val="1"/>
            </w:checkBox>
          </w:ffData>
        </w:fldChar>
      </w:r>
      <w:r>
        <w:rPr>
          <w:szCs w:val="20"/>
        </w:rPr>
        <w:instrText xml:space="preserve"> FORMCHECKBOX </w:instrText>
      </w:r>
      <w:r w:rsidR="009701F3">
        <w:rPr>
          <w:szCs w:val="20"/>
        </w:rPr>
      </w:r>
      <w:r w:rsidR="009701F3">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7BB544CC" w14:textId="28BDBF87" w:rsidR="000A478F" w:rsidRDefault="00DB2EB7" w:rsidP="006B3A92">
      <w:pPr>
        <w:pStyle w:val="Tickboxes"/>
      </w:pPr>
      <w:r>
        <w:fldChar w:fldCharType="begin">
          <w:ffData>
            <w:name w:val=""/>
            <w:enabled/>
            <w:calcOnExit w:val="0"/>
            <w:checkBox>
              <w:sizeAuto/>
              <w:default w:val="1"/>
            </w:checkBox>
          </w:ffData>
        </w:fldChar>
      </w:r>
      <w:r>
        <w:instrText xml:space="preserve"> FORMCHECKBOX </w:instrText>
      </w:r>
      <w:r w:rsidR="009701F3">
        <w:fldChar w:fldCharType="separate"/>
      </w:r>
      <w:r>
        <w:fldChar w:fldCharType="end"/>
      </w:r>
      <w:r w:rsidR="000A478F">
        <w:t xml:space="preserve"> </w:t>
      </w:r>
      <w:r w:rsidR="003904AC">
        <w:t>Private o</w:t>
      </w:r>
      <w:r w:rsidR="000A478F">
        <w:t>utpatient clinic</w:t>
      </w:r>
    </w:p>
    <w:p w14:paraId="741D3680" w14:textId="315B2E72" w:rsidR="0079354C" w:rsidRDefault="00DB2EB7" w:rsidP="006B3A92">
      <w:pPr>
        <w:pStyle w:val="Tickboxes"/>
      </w:pPr>
      <w:r>
        <w:fldChar w:fldCharType="begin">
          <w:ffData>
            <w:name w:val=""/>
            <w:enabled/>
            <w:calcOnExit w:val="0"/>
            <w:checkBox>
              <w:sizeAuto/>
              <w:default w:val="1"/>
            </w:checkBox>
          </w:ffData>
        </w:fldChar>
      </w:r>
      <w:r>
        <w:instrText xml:space="preserve"> FORMCHECKBOX </w:instrText>
      </w:r>
      <w:r w:rsidR="009701F3">
        <w:fldChar w:fldCharType="separate"/>
      </w:r>
      <w:r>
        <w:fldChar w:fldCharType="end"/>
      </w:r>
      <w:r w:rsidR="0079354C">
        <w:t xml:space="preserve"> Public outpatient clinic</w:t>
      </w:r>
    </w:p>
    <w:p w14:paraId="1FC0B806" w14:textId="77777777" w:rsidR="000A478F" w:rsidRDefault="000A478F" w:rsidP="006B3A92">
      <w:pPr>
        <w:pStyle w:val="Tickboxes"/>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701F3">
        <w:rPr>
          <w:szCs w:val="20"/>
        </w:rPr>
      </w:r>
      <w:r w:rsidR="009701F3">
        <w:rPr>
          <w:szCs w:val="20"/>
        </w:rPr>
        <w:fldChar w:fldCharType="separate"/>
      </w:r>
      <w:r w:rsidRPr="000A5B32">
        <w:rPr>
          <w:szCs w:val="20"/>
        </w:rPr>
        <w:fldChar w:fldCharType="end"/>
      </w:r>
      <w:r>
        <w:rPr>
          <w:szCs w:val="20"/>
        </w:rPr>
        <w:t xml:space="preserve"> </w:t>
      </w:r>
      <w:r>
        <w:t>Emergency Department</w:t>
      </w:r>
    </w:p>
    <w:p w14:paraId="3F608AD5" w14:textId="77777777" w:rsidR="000A478F" w:rsidRDefault="000A478F" w:rsidP="006B3A92">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701F3">
        <w:fldChar w:fldCharType="separate"/>
      </w:r>
      <w:r w:rsidRPr="000A5B32">
        <w:fldChar w:fldCharType="end"/>
      </w:r>
      <w:r>
        <w:t xml:space="preserve"> </w:t>
      </w:r>
      <w:r w:rsidR="003904AC">
        <w:t xml:space="preserve">Private </w:t>
      </w:r>
      <w:r w:rsidR="0079354C">
        <w:t>c</w:t>
      </w:r>
      <w:r>
        <w:t>onsulting rooms</w:t>
      </w:r>
      <w:r w:rsidR="0079354C">
        <w:t xml:space="preserve"> - GP</w:t>
      </w:r>
    </w:p>
    <w:p w14:paraId="75BAE03F" w14:textId="1D75B8D8" w:rsidR="0079354C" w:rsidRDefault="00DB2EB7" w:rsidP="006B3A92">
      <w:pPr>
        <w:pStyle w:val="Tickboxes"/>
      </w:pPr>
      <w:r>
        <w:fldChar w:fldCharType="begin">
          <w:ffData>
            <w:name w:val=""/>
            <w:enabled/>
            <w:calcOnExit w:val="0"/>
            <w:checkBox>
              <w:sizeAuto/>
              <w:default w:val="1"/>
            </w:checkBox>
          </w:ffData>
        </w:fldChar>
      </w:r>
      <w:r>
        <w:instrText xml:space="preserve"> FORMCHECKBOX </w:instrText>
      </w:r>
      <w:r w:rsidR="009701F3">
        <w:fldChar w:fldCharType="separate"/>
      </w:r>
      <w:r>
        <w:fldChar w:fldCharType="end"/>
      </w:r>
      <w:r w:rsidR="0079354C">
        <w:t xml:space="preserve"> Private consulting rooms – specialist</w:t>
      </w:r>
    </w:p>
    <w:p w14:paraId="1D39CD0C" w14:textId="77777777" w:rsidR="0079354C" w:rsidRDefault="0079354C" w:rsidP="006B3A92">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701F3">
        <w:fldChar w:fldCharType="separate"/>
      </w:r>
      <w:r w:rsidRPr="000A5B32">
        <w:fldChar w:fldCharType="end"/>
      </w:r>
      <w:r>
        <w:t xml:space="preserve"> Private consulting rooms – other health practitioner (nurse or allied health)</w:t>
      </w:r>
    </w:p>
    <w:p w14:paraId="4D7BF816" w14:textId="77777777" w:rsidR="000A478F" w:rsidRDefault="000A478F" w:rsidP="006B3A92">
      <w:pPr>
        <w:pStyle w:val="Tickboxes"/>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701F3">
        <w:rPr>
          <w:szCs w:val="20"/>
        </w:rPr>
      </w:r>
      <w:r w:rsidR="009701F3">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27E93CB6" w14:textId="77777777" w:rsidR="0079354C" w:rsidRDefault="0079354C" w:rsidP="006B3A92">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701F3">
        <w:fldChar w:fldCharType="separate"/>
      </w:r>
      <w:r w:rsidRPr="000A5B32">
        <w:fldChar w:fldCharType="end"/>
      </w:r>
      <w:r>
        <w:t xml:space="preserve"> Private day surgery clinic (non-admitted patient)</w:t>
      </w:r>
    </w:p>
    <w:p w14:paraId="39CAC7FE" w14:textId="77777777" w:rsidR="0079354C" w:rsidRDefault="0079354C" w:rsidP="006B3A92">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701F3">
        <w:fldChar w:fldCharType="separate"/>
      </w:r>
      <w:r w:rsidRPr="000A5B32">
        <w:fldChar w:fldCharType="end"/>
      </w:r>
      <w:r>
        <w:t xml:space="preserve"> Public day surgery clinic (admitted patient)</w:t>
      </w:r>
    </w:p>
    <w:p w14:paraId="336725C1" w14:textId="77777777" w:rsidR="0079354C" w:rsidRDefault="0079354C" w:rsidP="006B3A92">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701F3">
        <w:fldChar w:fldCharType="separate"/>
      </w:r>
      <w:r w:rsidRPr="000A5B32">
        <w:fldChar w:fldCharType="end"/>
      </w:r>
      <w:r>
        <w:t xml:space="preserve"> Public day surgery clinic (non-admitted patient)</w:t>
      </w:r>
    </w:p>
    <w:p w14:paraId="172025B9" w14:textId="77777777" w:rsidR="000A478F" w:rsidRDefault="000A478F" w:rsidP="006B3A92">
      <w:pPr>
        <w:pStyle w:val="Tickboxes"/>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701F3">
        <w:rPr>
          <w:szCs w:val="20"/>
        </w:rPr>
      </w:r>
      <w:r w:rsidR="009701F3">
        <w:rPr>
          <w:szCs w:val="20"/>
        </w:rPr>
        <w:fldChar w:fldCharType="separate"/>
      </w:r>
      <w:r w:rsidRPr="000A5B32">
        <w:rPr>
          <w:szCs w:val="20"/>
        </w:rPr>
        <w:fldChar w:fldCharType="end"/>
      </w:r>
      <w:r>
        <w:rPr>
          <w:szCs w:val="20"/>
        </w:rPr>
        <w:t xml:space="preserve"> </w:t>
      </w:r>
      <w:r>
        <w:t>Residential aged care facility</w:t>
      </w:r>
    </w:p>
    <w:p w14:paraId="4753DE0F" w14:textId="77777777" w:rsidR="000A478F" w:rsidRDefault="000A478F" w:rsidP="006B3A92">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9701F3">
        <w:fldChar w:fldCharType="separate"/>
      </w:r>
      <w:r w:rsidRPr="000A5B32">
        <w:fldChar w:fldCharType="end"/>
      </w:r>
      <w:r>
        <w:t xml:space="preserve"> Patient’s home</w:t>
      </w:r>
    </w:p>
    <w:p w14:paraId="777AB399" w14:textId="69DA7691" w:rsidR="000A478F" w:rsidRDefault="00DB2EB7" w:rsidP="006B3A92">
      <w:pPr>
        <w:pStyle w:val="Tickboxes"/>
      </w:pPr>
      <w:r>
        <w:fldChar w:fldCharType="begin">
          <w:ffData>
            <w:name w:val=""/>
            <w:enabled/>
            <w:calcOnExit w:val="0"/>
            <w:checkBox>
              <w:sizeAuto/>
              <w:default w:val="1"/>
            </w:checkBox>
          </w:ffData>
        </w:fldChar>
      </w:r>
      <w:r>
        <w:instrText xml:space="preserve"> FORMCHECKBOX </w:instrText>
      </w:r>
      <w:r w:rsidR="009701F3">
        <w:fldChar w:fldCharType="separate"/>
      </w:r>
      <w:r>
        <w:fldChar w:fldCharType="end"/>
      </w:r>
      <w:r w:rsidR="000A478F">
        <w:t xml:space="preserve"> Laboratory</w:t>
      </w:r>
    </w:p>
    <w:p w14:paraId="3948DFBB" w14:textId="77777777" w:rsidR="000A478F" w:rsidRPr="000A478F" w:rsidRDefault="000A478F" w:rsidP="006B3A92">
      <w:pPr>
        <w:pStyle w:val="Tickboxes"/>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701F3">
        <w:rPr>
          <w:szCs w:val="20"/>
        </w:rPr>
      </w:r>
      <w:r w:rsidR="009701F3">
        <w:rPr>
          <w:szCs w:val="20"/>
        </w:rPr>
        <w:fldChar w:fldCharType="separate"/>
      </w:r>
      <w:r w:rsidRPr="000A5B32">
        <w:rPr>
          <w:szCs w:val="20"/>
        </w:rPr>
        <w:fldChar w:fldCharType="end"/>
      </w:r>
      <w:r>
        <w:rPr>
          <w:szCs w:val="20"/>
        </w:rPr>
        <w:t xml:space="preserve"> </w:t>
      </w:r>
      <w:r>
        <w:t>Other – please specify below</w:t>
      </w:r>
    </w:p>
    <w:p w14:paraId="3087A828" w14:textId="77777777" w:rsidR="003433D1" w:rsidRPr="005C3AE7" w:rsidRDefault="00E048ED" w:rsidP="004B0D85">
      <w:pPr>
        <w:pStyle w:val="ListParagraph"/>
        <w:numPr>
          <w:ilvl w:val="0"/>
          <w:numId w:val="8"/>
        </w:numPr>
      </w:pPr>
      <w:r w:rsidRPr="005C3AE7">
        <w:t>Where the proposed medical service is provided in more than one setting, please describ</w:t>
      </w:r>
      <w:r w:rsidR="00AE1188" w:rsidRPr="005C3AE7">
        <w:t>e the rationale related to each:</w:t>
      </w:r>
    </w:p>
    <w:p w14:paraId="5F4AD654" w14:textId="351197D6" w:rsidR="0073597B" w:rsidRDefault="00671136" w:rsidP="004B0D85">
      <w:r>
        <w:t>Inpatient/outpatient</w:t>
      </w:r>
      <w:r w:rsidR="005D405A">
        <w:t>/specialist:</w:t>
      </w:r>
      <w:r>
        <w:t xml:space="preserve"> The service is being recommended for primary breast cancer patients and could be offered in a public or private hospital setting following surgery or biopsy, or when the patient attends a hospital outpatient service or </w:t>
      </w:r>
      <w:r w:rsidRPr="0067517D">
        <w:t>consulting</w:t>
      </w:r>
      <w:r>
        <w:t xml:space="preserve"> room.</w:t>
      </w:r>
    </w:p>
    <w:p w14:paraId="33CB6DA1" w14:textId="33843579" w:rsidR="00671136" w:rsidRDefault="00671136" w:rsidP="004B0D85">
      <w:pPr>
        <w:rPr>
          <w:lang w:eastAsia="en-US"/>
        </w:rPr>
      </w:pPr>
      <w:r w:rsidRPr="005D405A">
        <w:rPr>
          <w:lang w:eastAsia="en-US"/>
        </w:rPr>
        <w:t xml:space="preserve">Laboratory: </w:t>
      </w:r>
      <w:r w:rsidR="005D405A" w:rsidRPr="005D405A">
        <w:rPr>
          <w:lang w:eastAsia="en-US"/>
        </w:rPr>
        <w:t>The test can be conducted in local public or private pathology laboratories if they have the appropriate equipment and training.</w:t>
      </w:r>
    </w:p>
    <w:p w14:paraId="550D3F83" w14:textId="77777777" w:rsidR="003E30FB" w:rsidRDefault="003E30FB" w:rsidP="004B0D85">
      <w:pPr>
        <w:pStyle w:val="Heading2"/>
      </w:pPr>
      <w:r>
        <w:t xml:space="preserve">Is the </w:t>
      </w:r>
      <w:r w:rsidRPr="001B29A1">
        <w:t>proposed</w:t>
      </w:r>
      <w:r>
        <w:t xml:space="preserve"> medical service intended to be entirely rendered in Australia?</w:t>
      </w:r>
    </w:p>
    <w:p w14:paraId="784A6D1D" w14:textId="073411C3" w:rsidR="000A478F" w:rsidRDefault="005D405A" w:rsidP="006B3A92">
      <w:pPr>
        <w:pStyle w:val="Tickboxes"/>
      </w:pPr>
      <w:r>
        <w:fldChar w:fldCharType="begin">
          <w:ffData>
            <w:name w:val=""/>
            <w:enabled/>
            <w:calcOnExit w:val="0"/>
            <w:checkBox>
              <w:sizeAuto/>
              <w:default w:val="1"/>
            </w:checkBox>
          </w:ffData>
        </w:fldChar>
      </w:r>
      <w:r>
        <w:instrText xml:space="preserve"> FORMCHECKBOX </w:instrText>
      </w:r>
      <w:r w:rsidR="009701F3">
        <w:fldChar w:fldCharType="separate"/>
      </w:r>
      <w:r>
        <w:fldChar w:fldCharType="end"/>
      </w:r>
      <w:r w:rsidR="000A478F">
        <w:t xml:space="preserve"> Yes</w:t>
      </w:r>
    </w:p>
    <w:p w14:paraId="5A48DA49" w14:textId="77777777" w:rsidR="000A478F" w:rsidRPr="00753C44" w:rsidRDefault="000A478F" w:rsidP="006B3A92">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9701F3">
        <w:fldChar w:fldCharType="separate"/>
      </w:r>
      <w:r w:rsidRPr="00753C44">
        <w:fldChar w:fldCharType="end"/>
      </w:r>
      <w:r>
        <w:t xml:space="preserve"> No</w:t>
      </w:r>
      <w:r w:rsidR="00C4696B">
        <w:t xml:space="preserve"> – please specify below</w:t>
      </w:r>
    </w:p>
    <w:p w14:paraId="4C842B3B" w14:textId="77777777" w:rsidR="000A478F" w:rsidRDefault="000A478F" w:rsidP="004B0D85">
      <w:r>
        <w:br w:type="page"/>
      </w:r>
    </w:p>
    <w:p w14:paraId="057B609C" w14:textId="77777777" w:rsidR="00E60529" w:rsidRPr="00881F93" w:rsidRDefault="005C3AE7" w:rsidP="006B3A92">
      <w:pPr>
        <w:pStyle w:val="Subtitle"/>
        <w:ind w:left="0"/>
      </w:pPr>
      <w:r w:rsidRPr="00845134">
        <w:t xml:space="preserve">PART 6c – </w:t>
      </w:r>
      <w:r w:rsidR="00E60529" w:rsidRPr="00845134">
        <w:t>INFORMATION ABOUT THE COMPARATOR</w:t>
      </w:r>
      <w:r w:rsidR="00A83EC6" w:rsidRPr="00845134">
        <w:t>(S)</w:t>
      </w:r>
    </w:p>
    <w:p w14:paraId="693602E8" w14:textId="77777777" w:rsidR="00E60529" w:rsidRPr="00154B00" w:rsidRDefault="00A83EC6" w:rsidP="004B0D85">
      <w:pPr>
        <w:pStyle w:val="Heading2"/>
      </w:pPr>
      <w:r w:rsidRPr="00154B00">
        <w:t>Nominate the appropriate comparator(s) for the proposed medical service</w:t>
      </w:r>
      <w:r w:rsidR="00BF6497">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80B8B55" w14:textId="77777777" w:rsidR="006852DD" w:rsidRDefault="006852DD" w:rsidP="004B0D85">
      <w:pPr>
        <w:pStyle w:val="ListParagraph"/>
      </w:pPr>
      <w:r>
        <w:t xml:space="preserve">Three sets of comparators are described in the ratified PICO Confirmation. </w:t>
      </w:r>
    </w:p>
    <w:p w14:paraId="6DED2F1E" w14:textId="22CE4714" w:rsidR="006852DD" w:rsidRDefault="006852DD" w:rsidP="004B0D85">
      <w:pPr>
        <w:pStyle w:val="ListParagraph"/>
        <w:numPr>
          <w:ilvl w:val="0"/>
          <w:numId w:val="21"/>
        </w:numPr>
      </w:pPr>
      <w:r>
        <w:t xml:space="preserve">Main comparator (base case): </w:t>
      </w:r>
      <w:r w:rsidRPr="00154927">
        <w:t>Current standard of care (SOC) clinical practice</w:t>
      </w:r>
      <w:r>
        <w:t xml:space="preserve"> based on IHC/ISH analysis of tumour tissue (ER+, HER2– status) and including Ki67 status and tumour grade</w:t>
      </w:r>
      <w:r w:rsidR="007F1D14">
        <w:t xml:space="preserve"> and utilising a 5 Australian public hospital Multi-Disciplinary Teams</w:t>
      </w:r>
    </w:p>
    <w:p w14:paraId="3F3579D3" w14:textId="77777777" w:rsidR="006852DD" w:rsidRDefault="006852DD" w:rsidP="004B0D85">
      <w:pPr>
        <w:pStyle w:val="ListParagraph"/>
        <w:numPr>
          <w:ilvl w:val="0"/>
          <w:numId w:val="21"/>
        </w:numPr>
      </w:pPr>
      <w:r>
        <w:t xml:space="preserve">Secondary comparator: </w:t>
      </w:r>
      <w:r w:rsidRPr="00845134">
        <w:t>International breast cancer clinical guidelines</w:t>
      </w:r>
      <w:r>
        <w:t xml:space="preserve"> such as St Gallen, NCCN, ESMO, and the German S3 guidelines.</w:t>
      </w:r>
    </w:p>
    <w:p w14:paraId="018F6B19" w14:textId="20CF79F7" w:rsidR="006852DD" w:rsidRDefault="006852DD" w:rsidP="004B0D85">
      <w:pPr>
        <w:pStyle w:val="ListParagraph"/>
        <w:numPr>
          <w:ilvl w:val="0"/>
          <w:numId w:val="21"/>
        </w:numPr>
      </w:pPr>
      <w:r>
        <w:t xml:space="preserve">Secondary comparator: </w:t>
      </w:r>
      <w:r w:rsidRPr="00845134">
        <w:t>Other prognostic tests</w:t>
      </w:r>
      <w:r>
        <w:t xml:space="preserve"> </w:t>
      </w:r>
    </w:p>
    <w:p w14:paraId="5E4A09FE" w14:textId="46000E69" w:rsidR="006852DD" w:rsidRDefault="006852DD" w:rsidP="004B0D85">
      <w:pPr>
        <w:rPr>
          <w:lang w:eastAsia="en-US"/>
        </w:rPr>
      </w:pPr>
      <w:r w:rsidRPr="00154927">
        <w:rPr>
          <w:lang w:eastAsia="en-US"/>
        </w:rPr>
        <w:t>The service is not expected to change current adjuvant treatment options or treatment algorithms. However, women currently classified as intermediate risk of distant recurrence based on clinical assessment and treated with chemotherapy may be classified as low risk under the new service; therefore, would receive ET alone and avoid the risks and side effects of chemotherapy. Conversely, women currently classified as intermediate risk of distant recurrence and not treated with chemotherapy may be classified as high risk under the new service, thus avoiding a potential distant recurrence. Patients who receive the same treatment following risk classification with</w:t>
      </w:r>
      <w:r w:rsidR="00154927" w:rsidRPr="00154927">
        <w:rPr>
          <w:lang w:eastAsia="en-US"/>
        </w:rPr>
        <w:t xml:space="preserve"> </w:t>
      </w:r>
      <w:proofErr w:type="spellStart"/>
      <w:r w:rsidR="00154927" w:rsidRPr="00154927">
        <w:rPr>
          <w:lang w:eastAsia="en-US"/>
        </w:rPr>
        <w:t>EndoPredict</w:t>
      </w:r>
      <w:proofErr w:type="spellEnd"/>
      <w:r w:rsidR="00154927" w:rsidRPr="00154927">
        <w:rPr>
          <w:lang w:eastAsia="en-US"/>
        </w:rPr>
        <w:t xml:space="preserve"> as they did with current clinical practice alone will not be affected by the new service.</w:t>
      </w:r>
    </w:p>
    <w:p w14:paraId="08FAC92D" w14:textId="7BCD3241" w:rsidR="00757232" w:rsidRDefault="006852DD" w:rsidP="004B0D85">
      <w:pPr>
        <w:pStyle w:val="Heading2"/>
      </w:pPr>
      <w:r>
        <w:t xml:space="preserve"> </w:t>
      </w:r>
      <w:r w:rsidR="00AF5D1E" w:rsidRPr="00154B00">
        <w:t xml:space="preserve">Does the </w:t>
      </w:r>
      <w:r w:rsidR="00AF5D1E" w:rsidRPr="001B29A1">
        <w:t>medical</w:t>
      </w:r>
      <w:r w:rsidR="00AF5D1E" w:rsidRPr="00154B00">
        <w:t xml:space="preserve"> service </w:t>
      </w:r>
      <w:r w:rsidR="003904AC">
        <w:t>(</w:t>
      </w:r>
      <w:r w:rsidR="00AF5D1E" w:rsidRPr="00154B00">
        <w:t>that has been nominated as the comparator</w:t>
      </w:r>
      <w:r w:rsidR="003904AC">
        <w:t>)</w:t>
      </w:r>
      <w:r w:rsidR="000159B9" w:rsidRPr="00154B00">
        <w:t xml:space="preserve"> </w:t>
      </w:r>
      <w:r w:rsidR="00AF5D1E" w:rsidRPr="00154B00">
        <w:t>have an existing MBS item number</w:t>
      </w:r>
      <w:r w:rsidR="00D30BDC">
        <w:t>(s)</w:t>
      </w:r>
      <w:r w:rsidR="00757232">
        <w:t>?</w:t>
      </w:r>
    </w:p>
    <w:p w14:paraId="1804684A" w14:textId="77777777" w:rsidR="006A1038" w:rsidRDefault="006A1038" w:rsidP="006B3A92">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9701F3">
        <w:fldChar w:fldCharType="separate"/>
      </w:r>
      <w:r w:rsidRPr="00753C44">
        <w:fldChar w:fldCharType="end"/>
      </w:r>
      <w:r>
        <w:t xml:space="preserve"> Yes (please </w:t>
      </w:r>
      <w:r w:rsidR="003904AC">
        <w:t xml:space="preserve">list </w:t>
      </w:r>
      <w:r>
        <w:t>all relevant MBS item numbers below)</w:t>
      </w:r>
    </w:p>
    <w:p w14:paraId="7C21A769" w14:textId="6BF25A36" w:rsidR="000159B9" w:rsidRDefault="00951627" w:rsidP="006B3A92">
      <w:pPr>
        <w:pStyle w:val="Tickboxes"/>
      </w:pPr>
      <w:r>
        <w:fldChar w:fldCharType="begin">
          <w:ffData>
            <w:name w:val=""/>
            <w:enabled/>
            <w:calcOnExit w:val="0"/>
            <w:checkBox>
              <w:sizeAuto/>
              <w:default w:val="1"/>
            </w:checkBox>
          </w:ffData>
        </w:fldChar>
      </w:r>
      <w:r>
        <w:instrText xml:space="preserve"> FORMCHECKBOX </w:instrText>
      </w:r>
      <w:r w:rsidR="009701F3">
        <w:fldChar w:fldCharType="separate"/>
      </w:r>
      <w:r>
        <w:fldChar w:fldCharType="end"/>
      </w:r>
      <w:r w:rsidR="006A1038">
        <w:t xml:space="preserve"> No  </w:t>
      </w:r>
    </w:p>
    <w:p w14:paraId="1F2C9E76" w14:textId="426CD8D5" w:rsidR="00A83EC6" w:rsidRPr="00154B00" w:rsidRDefault="005C3AE7" w:rsidP="004B0D85">
      <w:pPr>
        <w:pStyle w:val="Heading2"/>
      </w:pPr>
      <w:r>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0DC7E040" w14:textId="20E41041" w:rsidR="001B29A1" w:rsidRDefault="00951627" w:rsidP="006B3A92">
      <w:pPr>
        <w:pStyle w:val="Tickboxes"/>
      </w:pPr>
      <w:r>
        <w:fldChar w:fldCharType="begin">
          <w:ffData>
            <w:name w:val=""/>
            <w:enabled/>
            <w:calcOnExit w:val="0"/>
            <w:checkBox>
              <w:sizeAuto/>
              <w:default w:val="1"/>
            </w:checkBox>
          </w:ffData>
        </w:fldChar>
      </w:r>
      <w:r>
        <w:instrText xml:space="preserve"> FORMCHECKBOX </w:instrText>
      </w:r>
      <w:r w:rsidR="009701F3">
        <w:fldChar w:fldCharType="separate"/>
      </w:r>
      <w:r>
        <w:fldChar w:fldCharType="end"/>
      </w:r>
      <w:r w:rsidR="001B29A1">
        <w:t xml:space="preserve"> </w:t>
      </w:r>
      <w:r w:rsidR="00282BE8">
        <w:t>In addition to (</w:t>
      </w:r>
      <w:proofErr w:type="gramStart"/>
      <w:r w:rsidR="00282BE8">
        <w:t>i.e.</w:t>
      </w:r>
      <w:proofErr w:type="gramEnd"/>
      <w:r w:rsidR="00282BE8">
        <w:t xml:space="preserve"> it is an add-on service)</w:t>
      </w:r>
      <w:r w:rsidR="001B29A1">
        <w:t xml:space="preserve"> </w:t>
      </w:r>
    </w:p>
    <w:p w14:paraId="47F2A063" w14:textId="77777777" w:rsidR="001B29A1" w:rsidRDefault="001B29A1" w:rsidP="006B3A92">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9701F3">
        <w:fldChar w:fldCharType="separate"/>
      </w:r>
      <w:r w:rsidRPr="00753C44">
        <w:fldChar w:fldCharType="end"/>
      </w:r>
      <w:r>
        <w:t xml:space="preserve"> </w:t>
      </w:r>
      <w:r w:rsidR="00282BE8">
        <w:t>Instead of (</w:t>
      </w:r>
      <w:proofErr w:type="gramStart"/>
      <w:r w:rsidR="00282BE8">
        <w:t>i.e.</w:t>
      </w:r>
      <w:proofErr w:type="gramEnd"/>
      <w:r w:rsidR="00282BE8">
        <w:t xml:space="preserve"> it is a replacement or alternative)</w:t>
      </w:r>
    </w:p>
    <w:p w14:paraId="41FFC517" w14:textId="77777777" w:rsidR="00E70D86" w:rsidRPr="00154B00" w:rsidRDefault="00095B45" w:rsidP="004B0D85">
      <w:pPr>
        <w:pStyle w:val="Heading2"/>
        <w:numPr>
          <w:ilvl w:val="0"/>
          <w:numId w:val="9"/>
        </w:numPr>
      </w:pPr>
      <w:r w:rsidRPr="00095B45">
        <w:t>If yes, please outline the extent to which the current service/comparator is expected to be substituted</w:t>
      </w:r>
    </w:p>
    <w:p w14:paraId="592F185F" w14:textId="40558DAB" w:rsidR="004B0D85" w:rsidRDefault="00845134" w:rsidP="008B63FD">
      <w:r>
        <w:t>In patients with ER+/HER2– cancer who are assessed to be at intermediate risk of distant metastases and considered suitable for adjuvant chemotherapy, would be offered the GEP test requested from pathology.</w:t>
      </w:r>
    </w:p>
    <w:p w14:paraId="6CA892DD" w14:textId="66FED49A" w:rsidR="00845134" w:rsidRPr="00845134" w:rsidRDefault="00845134" w:rsidP="004B0D85">
      <w:r>
        <w:rPr>
          <w:lang w:eastAsia="en-US"/>
        </w:rPr>
        <w:t xml:space="preserve">The results will </w:t>
      </w:r>
      <w:r w:rsidRPr="00845134">
        <w:rPr>
          <w:lang w:eastAsia="en-US"/>
        </w:rPr>
        <w:t>be used by the oncologist and patient to guide treatment decisions.</w:t>
      </w:r>
    </w:p>
    <w:p w14:paraId="11AE6DA2" w14:textId="7F60862B" w:rsidR="001B29A1" w:rsidRDefault="001B29A1" w:rsidP="00B15F25">
      <w:pPr>
        <w:ind w:left="0"/>
      </w:pPr>
    </w:p>
    <w:p w14:paraId="6BB08A2F" w14:textId="77777777" w:rsidR="00DF0D47" w:rsidRPr="00881F93" w:rsidRDefault="00095B45" w:rsidP="008B63FD">
      <w:pPr>
        <w:pStyle w:val="Subtitle"/>
        <w:ind w:left="0"/>
      </w:pPr>
      <w:r w:rsidRPr="00095B45">
        <w:t xml:space="preserve">PART 6c </w:t>
      </w:r>
      <w:proofErr w:type="gramStart"/>
      <w:r w:rsidRPr="00095B45">
        <w:t>CONTINUED  –</w:t>
      </w:r>
      <w:proofErr w:type="gramEnd"/>
      <w:r w:rsidRPr="00095B45">
        <w:t xml:space="preserve"> INFORMATION ABOUT ALGORITHMS (CLINICAL MANAGEMENT PATHWAYS)</w:t>
      </w:r>
      <w:r w:rsidR="008D1A4B">
        <w:t>s</w:t>
      </w:r>
    </w:p>
    <w:p w14:paraId="2F978394" w14:textId="1812D4DE" w:rsidR="00095B45" w:rsidRDefault="00095B45" w:rsidP="006B3A92">
      <w:pPr>
        <w:pStyle w:val="Heading2"/>
      </w:pPr>
      <w:r w:rsidRPr="00154B00">
        <w:t>Define</w:t>
      </w:r>
      <w:r w:rsidRPr="00095B45">
        <w:t xml:space="preserve"> and summarise the CURRENT clinical management pathway (algorithm) that patients follow when they receive the COMPARATOR service (</w:t>
      </w:r>
      <w:proofErr w:type="gramStart"/>
      <w:r w:rsidRPr="00095B45">
        <w:t>i.e.</w:t>
      </w:r>
      <w:proofErr w:type="gramEnd"/>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 xml:space="preserve">). </w:t>
      </w:r>
    </w:p>
    <w:p w14:paraId="05150E30" w14:textId="77777777" w:rsidR="00845134" w:rsidRPr="00845134" w:rsidRDefault="00845134" w:rsidP="004B0D85">
      <w:r>
        <w:t>Clinical management algorithm (current clinical practice OR international guidelines) for patients who have ER+/HER2– primary breast cancer</w:t>
      </w:r>
    </w:p>
    <w:p w14:paraId="1C801D01" w14:textId="4229682D" w:rsidR="00845134" w:rsidRDefault="00845134" w:rsidP="00B15F25">
      <w:pPr>
        <w:pStyle w:val="ListParagraph"/>
        <w:ind w:left="426"/>
      </w:pPr>
      <w:r>
        <w:rPr>
          <w:noProof/>
        </w:rPr>
        <w:drawing>
          <wp:inline distT="0" distB="0" distL="0" distR="0" wp14:anchorId="498E6A01" wp14:editId="548F7D35">
            <wp:extent cx="4505325" cy="3505200"/>
            <wp:effectExtent l="19050" t="19050" r="28575" b="19050"/>
            <wp:docPr id="14" name="Picture 14" descr="Clinical management algorithm for patients who have ER+/HER2- primary breast cancer"/>
            <wp:cNvGraphicFramePr/>
            <a:graphic xmlns:a="http://schemas.openxmlformats.org/drawingml/2006/main">
              <a:graphicData uri="http://schemas.openxmlformats.org/drawingml/2006/picture">
                <pic:pic xmlns:pic="http://schemas.openxmlformats.org/drawingml/2006/picture">
                  <pic:nvPicPr>
                    <pic:cNvPr id="14" name="Picture 14" descr="Clinical management algorithm for patients who have ER+/HER2- primary breast cancer"/>
                    <pic:cNvPicPr/>
                  </pic:nvPicPr>
                  <pic:blipFill>
                    <a:blip r:embed="rId18">
                      <a:extLst>
                        <a:ext uri="{28A0092B-C50C-407E-A947-70E740481C1C}">
                          <a14:useLocalDpi xmlns:a14="http://schemas.microsoft.com/office/drawing/2010/main" val="0"/>
                        </a:ext>
                      </a:extLst>
                    </a:blip>
                    <a:stretch>
                      <a:fillRect/>
                    </a:stretch>
                  </pic:blipFill>
                  <pic:spPr>
                    <a:xfrm>
                      <a:off x="0" y="0"/>
                      <a:ext cx="4505325" cy="3505200"/>
                    </a:xfrm>
                    <a:prstGeom prst="rect">
                      <a:avLst/>
                    </a:prstGeom>
                    <a:ln>
                      <a:solidFill>
                        <a:schemeClr val="accent1"/>
                      </a:solidFill>
                    </a:ln>
                  </pic:spPr>
                </pic:pic>
              </a:graphicData>
            </a:graphic>
          </wp:inline>
        </w:drawing>
      </w:r>
    </w:p>
    <w:p w14:paraId="7385DBD0" w14:textId="714EB2F8" w:rsidR="00845134" w:rsidRDefault="00845134" w:rsidP="004B0D85">
      <w:pPr>
        <w:pStyle w:val="ListParagraph"/>
      </w:pPr>
    </w:p>
    <w:p w14:paraId="7334D066" w14:textId="4C2BC015" w:rsidR="00845134" w:rsidRDefault="00845134" w:rsidP="004B0D85">
      <w:pPr>
        <w:pStyle w:val="ListParagraph"/>
      </w:pPr>
    </w:p>
    <w:p w14:paraId="03553E25" w14:textId="343AFBFC" w:rsidR="00845134" w:rsidRDefault="00095B45" w:rsidP="004B0D85">
      <w:pPr>
        <w:pStyle w:val="Heading2"/>
      </w:pPr>
      <w:r w:rsidRPr="00095B45">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4EBF911F" w14:textId="77777777" w:rsidR="00845134" w:rsidRPr="00845134" w:rsidRDefault="00845134" w:rsidP="004B0D85">
      <w:pPr>
        <w:rPr>
          <w:lang w:eastAsia="en-US"/>
        </w:rPr>
      </w:pPr>
      <w:r w:rsidRPr="00845134">
        <w:rPr>
          <w:lang w:eastAsia="en-US"/>
        </w:rPr>
        <w:t>Clinical management algorithm with the proposed medical service for patients who have ER+/HER2– primary breast cancer</w:t>
      </w:r>
    </w:p>
    <w:p w14:paraId="7495BE98" w14:textId="58CD1011" w:rsidR="00845134" w:rsidRPr="00845134" w:rsidRDefault="00845134" w:rsidP="004B0D85">
      <w:r>
        <w:rPr>
          <w:noProof/>
        </w:rPr>
        <w:drawing>
          <wp:inline distT="0" distB="0" distL="0" distR="0" wp14:anchorId="4DEE4766" wp14:editId="26A46EB2">
            <wp:extent cx="4219575" cy="3790950"/>
            <wp:effectExtent l="19050" t="19050" r="28575" b="19050"/>
            <wp:docPr id="5" name="Picture 5" descr="Clinical management algorithm with the proposed medical service for patients who have ER+/HER2– primary breast cancer"/>
            <wp:cNvGraphicFramePr/>
            <a:graphic xmlns:a="http://schemas.openxmlformats.org/drawingml/2006/main">
              <a:graphicData uri="http://schemas.openxmlformats.org/drawingml/2006/picture">
                <pic:pic xmlns:pic="http://schemas.openxmlformats.org/drawingml/2006/picture">
                  <pic:nvPicPr>
                    <pic:cNvPr id="5" name="Picture 5" descr="Clinical management algorithm with the proposed medical service for patients who have ER+/HER2– primary breast cancer"/>
                    <pic:cNvPicPr/>
                  </pic:nvPicPr>
                  <pic:blipFill>
                    <a:blip r:embed="rId19"/>
                    <a:stretch>
                      <a:fillRect/>
                    </a:stretch>
                  </pic:blipFill>
                  <pic:spPr>
                    <a:xfrm>
                      <a:off x="0" y="0"/>
                      <a:ext cx="4219575" cy="3790950"/>
                    </a:xfrm>
                    <a:prstGeom prst="rect">
                      <a:avLst/>
                    </a:prstGeom>
                    <a:ln>
                      <a:solidFill>
                        <a:schemeClr val="accent1"/>
                      </a:solidFill>
                    </a:ln>
                  </pic:spPr>
                </pic:pic>
              </a:graphicData>
            </a:graphic>
          </wp:inline>
        </w:drawing>
      </w:r>
    </w:p>
    <w:p w14:paraId="20A89114" w14:textId="77777777" w:rsidR="0047363C" w:rsidRPr="0047363C" w:rsidRDefault="0047363C" w:rsidP="004B0D85"/>
    <w:p w14:paraId="7DD268CE" w14:textId="77777777" w:rsidR="00095B45" w:rsidRPr="00095B45" w:rsidRDefault="00095B45" w:rsidP="008B63FD">
      <w:pPr>
        <w:pStyle w:val="Subtitle"/>
        <w:ind w:left="0"/>
      </w:pPr>
      <w:r w:rsidRPr="00095B45">
        <w:t>PART 6d – INFORMATION ABOUT CLINICAL OUTCOMES</w:t>
      </w:r>
    </w:p>
    <w:p w14:paraId="0C0B9E0D" w14:textId="77777777" w:rsidR="004E3CC7" w:rsidRPr="001B29A1" w:rsidRDefault="0070256F" w:rsidP="004B0D85">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7822F99D" w14:textId="77777777" w:rsidR="00F36544" w:rsidRPr="00F36544" w:rsidRDefault="00F36544" w:rsidP="004B0D85">
      <w:pPr>
        <w:rPr>
          <w:lang w:eastAsia="en-US"/>
        </w:rPr>
      </w:pPr>
      <w:r w:rsidRPr="00F36544">
        <w:rPr>
          <w:lang w:eastAsia="en-US"/>
        </w:rPr>
        <w:t xml:space="preserve">The EndoPredict test is an in vitro diagnostic product for determining the risk of distant recurrence in patients with estrogen-receptor-positive, HER2–negative primary breast cancer treated exclusively with adjuvant ET. </w:t>
      </w:r>
    </w:p>
    <w:p w14:paraId="70CEF9C3" w14:textId="77777777" w:rsidR="00F36544" w:rsidRPr="00F36544" w:rsidRDefault="00F36544" w:rsidP="004B0D85">
      <w:pPr>
        <w:rPr>
          <w:lang w:eastAsia="en-US"/>
        </w:rPr>
      </w:pPr>
      <w:r w:rsidRPr="00F36544">
        <w:rPr>
          <w:lang w:eastAsia="en-US"/>
        </w:rPr>
        <w:t>EndoPredict improves the targeted use of systemic therapy in patients with ER+/HER2– breast cancer who have been assessed to be at intermediate clinical risk of distant recurrence. Currently, optimal treatment for patients in this group is regarded as the most difficult to determine, resulting in variable treatment decisions and outcomes between centres. Although chemotherapy can reduce the likelihood of cancer recurrence and death for women with breast cancer, it has considerable adverse effects and reduces quality of life. Improved information on a patient’s risk of recurrence (</w:t>
      </w:r>
      <w:proofErr w:type="gramStart"/>
      <w:r w:rsidRPr="00F36544">
        <w:rPr>
          <w:lang w:eastAsia="en-US"/>
        </w:rPr>
        <w:t>i.e.</w:t>
      </w:r>
      <w:proofErr w:type="gramEnd"/>
      <w:r w:rsidRPr="00F36544">
        <w:rPr>
          <w:lang w:eastAsia="en-US"/>
        </w:rPr>
        <w:t xml:space="preserve"> prognostic risk) and/or likely response to chemotherapy (i.e. predictive benefit) may help target chemotherapy to those patients who will benefit the most. </w:t>
      </w:r>
    </w:p>
    <w:p w14:paraId="34BB0BE6" w14:textId="5E1573FF" w:rsidR="004E3CC7" w:rsidRPr="00F36544" w:rsidRDefault="00F36544" w:rsidP="004B0D85">
      <w:pPr>
        <w:rPr>
          <w:lang w:eastAsia="en-US"/>
        </w:rPr>
      </w:pPr>
      <w:r w:rsidRPr="00F36544">
        <w:rPr>
          <w:lang w:eastAsia="en-US"/>
        </w:rPr>
        <w:t>Ultimately, EndoPredict is expected to influence the proportions of patients receiving ET alone and those receiving endocrine with adjuvant chemotherapy by providing better guidance for treatment decisions. Unnecessary chemotherapy can be reduced without negatively affecting the quality of treatment and more precise diagnostics can reduce the risk of undertreatment, thereby facilitating more effective patient treatment than current clinical practice</w:t>
      </w:r>
      <w:r>
        <w:t xml:space="preserve">. </w:t>
      </w:r>
    </w:p>
    <w:p w14:paraId="06C452B8" w14:textId="5CA3BB62" w:rsidR="004E3CC7" w:rsidRDefault="0047363C" w:rsidP="004B0D85">
      <w:pPr>
        <w:pStyle w:val="Heading2"/>
      </w:pPr>
      <w:r w:rsidRPr="0047363C">
        <w:t>Please state what the overall clinical claim is</w:t>
      </w:r>
      <w:r>
        <w:t>:</w:t>
      </w:r>
    </w:p>
    <w:p w14:paraId="780FF36C" w14:textId="77777777" w:rsidR="00F36544" w:rsidRDefault="00F36544" w:rsidP="004B0D85">
      <w:r>
        <w:t>The clinical claim is that in women</w:t>
      </w:r>
      <w:r w:rsidRPr="007572D8">
        <w:t xml:space="preserve"> with ER+, HER2– breast cancer</w:t>
      </w:r>
      <w:r>
        <w:t xml:space="preserve"> at intermediate clinical risk of developing metastatic breast cancer, </w:t>
      </w:r>
      <w:r w:rsidRPr="00786352">
        <w:t>the EndoPredict test and validated EPclin score has non-inferior safety and superior effectiveness</w:t>
      </w:r>
      <w:r>
        <w:t xml:space="preserve"> compared with the main comparator – current SOC clinical practice. </w:t>
      </w:r>
    </w:p>
    <w:p w14:paraId="47530C49" w14:textId="70600266" w:rsidR="00A6092C" w:rsidRPr="00F502A9" w:rsidRDefault="00F36544" w:rsidP="00B15F25">
      <w:r>
        <w:t>EndoPredict demonstrates incremental prognostic value over current SOC clinical practice</w:t>
      </w:r>
      <w:r w:rsidR="00154927">
        <w:t>.</w:t>
      </w:r>
    </w:p>
    <w:p w14:paraId="64340FC9" w14:textId="503B7AF3" w:rsidR="00B25D20" w:rsidRDefault="00E6222F" w:rsidP="004B0D85">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p>
    <w:p w14:paraId="5F5786A2" w14:textId="77777777" w:rsidR="00A603F3" w:rsidRDefault="00A603F3" w:rsidP="004B0D85">
      <w:r>
        <w:t>Primary Outcomes:</w:t>
      </w:r>
    </w:p>
    <w:p w14:paraId="3C4E6BDC" w14:textId="78BFCF54" w:rsidR="00943A5E" w:rsidRDefault="00247408" w:rsidP="004B0D85">
      <w:pPr>
        <w:pStyle w:val="ListParagraph"/>
        <w:numPr>
          <w:ilvl w:val="0"/>
          <w:numId w:val="18"/>
        </w:numPr>
      </w:pPr>
      <w:r>
        <w:t>No distant</w:t>
      </w:r>
      <w:r w:rsidR="004851CD">
        <w:t>/local</w:t>
      </w:r>
      <w:r>
        <w:t xml:space="preserve"> recurrence</w:t>
      </w:r>
    </w:p>
    <w:p w14:paraId="2986E92D" w14:textId="015E4FFA" w:rsidR="00247408" w:rsidRDefault="00247408" w:rsidP="004B0D85">
      <w:pPr>
        <w:pStyle w:val="ListParagraph"/>
        <w:numPr>
          <w:ilvl w:val="0"/>
          <w:numId w:val="18"/>
        </w:numPr>
      </w:pPr>
      <w:r>
        <w:t>Distant</w:t>
      </w:r>
      <w:r w:rsidR="004851CD">
        <w:t>/local</w:t>
      </w:r>
      <w:r>
        <w:t xml:space="preserve"> recurrence</w:t>
      </w:r>
    </w:p>
    <w:p w14:paraId="03C34DC4" w14:textId="3BD4D223" w:rsidR="00247408" w:rsidRDefault="00247408" w:rsidP="004B0D85">
      <w:pPr>
        <w:pStyle w:val="ListParagraph"/>
        <w:numPr>
          <w:ilvl w:val="0"/>
          <w:numId w:val="18"/>
        </w:numPr>
      </w:pPr>
      <w:r>
        <w:t>Chemotherapy</w:t>
      </w:r>
    </w:p>
    <w:p w14:paraId="6E8E6805" w14:textId="4E8C9F85" w:rsidR="00A603F3" w:rsidRDefault="004851CD" w:rsidP="004B0D85">
      <w:r>
        <w:t>Secondary Outcomes:</w:t>
      </w:r>
    </w:p>
    <w:p w14:paraId="74E4776F" w14:textId="3DC465C9" w:rsidR="00A6092C" w:rsidRDefault="00A6092C" w:rsidP="004B0D85">
      <w:r>
        <w:t>Toxicity</w:t>
      </w:r>
      <w:r>
        <w:br/>
        <w:t>Febrile neutropenia</w:t>
      </w:r>
      <w:r>
        <w:br/>
        <w:t>Severe (grade3-5) cardiotoxicity</w:t>
      </w:r>
      <w:r>
        <w:br/>
        <w:t>Leukemic/myelodysplastic syndrome</w:t>
      </w:r>
      <w:r>
        <w:br/>
        <w:t>Severe (grade 3-5) neurotoxicity</w:t>
      </w:r>
      <w:r>
        <w:br/>
        <w:t>Venous thromboembolic events</w:t>
      </w:r>
    </w:p>
    <w:p w14:paraId="1EDAE603" w14:textId="2CB906A0" w:rsidR="00A6092C" w:rsidRDefault="00A6092C" w:rsidP="004B0D85">
      <w:r>
        <w:t>Metastatic state</w:t>
      </w:r>
    </w:p>
    <w:p w14:paraId="496DABF1" w14:textId="77777777" w:rsidR="006B3A92" w:rsidRDefault="006B3A92">
      <w:pPr>
        <w:spacing w:before="0" w:after="200" w:line="276" w:lineRule="auto"/>
        <w:ind w:left="0"/>
        <w:rPr>
          <w:bCs/>
          <w:color w:val="4F81BD" w:themeColor="accent1"/>
          <w:sz w:val="40"/>
          <w:szCs w:val="32"/>
          <w:lang w:eastAsia="en-US"/>
        </w:rPr>
      </w:pPr>
      <w:r>
        <w:br w:type="page"/>
      </w:r>
    </w:p>
    <w:p w14:paraId="278CA898" w14:textId="257D0D23" w:rsidR="00C776B1" w:rsidRPr="00C776B1" w:rsidRDefault="005C3AE7" w:rsidP="0056015F">
      <w:pPr>
        <w:pStyle w:val="Heading1"/>
      </w:pPr>
      <w:r>
        <w:t>PART 7</w:t>
      </w:r>
      <w:r w:rsidR="00F93784">
        <w:t xml:space="preserve"> – </w:t>
      </w:r>
      <w:r w:rsidR="006C74B1" w:rsidRPr="00C776B1">
        <w:t xml:space="preserve">INFORMATION ABOUT </w:t>
      </w:r>
      <w:r w:rsidR="0018630F" w:rsidRPr="00C776B1">
        <w:t xml:space="preserve">ESTIMATED </w:t>
      </w:r>
      <w:r w:rsidR="00974D50" w:rsidRPr="00C776B1">
        <w:t>UTILISATION</w:t>
      </w:r>
    </w:p>
    <w:p w14:paraId="5A2CA89B" w14:textId="77777777" w:rsidR="006C74B1" w:rsidRPr="00092580" w:rsidRDefault="00BE0FDE" w:rsidP="004B0D85">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tbl>
      <w:tblPr>
        <w:tblStyle w:val="TableGrid"/>
        <w:tblW w:w="0" w:type="auto"/>
        <w:tblInd w:w="426" w:type="dxa"/>
        <w:tblLook w:val="04A0" w:firstRow="1" w:lastRow="0" w:firstColumn="1" w:lastColumn="0" w:noHBand="0" w:noVBand="1"/>
      </w:tblPr>
      <w:tblGrid>
        <w:gridCol w:w="420"/>
        <w:gridCol w:w="2977"/>
        <w:gridCol w:w="1020"/>
        <w:gridCol w:w="1021"/>
        <w:gridCol w:w="1020"/>
        <w:gridCol w:w="1021"/>
        <w:gridCol w:w="1021"/>
      </w:tblGrid>
      <w:tr w:rsidR="00B818F0" w:rsidRPr="008B63FD" w14:paraId="554BD927" w14:textId="77777777" w:rsidTr="008B63FD">
        <w:tc>
          <w:tcPr>
            <w:tcW w:w="420" w:type="dxa"/>
            <w:shd w:val="clear" w:color="auto" w:fill="D9D9D9" w:themeFill="background1" w:themeFillShade="D9"/>
          </w:tcPr>
          <w:p w14:paraId="06D64F0C" w14:textId="351EBC3C" w:rsidR="00B818F0" w:rsidRPr="008B63FD" w:rsidRDefault="00B818F0" w:rsidP="008B63FD">
            <w:pPr>
              <w:pStyle w:val="TableText0"/>
            </w:pPr>
          </w:p>
        </w:tc>
        <w:tc>
          <w:tcPr>
            <w:tcW w:w="2977" w:type="dxa"/>
            <w:shd w:val="clear" w:color="auto" w:fill="D9D9D9" w:themeFill="background1" w:themeFillShade="D9"/>
          </w:tcPr>
          <w:p w14:paraId="58EA4641" w14:textId="2150A2D1" w:rsidR="00B818F0" w:rsidRPr="008B63FD" w:rsidRDefault="00D45223" w:rsidP="008B63FD">
            <w:pPr>
              <w:pStyle w:val="TableText0"/>
              <w:rPr>
                <w:b/>
                <w:bCs w:val="0"/>
              </w:rPr>
            </w:pPr>
            <w:r w:rsidRPr="008B63FD">
              <w:rPr>
                <w:b/>
                <w:bCs w:val="0"/>
              </w:rPr>
              <w:t>Description</w:t>
            </w:r>
          </w:p>
        </w:tc>
        <w:tc>
          <w:tcPr>
            <w:tcW w:w="1020" w:type="dxa"/>
            <w:shd w:val="clear" w:color="auto" w:fill="D9D9D9" w:themeFill="background1" w:themeFillShade="D9"/>
          </w:tcPr>
          <w:p w14:paraId="5D48DA32" w14:textId="5C9FE689" w:rsidR="00B818F0" w:rsidRPr="008B63FD" w:rsidRDefault="00B818F0" w:rsidP="008B63FD">
            <w:pPr>
              <w:pStyle w:val="TableText0"/>
              <w:rPr>
                <w:b/>
                <w:bCs w:val="0"/>
              </w:rPr>
            </w:pPr>
            <w:r w:rsidRPr="008B63FD">
              <w:rPr>
                <w:b/>
                <w:bCs w:val="0"/>
              </w:rPr>
              <w:t>Source</w:t>
            </w:r>
          </w:p>
        </w:tc>
        <w:tc>
          <w:tcPr>
            <w:tcW w:w="1021" w:type="dxa"/>
            <w:shd w:val="clear" w:color="auto" w:fill="D9D9D9" w:themeFill="background1" w:themeFillShade="D9"/>
          </w:tcPr>
          <w:p w14:paraId="2E9620E1" w14:textId="2DB96BD9" w:rsidR="00B818F0" w:rsidRPr="008B63FD" w:rsidRDefault="00B818F0" w:rsidP="008B63FD">
            <w:pPr>
              <w:pStyle w:val="TableText0"/>
              <w:rPr>
                <w:b/>
                <w:bCs w:val="0"/>
              </w:rPr>
            </w:pPr>
            <w:r w:rsidRPr="008B63FD">
              <w:rPr>
                <w:b/>
                <w:bCs w:val="0"/>
              </w:rPr>
              <w:t>2021</w:t>
            </w:r>
          </w:p>
        </w:tc>
        <w:tc>
          <w:tcPr>
            <w:tcW w:w="1020" w:type="dxa"/>
            <w:shd w:val="clear" w:color="auto" w:fill="D9D9D9" w:themeFill="background1" w:themeFillShade="D9"/>
          </w:tcPr>
          <w:p w14:paraId="5078157B" w14:textId="55BC8612" w:rsidR="00B818F0" w:rsidRPr="008B63FD" w:rsidRDefault="00B818F0" w:rsidP="008B63FD">
            <w:pPr>
              <w:pStyle w:val="TableText0"/>
              <w:rPr>
                <w:b/>
                <w:bCs w:val="0"/>
              </w:rPr>
            </w:pPr>
            <w:r w:rsidRPr="008B63FD">
              <w:rPr>
                <w:b/>
                <w:bCs w:val="0"/>
              </w:rPr>
              <w:t>2022</w:t>
            </w:r>
          </w:p>
        </w:tc>
        <w:tc>
          <w:tcPr>
            <w:tcW w:w="1021" w:type="dxa"/>
            <w:shd w:val="clear" w:color="auto" w:fill="D9D9D9" w:themeFill="background1" w:themeFillShade="D9"/>
          </w:tcPr>
          <w:p w14:paraId="29DCDCF0" w14:textId="38E3E841" w:rsidR="00B818F0" w:rsidRPr="008B63FD" w:rsidRDefault="00B818F0" w:rsidP="008B63FD">
            <w:pPr>
              <w:pStyle w:val="TableText0"/>
              <w:rPr>
                <w:b/>
                <w:bCs w:val="0"/>
              </w:rPr>
            </w:pPr>
            <w:r w:rsidRPr="008B63FD">
              <w:rPr>
                <w:b/>
                <w:bCs w:val="0"/>
              </w:rPr>
              <w:t>2023</w:t>
            </w:r>
          </w:p>
        </w:tc>
        <w:tc>
          <w:tcPr>
            <w:tcW w:w="1021" w:type="dxa"/>
            <w:shd w:val="clear" w:color="auto" w:fill="D9D9D9" w:themeFill="background1" w:themeFillShade="D9"/>
          </w:tcPr>
          <w:p w14:paraId="47745774" w14:textId="52A86ECB" w:rsidR="00B818F0" w:rsidRPr="008B63FD" w:rsidRDefault="00B818F0" w:rsidP="008B63FD">
            <w:pPr>
              <w:pStyle w:val="TableText0"/>
              <w:rPr>
                <w:b/>
                <w:bCs w:val="0"/>
              </w:rPr>
            </w:pPr>
            <w:r w:rsidRPr="008B63FD">
              <w:rPr>
                <w:b/>
                <w:bCs w:val="0"/>
              </w:rPr>
              <w:t>2024</w:t>
            </w:r>
          </w:p>
        </w:tc>
      </w:tr>
      <w:tr w:rsidR="00C20DC5" w:rsidRPr="008B63FD" w14:paraId="0BBD4E6F" w14:textId="77777777" w:rsidTr="008B63FD">
        <w:trPr>
          <w:trHeight w:val="644"/>
        </w:trPr>
        <w:tc>
          <w:tcPr>
            <w:tcW w:w="420" w:type="dxa"/>
          </w:tcPr>
          <w:p w14:paraId="4BA1C12C" w14:textId="4181000D" w:rsidR="00C20DC5" w:rsidRPr="008B63FD" w:rsidRDefault="00C20DC5" w:rsidP="008B63FD">
            <w:pPr>
              <w:pStyle w:val="TableText0"/>
            </w:pPr>
            <w:r w:rsidRPr="008B63FD">
              <w:t>A</w:t>
            </w:r>
          </w:p>
        </w:tc>
        <w:tc>
          <w:tcPr>
            <w:tcW w:w="2977" w:type="dxa"/>
          </w:tcPr>
          <w:p w14:paraId="177C810A" w14:textId="7F5AEA25" w:rsidR="00C20DC5" w:rsidRPr="008B63FD" w:rsidRDefault="00C20DC5" w:rsidP="008B63FD">
            <w:pPr>
              <w:pStyle w:val="TableText0"/>
            </w:pPr>
            <w:r w:rsidRPr="008B63FD">
              <w:t>Projected incidence in 2019: 19371*</w:t>
            </w:r>
          </w:p>
        </w:tc>
        <w:tc>
          <w:tcPr>
            <w:tcW w:w="1020" w:type="dxa"/>
            <w:vAlign w:val="center"/>
          </w:tcPr>
          <w:p w14:paraId="770DD5BE" w14:textId="77777777" w:rsidR="00C20DC5" w:rsidRPr="008B63FD" w:rsidRDefault="00C20DC5" w:rsidP="008B63FD">
            <w:pPr>
              <w:pStyle w:val="TableText0"/>
            </w:pPr>
            <w:r w:rsidRPr="008B63FD">
              <w:t xml:space="preserve">AIHW </w:t>
            </w:r>
          </w:p>
          <w:p w14:paraId="1E6F1E1F" w14:textId="38894753" w:rsidR="00C20DC5" w:rsidRPr="008B63FD" w:rsidRDefault="00C20DC5" w:rsidP="008B63FD">
            <w:pPr>
              <w:pStyle w:val="TableText0"/>
            </w:pPr>
            <w:r w:rsidRPr="008B63FD">
              <w:t>19371</w:t>
            </w:r>
          </w:p>
        </w:tc>
        <w:tc>
          <w:tcPr>
            <w:tcW w:w="1021" w:type="dxa"/>
            <w:vAlign w:val="center"/>
          </w:tcPr>
          <w:p w14:paraId="27E35BA9" w14:textId="77777777" w:rsidR="00C20DC5" w:rsidRPr="008B63FD" w:rsidRDefault="00C20DC5" w:rsidP="008B63FD">
            <w:pPr>
              <w:pStyle w:val="TableText0"/>
            </w:pPr>
          </w:p>
        </w:tc>
        <w:tc>
          <w:tcPr>
            <w:tcW w:w="1020" w:type="dxa"/>
            <w:vAlign w:val="center"/>
          </w:tcPr>
          <w:p w14:paraId="58403869" w14:textId="77777777" w:rsidR="00C20DC5" w:rsidRPr="008B63FD" w:rsidRDefault="00C20DC5" w:rsidP="008B63FD">
            <w:pPr>
              <w:pStyle w:val="TableText0"/>
            </w:pPr>
          </w:p>
        </w:tc>
        <w:tc>
          <w:tcPr>
            <w:tcW w:w="1021" w:type="dxa"/>
            <w:vAlign w:val="center"/>
          </w:tcPr>
          <w:p w14:paraId="32C10211" w14:textId="77777777" w:rsidR="00C20DC5" w:rsidRPr="008B63FD" w:rsidRDefault="00C20DC5" w:rsidP="008B63FD">
            <w:pPr>
              <w:pStyle w:val="TableText0"/>
            </w:pPr>
          </w:p>
        </w:tc>
        <w:tc>
          <w:tcPr>
            <w:tcW w:w="1021" w:type="dxa"/>
            <w:vAlign w:val="center"/>
          </w:tcPr>
          <w:p w14:paraId="31790B90" w14:textId="77777777" w:rsidR="00C20DC5" w:rsidRPr="008B63FD" w:rsidRDefault="00C20DC5" w:rsidP="008B63FD">
            <w:pPr>
              <w:pStyle w:val="TableText0"/>
            </w:pPr>
          </w:p>
        </w:tc>
      </w:tr>
      <w:tr w:rsidR="00B818F0" w:rsidRPr="008B63FD" w14:paraId="71C9BBA2" w14:textId="77777777" w:rsidTr="008B63FD">
        <w:tc>
          <w:tcPr>
            <w:tcW w:w="420" w:type="dxa"/>
          </w:tcPr>
          <w:p w14:paraId="544D8A5E" w14:textId="0E581681" w:rsidR="00B818F0" w:rsidRPr="008B63FD" w:rsidRDefault="00B818F0" w:rsidP="008B63FD">
            <w:pPr>
              <w:pStyle w:val="TableText0"/>
            </w:pPr>
            <w:r w:rsidRPr="008B63FD">
              <w:t>B</w:t>
            </w:r>
          </w:p>
        </w:tc>
        <w:tc>
          <w:tcPr>
            <w:tcW w:w="2977" w:type="dxa"/>
          </w:tcPr>
          <w:p w14:paraId="59D6891B" w14:textId="66A328B8" w:rsidR="00B818F0" w:rsidRPr="008B63FD" w:rsidRDefault="00B818F0" w:rsidP="008B63FD">
            <w:pPr>
              <w:pStyle w:val="TableText0"/>
            </w:pPr>
            <w:r w:rsidRPr="008B63FD">
              <w:t>Projected incidence of breast cancer *</w:t>
            </w:r>
          </w:p>
        </w:tc>
        <w:tc>
          <w:tcPr>
            <w:tcW w:w="1020" w:type="dxa"/>
            <w:vAlign w:val="center"/>
          </w:tcPr>
          <w:p w14:paraId="2715C977" w14:textId="4072AE06" w:rsidR="00B818F0" w:rsidRPr="008B63FD" w:rsidRDefault="00B818F0" w:rsidP="008B63FD">
            <w:pPr>
              <w:pStyle w:val="TableText0"/>
            </w:pPr>
            <w:r w:rsidRPr="008B63FD">
              <w:t>A x 3.25%</w:t>
            </w:r>
          </w:p>
        </w:tc>
        <w:tc>
          <w:tcPr>
            <w:tcW w:w="1021" w:type="dxa"/>
            <w:vAlign w:val="center"/>
          </w:tcPr>
          <w:p w14:paraId="1656A5C8" w14:textId="124D6B33" w:rsidR="00B818F0" w:rsidRPr="008B63FD" w:rsidRDefault="00B818F0" w:rsidP="008B63FD">
            <w:pPr>
              <w:pStyle w:val="TableText0"/>
            </w:pPr>
            <w:r w:rsidRPr="008B63FD">
              <w:t>20643</w:t>
            </w:r>
          </w:p>
        </w:tc>
        <w:tc>
          <w:tcPr>
            <w:tcW w:w="1020" w:type="dxa"/>
            <w:vAlign w:val="center"/>
          </w:tcPr>
          <w:p w14:paraId="15229C63" w14:textId="539943E7" w:rsidR="00B818F0" w:rsidRPr="008B63FD" w:rsidRDefault="00B818F0" w:rsidP="008B63FD">
            <w:pPr>
              <w:pStyle w:val="TableText0"/>
            </w:pPr>
            <w:r w:rsidRPr="008B63FD">
              <w:t>21309</w:t>
            </w:r>
          </w:p>
        </w:tc>
        <w:tc>
          <w:tcPr>
            <w:tcW w:w="1021" w:type="dxa"/>
            <w:vAlign w:val="center"/>
          </w:tcPr>
          <w:p w14:paraId="6BD63450" w14:textId="5048BE58" w:rsidR="00B818F0" w:rsidRPr="008B63FD" w:rsidRDefault="00B818F0" w:rsidP="008B63FD">
            <w:pPr>
              <w:pStyle w:val="TableText0"/>
            </w:pPr>
            <w:r w:rsidRPr="008B63FD">
              <w:t>21998</w:t>
            </w:r>
          </w:p>
        </w:tc>
        <w:tc>
          <w:tcPr>
            <w:tcW w:w="1021" w:type="dxa"/>
            <w:vAlign w:val="center"/>
          </w:tcPr>
          <w:p w14:paraId="44A7BB50" w14:textId="11BB0BB1" w:rsidR="00B818F0" w:rsidRPr="008B63FD" w:rsidRDefault="00B818F0" w:rsidP="008B63FD">
            <w:pPr>
              <w:pStyle w:val="TableText0"/>
            </w:pPr>
            <w:r w:rsidRPr="008B63FD">
              <w:t>22708</w:t>
            </w:r>
          </w:p>
        </w:tc>
      </w:tr>
      <w:tr w:rsidR="00B818F0" w:rsidRPr="008B63FD" w14:paraId="50F68BB0" w14:textId="77777777" w:rsidTr="008B63FD">
        <w:tc>
          <w:tcPr>
            <w:tcW w:w="420" w:type="dxa"/>
          </w:tcPr>
          <w:p w14:paraId="43285A92" w14:textId="64641313" w:rsidR="00B818F0" w:rsidRPr="008B63FD" w:rsidRDefault="00B818F0" w:rsidP="008B63FD">
            <w:pPr>
              <w:pStyle w:val="TableText0"/>
            </w:pPr>
            <w:r w:rsidRPr="008B63FD">
              <w:t>C</w:t>
            </w:r>
          </w:p>
        </w:tc>
        <w:tc>
          <w:tcPr>
            <w:tcW w:w="2977" w:type="dxa"/>
          </w:tcPr>
          <w:p w14:paraId="004E7F80" w14:textId="781BF923" w:rsidR="00B818F0" w:rsidRPr="008B63FD" w:rsidRDefault="00B818F0" w:rsidP="008B63FD">
            <w:pPr>
              <w:pStyle w:val="TableText0"/>
            </w:pPr>
            <w:r w:rsidRPr="008B63FD">
              <w:t>Early breast cancer</w:t>
            </w:r>
          </w:p>
        </w:tc>
        <w:tc>
          <w:tcPr>
            <w:tcW w:w="1020" w:type="dxa"/>
            <w:vAlign w:val="center"/>
          </w:tcPr>
          <w:p w14:paraId="3EFF901A" w14:textId="0CE17CEA" w:rsidR="00B818F0" w:rsidRPr="008B63FD" w:rsidRDefault="00B818F0" w:rsidP="008B63FD">
            <w:pPr>
              <w:pStyle w:val="TableText0"/>
            </w:pPr>
            <w:r w:rsidRPr="008B63FD">
              <w:t>B x 80%</w:t>
            </w:r>
          </w:p>
        </w:tc>
        <w:tc>
          <w:tcPr>
            <w:tcW w:w="1021" w:type="dxa"/>
            <w:vAlign w:val="center"/>
          </w:tcPr>
          <w:p w14:paraId="5E7DF550" w14:textId="76A29BCB" w:rsidR="00B818F0" w:rsidRPr="008B63FD" w:rsidRDefault="00B818F0" w:rsidP="008B63FD">
            <w:pPr>
              <w:pStyle w:val="TableText0"/>
            </w:pPr>
            <w:r w:rsidRPr="008B63FD">
              <w:t>16,514</w:t>
            </w:r>
          </w:p>
        </w:tc>
        <w:tc>
          <w:tcPr>
            <w:tcW w:w="1020" w:type="dxa"/>
            <w:vAlign w:val="center"/>
          </w:tcPr>
          <w:p w14:paraId="2138F786" w14:textId="573FACC9" w:rsidR="00B818F0" w:rsidRPr="008B63FD" w:rsidRDefault="00B818F0" w:rsidP="008B63FD">
            <w:pPr>
              <w:pStyle w:val="TableText0"/>
            </w:pPr>
            <w:r w:rsidRPr="008B63FD">
              <w:t>17,048</w:t>
            </w:r>
          </w:p>
        </w:tc>
        <w:tc>
          <w:tcPr>
            <w:tcW w:w="1021" w:type="dxa"/>
            <w:vAlign w:val="center"/>
          </w:tcPr>
          <w:p w14:paraId="217CA267" w14:textId="40D4868B" w:rsidR="00B818F0" w:rsidRPr="008B63FD" w:rsidRDefault="00B818F0" w:rsidP="008B63FD">
            <w:pPr>
              <w:pStyle w:val="TableText0"/>
            </w:pPr>
            <w:r w:rsidRPr="008B63FD">
              <w:t>17,598</w:t>
            </w:r>
          </w:p>
        </w:tc>
        <w:tc>
          <w:tcPr>
            <w:tcW w:w="1021" w:type="dxa"/>
            <w:vAlign w:val="center"/>
          </w:tcPr>
          <w:p w14:paraId="456F1146" w14:textId="343A4F13" w:rsidR="00B818F0" w:rsidRPr="008B63FD" w:rsidRDefault="00B818F0" w:rsidP="008B63FD">
            <w:pPr>
              <w:pStyle w:val="TableText0"/>
            </w:pPr>
            <w:r w:rsidRPr="008B63FD">
              <w:t>18,167</w:t>
            </w:r>
          </w:p>
        </w:tc>
      </w:tr>
      <w:tr w:rsidR="00B818F0" w:rsidRPr="008B63FD" w14:paraId="3A78D931" w14:textId="77777777" w:rsidTr="008B63FD">
        <w:tc>
          <w:tcPr>
            <w:tcW w:w="420" w:type="dxa"/>
          </w:tcPr>
          <w:p w14:paraId="50D53CAF" w14:textId="4931122E" w:rsidR="00B818F0" w:rsidRPr="008B63FD" w:rsidRDefault="00B818F0" w:rsidP="008B63FD">
            <w:pPr>
              <w:pStyle w:val="TableText0"/>
            </w:pPr>
            <w:r w:rsidRPr="008B63FD">
              <w:t>D</w:t>
            </w:r>
          </w:p>
        </w:tc>
        <w:tc>
          <w:tcPr>
            <w:tcW w:w="2977" w:type="dxa"/>
          </w:tcPr>
          <w:p w14:paraId="1F85DE97" w14:textId="00FF8D22" w:rsidR="00B818F0" w:rsidRPr="008B63FD" w:rsidRDefault="00B818F0" w:rsidP="008B63FD">
            <w:pPr>
              <w:pStyle w:val="TableText0"/>
            </w:pPr>
            <w:proofErr w:type="spellStart"/>
            <w:r w:rsidRPr="008B63FD">
              <w:t>eBR</w:t>
            </w:r>
            <w:proofErr w:type="spellEnd"/>
            <w:r w:rsidRPr="008B63FD">
              <w:t xml:space="preserve"> HR+</w:t>
            </w:r>
          </w:p>
        </w:tc>
        <w:tc>
          <w:tcPr>
            <w:tcW w:w="1020" w:type="dxa"/>
            <w:vAlign w:val="center"/>
          </w:tcPr>
          <w:p w14:paraId="6DB9189A" w14:textId="4181D9C6" w:rsidR="00B818F0" w:rsidRPr="008B63FD" w:rsidRDefault="00B818F0" w:rsidP="008B63FD">
            <w:pPr>
              <w:pStyle w:val="TableText0"/>
            </w:pPr>
            <w:r w:rsidRPr="008B63FD">
              <w:t>C x 67%</w:t>
            </w:r>
          </w:p>
        </w:tc>
        <w:tc>
          <w:tcPr>
            <w:tcW w:w="1021" w:type="dxa"/>
            <w:vAlign w:val="center"/>
          </w:tcPr>
          <w:p w14:paraId="70F1AC4D" w14:textId="3BF857CE" w:rsidR="00B818F0" w:rsidRPr="008B63FD" w:rsidRDefault="00B818F0" w:rsidP="008B63FD">
            <w:pPr>
              <w:pStyle w:val="TableText0"/>
            </w:pPr>
            <w:r w:rsidRPr="008B63FD">
              <w:t>11,064</w:t>
            </w:r>
          </w:p>
        </w:tc>
        <w:tc>
          <w:tcPr>
            <w:tcW w:w="1020" w:type="dxa"/>
            <w:vAlign w:val="center"/>
          </w:tcPr>
          <w:p w14:paraId="026BF698" w14:textId="414D53C0" w:rsidR="00B818F0" w:rsidRPr="008B63FD" w:rsidRDefault="00B818F0" w:rsidP="008B63FD">
            <w:pPr>
              <w:pStyle w:val="TableText0"/>
            </w:pPr>
            <w:r w:rsidRPr="008B63FD">
              <w:t>11,422</w:t>
            </w:r>
          </w:p>
        </w:tc>
        <w:tc>
          <w:tcPr>
            <w:tcW w:w="1021" w:type="dxa"/>
            <w:vAlign w:val="center"/>
          </w:tcPr>
          <w:p w14:paraId="02DFD900" w14:textId="4E92C564" w:rsidR="00B818F0" w:rsidRPr="008B63FD" w:rsidRDefault="00B818F0" w:rsidP="008B63FD">
            <w:pPr>
              <w:pStyle w:val="TableText0"/>
            </w:pPr>
            <w:r w:rsidRPr="008B63FD">
              <w:t>11,791</w:t>
            </w:r>
          </w:p>
        </w:tc>
        <w:tc>
          <w:tcPr>
            <w:tcW w:w="1021" w:type="dxa"/>
            <w:vAlign w:val="center"/>
          </w:tcPr>
          <w:p w14:paraId="609475D2" w14:textId="6FAB6298" w:rsidR="00B818F0" w:rsidRPr="008B63FD" w:rsidRDefault="00B818F0" w:rsidP="008B63FD">
            <w:pPr>
              <w:pStyle w:val="TableText0"/>
            </w:pPr>
            <w:r w:rsidRPr="008B63FD">
              <w:t>12,172</w:t>
            </w:r>
          </w:p>
        </w:tc>
      </w:tr>
      <w:tr w:rsidR="00B818F0" w:rsidRPr="008B63FD" w14:paraId="6F37C29A" w14:textId="77777777" w:rsidTr="008B63FD">
        <w:tc>
          <w:tcPr>
            <w:tcW w:w="420" w:type="dxa"/>
          </w:tcPr>
          <w:p w14:paraId="5CB7C15A" w14:textId="4931739F" w:rsidR="00B818F0" w:rsidRPr="008B63FD" w:rsidRDefault="00B818F0" w:rsidP="008B63FD">
            <w:pPr>
              <w:pStyle w:val="TableText0"/>
            </w:pPr>
            <w:r w:rsidRPr="008B63FD">
              <w:t>E</w:t>
            </w:r>
          </w:p>
        </w:tc>
        <w:tc>
          <w:tcPr>
            <w:tcW w:w="2977" w:type="dxa"/>
          </w:tcPr>
          <w:p w14:paraId="1081939B" w14:textId="4B2C6B95" w:rsidR="00B818F0" w:rsidRPr="008B63FD" w:rsidRDefault="00B818F0" w:rsidP="008B63FD">
            <w:pPr>
              <w:pStyle w:val="TableText0"/>
            </w:pPr>
            <w:proofErr w:type="spellStart"/>
            <w:r w:rsidRPr="008B63FD">
              <w:t>eBR</w:t>
            </w:r>
            <w:proofErr w:type="spellEnd"/>
            <w:r w:rsidRPr="008B63FD">
              <w:t xml:space="preserve"> </w:t>
            </w:r>
            <w:proofErr w:type="spellStart"/>
            <w:r w:rsidRPr="008B63FD">
              <w:t>HR+ve</w:t>
            </w:r>
            <w:proofErr w:type="spellEnd"/>
            <w:r w:rsidRPr="008B63FD">
              <w:t xml:space="preserve"> Her2-ve</w:t>
            </w:r>
          </w:p>
        </w:tc>
        <w:tc>
          <w:tcPr>
            <w:tcW w:w="1020" w:type="dxa"/>
            <w:vAlign w:val="center"/>
          </w:tcPr>
          <w:p w14:paraId="56086917" w14:textId="2D8C66AF" w:rsidR="00B818F0" w:rsidRPr="008B63FD" w:rsidRDefault="00B818F0" w:rsidP="008B63FD">
            <w:pPr>
              <w:pStyle w:val="TableText0"/>
            </w:pPr>
            <w:r w:rsidRPr="008B63FD">
              <w:t>D x 80%</w:t>
            </w:r>
          </w:p>
        </w:tc>
        <w:tc>
          <w:tcPr>
            <w:tcW w:w="1021" w:type="dxa"/>
            <w:vAlign w:val="center"/>
          </w:tcPr>
          <w:p w14:paraId="1BB471A6" w14:textId="1CF2562F" w:rsidR="00B818F0" w:rsidRPr="008B63FD" w:rsidRDefault="00B818F0" w:rsidP="008B63FD">
            <w:pPr>
              <w:pStyle w:val="TableText0"/>
            </w:pPr>
            <w:r w:rsidRPr="008B63FD">
              <w:t>8,852</w:t>
            </w:r>
          </w:p>
        </w:tc>
        <w:tc>
          <w:tcPr>
            <w:tcW w:w="1020" w:type="dxa"/>
            <w:vAlign w:val="center"/>
          </w:tcPr>
          <w:p w14:paraId="74789C0F" w14:textId="17E11162" w:rsidR="00B818F0" w:rsidRPr="008B63FD" w:rsidRDefault="00B818F0" w:rsidP="008B63FD">
            <w:pPr>
              <w:pStyle w:val="TableText0"/>
            </w:pPr>
            <w:r w:rsidRPr="008B63FD">
              <w:t>9,137</w:t>
            </w:r>
          </w:p>
        </w:tc>
        <w:tc>
          <w:tcPr>
            <w:tcW w:w="1021" w:type="dxa"/>
            <w:vAlign w:val="center"/>
          </w:tcPr>
          <w:p w14:paraId="5207D27A" w14:textId="30649AF1" w:rsidR="00B818F0" w:rsidRPr="008B63FD" w:rsidRDefault="00B818F0" w:rsidP="008B63FD">
            <w:pPr>
              <w:pStyle w:val="TableText0"/>
            </w:pPr>
            <w:r w:rsidRPr="008B63FD">
              <w:t>9,433</w:t>
            </w:r>
          </w:p>
        </w:tc>
        <w:tc>
          <w:tcPr>
            <w:tcW w:w="1021" w:type="dxa"/>
            <w:vAlign w:val="center"/>
          </w:tcPr>
          <w:p w14:paraId="112262DF" w14:textId="1E98EE30" w:rsidR="00B818F0" w:rsidRPr="008B63FD" w:rsidRDefault="00B818F0" w:rsidP="008B63FD">
            <w:pPr>
              <w:pStyle w:val="TableText0"/>
            </w:pPr>
            <w:r w:rsidRPr="008B63FD">
              <w:t>9,737</w:t>
            </w:r>
          </w:p>
        </w:tc>
      </w:tr>
      <w:tr w:rsidR="00B818F0" w:rsidRPr="008B63FD" w14:paraId="1951FE8E" w14:textId="77777777" w:rsidTr="008B63FD">
        <w:tc>
          <w:tcPr>
            <w:tcW w:w="420" w:type="dxa"/>
          </w:tcPr>
          <w:p w14:paraId="4B9C3586" w14:textId="168A7BE7" w:rsidR="00B818F0" w:rsidRPr="008B63FD" w:rsidRDefault="00B818F0" w:rsidP="008B63FD">
            <w:pPr>
              <w:pStyle w:val="TableText0"/>
            </w:pPr>
            <w:r w:rsidRPr="008B63FD">
              <w:t>F</w:t>
            </w:r>
          </w:p>
        </w:tc>
        <w:tc>
          <w:tcPr>
            <w:tcW w:w="2977" w:type="dxa"/>
          </w:tcPr>
          <w:p w14:paraId="42BE30A5" w14:textId="2E177241" w:rsidR="00B818F0" w:rsidRPr="008B63FD" w:rsidRDefault="00B818F0" w:rsidP="008B63FD">
            <w:pPr>
              <w:pStyle w:val="TableText0"/>
            </w:pPr>
            <w:r w:rsidRPr="008B63FD">
              <w:t>Suitable for adjuvant therapy</w:t>
            </w:r>
          </w:p>
        </w:tc>
        <w:tc>
          <w:tcPr>
            <w:tcW w:w="1020" w:type="dxa"/>
            <w:vAlign w:val="center"/>
          </w:tcPr>
          <w:p w14:paraId="155CF10D" w14:textId="7E4C14AC" w:rsidR="00B818F0" w:rsidRPr="008B63FD" w:rsidRDefault="00B818F0" w:rsidP="008B63FD">
            <w:pPr>
              <w:pStyle w:val="TableText0"/>
            </w:pPr>
            <w:r w:rsidRPr="008B63FD">
              <w:t>E x 75%</w:t>
            </w:r>
          </w:p>
        </w:tc>
        <w:tc>
          <w:tcPr>
            <w:tcW w:w="1021" w:type="dxa"/>
            <w:vAlign w:val="center"/>
          </w:tcPr>
          <w:p w14:paraId="299841A9" w14:textId="6BF66AB9" w:rsidR="00B818F0" w:rsidRPr="008B63FD" w:rsidRDefault="00B818F0" w:rsidP="008B63FD">
            <w:pPr>
              <w:pStyle w:val="TableText0"/>
            </w:pPr>
            <w:r w:rsidRPr="008B63FD">
              <w:t>6,639</w:t>
            </w:r>
          </w:p>
        </w:tc>
        <w:tc>
          <w:tcPr>
            <w:tcW w:w="1020" w:type="dxa"/>
            <w:vAlign w:val="center"/>
          </w:tcPr>
          <w:p w14:paraId="511BC43D" w14:textId="67691964" w:rsidR="00B818F0" w:rsidRPr="008B63FD" w:rsidRDefault="00B818F0" w:rsidP="008B63FD">
            <w:pPr>
              <w:pStyle w:val="TableText0"/>
            </w:pPr>
            <w:r w:rsidRPr="008B63FD">
              <w:t>6,853</w:t>
            </w:r>
          </w:p>
        </w:tc>
        <w:tc>
          <w:tcPr>
            <w:tcW w:w="1021" w:type="dxa"/>
            <w:vAlign w:val="center"/>
          </w:tcPr>
          <w:p w14:paraId="31443BD1" w14:textId="45FFF79B" w:rsidR="00B818F0" w:rsidRPr="008B63FD" w:rsidRDefault="00B818F0" w:rsidP="008B63FD">
            <w:pPr>
              <w:pStyle w:val="TableText0"/>
            </w:pPr>
            <w:r w:rsidRPr="008B63FD">
              <w:t>7,074</w:t>
            </w:r>
          </w:p>
        </w:tc>
        <w:tc>
          <w:tcPr>
            <w:tcW w:w="1021" w:type="dxa"/>
            <w:vAlign w:val="center"/>
          </w:tcPr>
          <w:p w14:paraId="21B78ABB" w14:textId="07CACCD4" w:rsidR="00B818F0" w:rsidRPr="008B63FD" w:rsidRDefault="00B818F0" w:rsidP="008B63FD">
            <w:pPr>
              <w:pStyle w:val="TableText0"/>
            </w:pPr>
            <w:r w:rsidRPr="008B63FD">
              <w:t>7,303</w:t>
            </w:r>
          </w:p>
        </w:tc>
      </w:tr>
      <w:tr w:rsidR="00B818F0" w:rsidRPr="008B63FD" w14:paraId="14193129" w14:textId="77777777" w:rsidTr="008B63FD">
        <w:tc>
          <w:tcPr>
            <w:tcW w:w="420" w:type="dxa"/>
          </w:tcPr>
          <w:p w14:paraId="723284C3" w14:textId="5486E487" w:rsidR="00B818F0" w:rsidRPr="008B63FD" w:rsidRDefault="00B818F0" w:rsidP="008B63FD">
            <w:pPr>
              <w:pStyle w:val="TableText0"/>
            </w:pPr>
            <w:r w:rsidRPr="008B63FD">
              <w:t>G</w:t>
            </w:r>
          </w:p>
        </w:tc>
        <w:tc>
          <w:tcPr>
            <w:tcW w:w="2977" w:type="dxa"/>
          </w:tcPr>
          <w:p w14:paraId="171C2DCB" w14:textId="5DB3B8D9" w:rsidR="00B818F0" w:rsidRPr="008B63FD" w:rsidRDefault="00B818F0" w:rsidP="008B63FD">
            <w:pPr>
              <w:pStyle w:val="TableText0"/>
            </w:pPr>
            <w:r w:rsidRPr="008B63FD">
              <w:t>Intermediate clinical risk of metastases (eligible population)</w:t>
            </w:r>
          </w:p>
        </w:tc>
        <w:tc>
          <w:tcPr>
            <w:tcW w:w="1020" w:type="dxa"/>
            <w:vAlign w:val="center"/>
          </w:tcPr>
          <w:p w14:paraId="2F158F73" w14:textId="47C2072A" w:rsidR="00B818F0" w:rsidRPr="008B63FD" w:rsidRDefault="00B818F0" w:rsidP="008B63FD">
            <w:pPr>
              <w:pStyle w:val="TableText0"/>
            </w:pPr>
            <w:r w:rsidRPr="008B63FD">
              <w:t>F x 80%</w:t>
            </w:r>
          </w:p>
        </w:tc>
        <w:tc>
          <w:tcPr>
            <w:tcW w:w="1021" w:type="dxa"/>
            <w:vAlign w:val="center"/>
          </w:tcPr>
          <w:p w14:paraId="692D0C49" w14:textId="0A209A7D" w:rsidR="00B818F0" w:rsidRPr="008B63FD" w:rsidRDefault="00B818F0" w:rsidP="008B63FD">
            <w:pPr>
              <w:pStyle w:val="TableText0"/>
            </w:pPr>
            <w:r w:rsidRPr="008B63FD">
              <w:t>5,311</w:t>
            </w:r>
          </w:p>
        </w:tc>
        <w:tc>
          <w:tcPr>
            <w:tcW w:w="1020" w:type="dxa"/>
            <w:vAlign w:val="center"/>
          </w:tcPr>
          <w:p w14:paraId="003D40BD" w14:textId="1FD36D1A" w:rsidR="00B818F0" w:rsidRPr="008B63FD" w:rsidRDefault="00B818F0" w:rsidP="008B63FD">
            <w:pPr>
              <w:pStyle w:val="TableText0"/>
            </w:pPr>
            <w:r w:rsidRPr="008B63FD">
              <w:t>5,482</w:t>
            </w:r>
          </w:p>
        </w:tc>
        <w:tc>
          <w:tcPr>
            <w:tcW w:w="1021" w:type="dxa"/>
            <w:vAlign w:val="center"/>
          </w:tcPr>
          <w:p w14:paraId="48E93B92" w14:textId="0D0D410F" w:rsidR="00B818F0" w:rsidRPr="008B63FD" w:rsidRDefault="00B818F0" w:rsidP="008B63FD">
            <w:pPr>
              <w:pStyle w:val="TableText0"/>
            </w:pPr>
            <w:r w:rsidRPr="008B63FD">
              <w:t>5,660</w:t>
            </w:r>
          </w:p>
        </w:tc>
        <w:tc>
          <w:tcPr>
            <w:tcW w:w="1021" w:type="dxa"/>
            <w:vAlign w:val="center"/>
          </w:tcPr>
          <w:p w14:paraId="369F30A0" w14:textId="5085A248" w:rsidR="00B818F0" w:rsidRPr="008B63FD" w:rsidRDefault="00B818F0" w:rsidP="008B63FD">
            <w:pPr>
              <w:pStyle w:val="TableText0"/>
            </w:pPr>
            <w:r w:rsidRPr="008B63FD">
              <w:t>5,842</w:t>
            </w:r>
          </w:p>
        </w:tc>
      </w:tr>
    </w:tbl>
    <w:p w14:paraId="60468493" w14:textId="47BE8CD2" w:rsidR="00F15969" w:rsidRDefault="00F15969" w:rsidP="004B0D85">
      <w:r>
        <w:t xml:space="preserve">Source: </w:t>
      </w:r>
      <w:proofErr w:type="spellStart"/>
      <w:r>
        <w:t>EndoPredict</w:t>
      </w:r>
      <w:proofErr w:type="spellEnd"/>
      <w:r>
        <w:t xml:space="preserve">® for </w:t>
      </w:r>
      <w:proofErr w:type="spellStart"/>
      <w:r>
        <w:t>ER+ve</w:t>
      </w:r>
      <w:proofErr w:type="spellEnd"/>
      <w:r>
        <w:t>, HER2-ve breast cancer – MSAC SBA 1408’, pg. 1</w:t>
      </w:r>
      <w:r w:rsidR="00C20DC5">
        <w:t>40</w:t>
      </w:r>
      <w:r>
        <w:t xml:space="preserve"> </w:t>
      </w:r>
    </w:p>
    <w:p w14:paraId="4B82DFF3" w14:textId="1B19AC43" w:rsidR="00F15969" w:rsidRDefault="00F15969" w:rsidP="004B0D85">
      <w:r>
        <w:t>*Row B in Table E-2</w:t>
      </w:r>
      <w:r w:rsidR="00C20DC5">
        <w:t xml:space="preserve"> of MSAC SBA 1408</w:t>
      </w:r>
      <w:r>
        <w:t>, projected incidence of breast cancer 3.25%</w:t>
      </w:r>
    </w:p>
    <w:p w14:paraId="3210AB92" w14:textId="40121551" w:rsidR="00F15969" w:rsidRPr="00154B00" w:rsidRDefault="00F15969" w:rsidP="004B0D85">
      <w:pPr>
        <w:rPr>
          <w:szCs w:val="20"/>
        </w:rPr>
      </w:pPr>
      <w:r>
        <w:t xml:space="preserve"> </w:t>
      </w:r>
    </w:p>
    <w:p w14:paraId="733FE14E" w14:textId="4C044272" w:rsidR="00382407" w:rsidRPr="00154B00" w:rsidRDefault="00382407" w:rsidP="004B0D85">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11981D63" w14:textId="075E3D8F" w:rsidR="00F15969" w:rsidRDefault="00F15969" w:rsidP="004B0D85">
      <w:r>
        <w:t>The test may be used once per new primary breast cancer diagnosis</w:t>
      </w:r>
    </w:p>
    <w:p w14:paraId="206D30AE" w14:textId="77777777" w:rsidR="00382407" w:rsidRPr="00154B00" w:rsidRDefault="00382407" w:rsidP="004B0D85">
      <w:pPr>
        <w:pStyle w:val="Heading2"/>
      </w:pPr>
      <w:r w:rsidRPr="00154B00">
        <w:t>How many years would the proposed medical service</w:t>
      </w:r>
      <w:r w:rsidR="00FC1607">
        <w:t>/technology</w:t>
      </w:r>
      <w:r w:rsidRPr="00154B00">
        <w:t xml:space="preserve"> be required for the patient?</w:t>
      </w:r>
    </w:p>
    <w:p w14:paraId="79D2A9B5" w14:textId="77777777" w:rsidR="005D405A" w:rsidRDefault="005D405A" w:rsidP="004B0D85">
      <w:r>
        <w:t xml:space="preserve">The service would be expected to be delivered once per primary cancer diagnosis per patient at the point of primary tumour analysis.  In the instance where primary breast cancer is detected a second or additional time (in either breast), the test cannot be requested anymore. Therefore, the service would be requested only once in a patient’s lifetime. </w:t>
      </w:r>
    </w:p>
    <w:p w14:paraId="1B6FD3C0" w14:textId="77777777" w:rsidR="002A6753" w:rsidRPr="00154B00" w:rsidRDefault="000E47E7" w:rsidP="004B0D85">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tbl>
      <w:tblPr>
        <w:tblStyle w:val="TableGrid1"/>
        <w:tblW w:w="0" w:type="auto"/>
        <w:tblInd w:w="279" w:type="dxa"/>
        <w:tblLook w:val="04A0" w:firstRow="1" w:lastRow="0" w:firstColumn="1" w:lastColumn="0" w:noHBand="0" w:noVBand="1"/>
        <w:tblCaption w:val="Patients tested and number of MBS services"/>
        <w:tblDescription w:val="Patients tested and number of MBS services"/>
      </w:tblPr>
      <w:tblGrid>
        <w:gridCol w:w="562"/>
        <w:gridCol w:w="2637"/>
        <w:gridCol w:w="2693"/>
        <w:gridCol w:w="2755"/>
      </w:tblGrid>
      <w:tr w:rsidR="00D45223" w:rsidRPr="008B63FD" w14:paraId="2AFD090C" w14:textId="77777777" w:rsidTr="008B63FD">
        <w:tc>
          <w:tcPr>
            <w:tcW w:w="562" w:type="dxa"/>
            <w:shd w:val="clear" w:color="auto" w:fill="D9D9D9" w:themeFill="background1" w:themeFillShade="D9"/>
          </w:tcPr>
          <w:p w14:paraId="0B911759" w14:textId="77777777" w:rsidR="00D45223" w:rsidRPr="008B63FD" w:rsidRDefault="00D45223" w:rsidP="008B63FD">
            <w:pPr>
              <w:pStyle w:val="Tabletextindent"/>
              <w:ind w:left="0"/>
              <w:rPr>
                <w:rFonts w:asciiTheme="minorHAnsi" w:hAnsiTheme="minorHAnsi" w:cstheme="minorHAnsi"/>
                <w:b/>
                <w:bCs/>
                <w:sz w:val="20"/>
                <w:szCs w:val="20"/>
              </w:rPr>
            </w:pPr>
          </w:p>
        </w:tc>
        <w:tc>
          <w:tcPr>
            <w:tcW w:w="2637" w:type="dxa"/>
            <w:shd w:val="clear" w:color="auto" w:fill="D9D9D9" w:themeFill="background1" w:themeFillShade="D9"/>
          </w:tcPr>
          <w:p w14:paraId="58396136" w14:textId="77777777" w:rsidR="00D45223" w:rsidRPr="008B63FD" w:rsidRDefault="00D45223" w:rsidP="008B63FD">
            <w:pPr>
              <w:pStyle w:val="Tabletextindent"/>
              <w:ind w:left="0"/>
              <w:rPr>
                <w:rFonts w:asciiTheme="minorHAnsi" w:hAnsiTheme="minorHAnsi" w:cstheme="minorHAnsi"/>
                <w:b/>
                <w:bCs/>
                <w:sz w:val="20"/>
                <w:szCs w:val="20"/>
              </w:rPr>
            </w:pPr>
            <w:r w:rsidRPr="008B63FD">
              <w:rPr>
                <w:rFonts w:asciiTheme="minorHAnsi" w:hAnsiTheme="minorHAnsi" w:cstheme="minorHAnsi"/>
                <w:b/>
                <w:bCs/>
                <w:sz w:val="20"/>
                <w:szCs w:val="20"/>
              </w:rPr>
              <w:t>Description</w:t>
            </w:r>
          </w:p>
        </w:tc>
        <w:tc>
          <w:tcPr>
            <w:tcW w:w="2693" w:type="dxa"/>
            <w:shd w:val="clear" w:color="auto" w:fill="D9D9D9" w:themeFill="background1" w:themeFillShade="D9"/>
          </w:tcPr>
          <w:p w14:paraId="2C533115" w14:textId="77777777" w:rsidR="00D45223" w:rsidRPr="008B63FD" w:rsidRDefault="00D45223" w:rsidP="008B63FD">
            <w:pPr>
              <w:pStyle w:val="Tabletextindent"/>
              <w:ind w:left="0"/>
              <w:rPr>
                <w:rFonts w:asciiTheme="minorHAnsi" w:hAnsiTheme="minorHAnsi" w:cstheme="minorHAnsi"/>
                <w:b/>
                <w:bCs/>
                <w:sz w:val="20"/>
                <w:szCs w:val="20"/>
              </w:rPr>
            </w:pPr>
            <w:r w:rsidRPr="008B63FD">
              <w:rPr>
                <w:rFonts w:asciiTheme="minorHAnsi" w:hAnsiTheme="minorHAnsi" w:cstheme="minorHAnsi"/>
                <w:b/>
                <w:bCs/>
                <w:sz w:val="20"/>
                <w:szCs w:val="20"/>
              </w:rPr>
              <w:t>Source</w:t>
            </w:r>
          </w:p>
        </w:tc>
        <w:tc>
          <w:tcPr>
            <w:tcW w:w="2755" w:type="dxa"/>
            <w:shd w:val="clear" w:color="auto" w:fill="D9D9D9" w:themeFill="background1" w:themeFillShade="D9"/>
          </w:tcPr>
          <w:p w14:paraId="0E8EABA7" w14:textId="48D9115B" w:rsidR="00D45223" w:rsidRPr="008B63FD" w:rsidRDefault="00D45223" w:rsidP="008B63FD">
            <w:pPr>
              <w:pStyle w:val="Tabletextindent"/>
              <w:ind w:left="0"/>
              <w:rPr>
                <w:rFonts w:asciiTheme="minorHAnsi" w:hAnsiTheme="minorHAnsi" w:cstheme="minorHAnsi"/>
                <w:b/>
                <w:bCs/>
                <w:sz w:val="20"/>
                <w:szCs w:val="20"/>
              </w:rPr>
            </w:pPr>
            <w:r w:rsidRPr="008B63FD">
              <w:rPr>
                <w:rFonts w:asciiTheme="minorHAnsi" w:hAnsiTheme="minorHAnsi" w:cstheme="minorHAnsi"/>
                <w:b/>
                <w:bCs/>
                <w:sz w:val="20"/>
                <w:szCs w:val="20"/>
              </w:rPr>
              <w:t>2022</w:t>
            </w:r>
          </w:p>
        </w:tc>
      </w:tr>
      <w:tr w:rsidR="00D45223" w:rsidRPr="008B63FD" w14:paraId="67034B01" w14:textId="77777777" w:rsidTr="008B63FD">
        <w:tc>
          <w:tcPr>
            <w:tcW w:w="562" w:type="dxa"/>
          </w:tcPr>
          <w:p w14:paraId="4850E714" w14:textId="77777777" w:rsidR="00D45223" w:rsidRPr="008B63FD" w:rsidRDefault="00D45223" w:rsidP="008B63FD">
            <w:pPr>
              <w:pStyle w:val="Tabletextindent"/>
              <w:ind w:left="0"/>
              <w:rPr>
                <w:rFonts w:asciiTheme="minorHAnsi" w:hAnsiTheme="minorHAnsi" w:cstheme="minorHAnsi"/>
                <w:sz w:val="20"/>
                <w:szCs w:val="20"/>
              </w:rPr>
            </w:pPr>
            <w:r w:rsidRPr="008B63FD">
              <w:rPr>
                <w:rFonts w:asciiTheme="minorHAnsi" w:hAnsiTheme="minorHAnsi" w:cstheme="minorHAnsi"/>
                <w:sz w:val="20"/>
                <w:szCs w:val="20"/>
              </w:rPr>
              <w:t>A</w:t>
            </w:r>
          </w:p>
        </w:tc>
        <w:tc>
          <w:tcPr>
            <w:tcW w:w="2637" w:type="dxa"/>
          </w:tcPr>
          <w:p w14:paraId="62BDBC4F" w14:textId="77777777" w:rsidR="00D45223" w:rsidRPr="008B63FD" w:rsidRDefault="00D45223" w:rsidP="008B63FD">
            <w:pPr>
              <w:pStyle w:val="Tabletextindent"/>
              <w:ind w:left="0"/>
              <w:rPr>
                <w:rFonts w:asciiTheme="minorHAnsi" w:hAnsiTheme="minorHAnsi" w:cstheme="minorHAnsi"/>
                <w:sz w:val="20"/>
                <w:szCs w:val="20"/>
              </w:rPr>
            </w:pPr>
            <w:r w:rsidRPr="008B63FD">
              <w:rPr>
                <w:rFonts w:asciiTheme="minorHAnsi" w:hAnsiTheme="minorHAnsi" w:cstheme="minorHAnsi"/>
                <w:sz w:val="20"/>
                <w:szCs w:val="20"/>
              </w:rPr>
              <w:t>Uptake rate</w:t>
            </w:r>
          </w:p>
        </w:tc>
        <w:tc>
          <w:tcPr>
            <w:tcW w:w="2693" w:type="dxa"/>
          </w:tcPr>
          <w:p w14:paraId="23EE1EEF" w14:textId="77777777" w:rsidR="00D45223" w:rsidRPr="008B63FD" w:rsidRDefault="00D45223" w:rsidP="008B63FD">
            <w:pPr>
              <w:pStyle w:val="Tabletextindent"/>
              <w:ind w:left="0"/>
              <w:rPr>
                <w:rFonts w:asciiTheme="minorHAnsi" w:hAnsiTheme="minorHAnsi" w:cstheme="minorHAnsi"/>
                <w:sz w:val="20"/>
                <w:szCs w:val="20"/>
              </w:rPr>
            </w:pPr>
            <w:r w:rsidRPr="008B63FD">
              <w:rPr>
                <w:rFonts w:asciiTheme="minorHAnsi" w:hAnsiTheme="minorHAnsi" w:cstheme="minorHAnsi"/>
                <w:sz w:val="20"/>
                <w:szCs w:val="20"/>
              </w:rPr>
              <w:t>Assumption</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01257073" w14:textId="77777777" w:rsidR="00D45223" w:rsidRPr="008B63FD" w:rsidRDefault="00D45223" w:rsidP="008B63FD">
            <w:pPr>
              <w:pStyle w:val="Tabletextindent"/>
              <w:ind w:left="0"/>
              <w:rPr>
                <w:rFonts w:asciiTheme="minorHAnsi" w:hAnsiTheme="minorHAnsi" w:cstheme="minorHAnsi"/>
                <w:sz w:val="20"/>
                <w:szCs w:val="20"/>
              </w:rPr>
            </w:pPr>
            <w:r w:rsidRPr="008B63FD">
              <w:rPr>
                <w:rFonts w:asciiTheme="minorHAnsi" w:hAnsiTheme="minorHAnsi" w:cstheme="minorHAnsi"/>
                <w:sz w:val="20"/>
                <w:szCs w:val="20"/>
              </w:rPr>
              <w:t>60%</w:t>
            </w:r>
          </w:p>
        </w:tc>
      </w:tr>
      <w:tr w:rsidR="00D45223" w:rsidRPr="008B63FD" w14:paraId="439AA1E8" w14:textId="77777777" w:rsidTr="008B63FD">
        <w:tc>
          <w:tcPr>
            <w:tcW w:w="562" w:type="dxa"/>
          </w:tcPr>
          <w:p w14:paraId="046146C6" w14:textId="77777777" w:rsidR="00D45223" w:rsidRPr="008B63FD" w:rsidRDefault="00D45223" w:rsidP="008B63FD">
            <w:pPr>
              <w:pStyle w:val="Tabletextindent"/>
              <w:ind w:left="0"/>
              <w:rPr>
                <w:rFonts w:asciiTheme="minorHAnsi" w:hAnsiTheme="minorHAnsi" w:cstheme="minorHAnsi"/>
                <w:sz w:val="20"/>
                <w:szCs w:val="20"/>
              </w:rPr>
            </w:pPr>
            <w:r w:rsidRPr="008B63FD">
              <w:rPr>
                <w:rFonts w:asciiTheme="minorHAnsi" w:hAnsiTheme="minorHAnsi" w:cstheme="minorHAnsi"/>
                <w:sz w:val="20"/>
                <w:szCs w:val="20"/>
              </w:rPr>
              <w:t>B</w:t>
            </w:r>
          </w:p>
        </w:tc>
        <w:tc>
          <w:tcPr>
            <w:tcW w:w="2637" w:type="dxa"/>
          </w:tcPr>
          <w:p w14:paraId="22E4D281" w14:textId="77777777" w:rsidR="00D45223" w:rsidRPr="008B63FD" w:rsidRDefault="00D45223" w:rsidP="008B63FD">
            <w:pPr>
              <w:pStyle w:val="Tabletextindent"/>
              <w:ind w:left="0"/>
              <w:rPr>
                <w:rFonts w:asciiTheme="minorHAnsi" w:hAnsiTheme="minorHAnsi" w:cstheme="minorHAnsi"/>
                <w:sz w:val="20"/>
                <w:szCs w:val="20"/>
              </w:rPr>
            </w:pPr>
            <w:r w:rsidRPr="008B63FD">
              <w:rPr>
                <w:rFonts w:asciiTheme="minorHAnsi" w:hAnsiTheme="minorHAnsi" w:cstheme="minorHAnsi"/>
                <w:sz w:val="20"/>
                <w:szCs w:val="20"/>
              </w:rPr>
              <w:t>Number of MBS services</w:t>
            </w:r>
          </w:p>
        </w:tc>
        <w:tc>
          <w:tcPr>
            <w:tcW w:w="2693" w:type="dxa"/>
          </w:tcPr>
          <w:p w14:paraId="3F6C57A9" w14:textId="2161229D" w:rsidR="00D45223" w:rsidRPr="008B63FD" w:rsidRDefault="00D45223" w:rsidP="008B63FD">
            <w:pPr>
              <w:pStyle w:val="Tabletextindent"/>
              <w:ind w:left="0"/>
              <w:rPr>
                <w:rFonts w:asciiTheme="minorHAnsi" w:hAnsiTheme="minorHAnsi" w:cstheme="minorHAnsi"/>
                <w:sz w:val="20"/>
                <w:szCs w:val="20"/>
              </w:rPr>
            </w:pPr>
            <w:r w:rsidRPr="008B63FD">
              <w:rPr>
                <w:rFonts w:asciiTheme="minorHAnsi" w:hAnsiTheme="minorHAnsi" w:cstheme="minorHAnsi"/>
                <w:sz w:val="20"/>
                <w:szCs w:val="20"/>
              </w:rPr>
              <w:t xml:space="preserve">Row G in above table </w:t>
            </w:r>
            <w:r w:rsidR="00C20DC5" w:rsidRPr="008B63FD">
              <w:rPr>
                <w:rFonts w:asciiTheme="minorHAnsi" w:hAnsiTheme="minorHAnsi" w:cstheme="minorHAnsi"/>
                <w:sz w:val="20"/>
                <w:szCs w:val="20"/>
              </w:rPr>
              <w:t xml:space="preserve">from question 44 </w:t>
            </w:r>
            <w:r w:rsidRPr="008B63FD">
              <w:rPr>
                <w:rFonts w:asciiTheme="minorHAnsi" w:hAnsiTheme="minorHAnsi" w:cstheme="minorHAnsi"/>
                <w:sz w:val="20"/>
                <w:szCs w:val="20"/>
              </w:rPr>
              <w:t>x A</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334A8A55" w14:textId="77777777" w:rsidR="00247408" w:rsidRPr="008B63FD" w:rsidRDefault="00247408" w:rsidP="008B63FD">
            <w:pPr>
              <w:pStyle w:val="Tabletextindent"/>
              <w:ind w:left="0"/>
              <w:rPr>
                <w:rFonts w:asciiTheme="minorHAnsi" w:hAnsiTheme="minorHAnsi" w:cstheme="minorHAnsi"/>
                <w:sz w:val="20"/>
                <w:szCs w:val="20"/>
              </w:rPr>
            </w:pPr>
            <w:r w:rsidRPr="008B63FD">
              <w:rPr>
                <w:rFonts w:asciiTheme="minorHAnsi" w:hAnsiTheme="minorHAnsi" w:cstheme="minorHAnsi"/>
                <w:sz w:val="20"/>
                <w:szCs w:val="20"/>
              </w:rPr>
              <w:t>3289</w:t>
            </w:r>
          </w:p>
          <w:p w14:paraId="3A6BBC19" w14:textId="72E4E554" w:rsidR="00D45223" w:rsidRPr="008B63FD" w:rsidRDefault="00D45223" w:rsidP="008B63FD">
            <w:pPr>
              <w:pStyle w:val="Tabletextindent"/>
              <w:ind w:left="0"/>
              <w:rPr>
                <w:rFonts w:asciiTheme="minorHAnsi" w:hAnsiTheme="minorHAnsi" w:cstheme="minorHAnsi"/>
                <w:sz w:val="20"/>
                <w:szCs w:val="20"/>
              </w:rPr>
            </w:pPr>
          </w:p>
        </w:tc>
      </w:tr>
    </w:tbl>
    <w:p w14:paraId="04BF2811" w14:textId="55E1BB00" w:rsidR="00F15969" w:rsidRPr="00154B00" w:rsidRDefault="00F15969" w:rsidP="004B0D85">
      <w:r>
        <w:t xml:space="preserve">Source: </w:t>
      </w:r>
      <w:proofErr w:type="spellStart"/>
      <w:r>
        <w:t>EndoPredict</w:t>
      </w:r>
      <w:proofErr w:type="spellEnd"/>
      <w:r>
        <w:t xml:space="preserve">® for </w:t>
      </w:r>
      <w:proofErr w:type="spellStart"/>
      <w:r>
        <w:t>ER+ve</w:t>
      </w:r>
      <w:proofErr w:type="spellEnd"/>
      <w:r>
        <w:t>, HER2-ve breast cancer – MSAC SBA 1408’, pg. 1</w:t>
      </w:r>
      <w:r w:rsidR="000E1F73">
        <w:t>41</w:t>
      </w:r>
    </w:p>
    <w:p w14:paraId="694BA79A" w14:textId="77777777" w:rsidR="008B63FD" w:rsidRDefault="008B63FD">
      <w:pPr>
        <w:spacing w:before="0" w:after="200" w:line="276" w:lineRule="auto"/>
        <w:ind w:left="0"/>
        <w:rPr>
          <w:b/>
          <w:szCs w:val="20"/>
        </w:rPr>
      </w:pPr>
      <w:r>
        <w:br w:type="page"/>
      </w:r>
    </w:p>
    <w:p w14:paraId="2A22C68D" w14:textId="536F20D7" w:rsidR="00974D50" w:rsidRPr="00154B00" w:rsidRDefault="005A58BA" w:rsidP="004B0D85">
      <w:pPr>
        <w:pStyle w:val="Heading2"/>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tbl>
      <w:tblPr>
        <w:tblStyle w:val="TableGrid1"/>
        <w:tblW w:w="0" w:type="auto"/>
        <w:tblInd w:w="421" w:type="dxa"/>
        <w:tblLook w:val="04A0" w:firstRow="1" w:lastRow="0" w:firstColumn="1" w:lastColumn="0" w:noHBand="0" w:noVBand="1"/>
        <w:tblCaption w:val="Patients tested and number of MBS services"/>
        <w:tblDescription w:val="Patients tested and number of MBS services"/>
      </w:tblPr>
      <w:tblGrid>
        <w:gridCol w:w="562"/>
        <w:gridCol w:w="2002"/>
        <w:gridCol w:w="2761"/>
        <w:gridCol w:w="851"/>
        <w:gridCol w:w="851"/>
        <w:gridCol w:w="851"/>
      </w:tblGrid>
      <w:tr w:rsidR="00247408" w14:paraId="13C89F7D" w14:textId="0923B833" w:rsidTr="009701F3">
        <w:tc>
          <w:tcPr>
            <w:tcW w:w="562" w:type="dxa"/>
            <w:shd w:val="clear" w:color="auto" w:fill="D9D9D9" w:themeFill="background1" w:themeFillShade="D9"/>
          </w:tcPr>
          <w:p w14:paraId="47281F30" w14:textId="77777777" w:rsidR="00247408" w:rsidRPr="00D45223" w:rsidRDefault="00247408" w:rsidP="008B63FD">
            <w:pPr>
              <w:pStyle w:val="TableText0"/>
              <w:rPr>
                <w:lang w:eastAsia="en-US"/>
              </w:rPr>
            </w:pPr>
          </w:p>
        </w:tc>
        <w:tc>
          <w:tcPr>
            <w:tcW w:w="2002" w:type="dxa"/>
            <w:shd w:val="clear" w:color="auto" w:fill="D9D9D9" w:themeFill="background1" w:themeFillShade="D9"/>
          </w:tcPr>
          <w:p w14:paraId="69415BC3" w14:textId="77777777" w:rsidR="00247408" w:rsidRPr="008B63FD" w:rsidRDefault="00247408" w:rsidP="008B63FD">
            <w:pPr>
              <w:pStyle w:val="TableText0"/>
              <w:rPr>
                <w:b/>
                <w:bCs w:val="0"/>
                <w:lang w:eastAsia="en-US"/>
              </w:rPr>
            </w:pPr>
            <w:r w:rsidRPr="008B63FD">
              <w:rPr>
                <w:b/>
                <w:bCs w:val="0"/>
                <w:lang w:eastAsia="en-US"/>
              </w:rPr>
              <w:t>Description</w:t>
            </w:r>
          </w:p>
        </w:tc>
        <w:tc>
          <w:tcPr>
            <w:tcW w:w="2761" w:type="dxa"/>
            <w:shd w:val="clear" w:color="auto" w:fill="D9D9D9" w:themeFill="background1" w:themeFillShade="D9"/>
          </w:tcPr>
          <w:p w14:paraId="0B6A3431" w14:textId="77777777" w:rsidR="00247408" w:rsidRPr="008B63FD" w:rsidRDefault="00247408" w:rsidP="008B63FD">
            <w:pPr>
              <w:pStyle w:val="TableText0"/>
              <w:rPr>
                <w:b/>
                <w:bCs w:val="0"/>
                <w:lang w:eastAsia="en-US"/>
              </w:rPr>
            </w:pPr>
            <w:r w:rsidRPr="008B63FD">
              <w:rPr>
                <w:b/>
                <w:bCs w:val="0"/>
                <w:lang w:eastAsia="en-US"/>
              </w:rPr>
              <w:t>Source</w:t>
            </w:r>
          </w:p>
        </w:tc>
        <w:tc>
          <w:tcPr>
            <w:tcW w:w="851" w:type="dxa"/>
            <w:shd w:val="clear" w:color="auto" w:fill="D9D9D9" w:themeFill="background1" w:themeFillShade="D9"/>
          </w:tcPr>
          <w:p w14:paraId="0460E1F1" w14:textId="77777777" w:rsidR="00247408" w:rsidRPr="008B63FD" w:rsidRDefault="00247408" w:rsidP="008B63FD">
            <w:pPr>
              <w:pStyle w:val="TableText0"/>
              <w:rPr>
                <w:b/>
                <w:bCs w:val="0"/>
                <w:lang w:eastAsia="en-US"/>
              </w:rPr>
            </w:pPr>
            <w:r w:rsidRPr="008B63FD">
              <w:rPr>
                <w:b/>
                <w:bCs w:val="0"/>
                <w:lang w:eastAsia="en-US"/>
              </w:rPr>
              <w:t>2022</w:t>
            </w:r>
          </w:p>
        </w:tc>
        <w:tc>
          <w:tcPr>
            <w:tcW w:w="851" w:type="dxa"/>
            <w:shd w:val="clear" w:color="auto" w:fill="D9D9D9" w:themeFill="background1" w:themeFillShade="D9"/>
          </w:tcPr>
          <w:p w14:paraId="74B1E794" w14:textId="6108AC81" w:rsidR="00247408" w:rsidRPr="008B63FD" w:rsidRDefault="00247408" w:rsidP="008B63FD">
            <w:pPr>
              <w:pStyle w:val="TableText0"/>
              <w:rPr>
                <w:b/>
                <w:bCs w:val="0"/>
                <w:lang w:eastAsia="en-US"/>
              </w:rPr>
            </w:pPr>
            <w:r w:rsidRPr="008B63FD">
              <w:rPr>
                <w:b/>
                <w:bCs w:val="0"/>
                <w:lang w:eastAsia="en-US"/>
              </w:rPr>
              <w:t>2023</w:t>
            </w:r>
          </w:p>
        </w:tc>
        <w:tc>
          <w:tcPr>
            <w:tcW w:w="851" w:type="dxa"/>
            <w:shd w:val="clear" w:color="auto" w:fill="D9D9D9" w:themeFill="background1" w:themeFillShade="D9"/>
          </w:tcPr>
          <w:p w14:paraId="3A5E2750" w14:textId="17F27FBC" w:rsidR="00247408" w:rsidRPr="008B63FD" w:rsidRDefault="00247408" w:rsidP="008B63FD">
            <w:pPr>
              <w:pStyle w:val="TableText0"/>
              <w:rPr>
                <w:b/>
                <w:bCs w:val="0"/>
                <w:lang w:eastAsia="en-US"/>
              </w:rPr>
            </w:pPr>
            <w:r w:rsidRPr="008B63FD">
              <w:rPr>
                <w:b/>
                <w:bCs w:val="0"/>
                <w:lang w:eastAsia="en-US"/>
              </w:rPr>
              <w:t>2024</w:t>
            </w:r>
          </w:p>
        </w:tc>
      </w:tr>
      <w:tr w:rsidR="00247408" w14:paraId="2B297AB0" w14:textId="4916F709" w:rsidTr="009701F3">
        <w:tc>
          <w:tcPr>
            <w:tcW w:w="562" w:type="dxa"/>
          </w:tcPr>
          <w:p w14:paraId="129B3616" w14:textId="77777777" w:rsidR="00247408" w:rsidRPr="00D45223" w:rsidRDefault="00247408" w:rsidP="008B63FD">
            <w:pPr>
              <w:pStyle w:val="TableText0"/>
              <w:rPr>
                <w:lang w:eastAsia="en-US"/>
              </w:rPr>
            </w:pPr>
            <w:r w:rsidRPr="00D45223">
              <w:rPr>
                <w:lang w:eastAsia="en-US"/>
              </w:rPr>
              <w:t>A</w:t>
            </w:r>
          </w:p>
        </w:tc>
        <w:tc>
          <w:tcPr>
            <w:tcW w:w="2002" w:type="dxa"/>
          </w:tcPr>
          <w:p w14:paraId="67769BE4" w14:textId="77777777" w:rsidR="00247408" w:rsidRPr="00D45223" w:rsidRDefault="00247408" w:rsidP="008B63FD">
            <w:pPr>
              <w:pStyle w:val="TableText0"/>
              <w:rPr>
                <w:lang w:eastAsia="en-US"/>
              </w:rPr>
            </w:pPr>
            <w:r w:rsidRPr="00D45223">
              <w:rPr>
                <w:lang w:eastAsia="en-US"/>
              </w:rPr>
              <w:t>Uptake rate</w:t>
            </w:r>
          </w:p>
        </w:tc>
        <w:tc>
          <w:tcPr>
            <w:tcW w:w="2761" w:type="dxa"/>
          </w:tcPr>
          <w:p w14:paraId="4C4778FB" w14:textId="77777777" w:rsidR="00247408" w:rsidRPr="00D45223" w:rsidRDefault="00247408" w:rsidP="008B63FD">
            <w:pPr>
              <w:pStyle w:val="TableText0"/>
              <w:rPr>
                <w:lang w:eastAsia="en-US"/>
              </w:rPr>
            </w:pPr>
            <w:r w:rsidRPr="00D45223">
              <w:rPr>
                <w:lang w:eastAsia="en-US"/>
              </w:rPr>
              <w:t>Assumption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91863" w14:textId="77777777" w:rsidR="00247408" w:rsidRPr="00D45223" w:rsidRDefault="00247408" w:rsidP="008B63FD">
            <w:pPr>
              <w:pStyle w:val="TableText0"/>
              <w:rPr>
                <w:lang w:eastAsia="en-US"/>
              </w:rPr>
            </w:pPr>
            <w:r w:rsidRPr="00D45223">
              <w:rPr>
                <w:lang w:eastAsia="en-US"/>
              </w:rPr>
              <w:t>60%</w:t>
            </w:r>
          </w:p>
        </w:tc>
        <w:tc>
          <w:tcPr>
            <w:tcW w:w="851" w:type="dxa"/>
            <w:tcBorders>
              <w:top w:val="single" w:sz="4" w:space="0" w:color="auto"/>
              <w:left w:val="single" w:sz="4" w:space="0" w:color="auto"/>
              <w:bottom w:val="single" w:sz="4" w:space="0" w:color="auto"/>
              <w:right w:val="single" w:sz="4" w:space="0" w:color="auto"/>
            </w:tcBorders>
          </w:tcPr>
          <w:p w14:paraId="00CC693D" w14:textId="67754B25" w:rsidR="00247408" w:rsidRPr="00D45223" w:rsidRDefault="00247408" w:rsidP="008B63FD">
            <w:pPr>
              <w:pStyle w:val="TableText0"/>
              <w:rPr>
                <w:lang w:eastAsia="en-US"/>
              </w:rPr>
            </w:pPr>
            <w:r>
              <w:rPr>
                <w:lang w:eastAsia="en-US"/>
              </w:rPr>
              <w:t>70%</w:t>
            </w:r>
          </w:p>
        </w:tc>
        <w:tc>
          <w:tcPr>
            <w:tcW w:w="851" w:type="dxa"/>
            <w:tcBorders>
              <w:top w:val="single" w:sz="4" w:space="0" w:color="auto"/>
              <w:left w:val="single" w:sz="4" w:space="0" w:color="auto"/>
              <w:bottom w:val="single" w:sz="4" w:space="0" w:color="auto"/>
              <w:right w:val="single" w:sz="4" w:space="0" w:color="auto"/>
            </w:tcBorders>
          </w:tcPr>
          <w:p w14:paraId="110FFF58" w14:textId="73C42A5A" w:rsidR="00247408" w:rsidRPr="00D45223" w:rsidRDefault="00247408" w:rsidP="008B63FD">
            <w:pPr>
              <w:pStyle w:val="TableText0"/>
              <w:rPr>
                <w:lang w:eastAsia="en-US"/>
              </w:rPr>
            </w:pPr>
            <w:r>
              <w:rPr>
                <w:lang w:eastAsia="en-US"/>
              </w:rPr>
              <w:t>80%</w:t>
            </w:r>
          </w:p>
        </w:tc>
      </w:tr>
      <w:tr w:rsidR="00247408" w14:paraId="14AD5558" w14:textId="2DC39C1A" w:rsidTr="009701F3">
        <w:tc>
          <w:tcPr>
            <w:tcW w:w="562" w:type="dxa"/>
          </w:tcPr>
          <w:p w14:paraId="71547AFD" w14:textId="77777777" w:rsidR="00247408" w:rsidRPr="00D45223" w:rsidRDefault="00247408" w:rsidP="008B63FD">
            <w:pPr>
              <w:pStyle w:val="TableText0"/>
              <w:rPr>
                <w:lang w:eastAsia="en-US"/>
              </w:rPr>
            </w:pPr>
            <w:r w:rsidRPr="00D45223">
              <w:rPr>
                <w:lang w:eastAsia="en-US"/>
              </w:rPr>
              <w:t>B</w:t>
            </w:r>
          </w:p>
        </w:tc>
        <w:tc>
          <w:tcPr>
            <w:tcW w:w="2002" w:type="dxa"/>
          </w:tcPr>
          <w:p w14:paraId="50FF3FEF" w14:textId="77777777" w:rsidR="00247408" w:rsidRPr="00D45223" w:rsidRDefault="00247408" w:rsidP="008B63FD">
            <w:pPr>
              <w:pStyle w:val="TableText0"/>
              <w:rPr>
                <w:lang w:eastAsia="en-US"/>
              </w:rPr>
            </w:pPr>
            <w:r>
              <w:rPr>
                <w:lang w:eastAsia="en-US"/>
              </w:rPr>
              <w:t>N</w:t>
            </w:r>
            <w:r w:rsidRPr="00D45223">
              <w:rPr>
                <w:lang w:eastAsia="en-US"/>
              </w:rPr>
              <w:t xml:space="preserve">umber </w:t>
            </w:r>
            <w:r>
              <w:rPr>
                <w:lang w:eastAsia="en-US"/>
              </w:rPr>
              <w:t>of</w:t>
            </w:r>
            <w:r w:rsidRPr="00D45223">
              <w:rPr>
                <w:lang w:eastAsia="en-US"/>
              </w:rPr>
              <w:t xml:space="preserve"> </w:t>
            </w:r>
            <w:r>
              <w:rPr>
                <w:lang w:eastAsia="en-US"/>
              </w:rPr>
              <w:t>MBS services</w:t>
            </w:r>
          </w:p>
        </w:tc>
        <w:tc>
          <w:tcPr>
            <w:tcW w:w="2761" w:type="dxa"/>
          </w:tcPr>
          <w:p w14:paraId="6B448FC2" w14:textId="3D23DD95" w:rsidR="00247408" w:rsidRPr="00D45223" w:rsidRDefault="00247408" w:rsidP="008B63FD">
            <w:pPr>
              <w:pStyle w:val="TableText0"/>
              <w:rPr>
                <w:lang w:eastAsia="en-US"/>
              </w:rPr>
            </w:pPr>
            <w:r w:rsidRPr="635453DD">
              <w:rPr>
                <w:lang w:eastAsia="en-US"/>
              </w:rPr>
              <w:t>Row G in above table</w:t>
            </w:r>
            <w:r w:rsidR="000E1F73">
              <w:rPr>
                <w:lang w:eastAsia="en-US"/>
              </w:rPr>
              <w:t xml:space="preserve"> from question 44</w:t>
            </w:r>
            <w:r w:rsidR="000E1F73" w:rsidRPr="635453DD">
              <w:rPr>
                <w:lang w:eastAsia="en-US"/>
              </w:rPr>
              <w:t xml:space="preserve"> x</w:t>
            </w:r>
            <w:r w:rsidRPr="635453DD">
              <w:rPr>
                <w:lang w:eastAsia="en-US"/>
              </w:rPr>
              <w:t xml:space="preserve"> 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C7DE70" w14:textId="0EB80656" w:rsidR="00247408" w:rsidRPr="00D45223" w:rsidRDefault="00247408" w:rsidP="008B63FD">
            <w:pPr>
              <w:pStyle w:val="TableText0"/>
              <w:rPr>
                <w:lang w:eastAsia="en-US"/>
              </w:rPr>
            </w:pPr>
            <w:r w:rsidRPr="00247408">
              <w:rPr>
                <w:lang w:eastAsia="en-US"/>
              </w:rPr>
              <w:t>3289</w:t>
            </w:r>
          </w:p>
        </w:tc>
        <w:tc>
          <w:tcPr>
            <w:tcW w:w="851" w:type="dxa"/>
            <w:tcBorders>
              <w:top w:val="single" w:sz="4" w:space="0" w:color="auto"/>
              <w:left w:val="single" w:sz="4" w:space="0" w:color="auto"/>
              <w:bottom w:val="single" w:sz="4" w:space="0" w:color="auto"/>
              <w:right w:val="single" w:sz="4" w:space="0" w:color="auto"/>
            </w:tcBorders>
            <w:vAlign w:val="center"/>
          </w:tcPr>
          <w:p w14:paraId="131592F7" w14:textId="44D7CC36" w:rsidR="00247408" w:rsidRPr="00247408" w:rsidRDefault="00247408" w:rsidP="008B63FD">
            <w:pPr>
              <w:pStyle w:val="TableText0"/>
            </w:pPr>
            <w:r w:rsidRPr="00247408">
              <w:t>3962</w:t>
            </w:r>
          </w:p>
        </w:tc>
        <w:tc>
          <w:tcPr>
            <w:tcW w:w="851" w:type="dxa"/>
            <w:tcBorders>
              <w:top w:val="single" w:sz="4" w:space="0" w:color="auto"/>
              <w:left w:val="single" w:sz="4" w:space="0" w:color="auto"/>
              <w:bottom w:val="single" w:sz="4" w:space="0" w:color="auto"/>
              <w:right w:val="single" w:sz="4" w:space="0" w:color="auto"/>
            </w:tcBorders>
            <w:vAlign w:val="center"/>
          </w:tcPr>
          <w:p w14:paraId="44484FB6" w14:textId="25C20B96" w:rsidR="00247408" w:rsidRPr="00247408" w:rsidRDefault="00247408" w:rsidP="008B63FD">
            <w:pPr>
              <w:pStyle w:val="TableText0"/>
            </w:pPr>
            <w:r w:rsidRPr="00247408">
              <w:t>4674</w:t>
            </w:r>
          </w:p>
        </w:tc>
      </w:tr>
    </w:tbl>
    <w:p w14:paraId="7AAC78EF" w14:textId="77777777" w:rsidR="003433D1" w:rsidRDefault="003433D1" w:rsidP="004B0D85">
      <w:r>
        <w:br w:type="page"/>
      </w:r>
    </w:p>
    <w:p w14:paraId="45A85A7E" w14:textId="77777777" w:rsidR="00951933" w:rsidRPr="00C776B1" w:rsidRDefault="001B5169" w:rsidP="0056015F">
      <w:pPr>
        <w:pStyle w:val="Heading1"/>
      </w:pPr>
      <w:r>
        <w:t>PART 8</w:t>
      </w:r>
      <w:r w:rsidR="00F93784">
        <w:t xml:space="preserve"> – </w:t>
      </w:r>
      <w:r w:rsidR="005A58BA">
        <w:t>COST</w:t>
      </w:r>
      <w:r w:rsidR="00951933" w:rsidRPr="00C776B1">
        <w:t xml:space="preserve"> INFORMATION</w:t>
      </w:r>
    </w:p>
    <w:p w14:paraId="23D19D45" w14:textId="1EE5497D" w:rsidR="00B97D89" w:rsidRPr="00B97D89" w:rsidRDefault="006A649A" w:rsidP="00B97D8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4FE409B" w14:textId="0B3C5B8F" w:rsidR="00152C86" w:rsidRPr="009701F3" w:rsidRDefault="00B97D89" w:rsidP="009701F3">
      <w:pPr>
        <w:rPr>
          <w:b/>
          <w:bCs/>
          <w:sz w:val="22"/>
          <w:szCs w:val="24"/>
        </w:rPr>
      </w:pPr>
      <w:r w:rsidRPr="009701F3">
        <w:rPr>
          <w:b/>
          <w:bCs/>
          <w:sz w:val="22"/>
          <w:szCs w:val="24"/>
        </w:rPr>
        <w:t>REDACTED</w:t>
      </w:r>
    </w:p>
    <w:p w14:paraId="17BB634B" w14:textId="77777777" w:rsidR="00951933" w:rsidRPr="00154B00" w:rsidRDefault="00951933" w:rsidP="004B0D85">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0ADCF909" w14:textId="36A2A5A2" w:rsidR="00951933" w:rsidRDefault="00F174DB" w:rsidP="004B0D85">
      <w:pPr>
        <w:rPr>
          <w:b/>
          <w:szCs w:val="20"/>
        </w:rPr>
      </w:pPr>
      <w:r>
        <w:t xml:space="preserve">Turnaround time of </w:t>
      </w:r>
      <w:r w:rsidR="009701F3">
        <w:t xml:space="preserve">eight </w:t>
      </w:r>
      <w:r>
        <w:t>hours when performed in Australia</w:t>
      </w:r>
    </w:p>
    <w:p w14:paraId="13EB3E80" w14:textId="42EFAF78" w:rsidR="008B63FD" w:rsidRPr="008B63FD" w:rsidRDefault="00D269F6" w:rsidP="008B63FD">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6C832B43" w14:textId="4F98491F" w:rsidR="008B63FD" w:rsidRPr="008B63FD" w:rsidRDefault="008B63FD" w:rsidP="008B63FD">
      <w:pPr>
        <w:pBdr>
          <w:top w:val="single" w:sz="4" w:space="1" w:color="auto"/>
          <w:left w:val="single" w:sz="4" w:space="4" w:color="auto"/>
          <w:bottom w:val="single" w:sz="4" w:space="1" w:color="auto"/>
          <w:right w:val="single" w:sz="4" w:space="4" w:color="auto"/>
          <w:between w:val="single" w:sz="4" w:space="1" w:color="auto"/>
        </w:pBdr>
      </w:pPr>
      <w:r>
        <w:rPr>
          <w:szCs w:val="20"/>
        </w:rPr>
        <w:t xml:space="preserve">Category </w:t>
      </w:r>
      <w:r>
        <w:t>PATHOLOGY SERVICES</w:t>
      </w:r>
      <w:r>
        <w:rPr>
          <w:szCs w:val="20"/>
        </w:rPr>
        <w:t xml:space="preserve"> – </w:t>
      </w:r>
      <w:r>
        <w:t>Group P7 – GENETICS</w:t>
      </w:r>
      <w:r>
        <w:rPr>
          <w:szCs w:val="20"/>
        </w:rPr>
        <w:t xml:space="preserve"> </w:t>
      </w:r>
    </w:p>
    <w:p w14:paraId="370554B9" w14:textId="77777777" w:rsidR="008B63FD" w:rsidRDefault="008B63FD" w:rsidP="008B63FD">
      <w:pPr>
        <w:pBdr>
          <w:top w:val="single" w:sz="4" w:space="1" w:color="auto"/>
          <w:left w:val="single" w:sz="4" w:space="4" w:color="auto"/>
          <w:bottom w:val="single" w:sz="4" w:space="1" w:color="auto"/>
          <w:right w:val="single" w:sz="4" w:space="4" w:color="auto"/>
        </w:pBdr>
        <w:rPr>
          <w:szCs w:val="20"/>
        </w:rPr>
      </w:pPr>
      <w:r>
        <w:rPr>
          <w:szCs w:val="20"/>
        </w:rPr>
        <w:t xml:space="preserve">Proposed item descriptor: </w:t>
      </w:r>
    </w:p>
    <w:p w14:paraId="26FC4B77" w14:textId="4F81862D" w:rsidR="008B63FD" w:rsidRDefault="008B63FD" w:rsidP="008B63FD">
      <w:pPr>
        <w:pBdr>
          <w:top w:val="single" w:sz="4" w:space="1" w:color="auto"/>
          <w:left w:val="single" w:sz="4" w:space="4" w:color="auto"/>
          <w:bottom w:val="single" w:sz="4" w:space="1" w:color="auto"/>
          <w:right w:val="single" w:sz="4" w:space="4" w:color="auto"/>
        </w:pBdr>
      </w:pPr>
      <w:r>
        <w:t>A gene expression profiling test that demonstrates statistically significant incremental prognostic value of multivariant clinical features. Clinically validated gene expression profiling of FFPE, core needle biopsy or surgical tumour sample in primary breast cancer tissue. The test may be used when all the following criteria are met:</w:t>
      </w:r>
    </w:p>
    <w:p w14:paraId="37E7DDA9" w14:textId="77777777" w:rsidR="008B63FD" w:rsidRDefault="008B63FD" w:rsidP="008B63FD">
      <w:pPr>
        <w:pBdr>
          <w:top w:val="single" w:sz="4" w:space="1" w:color="auto"/>
          <w:left w:val="single" w:sz="4" w:space="4" w:color="auto"/>
          <w:bottom w:val="single" w:sz="4" w:space="1" w:color="auto"/>
          <w:right w:val="single" w:sz="4" w:space="4" w:color="auto"/>
        </w:pBdr>
      </w:pPr>
      <w:r>
        <w:t xml:space="preserve"> • New primary breast cancer, suitable for adjuvant chemotherapy, and not requiring neoadjuvant chemotherapy</w:t>
      </w:r>
    </w:p>
    <w:p w14:paraId="552F7688" w14:textId="77777777" w:rsidR="008B63FD" w:rsidRDefault="008B63FD" w:rsidP="008B63FD">
      <w:pPr>
        <w:pBdr>
          <w:top w:val="single" w:sz="4" w:space="1" w:color="auto"/>
          <w:left w:val="single" w:sz="4" w:space="4" w:color="auto"/>
          <w:bottom w:val="single" w:sz="4" w:space="1" w:color="auto"/>
          <w:right w:val="single" w:sz="4" w:space="4" w:color="auto"/>
        </w:pBdr>
      </w:pPr>
      <w:r>
        <w:t xml:space="preserve"> • Oestrogen positive and HER2 negative as determined by IHC and ISH respectively on surgically removed tumour </w:t>
      </w:r>
    </w:p>
    <w:p w14:paraId="18E32CF4" w14:textId="77777777" w:rsidR="008B63FD" w:rsidRDefault="008B63FD" w:rsidP="008B63FD">
      <w:pPr>
        <w:pBdr>
          <w:top w:val="single" w:sz="4" w:space="1" w:color="auto"/>
          <w:left w:val="single" w:sz="4" w:space="4" w:color="auto"/>
          <w:bottom w:val="single" w:sz="4" w:space="1" w:color="auto"/>
          <w:right w:val="single" w:sz="4" w:space="4" w:color="auto"/>
        </w:pBdr>
      </w:pPr>
      <w:r>
        <w:t xml:space="preserve">• Node negative or positive (up to 3 nodes) and tumour size determined by histopathology on surgically removed tumour </w:t>
      </w:r>
    </w:p>
    <w:p w14:paraId="5E40558B" w14:textId="77777777" w:rsidR="008B63FD" w:rsidRDefault="008B63FD" w:rsidP="008B63FD">
      <w:pPr>
        <w:pBdr>
          <w:top w:val="single" w:sz="4" w:space="1" w:color="auto"/>
          <w:left w:val="single" w:sz="4" w:space="4" w:color="auto"/>
          <w:bottom w:val="single" w:sz="4" w:space="1" w:color="auto"/>
          <w:right w:val="single" w:sz="4" w:space="4" w:color="auto"/>
        </w:pBdr>
      </w:pPr>
      <w:r>
        <w:t xml:space="preserve">• Pre-test intermediate clinical risk of distant metastases defined by at least one of the following characteristics: tumour size ≥ 2cm; or Grade 2; or Grade 3; or one to three lymph nodes involved in metastatic disease (nodes include </w:t>
      </w:r>
      <w:proofErr w:type="spellStart"/>
      <w:r>
        <w:t>micrometastases</w:t>
      </w:r>
      <w:proofErr w:type="spellEnd"/>
      <w:r>
        <w:t xml:space="preserve"> but not isolated tumour cells) </w:t>
      </w:r>
    </w:p>
    <w:p w14:paraId="651EAB95" w14:textId="77777777" w:rsidR="008B63FD" w:rsidRDefault="008B63FD" w:rsidP="008B63FD">
      <w:pPr>
        <w:pBdr>
          <w:top w:val="single" w:sz="4" w:space="1" w:color="auto"/>
          <w:left w:val="single" w:sz="4" w:space="4" w:color="auto"/>
          <w:bottom w:val="single" w:sz="4" w:space="1" w:color="auto"/>
          <w:right w:val="single" w:sz="4" w:space="4" w:color="auto"/>
        </w:pBdr>
      </w:pPr>
      <w:r>
        <w:t xml:space="preserve">Laboratory pathologist can determine if required as a reflex test when criteria is met. </w:t>
      </w:r>
    </w:p>
    <w:p w14:paraId="7856FDAD" w14:textId="64A95728" w:rsidR="008B63FD" w:rsidRDefault="008B63FD" w:rsidP="008B63FD">
      <w:pPr>
        <w:pBdr>
          <w:top w:val="single" w:sz="4" w:space="1" w:color="auto"/>
          <w:left w:val="single" w:sz="4" w:space="4" w:color="auto"/>
          <w:bottom w:val="single" w:sz="4" w:space="1" w:color="auto"/>
          <w:right w:val="single" w:sz="4" w:space="4" w:color="auto"/>
        </w:pBdr>
        <w:rPr>
          <w:szCs w:val="20"/>
        </w:rPr>
      </w:pPr>
      <w:r>
        <w:t>The test may be used once per new primary breast cancer diagnosis.</w:t>
      </w:r>
    </w:p>
    <w:p w14:paraId="3C4ED899" w14:textId="5460C2E1" w:rsidR="008B63FD" w:rsidRDefault="008B63FD" w:rsidP="008B63FD">
      <w:pPr>
        <w:pBdr>
          <w:top w:val="single" w:sz="4" w:space="1" w:color="auto"/>
          <w:left w:val="single" w:sz="4" w:space="4" w:color="auto"/>
          <w:bottom w:val="single" w:sz="4" w:space="1" w:color="auto"/>
          <w:right w:val="single" w:sz="4" w:space="4" w:color="auto"/>
        </w:pBdr>
        <w:rPr>
          <w:szCs w:val="20"/>
        </w:rPr>
      </w:pPr>
      <w:r>
        <w:rPr>
          <w:szCs w:val="20"/>
        </w:rPr>
        <w:t>Fee:  To be determined</w:t>
      </w:r>
    </w:p>
    <w:p w14:paraId="5AB6807F" w14:textId="002B62D1" w:rsidR="008B63FD" w:rsidRDefault="008B63FD" w:rsidP="008B63FD">
      <w:pPr>
        <w:pBdr>
          <w:top w:val="single" w:sz="4" w:space="1" w:color="auto"/>
          <w:left w:val="single" w:sz="4" w:space="4" w:color="auto"/>
          <w:bottom w:val="single" w:sz="4" w:space="1" w:color="auto"/>
          <w:right w:val="single" w:sz="4" w:space="4" w:color="auto"/>
        </w:pBdr>
        <w:rPr>
          <w:szCs w:val="20"/>
        </w:rPr>
      </w:pPr>
      <w:r w:rsidRPr="008B63FD">
        <w:rPr>
          <w:szCs w:val="20"/>
        </w:rPr>
        <w:t>Agreed price to volume fee, pricing is reduced annually based on volume achieved the previous year</w:t>
      </w:r>
    </w:p>
    <w:p w14:paraId="04C8C6E3" w14:textId="77777777" w:rsidR="00D269F6" w:rsidRPr="00D269F6" w:rsidRDefault="00D269F6" w:rsidP="004B0D85">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6B1D4F44" w14:textId="5D70263F" w:rsidR="00632E42" w:rsidRPr="00D5266E" w:rsidRDefault="00D5266E" w:rsidP="004B0D85">
      <w:r>
        <w:t>Not applicable</w:t>
      </w:r>
    </w:p>
    <w:sectPr w:rsidR="00632E42" w:rsidRPr="00D5266E"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71BF2" w14:textId="05D951FD" w:rsidR="004B0D85" w:rsidRDefault="004B0D85" w:rsidP="004B0D85">
      <w:r>
        <w:separator/>
      </w:r>
    </w:p>
    <w:p w14:paraId="787D3C47" w14:textId="77777777" w:rsidR="004B0D85" w:rsidRDefault="004B0D85" w:rsidP="004B0D85"/>
  </w:endnote>
  <w:endnote w:type="continuationSeparator" w:id="0">
    <w:p w14:paraId="28B01038" w14:textId="22536804" w:rsidR="004B0D85" w:rsidRDefault="004B0D85" w:rsidP="004B0D85">
      <w:r>
        <w:continuationSeparator/>
      </w:r>
    </w:p>
    <w:p w14:paraId="11B20415" w14:textId="77777777" w:rsidR="004B0D85" w:rsidRDefault="004B0D85" w:rsidP="004B0D85"/>
  </w:endnote>
  <w:endnote w:type="continuationNotice" w:id="1">
    <w:p w14:paraId="74A1EE8C" w14:textId="133ED5B0" w:rsidR="004B0D85" w:rsidRDefault="004B0D85" w:rsidP="004B0D85"/>
    <w:p w14:paraId="09BE5416" w14:textId="77777777" w:rsidR="004B0D85" w:rsidRDefault="004B0D85" w:rsidP="004B0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83866769"/>
      <w:docPartObj>
        <w:docPartGallery w:val="Page Numbers (Bottom of Page)"/>
        <w:docPartUnique/>
      </w:docPartObj>
    </w:sdtPr>
    <w:sdtEndPr>
      <w:rPr>
        <w:color w:val="808080" w:themeColor="background1" w:themeShade="80"/>
        <w:spacing w:val="60"/>
      </w:rPr>
    </w:sdtEndPr>
    <w:sdtContent>
      <w:p w14:paraId="56B4AED1" w14:textId="73792A74" w:rsidR="009701F3" w:rsidRDefault="009701F3" w:rsidP="009701F3">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Pr>
            <w:sz w:val="18"/>
            <w:szCs w:val="18"/>
          </w:rPr>
          <w:t>1</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50AA1349" w14:textId="6032E3E0" w:rsidR="004B0D85" w:rsidRPr="009701F3" w:rsidRDefault="009701F3" w:rsidP="009701F3">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1B940" w14:textId="77777777" w:rsidR="004B0D85" w:rsidRDefault="004B0D85" w:rsidP="004B0D85">
      <w:r>
        <w:separator/>
      </w:r>
    </w:p>
    <w:p w14:paraId="56672C4E" w14:textId="77777777" w:rsidR="004B0D85" w:rsidRDefault="004B0D85" w:rsidP="004B0D85"/>
  </w:footnote>
  <w:footnote w:type="continuationSeparator" w:id="0">
    <w:p w14:paraId="34A800F5" w14:textId="0B9D8E06" w:rsidR="004B0D85" w:rsidRDefault="004B0D85" w:rsidP="004B0D85">
      <w:r>
        <w:continuationSeparator/>
      </w:r>
    </w:p>
    <w:p w14:paraId="31710A12" w14:textId="77777777" w:rsidR="004B0D85" w:rsidRDefault="004B0D85" w:rsidP="004B0D85"/>
  </w:footnote>
  <w:footnote w:type="continuationNotice" w:id="1">
    <w:p w14:paraId="365CCCD1" w14:textId="2CB8EE78" w:rsidR="004B0D85" w:rsidRDefault="004B0D85" w:rsidP="004B0D85"/>
    <w:p w14:paraId="30B6F700" w14:textId="77777777" w:rsidR="004B0D85" w:rsidRDefault="004B0D85" w:rsidP="004B0D85"/>
  </w:footnote>
  <w:footnote w:id="2">
    <w:p w14:paraId="68CBA045" w14:textId="77777777" w:rsidR="004B0D85" w:rsidRDefault="004B0D85" w:rsidP="004B0D85">
      <w:pPr>
        <w:pStyle w:val="FootnoteText"/>
      </w:pPr>
      <w:r>
        <w:rPr>
          <w:rStyle w:val="FootnoteReference"/>
        </w:rPr>
        <w:footnoteRef/>
      </w:r>
      <w:r>
        <w:t xml:space="preserve"> IHC involves examination of the cells under microscope after application of a stain. The stain shows how many cells have hormone receptors and the amount of hormone receptors in the cells.</w:t>
      </w:r>
    </w:p>
  </w:footnote>
  <w:footnote w:id="3">
    <w:p w14:paraId="66D07192" w14:textId="77777777" w:rsidR="004B0D85" w:rsidRDefault="004B0D85" w:rsidP="004B0D85">
      <w:pPr>
        <w:pStyle w:val="FootnoteText"/>
      </w:pPr>
      <w:r>
        <w:rPr>
          <w:rStyle w:val="FootnoteReference"/>
        </w:rPr>
        <w:footnoteRef/>
      </w:r>
      <w:r>
        <w:t xml:space="preserve"> ISH involves a probe that specifically binds to the HER2 gene.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465C69"/>
    <w:multiLevelType w:val="hybridMultilevel"/>
    <w:tmpl w:val="50ECD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510F6FAE"/>
    <w:multiLevelType w:val="multilevel"/>
    <w:tmpl w:val="D5FA7F4A"/>
    <w:lvl w:ilvl="0">
      <w:start w:val="1"/>
      <w:numFmt w:val="decimal"/>
      <w:pStyle w:val="Heading2"/>
      <w:lvlText w:val="%1."/>
      <w:lvlJc w:val="left"/>
      <w:pPr>
        <w:ind w:left="3621"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580548"/>
    <w:multiLevelType w:val="hybridMultilevel"/>
    <w:tmpl w:val="A0E4C74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6E2214"/>
    <w:multiLevelType w:val="hybridMultilevel"/>
    <w:tmpl w:val="3C144606"/>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EA1055F"/>
    <w:multiLevelType w:val="hybridMultilevel"/>
    <w:tmpl w:val="85CC48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80268"/>
    <w:multiLevelType w:val="hybridMultilevel"/>
    <w:tmpl w:val="1F86C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D31A82"/>
    <w:multiLevelType w:val="hybridMultilevel"/>
    <w:tmpl w:val="1B46B778"/>
    <w:lvl w:ilvl="0" w:tplc="F11EB44A">
      <w:start w:val="1"/>
      <w:numFmt w:val="lowerLetter"/>
      <w:lvlText w:val="(%1)"/>
      <w:lvlJc w:val="left"/>
      <w:pPr>
        <w:ind w:left="617" w:hanging="390"/>
      </w:pPr>
    </w:lvl>
    <w:lvl w:ilvl="1" w:tplc="F27C22C4">
      <w:start w:val="1"/>
      <w:numFmt w:val="lowerRoman"/>
      <w:lvlText w:val="(%2)"/>
      <w:lvlJc w:val="left"/>
      <w:pPr>
        <w:ind w:left="1307" w:hanging="360"/>
      </w:pPr>
    </w:lvl>
    <w:lvl w:ilvl="2" w:tplc="0E2A9F54">
      <w:start w:val="1"/>
      <w:numFmt w:val="lowerRoman"/>
      <w:lvlText w:val="%3."/>
      <w:lvlJc w:val="right"/>
      <w:pPr>
        <w:ind w:left="2027" w:hanging="180"/>
      </w:pPr>
    </w:lvl>
    <w:lvl w:ilvl="3" w:tplc="EFAAD452">
      <w:start w:val="1"/>
      <w:numFmt w:val="decimal"/>
      <w:lvlText w:val="%4."/>
      <w:lvlJc w:val="left"/>
      <w:pPr>
        <w:ind w:left="2747" w:hanging="360"/>
      </w:pPr>
    </w:lvl>
    <w:lvl w:ilvl="4" w:tplc="020025A2">
      <w:start w:val="1"/>
      <w:numFmt w:val="lowerLetter"/>
      <w:lvlText w:val="%5."/>
      <w:lvlJc w:val="left"/>
      <w:pPr>
        <w:ind w:left="3467" w:hanging="360"/>
      </w:pPr>
    </w:lvl>
    <w:lvl w:ilvl="5" w:tplc="0C0A619A">
      <w:start w:val="1"/>
      <w:numFmt w:val="lowerRoman"/>
      <w:lvlText w:val="%6."/>
      <w:lvlJc w:val="right"/>
      <w:pPr>
        <w:ind w:left="4187" w:hanging="180"/>
      </w:pPr>
    </w:lvl>
    <w:lvl w:ilvl="6" w:tplc="C4A8E8C6">
      <w:start w:val="1"/>
      <w:numFmt w:val="decimal"/>
      <w:lvlText w:val="%7."/>
      <w:lvlJc w:val="left"/>
      <w:pPr>
        <w:ind w:left="4907" w:hanging="360"/>
      </w:pPr>
    </w:lvl>
    <w:lvl w:ilvl="7" w:tplc="8176097E">
      <w:start w:val="1"/>
      <w:numFmt w:val="lowerLetter"/>
      <w:lvlText w:val="%8."/>
      <w:lvlJc w:val="left"/>
      <w:pPr>
        <w:ind w:left="5627" w:hanging="360"/>
      </w:pPr>
    </w:lvl>
    <w:lvl w:ilvl="8" w:tplc="9794A2FC">
      <w:start w:val="1"/>
      <w:numFmt w:val="lowerRoman"/>
      <w:lvlText w:val="%9."/>
      <w:lvlJc w:val="right"/>
      <w:pPr>
        <w:ind w:left="6347" w:hanging="180"/>
      </w:pPr>
    </w:lvl>
  </w:abstractNum>
  <w:abstractNum w:abstractNumId="20" w15:restartNumberingAfterBreak="0">
    <w:nsid w:val="6B59124E"/>
    <w:multiLevelType w:val="hybridMultilevel"/>
    <w:tmpl w:val="DD86D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C15FDA"/>
    <w:multiLevelType w:val="hybridMultilevel"/>
    <w:tmpl w:val="FA82D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FA002B0"/>
    <w:multiLevelType w:val="hybridMultilevel"/>
    <w:tmpl w:val="C0AAB30E"/>
    <w:lvl w:ilvl="0" w:tplc="EF6CA24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
  </w:num>
  <w:num w:numId="4">
    <w:abstractNumId w:val="16"/>
  </w:num>
  <w:num w:numId="5">
    <w:abstractNumId w:val="3"/>
  </w:num>
  <w:num w:numId="6">
    <w:abstractNumId w:val="10"/>
  </w:num>
  <w:num w:numId="7">
    <w:abstractNumId w:val="7"/>
  </w:num>
  <w:num w:numId="8">
    <w:abstractNumId w:val="18"/>
  </w:num>
  <w:num w:numId="9">
    <w:abstractNumId w:val="2"/>
  </w:num>
  <w:num w:numId="10">
    <w:abstractNumId w:val="13"/>
  </w:num>
  <w:num w:numId="11">
    <w:abstractNumId w:val="5"/>
  </w:num>
  <w:num w:numId="12">
    <w:abstractNumId w:val="12"/>
  </w:num>
  <w:num w:numId="13">
    <w:abstractNumId w:val="4"/>
  </w:num>
  <w:num w:numId="14">
    <w:abstractNumId w:val="8"/>
  </w:num>
  <w:num w:numId="15">
    <w:abstractNumId w:val="0"/>
  </w:num>
  <w:num w:numId="16">
    <w:abstractNumId w:val="14"/>
  </w:num>
  <w:num w:numId="17">
    <w:abstractNumId w:val="23"/>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6"/>
  </w:num>
  <w:num w:numId="23">
    <w:abstractNumId w:val="6"/>
  </w:num>
  <w:num w:numId="24">
    <w:abstractNumId w:val="20"/>
  </w:num>
  <w:num w:numId="2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4337"/>
    <w:rsid w:val="000055E1"/>
    <w:rsid w:val="00010EE4"/>
    <w:rsid w:val="000110DC"/>
    <w:rsid w:val="000158AA"/>
    <w:rsid w:val="000159B9"/>
    <w:rsid w:val="00016B6E"/>
    <w:rsid w:val="00016E08"/>
    <w:rsid w:val="00017F91"/>
    <w:rsid w:val="00023E21"/>
    <w:rsid w:val="00024BE3"/>
    <w:rsid w:val="00025ABC"/>
    <w:rsid w:val="00026412"/>
    <w:rsid w:val="00031F6F"/>
    <w:rsid w:val="00032720"/>
    <w:rsid w:val="00032FA8"/>
    <w:rsid w:val="00034D6E"/>
    <w:rsid w:val="00046854"/>
    <w:rsid w:val="00046F5D"/>
    <w:rsid w:val="00050170"/>
    <w:rsid w:val="0005089D"/>
    <w:rsid w:val="000525BC"/>
    <w:rsid w:val="00073222"/>
    <w:rsid w:val="000770BA"/>
    <w:rsid w:val="00082B62"/>
    <w:rsid w:val="0008323F"/>
    <w:rsid w:val="00084541"/>
    <w:rsid w:val="0009223D"/>
    <w:rsid w:val="00092580"/>
    <w:rsid w:val="00093F22"/>
    <w:rsid w:val="000955E7"/>
    <w:rsid w:val="00095B45"/>
    <w:rsid w:val="00095EE4"/>
    <w:rsid w:val="000A110D"/>
    <w:rsid w:val="000A478F"/>
    <w:rsid w:val="000A5B32"/>
    <w:rsid w:val="000B2878"/>
    <w:rsid w:val="000B3692"/>
    <w:rsid w:val="000B39AF"/>
    <w:rsid w:val="000B3CD0"/>
    <w:rsid w:val="000C3118"/>
    <w:rsid w:val="000C3E01"/>
    <w:rsid w:val="000D066E"/>
    <w:rsid w:val="000D0831"/>
    <w:rsid w:val="000D3D3B"/>
    <w:rsid w:val="000D640D"/>
    <w:rsid w:val="000E1F73"/>
    <w:rsid w:val="000E2E02"/>
    <w:rsid w:val="000E47E7"/>
    <w:rsid w:val="000E5439"/>
    <w:rsid w:val="000F3129"/>
    <w:rsid w:val="000F3289"/>
    <w:rsid w:val="001002AD"/>
    <w:rsid w:val="00102686"/>
    <w:rsid w:val="0011036E"/>
    <w:rsid w:val="001130B0"/>
    <w:rsid w:val="0011369B"/>
    <w:rsid w:val="00114B78"/>
    <w:rsid w:val="0011742E"/>
    <w:rsid w:val="001200FA"/>
    <w:rsid w:val="0012096C"/>
    <w:rsid w:val="00123D10"/>
    <w:rsid w:val="00124809"/>
    <w:rsid w:val="001252DB"/>
    <w:rsid w:val="00126B33"/>
    <w:rsid w:val="00132DCD"/>
    <w:rsid w:val="00142A60"/>
    <w:rsid w:val="00145FEB"/>
    <w:rsid w:val="00146954"/>
    <w:rsid w:val="00151F56"/>
    <w:rsid w:val="00152C86"/>
    <w:rsid w:val="00154927"/>
    <w:rsid w:val="00154B00"/>
    <w:rsid w:val="00160A13"/>
    <w:rsid w:val="001644E9"/>
    <w:rsid w:val="00174ACB"/>
    <w:rsid w:val="00180350"/>
    <w:rsid w:val="00180CFE"/>
    <w:rsid w:val="001845D9"/>
    <w:rsid w:val="0018630F"/>
    <w:rsid w:val="001906CD"/>
    <w:rsid w:val="00191B99"/>
    <w:rsid w:val="0019694B"/>
    <w:rsid w:val="00197D29"/>
    <w:rsid w:val="001A02E3"/>
    <w:rsid w:val="001A1ADF"/>
    <w:rsid w:val="001A30DA"/>
    <w:rsid w:val="001A365C"/>
    <w:rsid w:val="001B171D"/>
    <w:rsid w:val="001B2696"/>
    <w:rsid w:val="001B29A1"/>
    <w:rsid w:val="001B5169"/>
    <w:rsid w:val="001B6164"/>
    <w:rsid w:val="001C0D7A"/>
    <w:rsid w:val="001C24A1"/>
    <w:rsid w:val="001C579F"/>
    <w:rsid w:val="001D6D5F"/>
    <w:rsid w:val="001D77ED"/>
    <w:rsid w:val="001D7B6D"/>
    <w:rsid w:val="001E1180"/>
    <w:rsid w:val="001E23EA"/>
    <w:rsid w:val="001E4A81"/>
    <w:rsid w:val="001E5FC3"/>
    <w:rsid w:val="001E6919"/>
    <w:rsid w:val="001E6958"/>
    <w:rsid w:val="001F26AA"/>
    <w:rsid w:val="00201924"/>
    <w:rsid w:val="00202473"/>
    <w:rsid w:val="002053F2"/>
    <w:rsid w:val="00206D63"/>
    <w:rsid w:val="0021185D"/>
    <w:rsid w:val="00226777"/>
    <w:rsid w:val="002342A3"/>
    <w:rsid w:val="00235BD1"/>
    <w:rsid w:val="00237E5D"/>
    <w:rsid w:val="00242B0E"/>
    <w:rsid w:val="0024342C"/>
    <w:rsid w:val="00247408"/>
    <w:rsid w:val="00247813"/>
    <w:rsid w:val="00247DF0"/>
    <w:rsid w:val="00254813"/>
    <w:rsid w:val="00254BCF"/>
    <w:rsid w:val="00257FF2"/>
    <w:rsid w:val="0026316A"/>
    <w:rsid w:val="00265822"/>
    <w:rsid w:val="0027105F"/>
    <w:rsid w:val="002711FB"/>
    <w:rsid w:val="00282B37"/>
    <w:rsid w:val="00282BE8"/>
    <w:rsid w:val="00283318"/>
    <w:rsid w:val="0028460F"/>
    <w:rsid w:val="00285525"/>
    <w:rsid w:val="00294CD8"/>
    <w:rsid w:val="0029590B"/>
    <w:rsid w:val="00295C8B"/>
    <w:rsid w:val="00296405"/>
    <w:rsid w:val="0029653D"/>
    <w:rsid w:val="002A270B"/>
    <w:rsid w:val="002A50FD"/>
    <w:rsid w:val="002A51A4"/>
    <w:rsid w:val="002A6753"/>
    <w:rsid w:val="002A69EB"/>
    <w:rsid w:val="002A76CE"/>
    <w:rsid w:val="002A78B3"/>
    <w:rsid w:val="002B01FC"/>
    <w:rsid w:val="002B2644"/>
    <w:rsid w:val="002B28D7"/>
    <w:rsid w:val="002B67D3"/>
    <w:rsid w:val="002B7EB6"/>
    <w:rsid w:val="002C0B61"/>
    <w:rsid w:val="002C15E6"/>
    <w:rsid w:val="002C247D"/>
    <w:rsid w:val="002C3345"/>
    <w:rsid w:val="002D409A"/>
    <w:rsid w:val="002E54F3"/>
    <w:rsid w:val="002E7E0B"/>
    <w:rsid w:val="002F30E7"/>
    <w:rsid w:val="002F3892"/>
    <w:rsid w:val="002F5ED2"/>
    <w:rsid w:val="00300EEB"/>
    <w:rsid w:val="003013A9"/>
    <w:rsid w:val="00301958"/>
    <w:rsid w:val="003020B5"/>
    <w:rsid w:val="003027BB"/>
    <w:rsid w:val="00303246"/>
    <w:rsid w:val="00303BE5"/>
    <w:rsid w:val="00310A10"/>
    <w:rsid w:val="00325CAF"/>
    <w:rsid w:val="00327D25"/>
    <w:rsid w:val="003319A7"/>
    <w:rsid w:val="00334FE3"/>
    <w:rsid w:val="003421AE"/>
    <w:rsid w:val="003433D1"/>
    <w:rsid w:val="00344B24"/>
    <w:rsid w:val="003456B9"/>
    <w:rsid w:val="00346C37"/>
    <w:rsid w:val="0035067D"/>
    <w:rsid w:val="003522E1"/>
    <w:rsid w:val="00353A16"/>
    <w:rsid w:val="0035776D"/>
    <w:rsid w:val="00364CE5"/>
    <w:rsid w:val="00364FD9"/>
    <w:rsid w:val="00367C1B"/>
    <w:rsid w:val="00376B61"/>
    <w:rsid w:val="00382407"/>
    <w:rsid w:val="00386A64"/>
    <w:rsid w:val="00386FA1"/>
    <w:rsid w:val="00390142"/>
    <w:rsid w:val="003904AC"/>
    <w:rsid w:val="003916BB"/>
    <w:rsid w:val="00392F00"/>
    <w:rsid w:val="00397377"/>
    <w:rsid w:val="003A153F"/>
    <w:rsid w:val="003A22DE"/>
    <w:rsid w:val="003A2860"/>
    <w:rsid w:val="003A3C35"/>
    <w:rsid w:val="003A5CCF"/>
    <w:rsid w:val="003A7D30"/>
    <w:rsid w:val="003B0522"/>
    <w:rsid w:val="003B36A2"/>
    <w:rsid w:val="003B3C5C"/>
    <w:rsid w:val="003B605D"/>
    <w:rsid w:val="003B798F"/>
    <w:rsid w:val="003C45D7"/>
    <w:rsid w:val="003C47CA"/>
    <w:rsid w:val="003C5870"/>
    <w:rsid w:val="003D4DA6"/>
    <w:rsid w:val="003D6DE1"/>
    <w:rsid w:val="003D795C"/>
    <w:rsid w:val="003E0C70"/>
    <w:rsid w:val="003E30FB"/>
    <w:rsid w:val="003F0D5C"/>
    <w:rsid w:val="003F2711"/>
    <w:rsid w:val="003F5F39"/>
    <w:rsid w:val="003F6196"/>
    <w:rsid w:val="003F6C70"/>
    <w:rsid w:val="003F7CB9"/>
    <w:rsid w:val="00403333"/>
    <w:rsid w:val="00404AD3"/>
    <w:rsid w:val="00411735"/>
    <w:rsid w:val="0041305A"/>
    <w:rsid w:val="00415C74"/>
    <w:rsid w:val="004230BE"/>
    <w:rsid w:val="00430A92"/>
    <w:rsid w:val="00432CAB"/>
    <w:rsid w:val="0043654D"/>
    <w:rsid w:val="00436ED6"/>
    <w:rsid w:val="00437F60"/>
    <w:rsid w:val="00441CB4"/>
    <w:rsid w:val="00451840"/>
    <w:rsid w:val="00460C9A"/>
    <w:rsid w:val="0046172D"/>
    <w:rsid w:val="00464924"/>
    <w:rsid w:val="004678D9"/>
    <w:rsid w:val="0047363C"/>
    <w:rsid w:val="0047581D"/>
    <w:rsid w:val="00475C86"/>
    <w:rsid w:val="00476FDD"/>
    <w:rsid w:val="00480289"/>
    <w:rsid w:val="00481279"/>
    <w:rsid w:val="00483368"/>
    <w:rsid w:val="00484851"/>
    <w:rsid w:val="004851CD"/>
    <w:rsid w:val="00494011"/>
    <w:rsid w:val="00496ADF"/>
    <w:rsid w:val="004A0BF4"/>
    <w:rsid w:val="004A263B"/>
    <w:rsid w:val="004A2B86"/>
    <w:rsid w:val="004A5081"/>
    <w:rsid w:val="004A6541"/>
    <w:rsid w:val="004B0D85"/>
    <w:rsid w:val="004B362D"/>
    <w:rsid w:val="004B68AE"/>
    <w:rsid w:val="004C35B0"/>
    <w:rsid w:val="004C49EF"/>
    <w:rsid w:val="004C4A19"/>
    <w:rsid w:val="004C5570"/>
    <w:rsid w:val="004D00C9"/>
    <w:rsid w:val="004D3611"/>
    <w:rsid w:val="004D39C1"/>
    <w:rsid w:val="004E16F5"/>
    <w:rsid w:val="004E2B58"/>
    <w:rsid w:val="004E31A1"/>
    <w:rsid w:val="004E3CC7"/>
    <w:rsid w:val="004E3FB0"/>
    <w:rsid w:val="004E5B69"/>
    <w:rsid w:val="004E7E3F"/>
    <w:rsid w:val="004F113F"/>
    <w:rsid w:val="004F2A87"/>
    <w:rsid w:val="00507C56"/>
    <w:rsid w:val="005134C3"/>
    <w:rsid w:val="005167C8"/>
    <w:rsid w:val="0052344E"/>
    <w:rsid w:val="00526478"/>
    <w:rsid w:val="0052728B"/>
    <w:rsid w:val="005272F8"/>
    <w:rsid w:val="00530204"/>
    <w:rsid w:val="00534C5F"/>
    <w:rsid w:val="00540257"/>
    <w:rsid w:val="0054192F"/>
    <w:rsid w:val="00544EB3"/>
    <w:rsid w:val="0054594B"/>
    <w:rsid w:val="0054749B"/>
    <w:rsid w:val="005478EB"/>
    <w:rsid w:val="00551C26"/>
    <w:rsid w:val="00551CC6"/>
    <w:rsid w:val="0055425F"/>
    <w:rsid w:val="00554430"/>
    <w:rsid w:val="00554E7A"/>
    <w:rsid w:val="0056015F"/>
    <w:rsid w:val="00560541"/>
    <w:rsid w:val="005672D0"/>
    <w:rsid w:val="00572CEB"/>
    <w:rsid w:val="005779A3"/>
    <w:rsid w:val="00577BA5"/>
    <w:rsid w:val="005834C9"/>
    <w:rsid w:val="005A0E9C"/>
    <w:rsid w:val="005A58BA"/>
    <w:rsid w:val="005A5D30"/>
    <w:rsid w:val="005A6AB9"/>
    <w:rsid w:val="005B0B48"/>
    <w:rsid w:val="005B6199"/>
    <w:rsid w:val="005C03C8"/>
    <w:rsid w:val="005C333E"/>
    <w:rsid w:val="005C3AE7"/>
    <w:rsid w:val="005D0677"/>
    <w:rsid w:val="005D2138"/>
    <w:rsid w:val="005D28FD"/>
    <w:rsid w:val="005D370A"/>
    <w:rsid w:val="005D405A"/>
    <w:rsid w:val="005E112E"/>
    <w:rsid w:val="005E143B"/>
    <w:rsid w:val="005E294C"/>
    <w:rsid w:val="005E2CE3"/>
    <w:rsid w:val="005F0789"/>
    <w:rsid w:val="005F1D1C"/>
    <w:rsid w:val="005F3F07"/>
    <w:rsid w:val="00601C06"/>
    <w:rsid w:val="00603D04"/>
    <w:rsid w:val="00606857"/>
    <w:rsid w:val="00607582"/>
    <w:rsid w:val="00615F42"/>
    <w:rsid w:val="00624B1B"/>
    <w:rsid w:val="006258C2"/>
    <w:rsid w:val="00626365"/>
    <w:rsid w:val="00627F05"/>
    <w:rsid w:val="00630544"/>
    <w:rsid w:val="00630E22"/>
    <w:rsid w:val="00632E42"/>
    <w:rsid w:val="00637B75"/>
    <w:rsid w:val="0064168C"/>
    <w:rsid w:val="00643755"/>
    <w:rsid w:val="00657B46"/>
    <w:rsid w:val="006669AA"/>
    <w:rsid w:val="00670891"/>
    <w:rsid w:val="00671136"/>
    <w:rsid w:val="006764EC"/>
    <w:rsid w:val="006813FB"/>
    <w:rsid w:val="00682303"/>
    <w:rsid w:val="006835FE"/>
    <w:rsid w:val="006852DD"/>
    <w:rsid w:val="00685AD3"/>
    <w:rsid w:val="00693BFD"/>
    <w:rsid w:val="00695065"/>
    <w:rsid w:val="00695EBE"/>
    <w:rsid w:val="0069722F"/>
    <w:rsid w:val="006A01CF"/>
    <w:rsid w:val="006A0897"/>
    <w:rsid w:val="006A0EE4"/>
    <w:rsid w:val="006A1038"/>
    <w:rsid w:val="006A415A"/>
    <w:rsid w:val="006A649A"/>
    <w:rsid w:val="006B063A"/>
    <w:rsid w:val="006B1B49"/>
    <w:rsid w:val="006B2F05"/>
    <w:rsid w:val="006B3A92"/>
    <w:rsid w:val="006B6390"/>
    <w:rsid w:val="006C0356"/>
    <w:rsid w:val="006C0843"/>
    <w:rsid w:val="006C74B1"/>
    <w:rsid w:val="006C7B13"/>
    <w:rsid w:val="006D2828"/>
    <w:rsid w:val="006D445F"/>
    <w:rsid w:val="006D74DC"/>
    <w:rsid w:val="006E2A74"/>
    <w:rsid w:val="006E3B44"/>
    <w:rsid w:val="006E57AA"/>
    <w:rsid w:val="006F16DC"/>
    <w:rsid w:val="006F20CF"/>
    <w:rsid w:val="006F38ED"/>
    <w:rsid w:val="0070256F"/>
    <w:rsid w:val="00704082"/>
    <w:rsid w:val="00707D4D"/>
    <w:rsid w:val="007158A3"/>
    <w:rsid w:val="00721065"/>
    <w:rsid w:val="00722E1D"/>
    <w:rsid w:val="00723446"/>
    <w:rsid w:val="00723503"/>
    <w:rsid w:val="00726CC4"/>
    <w:rsid w:val="00730C04"/>
    <w:rsid w:val="0073501D"/>
    <w:rsid w:val="0073597B"/>
    <w:rsid w:val="007378F6"/>
    <w:rsid w:val="0074545D"/>
    <w:rsid w:val="007522E3"/>
    <w:rsid w:val="0075335B"/>
    <w:rsid w:val="00753C44"/>
    <w:rsid w:val="00754383"/>
    <w:rsid w:val="007564D1"/>
    <w:rsid w:val="007568A5"/>
    <w:rsid w:val="00757232"/>
    <w:rsid w:val="00760679"/>
    <w:rsid w:val="00763628"/>
    <w:rsid w:val="00766B56"/>
    <w:rsid w:val="00767E99"/>
    <w:rsid w:val="00772E62"/>
    <w:rsid w:val="00775A6A"/>
    <w:rsid w:val="0077789B"/>
    <w:rsid w:val="00780D29"/>
    <w:rsid w:val="00785937"/>
    <w:rsid w:val="00791C8D"/>
    <w:rsid w:val="0079354C"/>
    <w:rsid w:val="00794181"/>
    <w:rsid w:val="007973C7"/>
    <w:rsid w:val="007A4E84"/>
    <w:rsid w:val="007A7F6F"/>
    <w:rsid w:val="007B4C76"/>
    <w:rsid w:val="007C2260"/>
    <w:rsid w:val="007C6F32"/>
    <w:rsid w:val="007D1E52"/>
    <w:rsid w:val="007D2358"/>
    <w:rsid w:val="007D2CCE"/>
    <w:rsid w:val="007D67DE"/>
    <w:rsid w:val="007D6C9F"/>
    <w:rsid w:val="007D791E"/>
    <w:rsid w:val="007E2CF4"/>
    <w:rsid w:val="007E39E4"/>
    <w:rsid w:val="007E3D74"/>
    <w:rsid w:val="007E4E14"/>
    <w:rsid w:val="007E6FB3"/>
    <w:rsid w:val="007F1D14"/>
    <w:rsid w:val="007F21B4"/>
    <w:rsid w:val="007F5B1D"/>
    <w:rsid w:val="007F6B92"/>
    <w:rsid w:val="00802553"/>
    <w:rsid w:val="00803EAB"/>
    <w:rsid w:val="008046B5"/>
    <w:rsid w:val="00810224"/>
    <w:rsid w:val="008127C0"/>
    <w:rsid w:val="00812EDD"/>
    <w:rsid w:val="008139C5"/>
    <w:rsid w:val="008150D4"/>
    <w:rsid w:val="0081650F"/>
    <w:rsid w:val="00820266"/>
    <w:rsid w:val="00832339"/>
    <w:rsid w:val="00832B31"/>
    <w:rsid w:val="00832D61"/>
    <w:rsid w:val="008403E0"/>
    <w:rsid w:val="00845134"/>
    <w:rsid w:val="00845139"/>
    <w:rsid w:val="0084657B"/>
    <w:rsid w:val="00854CF2"/>
    <w:rsid w:val="00855944"/>
    <w:rsid w:val="0086346E"/>
    <w:rsid w:val="00864A18"/>
    <w:rsid w:val="00865498"/>
    <w:rsid w:val="00870833"/>
    <w:rsid w:val="00874459"/>
    <w:rsid w:val="00874571"/>
    <w:rsid w:val="008800E7"/>
    <w:rsid w:val="00880AF2"/>
    <w:rsid w:val="00881F93"/>
    <w:rsid w:val="00882CB5"/>
    <w:rsid w:val="00883641"/>
    <w:rsid w:val="00884E69"/>
    <w:rsid w:val="00885FC4"/>
    <w:rsid w:val="00890082"/>
    <w:rsid w:val="008A48D2"/>
    <w:rsid w:val="008A7423"/>
    <w:rsid w:val="008B10BE"/>
    <w:rsid w:val="008B2610"/>
    <w:rsid w:val="008B471D"/>
    <w:rsid w:val="008B49E4"/>
    <w:rsid w:val="008B63FD"/>
    <w:rsid w:val="008B729C"/>
    <w:rsid w:val="008C251B"/>
    <w:rsid w:val="008C4A93"/>
    <w:rsid w:val="008C57A2"/>
    <w:rsid w:val="008D1A4B"/>
    <w:rsid w:val="008E09BA"/>
    <w:rsid w:val="008E0E49"/>
    <w:rsid w:val="008E35FD"/>
    <w:rsid w:val="008E6227"/>
    <w:rsid w:val="008E78B9"/>
    <w:rsid w:val="00900CAE"/>
    <w:rsid w:val="00901F1C"/>
    <w:rsid w:val="0090543D"/>
    <w:rsid w:val="009056C5"/>
    <w:rsid w:val="009122D0"/>
    <w:rsid w:val="009168B2"/>
    <w:rsid w:val="00917DEB"/>
    <w:rsid w:val="009262F2"/>
    <w:rsid w:val="00933E9E"/>
    <w:rsid w:val="00935633"/>
    <w:rsid w:val="00937791"/>
    <w:rsid w:val="0094303B"/>
    <w:rsid w:val="00943A5E"/>
    <w:rsid w:val="00950F45"/>
    <w:rsid w:val="00951627"/>
    <w:rsid w:val="00951933"/>
    <w:rsid w:val="00954343"/>
    <w:rsid w:val="00955271"/>
    <w:rsid w:val="00963316"/>
    <w:rsid w:val="00963C0E"/>
    <w:rsid w:val="00963C9C"/>
    <w:rsid w:val="009648DA"/>
    <w:rsid w:val="00965B6B"/>
    <w:rsid w:val="009701F3"/>
    <w:rsid w:val="00971EDB"/>
    <w:rsid w:val="00974D50"/>
    <w:rsid w:val="00987ABE"/>
    <w:rsid w:val="00991764"/>
    <w:rsid w:val="00991EE4"/>
    <w:rsid w:val="009939DC"/>
    <w:rsid w:val="00993B9C"/>
    <w:rsid w:val="009A5961"/>
    <w:rsid w:val="009B013A"/>
    <w:rsid w:val="009B4E1E"/>
    <w:rsid w:val="009B7490"/>
    <w:rsid w:val="009C03FB"/>
    <w:rsid w:val="009C0930"/>
    <w:rsid w:val="009C1E73"/>
    <w:rsid w:val="009C4B4F"/>
    <w:rsid w:val="009D01D8"/>
    <w:rsid w:val="009D32B0"/>
    <w:rsid w:val="009D3FFB"/>
    <w:rsid w:val="009E23B0"/>
    <w:rsid w:val="009E2A32"/>
    <w:rsid w:val="009F0C02"/>
    <w:rsid w:val="009F3BB3"/>
    <w:rsid w:val="009F5032"/>
    <w:rsid w:val="009F5758"/>
    <w:rsid w:val="00A0283F"/>
    <w:rsid w:val="00A03FE2"/>
    <w:rsid w:val="00A048BC"/>
    <w:rsid w:val="00A04F4A"/>
    <w:rsid w:val="00A21CD4"/>
    <w:rsid w:val="00A26343"/>
    <w:rsid w:val="00A330BC"/>
    <w:rsid w:val="00A408B5"/>
    <w:rsid w:val="00A43262"/>
    <w:rsid w:val="00A459BB"/>
    <w:rsid w:val="00A4613A"/>
    <w:rsid w:val="00A529E2"/>
    <w:rsid w:val="00A539F8"/>
    <w:rsid w:val="00A55506"/>
    <w:rsid w:val="00A603F3"/>
    <w:rsid w:val="00A6092C"/>
    <w:rsid w:val="00A6491A"/>
    <w:rsid w:val="00A64FC6"/>
    <w:rsid w:val="00A6594E"/>
    <w:rsid w:val="00A7052D"/>
    <w:rsid w:val="00A727B6"/>
    <w:rsid w:val="00A75D46"/>
    <w:rsid w:val="00A77D48"/>
    <w:rsid w:val="00A818C0"/>
    <w:rsid w:val="00A81CC6"/>
    <w:rsid w:val="00A81D77"/>
    <w:rsid w:val="00A83EC6"/>
    <w:rsid w:val="00A86997"/>
    <w:rsid w:val="00A872E8"/>
    <w:rsid w:val="00A8732C"/>
    <w:rsid w:val="00A9062D"/>
    <w:rsid w:val="00A93F58"/>
    <w:rsid w:val="00A96329"/>
    <w:rsid w:val="00AA0CB0"/>
    <w:rsid w:val="00AA134B"/>
    <w:rsid w:val="00AA2CFE"/>
    <w:rsid w:val="00AA2FBA"/>
    <w:rsid w:val="00AA5FDA"/>
    <w:rsid w:val="00AA6291"/>
    <w:rsid w:val="00AA6540"/>
    <w:rsid w:val="00AB14C2"/>
    <w:rsid w:val="00AB32F6"/>
    <w:rsid w:val="00AC0C91"/>
    <w:rsid w:val="00AC450E"/>
    <w:rsid w:val="00AD2E85"/>
    <w:rsid w:val="00AD37D4"/>
    <w:rsid w:val="00AD7986"/>
    <w:rsid w:val="00AE1188"/>
    <w:rsid w:val="00AE1BA9"/>
    <w:rsid w:val="00AE2A70"/>
    <w:rsid w:val="00AE4E7F"/>
    <w:rsid w:val="00AE738C"/>
    <w:rsid w:val="00AE7803"/>
    <w:rsid w:val="00AF1046"/>
    <w:rsid w:val="00AF1C15"/>
    <w:rsid w:val="00AF4466"/>
    <w:rsid w:val="00AF5D1E"/>
    <w:rsid w:val="00B040A9"/>
    <w:rsid w:val="00B04E5F"/>
    <w:rsid w:val="00B06C2A"/>
    <w:rsid w:val="00B15450"/>
    <w:rsid w:val="00B1556C"/>
    <w:rsid w:val="00B15F25"/>
    <w:rsid w:val="00B1711E"/>
    <w:rsid w:val="00B17CBE"/>
    <w:rsid w:val="00B17E26"/>
    <w:rsid w:val="00B217D1"/>
    <w:rsid w:val="00B231A4"/>
    <w:rsid w:val="00B2450C"/>
    <w:rsid w:val="00B25D20"/>
    <w:rsid w:val="00B31A6C"/>
    <w:rsid w:val="00B31C99"/>
    <w:rsid w:val="00B31E12"/>
    <w:rsid w:val="00B36C81"/>
    <w:rsid w:val="00B45CA5"/>
    <w:rsid w:val="00B4661A"/>
    <w:rsid w:val="00B4666D"/>
    <w:rsid w:val="00B53BA6"/>
    <w:rsid w:val="00B55825"/>
    <w:rsid w:val="00B56E34"/>
    <w:rsid w:val="00B5731D"/>
    <w:rsid w:val="00B61539"/>
    <w:rsid w:val="00B6378B"/>
    <w:rsid w:val="00B63E3A"/>
    <w:rsid w:val="00B6434A"/>
    <w:rsid w:val="00B65130"/>
    <w:rsid w:val="00B75965"/>
    <w:rsid w:val="00B771AD"/>
    <w:rsid w:val="00B80335"/>
    <w:rsid w:val="00B814CB"/>
    <w:rsid w:val="00B818F0"/>
    <w:rsid w:val="00B902E8"/>
    <w:rsid w:val="00B9380B"/>
    <w:rsid w:val="00B97D89"/>
    <w:rsid w:val="00BA0CF8"/>
    <w:rsid w:val="00BA1ADF"/>
    <w:rsid w:val="00BA51FC"/>
    <w:rsid w:val="00BA72E3"/>
    <w:rsid w:val="00BB003A"/>
    <w:rsid w:val="00BB3358"/>
    <w:rsid w:val="00BB3382"/>
    <w:rsid w:val="00BB3643"/>
    <w:rsid w:val="00BB45E3"/>
    <w:rsid w:val="00BB52E7"/>
    <w:rsid w:val="00BC0A26"/>
    <w:rsid w:val="00BC0FE8"/>
    <w:rsid w:val="00BC2110"/>
    <w:rsid w:val="00BC3DA0"/>
    <w:rsid w:val="00BC424B"/>
    <w:rsid w:val="00BC7C5C"/>
    <w:rsid w:val="00BC7FAF"/>
    <w:rsid w:val="00BD77A9"/>
    <w:rsid w:val="00BE0FDE"/>
    <w:rsid w:val="00BE2E82"/>
    <w:rsid w:val="00BE38DD"/>
    <w:rsid w:val="00BE47E6"/>
    <w:rsid w:val="00BE72C7"/>
    <w:rsid w:val="00BF1240"/>
    <w:rsid w:val="00BF2445"/>
    <w:rsid w:val="00BF6497"/>
    <w:rsid w:val="00BF6AC5"/>
    <w:rsid w:val="00C01121"/>
    <w:rsid w:val="00C030A5"/>
    <w:rsid w:val="00C05A45"/>
    <w:rsid w:val="00C0796F"/>
    <w:rsid w:val="00C10287"/>
    <w:rsid w:val="00C11B34"/>
    <w:rsid w:val="00C12C5C"/>
    <w:rsid w:val="00C16877"/>
    <w:rsid w:val="00C171FB"/>
    <w:rsid w:val="00C209C2"/>
    <w:rsid w:val="00C20DC5"/>
    <w:rsid w:val="00C2267F"/>
    <w:rsid w:val="00C22AD8"/>
    <w:rsid w:val="00C23011"/>
    <w:rsid w:val="00C3557E"/>
    <w:rsid w:val="00C3594B"/>
    <w:rsid w:val="00C36D8C"/>
    <w:rsid w:val="00C36DFE"/>
    <w:rsid w:val="00C378EE"/>
    <w:rsid w:val="00C43102"/>
    <w:rsid w:val="00C4696B"/>
    <w:rsid w:val="00C50513"/>
    <w:rsid w:val="00C50EB6"/>
    <w:rsid w:val="00C54503"/>
    <w:rsid w:val="00C57B94"/>
    <w:rsid w:val="00C63055"/>
    <w:rsid w:val="00C73B62"/>
    <w:rsid w:val="00C776B1"/>
    <w:rsid w:val="00C815FE"/>
    <w:rsid w:val="00C81692"/>
    <w:rsid w:val="00C81FA0"/>
    <w:rsid w:val="00C847AE"/>
    <w:rsid w:val="00CA04C6"/>
    <w:rsid w:val="00CA26DD"/>
    <w:rsid w:val="00CA2936"/>
    <w:rsid w:val="00CA2B8E"/>
    <w:rsid w:val="00CA74EA"/>
    <w:rsid w:val="00CB12EC"/>
    <w:rsid w:val="00CB65CC"/>
    <w:rsid w:val="00CC09D7"/>
    <w:rsid w:val="00CC12B8"/>
    <w:rsid w:val="00CC5AB1"/>
    <w:rsid w:val="00CD22E3"/>
    <w:rsid w:val="00CD2776"/>
    <w:rsid w:val="00CD4E44"/>
    <w:rsid w:val="00CD5AE4"/>
    <w:rsid w:val="00CD6981"/>
    <w:rsid w:val="00CD7A7D"/>
    <w:rsid w:val="00CE0F9E"/>
    <w:rsid w:val="00CE3B45"/>
    <w:rsid w:val="00CF2D8E"/>
    <w:rsid w:val="00CF2DFA"/>
    <w:rsid w:val="00CF3910"/>
    <w:rsid w:val="00CF4934"/>
    <w:rsid w:val="00CF5AD8"/>
    <w:rsid w:val="00CF7EBE"/>
    <w:rsid w:val="00D00122"/>
    <w:rsid w:val="00D01D2A"/>
    <w:rsid w:val="00D10B47"/>
    <w:rsid w:val="00D11EB1"/>
    <w:rsid w:val="00D1722C"/>
    <w:rsid w:val="00D17F17"/>
    <w:rsid w:val="00D23597"/>
    <w:rsid w:val="00D24CC0"/>
    <w:rsid w:val="00D250E7"/>
    <w:rsid w:val="00D25991"/>
    <w:rsid w:val="00D269F6"/>
    <w:rsid w:val="00D30BDC"/>
    <w:rsid w:val="00D30F4A"/>
    <w:rsid w:val="00D34E88"/>
    <w:rsid w:val="00D40CAB"/>
    <w:rsid w:val="00D45223"/>
    <w:rsid w:val="00D453CB"/>
    <w:rsid w:val="00D5266E"/>
    <w:rsid w:val="00D56765"/>
    <w:rsid w:val="00D57F88"/>
    <w:rsid w:val="00D7105C"/>
    <w:rsid w:val="00D724BB"/>
    <w:rsid w:val="00D73646"/>
    <w:rsid w:val="00D777B4"/>
    <w:rsid w:val="00D77A90"/>
    <w:rsid w:val="00D834A5"/>
    <w:rsid w:val="00D8360B"/>
    <w:rsid w:val="00D85676"/>
    <w:rsid w:val="00D93CAA"/>
    <w:rsid w:val="00D96ADA"/>
    <w:rsid w:val="00D9778B"/>
    <w:rsid w:val="00DA2886"/>
    <w:rsid w:val="00DA5E50"/>
    <w:rsid w:val="00DA7D0C"/>
    <w:rsid w:val="00DB2EB7"/>
    <w:rsid w:val="00DB311C"/>
    <w:rsid w:val="00DB432D"/>
    <w:rsid w:val="00DB519B"/>
    <w:rsid w:val="00DC34B5"/>
    <w:rsid w:val="00DC7694"/>
    <w:rsid w:val="00DC7FBE"/>
    <w:rsid w:val="00DD130E"/>
    <w:rsid w:val="00DD1DCD"/>
    <w:rsid w:val="00DD308E"/>
    <w:rsid w:val="00DF0C51"/>
    <w:rsid w:val="00DF0D47"/>
    <w:rsid w:val="00DF1652"/>
    <w:rsid w:val="00DF2261"/>
    <w:rsid w:val="00DF5FC2"/>
    <w:rsid w:val="00DF6D37"/>
    <w:rsid w:val="00E048ED"/>
    <w:rsid w:val="00E04FB3"/>
    <w:rsid w:val="00E058F2"/>
    <w:rsid w:val="00E05D9C"/>
    <w:rsid w:val="00E06102"/>
    <w:rsid w:val="00E07595"/>
    <w:rsid w:val="00E23E71"/>
    <w:rsid w:val="00E25219"/>
    <w:rsid w:val="00E30F19"/>
    <w:rsid w:val="00E326AF"/>
    <w:rsid w:val="00E327B3"/>
    <w:rsid w:val="00E33C4A"/>
    <w:rsid w:val="00E357B9"/>
    <w:rsid w:val="00E364FF"/>
    <w:rsid w:val="00E408A8"/>
    <w:rsid w:val="00E41E08"/>
    <w:rsid w:val="00E4321E"/>
    <w:rsid w:val="00E44B80"/>
    <w:rsid w:val="00E47623"/>
    <w:rsid w:val="00E51BD2"/>
    <w:rsid w:val="00E52AE1"/>
    <w:rsid w:val="00E54356"/>
    <w:rsid w:val="00E5451F"/>
    <w:rsid w:val="00E60529"/>
    <w:rsid w:val="00E6222F"/>
    <w:rsid w:val="00E641EF"/>
    <w:rsid w:val="00E70D86"/>
    <w:rsid w:val="00E741DF"/>
    <w:rsid w:val="00E7628E"/>
    <w:rsid w:val="00E8039E"/>
    <w:rsid w:val="00E816D0"/>
    <w:rsid w:val="00E82F54"/>
    <w:rsid w:val="00E85B79"/>
    <w:rsid w:val="00E8649B"/>
    <w:rsid w:val="00E86D8B"/>
    <w:rsid w:val="00E871CD"/>
    <w:rsid w:val="00E904E7"/>
    <w:rsid w:val="00E90990"/>
    <w:rsid w:val="00E95D3D"/>
    <w:rsid w:val="00E95FE2"/>
    <w:rsid w:val="00EA0E25"/>
    <w:rsid w:val="00EA126D"/>
    <w:rsid w:val="00EA173C"/>
    <w:rsid w:val="00EA5536"/>
    <w:rsid w:val="00EB76C7"/>
    <w:rsid w:val="00EC03B8"/>
    <w:rsid w:val="00EC127A"/>
    <w:rsid w:val="00EC1FF9"/>
    <w:rsid w:val="00EC2652"/>
    <w:rsid w:val="00EC2737"/>
    <w:rsid w:val="00EC766A"/>
    <w:rsid w:val="00ED71BB"/>
    <w:rsid w:val="00EE2716"/>
    <w:rsid w:val="00EE6450"/>
    <w:rsid w:val="00EF3136"/>
    <w:rsid w:val="00EF46B1"/>
    <w:rsid w:val="00EF4A38"/>
    <w:rsid w:val="00F01C2C"/>
    <w:rsid w:val="00F052BB"/>
    <w:rsid w:val="00F10ED8"/>
    <w:rsid w:val="00F15969"/>
    <w:rsid w:val="00F169C9"/>
    <w:rsid w:val="00F174DB"/>
    <w:rsid w:val="00F222BE"/>
    <w:rsid w:val="00F24179"/>
    <w:rsid w:val="00F24FD6"/>
    <w:rsid w:val="00F301F1"/>
    <w:rsid w:val="00F30C22"/>
    <w:rsid w:val="00F33F1A"/>
    <w:rsid w:val="00F36544"/>
    <w:rsid w:val="00F434D7"/>
    <w:rsid w:val="00F547F7"/>
    <w:rsid w:val="00F54CCF"/>
    <w:rsid w:val="00F619B6"/>
    <w:rsid w:val="00F61D7A"/>
    <w:rsid w:val="00F637B3"/>
    <w:rsid w:val="00F66CF7"/>
    <w:rsid w:val="00F67BCB"/>
    <w:rsid w:val="00F70DF3"/>
    <w:rsid w:val="00F72579"/>
    <w:rsid w:val="00F72AE3"/>
    <w:rsid w:val="00F77C57"/>
    <w:rsid w:val="00F81023"/>
    <w:rsid w:val="00F813C7"/>
    <w:rsid w:val="00F83566"/>
    <w:rsid w:val="00F83A9D"/>
    <w:rsid w:val="00F906B5"/>
    <w:rsid w:val="00F93784"/>
    <w:rsid w:val="00F971CC"/>
    <w:rsid w:val="00FA0CA7"/>
    <w:rsid w:val="00FA2CAA"/>
    <w:rsid w:val="00FA36C2"/>
    <w:rsid w:val="00FA3DA1"/>
    <w:rsid w:val="00FA6554"/>
    <w:rsid w:val="00FB140D"/>
    <w:rsid w:val="00FC1607"/>
    <w:rsid w:val="00FC4265"/>
    <w:rsid w:val="00FD01E4"/>
    <w:rsid w:val="00FD5760"/>
    <w:rsid w:val="00FE16C1"/>
    <w:rsid w:val="00FE19FF"/>
    <w:rsid w:val="00FE33A6"/>
    <w:rsid w:val="00FE3CEC"/>
    <w:rsid w:val="00FE5452"/>
    <w:rsid w:val="00FF23B8"/>
    <w:rsid w:val="00FF2C76"/>
    <w:rsid w:val="00FF59A8"/>
    <w:rsid w:val="0338B026"/>
    <w:rsid w:val="0388E5E8"/>
    <w:rsid w:val="04467074"/>
    <w:rsid w:val="05DE64F4"/>
    <w:rsid w:val="0686511C"/>
    <w:rsid w:val="080F4A33"/>
    <w:rsid w:val="0A309F0D"/>
    <w:rsid w:val="0D534C6D"/>
    <w:rsid w:val="0DAF0B1A"/>
    <w:rsid w:val="0E4CA10D"/>
    <w:rsid w:val="0F789457"/>
    <w:rsid w:val="0F9585F2"/>
    <w:rsid w:val="0FEF6A6E"/>
    <w:rsid w:val="0FFE0AD1"/>
    <w:rsid w:val="111464B8"/>
    <w:rsid w:val="116843EB"/>
    <w:rsid w:val="12B03519"/>
    <w:rsid w:val="1386E343"/>
    <w:rsid w:val="146B2D0E"/>
    <w:rsid w:val="14B0745E"/>
    <w:rsid w:val="14CFDEB1"/>
    <w:rsid w:val="1597893F"/>
    <w:rsid w:val="15C03F53"/>
    <w:rsid w:val="18AEA7C0"/>
    <w:rsid w:val="19ED79A7"/>
    <w:rsid w:val="1AEDD40B"/>
    <w:rsid w:val="1EA827C1"/>
    <w:rsid w:val="20192181"/>
    <w:rsid w:val="2076059A"/>
    <w:rsid w:val="217016E9"/>
    <w:rsid w:val="2175CF09"/>
    <w:rsid w:val="21960D51"/>
    <w:rsid w:val="21E5B09F"/>
    <w:rsid w:val="2208AFE8"/>
    <w:rsid w:val="22FC0C8E"/>
    <w:rsid w:val="230BE74A"/>
    <w:rsid w:val="23FEF33B"/>
    <w:rsid w:val="245A6F42"/>
    <w:rsid w:val="24E2FBA7"/>
    <w:rsid w:val="25529238"/>
    <w:rsid w:val="26EA2E0F"/>
    <w:rsid w:val="2732367D"/>
    <w:rsid w:val="27FD327B"/>
    <w:rsid w:val="28532346"/>
    <w:rsid w:val="28D23A69"/>
    <w:rsid w:val="2B050756"/>
    <w:rsid w:val="2B17A4A9"/>
    <w:rsid w:val="2B453917"/>
    <w:rsid w:val="2BAF2169"/>
    <w:rsid w:val="2DCDDA46"/>
    <w:rsid w:val="2E1D510C"/>
    <w:rsid w:val="2EF688D0"/>
    <w:rsid w:val="302F17C2"/>
    <w:rsid w:val="3090CD7B"/>
    <w:rsid w:val="30C81679"/>
    <w:rsid w:val="3119FE7C"/>
    <w:rsid w:val="33E33E16"/>
    <w:rsid w:val="33EA6E74"/>
    <w:rsid w:val="368D0961"/>
    <w:rsid w:val="36B3BA1A"/>
    <w:rsid w:val="37986D4C"/>
    <w:rsid w:val="38D016CD"/>
    <w:rsid w:val="38DD6962"/>
    <w:rsid w:val="3AA01892"/>
    <w:rsid w:val="3AA0CA86"/>
    <w:rsid w:val="3AB3BCC7"/>
    <w:rsid w:val="3AE7AAB5"/>
    <w:rsid w:val="3BE70849"/>
    <w:rsid w:val="3D279F61"/>
    <w:rsid w:val="3ED6657B"/>
    <w:rsid w:val="3F55B528"/>
    <w:rsid w:val="3F614B9F"/>
    <w:rsid w:val="4122FE4B"/>
    <w:rsid w:val="4123D51F"/>
    <w:rsid w:val="42B6064D"/>
    <w:rsid w:val="437F299E"/>
    <w:rsid w:val="4451D6AE"/>
    <w:rsid w:val="445DC7F7"/>
    <w:rsid w:val="44AC5BD8"/>
    <w:rsid w:val="46524FCE"/>
    <w:rsid w:val="46EF1897"/>
    <w:rsid w:val="479568B9"/>
    <w:rsid w:val="4B2F58FD"/>
    <w:rsid w:val="4BC9C015"/>
    <w:rsid w:val="4ECC6C9A"/>
    <w:rsid w:val="4ED8848C"/>
    <w:rsid w:val="4F4751C4"/>
    <w:rsid w:val="4FE4429D"/>
    <w:rsid w:val="50448449"/>
    <w:rsid w:val="51264232"/>
    <w:rsid w:val="5252164A"/>
    <w:rsid w:val="53A3C5B8"/>
    <w:rsid w:val="53E2CC86"/>
    <w:rsid w:val="5464D34A"/>
    <w:rsid w:val="5779606B"/>
    <w:rsid w:val="58A6834E"/>
    <w:rsid w:val="58DF4DB3"/>
    <w:rsid w:val="591A98E3"/>
    <w:rsid w:val="5966E711"/>
    <w:rsid w:val="599E700F"/>
    <w:rsid w:val="5A362925"/>
    <w:rsid w:val="5B0A584D"/>
    <w:rsid w:val="5C668C4B"/>
    <w:rsid w:val="5CC1CD10"/>
    <w:rsid w:val="5CC4835E"/>
    <w:rsid w:val="5D50009D"/>
    <w:rsid w:val="5EF5689D"/>
    <w:rsid w:val="6003428F"/>
    <w:rsid w:val="613542A9"/>
    <w:rsid w:val="61B8837C"/>
    <w:rsid w:val="635453DD"/>
    <w:rsid w:val="63AC8879"/>
    <w:rsid w:val="640737DC"/>
    <w:rsid w:val="65BCC547"/>
    <w:rsid w:val="68417804"/>
    <w:rsid w:val="68DF691E"/>
    <w:rsid w:val="68FAF8F8"/>
    <w:rsid w:val="6A563E85"/>
    <w:rsid w:val="6AA33ED3"/>
    <w:rsid w:val="6CE9601B"/>
    <w:rsid w:val="6D15F67D"/>
    <w:rsid w:val="6F786BDA"/>
    <w:rsid w:val="704B236E"/>
    <w:rsid w:val="725523B9"/>
    <w:rsid w:val="737B1E13"/>
    <w:rsid w:val="7430F8BC"/>
    <w:rsid w:val="74B66F36"/>
    <w:rsid w:val="75A147EF"/>
    <w:rsid w:val="75AEF056"/>
    <w:rsid w:val="7768997E"/>
    <w:rsid w:val="78C46C19"/>
    <w:rsid w:val="78EEB9AB"/>
    <w:rsid w:val="798CDB1A"/>
    <w:rsid w:val="7C95E863"/>
    <w:rsid w:val="7E37E5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0FBC92"/>
  <w15:docId w15:val="{A3CFC7FB-0193-4926-A442-0594D131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FD"/>
    <w:pPr>
      <w:spacing w:before="120" w:after="120" w:line="240" w:lineRule="auto"/>
      <w:ind w:left="357"/>
    </w:pPr>
    <w:rPr>
      <w:sz w:val="20"/>
      <w:lang w:eastAsia="en-AU"/>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UnresolvedMention">
    <w:name w:val="Unresolved Mention"/>
    <w:basedOn w:val="DefaultParagraphFont"/>
    <w:uiPriority w:val="99"/>
    <w:semiHidden/>
    <w:unhideWhenUsed/>
    <w:rsid w:val="00084541"/>
    <w:rPr>
      <w:color w:val="605E5C"/>
      <w:shd w:val="clear" w:color="auto" w:fill="E1DFDD"/>
    </w:rPr>
  </w:style>
  <w:style w:type="paragraph" w:styleId="FootnoteText">
    <w:name w:val="footnote text"/>
    <w:basedOn w:val="Normal"/>
    <w:link w:val="FootnoteTextChar"/>
    <w:unhideWhenUsed/>
    <w:rsid w:val="007568A5"/>
    <w:pPr>
      <w:spacing w:before="0" w:after="0"/>
    </w:pPr>
    <w:rPr>
      <w:szCs w:val="20"/>
    </w:rPr>
  </w:style>
  <w:style w:type="character" w:customStyle="1" w:styleId="FootnoteTextChar">
    <w:name w:val="Footnote Text Char"/>
    <w:basedOn w:val="DefaultParagraphFont"/>
    <w:link w:val="FootnoteText"/>
    <w:rsid w:val="007568A5"/>
    <w:rPr>
      <w:sz w:val="20"/>
      <w:szCs w:val="20"/>
    </w:rPr>
  </w:style>
  <w:style w:type="character" w:styleId="FootnoteReference">
    <w:name w:val="footnote reference"/>
    <w:basedOn w:val="DefaultParagraphFont"/>
    <w:semiHidden/>
    <w:unhideWhenUsed/>
    <w:rsid w:val="007568A5"/>
    <w:rPr>
      <w:vertAlign w:val="superscript"/>
    </w:rPr>
  </w:style>
  <w:style w:type="character" w:styleId="Emphasis">
    <w:name w:val="Emphasis"/>
    <w:basedOn w:val="DefaultParagraphFont"/>
    <w:uiPriority w:val="20"/>
    <w:qFormat/>
    <w:rsid w:val="00D453CB"/>
    <w:rPr>
      <w:i/>
      <w:iCs/>
    </w:rPr>
  </w:style>
  <w:style w:type="character" w:customStyle="1" w:styleId="normaltextrun">
    <w:name w:val="normaltextrun"/>
    <w:basedOn w:val="DefaultParagraphFont"/>
    <w:rsid w:val="001A30DA"/>
  </w:style>
  <w:style w:type="character" w:customStyle="1" w:styleId="eop">
    <w:name w:val="eop"/>
    <w:basedOn w:val="DefaultParagraphFont"/>
    <w:rsid w:val="001A30DA"/>
  </w:style>
  <w:style w:type="paragraph" w:styleId="BodyText">
    <w:name w:val="Body Text"/>
    <w:basedOn w:val="Normal"/>
    <w:link w:val="BodyTextChar"/>
    <w:qFormat/>
    <w:rsid w:val="005D405A"/>
    <w:pPr>
      <w:spacing w:before="0" w:after="180" w:line="312" w:lineRule="auto"/>
    </w:pPr>
    <w:rPr>
      <w:rFonts w:ascii="Calibri" w:eastAsia="Times New Roman" w:hAnsi="Calibri" w:cs="Tahoma"/>
      <w:sz w:val="22"/>
    </w:rPr>
  </w:style>
  <w:style w:type="character" w:customStyle="1" w:styleId="BodyTextChar">
    <w:name w:val="Body Text Char"/>
    <w:basedOn w:val="DefaultParagraphFont"/>
    <w:link w:val="BodyText"/>
    <w:rsid w:val="005D405A"/>
    <w:rPr>
      <w:rFonts w:ascii="Calibri" w:eastAsia="Times New Roman" w:hAnsi="Calibri" w:cs="Tahoma"/>
      <w:lang w:eastAsia="en-AU"/>
    </w:rPr>
  </w:style>
  <w:style w:type="paragraph" w:customStyle="1" w:styleId="Tabletext">
    <w:name w:val="Table text"/>
    <w:basedOn w:val="Normal"/>
    <w:link w:val="TabletextChar"/>
    <w:uiPriority w:val="4"/>
    <w:qFormat/>
    <w:rsid w:val="00D45223"/>
    <w:pPr>
      <w:keepNext/>
      <w:spacing w:before="40" w:after="40"/>
    </w:pPr>
    <w:rPr>
      <w:rFonts w:ascii="Arial Narrow" w:eastAsia="Times New Roman" w:hAnsi="Arial Narrow" w:cs="Tahoma"/>
      <w:szCs w:val="20"/>
    </w:rPr>
  </w:style>
  <w:style w:type="character" w:customStyle="1" w:styleId="TabletextChar">
    <w:name w:val="Table text Char"/>
    <w:link w:val="Tabletext"/>
    <w:uiPriority w:val="4"/>
    <w:rsid w:val="00D45223"/>
    <w:rPr>
      <w:rFonts w:ascii="Arial Narrow" w:eastAsia="Times New Roman" w:hAnsi="Arial Narrow" w:cs="Tahoma"/>
      <w:sz w:val="20"/>
      <w:szCs w:val="20"/>
      <w:lang w:eastAsia="en-AU"/>
    </w:rPr>
  </w:style>
  <w:style w:type="paragraph" w:customStyle="1" w:styleId="Bullet">
    <w:name w:val="Bullet"/>
    <w:basedOn w:val="ListParagraph"/>
    <w:rsid w:val="00A6092C"/>
    <w:pPr>
      <w:numPr>
        <w:numId w:val="17"/>
      </w:numPr>
      <w:spacing w:before="40" w:after="240" w:line="312" w:lineRule="auto"/>
    </w:pPr>
    <w:rPr>
      <w:rFonts w:ascii="Calibri" w:eastAsia="Times New Roman" w:hAnsi="Calibri" w:cs="Tahoma"/>
      <w:sz w:val="22"/>
    </w:rPr>
  </w:style>
  <w:style w:type="paragraph" w:customStyle="1" w:styleId="Bulletintro">
    <w:name w:val="Bullet intro"/>
    <w:basedOn w:val="BodyText"/>
    <w:next w:val="Bullet"/>
    <w:link w:val="BulletintroChar"/>
    <w:qFormat/>
    <w:rsid w:val="007F6B92"/>
    <w:pPr>
      <w:keepNext/>
      <w:spacing w:after="60"/>
    </w:pPr>
  </w:style>
  <w:style w:type="character" w:customStyle="1" w:styleId="BulletintroChar">
    <w:name w:val="Bullet intro Char"/>
    <w:basedOn w:val="BodyTextChar"/>
    <w:link w:val="Bulletintro"/>
    <w:rsid w:val="007F6B92"/>
    <w:rPr>
      <w:rFonts w:ascii="Calibri" w:eastAsia="Times New Roman" w:hAnsi="Calibri" w:cs="Tahoma"/>
      <w:lang w:eastAsia="en-AU"/>
    </w:rPr>
  </w:style>
  <w:style w:type="paragraph" w:styleId="Revision">
    <w:name w:val="Revision"/>
    <w:hidden/>
    <w:uiPriority w:val="99"/>
    <w:semiHidden/>
    <w:rsid w:val="00632E42"/>
    <w:pPr>
      <w:spacing w:after="0" w:line="240" w:lineRule="auto"/>
    </w:pPr>
    <w:rPr>
      <w:sz w:val="20"/>
    </w:rPr>
  </w:style>
  <w:style w:type="character" w:customStyle="1" w:styleId="TabletextindentChar">
    <w:name w:val="Table text indent Char"/>
    <w:basedOn w:val="DefaultParagraphFont"/>
    <w:link w:val="Tabletextindent"/>
    <w:locked/>
    <w:rsid w:val="006852DD"/>
    <w:rPr>
      <w:rFonts w:ascii="Arial Narrow" w:hAnsi="Arial Narrow" w:cs="Arial"/>
      <w:color w:val="000000"/>
    </w:rPr>
  </w:style>
  <w:style w:type="paragraph" w:customStyle="1" w:styleId="Tabletextindent">
    <w:name w:val="Table text indent"/>
    <w:basedOn w:val="Normal"/>
    <w:link w:val="TabletextindentChar"/>
    <w:qFormat/>
    <w:rsid w:val="006852DD"/>
    <w:pPr>
      <w:spacing w:before="40" w:after="40"/>
      <w:ind w:left="227"/>
    </w:pPr>
    <w:rPr>
      <w:rFonts w:ascii="Arial Narrow" w:hAnsi="Arial Narrow" w:cs="Arial"/>
      <w:color w:val="000000"/>
      <w:sz w:val="22"/>
    </w:rPr>
  </w:style>
  <w:style w:type="character" w:customStyle="1" w:styleId="TableTextChar0">
    <w:name w:val="Table Text Char"/>
    <w:link w:val="TableText0"/>
    <w:locked/>
    <w:rsid w:val="008B63FD"/>
    <w:rPr>
      <w:rFonts w:ascii="Calibri" w:hAnsi="Calibri" w:cs="Calibri"/>
      <w:bCs/>
      <w:sz w:val="20"/>
      <w:szCs w:val="20"/>
      <w:lang w:eastAsia="en-AU"/>
    </w:rPr>
  </w:style>
  <w:style w:type="paragraph" w:customStyle="1" w:styleId="TableText0">
    <w:name w:val="Table Text"/>
    <w:basedOn w:val="TableHEADER"/>
    <w:link w:val="TableTextChar0"/>
    <w:qFormat/>
    <w:rsid w:val="008B63FD"/>
    <w:pPr>
      <w:ind w:left="0" w:right="0"/>
    </w:pPr>
    <w:rPr>
      <w:rFonts w:cs="Calibri"/>
      <w:b w:val="0"/>
      <w:bC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uiPriority w:val="99"/>
    <w:semiHidden/>
    <w:locked/>
    <w:rsid w:val="00845134"/>
    <w:rPr>
      <w:rFonts w:ascii="Arial Narrow" w:hAnsi="Arial Narrow" w:cs="Tahoma"/>
      <w:b/>
      <w:bCs/>
      <w:noProof/>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autoRedefine/>
    <w:uiPriority w:val="99"/>
    <w:semiHidden/>
    <w:unhideWhenUsed/>
    <w:qFormat/>
    <w:rsid w:val="00845134"/>
    <w:pPr>
      <w:keepNext/>
      <w:keepLines/>
      <w:spacing w:before="360"/>
      <w:ind w:left="1134" w:hanging="1134"/>
    </w:pPr>
    <w:rPr>
      <w:rFonts w:ascii="Arial Narrow" w:hAnsi="Arial Narrow" w:cs="Tahoma"/>
      <w:b/>
      <w:bCs/>
      <w:noProof/>
      <w:sz w:val="22"/>
    </w:rPr>
  </w:style>
  <w:style w:type="character" w:customStyle="1" w:styleId="TableTextChar1">
    <w:name w:val="TableText Char"/>
    <w:link w:val="TableText1"/>
    <w:locked/>
    <w:rsid w:val="00017F91"/>
    <w:rPr>
      <w:rFonts w:ascii="Arial Narrow" w:eastAsia="Times New Roman" w:hAnsi="Arial Narrow" w:cs="Tahoma"/>
      <w:sz w:val="18"/>
    </w:rPr>
  </w:style>
  <w:style w:type="paragraph" w:customStyle="1" w:styleId="TableText1">
    <w:name w:val="TableText"/>
    <w:basedOn w:val="Normal"/>
    <w:link w:val="TableTextChar1"/>
    <w:rsid w:val="00017F91"/>
    <w:pPr>
      <w:spacing w:before="40" w:after="40" w:line="312" w:lineRule="auto"/>
    </w:pPr>
    <w:rPr>
      <w:rFonts w:ascii="Arial Narrow" w:eastAsia="Times New Roman" w:hAnsi="Arial Narrow" w:cs="Tahoma"/>
      <w:sz w:val="18"/>
    </w:rPr>
  </w:style>
  <w:style w:type="character" w:customStyle="1" w:styleId="Subtitle1">
    <w:name w:val="Subtitle1"/>
    <w:basedOn w:val="DefaultParagraphFont"/>
    <w:rsid w:val="00A7052D"/>
  </w:style>
  <w:style w:type="paragraph" w:styleId="NormalWeb">
    <w:name w:val="Normal (Web)"/>
    <w:basedOn w:val="Normal"/>
    <w:uiPriority w:val="99"/>
    <w:semiHidden/>
    <w:unhideWhenUsed/>
    <w:rsid w:val="007C6F32"/>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Tickboxes">
    <w:name w:val="Tickboxes"/>
    <w:basedOn w:val="Normal"/>
    <w:qFormat/>
    <w:rsid w:val="006B3A92"/>
    <w:pPr>
      <w:spacing w:before="0" w:after="0"/>
    </w:pPr>
  </w:style>
  <w:style w:type="paragraph" w:customStyle="1" w:styleId="Weblink">
    <w:name w:val="Weblink"/>
    <w:basedOn w:val="TableText0"/>
    <w:qFormat/>
    <w:rsid w:val="0097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7480">
      <w:bodyDiv w:val="1"/>
      <w:marLeft w:val="0"/>
      <w:marRight w:val="0"/>
      <w:marTop w:val="0"/>
      <w:marBottom w:val="0"/>
      <w:divBdr>
        <w:top w:val="none" w:sz="0" w:space="0" w:color="auto"/>
        <w:left w:val="none" w:sz="0" w:space="0" w:color="auto"/>
        <w:bottom w:val="none" w:sz="0" w:space="0" w:color="auto"/>
        <w:right w:val="none" w:sz="0" w:space="0" w:color="auto"/>
      </w:divBdr>
    </w:div>
    <w:div w:id="35589779">
      <w:bodyDiv w:val="1"/>
      <w:marLeft w:val="0"/>
      <w:marRight w:val="0"/>
      <w:marTop w:val="0"/>
      <w:marBottom w:val="0"/>
      <w:divBdr>
        <w:top w:val="none" w:sz="0" w:space="0" w:color="auto"/>
        <w:left w:val="none" w:sz="0" w:space="0" w:color="auto"/>
        <w:bottom w:val="none" w:sz="0" w:space="0" w:color="auto"/>
        <w:right w:val="none" w:sz="0" w:space="0" w:color="auto"/>
      </w:divBdr>
    </w:div>
    <w:div w:id="58210123">
      <w:bodyDiv w:val="1"/>
      <w:marLeft w:val="0"/>
      <w:marRight w:val="0"/>
      <w:marTop w:val="0"/>
      <w:marBottom w:val="0"/>
      <w:divBdr>
        <w:top w:val="none" w:sz="0" w:space="0" w:color="auto"/>
        <w:left w:val="none" w:sz="0" w:space="0" w:color="auto"/>
        <w:bottom w:val="none" w:sz="0" w:space="0" w:color="auto"/>
        <w:right w:val="none" w:sz="0" w:space="0" w:color="auto"/>
      </w:divBdr>
    </w:div>
    <w:div w:id="142702462">
      <w:bodyDiv w:val="1"/>
      <w:marLeft w:val="0"/>
      <w:marRight w:val="0"/>
      <w:marTop w:val="0"/>
      <w:marBottom w:val="0"/>
      <w:divBdr>
        <w:top w:val="none" w:sz="0" w:space="0" w:color="auto"/>
        <w:left w:val="none" w:sz="0" w:space="0" w:color="auto"/>
        <w:bottom w:val="none" w:sz="0" w:space="0" w:color="auto"/>
        <w:right w:val="none" w:sz="0" w:space="0" w:color="auto"/>
      </w:divBdr>
    </w:div>
    <w:div w:id="184444401">
      <w:bodyDiv w:val="1"/>
      <w:marLeft w:val="0"/>
      <w:marRight w:val="0"/>
      <w:marTop w:val="0"/>
      <w:marBottom w:val="0"/>
      <w:divBdr>
        <w:top w:val="none" w:sz="0" w:space="0" w:color="auto"/>
        <w:left w:val="none" w:sz="0" w:space="0" w:color="auto"/>
        <w:bottom w:val="none" w:sz="0" w:space="0" w:color="auto"/>
        <w:right w:val="none" w:sz="0" w:space="0" w:color="auto"/>
      </w:divBdr>
      <w:divsChild>
        <w:div w:id="82188481">
          <w:marLeft w:val="0"/>
          <w:marRight w:val="0"/>
          <w:marTop w:val="0"/>
          <w:marBottom w:val="0"/>
          <w:divBdr>
            <w:top w:val="none" w:sz="0" w:space="0" w:color="auto"/>
            <w:left w:val="none" w:sz="0" w:space="0" w:color="auto"/>
            <w:bottom w:val="none" w:sz="0" w:space="0" w:color="auto"/>
            <w:right w:val="none" w:sz="0" w:space="0" w:color="auto"/>
          </w:divBdr>
        </w:div>
        <w:div w:id="635794423">
          <w:marLeft w:val="0"/>
          <w:marRight w:val="0"/>
          <w:marTop w:val="0"/>
          <w:marBottom w:val="0"/>
          <w:divBdr>
            <w:top w:val="none" w:sz="0" w:space="0" w:color="auto"/>
            <w:left w:val="none" w:sz="0" w:space="0" w:color="auto"/>
            <w:bottom w:val="none" w:sz="0" w:space="0" w:color="auto"/>
            <w:right w:val="none" w:sz="0" w:space="0" w:color="auto"/>
          </w:divBdr>
        </w:div>
        <w:div w:id="846990142">
          <w:marLeft w:val="0"/>
          <w:marRight w:val="0"/>
          <w:marTop w:val="0"/>
          <w:marBottom w:val="0"/>
          <w:divBdr>
            <w:top w:val="none" w:sz="0" w:space="0" w:color="auto"/>
            <w:left w:val="none" w:sz="0" w:space="0" w:color="auto"/>
            <w:bottom w:val="none" w:sz="0" w:space="0" w:color="auto"/>
            <w:right w:val="none" w:sz="0" w:space="0" w:color="auto"/>
          </w:divBdr>
        </w:div>
        <w:div w:id="847521111">
          <w:marLeft w:val="0"/>
          <w:marRight w:val="0"/>
          <w:marTop w:val="0"/>
          <w:marBottom w:val="0"/>
          <w:divBdr>
            <w:top w:val="none" w:sz="0" w:space="0" w:color="auto"/>
            <w:left w:val="none" w:sz="0" w:space="0" w:color="auto"/>
            <w:bottom w:val="none" w:sz="0" w:space="0" w:color="auto"/>
            <w:right w:val="none" w:sz="0" w:space="0" w:color="auto"/>
          </w:divBdr>
        </w:div>
        <w:div w:id="1008020744">
          <w:marLeft w:val="0"/>
          <w:marRight w:val="0"/>
          <w:marTop w:val="0"/>
          <w:marBottom w:val="0"/>
          <w:divBdr>
            <w:top w:val="none" w:sz="0" w:space="0" w:color="auto"/>
            <w:left w:val="none" w:sz="0" w:space="0" w:color="auto"/>
            <w:bottom w:val="none" w:sz="0" w:space="0" w:color="auto"/>
            <w:right w:val="none" w:sz="0" w:space="0" w:color="auto"/>
          </w:divBdr>
        </w:div>
        <w:div w:id="1043211136">
          <w:marLeft w:val="0"/>
          <w:marRight w:val="0"/>
          <w:marTop w:val="0"/>
          <w:marBottom w:val="0"/>
          <w:divBdr>
            <w:top w:val="none" w:sz="0" w:space="0" w:color="auto"/>
            <w:left w:val="none" w:sz="0" w:space="0" w:color="auto"/>
            <w:bottom w:val="none" w:sz="0" w:space="0" w:color="auto"/>
            <w:right w:val="none" w:sz="0" w:space="0" w:color="auto"/>
          </w:divBdr>
        </w:div>
        <w:div w:id="1071267982">
          <w:marLeft w:val="0"/>
          <w:marRight w:val="0"/>
          <w:marTop w:val="0"/>
          <w:marBottom w:val="0"/>
          <w:divBdr>
            <w:top w:val="none" w:sz="0" w:space="0" w:color="auto"/>
            <w:left w:val="none" w:sz="0" w:space="0" w:color="auto"/>
            <w:bottom w:val="none" w:sz="0" w:space="0" w:color="auto"/>
            <w:right w:val="none" w:sz="0" w:space="0" w:color="auto"/>
          </w:divBdr>
        </w:div>
        <w:div w:id="1134909057">
          <w:marLeft w:val="0"/>
          <w:marRight w:val="0"/>
          <w:marTop w:val="0"/>
          <w:marBottom w:val="0"/>
          <w:divBdr>
            <w:top w:val="none" w:sz="0" w:space="0" w:color="auto"/>
            <w:left w:val="none" w:sz="0" w:space="0" w:color="auto"/>
            <w:bottom w:val="none" w:sz="0" w:space="0" w:color="auto"/>
            <w:right w:val="none" w:sz="0" w:space="0" w:color="auto"/>
          </w:divBdr>
        </w:div>
        <w:div w:id="1620530987">
          <w:marLeft w:val="0"/>
          <w:marRight w:val="0"/>
          <w:marTop w:val="0"/>
          <w:marBottom w:val="0"/>
          <w:divBdr>
            <w:top w:val="none" w:sz="0" w:space="0" w:color="auto"/>
            <w:left w:val="none" w:sz="0" w:space="0" w:color="auto"/>
            <w:bottom w:val="none" w:sz="0" w:space="0" w:color="auto"/>
            <w:right w:val="none" w:sz="0" w:space="0" w:color="auto"/>
          </w:divBdr>
        </w:div>
        <w:div w:id="2134057648">
          <w:marLeft w:val="0"/>
          <w:marRight w:val="0"/>
          <w:marTop w:val="0"/>
          <w:marBottom w:val="0"/>
          <w:divBdr>
            <w:top w:val="none" w:sz="0" w:space="0" w:color="auto"/>
            <w:left w:val="none" w:sz="0" w:space="0" w:color="auto"/>
            <w:bottom w:val="none" w:sz="0" w:space="0" w:color="auto"/>
            <w:right w:val="none" w:sz="0" w:space="0" w:color="auto"/>
          </w:divBdr>
        </w:div>
      </w:divsChild>
    </w:div>
    <w:div w:id="191042727">
      <w:bodyDiv w:val="1"/>
      <w:marLeft w:val="0"/>
      <w:marRight w:val="0"/>
      <w:marTop w:val="0"/>
      <w:marBottom w:val="0"/>
      <w:divBdr>
        <w:top w:val="none" w:sz="0" w:space="0" w:color="auto"/>
        <w:left w:val="none" w:sz="0" w:space="0" w:color="auto"/>
        <w:bottom w:val="none" w:sz="0" w:space="0" w:color="auto"/>
        <w:right w:val="none" w:sz="0" w:space="0" w:color="auto"/>
      </w:divBdr>
      <w:divsChild>
        <w:div w:id="519859745">
          <w:marLeft w:val="0"/>
          <w:marRight w:val="0"/>
          <w:marTop w:val="0"/>
          <w:marBottom w:val="0"/>
          <w:divBdr>
            <w:top w:val="none" w:sz="0" w:space="0" w:color="auto"/>
            <w:left w:val="none" w:sz="0" w:space="0" w:color="auto"/>
            <w:bottom w:val="none" w:sz="0" w:space="0" w:color="auto"/>
            <w:right w:val="none" w:sz="0" w:space="0" w:color="auto"/>
          </w:divBdr>
        </w:div>
        <w:div w:id="899172923">
          <w:marLeft w:val="0"/>
          <w:marRight w:val="0"/>
          <w:marTop w:val="0"/>
          <w:marBottom w:val="0"/>
          <w:divBdr>
            <w:top w:val="none" w:sz="0" w:space="0" w:color="auto"/>
            <w:left w:val="none" w:sz="0" w:space="0" w:color="auto"/>
            <w:bottom w:val="none" w:sz="0" w:space="0" w:color="auto"/>
            <w:right w:val="none" w:sz="0" w:space="0" w:color="auto"/>
          </w:divBdr>
        </w:div>
        <w:div w:id="1609657426">
          <w:marLeft w:val="0"/>
          <w:marRight w:val="0"/>
          <w:marTop w:val="0"/>
          <w:marBottom w:val="0"/>
          <w:divBdr>
            <w:top w:val="none" w:sz="0" w:space="0" w:color="auto"/>
            <w:left w:val="none" w:sz="0" w:space="0" w:color="auto"/>
            <w:bottom w:val="none" w:sz="0" w:space="0" w:color="auto"/>
            <w:right w:val="none" w:sz="0" w:space="0" w:color="auto"/>
          </w:divBdr>
        </w:div>
        <w:div w:id="1748189563">
          <w:marLeft w:val="0"/>
          <w:marRight w:val="0"/>
          <w:marTop w:val="0"/>
          <w:marBottom w:val="0"/>
          <w:divBdr>
            <w:top w:val="none" w:sz="0" w:space="0" w:color="auto"/>
            <w:left w:val="none" w:sz="0" w:space="0" w:color="auto"/>
            <w:bottom w:val="none" w:sz="0" w:space="0" w:color="auto"/>
            <w:right w:val="none" w:sz="0" w:space="0" w:color="auto"/>
          </w:divBdr>
        </w:div>
        <w:div w:id="1809544603">
          <w:marLeft w:val="0"/>
          <w:marRight w:val="0"/>
          <w:marTop w:val="0"/>
          <w:marBottom w:val="0"/>
          <w:divBdr>
            <w:top w:val="none" w:sz="0" w:space="0" w:color="auto"/>
            <w:left w:val="none" w:sz="0" w:space="0" w:color="auto"/>
            <w:bottom w:val="none" w:sz="0" w:space="0" w:color="auto"/>
            <w:right w:val="none" w:sz="0" w:space="0" w:color="auto"/>
          </w:divBdr>
        </w:div>
      </w:divsChild>
    </w:div>
    <w:div w:id="203521281">
      <w:bodyDiv w:val="1"/>
      <w:marLeft w:val="0"/>
      <w:marRight w:val="0"/>
      <w:marTop w:val="0"/>
      <w:marBottom w:val="0"/>
      <w:divBdr>
        <w:top w:val="none" w:sz="0" w:space="0" w:color="auto"/>
        <w:left w:val="none" w:sz="0" w:space="0" w:color="auto"/>
        <w:bottom w:val="none" w:sz="0" w:space="0" w:color="auto"/>
        <w:right w:val="none" w:sz="0" w:space="0" w:color="auto"/>
      </w:divBdr>
    </w:div>
    <w:div w:id="251085531">
      <w:bodyDiv w:val="1"/>
      <w:marLeft w:val="0"/>
      <w:marRight w:val="0"/>
      <w:marTop w:val="0"/>
      <w:marBottom w:val="0"/>
      <w:divBdr>
        <w:top w:val="none" w:sz="0" w:space="0" w:color="auto"/>
        <w:left w:val="none" w:sz="0" w:space="0" w:color="auto"/>
        <w:bottom w:val="none" w:sz="0" w:space="0" w:color="auto"/>
        <w:right w:val="none" w:sz="0" w:space="0" w:color="auto"/>
      </w:divBdr>
      <w:divsChild>
        <w:div w:id="265310525">
          <w:marLeft w:val="0"/>
          <w:marRight w:val="0"/>
          <w:marTop w:val="0"/>
          <w:marBottom w:val="0"/>
          <w:divBdr>
            <w:top w:val="none" w:sz="0" w:space="0" w:color="auto"/>
            <w:left w:val="none" w:sz="0" w:space="0" w:color="auto"/>
            <w:bottom w:val="none" w:sz="0" w:space="0" w:color="auto"/>
            <w:right w:val="none" w:sz="0" w:space="0" w:color="auto"/>
          </w:divBdr>
        </w:div>
        <w:div w:id="360060146">
          <w:marLeft w:val="0"/>
          <w:marRight w:val="0"/>
          <w:marTop w:val="0"/>
          <w:marBottom w:val="0"/>
          <w:divBdr>
            <w:top w:val="none" w:sz="0" w:space="0" w:color="auto"/>
            <w:left w:val="none" w:sz="0" w:space="0" w:color="auto"/>
            <w:bottom w:val="none" w:sz="0" w:space="0" w:color="auto"/>
            <w:right w:val="none" w:sz="0" w:space="0" w:color="auto"/>
          </w:divBdr>
        </w:div>
        <w:div w:id="970135347">
          <w:marLeft w:val="0"/>
          <w:marRight w:val="0"/>
          <w:marTop w:val="0"/>
          <w:marBottom w:val="0"/>
          <w:divBdr>
            <w:top w:val="none" w:sz="0" w:space="0" w:color="auto"/>
            <w:left w:val="none" w:sz="0" w:space="0" w:color="auto"/>
            <w:bottom w:val="none" w:sz="0" w:space="0" w:color="auto"/>
            <w:right w:val="none" w:sz="0" w:space="0" w:color="auto"/>
          </w:divBdr>
        </w:div>
      </w:divsChild>
    </w:div>
    <w:div w:id="26739683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52196758">
      <w:bodyDiv w:val="1"/>
      <w:marLeft w:val="0"/>
      <w:marRight w:val="0"/>
      <w:marTop w:val="0"/>
      <w:marBottom w:val="0"/>
      <w:divBdr>
        <w:top w:val="none" w:sz="0" w:space="0" w:color="auto"/>
        <w:left w:val="none" w:sz="0" w:space="0" w:color="auto"/>
        <w:bottom w:val="none" w:sz="0" w:space="0" w:color="auto"/>
        <w:right w:val="none" w:sz="0" w:space="0" w:color="auto"/>
      </w:divBdr>
      <w:divsChild>
        <w:div w:id="87430788">
          <w:marLeft w:val="0"/>
          <w:marRight w:val="0"/>
          <w:marTop w:val="0"/>
          <w:marBottom w:val="0"/>
          <w:divBdr>
            <w:top w:val="none" w:sz="0" w:space="0" w:color="auto"/>
            <w:left w:val="none" w:sz="0" w:space="0" w:color="auto"/>
            <w:bottom w:val="none" w:sz="0" w:space="0" w:color="auto"/>
            <w:right w:val="none" w:sz="0" w:space="0" w:color="auto"/>
          </w:divBdr>
        </w:div>
        <w:div w:id="90440204">
          <w:marLeft w:val="0"/>
          <w:marRight w:val="0"/>
          <w:marTop w:val="0"/>
          <w:marBottom w:val="0"/>
          <w:divBdr>
            <w:top w:val="none" w:sz="0" w:space="0" w:color="auto"/>
            <w:left w:val="none" w:sz="0" w:space="0" w:color="auto"/>
            <w:bottom w:val="none" w:sz="0" w:space="0" w:color="auto"/>
            <w:right w:val="none" w:sz="0" w:space="0" w:color="auto"/>
          </w:divBdr>
        </w:div>
        <w:div w:id="1496143724">
          <w:marLeft w:val="0"/>
          <w:marRight w:val="0"/>
          <w:marTop w:val="0"/>
          <w:marBottom w:val="0"/>
          <w:divBdr>
            <w:top w:val="none" w:sz="0" w:space="0" w:color="auto"/>
            <w:left w:val="none" w:sz="0" w:space="0" w:color="auto"/>
            <w:bottom w:val="none" w:sz="0" w:space="0" w:color="auto"/>
            <w:right w:val="none" w:sz="0" w:space="0" w:color="auto"/>
          </w:divBdr>
        </w:div>
        <w:div w:id="1578052865">
          <w:marLeft w:val="0"/>
          <w:marRight w:val="0"/>
          <w:marTop w:val="0"/>
          <w:marBottom w:val="0"/>
          <w:divBdr>
            <w:top w:val="none" w:sz="0" w:space="0" w:color="auto"/>
            <w:left w:val="none" w:sz="0" w:space="0" w:color="auto"/>
            <w:bottom w:val="none" w:sz="0" w:space="0" w:color="auto"/>
            <w:right w:val="none" w:sz="0" w:space="0" w:color="auto"/>
          </w:divBdr>
        </w:div>
        <w:div w:id="1611358721">
          <w:marLeft w:val="0"/>
          <w:marRight w:val="0"/>
          <w:marTop w:val="0"/>
          <w:marBottom w:val="0"/>
          <w:divBdr>
            <w:top w:val="none" w:sz="0" w:space="0" w:color="auto"/>
            <w:left w:val="none" w:sz="0" w:space="0" w:color="auto"/>
            <w:bottom w:val="none" w:sz="0" w:space="0" w:color="auto"/>
            <w:right w:val="none" w:sz="0" w:space="0" w:color="auto"/>
          </w:divBdr>
        </w:div>
        <w:div w:id="1888107832">
          <w:marLeft w:val="0"/>
          <w:marRight w:val="0"/>
          <w:marTop w:val="0"/>
          <w:marBottom w:val="0"/>
          <w:divBdr>
            <w:top w:val="none" w:sz="0" w:space="0" w:color="auto"/>
            <w:left w:val="none" w:sz="0" w:space="0" w:color="auto"/>
            <w:bottom w:val="none" w:sz="0" w:space="0" w:color="auto"/>
            <w:right w:val="none" w:sz="0" w:space="0" w:color="auto"/>
          </w:divBdr>
        </w:div>
      </w:divsChild>
    </w:div>
    <w:div w:id="462118754">
      <w:bodyDiv w:val="1"/>
      <w:marLeft w:val="0"/>
      <w:marRight w:val="0"/>
      <w:marTop w:val="0"/>
      <w:marBottom w:val="0"/>
      <w:divBdr>
        <w:top w:val="none" w:sz="0" w:space="0" w:color="auto"/>
        <w:left w:val="none" w:sz="0" w:space="0" w:color="auto"/>
        <w:bottom w:val="none" w:sz="0" w:space="0" w:color="auto"/>
        <w:right w:val="none" w:sz="0" w:space="0" w:color="auto"/>
      </w:divBdr>
    </w:div>
    <w:div w:id="467287301">
      <w:bodyDiv w:val="1"/>
      <w:marLeft w:val="0"/>
      <w:marRight w:val="0"/>
      <w:marTop w:val="0"/>
      <w:marBottom w:val="0"/>
      <w:divBdr>
        <w:top w:val="none" w:sz="0" w:space="0" w:color="auto"/>
        <w:left w:val="none" w:sz="0" w:space="0" w:color="auto"/>
        <w:bottom w:val="none" w:sz="0" w:space="0" w:color="auto"/>
        <w:right w:val="none" w:sz="0" w:space="0" w:color="auto"/>
      </w:divBdr>
    </w:div>
    <w:div w:id="468058777">
      <w:bodyDiv w:val="1"/>
      <w:marLeft w:val="0"/>
      <w:marRight w:val="0"/>
      <w:marTop w:val="0"/>
      <w:marBottom w:val="0"/>
      <w:divBdr>
        <w:top w:val="none" w:sz="0" w:space="0" w:color="auto"/>
        <w:left w:val="none" w:sz="0" w:space="0" w:color="auto"/>
        <w:bottom w:val="none" w:sz="0" w:space="0" w:color="auto"/>
        <w:right w:val="none" w:sz="0" w:space="0" w:color="auto"/>
      </w:divBdr>
      <w:divsChild>
        <w:div w:id="277176458">
          <w:marLeft w:val="0"/>
          <w:marRight w:val="0"/>
          <w:marTop w:val="0"/>
          <w:marBottom w:val="0"/>
          <w:divBdr>
            <w:top w:val="none" w:sz="0" w:space="0" w:color="auto"/>
            <w:left w:val="none" w:sz="0" w:space="0" w:color="auto"/>
            <w:bottom w:val="none" w:sz="0" w:space="0" w:color="auto"/>
            <w:right w:val="none" w:sz="0" w:space="0" w:color="auto"/>
          </w:divBdr>
        </w:div>
        <w:div w:id="477848533">
          <w:marLeft w:val="0"/>
          <w:marRight w:val="0"/>
          <w:marTop w:val="0"/>
          <w:marBottom w:val="0"/>
          <w:divBdr>
            <w:top w:val="none" w:sz="0" w:space="0" w:color="auto"/>
            <w:left w:val="none" w:sz="0" w:space="0" w:color="auto"/>
            <w:bottom w:val="none" w:sz="0" w:space="0" w:color="auto"/>
            <w:right w:val="none" w:sz="0" w:space="0" w:color="auto"/>
          </w:divBdr>
        </w:div>
        <w:div w:id="1031347102">
          <w:marLeft w:val="0"/>
          <w:marRight w:val="0"/>
          <w:marTop w:val="0"/>
          <w:marBottom w:val="0"/>
          <w:divBdr>
            <w:top w:val="none" w:sz="0" w:space="0" w:color="auto"/>
            <w:left w:val="none" w:sz="0" w:space="0" w:color="auto"/>
            <w:bottom w:val="none" w:sz="0" w:space="0" w:color="auto"/>
            <w:right w:val="none" w:sz="0" w:space="0" w:color="auto"/>
          </w:divBdr>
        </w:div>
        <w:div w:id="2058433884">
          <w:marLeft w:val="0"/>
          <w:marRight w:val="0"/>
          <w:marTop w:val="0"/>
          <w:marBottom w:val="0"/>
          <w:divBdr>
            <w:top w:val="none" w:sz="0" w:space="0" w:color="auto"/>
            <w:left w:val="none" w:sz="0" w:space="0" w:color="auto"/>
            <w:bottom w:val="none" w:sz="0" w:space="0" w:color="auto"/>
            <w:right w:val="none" w:sz="0" w:space="0" w:color="auto"/>
          </w:divBdr>
        </w:div>
        <w:div w:id="2076584306">
          <w:marLeft w:val="0"/>
          <w:marRight w:val="0"/>
          <w:marTop w:val="0"/>
          <w:marBottom w:val="0"/>
          <w:divBdr>
            <w:top w:val="none" w:sz="0" w:space="0" w:color="auto"/>
            <w:left w:val="none" w:sz="0" w:space="0" w:color="auto"/>
            <w:bottom w:val="none" w:sz="0" w:space="0" w:color="auto"/>
            <w:right w:val="none" w:sz="0" w:space="0" w:color="auto"/>
          </w:divBdr>
        </w:div>
        <w:div w:id="2101755492">
          <w:marLeft w:val="0"/>
          <w:marRight w:val="0"/>
          <w:marTop w:val="0"/>
          <w:marBottom w:val="0"/>
          <w:divBdr>
            <w:top w:val="none" w:sz="0" w:space="0" w:color="auto"/>
            <w:left w:val="none" w:sz="0" w:space="0" w:color="auto"/>
            <w:bottom w:val="none" w:sz="0" w:space="0" w:color="auto"/>
            <w:right w:val="none" w:sz="0" w:space="0" w:color="auto"/>
          </w:divBdr>
        </w:div>
      </w:divsChild>
    </w:div>
    <w:div w:id="487329582">
      <w:bodyDiv w:val="1"/>
      <w:marLeft w:val="0"/>
      <w:marRight w:val="0"/>
      <w:marTop w:val="0"/>
      <w:marBottom w:val="0"/>
      <w:divBdr>
        <w:top w:val="none" w:sz="0" w:space="0" w:color="auto"/>
        <w:left w:val="none" w:sz="0" w:space="0" w:color="auto"/>
        <w:bottom w:val="none" w:sz="0" w:space="0" w:color="auto"/>
        <w:right w:val="none" w:sz="0" w:space="0" w:color="auto"/>
      </w:divBdr>
    </w:div>
    <w:div w:id="505747997">
      <w:bodyDiv w:val="1"/>
      <w:marLeft w:val="0"/>
      <w:marRight w:val="0"/>
      <w:marTop w:val="0"/>
      <w:marBottom w:val="0"/>
      <w:divBdr>
        <w:top w:val="none" w:sz="0" w:space="0" w:color="auto"/>
        <w:left w:val="none" w:sz="0" w:space="0" w:color="auto"/>
        <w:bottom w:val="none" w:sz="0" w:space="0" w:color="auto"/>
        <w:right w:val="none" w:sz="0" w:space="0" w:color="auto"/>
      </w:divBdr>
    </w:div>
    <w:div w:id="593588690">
      <w:bodyDiv w:val="1"/>
      <w:marLeft w:val="0"/>
      <w:marRight w:val="0"/>
      <w:marTop w:val="0"/>
      <w:marBottom w:val="0"/>
      <w:divBdr>
        <w:top w:val="none" w:sz="0" w:space="0" w:color="auto"/>
        <w:left w:val="none" w:sz="0" w:space="0" w:color="auto"/>
        <w:bottom w:val="none" w:sz="0" w:space="0" w:color="auto"/>
        <w:right w:val="none" w:sz="0" w:space="0" w:color="auto"/>
      </w:divBdr>
    </w:div>
    <w:div w:id="641421400">
      <w:bodyDiv w:val="1"/>
      <w:marLeft w:val="0"/>
      <w:marRight w:val="0"/>
      <w:marTop w:val="0"/>
      <w:marBottom w:val="0"/>
      <w:divBdr>
        <w:top w:val="none" w:sz="0" w:space="0" w:color="auto"/>
        <w:left w:val="none" w:sz="0" w:space="0" w:color="auto"/>
        <w:bottom w:val="none" w:sz="0" w:space="0" w:color="auto"/>
        <w:right w:val="none" w:sz="0" w:space="0" w:color="auto"/>
      </w:divBdr>
    </w:div>
    <w:div w:id="650208443">
      <w:bodyDiv w:val="1"/>
      <w:marLeft w:val="0"/>
      <w:marRight w:val="0"/>
      <w:marTop w:val="0"/>
      <w:marBottom w:val="0"/>
      <w:divBdr>
        <w:top w:val="none" w:sz="0" w:space="0" w:color="auto"/>
        <w:left w:val="none" w:sz="0" w:space="0" w:color="auto"/>
        <w:bottom w:val="none" w:sz="0" w:space="0" w:color="auto"/>
        <w:right w:val="none" w:sz="0" w:space="0" w:color="auto"/>
      </w:divBdr>
    </w:div>
    <w:div w:id="670061451">
      <w:bodyDiv w:val="1"/>
      <w:marLeft w:val="0"/>
      <w:marRight w:val="0"/>
      <w:marTop w:val="0"/>
      <w:marBottom w:val="0"/>
      <w:divBdr>
        <w:top w:val="none" w:sz="0" w:space="0" w:color="auto"/>
        <w:left w:val="none" w:sz="0" w:space="0" w:color="auto"/>
        <w:bottom w:val="none" w:sz="0" w:space="0" w:color="auto"/>
        <w:right w:val="none" w:sz="0" w:space="0" w:color="auto"/>
      </w:divBdr>
    </w:div>
    <w:div w:id="708143689">
      <w:bodyDiv w:val="1"/>
      <w:marLeft w:val="0"/>
      <w:marRight w:val="0"/>
      <w:marTop w:val="0"/>
      <w:marBottom w:val="0"/>
      <w:divBdr>
        <w:top w:val="none" w:sz="0" w:space="0" w:color="auto"/>
        <w:left w:val="none" w:sz="0" w:space="0" w:color="auto"/>
        <w:bottom w:val="none" w:sz="0" w:space="0" w:color="auto"/>
        <w:right w:val="none" w:sz="0" w:space="0" w:color="auto"/>
      </w:divBdr>
    </w:div>
    <w:div w:id="718280530">
      <w:bodyDiv w:val="1"/>
      <w:marLeft w:val="0"/>
      <w:marRight w:val="0"/>
      <w:marTop w:val="0"/>
      <w:marBottom w:val="0"/>
      <w:divBdr>
        <w:top w:val="none" w:sz="0" w:space="0" w:color="auto"/>
        <w:left w:val="none" w:sz="0" w:space="0" w:color="auto"/>
        <w:bottom w:val="none" w:sz="0" w:space="0" w:color="auto"/>
        <w:right w:val="none" w:sz="0" w:space="0" w:color="auto"/>
      </w:divBdr>
    </w:div>
    <w:div w:id="742338112">
      <w:bodyDiv w:val="1"/>
      <w:marLeft w:val="0"/>
      <w:marRight w:val="0"/>
      <w:marTop w:val="0"/>
      <w:marBottom w:val="0"/>
      <w:divBdr>
        <w:top w:val="none" w:sz="0" w:space="0" w:color="auto"/>
        <w:left w:val="none" w:sz="0" w:space="0" w:color="auto"/>
        <w:bottom w:val="none" w:sz="0" w:space="0" w:color="auto"/>
        <w:right w:val="none" w:sz="0" w:space="0" w:color="auto"/>
      </w:divBdr>
    </w:div>
    <w:div w:id="754978477">
      <w:bodyDiv w:val="1"/>
      <w:marLeft w:val="0"/>
      <w:marRight w:val="0"/>
      <w:marTop w:val="0"/>
      <w:marBottom w:val="0"/>
      <w:divBdr>
        <w:top w:val="none" w:sz="0" w:space="0" w:color="auto"/>
        <w:left w:val="none" w:sz="0" w:space="0" w:color="auto"/>
        <w:bottom w:val="none" w:sz="0" w:space="0" w:color="auto"/>
        <w:right w:val="none" w:sz="0" w:space="0" w:color="auto"/>
      </w:divBdr>
    </w:div>
    <w:div w:id="772091139">
      <w:bodyDiv w:val="1"/>
      <w:marLeft w:val="0"/>
      <w:marRight w:val="0"/>
      <w:marTop w:val="0"/>
      <w:marBottom w:val="0"/>
      <w:divBdr>
        <w:top w:val="none" w:sz="0" w:space="0" w:color="auto"/>
        <w:left w:val="none" w:sz="0" w:space="0" w:color="auto"/>
        <w:bottom w:val="none" w:sz="0" w:space="0" w:color="auto"/>
        <w:right w:val="none" w:sz="0" w:space="0" w:color="auto"/>
      </w:divBdr>
    </w:div>
    <w:div w:id="787286005">
      <w:bodyDiv w:val="1"/>
      <w:marLeft w:val="0"/>
      <w:marRight w:val="0"/>
      <w:marTop w:val="0"/>
      <w:marBottom w:val="0"/>
      <w:divBdr>
        <w:top w:val="none" w:sz="0" w:space="0" w:color="auto"/>
        <w:left w:val="none" w:sz="0" w:space="0" w:color="auto"/>
        <w:bottom w:val="none" w:sz="0" w:space="0" w:color="auto"/>
        <w:right w:val="none" w:sz="0" w:space="0" w:color="auto"/>
      </w:divBdr>
    </w:div>
    <w:div w:id="795950318">
      <w:bodyDiv w:val="1"/>
      <w:marLeft w:val="0"/>
      <w:marRight w:val="0"/>
      <w:marTop w:val="0"/>
      <w:marBottom w:val="0"/>
      <w:divBdr>
        <w:top w:val="none" w:sz="0" w:space="0" w:color="auto"/>
        <w:left w:val="none" w:sz="0" w:space="0" w:color="auto"/>
        <w:bottom w:val="none" w:sz="0" w:space="0" w:color="auto"/>
        <w:right w:val="none" w:sz="0" w:space="0" w:color="auto"/>
      </w:divBdr>
    </w:div>
    <w:div w:id="796799297">
      <w:bodyDiv w:val="1"/>
      <w:marLeft w:val="0"/>
      <w:marRight w:val="0"/>
      <w:marTop w:val="0"/>
      <w:marBottom w:val="0"/>
      <w:divBdr>
        <w:top w:val="none" w:sz="0" w:space="0" w:color="auto"/>
        <w:left w:val="none" w:sz="0" w:space="0" w:color="auto"/>
        <w:bottom w:val="none" w:sz="0" w:space="0" w:color="auto"/>
        <w:right w:val="none" w:sz="0" w:space="0" w:color="auto"/>
      </w:divBdr>
    </w:div>
    <w:div w:id="863831331">
      <w:bodyDiv w:val="1"/>
      <w:marLeft w:val="0"/>
      <w:marRight w:val="0"/>
      <w:marTop w:val="0"/>
      <w:marBottom w:val="0"/>
      <w:divBdr>
        <w:top w:val="none" w:sz="0" w:space="0" w:color="auto"/>
        <w:left w:val="none" w:sz="0" w:space="0" w:color="auto"/>
        <w:bottom w:val="none" w:sz="0" w:space="0" w:color="auto"/>
        <w:right w:val="none" w:sz="0" w:space="0" w:color="auto"/>
      </w:divBdr>
    </w:div>
    <w:div w:id="873352369">
      <w:bodyDiv w:val="1"/>
      <w:marLeft w:val="0"/>
      <w:marRight w:val="0"/>
      <w:marTop w:val="0"/>
      <w:marBottom w:val="0"/>
      <w:divBdr>
        <w:top w:val="none" w:sz="0" w:space="0" w:color="auto"/>
        <w:left w:val="none" w:sz="0" w:space="0" w:color="auto"/>
        <w:bottom w:val="none" w:sz="0" w:space="0" w:color="auto"/>
        <w:right w:val="none" w:sz="0" w:space="0" w:color="auto"/>
      </w:divBdr>
    </w:div>
    <w:div w:id="882206912">
      <w:bodyDiv w:val="1"/>
      <w:marLeft w:val="0"/>
      <w:marRight w:val="0"/>
      <w:marTop w:val="0"/>
      <w:marBottom w:val="0"/>
      <w:divBdr>
        <w:top w:val="none" w:sz="0" w:space="0" w:color="auto"/>
        <w:left w:val="none" w:sz="0" w:space="0" w:color="auto"/>
        <w:bottom w:val="none" w:sz="0" w:space="0" w:color="auto"/>
        <w:right w:val="none" w:sz="0" w:space="0" w:color="auto"/>
      </w:divBdr>
    </w:div>
    <w:div w:id="928928975">
      <w:bodyDiv w:val="1"/>
      <w:marLeft w:val="0"/>
      <w:marRight w:val="0"/>
      <w:marTop w:val="0"/>
      <w:marBottom w:val="0"/>
      <w:divBdr>
        <w:top w:val="none" w:sz="0" w:space="0" w:color="auto"/>
        <w:left w:val="none" w:sz="0" w:space="0" w:color="auto"/>
        <w:bottom w:val="none" w:sz="0" w:space="0" w:color="auto"/>
        <w:right w:val="none" w:sz="0" w:space="0" w:color="auto"/>
      </w:divBdr>
    </w:div>
    <w:div w:id="930704045">
      <w:bodyDiv w:val="1"/>
      <w:marLeft w:val="0"/>
      <w:marRight w:val="0"/>
      <w:marTop w:val="0"/>
      <w:marBottom w:val="0"/>
      <w:divBdr>
        <w:top w:val="none" w:sz="0" w:space="0" w:color="auto"/>
        <w:left w:val="none" w:sz="0" w:space="0" w:color="auto"/>
        <w:bottom w:val="none" w:sz="0" w:space="0" w:color="auto"/>
        <w:right w:val="none" w:sz="0" w:space="0" w:color="auto"/>
      </w:divBdr>
    </w:div>
    <w:div w:id="978077141">
      <w:bodyDiv w:val="1"/>
      <w:marLeft w:val="0"/>
      <w:marRight w:val="0"/>
      <w:marTop w:val="0"/>
      <w:marBottom w:val="0"/>
      <w:divBdr>
        <w:top w:val="none" w:sz="0" w:space="0" w:color="auto"/>
        <w:left w:val="none" w:sz="0" w:space="0" w:color="auto"/>
        <w:bottom w:val="none" w:sz="0" w:space="0" w:color="auto"/>
        <w:right w:val="none" w:sz="0" w:space="0" w:color="auto"/>
      </w:divBdr>
    </w:div>
    <w:div w:id="1062483593">
      <w:bodyDiv w:val="1"/>
      <w:marLeft w:val="0"/>
      <w:marRight w:val="0"/>
      <w:marTop w:val="0"/>
      <w:marBottom w:val="0"/>
      <w:divBdr>
        <w:top w:val="none" w:sz="0" w:space="0" w:color="auto"/>
        <w:left w:val="none" w:sz="0" w:space="0" w:color="auto"/>
        <w:bottom w:val="none" w:sz="0" w:space="0" w:color="auto"/>
        <w:right w:val="none" w:sz="0" w:space="0" w:color="auto"/>
      </w:divBdr>
    </w:div>
    <w:div w:id="1065297464">
      <w:bodyDiv w:val="1"/>
      <w:marLeft w:val="0"/>
      <w:marRight w:val="0"/>
      <w:marTop w:val="0"/>
      <w:marBottom w:val="0"/>
      <w:divBdr>
        <w:top w:val="none" w:sz="0" w:space="0" w:color="auto"/>
        <w:left w:val="none" w:sz="0" w:space="0" w:color="auto"/>
        <w:bottom w:val="none" w:sz="0" w:space="0" w:color="auto"/>
        <w:right w:val="none" w:sz="0" w:space="0" w:color="auto"/>
      </w:divBdr>
    </w:div>
    <w:div w:id="1082288714">
      <w:bodyDiv w:val="1"/>
      <w:marLeft w:val="0"/>
      <w:marRight w:val="0"/>
      <w:marTop w:val="0"/>
      <w:marBottom w:val="0"/>
      <w:divBdr>
        <w:top w:val="none" w:sz="0" w:space="0" w:color="auto"/>
        <w:left w:val="none" w:sz="0" w:space="0" w:color="auto"/>
        <w:bottom w:val="none" w:sz="0" w:space="0" w:color="auto"/>
        <w:right w:val="none" w:sz="0" w:space="0" w:color="auto"/>
      </w:divBdr>
    </w:div>
    <w:div w:id="1155877160">
      <w:bodyDiv w:val="1"/>
      <w:marLeft w:val="0"/>
      <w:marRight w:val="0"/>
      <w:marTop w:val="0"/>
      <w:marBottom w:val="0"/>
      <w:divBdr>
        <w:top w:val="none" w:sz="0" w:space="0" w:color="auto"/>
        <w:left w:val="none" w:sz="0" w:space="0" w:color="auto"/>
        <w:bottom w:val="none" w:sz="0" w:space="0" w:color="auto"/>
        <w:right w:val="none" w:sz="0" w:space="0" w:color="auto"/>
      </w:divBdr>
      <w:divsChild>
        <w:div w:id="122700636">
          <w:marLeft w:val="0"/>
          <w:marRight w:val="0"/>
          <w:marTop w:val="0"/>
          <w:marBottom w:val="0"/>
          <w:divBdr>
            <w:top w:val="none" w:sz="0" w:space="0" w:color="auto"/>
            <w:left w:val="none" w:sz="0" w:space="0" w:color="auto"/>
            <w:bottom w:val="none" w:sz="0" w:space="0" w:color="auto"/>
            <w:right w:val="none" w:sz="0" w:space="0" w:color="auto"/>
          </w:divBdr>
        </w:div>
        <w:div w:id="490877755">
          <w:marLeft w:val="0"/>
          <w:marRight w:val="0"/>
          <w:marTop w:val="0"/>
          <w:marBottom w:val="0"/>
          <w:divBdr>
            <w:top w:val="none" w:sz="0" w:space="0" w:color="auto"/>
            <w:left w:val="none" w:sz="0" w:space="0" w:color="auto"/>
            <w:bottom w:val="none" w:sz="0" w:space="0" w:color="auto"/>
            <w:right w:val="none" w:sz="0" w:space="0" w:color="auto"/>
          </w:divBdr>
        </w:div>
        <w:div w:id="1275749079">
          <w:marLeft w:val="0"/>
          <w:marRight w:val="0"/>
          <w:marTop w:val="0"/>
          <w:marBottom w:val="0"/>
          <w:divBdr>
            <w:top w:val="none" w:sz="0" w:space="0" w:color="auto"/>
            <w:left w:val="none" w:sz="0" w:space="0" w:color="auto"/>
            <w:bottom w:val="none" w:sz="0" w:space="0" w:color="auto"/>
            <w:right w:val="none" w:sz="0" w:space="0" w:color="auto"/>
          </w:divBdr>
        </w:div>
        <w:div w:id="1333414848">
          <w:marLeft w:val="0"/>
          <w:marRight w:val="0"/>
          <w:marTop w:val="0"/>
          <w:marBottom w:val="0"/>
          <w:divBdr>
            <w:top w:val="none" w:sz="0" w:space="0" w:color="auto"/>
            <w:left w:val="none" w:sz="0" w:space="0" w:color="auto"/>
            <w:bottom w:val="none" w:sz="0" w:space="0" w:color="auto"/>
            <w:right w:val="none" w:sz="0" w:space="0" w:color="auto"/>
          </w:divBdr>
        </w:div>
        <w:div w:id="1518537480">
          <w:marLeft w:val="0"/>
          <w:marRight w:val="0"/>
          <w:marTop w:val="0"/>
          <w:marBottom w:val="0"/>
          <w:divBdr>
            <w:top w:val="none" w:sz="0" w:space="0" w:color="auto"/>
            <w:left w:val="none" w:sz="0" w:space="0" w:color="auto"/>
            <w:bottom w:val="none" w:sz="0" w:space="0" w:color="auto"/>
            <w:right w:val="none" w:sz="0" w:space="0" w:color="auto"/>
          </w:divBdr>
        </w:div>
        <w:div w:id="1743411957">
          <w:marLeft w:val="0"/>
          <w:marRight w:val="0"/>
          <w:marTop w:val="0"/>
          <w:marBottom w:val="0"/>
          <w:divBdr>
            <w:top w:val="none" w:sz="0" w:space="0" w:color="auto"/>
            <w:left w:val="none" w:sz="0" w:space="0" w:color="auto"/>
            <w:bottom w:val="none" w:sz="0" w:space="0" w:color="auto"/>
            <w:right w:val="none" w:sz="0" w:space="0" w:color="auto"/>
          </w:divBdr>
        </w:div>
        <w:div w:id="1947157154">
          <w:marLeft w:val="0"/>
          <w:marRight w:val="0"/>
          <w:marTop w:val="0"/>
          <w:marBottom w:val="0"/>
          <w:divBdr>
            <w:top w:val="none" w:sz="0" w:space="0" w:color="auto"/>
            <w:left w:val="none" w:sz="0" w:space="0" w:color="auto"/>
            <w:bottom w:val="none" w:sz="0" w:space="0" w:color="auto"/>
            <w:right w:val="none" w:sz="0" w:space="0" w:color="auto"/>
          </w:divBdr>
        </w:div>
      </w:divsChild>
    </w:div>
    <w:div w:id="1176071908">
      <w:bodyDiv w:val="1"/>
      <w:marLeft w:val="0"/>
      <w:marRight w:val="0"/>
      <w:marTop w:val="0"/>
      <w:marBottom w:val="0"/>
      <w:divBdr>
        <w:top w:val="none" w:sz="0" w:space="0" w:color="auto"/>
        <w:left w:val="none" w:sz="0" w:space="0" w:color="auto"/>
        <w:bottom w:val="none" w:sz="0" w:space="0" w:color="auto"/>
        <w:right w:val="none" w:sz="0" w:space="0" w:color="auto"/>
      </w:divBdr>
    </w:div>
    <w:div w:id="1200900430">
      <w:bodyDiv w:val="1"/>
      <w:marLeft w:val="0"/>
      <w:marRight w:val="0"/>
      <w:marTop w:val="0"/>
      <w:marBottom w:val="0"/>
      <w:divBdr>
        <w:top w:val="none" w:sz="0" w:space="0" w:color="auto"/>
        <w:left w:val="none" w:sz="0" w:space="0" w:color="auto"/>
        <w:bottom w:val="none" w:sz="0" w:space="0" w:color="auto"/>
        <w:right w:val="none" w:sz="0" w:space="0" w:color="auto"/>
      </w:divBdr>
    </w:div>
    <w:div w:id="1249997895">
      <w:bodyDiv w:val="1"/>
      <w:marLeft w:val="0"/>
      <w:marRight w:val="0"/>
      <w:marTop w:val="0"/>
      <w:marBottom w:val="0"/>
      <w:divBdr>
        <w:top w:val="none" w:sz="0" w:space="0" w:color="auto"/>
        <w:left w:val="none" w:sz="0" w:space="0" w:color="auto"/>
        <w:bottom w:val="none" w:sz="0" w:space="0" w:color="auto"/>
        <w:right w:val="none" w:sz="0" w:space="0" w:color="auto"/>
      </w:divBdr>
    </w:div>
    <w:div w:id="1282414515">
      <w:bodyDiv w:val="1"/>
      <w:marLeft w:val="0"/>
      <w:marRight w:val="0"/>
      <w:marTop w:val="0"/>
      <w:marBottom w:val="0"/>
      <w:divBdr>
        <w:top w:val="none" w:sz="0" w:space="0" w:color="auto"/>
        <w:left w:val="none" w:sz="0" w:space="0" w:color="auto"/>
        <w:bottom w:val="none" w:sz="0" w:space="0" w:color="auto"/>
        <w:right w:val="none" w:sz="0" w:space="0" w:color="auto"/>
      </w:divBdr>
    </w:div>
    <w:div w:id="1324359447">
      <w:bodyDiv w:val="1"/>
      <w:marLeft w:val="0"/>
      <w:marRight w:val="0"/>
      <w:marTop w:val="0"/>
      <w:marBottom w:val="0"/>
      <w:divBdr>
        <w:top w:val="none" w:sz="0" w:space="0" w:color="auto"/>
        <w:left w:val="none" w:sz="0" w:space="0" w:color="auto"/>
        <w:bottom w:val="none" w:sz="0" w:space="0" w:color="auto"/>
        <w:right w:val="none" w:sz="0" w:space="0" w:color="auto"/>
      </w:divBdr>
    </w:div>
    <w:div w:id="1338190665">
      <w:bodyDiv w:val="1"/>
      <w:marLeft w:val="0"/>
      <w:marRight w:val="0"/>
      <w:marTop w:val="0"/>
      <w:marBottom w:val="0"/>
      <w:divBdr>
        <w:top w:val="none" w:sz="0" w:space="0" w:color="auto"/>
        <w:left w:val="none" w:sz="0" w:space="0" w:color="auto"/>
        <w:bottom w:val="none" w:sz="0" w:space="0" w:color="auto"/>
        <w:right w:val="none" w:sz="0" w:space="0" w:color="auto"/>
      </w:divBdr>
    </w:div>
    <w:div w:id="1342925864">
      <w:bodyDiv w:val="1"/>
      <w:marLeft w:val="0"/>
      <w:marRight w:val="0"/>
      <w:marTop w:val="0"/>
      <w:marBottom w:val="0"/>
      <w:divBdr>
        <w:top w:val="none" w:sz="0" w:space="0" w:color="auto"/>
        <w:left w:val="none" w:sz="0" w:space="0" w:color="auto"/>
        <w:bottom w:val="none" w:sz="0" w:space="0" w:color="auto"/>
        <w:right w:val="none" w:sz="0" w:space="0" w:color="auto"/>
      </w:divBdr>
    </w:div>
    <w:div w:id="1368411602">
      <w:bodyDiv w:val="1"/>
      <w:marLeft w:val="0"/>
      <w:marRight w:val="0"/>
      <w:marTop w:val="0"/>
      <w:marBottom w:val="0"/>
      <w:divBdr>
        <w:top w:val="none" w:sz="0" w:space="0" w:color="auto"/>
        <w:left w:val="none" w:sz="0" w:space="0" w:color="auto"/>
        <w:bottom w:val="none" w:sz="0" w:space="0" w:color="auto"/>
        <w:right w:val="none" w:sz="0" w:space="0" w:color="auto"/>
      </w:divBdr>
    </w:div>
    <w:div w:id="1393775702">
      <w:bodyDiv w:val="1"/>
      <w:marLeft w:val="0"/>
      <w:marRight w:val="0"/>
      <w:marTop w:val="0"/>
      <w:marBottom w:val="0"/>
      <w:divBdr>
        <w:top w:val="none" w:sz="0" w:space="0" w:color="auto"/>
        <w:left w:val="none" w:sz="0" w:space="0" w:color="auto"/>
        <w:bottom w:val="none" w:sz="0" w:space="0" w:color="auto"/>
        <w:right w:val="none" w:sz="0" w:space="0" w:color="auto"/>
      </w:divBdr>
    </w:div>
    <w:div w:id="1403483241">
      <w:bodyDiv w:val="1"/>
      <w:marLeft w:val="0"/>
      <w:marRight w:val="0"/>
      <w:marTop w:val="0"/>
      <w:marBottom w:val="0"/>
      <w:divBdr>
        <w:top w:val="none" w:sz="0" w:space="0" w:color="auto"/>
        <w:left w:val="none" w:sz="0" w:space="0" w:color="auto"/>
        <w:bottom w:val="none" w:sz="0" w:space="0" w:color="auto"/>
        <w:right w:val="none" w:sz="0" w:space="0" w:color="auto"/>
      </w:divBdr>
      <w:divsChild>
        <w:div w:id="143089598">
          <w:marLeft w:val="0"/>
          <w:marRight w:val="0"/>
          <w:marTop w:val="0"/>
          <w:marBottom w:val="0"/>
          <w:divBdr>
            <w:top w:val="none" w:sz="0" w:space="0" w:color="auto"/>
            <w:left w:val="none" w:sz="0" w:space="0" w:color="auto"/>
            <w:bottom w:val="none" w:sz="0" w:space="0" w:color="auto"/>
            <w:right w:val="none" w:sz="0" w:space="0" w:color="auto"/>
          </w:divBdr>
        </w:div>
        <w:div w:id="509806152">
          <w:marLeft w:val="0"/>
          <w:marRight w:val="0"/>
          <w:marTop w:val="0"/>
          <w:marBottom w:val="0"/>
          <w:divBdr>
            <w:top w:val="none" w:sz="0" w:space="0" w:color="auto"/>
            <w:left w:val="none" w:sz="0" w:space="0" w:color="auto"/>
            <w:bottom w:val="none" w:sz="0" w:space="0" w:color="auto"/>
            <w:right w:val="none" w:sz="0" w:space="0" w:color="auto"/>
          </w:divBdr>
        </w:div>
        <w:div w:id="735855460">
          <w:marLeft w:val="0"/>
          <w:marRight w:val="0"/>
          <w:marTop w:val="0"/>
          <w:marBottom w:val="0"/>
          <w:divBdr>
            <w:top w:val="none" w:sz="0" w:space="0" w:color="auto"/>
            <w:left w:val="none" w:sz="0" w:space="0" w:color="auto"/>
            <w:bottom w:val="none" w:sz="0" w:space="0" w:color="auto"/>
            <w:right w:val="none" w:sz="0" w:space="0" w:color="auto"/>
          </w:divBdr>
        </w:div>
        <w:div w:id="1064529583">
          <w:marLeft w:val="0"/>
          <w:marRight w:val="0"/>
          <w:marTop w:val="0"/>
          <w:marBottom w:val="0"/>
          <w:divBdr>
            <w:top w:val="none" w:sz="0" w:space="0" w:color="auto"/>
            <w:left w:val="none" w:sz="0" w:space="0" w:color="auto"/>
            <w:bottom w:val="none" w:sz="0" w:space="0" w:color="auto"/>
            <w:right w:val="none" w:sz="0" w:space="0" w:color="auto"/>
          </w:divBdr>
        </w:div>
        <w:div w:id="1451392926">
          <w:marLeft w:val="0"/>
          <w:marRight w:val="0"/>
          <w:marTop w:val="0"/>
          <w:marBottom w:val="0"/>
          <w:divBdr>
            <w:top w:val="none" w:sz="0" w:space="0" w:color="auto"/>
            <w:left w:val="none" w:sz="0" w:space="0" w:color="auto"/>
            <w:bottom w:val="none" w:sz="0" w:space="0" w:color="auto"/>
            <w:right w:val="none" w:sz="0" w:space="0" w:color="auto"/>
          </w:divBdr>
        </w:div>
        <w:div w:id="1808745207">
          <w:marLeft w:val="0"/>
          <w:marRight w:val="0"/>
          <w:marTop w:val="0"/>
          <w:marBottom w:val="0"/>
          <w:divBdr>
            <w:top w:val="none" w:sz="0" w:space="0" w:color="auto"/>
            <w:left w:val="none" w:sz="0" w:space="0" w:color="auto"/>
            <w:bottom w:val="none" w:sz="0" w:space="0" w:color="auto"/>
            <w:right w:val="none" w:sz="0" w:space="0" w:color="auto"/>
          </w:divBdr>
        </w:div>
        <w:div w:id="1941444928">
          <w:marLeft w:val="0"/>
          <w:marRight w:val="0"/>
          <w:marTop w:val="0"/>
          <w:marBottom w:val="0"/>
          <w:divBdr>
            <w:top w:val="none" w:sz="0" w:space="0" w:color="auto"/>
            <w:left w:val="none" w:sz="0" w:space="0" w:color="auto"/>
            <w:bottom w:val="none" w:sz="0" w:space="0" w:color="auto"/>
            <w:right w:val="none" w:sz="0" w:space="0" w:color="auto"/>
          </w:divBdr>
        </w:div>
        <w:div w:id="1943954494">
          <w:marLeft w:val="0"/>
          <w:marRight w:val="0"/>
          <w:marTop w:val="0"/>
          <w:marBottom w:val="0"/>
          <w:divBdr>
            <w:top w:val="none" w:sz="0" w:space="0" w:color="auto"/>
            <w:left w:val="none" w:sz="0" w:space="0" w:color="auto"/>
            <w:bottom w:val="none" w:sz="0" w:space="0" w:color="auto"/>
            <w:right w:val="none" w:sz="0" w:space="0" w:color="auto"/>
          </w:divBdr>
        </w:div>
      </w:divsChild>
    </w:div>
    <w:div w:id="1414012748">
      <w:bodyDiv w:val="1"/>
      <w:marLeft w:val="0"/>
      <w:marRight w:val="0"/>
      <w:marTop w:val="0"/>
      <w:marBottom w:val="0"/>
      <w:divBdr>
        <w:top w:val="none" w:sz="0" w:space="0" w:color="auto"/>
        <w:left w:val="none" w:sz="0" w:space="0" w:color="auto"/>
        <w:bottom w:val="none" w:sz="0" w:space="0" w:color="auto"/>
        <w:right w:val="none" w:sz="0" w:space="0" w:color="auto"/>
      </w:divBdr>
    </w:div>
    <w:div w:id="1416633511">
      <w:bodyDiv w:val="1"/>
      <w:marLeft w:val="0"/>
      <w:marRight w:val="0"/>
      <w:marTop w:val="0"/>
      <w:marBottom w:val="0"/>
      <w:divBdr>
        <w:top w:val="none" w:sz="0" w:space="0" w:color="auto"/>
        <w:left w:val="none" w:sz="0" w:space="0" w:color="auto"/>
        <w:bottom w:val="none" w:sz="0" w:space="0" w:color="auto"/>
        <w:right w:val="none" w:sz="0" w:space="0" w:color="auto"/>
      </w:divBdr>
    </w:div>
    <w:div w:id="1457722228">
      <w:bodyDiv w:val="1"/>
      <w:marLeft w:val="0"/>
      <w:marRight w:val="0"/>
      <w:marTop w:val="0"/>
      <w:marBottom w:val="0"/>
      <w:divBdr>
        <w:top w:val="none" w:sz="0" w:space="0" w:color="auto"/>
        <w:left w:val="none" w:sz="0" w:space="0" w:color="auto"/>
        <w:bottom w:val="none" w:sz="0" w:space="0" w:color="auto"/>
        <w:right w:val="none" w:sz="0" w:space="0" w:color="auto"/>
      </w:divBdr>
      <w:divsChild>
        <w:div w:id="268464293">
          <w:marLeft w:val="0"/>
          <w:marRight w:val="0"/>
          <w:marTop w:val="0"/>
          <w:marBottom w:val="0"/>
          <w:divBdr>
            <w:top w:val="none" w:sz="0" w:space="0" w:color="auto"/>
            <w:left w:val="none" w:sz="0" w:space="0" w:color="auto"/>
            <w:bottom w:val="none" w:sz="0" w:space="0" w:color="auto"/>
            <w:right w:val="none" w:sz="0" w:space="0" w:color="auto"/>
          </w:divBdr>
        </w:div>
        <w:div w:id="364133971">
          <w:marLeft w:val="0"/>
          <w:marRight w:val="0"/>
          <w:marTop w:val="0"/>
          <w:marBottom w:val="0"/>
          <w:divBdr>
            <w:top w:val="none" w:sz="0" w:space="0" w:color="auto"/>
            <w:left w:val="none" w:sz="0" w:space="0" w:color="auto"/>
            <w:bottom w:val="none" w:sz="0" w:space="0" w:color="auto"/>
            <w:right w:val="none" w:sz="0" w:space="0" w:color="auto"/>
          </w:divBdr>
        </w:div>
        <w:div w:id="529802705">
          <w:marLeft w:val="0"/>
          <w:marRight w:val="0"/>
          <w:marTop w:val="0"/>
          <w:marBottom w:val="0"/>
          <w:divBdr>
            <w:top w:val="none" w:sz="0" w:space="0" w:color="auto"/>
            <w:left w:val="none" w:sz="0" w:space="0" w:color="auto"/>
            <w:bottom w:val="none" w:sz="0" w:space="0" w:color="auto"/>
            <w:right w:val="none" w:sz="0" w:space="0" w:color="auto"/>
          </w:divBdr>
        </w:div>
        <w:div w:id="569383716">
          <w:marLeft w:val="0"/>
          <w:marRight w:val="0"/>
          <w:marTop w:val="0"/>
          <w:marBottom w:val="0"/>
          <w:divBdr>
            <w:top w:val="none" w:sz="0" w:space="0" w:color="auto"/>
            <w:left w:val="none" w:sz="0" w:space="0" w:color="auto"/>
            <w:bottom w:val="none" w:sz="0" w:space="0" w:color="auto"/>
            <w:right w:val="none" w:sz="0" w:space="0" w:color="auto"/>
          </w:divBdr>
        </w:div>
        <w:div w:id="751245337">
          <w:marLeft w:val="0"/>
          <w:marRight w:val="0"/>
          <w:marTop w:val="0"/>
          <w:marBottom w:val="0"/>
          <w:divBdr>
            <w:top w:val="none" w:sz="0" w:space="0" w:color="auto"/>
            <w:left w:val="none" w:sz="0" w:space="0" w:color="auto"/>
            <w:bottom w:val="none" w:sz="0" w:space="0" w:color="auto"/>
            <w:right w:val="none" w:sz="0" w:space="0" w:color="auto"/>
          </w:divBdr>
        </w:div>
        <w:div w:id="765885568">
          <w:marLeft w:val="0"/>
          <w:marRight w:val="0"/>
          <w:marTop w:val="0"/>
          <w:marBottom w:val="0"/>
          <w:divBdr>
            <w:top w:val="none" w:sz="0" w:space="0" w:color="auto"/>
            <w:left w:val="none" w:sz="0" w:space="0" w:color="auto"/>
            <w:bottom w:val="none" w:sz="0" w:space="0" w:color="auto"/>
            <w:right w:val="none" w:sz="0" w:space="0" w:color="auto"/>
          </w:divBdr>
        </w:div>
        <w:div w:id="1274367339">
          <w:marLeft w:val="0"/>
          <w:marRight w:val="0"/>
          <w:marTop w:val="0"/>
          <w:marBottom w:val="0"/>
          <w:divBdr>
            <w:top w:val="none" w:sz="0" w:space="0" w:color="auto"/>
            <w:left w:val="none" w:sz="0" w:space="0" w:color="auto"/>
            <w:bottom w:val="none" w:sz="0" w:space="0" w:color="auto"/>
            <w:right w:val="none" w:sz="0" w:space="0" w:color="auto"/>
          </w:divBdr>
        </w:div>
        <w:div w:id="1821192893">
          <w:marLeft w:val="0"/>
          <w:marRight w:val="0"/>
          <w:marTop w:val="0"/>
          <w:marBottom w:val="0"/>
          <w:divBdr>
            <w:top w:val="none" w:sz="0" w:space="0" w:color="auto"/>
            <w:left w:val="none" w:sz="0" w:space="0" w:color="auto"/>
            <w:bottom w:val="none" w:sz="0" w:space="0" w:color="auto"/>
            <w:right w:val="none" w:sz="0" w:space="0" w:color="auto"/>
          </w:divBdr>
        </w:div>
      </w:divsChild>
    </w:div>
    <w:div w:id="1476869901">
      <w:bodyDiv w:val="1"/>
      <w:marLeft w:val="0"/>
      <w:marRight w:val="0"/>
      <w:marTop w:val="0"/>
      <w:marBottom w:val="0"/>
      <w:divBdr>
        <w:top w:val="none" w:sz="0" w:space="0" w:color="auto"/>
        <w:left w:val="none" w:sz="0" w:space="0" w:color="auto"/>
        <w:bottom w:val="none" w:sz="0" w:space="0" w:color="auto"/>
        <w:right w:val="none" w:sz="0" w:space="0" w:color="auto"/>
      </w:divBdr>
      <w:divsChild>
        <w:div w:id="302007202">
          <w:marLeft w:val="0"/>
          <w:marRight w:val="0"/>
          <w:marTop w:val="0"/>
          <w:marBottom w:val="0"/>
          <w:divBdr>
            <w:top w:val="none" w:sz="0" w:space="0" w:color="auto"/>
            <w:left w:val="none" w:sz="0" w:space="0" w:color="auto"/>
            <w:bottom w:val="none" w:sz="0" w:space="0" w:color="auto"/>
            <w:right w:val="none" w:sz="0" w:space="0" w:color="auto"/>
          </w:divBdr>
        </w:div>
        <w:div w:id="600843519">
          <w:marLeft w:val="0"/>
          <w:marRight w:val="0"/>
          <w:marTop w:val="0"/>
          <w:marBottom w:val="0"/>
          <w:divBdr>
            <w:top w:val="none" w:sz="0" w:space="0" w:color="auto"/>
            <w:left w:val="none" w:sz="0" w:space="0" w:color="auto"/>
            <w:bottom w:val="none" w:sz="0" w:space="0" w:color="auto"/>
            <w:right w:val="none" w:sz="0" w:space="0" w:color="auto"/>
          </w:divBdr>
        </w:div>
        <w:div w:id="1211334367">
          <w:marLeft w:val="0"/>
          <w:marRight w:val="0"/>
          <w:marTop w:val="0"/>
          <w:marBottom w:val="0"/>
          <w:divBdr>
            <w:top w:val="none" w:sz="0" w:space="0" w:color="auto"/>
            <w:left w:val="none" w:sz="0" w:space="0" w:color="auto"/>
            <w:bottom w:val="none" w:sz="0" w:space="0" w:color="auto"/>
            <w:right w:val="none" w:sz="0" w:space="0" w:color="auto"/>
          </w:divBdr>
        </w:div>
        <w:div w:id="1298604395">
          <w:marLeft w:val="0"/>
          <w:marRight w:val="0"/>
          <w:marTop w:val="0"/>
          <w:marBottom w:val="0"/>
          <w:divBdr>
            <w:top w:val="none" w:sz="0" w:space="0" w:color="auto"/>
            <w:left w:val="none" w:sz="0" w:space="0" w:color="auto"/>
            <w:bottom w:val="none" w:sz="0" w:space="0" w:color="auto"/>
            <w:right w:val="none" w:sz="0" w:space="0" w:color="auto"/>
          </w:divBdr>
        </w:div>
        <w:div w:id="1348629449">
          <w:marLeft w:val="0"/>
          <w:marRight w:val="0"/>
          <w:marTop w:val="0"/>
          <w:marBottom w:val="0"/>
          <w:divBdr>
            <w:top w:val="none" w:sz="0" w:space="0" w:color="auto"/>
            <w:left w:val="none" w:sz="0" w:space="0" w:color="auto"/>
            <w:bottom w:val="none" w:sz="0" w:space="0" w:color="auto"/>
            <w:right w:val="none" w:sz="0" w:space="0" w:color="auto"/>
          </w:divBdr>
        </w:div>
        <w:div w:id="1675179968">
          <w:marLeft w:val="0"/>
          <w:marRight w:val="0"/>
          <w:marTop w:val="0"/>
          <w:marBottom w:val="0"/>
          <w:divBdr>
            <w:top w:val="none" w:sz="0" w:space="0" w:color="auto"/>
            <w:left w:val="none" w:sz="0" w:space="0" w:color="auto"/>
            <w:bottom w:val="none" w:sz="0" w:space="0" w:color="auto"/>
            <w:right w:val="none" w:sz="0" w:space="0" w:color="auto"/>
          </w:divBdr>
        </w:div>
        <w:div w:id="1692729360">
          <w:marLeft w:val="0"/>
          <w:marRight w:val="0"/>
          <w:marTop w:val="0"/>
          <w:marBottom w:val="0"/>
          <w:divBdr>
            <w:top w:val="none" w:sz="0" w:space="0" w:color="auto"/>
            <w:left w:val="none" w:sz="0" w:space="0" w:color="auto"/>
            <w:bottom w:val="none" w:sz="0" w:space="0" w:color="auto"/>
            <w:right w:val="none" w:sz="0" w:space="0" w:color="auto"/>
          </w:divBdr>
        </w:div>
        <w:div w:id="1721517440">
          <w:marLeft w:val="0"/>
          <w:marRight w:val="0"/>
          <w:marTop w:val="0"/>
          <w:marBottom w:val="0"/>
          <w:divBdr>
            <w:top w:val="none" w:sz="0" w:space="0" w:color="auto"/>
            <w:left w:val="none" w:sz="0" w:space="0" w:color="auto"/>
            <w:bottom w:val="none" w:sz="0" w:space="0" w:color="auto"/>
            <w:right w:val="none" w:sz="0" w:space="0" w:color="auto"/>
          </w:divBdr>
        </w:div>
      </w:divsChild>
    </w:div>
    <w:div w:id="1491752795">
      <w:bodyDiv w:val="1"/>
      <w:marLeft w:val="0"/>
      <w:marRight w:val="0"/>
      <w:marTop w:val="0"/>
      <w:marBottom w:val="0"/>
      <w:divBdr>
        <w:top w:val="none" w:sz="0" w:space="0" w:color="auto"/>
        <w:left w:val="none" w:sz="0" w:space="0" w:color="auto"/>
        <w:bottom w:val="none" w:sz="0" w:space="0" w:color="auto"/>
        <w:right w:val="none" w:sz="0" w:space="0" w:color="auto"/>
      </w:divBdr>
    </w:div>
    <w:div w:id="1533882894">
      <w:bodyDiv w:val="1"/>
      <w:marLeft w:val="0"/>
      <w:marRight w:val="0"/>
      <w:marTop w:val="0"/>
      <w:marBottom w:val="0"/>
      <w:divBdr>
        <w:top w:val="none" w:sz="0" w:space="0" w:color="auto"/>
        <w:left w:val="none" w:sz="0" w:space="0" w:color="auto"/>
        <w:bottom w:val="none" w:sz="0" w:space="0" w:color="auto"/>
        <w:right w:val="none" w:sz="0" w:space="0" w:color="auto"/>
      </w:divBdr>
      <w:divsChild>
        <w:div w:id="401954046">
          <w:marLeft w:val="0"/>
          <w:marRight w:val="0"/>
          <w:marTop w:val="0"/>
          <w:marBottom w:val="0"/>
          <w:divBdr>
            <w:top w:val="none" w:sz="0" w:space="0" w:color="auto"/>
            <w:left w:val="none" w:sz="0" w:space="0" w:color="auto"/>
            <w:bottom w:val="none" w:sz="0" w:space="0" w:color="auto"/>
            <w:right w:val="none" w:sz="0" w:space="0" w:color="auto"/>
          </w:divBdr>
        </w:div>
        <w:div w:id="705909658">
          <w:marLeft w:val="0"/>
          <w:marRight w:val="0"/>
          <w:marTop w:val="0"/>
          <w:marBottom w:val="0"/>
          <w:divBdr>
            <w:top w:val="none" w:sz="0" w:space="0" w:color="auto"/>
            <w:left w:val="none" w:sz="0" w:space="0" w:color="auto"/>
            <w:bottom w:val="none" w:sz="0" w:space="0" w:color="auto"/>
            <w:right w:val="none" w:sz="0" w:space="0" w:color="auto"/>
          </w:divBdr>
        </w:div>
        <w:div w:id="1044674302">
          <w:marLeft w:val="0"/>
          <w:marRight w:val="0"/>
          <w:marTop w:val="0"/>
          <w:marBottom w:val="0"/>
          <w:divBdr>
            <w:top w:val="none" w:sz="0" w:space="0" w:color="auto"/>
            <w:left w:val="none" w:sz="0" w:space="0" w:color="auto"/>
            <w:bottom w:val="none" w:sz="0" w:space="0" w:color="auto"/>
            <w:right w:val="none" w:sz="0" w:space="0" w:color="auto"/>
          </w:divBdr>
        </w:div>
      </w:divsChild>
    </w:div>
    <w:div w:id="1546134701">
      <w:bodyDiv w:val="1"/>
      <w:marLeft w:val="0"/>
      <w:marRight w:val="0"/>
      <w:marTop w:val="0"/>
      <w:marBottom w:val="0"/>
      <w:divBdr>
        <w:top w:val="none" w:sz="0" w:space="0" w:color="auto"/>
        <w:left w:val="none" w:sz="0" w:space="0" w:color="auto"/>
        <w:bottom w:val="none" w:sz="0" w:space="0" w:color="auto"/>
        <w:right w:val="none" w:sz="0" w:space="0" w:color="auto"/>
      </w:divBdr>
    </w:div>
    <w:div w:id="1587570970">
      <w:bodyDiv w:val="1"/>
      <w:marLeft w:val="0"/>
      <w:marRight w:val="0"/>
      <w:marTop w:val="0"/>
      <w:marBottom w:val="0"/>
      <w:divBdr>
        <w:top w:val="none" w:sz="0" w:space="0" w:color="auto"/>
        <w:left w:val="none" w:sz="0" w:space="0" w:color="auto"/>
        <w:bottom w:val="none" w:sz="0" w:space="0" w:color="auto"/>
        <w:right w:val="none" w:sz="0" w:space="0" w:color="auto"/>
      </w:divBdr>
    </w:div>
    <w:div w:id="1596284448">
      <w:bodyDiv w:val="1"/>
      <w:marLeft w:val="0"/>
      <w:marRight w:val="0"/>
      <w:marTop w:val="0"/>
      <w:marBottom w:val="0"/>
      <w:divBdr>
        <w:top w:val="none" w:sz="0" w:space="0" w:color="auto"/>
        <w:left w:val="none" w:sz="0" w:space="0" w:color="auto"/>
        <w:bottom w:val="none" w:sz="0" w:space="0" w:color="auto"/>
        <w:right w:val="none" w:sz="0" w:space="0" w:color="auto"/>
      </w:divBdr>
    </w:div>
    <w:div w:id="1625384654">
      <w:bodyDiv w:val="1"/>
      <w:marLeft w:val="0"/>
      <w:marRight w:val="0"/>
      <w:marTop w:val="0"/>
      <w:marBottom w:val="0"/>
      <w:divBdr>
        <w:top w:val="none" w:sz="0" w:space="0" w:color="auto"/>
        <w:left w:val="none" w:sz="0" w:space="0" w:color="auto"/>
        <w:bottom w:val="none" w:sz="0" w:space="0" w:color="auto"/>
        <w:right w:val="none" w:sz="0" w:space="0" w:color="auto"/>
      </w:divBdr>
    </w:div>
    <w:div w:id="1630628218">
      <w:bodyDiv w:val="1"/>
      <w:marLeft w:val="0"/>
      <w:marRight w:val="0"/>
      <w:marTop w:val="0"/>
      <w:marBottom w:val="0"/>
      <w:divBdr>
        <w:top w:val="none" w:sz="0" w:space="0" w:color="auto"/>
        <w:left w:val="none" w:sz="0" w:space="0" w:color="auto"/>
        <w:bottom w:val="none" w:sz="0" w:space="0" w:color="auto"/>
        <w:right w:val="none" w:sz="0" w:space="0" w:color="auto"/>
      </w:divBdr>
    </w:div>
    <w:div w:id="1640837547">
      <w:bodyDiv w:val="1"/>
      <w:marLeft w:val="0"/>
      <w:marRight w:val="0"/>
      <w:marTop w:val="0"/>
      <w:marBottom w:val="0"/>
      <w:divBdr>
        <w:top w:val="none" w:sz="0" w:space="0" w:color="auto"/>
        <w:left w:val="none" w:sz="0" w:space="0" w:color="auto"/>
        <w:bottom w:val="none" w:sz="0" w:space="0" w:color="auto"/>
        <w:right w:val="none" w:sz="0" w:space="0" w:color="auto"/>
      </w:divBdr>
    </w:div>
    <w:div w:id="1651981870">
      <w:bodyDiv w:val="1"/>
      <w:marLeft w:val="0"/>
      <w:marRight w:val="0"/>
      <w:marTop w:val="0"/>
      <w:marBottom w:val="0"/>
      <w:divBdr>
        <w:top w:val="none" w:sz="0" w:space="0" w:color="auto"/>
        <w:left w:val="none" w:sz="0" w:space="0" w:color="auto"/>
        <w:bottom w:val="none" w:sz="0" w:space="0" w:color="auto"/>
        <w:right w:val="none" w:sz="0" w:space="0" w:color="auto"/>
      </w:divBdr>
    </w:div>
    <w:div w:id="1684090143">
      <w:bodyDiv w:val="1"/>
      <w:marLeft w:val="0"/>
      <w:marRight w:val="0"/>
      <w:marTop w:val="0"/>
      <w:marBottom w:val="0"/>
      <w:divBdr>
        <w:top w:val="none" w:sz="0" w:space="0" w:color="auto"/>
        <w:left w:val="none" w:sz="0" w:space="0" w:color="auto"/>
        <w:bottom w:val="none" w:sz="0" w:space="0" w:color="auto"/>
        <w:right w:val="none" w:sz="0" w:space="0" w:color="auto"/>
      </w:divBdr>
    </w:div>
    <w:div w:id="1769615374">
      <w:bodyDiv w:val="1"/>
      <w:marLeft w:val="0"/>
      <w:marRight w:val="0"/>
      <w:marTop w:val="0"/>
      <w:marBottom w:val="0"/>
      <w:divBdr>
        <w:top w:val="none" w:sz="0" w:space="0" w:color="auto"/>
        <w:left w:val="none" w:sz="0" w:space="0" w:color="auto"/>
        <w:bottom w:val="none" w:sz="0" w:space="0" w:color="auto"/>
        <w:right w:val="none" w:sz="0" w:space="0" w:color="auto"/>
      </w:divBdr>
    </w:div>
    <w:div w:id="1770849500">
      <w:bodyDiv w:val="1"/>
      <w:marLeft w:val="0"/>
      <w:marRight w:val="0"/>
      <w:marTop w:val="0"/>
      <w:marBottom w:val="0"/>
      <w:divBdr>
        <w:top w:val="none" w:sz="0" w:space="0" w:color="auto"/>
        <w:left w:val="none" w:sz="0" w:space="0" w:color="auto"/>
        <w:bottom w:val="none" w:sz="0" w:space="0" w:color="auto"/>
        <w:right w:val="none" w:sz="0" w:space="0" w:color="auto"/>
      </w:divBdr>
    </w:div>
    <w:div w:id="1775519635">
      <w:bodyDiv w:val="1"/>
      <w:marLeft w:val="0"/>
      <w:marRight w:val="0"/>
      <w:marTop w:val="0"/>
      <w:marBottom w:val="0"/>
      <w:divBdr>
        <w:top w:val="none" w:sz="0" w:space="0" w:color="auto"/>
        <w:left w:val="none" w:sz="0" w:space="0" w:color="auto"/>
        <w:bottom w:val="none" w:sz="0" w:space="0" w:color="auto"/>
        <w:right w:val="none" w:sz="0" w:space="0" w:color="auto"/>
      </w:divBdr>
    </w:div>
    <w:div w:id="1779372074">
      <w:bodyDiv w:val="1"/>
      <w:marLeft w:val="0"/>
      <w:marRight w:val="0"/>
      <w:marTop w:val="0"/>
      <w:marBottom w:val="0"/>
      <w:divBdr>
        <w:top w:val="none" w:sz="0" w:space="0" w:color="auto"/>
        <w:left w:val="none" w:sz="0" w:space="0" w:color="auto"/>
        <w:bottom w:val="none" w:sz="0" w:space="0" w:color="auto"/>
        <w:right w:val="none" w:sz="0" w:space="0" w:color="auto"/>
      </w:divBdr>
    </w:div>
    <w:div w:id="1779565954">
      <w:bodyDiv w:val="1"/>
      <w:marLeft w:val="0"/>
      <w:marRight w:val="0"/>
      <w:marTop w:val="0"/>
      <w:marBottom w:val="0"/>
      <w:divBdr>
        <w:top w:val="none" w:sz="0" w:space="0" w:color="auto"/>
        <w:left w:val="none" w:sz="0" w:space="0" w:color="auto"/>
        <w:bottom w:val="none" w:sz="0" w:space="0" w:color="auto"/>
        <w:right w:val="none" w:sz="0" w:space="0" w:color="auto"/>
      </w:divBdr>
    </w:div>
    <w:div w:id="1830822714">
      <w:bodyDiv w:val="1"/>
      <w:marLeft w:val="0"/>
      <w:marRight w:val="0"/>
      <w:marTop w:val="0"/>
      <w:marBottom w:val="0"/>
      <w:divBdr>
        <w:top w:val="none" w:sz="0" w:space="0" w:color="auto"/>
        <w:left w:val="none" w:sz="0" w:space="0" w:color="auto"/>
        <w:bottom w:val="none" w:sz="0" w:space="0" w:color="auto"/>
        <w:right w:val="none" w:sz="0" w:space="0" w:color="auto"/>
      </w:divBdr>
      <w:divsChild>
        <w:div w:id="2110812708">
          <w:marLeft w:val="0"/>
          <w:marRight w:val="0"/>
          <w:marTop w:val="0"/>
          <w:marBottom w:val="0"/>
          <w:divBdr>
            <w:top w:val="none" w:sz="0" w:space="0" w:color="auto"/>
            <w:left w:val="none" w:sz="0" w:space="0" w:color="auto"/>
            <w:bottom w:val="none" w:sz="0" w:space="0" w:color="auto"/>
            <w:right w:val="none" w:sz="0" w:space="0" w:color="auto"/>
          </w:divBdr>
        </w:div>
      </w:divsChild>
    </w:div>
    <w:div w:id="1871604777">
      <w:bodyDiv w:val="1"/>
      <w:marLeft w:val="0"/>
      <w:marRight w:val="0"/>
      <w:marTop w:val="0"/>
      <w:marBottom w:val="0"/>
      <w:divBdr>
        <w:top w:val="none" w:sz="0" w:space="0" w:color="auto"/>
        <w:left w:val="none" w:sz="0" w:space="0" w:color="auto"/>
        <w:bottom w:val="none" w:sz="0" w:space="0" w:color="auto"/>
        <w:right w:val="none" w:sz="0" w:space="0" w:color="auto"/>
      </w:divBdr>
    </w:div>
    <w:div w:id="1894657177">
      <w:bodyDiv w:val="1"/>
      <w:marLeft w:val="0"/>
      <w:marRight w:val="0"/>
      <w:marTop w:val="0"/>
      <w:marBottom w:val="0"/>
      <w:divBdr>
        <w:top w:val="none" w:sz="0" w:space="0" w:color="auto"/>
        <w:left w:val="none" w:sz="0" w:space="0" w:color="auto"/>
        <w:bottom w:val="none" w:sz="0" w:space="0" w:color="auto"/>
        <w:right w:val="none" w:sz="0" w:space="0" w:color="auto"/>
      </w:divBdr>
    </w:div>
    <w:div w:id="206845494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11852648">
      <w:bodyDiv w:val="1"/>
      <w:marLeft w:val="0"/>
      <w:marRight w:val="0"/>
      <w:marTop w:val="0"/>
      <w:marBottom w:val="0"/>
      <w:divBdr>
        <w:top w:val="none" w:sz="0" w:space="0" w:color="auto"/>
        <w:left w:val="none" w:sz="0" w:space="0" w:color="auto"/>
        <w:bottom w:val="none" w:sz="0" w:space="0" w:color="auto"/>
        <w:right w:val="none" w:sz="0" w:space="0" w:color="auto"/>
      </w:divBdr>
    </w:div>
    <w:div w:id="2115707148">
      <w:bodyDiv w:val="1"/>
      <w:marLeft w:val="0"/>
      <w:marRight w:val="0"/>
      <w:marTop w:val="0"/>
      <w:marBottom w:val="0"/>
      <w:divBdr>
        <w:top w:val="none" w:sz="0" w:space="0" w:color="auto"/>
        <w:left w:val="none" w:sz="0" w:space="0" w:color="auto"/>
        <w:bottom w:val="none" w:sz="0" w:space="0" w:color="auto"/>
        <w:right w:val="none" w:sz="0" w:space="0" w:color="auto"/>
      </w:divBdr>
    </w:div>
    <w:div w:id="21291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29450494/"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reast-cancer-research.biomedcentral.com/articles/10.1186/bcr3642" TargetMode="External"/><Relationship Id="rId17" Type="http://schemas.openxmlformats.org/officeDocument/2006/relationships/hyperlink" Target="https://ascopubs.org/doi/abs/10.1200/JCO.2021.39.15_suppl.537" TargetMode="External"/><Relationship Id="rId2" Type="http://schemas.openxmlformats.org/officeDocument/2006/relationships/numbering" Target="numbering.xml"/><Relationship Id="rId16" Type="http://schemas.openxmlformats.org/officeDocument/2006/relationships/hyperlink" Target="https://link.springer.com/article/10.1007/s10549-021-0645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923753419371200" TargetMode="External"/><Relationship Id="rId5" Type="http://schemas.openxmlformats.org/officeDocument/2006/relationships/webSettings" Target="webSettings.xml"/><Relationship Id="rId15" Type="http://schemas.openxmlformats.org/officeDocument/2006/relationships/hyperlink" Target="https://clincancerres.aacrjournals.org/content/25/13/3865" TargetMode="External"/><Relationship Id="rId10" Type="http://schemas.openxmlformats.org/officeDocument/2006/relationships/hyperlink" Target="https://clincancerres.aacrjournals.org/content/17/18/6012.lo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ubmed.ncbi.nlm.nih.gov/31041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6182</Words>
  <Characters>35242</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41342</CharactersWithSpaces>
  <SharedDoc>false</SharedDoc>
  <HLinks>
    <vt:vector size="78" baseType="variant">
      <vt:variant>
        <vt:i4>720902</vt:i4>
      </vt:variant>
      <vt:variant>
        <vt:i4>219</vt:i4>
      </vt:variant>
      <vt:variant>
        <vt:i4>0</vt:i4>
      </vt:variant>
      <vt:variant>
        <vt:i4>5</vt:i4>
      </vt:variant>
      <vt:variant>
        <vt:lpwstr>https://clincancerres.aacrjournals.org/content/25/13/3865</vt:lpwstr>
      </vt:variant>
      <vt:variant>
        <vt:lpwstr/>
      </vt:variant>
      <vt:variant>
        <vt:i4>655373</vt:i4>
      </vt:variant>
      <vt:variant>
        <vt:i4>216</vt:i4>
      </vt:variant>
      <vt:variant>
        <vt:i4>0</vt:i4>
      </vt:variant>
      <vt:variant>
        <vt:i4>5</vt:i4>
      </vt:variant>
      <vt:variant>
        <vt:lpwstr>https://pubmed.ncbi.nlm.nih.gov/31041683/</vt:lpwstr>
      </vt:variant>
      <vt:variant>
        <vt:lpwstr/>
      </vt:variant>
      <vt:variant>
        <vt:i4>393224</vt:i4>
      </vt:variant>
      <vt:variant>
        <vt:i4>213</vt:i4>
      </vt:variant>
      <vt:variant>
        <vt:i4>0</vt:i4>
      </vt:variant>
      <vt:variant>
        <vt:i4>5</vt:i4>
      </vt:variant>
      <vt:variant>
        <vt:lpwstr>https://pubmed.ncbi.nlm.nih.gov/29450494/</vt:lpwstr>
      </vt:variant>
      <vt:variant>
        <vt:lpwstr/>
      </vt:variant>
      <vt:variant>
        <vt:i4>4915291</vt:i4>
      </vt:variant>
      <vt:variant>
        <vt:i4>210</vt:i4>
      </vt:variant>
      <vt:variant>
        <vt:i4>0</vt:i4>
      </vt:variant>
      <vt:variant>
        <vt:i4>5</vt:i4>
      </vt:variant>
      <vt:variant>
        <vt:lpwstr>https://onlinelibrary.wiley.com/doi/10.1002/pon.4664</vt:lpwstr>
      </vt:variant>
      <vt:variant>
        <vt:lpwstr/>
      </vt:variant>
      <vt:variant>
        <vt:i4>589829</vt:i4>
      </vt:variant>
      <vt:variant>
        <vt:i4>207</vt:i4>
      </vt:variant>
      <vt:variant>
        <vt:i4>0</vt:i4>
      </vt:variant>
      <vt:variant>
        <vt:i4>5</vt:i4>
      </vt:variant>
      <vt:variant>
        <vt:lpwstr>https://pubmed.ncbi.nlm.nih.gov/29187466/</vt:lpwstr>
      </vt:variant>
      <vt:variant>
        <vt:lpwstr/>
      </vt:variant>
      <vt:variant>
        <vt:i4>1179648</vt:i4>
      </vt:variant>
      <vt:variant>
        <vt:i4>204</vt:i4>
      </vt:variant>
      <vt:variant>
        <vt:i4>0</vt:i4>
      </vt:variant>
      <vt:variant>
        <vt:i4>5</vt:i4>
      </vt:variant>
      <vt:variant>
        <vt:lpwstr>https://breast-cancer-research.biomedcentral.com/articles/10.1186/bcr3642</vt:lpwstr>
      </vt:variant>
      <vt:variant>
        <vt:lpwstr/>
      </vt:variant>
      <vt:variant>
        <vt:i4>6619255</vt:i4>
      </vt:variant>
      <vt:variant>
        <vt:i4>201</vt:i4>
      </vt:variant>
      <vt:variant>
        <vt:i4>0</vt:i4>
      </vt:variant>
      <vt:variant>
        <vt:i4>5</vt:i4>
      </vt:variant>
      <vt:variant>
        <vt:lpwstr>https://www.nature.com/articles/bjc2013671</vt:lpwstr>
      </vt:variant>
      <vt:variant>
        <vt:lpwstr/>
      </vt:variant>
      <vt:variant>
        <vt:i4>852035</vt:i4>
      </vt:variant>
      <vt:variant>
        <vt:i4>198</vt:i4>
      </vt:variant>
      <vt:variant>
        <vt:i4>0</vt:i4>
      </vt:variant>
      <vt:variant>
        <vt:i4>5</vt:i4>
      </vt:variant>
      <vt:variant>
        <vt:lpwstr>https://journals.plos.org/plosone/article?id=10.1371/journal.pone.0068252</vt:lpwstr>
      </vt:variant>
      <vt:variant>
        <vt:lpwstr/>
      </vt:variant>
      <vt:variant>
        <vt:i4>6750328</vt:i4>
      </vt:variant>
      <vt:variant>
        <vt:i4>195</vt:i4>
      </vt:variant>
      <vt:variant>
        <vt:i4>0</vt:i4>
      </vt:variant>
      <vt:variant>
        <vt:i4>5</vt:i4>
      </vt:variant>
      <vt:variant>
        <vt:lpwstr>https://www.sciencedirect.com/science/article/pii/S0923753419371200</vt:lpwstr>
      </vt:variant>
      <vt:variant>
        <vt:lpwstr/>
      </vt:variant>
      <vt:variant>
        <vt:i4>5832770</vt:i4>
      </vt:variant>
      <vt:variant>
        <vt:i4>192</vt:i4>
      </vt:variant>
      <vt:variant>
        <vt:i4>0</vt:i4>
      </vt:variant>
      <vt:variant>
        <vt:i4>5</vt:i4>
      </vt:variant>
      <vt:variant>
        <vt:lpwstr>https://bmccancer.biomedcentral.com/articles/10.1186/1471-2407-12-456</vt:lpwstr>
      </vt:variant>
      <vt:variant>
        <vt:lpwstr/>
      </vt:variant>
      <vt:variant>
        <vt:i4>2293795</vt:i4>
      </vt:variant>
      <vt:variant>
        <vt:i4>189</vt:i4>
      </vt:variant>
      <vt:variant>
        <vt:i4>0</vt:i4>
      </vt:variant>
      <vt:variant>
        <vt:i4>5</vt:i4>
      </vt:variant>
      <vt:variant>
        <vt:lpwstr>https://link.springer.com/article/10.1007/s00428-012-1204-4</vt:lpwstr>
      </vt:variant>
      <vt:variant>
        <vt:lpwstr/>
      </vt:variant>
      <vt:variant>
        <vt:i4>2555964</vt:i4>
      </vt:variant>
      <vt:variant>
        <vt:i4>186</vt:i4>
      </vt:variant>
      <vt:variant>
        <vt:i4>0</vt:i4>
      </vt:variant>
      <vt:variant>
        <vt:i4>5</vt:i4>
      </vt:variant>
      <vt:variant>
        <vt:lpwstr>https://clincancerres.aacrjournals.org/content/17/18/6012.long</vt:lpwstr>
      </vt:variant>
      <vt:variant>
        <vt:lpwstr/>
      </vt:variant>
      <vt:variant>
        <vt:i4>3473410</vt:i4>
      </vt:variant>
      <vt:variant>
        <vt:i4>0</vt:i4>
      </vt:variant>
      <vt:variant>
        <vt:i4>0</vt:i4>
      </vt:variant>
      <vt:variant>
        <vt:i4>5</vt:i4>
      </vt:variant>
      <vt:variant>
        <vt:lpwstr>mailto:bhowe@myriad.com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Department of Health</cp:lastModifiedBy>
  <cp:revision>2</cp:revision>
  <cp:lastPrinted>2021-11-14T09:18:00Z</cp:lastPrinted>
  <dcterms:created xsi:type="dcterms:W3CDTF">2022-02-18T02:04:00Z</dcterms:created>
  <dcterms:modified xsi:type="dcterms:W3CDTF">2022-02-18T02:04:00Z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