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EA26B"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6DE2BCD0" wp14:editId="2E726E1A">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A79A26A"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4758712F" w14:textId="77777777" w:rsidR="00BC1364" w:rsidRPr="00F715D1" w:rsidRDefault="00BC1364" w:rsidP="00F715D1">
      <w:pPr>
        <w:pStyle w:val="Subtitle"/>
      </w:pPr>
      <w:r w:rsidRPr="00F715D1">
        <w:t xml:space="preserve">Application No. </w:t>
      </w:r>
      <w:r w:rsidR="00FE4383" w:rsidRPr="00625EC8">
        <w:rPr>
          <w:szCs w:val="24"/>
        </w:rPr>
        <w:t>1615 –Transcatheter occlusion of the left atrial appendage for patients with non-valvular atrial fibrillation</w:t>
      </w:r>
    </w:p>
    <w:p w14:paraId="26FAE627" w14:textId="5AA42BCB" w:rsidR="00BC1364" w:rsidRPr="00F715D1" w:rsidRDefault="00B35595" w:rsidP="00EB1948">
      <w:pPr>
        <w:tabs>
          <w:tab w:val="left" w:pos="2694"/>
          <w:tab w:val="left" w:pos="3686"/>
        </w:tabs>
        <w:spacing w:after="240"/>
        <w:ind w:left="3686" w:hanging="3686"/>
        <w:rPr>
          <w:rFonts w:ascii="Arial" w:hAnsi="Arial" w:cs="Arial"/>
          <w:b/>
          <w:szCs w:val="24"/>
        </w:rPr>
      </w:pPr>
      <w:r w:rsidRPr="00F715D1">
        <w:rPr>
          <w:rFonts w:ascii="Arial" w:hAnsi="Arial" w:cs="Arial"/>
          <w:b/>
          <w:szCs w:val="24"/>
        </w:rPr>
        <w:t>Applicant</w:t>
      </w:r>
      <w:r w:rsidR="008D1722">
        <w:rPr>
          <w:rFonts w:ascii="Arial" w:hAnsi="Arial" w:cs="Arial"/>
          <w:b/>
          <w:szCs w:val="24"/>
        </w:rPr>
        <w:t>:</w:t>
      </w:r>
      <w:r w:rsidR="008D1722">
        <w:rPr>
          <w:rFonts w:ascii="Arial" w:hAnsi="Arial" w:cs="Arial"/>
          <w:b/>
          <w:szCs w:val="24"/>
        </w:rPr>
        <w:tab/>
      </w:r>
      <w:r w:rsidR="0022043C">
        <w:rPr>
          <w:rFonts w:ascii="Arial" w:hAnsi="Arial" w:cs="Arial"/>
          <w:b/>
          <w:szCs w:val="24"/>
        </w:rPr>
        <w:tab/>
      </w:r>
      <w:r w:rsidR="00FE4383" w:rsidRPr="00FE4383">
        <w:rPr>
          <w:rFonts w:ascii="Arial" w:hAnsi="Arial" w:cs="Arial"/>
          <w:b/>
          <w:szCs w:val="24"/>
        </w:rPr>
        <w:t xml:space="preserve">Abbott </w:t>
      </w:r>
      <w:r w:rsidR="00B51FB4">
        <w:rPr>
          <w:rFonts w:ascii="Arial" w:hAnsi="Arial" w:cs="Arial"/>
          <w:b/>
          <w:szCs w:val="24"/>
        </w:rPr>
        <w:t xml:space="preserve">Australasia Pty Ltd </w:t>
      </w:r>
      <w:r w:rsidR="00FE4383" w:rsidRPr="00FE4383">
        <w:rPr>
          <w:rFonts w:ascii="Arial" w:hAnsi="Arial" w:cs="Arial"/>
          <w:b/>
          <w:szCs w:val="24"/>
        </w:rPr>
        <w:t>and Boston Scientific</w:t>
      </w:r>
      <w:r w:rsidR="00B51FB4">
        <w:rPr>
          <w:rFonts w:ascii="Arial" w:hAnsi="Arial" w:cs="Arial"/>
          <w:b/>
          <w:szCs w:val="24"/>
        </w:rPr>
        <w:t xml:space="preserve"> Pty Ltd</w:t>
      </w:r>
    </w:p>
    <w:p w14:paraId="025C23FD"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4A4D40" w:rsidRPr="00F715D1">
        <w:rPr>
          <w:rFonts w:ascii="Arial" w:hAnsi="Arial" w:cs="Arial"/>
          <w:b/>
          <w:szCs w:val="24"/>
        </w:rPr>
        <w:t xml:space="preserve">MSAC </w:t>
      </w:r>
      <w:r w:rsidR="004A4D40">
        <w:rPr>
          <w:rFonts w:ascii="Arial" w:hAnsi="Arial" w:cs="Arial"/>
          <w:b/>
          <w:szCs w:val="24"/>
        </w:rPr>
        <w:t>81</w:t>
      </w:r>
      <w:r w:rsidR="004A4D40">
        <w:rPr>
          <w:rFonts w:ascii="Arial" w:hAnsi="Arial" w:cs="Arial"/>
          <w:b/>
          <w:szCs w:val="24"/>
          <w:vertAlign w:val="superscript"/>
        </w:rPr>
        <w:t>st</w:t>
      </w:r>
      <w:r w:rsidR="004A4D40" w:rsidRPr="00F715D1">
        <w:rPr>
          <w:rFonts w:ascii="Arial" w:hAnsi="Arial" w:cs="Arial"/>
          <w:b/>
          <w:szCs w:val="24"/>
        </w:rPr>
        <w:t xml:space="preserve"> Meeting, </w:t>
      </w:r>
      <w:r w:rsidR="004A4D40">
        <w:rPr>
          <w:rFonts w:ascii="Arial" w:hAnsi="Arial" w:cs="Arial"/>
          <w:b/>
          <w:szCs w:val="24"/>
        </w:rPr>
        <w:t>31 March – 1 April 2021</w:t>
      </w:r>
    </w:p>
    <w:p w14:paraId="23DD4EC5"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7C239556" w14:textId="77777777" w:rsidR="003D7F29" w:rsidRPr="00F715D1" w:rsidRDefault="003D7F29" w:rsidP="00F715D1">
      <w:pPr>
        <w:pStyle w:val="Heading1"/>
      </w:pPr>
      <w:r w:rsidRPr="00F715D1">
        <w:t>Purpose of application</w:t>
      </w:r>
      <w:r w:rsidR="00822C7E" w:rsidRPr="00F715D1">
        <w:t xml:space="preserve"> </w:t>
      </w:r>
    </w:p>
    <w:p w14:paraId="7C24F6CE" w14:textId="3A299F12" w:rsidR="00AC1DAF" w:rsidRDefault="00AC1DAF" w:rsidP="00AC1DAF">
      <w:r>
        <w:t xml:space="preserve">An application requesting amendment of Medicare Benefits Schedule (MBS) item </w:t>
      </w:r>
      <w:r w:rsidRPr="000E0BFD">
        <w:t>38276</w:t>
      </w:r>
      <w:r>
        <w:t xml:space="preserve"> for </w:t>
      </w:r>
      <w:r w:rsidRPr="000E0BFD">
        <w:t>transcatheter occlusion of the left atrial appendage for patients with non-valvular atrial fibrillation (NVAF</w:t>
      </w:r>
      <w:r>
        <w:t>)</w:t>
      </w:r>
      <w:r w:rsidRPr="000E0BFD">
        <w:t xml:space="preserve"> </w:t>
      </w:r>
      <w:r>
        <w:t>was received from Boston Scientific Pty Ltd and Abbott Australasia Pty</w:t>
      </w:r>
      <w:r w:rsidR="000315F9">
        <w:t> </w:t>
      </w:r>
      <w:r>
        <w:t>Ltd by the Department of Health.</w:t>
      </w:r>
    </w:p>
    <w:p w14:paraId="311D32B3" w14:textId="77777777" w:rsidR="00E977EE" w:rsidRPr="00F715D1" w:rsidRDefault="00E977EE" w:rsidP="00F715D1">
      <w:pPr>
        <w:pStyle w:val="Heading1"/>
      </w:pPr>
      <w:r w:rsidRPr="00F715D1">
        <w:t>MSAC’s advice to the Minister</w:t>
      </w:r>
    </w:p>
    <w:p w14:paraId="2407A915" w14:textId="58DFE982" w:rsidR="00744AB5" w:rsidRDefault="00744AB5" w:rsidP="00CA3B53">
      <w:pPr>
        <w:spacing w:after="240"/>
        <w:rPr>
          <w:color w:val="000000"/>
        </w:rPr>
      </w:pPr>
      <w:r w:rsidRPr="00CA3B53">
        <w:rPr>
          <w:color w:val="000000"/>
        </w:rPr>
        <w:t>After considering the strength of the available evidence in relation to comparative safety, clinical effectiveness and cost-effectiveness, MSAC supported amendment of MBS item 38276 to expand the list of absolute contraindications to oral anticoagulation therapy (Population 1). MSAC advised that the MBS item should require formal documentation of the absolute contraindication by an independent specialist</w:t>
      </w:r>
      <w:r w:rsidR="009C4DE5">
        <w:rPr>
          <w:color w:val="000000"/>
        </w:rPr>
        <w:t>/medical practitioner</w:t>
      </w:r>
      <w:r w:rsidRPr="00CA3B53">
        <w:rPr>
          <w:color w:val="000000"/>
        </w:rPr>
        <w:t xml:space="preserve"> and recommended utilisation of this item be monitored to inform a review 2 years after this amendment is implemented.</w:t>
      </w:r>
    </w:p>
    <w:p w14:paraId="210E0469" w14:textId="1FB6968C" w:rsidR="00622B5C" w:rsidRPr="00CA3B53" w:rsidRDefault="00622B5C" w:rsidP="00CA3B53">
      <w:pPr>
        <w:spacing w:after="240"/>
        <w:rPr>
          <w:color w:val="000000"/>
        </w:rPr>
      </w:pPr>
      <w:r>
        <w:rPr>
          <w:color w:val="000000"/>
        </w:rPr>
        <w:t>The MSAC supported descriptor is below.</w:t>
      </w:r>
    </w:p>
    <w:p w14:paraId="20979A37" w14:textId="4E10F2A5" w:rsidR="00622B5C" w:rsidRDefault="00744AB5" w:rsidP="00A31BEB">
      <w:pPr>
        <w:spacing w:after="240"/>
        <w:rPr>
          <w:color w:val="000000"/>
        </w:rPr>
      </w:pPr>
      <w:r w:rsidRPr="00CA3B53">
        <w:rPr>
          <w:color w:val="000000"/>
        </w:rPr>
        <w:t xml:space="preserve">After considering the strength of the available evidence in relation to comparative safety, clinical effectiveness and cost-effectiveness, MSAC did not support amendment of MBS item 38276 to include relative contraindications to </w:t>
      </w:r>
      <w:r w:rsidR="009B2E38" w:rsidRPr="00CA3B53">
        <w:rPr>
          <w:color w:val="000000"/>
        </w:rPr>
        <w:t>oral anticoagulation therapy</w:t>
      </w:r>
      <w:r w:rsidRPr="00CA3B53">
        <w:rPr>
          <w:color w:val="000000"/>
        </w:rPr>
        <w:t xml:space="preserve"> (Population 2). MSAC considered that the evidence did not demonstrate comparative safety and clinical effectiveness of left atrial appendage closure for stroke prevention in this population where there is an effective alternative treatment option.</w:t>
      </w:r>
      <w:r w:rsidR="00622B5C">
        <w:rPr>
          <w:color w:val="000000"/>
        </w:rPr>
        <w:br w:type="page"/>
      </w:r>
    </w:p>
    <w:tbl>
      <w:tblPr>
        <w:tblStyle w:val="OPTUMTableNormal"/>
        <w:tblW w:w="9024" w:type="dxa"/>
        <w:tblLook w:val="04A0" w:firstRow="1" w:lastRow="0" w:firstColumn="1" w:lastColumn="0" w:noHBand="0" w:noVBand="1"/>
        <w:tblDescription w:val="MSAC supported descriptor "/>
      </w:tblPr>
      <w:tblGrid>
        <w:gridCol w:w="9024"/>
      </w:tblGrid>
      <w:tr w:rsidR="002B3D18" w14:paraId="513CD9EB" w14:textId="77777777" w:rsidTr="00511ED5">
        <w:trPr>
          <w:cnfStyle w:val="100000000000" w:firstRow="1" w:lastRow="0" w:firstColumn="0" w:lastColumn="0" w:oddVBand="0" w:evenVBand="0" w:oddHBand="0" w:evenHBand="0" w:firstRowFirstColumn="0" w:firstRowLastColumn="0" w:lastRowFirstColumn="0" w:lastRowLastColumn="0"/>
          <w:tblHeader/>
        </w:trPr>
        <w:tc>
          <w:tcPr>
            <w:tcW w:w="9024" w:type="dxa"/>
            <w:hideMark/>
          </w:tcPr>
          <w:p w14:paraId="4867CD54" w14:textId="77777777" w:rsidR="002B3D18" w:rsidRDefault="002B3D18" w:rsidP="00CD092D">
            <w:pPr>
              <w:pStyle w:val="Tabletext"/>
              <w:spacing w:line="252" w:lineRule="auto"/>
              <w:rPr>
                <w:sz w:val="22"/>
                <w:szCs w:val="22"/>
              </w:rPr>
            </w:pPr>
            <w:r>
              <w:lastRenderedPageBreak/>
              <w:t>Category 3 – Therapeutic procedures</w:t>
            </w:r>
          </w:p>
        </w:tc>
      </w:tr>
      <w:tr w:rsidR="002B3D18" w14:paraId="31629288" w14:textId="77777777" w:rsidTr="00511ED5">
        <w:tc>
          <w:tcPr>
            <w:tcW w:w="9024" w:type="dxa"/>
          </w:tcPr>
          <w:p w14:paraId="2680F460" w14:textId="77777777" w:rsidR="002B3D18" w:rsidRPr="00E619B2" w:rsidRDefault="002B3D18" w:rsidP="00CD092D">
            <w:pPr>
              <w:pStyle w:val="Tabletext"/>
              <w:spacing w:line="252" w:lineRule="auto"/>
              <w:rPr>
                <w:szCs w:val="20"/>
                <w:lang w:eastAsia="en-AU"/>
              </w:rPr>
            </w:pPr>
            <w:r w:rsidRPr="00E619B2">
              <w:rPr>
                <w:szCs w:val="20"/>
              </w:rPr>
              <w:t>MBS item 38276</w:t>
            </w:r>
          </w:p>
          <w:p w14:paraId="3C2BBED9" w14:textId="77777777" w:rsidR="002B3D18" w:rsidRPr="00E619B2" w:rsidRDefault="002B3D18" w:rsidP="00CD092D">
            <w:pPr>
              <w:spacing w:line="276" w:lineRule="auto"/>
              <w:rPr>
                <w:rFonts w:ascii="Arial Narrow" w:hAnsi="Arial Narrow"/>
                <w:sz w:val="20"/>
              </w:rPr>
            </w:pPr>
            <w:r w:rsidRPr="00E619B2">
              <w:rPr>
                <w:rFonts w:ascii="Arial Narrow" w:hAnsi="Arial Narrow"/>
                <w:sz w:val="20"/>
              </w:rPr>
              <w:t>Transcatheter occlusion of left atrial appendage, and cardiac catheterisation performed by the same practitioner, for stroke prevention in a patient who has non</w:t>
            </w:r>
            <w:r w:rsidRPr="00E619B2">
              <w:rPr>
                <w:rFonts w:ascii="Arial Narrow" w:hAnsi="Arial Narrow"/>
                <w:sz w:val="20"/>
              </w:rPr>
              <w:noBreakHyphen/>
              <w:t xml:space="preserve">valvular atrial fibrillation if the patient: </w:t>
            </w:r>
          </w:p>
          <w:p w14:paraId="7545589B" w14:textId="77777777" w:rsidR="002B3D18" w:rsidRPr="00E619B2" w:rsidRDefault="002B3D18" w:rsidP="00CD092D">
            <w:pPr>
              <w:spacing w:line="276" w:lineRule="auto"/>
              <w:rPr>
                <w:rFonts w:ascii="Arial Narrow" w:hAnsi="Arial Narrow"/>
                <w:sz w:val="20"/>
              </w:rPr>
            </w:pPr>
            <w:r w:rsidRPr="00E619B2">
              <w:rPr>
                <w:rFonts w:ascii="Arial Narrow" w:hAnsi="Arial Narrow"/>
                <w:sz w:val="20"/>
              </w:rPr>
              <w:t>(a)  is at increased risk of thromboembolism demonstrated by:</w:t>
            </w:r>
          </w:p>
          <w:p w14:paraId="006520FB" w14:textId="77777777" w:rsidR="002B3D18" w:rsidRPr="00E619B2" w:rsidRDefault="002B3D18" w:rsidP="00CD092D">
            <w:pPr>
              <w:pStyle w:val="Tabletext"/>
              <w:spacing w:line="252" w:lineRule="auto"/>
              <w:ind w:left="596"/>
              <w:rPr>
                <w:szCs w:val="20"/>
              </w:rPr>
            </w:pPr>
            <w:r w:rsidRPr="00E619B2">
              <w:rPr>
                <w:szCs w:val="20"/>
              </w:rPr>
              <w:t>(i) a prior stroke (whether of an ischaemic or unknown type), transient ischaemic attack or non</w:t>
            </w:r>
            <w:r w:rsidRPr="00E619B2">
              <w:rPr>
                <w:szCs w:val="20"/>
              </w:rPr>
              <w:noBreakHyphen/>
              <w:t>central nervous system systemic embolism; or</w:t>
            </w:r>
          </w:p>
          <w:p w14:paraId="42AEFB99" w14:textId="77777777" w:rsidR="002B3D18" w:rsidRPr="00E619B2" w:rsidRDefault="002B3D18" w:rsidP="00CD092D">
            <w:pPr>
              <w:pStyle w:val="Tabletext"/>
              <w:spacing w:line="252" w:lineRule="auto"/>
              <w:ind w:left="596"/>
              <w:rPr>
                <w:szCs w:val="20"/>
              </w:rPr>
            </w:pPr>
            <w:r w:rsidRPr="00E619B2">
              <w:rPr>
                <w:szCs w:val="20"/>
              </w:rPr>
              <w:t>(ii) at least 2 of the following risk factors:</w:t>
            </w:r>
          </w:p>
          <w:p w14:paraId="4DF70230" w14:textId="77777777" w:rsidR="002B3D18" w:rsidRPr="00E619B2" w:rsidRDefault="002B3D18" w:rsidP="00CD092D">
            <w:pPr>
              <w:pStyle w:val="Tabletext"/>
              <w:spacing w:line="252" w:lineRule="auto"/>
              <w:ind w:left="1163"/>
              <w:rPr>
                <w:szCs w:val="20"/>
              </w:rPr>
            </w:pPr>
            <w:r w:rsidRPr="00E619B2">
              <w:rPr>
                <w:szCs w:val="20"/>
              </w:rPr>
              <w:t>(i) an age of 65 years or more;</w:t>
            </w:r>
          </w:p>
          <w:p w14:paraId="181BB8FE" w14:textId="77777777" w:rsidR="002B3D18" w:rsidRPr="00E619B2" w:rsidRDefault="002B3D18" w:rsidP="00CD092D">
            <w:pPr>
              <w:pStyle w:val="Tabletext"/>
              <w:spacing w:line="252" w:lineRule="auto"/>
              <w:ind w:left="1163"/>
              <w:rPr>
                <w:szCs w:val="20"/>
              </w:rPr>
            </w:pPr>
            <w:r w:rsidRPr="00E619B2">
              <w:rPr>
                <w:szCs w:val="20"/>
              </w:rPr>
              <w:t>(ii) hypertension;</w:t>
            </w:r>
          </w:p>
          <w:p w14:paraId="7A949BAC" w14:textId="77777777" w:rsidR="002B3D18" w:rsidRPr="00E619B2" w:rsidRDefault="002B3D18" w:rsidP="00CD092D">
            <w:pPr>
              <w:pStyle w:val="Tabletext"/>
              <w:spacing w:line="252" w:lineRule="auto"/>
              <w:ind w:left="1163"/>
              <w:rPr>
                <w:szCs w:val="20"/>
              </w:rPr>
            </w:pPr>
            <w:r w:rsidRPr="00E619B2">
              <w:rPr>
                <w:szCs w:val="20"/>
              </w:rPr>
              <w:t>(iii) diabetes mellitus;</w:t>
            </w:r>
          </w:p>
          <w:p w14:paraId="3225068D" w14:textId="77777777" w:rsidR="002B3D18" w:rsidRPr="00E619B2" w:rsidRDefault="002B3D18" w:rsidP="00CD092D">
            <w:pPr>
              <w:pStyle w:val="Tabletext"/>
              <w:spacing w:line="252" w:lineRule="auto"/>
              <w:ind w:left="1163"/>
              <w:rPr>
                <w:szCs w:val="20"/>
              </w:rPr>
            </w:pPr>
            <w:r w:rsidRPr="00E619B2">
              <w:rPr>
                <w:szCs w:val="20"/>
              </w:rPr>
              <w:t>(iv) heart failure or left ventricular ejection fraction of 35% or less (or both);</w:t>
            </w:r>
          </w:p>
          <w:p w14:paraId="51792CCF" w14:textId="77777777" w:rsidR="002B3D18" w:rsidRPr="00E619B2" w:rsidRDefault="002B3D18" w:rsidP="00CD092D">
            <w:pPr>
              <w:pStyle w:val="Tabletext"/>
              <w:spacing w:line="252" w:lineRule="auto"/>
              <w:ind w:left="1163"/>
              <w:rPr>
                <w:szCs w:val="20"/>
              </w:rPr>
            </w:pPr>
            <w:r w:rsidRPr="00E619B2">
              <w:rPr>
                <w:szCs w:val="20"/>
              </w:rPr>
              <w:t xml:space="preserve">(v) vascular disease (prior myocardial infarction, peripheral artery disease or aortic plaque) </w:t>
            </w:r>
            <w:r w:rsidRPr="00E619B2">
              <w:rPr>
                <w:b/>
                <w:bCs/>
                <w:szCs w:val="20"/>
              </w:rPr>
              <w:t xml:space="preserve">and </w:t>
            </w:r>
          </w:p>
          <w:p w14:paraId="30B8D605" w14:textId="77777777" w:rsidR="002B3D18" w:rsidRPr="00E619B2" w:rsidRDefault="002B3D18" w:rsidP="00CD092D">
            <w:pPr>
              <w:pStyle w:val="Tabletext"/>
              <w:spacing w:line="252" w:lineRule="auto"/>
              <w:ind w:left="1163"/>
              <w:rPr>
                <w:szCs w:val="20"/>
              </w:rPr>
            </w:pPr>
          </w:p>
          <w:p w14:paraId="3DF748F8" w14:textId="69B518A7" w:rsidR="002B3D18" w:rsidRPr="00E619B2" w:rsidRDefault="002B3D18" w:rsidP="00CD092D">
            <w:pPr>
              <w:pStyle w:val="Tabletext"/>
              <w:spacing w:line="252" w:lineRule="auto"/>
              <w:ind w:left="242" w:hanging="242"/>
              <w:rPr>
                <w:szCs w:val="20"/>
              </w:rPr>
            </w:pPr>
            <w:r w:rsidRPr="00E619B2">
              <w:rPr>
                <w:szCs w:val="20"/>
              </w:rPr>
              <w:t xml:space="preserve">(b) Where written documentation is provided from a </w:t>
            </w:r>
            <w:r>
              <w:rPr>
                <w:szCs w:val="20"/>
              </w:rPr>
              <w:t xml:space="preserve">medical practitioner, </w:t>
            </w:r>
            <w:r w:rsidRPr="00E619B2">
              <w:rPr>
                <w:szCs w:val="20"/>
              </w:rPr>
              <w:t>specialist or consultant physician outside the speciality of cardiology or cardiothoracic surgery confirming that the patient has an absolute and permanent contraindication to oral anticoagulation</w:t>
            </w:r>
            <w:r>
              <w:rPr>
                <w:szCs w:val="20"/>
              </w:rPr>
              <w:t>.</w:t>
            </w:r>
            <w:r w:rsidRPr="00E619B2">
              <w:rPr>
                <w:szCs w:val="20"/>
              </w:rPr>
              <w:t xml:space="preserve"> </w:t>
            </w:r>
          </w:p>
          <w:p w14:paraId="52B7330D" w14:textId="77777777" w:rsidR="002B3D18" w:rsidRPr="00E619B2" w:rsidRDefault="002B3D18" w:rsidP="00CD092D">
            <w:pPr>
              <w:pStyle w:val="Tabletext"/>
              <w:spacing w:line="252" w:lineRule="auto"/>
              <w:ind w:left="29"/>
              <w:rPr>
                <w:szCs w:val="20"/>
              </w:rPr>
            </w:pPr>
            <w:r w:rsidRPr="00E619B2">
              <w:rPr>
                <w:szCs w:val="20"/>
              </w:rPr>
              <w:t>(H) (Anaes) (Assist)</w:t>
            </w:r>
          </w:p>
          <w:p w14:paraId="592E5535" w14:textId="77777777" w:rsidR="002B3D18" w:rsidRPr="00E619B2" w:rsidRDefault="002B3D18" w:rsidP="00CD092D">
            <w:pPr>
              <w:pStyle w:val="Tabletext"/>
              <w:spacing w:line="252" w:lineRule="auto"/>
              <w:rPr>
                <w:rFonts w:cs="Calibri"/>
                <w:color w:val="1F497D"/>
                <w:szCs w:val="20"/>
              </w:rPr>
            </w:pPr>
          </w:p>
          <w:p w14:paraId="6187CA23" w14:textId="77777777" w:rsidR="002B3D18" w:rsidRDefault="002B3D18" w:rsidP="00CD092D">
            <w:pPr>
              <w:pStyle w:val="Tabletext"/>
              <w:spacing w:line="252" w:lineRule="auto"/>
            </w:pPr>
            <w:r w:rsidRPr="00E619B2">
              <w:rPr>
                <w:szCs w:val="20"/>
              </w:rPr>
              <w:t xml:space="preserve">Fee: </w:t>
            </w:r>
            <w:r w:rsidRPr="00E619B2">
              <w:rPr>
                <w:color w:val="222222"/>
                <w:szCs w:val="20"/>
              </w:rPr>
              <w:t>$</w:t>
            </w:r>
            <w:r w:rsidRPr="00E619B2">
              <w:rPr>
                <w:szCs w:val="20"/>
              </w:rPr>
              <w:t xml:space="preserve"> </w:t>
            </w:r>
            <w:r w:rsidRPr="00E619B2">
              <w:rPr>
                <w:color w:val="222222"/>
                <w:szCs w:val="20"/>
              </w:rPr>
              <w:t xml:space="preserve">940.80 </w:t>
            </w:r>
            <w:r w:rsidRPr="00E619B2">
              <w:rPr>
                <w:szCs w:val="20"/>
              </w:rPr>
              <w:t xml:space="preserve">Benefit 75% = </w:t>
            </w:r>
            <w:r w:rsidRPr="00E619B2">
              <w:rPr>
                <w:color w:val="222222"/>
                <w:szCs w:val="20"/>
              </w:rPr>
              <w:t>$</w:t>
            </w:r>
            <w:r w:rsidRPr="00E619B2">
              <w:rPr>
                <w:szCs w:val="20"/>
              </w:rPr>
              <w:t xml:space="preserve"> </w:t>
            </w:r>
            <w:r w:rsidRPr="00E619B2">
              <w:rPr>
                <w:color w:val="222222"/>
                <w:szCs w:val="20"/>
              </w:rPr>
              <w:t>705.60</w:t>
            </w:r>
          </w:p>
        </w:tc>
      </w:tr>
    </w:tbl>
    <w:p w14:paraId="548D958B" w14:textId="77777777" w:rsidR="00CF7307" w:rsidRDefault="00CF7307" w:rsidP="00DB6DD4">
      <w:pPr>
        <w:rPr>
          <w:i/>
        </w:rPr>
      </w:pPr>
    </w:p>
    <w:tbl>
      <w:tblPr>
        <w:tblStyle w:val="TableGrid"/>
        <w:tblW w:w="0" w:type="auto"/>
        <w:tblLook w:val="04A0" w:firstRow="1" w:lastRow="0" w:firstColumn="1" w:lastColumn="0" w:noHBand="0" w:noVBand="1"/>
        <w:tblDescription w:val="Consumer summary of MSAC consideration"/>
      </w:tblPr>
      <w:tblGrid>
        <w:gridCol w:w="9016"/>
      </w:tblGrid>
      <w:tr w:rsidR="000663AA" w14:paraId="0ACDCDFF" w14:textId="77777777" w:rsidTr="004967B0">
        <w:trPr>
          <w:tblHeader/>
        </w:trPr>
        <w:tc>
          <w:tcPr>
            <w:tcW w:w="9016" w:type="dxa"/>
          </w:tcPr>
          <w:p w14:paraId="56AECBD0" w14:textId="77777777" w:rsidR="000663AA" w:rsidRPr="000663AA" w:rsidRDefault="000663AA" w:rsidP="000663AA">
            <w:pPr>
              <w:pStyle w:val="Default"/>
              <w:spacing w:before="120" w:after="120"/>
              <w:rPr>
                <w:b/>
                <w:color w:val="auto"/>
              </w:rPr>
            </w:pPr>
            <w:r w:rsidRPr="00C06B0B">
              <w:rPr>
                <w:b/>
                <w:color w:val="auto"/>
              </w:rPr>
              <w:t>Consumer summary</w:t>
            </w:r>
          </w:p>
        </w:tc>
      </w:tr>
      <w:tr w:rsidR="000663AA" w14:paraId="7522C704" w14:textId="77777777" w:rsidTr="000663AA">
        <w:tc>
          <w:tcPr>
            <w:tcW w:w="9016" w:type="dxa"/>
          </w:tcPr>
          <w:p w14:paraId="14C6A255" w14:textId="1C224748" w:rsidR="00744AB5" w:rsidRDefault="00744AB5" w:rsidP="00F715D1">
            <w:pPr>
              <w:pStyle w:val="Default"/>
              <w:spacing w:after="240"/>
            </w:pPr>
            <w:r w:rsidRPr="00C8672C">
              <w:t xml:space="preserve">Abbott </w:t>
            </w:r>
            <w:r w:rsidR="00B51FB4">
              <w:t xml:space="preserve">Australasia Pty Ltd </w:t>
            </w:r>
            <w:r w:rsidRPr="00C8672C">
              <w:t>and Boston Scientific</w:t>
            </w:r>
            <w:r w:rsidR="00B51FB4">
              <w:t xml:space="preserve"> Pty Ltd applied</w:t>
            </w:r>
            <w:r>
              <w:t xml:space="preserve"> to </w:t>
            </w:r>
            <w:r w:rsidRPr="00C8672C">
              <w:t xml:space="preserve">amend </w:t>
            </w:r>
            <w:r w:rsidR="00B51FB4">
              <w:t xml:space="preserve">the </w:t>
            </w:r>
            <w:r w:rsidRPr="00C8672C">
              <w:t xml:space="preserve">existing </w:t>
            </w:r>
            <w:r w:rsidR="00B51FB4">
              <w:t>Medicare Benefits Schedule (</w:t>
            </w:r>
            <w:r w:rsidRPr="00C8672C">
              <w:t>MBS</w:t>
            </w:r>
            <w:r w:rsidR="00B51FB4">
              <w:t>)</w:t>
            </w:r>
            <w:r w:rsidRPr="00C8672C">
              <w:t xml:space="preserve"> item 38276</w:t>
            </w:r>
            <w:r>
              <w:t>,</w:t>
            </w:r>
            <w:r w:rsidRPr="00C8672C">
              <w:t xml:space="preserve"> which </w:t>
            </w:r>
            <w:r w:rsidR="00B51FB4">
              <w:t>provides public funding for</w:t>
            </w:r>
            <w:r w:rsidR="00B51FB4" w:rsidRPr="00C8672C">
              <w:t xml:space="preserve"> </w:t>
            </w:r>
            <w:r w:rsidRPr="00302431">
              <w:t>left atrial appendage</w:t>
            </w:r>
            <w:r>
              <w:t xml:space="preserve"> closure (</w:t>
            </w:r>
            <w:r w:rsidRPr="00C8672C">
              <w:t>LAAC</w:t>
            </w:r>
            <w:r>
              <w:t>)</w:t>
            </w:r>
            <w:r w:rsidRPr="00C8672C">
              <w:t xml:space="preserve"> </w:t>
            </w:r>
            <w:r w:rsidR="00B51FB4">
              <w:t xml:space="preserve">in </w:t>
            </w:r>
            <w:r w:rsidR="00B7253A">
              <w:t xml:space="preserve">a specific group of </w:t>
            </w:r>
            <w:r w:rsidR="00B51FB4">
              <w:t>patients with n</w:t>
            </w:r>
            <w:r w:rsidR="00B51FB4" w:rsidRPr="00B51FB4">
              <w:t>o</w:t>
            </w:r>
            <w:r w:rsidR="008C19F9">
              <w:t xml:space="preserve">n-valvular atrial fibrillation </w:t>
            </w:r>
            <w:r w:rsidR="00451358">
              <w:t>(NVAF)</w:t>
            </w:r>
            <w:r w:rsidR="000315F9">
              <w:t>.</w:t>
            </w:r>
            <w:r w:rsidR="00451358">
              <w:t xml:space="preserve"> </w:t>
            </w:r>
          </w:p>
          <w:p w14:paraId="0226B9A5" w14:textId="32A220CE" w:rsidR="00744AB5" w:rsidRDefault="0065158D" w:rsidP="008C19F9">
            <w:pPr>
              <w:pStyle w:val="Default"/>
              <w:spacing w:after="240"/>
            </w:pPr>
            <w:r>
              <w:t>NVAF</w:t>
            </w:r>
            <w:r w:rsidR="00744AB5" w:rsidRPr="007F569D">
              <w:t xml:space="preserve"> is </w:t>
            </w:r>
            <w:r w:rsidR="00744AB5">
              <w:t>a</w:t>
            </w:r>
            <w:r w:rsidR="00744AB5" w:rsidRPr="007F569D">
              <w:t xml:space="preserve"> common</w:t>
            </w:r>
            <w:r w:rsidR="00744AB5">
              <w:t xml:space="preserve"> cause of</w:t>
            </w:r>
            <w:r w:rsidR="00744AB5" w:rsidRPr="007F569D">
              <w:t xml:space="preserve"> </w:t>
            </w:r>
            <w:r w:rsidR="00744AB5">
              <w:t xml:space="preserve">irregular heartbeat. </w:t>
            </w:r>
            <w:r w:rsidR="008C19F9">
              <w:t xml:space="preserve">A blood clot can form when blood </w:t>
            </w:r>
            <w:r w:rsidR="00451358">
              <w:t>pools</w:t>
            </w:r>
            <w:r w:rsidR="008C19F9">
              <w:t xml:space="preserve"> due to the irregular heartbeat. The left atrial appendage is the part of the heart where most clots come from in these patients</w:t>
            </w:r>
            <w:r w:rsidR="00744AB5">
              <w:t xml:space="preserve">. </w:t>
            </w:r>
            <w:r w:rsidR="00744AB5" w:rsidRPr="007F569D">
              <w:t xml:space="preserve">If </w:t>
            </w:r>
            <w:r w:rsidR="00744AB5">
              <w:t>the blood clot comes loose, it can</w:t>
            </w:r>
            <w:r w:rsidR="00744AB5" w:rsidRPr="007F569D">
              <w:t xml:space="preserve"> </w:t>
            </w:r>
            <w:r w:rsidR="00744AB5">
              <w:t>travel</w:t>
            </w:r>
            <w:r w:rsidR="00744AB5" w:rsidRPr="007F569D">
              <w:t xml:space="preserve"> </w:t>
            </w:r>
            <w:r w:rsidR="009A587A">
              <w:t>along an artery</w:t>
            </w:r>
            <w:r w:rsidR="009A587A" w:rsidRPr="007F569D">
              <w:t xml:space="preserve"> </w:t>
            </w:r>
            <w:r w:rsidR="00744AB5" w:rsidRPr="007F569D">
              <w:t>to the brain, which may cause a</w:t>
            </w:r>
            <w:r w:rsidR="00744AB5">
              <w:t xml:space="preserve"> </w:t>
            </w:r>
            <w:r w:rsidR="00744AB5" w:rsidRPr="007F569D">
              <w:t>stroke</w:t>
            </w:r>
            <w:r w:rsidR="00744AB5">
              <w:t xml:space="preserve"> and </w:t>
            </w:r>
            <w:r w:rsidR="00744AB5" w:rsidRPr="007F569D">
              <w:t xml:space="preserve">lead to a large number of complications including paralysis, </w:t>
            </w:r>
            <w:r w:rsidR="00744AB5">
              <w:t xml:space="preserve">problems with </w:t>
            </w:r>
            <w:r w:rsidR="00744AB5" w:rsidRPr="007F569D">
              <w:t xml:space="preserve">speech </w:t>
            </w:r>
            <w:r w:rsidR="00744AB5">
              <w:t>or swallowing</w:t>
            </w:r>
            <w:r w:rsidR="00744AB5" w:rsidRPr="007F569D">
              <w:t>, and even death</w:t>
            </w:r>
            <w:r w:rsidR="00744AB5">
              <w:t>.</w:t>
            </w:r>
          </w:p>
          <w:p w14:paraId="61EA3DEA" w14:textId="7B44F922" w:rsidR="00744AB5" w:rsidRDefault="00744AB5" w:rsidP="00F715D1">
            <w:pPr>
              <w:pStyle w:val="Default"/>
              <w:spacing w:after="240"/>
              <w:rPr>
                <w:shd w:val="clear" w:color="auto" w:fill="FFFFFF"/>
              </w:rPr>
            </w:pPr>
            <w:r>
              <w:t xml:space="preserve">Anticoagulants are a type of medication </w:t>
            </w:r>
            <w:r w:rsidR="00451358">
              <w:t>given to patients to prevent</w:t>
            </w:r>
            <w:r>
              <w:t xml:space="preserve"> the formation of blood clots</w:t>
            </w:r>
            <w:r w:rsidR="00451358">
              <w:t>, including patients with NVAF</w:t>
            </w:r>
            <w:r>
              <w:t xml:space="preserve">. However, some people </w:t>
            </w:r>
            <w:r w:rsidR="008C19F9">
              <w:t>have a medical reason that prevents them from being able to take the medication, this is called a contrain</w:t>
            </w:r>
            <w:r w:rsidR="00451358">
              <w:t>dication</w:t>
            </w:r>
            <w:r w:rsidRPr="00461FBF">
              <w:t>.</w:t>
            </w:r>
            <w:r>
              <w:t xml:space="preserve"> An absolute contraindication to anticoagulants means that </w:t>
            </w:r>
            <w:r w:rsidR="008C19F9">
              <w:t>taking the medication</w:t>
            </w:r>
            <w:r w:rsidR="00451358">
              <w:t xml:space="preserve"> </w:t>
            </w:r>
            <w:r>
              <w:t>is not advisable because it could cause a life-threatening situation. A relative contraindication is where there may be a higher risk, but</w:t>
            </w:r>
            <w:r w:rsidRPr="009D32FA">
              <w:rPr>
                <w:shd w:val="clear" w:color="auto" w:fill="FFFFFF"/>
              </w:rPr>
              <w:t xml:space="preserve"> </w:t>
            </w:r>
            <w:r>
              <w:rPr>
                <w:shd w:val="clear" w:color="auto" w:fill="FFFFFF"/>
              </w:rPr>
              <w:t>– depending on the situation – taking the medication may still be a good option.</w:t>
            </w:r>
          </w:p>
          <w:p w14:paraId="4519D695" w14:textId="39F0051E" w:rsidR="0065158D" w:rsidRDefault="00451358" w:rsidP="00F31B63">
            <w:pPr>
              <w:pStyle w:val="Default"/>
              <w:spacing w:after="240"/>
            </w:pPr>
            <w:r>
              <w:t xml:space="preserve">LAAC is a procedure </w:t>
            </w:r>
            <w:r w:rsidR="00F31B63">
              <w:t>where a device is inserted into the heart to</w:t>
            </w:r>
            <w:r>
              <w:t xml:space="preserve"> close </w:t>
            </w:r>
            <w:r w:rsidR="00F31B63">
              <w:t xml:space="preserve">the left atrial appendage </w:t>
            </w:r>
            <w:r>
              <w:t xml:space="preserve">so that clots can no longer form and dislodge. Currently, public funding for LAAC is available for a specific group of patients with NVAF </w:t>
            </w:r>
            <w:r w:rsidR="00B7253A">
              <w:t xml:space="preserve">who have a high risk of stroke but </w:t>
            </w:r>
            <w:r>
              <w:t xml:space="preserve">who </w:t>
            </w:r>
            <w:r w:rsidR="00B7253A">
              <w:t>cannot take anticoagulants</w:t>
            </w:r>
            <w:r>
              <w:t xml:space="preserve">. </w:t>
            </w:r>
          </w:p>
          <w:p w14:paraId="25DCDFC0" w14:textId="6E53121A" w:rsidR="00744AB5" w:rsidRDefault="0065158D" w:rsidP="00F31B63">
            <w:pPr>
              <w:pStyle w:val="Default"/>
              <w:spacing w:after="240"/>
            </w:pPr>
            <w:r>
              <w:t>T</w:t>
            </w:r>
            <w:r w:rsidR="00744AB5">
              <w:t xml:space="preserve">he applicant wants </w:t>
            </w:r>
            <w:r>
              <w:t xml:space="preserve">more people </w:t>
            </w:r>
            <w:r w:rsidR="000315F9">
              <w:t xml:space="preserve">to be </w:t>
            </w:r>
            <w:r w:rsidR="00161451">
              <w:t xml:space="preserve">eligible for </w:t>
            </w:r>
            <w:r>
              <w:t xml:space="preserve">LAAC </w:t>
            </w:r>
            <w:r w:rsidR="00010E27">
              <w:t xml:space="preserve">through the MBS </w:t>
            </w:r>
            <w:r>
              <w:t>by expanding the list of absolute contraindications and including</w:t>
            </w:r>
            <w:r w:rsidR="00744AB5">
              <w:t xml:space="preserve"> relative contraindication</w:t>
            </w:r>
            <w:r w:rsidR="000E5CAE">
              <w:t>s</w:t>
            </w:r>
            <w:r w:rsidR="00744AB5">
              <w:t xml:space="preserve"> to anticoagulation. However,</w:t>
            </w:r>
            <w:r w:rsidR="00010E27">
              <w:t xml:space="preserve"> </w:t>
            </w:r>
            <w:r w:rsidR="00161451">
              <w:t xml:space="preserve">MSAC considered that </w:t>
            </w:r>
            <w:r w:rsidR="00010E27">
              <w:t xml:space="preserve">in patients with a relative </w:t>
            </w:r>
            <w:r w:rsidR="00010E27">
              <w:lastRenderedPageBreak/>
              <w:t>contraindication to anticoagulation</w:t>
            </w:r>
            <w:r w:rsidR="00744AB5" w:rsidRPr="00302431">
              <w:t xml:space="preserve">, the </w:t>
            </w:r>
            <w:r w:rsidR="00744AB5">
              <w:t xml:space="preserve">clinical </w:t>
            </w:r>
            <w:r w:rsidR="00744AB5" w:rsidRPr="00302431">
              <w:t xml:space="preserve">evidence did not </w:t>
            </w:r>
            <w:r w:rsidR="00744AB5">
              <w:t>show</w:t>
            </w:r>
            <w:r w:rsidR="00744AB5" w:rsidRPr="00302431">
              <w:t xml:space="preserve"> that LAAC </w:t>
            </w:r>
            <w:r w:rsidR="00744AB5">
              <w:t xml:space="preserve">is </w:t>
            </w:r>
            <w:r w:rsidR="00010E27">
              <w:t xml:space="preserve">as </w:t>
            </w:r>
            <w:r w:rsidR="00744AB5">
              <w:t xml:space="preserve">safe </w:t>
            </w:r>
            <w:r w:rsidR="00010E27">
              <w:t>or</w:t>
            </w:r>
            <w:r w:rsidR="00744AB5">
              <w:t xml:space="preserve"> </w:t>
            </w:r>
            <w:r w:rsidR="00010E27">
              <w:t>as effective as the alternative treatment option</w:t>
            </w:r>
            <w:r w:rsidR="00744AB5" w:rsidRPr="00302431">
              <w:t>.</w:t>
            </w:r>
          </w:p>
          <w:p w14:paraId="6A71BEBF" w14:textId="77777777" w:rsidR="000663AA" w:rsidRDefault="000663AA" w:rsidP="00F715D1">
            <w:pPr>
              <w:pStyle w:val="Default"/>
              <w:spacing w:after="240"/>
              <w:rPr>
                <w:b/>
                <w:color w:val="auto"/>
              </w:rPr>
            </w:pPr>
            <w:r w:rsidRPr="00C06B0B">
              <w:rPr>
                <w:b/>
                <w:color w:val="auto"/>
              </w:rPr>
              <w:t xml:space="preserve">MSAC’s </w:t>
            </w:r>
            <w:r>
              <w:rPr>
                <w:b/>
                <w:color w:val="auto"/>
              </w:rPr>
              <w:t>advice</w:t>
            </w:r>
            <w:r w:rsidRPr="00C06B0B">
              <w:rPr>
                <w:b/>
                <w:color w:val="auto"/>
              </w:rPr>
              <w:t xml:space="preserve"> to the Commonwealth Minister</w:t>
            </w:r>
            <w:r>
              <w:rPr>
                <w:b/>
                <w:color w:val="auto"/>
              </w:rPr>
              <w:t xml:space="preserve"> for Health</w:t>
            </w:r>
          </w:p>
          <w:p w14:paraId="28AFA391" w14:textId="03EA5FFE" w:rsidR="000663AA" w:rsidRDefault="00744AB5" w:rsidP="00373A28">
            <w:pPr>
              <w:pStyle w:val="Default"/>
              <w:spacing w:after="240"/>
              <w:rPr>
                <w:i/>
                <w:color w:val="auto"/>
              </w:rPr>
            </w:pPr>
            <w:r>
              <w:t>MSAC recommended expanding the list of absolute contraindications to anticoagulation (Population 1)</w:t>
            </w:r>
            <w:r w:rsidR="00373A28">
              <w:t xml:space="preserve">. </w:t>
            </w:r>
            <w:r>
              <w:t>MSAC did not recomme</w:t>
            </w:r>
            <w:r w:rsidR="00D600CF">
              <w:t>nd</w:t>
            </w:r>
            <w:r>
              <w:t xml:space="preserve"> including relative contraindications to </w:t>
            </w:r>
            <w:r w:rsidR="00855BC0">
              <w:t xml:space="preserve">anticoagulation </w:t>
            </w:r>
            <w:r>
              <w:t>(Population 2) because the evidence did not show comparative safety and clinical effectiveness of LAAC to prevent stroke in this population</w:t>
            </w:r>
            <w:r w:rsidR="00855BC0">
              <w:t xml:space="preserve"> where</w:t>
            </w:r>
            <w:r>
              <w:t xml:space="preserve"> there is another effective treatment available</w:t>
            </w:r>
            <w:r w:rsidRPr="00F07B18">
              <w:t>.</w:t>
            </w:r>
          </w:p>
        </w:tc>
      </w:tr>
    </w:tbl>
    <w:p w14:paraId="5239E062" w14:textId="77777777" w:rsidR="00550354" w:rsidRPr="00F715D1" w:rsidRDefault="00550354" w:rsidP="00F715D1">
      <w:pPr>
        <w:pStyle w:val="Heading1"/>
      </w:pPr>
      <w:r w:rsidRPr="00F715D1">
        <w:lastRenderedPageBreak/>
        <w:t xml:space="preserve">Summary of consideration and rationale for MSAC’s advice </w:t>
      </w:r>
    </w:p>
    <w:p w14:paraId="756711DF" w14:textId="77777777" w:rsidR="008914BD" w:rsidRPr="00DC1117" w:rsidRDefault="008914BD" w:rsidP="008914BD">
      <w:pPr>
        <w:spacing w:after="120"/>
        <w:rPr>
          <w:b/>
        </w:rPr>
      </w:pPr>
      <w:r w:rsidRPr="00DC1117">
        <w:rPr>
          <w:b/>
        </w:rPr>
        <w:t>Applicant hearing</w:t>
      </w:r>
    </w:p>
    <w:p w14:paraId="2491B8A0" w14:textId="51714028" w:rsidR="00F46E5A" w:rsidRDefault="008914BD" w:rsidP="008914BD">
      <w:pPr>
        <w:spacing w:after="240"/>
      </w:pPr>
      <w:r w:rsidRPr="000C2437">
        <w:t>The applicant was granted a hearing,</w:t>
      </w:r>
      <w:r>
        <w:t xml:space="preserve"> during which </w:t>
      </w:r>
      <w:r w:rsidR="00865237">
        <w:t xml:space="preserve">it </w:t>
      </w:r>
      <w:r w:rsidRPr="000C2437">
        <w:t xml:space="preserve">presented information to MSAC on the </w:t>
      </w:r>
      <w:r>
        <w:t>basis for the proposed amendments to MBS item 38276</w:t>
      </w:r>
      <w:r w:rsidR="009C4E0A">
        <w:t xml:space="preserve"> for</w:t>
      </w:r>
      <w:r w:rsidR="009C4E0A" w:rsidRPr="009C4E0A">
        <w:t xml:space="preserve"> </w:t>
      </w:r>
      <w:r w:rsidR="009C4E0A">
        <w:t>t</w:t>
      </w:r>
      <w:r w:rsidR="009C4E0A" w:rsidRPr="009C4E0A">
        <w:t xml:space="preserve">ranscatheter occlusion of the left atrial appendage for patients with </w:t>
      </w:r>
      <w:r w:rsidR="009C4E0A">
        <w:t xml:space="preserve">NVAF. </w:t>
      </w:r>
    </w:p>
    <w:p w14:paraId="745BD94E" w14:textId="63F4B5E9" w:rsidR="00032069" w:rsidRDefault="00F46E5A" w:rsidP="008914BD">
      <w:pPr>
        <w:spacing w:after="240"/>
        <w:rPr>
          <w:color w:val="000000"/>
        </w:rPr>
      </w:pPr>
      <w:r>
        <w:t>MSAC heard from the a</w:t>
      </w:r>
      <w:r w:rsidR="009C4E0A">
        <w:t>pplicant</w:t>
      </w:r>
      <w:r>
        <w:t xml:space="preserve"> that the </w:t>
      </w:r>
      <w:r w:rsidR="009C4E0A">
        <w:t>objective for expanding the</w:t>
      </w:r>
      <w:r w:rsidR="008914BD" w:rsidRPr="008914BD">
        <w:t xml:space="preserve"> list of absolute contraindications to anticoagulation (Population 1) </w:t>
      </w:r>
      <w:r w:rsidR="009C4E0A">
        <w:t>is to address a sub-group of patients who</w:t>
      </w:r>
      <w:r w:rsidR="00032069" w:rsidRPr="00032069">
        <w:t xml:space="preserve"> </w:t>
      </w:r>
      <w:r w:rsidR="00032069">
        <w:t xml:space="preserve">have an absolute contraindication to anticoagulation that is not currently captured in the definition within MBS item 38276.  The applicant </w:t>
      </w:r>
      <w:r w:rsidR="001A50B7">
        <w:t xml:space="preserve">claimed </w:t>
      </w:r>
      <w:r w:rsidR="00032069">
        <w:t>these patients</w:t>
      </w:r>
      <w:r w:rsidR="009C4E0A">
        <w:t xml:space="preserve"> have no </w:t>
      </w:r>
      <w:r w:rsidR="00EA00F3">
        <w:t xml:space="preserve">other </w:t>
      </w:r>
      <w:r w:rsidR="009C4E0A">
        <w:t>available treatment options</w:t>
      </w:r>
      <w:r w:rsidR="00032069">
        <w:t>.</w:t>
      </w:r>
      <w:r w:rsidR="00032069">
        <w:rPr>
          <w:color w:val="000000"/>
        </w:rPr>
        <w:t xml:space="preserve"> The applicant’s proposal to include relative contraindications (</w:t>
      </w:r>
      <w:r w:rsidRPr="00CA3B53">
        <w:rPr>
          <w:color w:val="000000"/>
        </w:rPr>
        <w:t>Population</w:t>
      </w:r>
      <w:r w:rsidR="00AA1C60">
        <w:rPr>
          <w:color w:val="000000"/>
        </w:rPr>
        <w:t> </w:t>
      </w:r>
      <w:r w:rsidRPr="00CA3B53">
        <w:rPr>
          <w:color w:val="000000"/>
        </w:rPr>
        <w:t>2</w:t>
      </w:r>
      <w:r w:rsidR="00032069">
        <w:rPr>
          <w:color w:val="000000"/>
        </w:rPr>
        <w:t>)</w:t>
      </w:r>
      <w:r w:rsidRPr="00CA3B53">
        <w:rPr>
          <w:color w:val="000000"/>
        </w:rPr>
        <w:t xml:space="preserve"> </w:t>
      </w:r>
      <w:r w:rsidR="00032069">
        <w:rPr>
          <w:color w:val="000000"/>
        </w:rPr>
        <w:t xml:space="preserve">is to provide an alternative treatment option for </w:t>
      </w:r>
      <w:r w:rsidRPr="00CA3B53">
        <w:rPr>
          <w:color w:val="000000"/>
        </w:rPr>
        <w:t xml:space="preserve">patients at high risk of bleeding complications before they sustain a major bleeding event while on </w:t>
      </w:r>
      <w:r w:rsidR="00032069">
        <w:rPr>
          <w:color w:val="000000"/>
        </w:rPr>
        <w:t>anticoagulation.</w:t>
      </w:r>
      <w:r w:rsidRPr="00CA3B53">
        <w:rPr>
          <w:color w:val="000000"/>
        </w:rPr>
        <w:t xml:space="preserve"> </w:t>
      </w:r>
    </w:p>
    <w:p w14:paraId="564AB2B4" w14:textId="339878BC" w:rsidR="008914BD" w:rsidRDefault="00F46E5A" w:rsidP="008914BD">
      <w:pPr>
        <w:spacing w:after="240"/>
      </w:pPr>
      <w:r w:rsidRPr="00CA3B53">
        <w:rPr>
          <w:color w:val="000000"/>
        </w:rPr>
        <w:t>​</w:t>
      </w:r>
      <w:r w:rsidR="009F6559">
        <w:t>MSAC heard the</w:t>
      </w:r>
      <w:r w:rsidR="00E37223">
        <w:t xml:space="preserve"> applicant’s</w:t>
      </w:r>
      <w:r w:rsidR="006E0234">
        <w:t xml:space="preserve"> proposed amendments to the definition of a contraindication to oral anticoagulation </w:t>
      </w:r>
      <w:r w:rsidR="00E37223">
        <w:t>were</w:t>
      </w:r>
      <w:r w:rsidR="006E0234">
        <w:t xml:space="preserve"> developed, in consultation with six experts in the management of stroke prevention, to align with the contraindications and precautions for use stated in the product information for </w:t>
      </w:r>
      <w:r w:rsidR="001A50B7">
        <w:t xml:space="preserve">direct </w:t>
      </w:r>
      <w:r w:rsidR="006E0234">
        <w:t>oral anticoagulants (</w:t>
      </w:r>
      <w:r w:rsidR="001A50B7">
        <w:t>D</w:t>
      </w:r>
      <w:r w:rsidR="006E0234">
        <w:t xml:space="preserve">OACs). </w:t>
      </w:r>
    </w:p>
    <w:p w14:paraId="77A06F24" w14:textId="3837133C" w:rsidR="009F6559" w:rsidRDefault="009F6559" w:rsidP="008914BD">
      <w:pPr>
        <w:spacing w:after="240"/>
      </w:pPr>
      <w:r>
        <w:t>MSAC heard from an Australian clinician experienced in implanting LAAC devices for stroke prevention.</w:t>
      </w:r>
      <w:r w:rsidR="002B2204">
        <w:t xml:space="preserve"> The clinician presented real-world registry data, including data from the </w:t>
      </w:r>
      <w:r w:rsidR="00C3174F">
        <w:t xml:space="preserve">United States </w:t>
      </w:r>
      <w:r w:rsidR="002B2204">
        <w:t xml:space="preserve">National Cardiovascular Data Registry </w:t>
      </w:r>
      <w:r w:rsidR="00ED0B61">
        <w:t>(N=38,158) which reported a total complication rate of 2.1%</w:t>
      </w:r>
      <w:r w:rsidR="007F5E69">
        <w:t xml:space="preserve"> and a fatality rate of 0.19%</w:t>
      </w:r>
      <w:r w:rsidR="00DB6DD4">
        <w:t xml:space="preserve">. </w:t>
      </w:r>
      <w:r w:rsidR="00ED0B61">
        <w:t>Although an Australian registry has not yet been established, the clinician advised that the experience with the LAAC device</w:t>
      </w:r>
      <w:r w:rsidR="00EA00F3">
        <w:t>s</w:t>
      </w:r>
      <w:r w:rsidR="00ED0B61">
        <w:t xml:space="preserve"> in Australia </w:t>
      </w:r>
      <w:r w:rsidR="007F5E69">
        <w:t>suggest</w:t>
      </w:r>
      <w:r w:rsidR="00A860D8">
        <w:t>s</w:t>
      </w:r>
      <w:r w:rsidR="007F5E69">
        <w:t xml:space="preserve"> there is a learning curve </w:t>
      </w:r>
      <w:r w:rsidR="00FF068A">
        <w:t xml:space="preserve">effect </w:t>
      </w:r>
      <w:r w:rsidR="007F5E69">
        <w:t xml:space="preserve">but that the </w:t>
      </w:r>
      <w:r w:rsidR="00FF068A">
        <w:t xml:space="preserve">overall </w:t>
      </w:r>
      <w:r w:rsidR="007F5E69">
        <w:t xml:space="preserve">adverse event rates are </w:t>
      </w:r>
      <w:r w:rsidR="00ED0B61">
        <w:t xml:space="preserve">similar to that reported in the international registries. Overall, the clinician considered the published real-world data confirms the procedural safety </w:t>
      </w:r>
      <w:r w:rsidR="00AA1C60">
        <w:t xml:space="preserve">and long-term safety </w:t>
      </w:r>
      <w:r w:rsidR="00ED0B61">
        <w:t>of LAAC.</w:t>
      </w:r>
    </w:p>
    <w:p w14:paraId="11B3EBD9" w14:textId="00B710CF" w:rsidR="00454EC2" w:rsidRDefault="00454EC2" w:rsidP="008914BD">
      <w:pPr>
        <w:spacing w:after="240"/>
      </w:pPr>
      <w:r>
        <w:t>MSAC asked the clinician about patient selection guidance for clinician</w:t>
      </w:r>
      <w:r w:rsidR="00D124FC">
        <w:t>s</w:t>
      </w:r>
      <w:r>
        <w:t xml:space="preserve"> managing patients </w:t>
      </w:r>
      <w:r w:rsidR="00D124FC">
        <w:t>with a short life expectancy (e.g. Child Pugh C liver disease</w:t>
      </w:r>
      <w:r w:rsidR="00A860D8">
        <w:t>)</w:t>
      </w:r>
      <w:r>
        <w:t xml:space="preserve"> and </w:t>
      </w:r>
      <w:r w:rsidR="00047E1A">
        <w:t>whether</w:t>
      </w:r>
      <w:r w:rsidR="00196E8B">
        <w:t xml:space="preserve"> the increased risk of infection observed for dialysis patients influences the risk of infection for LAAC. The clinician acknowledged that managing a patient with a short life expectancy is a delicate balance but considered the procedure should be offered if the patient has an adequate life expectancy. In regards to device infection, the clinician advised that the device become</w:t>
      </w:r>
      <w:r w:rsidR="00A65F0E">
        <w:t xml:space="preserve">s endothelialised and is not an </w:t>
      </w:r>
      <w:r w:rsidR="00532F79">
        <w:t>intravascular</w:t>
      </w:r>
      <w:r w:rsidR="00A65F0E">
        <w:t xml:space="preserve"> device </w:t>
      </w:r>
      <w:r w:rsidR="00532F79">
        <w:t xml:space="preserve">permanently </w:t>
      </w:r>
      <w:r w:rsidR="00A65F0E">
        <w:t>in contact with the blood pool. Therefore, in their experience the LAAC device doesn’t have the same infection risk</w:t>
      </w:r>
      <w:r w:rsidR="00532F79">
        <w:t xml:space="preserve"> over time</w:t>
      </w:r>
      <w:r w:rsidR="00AA1C60">
        <w:t>.</w:t>
      </w:r>
    </w:p>
    <w:p w14:paraId="4287F0BC" w14:textId="179866ED" w:rsidR="004152FD" w:rsidRDefault="00EA00F3" w:rsidP="00EA00F3">
      <w:pPr>
        <w:spacing w:after="240"/>
      </w:pPr>
      <w:r>
        <w:lastRenderedPageBreak/>
        <w:t xml:space="preserve">MSAC asked the clinician about the ongoing clinical trials for Population 2 patients and the clinical equipoise to recruit patients with relative contraindications to anticoagulation, who could use an anticoagulant. The clinician reiterated that the proposed relative contraindication </w:t>
      </w:r>
      <w:r w:rsidR="001A50B7">
        <w:t xml:space="preserve">includes </w:t>
      </w:r>
      <w:r>
        <w:t xml:space="preserve">patients who have experienced ‘a major bleeding complication without remedial cause’. The clinician indicated that if these patients with a high bleeding risk have a negative perception </w:t>
      </w:r>
      <w:r w:rsidR="004152FD">
        <w:t>regarding their ability to safely take anticoagulants it can lead to non-compliance reducing the efficacy of DOACs</w:t>
      </w:r>
      <w:r>
        <w:t xml:space="preserve">. </w:t>
      </w:r>
      <w:r w:rsidR="004152FD">
        <w:t>T</w:t>
      </w:r>
      <w:r>
        <w:t>herefore</w:t>
      </w:r>
      <w:r w:rsidR="004152FD">
        <w:t>, the clinician considers there to be a</w:t>
      </w:r>
      <w:r>
        <w:t xml:space="preserve"> need for </w:t>
      </w:r>
      <w:r w:rsidR="004152FD">
        <w:t xml:space="preserve">LAAC as an </w:t>
      </w:r>
      <w:r>
        <w:t>alternative treatment</w:t>
      </w:r>
      <w:r w:rsidR="004152FD">
        <w:t xml:space="preserve"> for these patients</w:t>
      </w:r>
      <w:r>
        <w:t xml:space="preserve">. </w:t>
      </w:r>
    </w:p>
    <w:p w14:paraId="40CA72C5" w14:textId="415EEFA8" w:rsidR="00C64465" w:rsidRDefault="00C64465" w:rsidP="00C64465">
      <w:pPr>
        <w:spacing w:after="240"/>
      </w:pPr>
      <w:r>
        <w:t xml:space="preserve">MSAC asked the clinician about access to onsite cardiac surgery. The clinician </w:t>
      </w:r>
      <w:r w:rsidR="00EE26EE">
        <w:t xml:space="preserve">indicated that based on their experience implanting LAAC devices, access to onsite cardiac surgery may not be necessary if there are well-established procedures in place for </w:t>
      </w:r>
      <w:r w:rsidR="00A31BEB">
        <w:t>retrieval to a cardiac centre.</w:t>
      </w:r>
    </w:p>
    <w:p w14:paraId="63DD6D00" w14:textId="54C5C79F" w:rsidR="003237B4" w:rsidRDefault="003237B4" w:rsidP="00EA00F3">
      <w:pPr>
        <w:spacing w:after="240"/>
      </w:pPr>
      <w:r>
        <w:t>MSAC asked</w:t>
      </w:r>
      <w:r w:rsidR="00ED0B61">
        <w:t xml:space="preserve"> </w:t>
      </w:r>
      <w:r w:rsidR="00791787">
        <w:t>the clinician about t</w:t>
      </w:r>
      <w:r w:rsidR="00ED0B61" w:rsidRPr="00ED0B61">
        <w:t>he clin</w:t>
      </w:r>
      <w:r w:rsidR="00791787">
        <w:t>ical</w:t>
      </w:r>
      <w:r w:rsidR="00ED0B61" w:rsidRPr="00ED0B61">
        <w:t xml:space="preserve"> </w:t>
      </w:r>
      <w:r w:rsidR="00791787" w:rsidRPr="00ED0B61">
        <w:t>implication</w:t>
      </w:r>
      <w:r w:rsidR="00ED0B61" w:rsidRPr="00ED0B61">
        <w:t xml:space="preserve"> of peri</w:t>
      </w:r>
      <w:r w:rsidR="00791787">
        <w:t>-</w:t>
      </w:r>
      <w:r w:rsidR="00ED0B61" w:rsidRPr="00ED0B61">
        <w:t>devic</w:t>
      </w:r>
      <w:r w:rsidR="00791787">
        <w:t>e leakage and the implication of long-</w:t>
      </w:r>
      <w:r w:rsidR="00ED0B61" w:rsidRPr="00ED0B61">
        <w:t>term ide</w:t>
      </w:r>
      <w:r w:rsidR="00791787">
        <w:t>ntification of a clo</w:t>
      </w:r>
      <w:r w:rsidR="00ED0B61" w:rsidRPr="00ED0B61">
        <w:t>t on the device</w:t>
      </w:r>
      <w:r w:rsidR="00791787">
        <w:t>. The clinician indicated that there is no evidence of reduced efficacy due to per</w:t>
      </w:r>
      <w:r w:rsidR="00AA1C60">
        <w:t>i</w:t>
      </w:r>
      <w:r w:rsidR="00791787">
        <w:t xml:space="preserve">-device leakage and that new LAAC device designs has reduced the </w:t>
      </w:r>
      <w:r w:rsidR="00AA1C60">
        <w:t>occurrence</w:t>
      </w:r>
      <w:r w:rsidR="00791787">
        <w:t xml:space="preserve"> of peri-device leakage. In regards to device-related thrombus, the clinician indicated that in their experience the </w:t>
      </w:r>
      <w:r w:rsidR="00AA1C60">
        <w:t>LAAC device</w:t>
      </w:r>
      <w:r w:rsidR="00791787">
        <w:t xml:space="preserve"> become</w:t>
      </w:r>
      <w:r w:rsidR="00AA1C60">
        <w:t>s</w:t>
      </w:r>
      <w:r w:rsidR="00791787">
        <w:t xml:space="preserve"> endothelialised over time</w:t>
      </w:r>
      <w:r w:rsidR="00454EC2">
        <w:t xml:space="preserve">, and that where device-related thrombus occurs most are ‘silent’ and are identified incidentally during routine follow-up imaging. </w:t>
      </w:r>
    </w:p>
    <w:p w14:paraId="7E4C8DAF" w14:textId="0FD7E9B7" w:rsidR="008914BD" w:rsidRPr="00DC1117" w:rsidRDefault="008914BD" w:rsidP="008914BD">
      <w:pPr>
        <w:spacing w:after="120"/>
        <w:rPr>
          <w:b/>
        </w:rPr>
      </w:pPr>
      <w:r>
        <w:rPr>
          <w:b/>
        </w:rPr>
        <w:t xml:space="preserve">MSAC </w:t>
      </w:r>
      <w:r w:rsidR="00F46E5A">
        <w:rPr>
          <w:b/>
        </w:rPr>
        <w:t>discussion</w:t>
      </w:r>
    </w:p>
    <w:p w14:paraId="4A296075" w14:textId="5F23637C" w:rsidR="00D038DD" w:rsidRDefault="00744AB5" w:rsidP="00CA3B53">
      <w:pPr>
        <w:spacing w:after="240"/>
        <w:rPr>
          <w:color w:val="000000"/>
        </w:rPr>
      </w:pPr>
      <w:r w:rsidRPr="00CA3B53">
        <w:rPr>
          <w:color w:val="000000"/>
        </w:rPr>
        <w:t xml:space="preserve">MSAC noted that this application </w:t>
      </w:r>
      <w:r w:rsidR="00921F01">
        <w:rPr>
          <w:color w:val="000000"/>
        </w:rPr>
        <w:t xml:space="preserve">requested </w:t>
      </w:r>
      <w:r w:rsidRPr="00CA3B53">
        <w:rPr>
          <w:color w:val="000000"/>
        </w:rPr>
        <w:t>amend</w:t>
      </w:r>
      <w:r w:rsidR="00921F01">
        <w:rPr>
          <w:color w:val="000000"/>
        </w:rPr>
        <w:t>ment of</w:t>
      </w:r>
      <w:r w:rsidRPr="00CA3B53">
        <w:rPr>
          <w:color w:val="000000"/>
        </w:rPr>
        <w:t xml:space="preserve"> </w:t>
      </w:r>
      <w:r w:rsidR="00921F01">
        <w:rPr>
          <w:color w:val="000000"/>
        </w:rPr>
        <w:t>an</w:t>
      </w:r>
      <w:r w:rsidR="00921F01" w:rsidRPr="00CA3B53">
        <w:rPr>
          <w:color w:val="000000"/>
        </w:rPr>
        <w:t xml:space="preserve"> </w:t>
      </w:r>
      <w:r w:rsidRPr="00CA3B53">
        <w:rPr>
          <w:color w:val="000000"/>
        </w:rPr>
        <w:t>existing MBS item 38276</w:t>
      </w:r>
      <w:r w:rsidR="00921F01">
        <w:rPr>
          <w:color w:val="000000"/>
        </w:rPr>
        <w:t>,</w:t>
      </w:r>
      <w:r w:rsidR="00A45C73">
        <w:rPr>
          <w:color w:val="000000"/>
        </w:rPr>
        <w:t xml:space="preserve"> for</w:t>
      </w:r>
      <w:r w:rsidRPr="00CA3B53">
        <w:rPr>
          <w:color w:val="000000"/>
        </w:rPr>
        <w:t xml:space="preserve"> left atrial appendage closure (LAAC) for </w:t>
      </w:r>
      <w:r w:rsidR="00A45C73" w:rsidRPr="00A45C73">
        <w:rPr>
          <w:color w:val="000000"/>
        </w:rPr>
        <w:t xml:space="preserve">patients with </w:t>
      </w:r>
      <w:r w:rsidR="007A1CFC">
        <w:rPr>
          <w:color w:val="000000"/>
        </w:rPr>
        <w:t>N</w:t>
      </w:r>
      <w:r w:rsidR="00A45C73" w:rsidRPr="00A45C73">
        <w:rPr>
          <w:color w:val="000000"/>
        </w:rPr>
        <w:t>VAF</w:t>
      </w:r>
      <w:r w:rsidR="007A1CFC">
        <w:rPr>
          <w:color w:val="000000"/>
        </w:rPr>
        <w:t xml:space="preserve"> </w:t>
      </w:r>
      <w:r w:rsidRPr="00CA3B53">
        <w:rPr>
          <w:color w:val="000000"/>
        </w:rPr>
        <w:t xml:space="preserve">with </w:t>
      </w:r>
      <w:r w:rsidR="007A1CFC">
        <w:rPr>
          <w:color w:val="000000"/>
        </w:rPr>
        <w:t xml:space="preserve">an </w:t>
      </w:r>
      <w:r w:rsidRPr="00CA3B53">
        <w:rPr>
          <w:color w:val="000000"/>
        </w:rPr>
        <w:t xml:space="preserve">absolute contraindication to </w:t>
      </w:r>
      <w:r w:rsidR="00885D8C">
        <w:rPr>
          <w:color w:val="000000"/>
        </w:rPr>
        <w:t xml:space="preserve">oral </w:t>
      </w:r>
      <w:r w:rsidRPr="00CA3B53">
        <w:rPr>
          <w:color w:val="000000"/>
        </w:rPr>
        <w:t>anticoagulation</w:t>
      </w:r>
      <w:r w:rsidR="00A45C73">
        <w:rPr>
          <w:color w:val="000000"/>
        </w:rPr>
        <w:t>, which was listed on the MBS in 2017</w:t>
      </w:r>
      <w:r w:rsidR="007A1CFC">
        <w:rPr>
          <w:color w:val="000000"/>
        </w:rPr>
        <w:t xml:space="preserve"> (MSAC Application 1347.1)</w:t>
      </w:r>
      <w:r w:rsidRPr="00CA3B53">
        <w:rPr>
          <w:color w:val="000000"/>
        </w:rPr>
        <w:t xml:space="preserve">. The </w:t>
      </w:r>
      <w:r w:rsidR="002F09CB">
        <w:rPr>
          <w:color w:val="000000"/>
        </w:rPr>
        <w:t xml:space="preserve">proposed </w:t>
      </w:r>
      <w:r w:rsidRPr="00CA3B53">
        <w:rPr>
          <w:color w:val="000000"/>
        </w:rPr>
        <w:t xml:space="preserve">amendments </w:t>
      </w:r>
      <w:r w:rsidR="00186285">
        <w:rPr>
          <w:color w:val="000000"/>
        </w:rPr>
        <w:t xml:space="preserve">to the </w:t>
      </w:r>
      <w:r w:rsidRPr="00CA3B53">
        <w:rPr>
          <w:color w:val="000000"/>
        </w:rPr>
        <w:t xml:space="preserve">definition of contraindication to lifelong anticoagulation </w:t>
      </w:r>
      <w:r w:rsidR="00186285">
        <w:rPr>
          <w:color w:val="000000"/>
        </w:rPr>
        <w:t>would expand the patient population eligible for the service.</w:t>
      </w:r>
    </w:p>
    <w:p w14:paraId="5B3BA1F2" w14:textId="2A11CFBC" w:rsidR="00B20D5D" w:rsidRDefault="00B20D5D" w:rsidP="00CA3B53">
      <w:pPr>
        <w:spacing w:after="240"/>
        <w:rPr>
          <w:color w:val="000000"/>
        </w:rPr>
      </w:pPr>
      <w:r>
        <w:rPr>
          <w:color w:val="000000"/>
        </w:rPr>
        <w:t xml:space="preserve">In regards to Population 1, expanding the definition of absolute contraindications to anticoagulation, </w:t>
      </w:r>
      <w:r w:rsidR="00744AB5" w:rsidRPr="00CA3B53">
        <w:rPr>
          <w:color w:val="000000"/>
        </w:rPr>
        <w:t>MSAC noted that</w:t>
      </w:r>
      <w:r w:rsidR="00D77296">
        <w:rPr>
          <w:color w:val="000000"/>
        </w:rPr>
        <w:t xml:space="preserve"> </w:t>
      </w:r>
      <w:r w:rsidR="00D038DD">
        <w:rPr>
          <w:color w:val="000000"/>
        </w:rPr>
        <w:t>the Applicant Developed Assessment R</w:t>
      </w:r>
      <w:r w:rsidR="00A830EF">
        <w:rPr>
          <w:color w:val="000000"/>
        </w:rPr>
        <w:t xml:space="preserve">eport (ADAR) did not present an </w:t>
      </w:r>
      <w:r w:rsidR="00D77296">
        <w:rPr>
          <w:color w:val="000000"/>
        </w:rPr>
        <w:t>assessment of the</w:t>
      </w:r>
      <w:r w:rsidR="00744AB5" w:rsidRPr="00CA3B53">
        <w:rPr>
          <w:color w:val="000000"/>
        </w:rPr>
        <w:t xml:space="preserve"> </w:t>
      </w:r>
      <w:r w:rsidR="008E66DD">
        <w:rPr>
          <w:color w:val="000000"/>
        </w:rPr>
        <w:t xml:space="preserve">clinical </w:t>
      </w:r>
      <w:r w:rsidR="00744AB5" w:rsidRPr="00CA3B53">
        <w:rPr>
          <w:color w:val="000000"/>
        </w:rPr>
        <w:t xml:space="preserve">evidence </w:t>
      </w:r>
      <w:r w:rsidR="006F3B6A">
        <w:rPr>
          <w:color w:val="000000"/>
        </w:rPr>
        <w:t>or</w:t>
      </w:r>
      <w:r w:rsidR="008E66DD">
        <w:rPr>
          <w:color w:val="000000"/>
        </w:rPr>
        <w:t xml:space="preserve"> </w:t>
      </w:r>
      <w:r w:rsidR="00D77296">
        <w:rPr>
          <w:color w:val="000000"/>
        </w:rPr>
        <w:t xml:space="preserve">an </w:t>
      </w:r>
      <w:r w:rsidR="008E66DD">
        <w:rPr>
          <w:color w:val="000000"/>
        </w:rPr>
        <w:t xml:space="preserve">economic </w:t>
      </w:r>
      <w:r w:rsidR="00D77296">
        <w:rPr>
          <w:color w:val="000000"/>
        </w:rPr>
        <w:t xml:space="preserve">evaluation </w:t>
      </w:r>
      <w:r w:rsidR="008E66DD">
        <w:rPr>
          <w:color w:val="000000"/>
        </w:rPr>
        <w:t>for</w:t>
      </w:r>
      <w:r w:rsidR="00744AB5" w:rsidRPr="00CA3B53">
        <w:rPr>
          <w:color w:val="000000"/>
        </w:rPr>
        <w:t xml:space="preserve"> </w:t>
      </w:r>
      <w:r>
        <w:rPr>
          <w:color w:val="000000"/>
        </w:rPr>
        <w:t>this population</w:t>
      </w:r>
      <w:r w:rsidR="00A830EF">
        <w:rPr>
          <w:color w:val="000000"/>
        </w:rPr>
        <w:t>.</w:t>
      </w:r>
      <w:r w:rsidR="00A45C73">
        <w:rPr>
          <w:color w:val="000000"/>
        </w:rPr>
        <w:t xml:space="preserve"> </w:t>
      </w:r>
      <w:r w:rsidR="00A830EF">
        <w:rPr>
          <w:color w:val="000000"/>
        </w:rPr>
        <w:t xml:space="preserve">The </w:t>
      </w:r>
      <w:r w:rsidR="006F3B6A">
        <w:rPr>
          <w:color w:val="000000"/>
        </w:rPr>
        <w:t>ADAR</w:t>
      </w:r>
      <w:r w:rsidR="00A830EF">
        <w:rPr>
          <w:color w:val="000000"/>
        </w:rPr>
        <w:t xml:space="preserve"> </w:t>
      </w:r>
      <w:r w:rsidR="008E66DD">
        <w:rPr>
          <w:color w:val="000000"/>
        </w:rPr>
        <w:t>claim</w:t>
      </w:r>
      <w:r w:rsidR="00A830EF">
        <w:rPr>
          <w:color w:val="000000"/>
        </w:rPr>
        <w:t>ed</w:t>
      </w:r>
      <w:r w:rsidR="008E66DD">
        <w:rPr>
          <w:color w:val="000000"/>
        </w:rPr>
        <w:t xml:space="preserve"> that the evidence base</w:t>
      </w:r>
      <w:r w:rsidR="00744AB5" w:rsidRPr="00CA3B53">
        <w:rPr>
          <w:color w:val="000000"/>
        </w:rPr>
        <w:t xml:space="preserve"> </w:t>
      </w:r>
      <w:r w:rsidR="00D77296">
        <w:rPr>
          <w:color w:val="000000"/>
        </w:rPr>
        <w:t>previously presented in MSAC application 1347.1 that formed the</w:t>
      </w:r>
      <w:r w:rsidR="00D77296" w:rsidRPr="00D77296">
        <w:rPr>
          <w:color w:val="000000"/>
        </w:rPr>
        <w:t xml:space="preserve"> </w:t>
      </w:r>
      <w:r w:rsidR="00744AB5" w:rsidRPr="00CA3B53">
        <w:rPr>
          <w:color w:val="000000"/>
        </w:rPr>
        <w:t>basis for recommendation of LAAC in patients with absolute contraindications</w:t>
      </w:r>
      <w:r>
        <w:rPr>
          <w:color w:val="000000"/>
        </w:rPr>
        <w:t xml:space="preserve"> in 2017</w:t>
      </w:r>
      <w:r w:rsidR="00444971">
        <w:rPr>
          <w:color w:val="000000"/>
        </w:rPr>
        <w:t>,</w:t>
      </w:r>
      <w:r w:rsidR="00744AB5" w:rsidRPr="00CA3B53">
        <w:rPr>
          <w:color w:val="000000"/>
        </w:rPr>
        <w:t xml:space="preserve"> </w:t>
      </w:r>
      <w:r w:rsidR="00D77296">
        <w:rPr>
          <w:color w:val="000000"/>
        </w:rPr>
        <w:t>remains uncha</w:t>
      </w:r>
      <w:r w:rsidR="00444971">
        <w:rPr>
          <w:color w:val="000000"/>
        </w:rPr>
        <w:t>n</w:t>
      </w:r>
      <w:r w:rsidR="00D77296">
        <w:rPr>
          <w:color w:val="000000"/>
        </w:rPr>
        <w:t xml:space="preserve">ged </w:t>
      </w:r>
      <w:r w:rsidR="00A830EF">
        <w:rPr>
          <w:color w:val="000000"/>
        </w:rPr>
        <w:t>and is applicable to Population </w:t>
      </w:r>
      <w:r w:rsidR="00D77296">
        <w:rPr>
          <w:color w:val="000000"/>
        </w:rPr>
        <w:t>1</w:t>
      </w:r>
      <w:r w:rsidR="00744AB5" w:rsidRPr="00CA3B53">
        <w:rPr>
          <w:color w:val="000000"/>
        </w:rPr>
        <w:t>. That is, the same comparator</w:t>
      </w:r>
      <w:r w:rsidR="008378E4">
        <w:rPr>
          <w:color w:val="000000"/>
        </w:rPr>
        <w:t xml:space="preserve"> (i.e. best supportive care)</w:t>
      </w:r>
      <w:r w:rsidR="00744AB5" w:rsidRPr="00CA3B53">
        <w:rPr>
          <w:color w:val="000000"/>
        </w:rPr>
        <w:t xml:space="preserve">, evidence and economic model </w:t>
      </w:r>
      <w:r w:rsidR="008378E4">
        <w:rPr>
          <w:color w:val="000000"/>
        </w:rPr>
        <w:t xml:space="preserve">still </w:t>
      </w:r>
      <w:r w:rsidR="00744AB5" w:rsidRPr="00CA3B53">
        <w:rPr>
          <w:color w:val="000000"/>
        </w:rPr>
        <w:t>applies</w:t>
      </w:r>
      <w:r w:rsidR="008378E4">
        <w:rPr>
          <w:color w:val="000000"/>
        </w:rPr>
        <w:t xml:space="preserve"> to Population 1</w:t>
      </w:r>
      <w:r w:rsidR="00744AB5" w:rsidRPr="00CA3B53">
        <w:rPr>
          <w:color w:val="000000"/>
        </w:rPr>
        <w:t xml:space="preserve">. </w:t>
      </w:r>
      <w:r w:rsidR="008378E4">
        <w:rPr>
          <w:color w:val="000000"/>
        </w:rPr>
        <w:t xml:space="preserve">MSAC recalled that the evidence considered in 2017 for the use of </w:t>
      </w:r>
      <w:r w:rsidR="00785C65">
        <w:rPr>
          <w:color w:val="000000"/>
        </w:rPr>
        <w:t>L</w:t>
      </w:r>
      <w:r w:rsidR="008378E4">
        <w:rPr>
          <w:color w:val="000000"/>
        </w:rPr>
        <w:t xml:space="preserve">AAC in patients with absolute contraindications to anticoagulation </w:t>
      </w:r>
      <w:r w:rsidR="00785C65">
        <w:rPr>
          <w:color w:val="000000"/>
        </w:rPr>
        <w:t xml:space="preserve">relied </w:t>
      </w:r>
      <w:r w:rsidR="008378E4">
        <w:rPr>
          <w:color w:val="000000"/>
        </w:rPr>
        <w:t>on indirect comparisons</w:t>
      </w:r>
      <w:r w:rsidR="00FE7349">
        <w:rPr>
          <w:color w:val="000000"/>
        </w:rPr>
        <w:t xml:space="preserve"> to demonstrate</w:t>
      </w:r>
      <w:r w:rsidR="00543307">
        <w:rPr>
          <w:color w:val="000000"/>
        </w:rPr>
        <w:t xml:space="preserve"> </w:t>
      </w:r>
      <w:r w:rsidR="00785C65">
        <w:rPr>
          <w:color w:val="000000"/>
        </w:rPr>
        <w:t>LAAC had a reasonable safety profile and acceptable clinical and cost-effectiveness</w:t>
      </w:r>
      <w:r w:rsidR="00E86049">
        <w:rPr>
          <w:color w:val="000000"/>
        </w:rPr>
        <w:t xml:space="preserve"> </w:t>
      </w:r>
      <w:r w:rsidR="00FE7349">
        <w:rPr>
          <w:color w:val="000000"/>
        </w:rPr>
        <w:t xml:space="preserve">in the population with an unmet clinical need. </w:t>
      </w:r>
      <w:r w:rsidR="008378E4">
        <w:rPr>
          <w:color w:val="000000"/>
        </w:rPr>
        <w:t xml:space="preserve"> </w:t>
      </w:r>
    </w:p>
    <w:p w14:paraId="689BF859" w14:textId="33C82072" w:rsidR="00CF0380" w:rsidRPr="00313196" w:rsidRDefault="00B20D5D" w:rsidP="00CF0380">
      <w:pPr>
        <w:spacing w:after="240"/>
        <w:rPr>
          <w:color w:val="000000"/>
        </w:rPr>
      </w:pPr>
      <w:r>
        <w:rPr>
          <w:color w:val="000000"/>
        </w:rPr>
        <w:t xml:space="preserve">In regard to the clinical evidence for Population 2 (patients with relative contraindications to anticoagulation), MSAC noted that the ADAR identified </w:t>
      </w:r>
      <w:r w:rsidR="00744AB5" w:rsidRPr="00CA3B53">
        <w:rPr>
          <w:color w:val="000000"/>
        </w:rPr>
        <w:t xml:space="preserve">one randomised controlled trial (RCT; PRAGUE-17) that directly compared LAAC to </w:t>
      </w:r>
      <w:r>
        <w:rPr>
          <w:color w:val="000000"/>
        </w:rPr>
        <w:t xml:space="preserve">the main comparator for Population 2 (i.e. </w:t>
      </w:r>
      <w:r w:rsidR="003302E4">
        <w:rPr>
          <w:color w:val="000000"/>
        </w:rPr>
        <w:t>D</w:t>
      </w:r>
      <w:r w:rsidR="00744AB5" w:rsidRPr="00CA3B53">
        <w:rPr>
          <w:color w:val="000000"/>
        </w:rPr>
        <w:t>OACs</w:t>
      </w:r>
      <w:r>
        <w:rPr>
          <w:color w:val="000000"/>
        </w:rPr>
        <w:t>)</w:t>
      </w:r>
      <w:r w:rsidR="00744AB5" w:rsidRPr="00CA3B53">
        <w:rPr>
          <w:color w:val="000000"/>
        </w:rPr>
        <w:t xml:space="preserve">. </w:t>
      </w:r>
      <w:r w:rsidR="00CF0380">
        <w:rPr>
          <w:color w:val="000000"/>
        </w:rPr>
        <w:t>MSAC noted concerns with risk of bias in the PRAGUE-17 trial and that the nominated non-inferiority margin (1.4</w:t>
      </w:r>
      <w:r w:rsidR="00C2648D">
        <w:rPr>
          <w:color w:val="000000"/>
        </w:rPr>
        <w:t>7</w:t>
      </w:r>
      <w:r w:rsidR="00CF0380">
        <w:rPr>
          <w:color w:val="000000"/>
        </w:rPr>
        <w:t xml:space="preserve">) meant the </w:t>
      </w:r>
      <w:r w:rsidR="00CF0380" w:rsidRPr="00313196">
        <w:rPr>
          <w:color w:val="000000"/>
        </w:rPr>
        <w:t xml:space="preserve">device could be 47% worse </w:t>
      </w:r>
      <w:r w:rsidR="00CF0380">
        <w:rPr>
          <w:color w:val="000000"/>
        </w:rPr>
        <w:t xml:space="preserve">than DOACs </w:t>
      </w:r>
      <w:r w:rsidR="00CF0380" w:rsidRPr="00313196">
        <w:rPr>
          <w:color w:val="000000"/>
        </w:rPr>
        <w:t>and still be considered non</w:t>
      </w:r>
      <w:r w:rsidR="00CF0380">
        <w:rPr>
          <w:color w:val="000000"/>
        </w:rPr>
        <w:t>-</w:t>
      </w:r>
      <w:r w:rsidR="00CF0380" w:rsidRPr="00313196">
        <w:rPr>
          <w:color w:val="000000"/>
        </w:rPr>
        <w:t>inferior</w:t>
      </w:r>
      <w:r w:rsidR="00CF0380">
        <w:rPr>
          <w:color w:val="000000"/>
        </w:rPr>
        <w:t>. MSAC noted t</w:t>
      </w:r>
      <w:r w:rsidR="00A45C73">
        <w:rPr>
          <w:color w:val="000000"/>
        </w:rPr>
        <w:t>he ADAR</w:t>
      </w:r>
      <w:r w:rsidR="00CF0380">
        <w:rPr>
          <w:color w:val="000000"/>
        </w:rPr>
        <w:t xml:space="preserve"> also</w:t>
      </w:r>
      <w:r w:rsidR="00A45C73">
        <w:rPr>
          <w:color w:val="000000"/>
        </w:rPr>
        <w:t xml:space="preserve"> included </w:t>
      </w:r>
      <w:r w:rsidR="00744AB5" w:rsidRPr="00CA3B53">
        <w:rPr>
          <w:color w:val="000000"/>
        </w:rPr>
        <w:t xml:space="preserve">six </w:t>
      </w:r>
      <w:r w:rsidR="00A45C73">
        <w:rPr>
          <w:color w:val="000000"/>
        </w:rPr>
        <w:t xml:space="preserve">RCT </w:t>
      </w:r>
      <w:r w:rsidR="00A45C73">
        <w:t>to provide an</w:t>
      </w:r>
      <w:r w:rsidR="00A45C73" w:rsidRPr="003917B9">
        <w:t xml:space="preserve"> indirect treatment c</w:t>
      </w:r>
      <w:r w:rsidR="00A45C73">
        <w:t>omparison (ITC) of LAAC versus D</w:t>
      </w:r>
      <w:r w:rsidR="00A45C73" w:rsidRPr="003917B9">
        <w:t>OACs via warfarin as the common comparator</w:t>
      </w:r>
      <w:r w:rsidR="00A45C73">
        <w:t xml:space="preserve"> and a </w:t>
      </w:r>
      <w:r w:rsidR="00A45C73" w:rsidRPr="003917B9">
        <w:t xml:space="preserve">direct comparison </w:t>
      </w:r>
      <w:r w:rsidR="00A45C73">
        <w:t>between LAAC and warfarin</w:t>
      </w:r>
      <w:r w:rsidR="00A45C73">
        <w:rPr>
          <w:color w:val="000000"/>
        </w:rPr>
        <w:t xml:space="preserve">. </w:t>
      </w:r>
      <w:r w:rsidR="00DB6DD4">
        <w:rPr>
          <w:color w:val="000000"/>
        </w:rPr>
        <w:t>MSAC</w:t>
      </w:r>
      <w:r w:rsidR="00CF0380" w:rsidRPr="00313196">
        <w:rPr>
          <w:color w:val="000000"/>
        </w:rPr>
        <w:t xml:space="preserve"> noted that the PRAGUE-17 </w:t>
      </w:r>
      <w:r w:rsidR="00CF0380">
        <w:rPr>
          <w:color w:val="000000"/>
        </w:rPr>
        <w:t>trial</w:t>
      </w:r>
      <w:r w:rsidR="00CF0380" w:rsidRPr="00313196">
        <w:rPr>
          <w:color w:val="000000"/>
        </w:rPr>
        <w:t xml:space="preserve"> primary outcome was a composite of </w:t>
      </w:r>
      <w:r w:rsidR="00CF0380">
        <w:rPr>
          <w:color w:val="000000"/>
        </w:rPr>
        <w:t>safety and efficacy outcomes</w:t>
      </w:r>
      <w:r w:rsidR="00CF0380" w:rsidRPr="00313196">
        <w:rPr>
          <w:color w:val="000000"/>
        </w:rPr>
        <w:t xml:space="preserve">: stroke, transient ischaemic attack, systemic embolism, cardiovascular-related death, bleeding or procedure/device-related complications. </w:t>
      </w:r>
    </w:p>
    <w:p w14:paraId="757DB570" w14:textId="0CA553FE" w:rsidR="00744AB5" w:rsidRPr="00CA3B53" w:rsidRDefault="00744AB5" w:rsidP="00CA3B53">
      <w:pPr>
        <w:spacing w:after="240"/>
        <w:rPr>
          <w:color w:val="000000"/>
        </w:rPr>
      </w:pPr>
      <w:r w:rsidRPr="00CA3B53">
        <w:rPr>
          <w:color w:val="000000"/>
        </w:rPr>
        <w:lastRenderedPageBreak/>
        <w:t xml:space="preserve">MSAC noted that the main limitation of the comparative safety assessment </w:t>
      </w:r>
      <w:r w:rsidR="00DA2CF4">
        <w:rPr>
          <w:color w:val="000000"/>
        </w:rPr>
        <w:t xml:space="preserve">for Population 2 </w:t>
      </w:r>
      <w:r w:rsidRPr="00CA3B53">
        <w:rPr>
          <w:color w:val="000000"/>
        </w:rPr>
        <w:t xml:space="preserve">is the underlying differences in risks associated with LAAC, and </w:t>
      </w:r>
      <w:r w:rsidR="003302E4">
        <w:rPr>
          <w:color w:val="000000"/>
        </w:rPr>
        <w:t>D</w:t>
      </w:r>
      <w:r w:rsidRPr="00CA3B53">
        <w:rPr>
          <w:color w:val="000000"/>
        </w:rPr>
        <w:t xml:space="preserve">OACs or warfarin. </w:t>
      </w:r>
      <w:r w:rsidR="00FE7349">
        <w:rPr>
          <w:color w:val="000000"/>
        </w:rPr>
        <w:t>MSAC noted the applicant’s claim of</w:t>
      </w:r>
      <w:r w:rsidRPr="00CA3B53">
        <w:rPr>
          <w:color w:val="000000"/>
        </w:rPr>
        <w:t xml:space="preserve"> superior safety for LAACs relative to </w:t>
      </w:r>
      <w:r w:rsidR="003302E4">
        <w:rPr>
          <w:color w:val="000000"/>
        </w:rPr>
        <w:t>D</w:t>
      </w:r>
      <w:r w:rsidRPr="00CA3B53">
        <w:rPr>
          <w:color w:val="000000"/>
        </w:rPr>
        <w:t>OACs</w:t>
      </w:r>
      <w:r w:rsidR="00FE7349">
        <w:rPr>
          <w:color w:val="000000"/>
        </w:rPr>
        <w:t xml:space="preserve"> was</w:t>
      </w:r>
      <w:r w:rsidRPr="00CA3B53">
        <w:rPr>
          <w:color w:val="000000"/>
        </w:rPr>
        <w:t xml:space="preserve"> based on evaluation of two related outcomes: major bleeding and major gastrointestinal bleeding. </w:t>
      </w:r>
      <w:r w:rsidR="00FE7349">
        <w:rPr>
          <w:color w:val="000000"/>
        </w:rPr>
        <w:t>However, t</w:t>
      </w:r>
      <w:r w:rsidRPr="00CA3B53">
        <w:rPr>
          <w:color w:val="000000"/>
        </w:rPr>
        <w:t>his contrast</w:t>
      </w:r>
      <w:r w:rsidR="00FE7349">
        <w:rPr>
          <w:color w:val="000000"/>
        </w:rPr>
        <w:t>ed</w:t>
      </w:r>
      <w:r w:rsidRPr="00CA3B53">
        <w:rPr>
          <w:color w:val="000000"/>
        </w:rPr>
        <w:t xml:space="preserve"> with the included studies, which used composite primary endpoints due to differences in risks associated with LAACs and anticoagulant therapy. LAAC has superior safety with respect to </w:t>
      </w:r>
      <w:r w:rsidR="003302E4">
        <w:rPr>
          <w:color w:val="000000"/>
        </w:rPr>
        <w:t>post-</w:t>
      </w:r>
      <w:r w:rsidR="00E86049">
        <w:rPr>
          <w:color w:val="000000"/>
        </w:rPr>
        <w:t>procedural</w:t>
      </w:r>
      <w:r w:rsidR="003302E4">
        <w:rPr>
          <w:color w:val="000000"/>
        </w:rPr>
        <w:t xml:space="preserve"> </w:t>
      </w:r>
      <w:r w:rsidRPr="00CA3B53">
        <w:rPr>
          <w:color w:val="000000"/>
        </w:rPr>
        <w:t xml:space="preserve">bleeding </w:t>
      </w:r>
      <w:r w:rsidR="003302E4">
        <w:rPr>
          <w:color w:val="000000"/>
        </w:rPr>
        <w:t xml:space="preserve">(i.e. </w:t>
      </w:r>
      <w:r w:rsidRPr="00CA3B53">
        <w:rPr>
          <w:color w:val="000000"/>
        </w:rPr>
        <w:t>after 7 days of the procedure</w:t>
      </w:r>
      <w:r w:rsidR="003302E4">
        <w:rPr>
          <w:color w:val="000000"/>
        </w:rPr>
        <w:t>)</w:t>
      </w:r>
      <w:r w:rsidRPr="00CA3B53">
        <w:rPr>
          <w:color w:val="000000"/>
        </w:rPr>
        <w:t xml:space="preserve">; however, there is no difference in bleeding risk between LAAC and </w:t>
      </w:r>
      <w:r w:rsidR="003302E4">
        <w:rPr>
          <w:color w:val="000000"/>
        </w:rPr>
        <w:t>D</w:t>
      </w:r>
      <w:r w:rsidRPr="00CA3B53">
        <w:rPr>
          <w:color w:val="000000"/>
        </w:rPr>
        <w:t xml:space="preserve">OACs when considering combined procedural and post-procedural bleeding (head-to-head: hazard ratio [HR]: 0.81; 95% CI 0.44–1.52; ITC odds ratio [OR]: 1.02: 95% CI 0.67–1.56). </w:t>
      </w:r>
    </w:p>
    <w:p w14:paraId="72A67A3A" w14:textId="3D93F025" w:rsidR="00744AB5" w:rsidRPr="00CA3B53" w:rsidRDefault="00744AB5" w:rsidP="00CA3B53">
      <w:pPr>
        <w:spacing w:after="240"/>
        <w:rPr>
          <w:color w:val="000000"/>
        </w:rPr>
      </w:pPr>
      <w:r w:rsidRPr="00CA3B53">
        <w:rPr>
          <w:color w:val="000000"/>
        </w:rPr>
        <w:t xml:space="preserve">MSAC noted that the main limitation of the comparative effectiveness assessment is the lack of direct comparative evidence for LAAC and NOACs. </w:t>
      </w:r>
      <w:r w:rsidR="00CF0380">
        <w:rPr>
          <w:color w:val="000000"/>
        </w:rPr>
        <w:t xml:space="preserve">MSAC noted that the PRAGUE-17 trial indicated no difference between LAAC compared to DOACs for the outcomes: prevention of stroke, systemic embolism, cardiovascular mortality and all-cause mortality. However, </w:t>
      </w:r>
      <w:r w:rsidR="007C32EC">
        <w:rPr>
          <w:color w:val="000000"/>
        </w:rPr>
        <w:t>the PRAGUE-17 trial was not powered to detect difference</w:t>
      </w:r>
      <w:r w:rsidR="00615606">
        <w:rPr>
          <w:color w:val="000000"/>
        </w:rPr>
        <w:t>s</w:t>
      </w:r>
      <w:r w:rsidR="007C32EC">
        <w:rPr>
          <w:color w:val="000000"/>
        </w:rPr>
        <w:t xml:space="preserve"> for individual outcomes. </w:t>
      </w:r>
    </w:p>
    <w:p w14:paraId="1C09718F" w14:textId="74E36752" w:rsidR="00744AB5" w:rsidRPr="00CA3B53" w:rsidRDefault="007C32EC" w:rsidP="00CA3B53">
      <w:pPr>
        <w:spacing w:after="240"/>
        <w:rPr>
          <w:color w:val="000000"/>
        </w:rPr>
      </w:pPr>
      <w:r>
        <w:rPr>
          <w:color w:val="000000"/>
        </w:rPr>
        <w:t xml:space="preserve">Overall, </w:t>
      </w:r>
      <w:r w:rsidR="00744AB5" w:rsidRPr="00CA3B53">
        <w:rPr>
          <w:color w:val="000000"/>
        </w:rPr>
        <w:t>MSAC considered that</w:t>
      </w:r>
      <w:r w:rsidR="003302E4">
        <w:rPr>
          <w:color w:val="000000"/>
        </w:rPr>
        <w:t xml:space="preserve"> in patients with NVAF with a relative contraindication to anticoagulation</w:t>
      </w:r>
      <w:r w:rsidR="00744AB5" w:rsidRPr="00CA3B53">
        <w:rPr>
          <w:color w:val="000000"/>
        </w:rPr>
        <w:t>, the evidence did not demonstrate that LAAC has superior safety to DOACs and the efficacy of LAAC compared to DOACs is uncertain from insufficient direct evidence.</w:t>
      </w:r>
      <w:r>
        <w:rPr>
          <w:color w:val="000000"/>
        </w:rPr>
        <w:t xml:space="preserve"> </w:t>
      </w:r>
      <w:r w:rsidR="00744AB5" w:rsidRPr="00CA3B53">
        <w:rPr>
          <w:color w:val="000000"/>
        </w:rPr>
        <w:t xml:space="preserve">MSAC noted that there are a number of ongoing or planned RCTs comparing LAAC with </w:t>
      </w:r>
      <w:r w:rsidR="003302E4">
        <w:rPr>
          <w:color w:val="000000"/>
        </w:rPr>
        <w:t>anticoagulation</w:t>
      </w:r>
      <w:r w:rsidR="00744AB5" w:rsidRPr="00CA3B53">
        <w:rPr>
          <w:color w:val="000000"/>
        </w:rPr>
        <w:t>, which will be needed to show superior safety and non</w:t>
      </w:r>
      <w:r w:rsidR="005D0A03">
        <w:rPr>
          <w:color w:val="000000"/>
        </w:rPr>
        <w:t>-</w:t>
      </w:r>
      <w:r w:rsidR="00744AB5" w:rsidRPr="00CA3B53">
        <w:rPr>
          <w:color w:val="000000"/>
        </w:rPr>
        <w:t>inferior efficacy of LAAC.</w:t>
      </w:r>
    </w:p>
    <w:p w14:paraId="4F1CD678" w14:textId="51A59127" w:rsidR="00744AB5" w:rsidRDefault="00744AB5" w:rsidP="00CA3B53">
      <w:pPr>
        <w:spacing w:after="240"/>
        <w:rPr>
          <w:color w:val="000000"/>
        </w:rPr>
      </w:pPr>
      <w:r w:rsidRPr="00CA3B53">
        <w:rPr>
          <w:color w:val="000000"/>
        </w:rPr>
        <w:t>MSAC noted</w:t>
      </w:r>
      <w:r w:rsidR="00644FA5">
        <w:rPr>
          <w:color w:val="000000"/>
        </w:rPr>
        <w:t xml:space="preserve"> a</w:t>
      </w:r>
      <w:r w:rsidRPr="00CA3B53">
        <w:rPr>
          <w:color w:val="000000"/>
        </w:rPr>
        <w:t xml:space="preserve"> cost</w:t>
      </w:r>
      <w:r w:rsidR="00644FA5">
        <w:rPr>
          <w:color w:val="000000"/>
        </w:rPr>
        <w:t xml:space="preserve"> utility analysis</w:t>
      </w:r>
      <w:r w:rsidRPr="00CA3B53">
        <w:rPr>
          <w:color w:val="000000"/>
        </w:rPr>
        <w:t xml:space="preserve"> was provided in the ADAR to support the proposed benefit for LAAC relative to </w:t>
      </w:r>
      <w:r w:rsidR="003302E4">
        <w:rPr>
          <w:color w:val="000000"/>
        </w:rPr>
        <w:t>D</w:t>
      </w:r>
      <w:r w:rsidRPr="00CA3B53">
        <w:rPr>
          <w:color w:val="000000"/>
        </w:rPr>
        <w:t xml:space="preserve">OACs and warfarin in </w:t>
      </w:r>
      <w:r w:rsidR="003302E4">
        <w:rPr>
          <w:color w:val="000000"/>
        </w:rPr>
        <w:t>patients</w:t>
      </w:r>
      <w:r w:rsidRPr="00CA3B53">
        <w:rPr>
          <w:color w:val="000000"/>
        </w:rPr>
        <w:t xml:space="preserve"> with a relative contradiction to </w:t>
      </w:r>
      <w:r w:rsidR="003302E4">
        <w:rPr>
          <w:color w:val="000000"/>
        </w:rPr>
        <w:t>anticoagulation (Population 2</w:t>
      </w:r>
      <w:r w:rsidR="00D03146">
        <w:rPr>
          <w:color w:val="000000"/>
        </w:rPr>
        <w:t xml:space="preserve">). </w:t>
      </w:r>
      <w:r w:rsidRPr="00CA3B53">
        <w:rPr>
          <w:color w:val="000000"/>
        </w:rPr>
        <w:t xml:space="preserve">MSAC noted </w:t>
      </w:r>
      <w:r w:rsidR="00644FA5">
        <w:rPr>
          <w:color w:val="000000"/>
        </w:rPr>
        <w:t xml:space="preserve">that the modelled treatment efficacy was based on stroke and post-procedural bleeding rates from PRAGUE-17. MSAC agreed with ESC that the </w:t>
      </w:r>
      <w:r w:rsidR="00D543BF" w:rsidRPr="00D543BF">
        <w:rPr>
          <w:b/>
          <w:bCs/>
          <w:color w:val="000000"/>
        </w:rPr>
        <w:t>REDACTED</w:t>
      </w:r>
      <w:r w:rsidR="00C64465" w:rsidRPr="00313196">
        <w:rPr>
          <w:color w:val="000000"/>
        </w:rPr>
        <w:t>.</w:t>
      </w:r>
      <w:r w:rsidR="005D0A03">
        <w:rPr>
          <w:color w:val="000000"/>
        </w:rPr>
        <w:t xml:space="preserve"> </w:t>
      </w:r>
      <w:r w:rsidR="005D0A03" w:rsidRPr="00CA3B53">
        <w:rPr>
          <w:color w:val="000000"/>
        </w:rPr>
        <w:t xml:space="preserve">MSAC noted that the pre-MSAC </w:t>
      </w:r>
      <w:r w:rsidR="00444E9B">
        <w:rPr>
          <w:color w:val="000000"/>
        </w:rPr>
        <w:t xml:space="preserve">response presented a </w:t>
      </w:r>
      <w:r w:rsidR="005D0A03" w:rsidRPr="00CA3B53">
        <w:rPr>
          <w:color w:val="000000"/>
        </w:rPr>
        <w:t>revised base case</w:t>
      </w:r>
      <w:r w:rsidR="00444E9B">
        <w:rPr>
          <w:color w:val="000000"/>
        </w:rPr>
        <w:t xml:space="preserve"> with</w:t>
      </w:r>
      <w:r w:rsidR="005D0A03" w:rsidRPr="00CA3B53">
        <w:rPr>
          <w:color w:val="000000"/>
        </w:rPr>
        <w:t xml:space="preserve"> </w:t>
      </w:r>
      <w:r w:rsidR="00444E9B">
        <w:rPr>
          <w:color w:val="000000"/>
        </w:rPr>
        <w:t xml:space="preserve">the utility values </w:t>
      </w:r>
      <w:r w:rsidR="00444E9B" w:rsidRPr="00CA3B53">
        <w:rPr>
          <w:color w:val="000000"/>
        </w:rPr>
        <w:t xml:space="preserve">weighted to the Australian population </w:t>
      </w:r>
      <w:r w:rsidR="005D0A03" w:rsidRPr="00CA3B53">
        <w:rPr>
          <w:color w:val="000000"/>
        </w:rPr>
        <w:t xml:space="preserve">as requested by </w:t>
      </w:r>
      <w:r w:rsidR="003D3416" w:rsidRPr="00CA3B53">
        <w:rPr>
          <w:color w:val="000000"/>
        </w:rPr>
        <w:t>ESC.</w:t>
      </w:r>
      <w:r w:rsidR="005D0A03" w:rsidRPr="00CA3B53">
        <w:rPr>
          <w:color w:val="000000"/>
        </w:rPr>
        <w:t xml:space="preserve"> </w:t>
      </w:r>
      <w:r w:rsidR="00444E9B">
        <w:rPr>
          <w:color w:val="000000"/>
        </w:rPr>
        <w:t>MSAC noted that t</w:t>
      </w:r>
      <w:r w:rsidR="005D0A03" w:rsidRPr="00CA3B53">
        <w:rPr>
          <w:color w:val="000000"/>
        </w:rPr>
        <w:t>his increased the incremental cost-effectiveness ratio (ICER) from $</w:t>
      </w:r>
      <w:r w:rsidR="006400A9" w:rsidRPr="006400A9">
        <w:rPr>
          <w:b/>
          <w:bCs/>
          <w:color w:val="000000"/>
        </w:rPr>
        <w:t>REDACTED</w:t>
      </w:r>
      <w:r w:rsidR="005D0A03" w:rsidRPr="00CA3B53">
        <w:rPr>
          <w:color w:val="000000"/>
        </w:rPr>
        <w:t xml:space="preserve"> to $</w:t>
      </w:r>
      <w:r w:rsidR="006400A9" w:rsidRPr="006400A9">
        <w:rPr>
          <w:b/>
          <w:bCs/>
          <w:color w:val="000000"/>
        </w:rPr>
        <w:t>REDACTED</w:t>
      </w:r>
      <w:r w:rsidR="006400A9" w:rsidRPr="00CA3B53">
        <w:rPr>
          <w:color w:val="000000"/>
        </w:rPr>
        <w:t xml:space="preserve"> </w:t>
      </w:r>
      <w:r w:rsidR="005D0A03" w:rsidRPr="00CA3B53">
        <w:rPr>
          <w:color w:val="000000"/>
        </w:rPr>
        <w:t xml:space="preserve">per QALY. </w:t>
      </w:r>
      <w:r w:rsidR="005E2FD2">
        <w:rPr>
          <w:color w:val="000000"/>
        </w:rPr>
        <w:t>MSAC also noted the assumed rates of bleeding and stroke along with a range of utility values were tested in sensitivity analysis in the pre-MSAC response, which</w:t>
      </w:r>
      <w:r w:rsidR="00444E9B">
        <w:rPr>
          <w:color w:val="000000"/>
        </w:rPr>
        <w:t xml:space="preserve"> </w:t>
      </w:r>
      <w:r w:rsidR="005E2FD2">
        <w:rPr>
          <w:color w:val="000000"/>
        </w:rPr>
        <w:t>indicated the</w:t>
      </w:r>
      <w:r w:rsidR="005D0A03" w:rsidRPr="00CA3B53">
        <w:rPr>
          <w:color w:val="000000"/>
        </w:rPr>
        <w:t xml:space="preserve"> ICER</w:t>
      </w:r>
      <w:r w:rsidR="005E2FD2">
        <w:rPr>
          <w:color w:val="000000"/>
        </w:rPr>
        <w:t xml:space="preserve"> remained below </w:t>
      </w:r>
      <w:r w:rsidR="005D0A03" w:rsidRPr="00CA3B53">
        <w:rPr>
          <w:color w:val="000000"/>
        </w:rPr>
        <w:t>of $</w:t>
      </w:r>
      <w:r w:rsidR="006400A9" w:rsidRPr="006400A9">
        <w:rPr>
          <w:b/>
          <w:bCs/>
          <w:color w:val="000000"/>
        </w:rPr>
        <w:t>REDACTED</w:t>
      </w:r>
      <w:r w:rsidR="006400A9" w:rsidRPr="006400A9">
        <w:rPr>
          <w:color w:val="000000"/>
        </w:rPr>
        <w:t xml:space="preserve"> </w:t>
      </w:r>
      <w:r w:rsidR="005D0A03" w:rsidRPr="006400A9">
        <w:rPr>
          <w:color w:val="000000"/>
        </w:rPr>
        <w:t>/QALY</w:t>
      </w:r>
      <w:r w:rsidR="005E2FD2">
        <w:rPr>
          <w:color w:val="000000"/>
        </w:rPr>
        <w:t xml:space="preserve">, except when the All stroke risk was tested using the 95% confidence interval from the PREVAIL </w:t>
      </w:r>
      <w:r w:rsidR="003D3416">
        <w:rPr>
          <w:color w:val="000000"/>
        </w:rPr>
        <w:t xml:space="preserve">trial </w:t>
      </w:r>
      <w:r w:rsidR="005E2FD2">
        <w:rPr>
          <w:color w:val="000000"/>
        </w:rPr>
        <w:t>(RR=2.358; &gt;</w:t>
      </w:r>
      <w:r w:rsidR="005D0A03" w:rsidRPr="00CA3B53">
        <w:rPr>
          <w:color w:val="000000"/>
        </w:rPr>
        <w:t xml:space="preserve"> $</w:t>
      </w:r>
      <w:r w:rsidR="006400A9" w:rsidRPr="006400A9">
        <w:rPr>
          <w:b/>
          <w:bCs/>
          <w:color w:val="000000"/>
        </w:rPr>
        <w:t>REDACTED</w:t>
      </w:r>
      <w:r w:rsidR="005D0A03" w:rsidRPr="006400A9">
        <w:rPr>
          <w:color w:val="000000"/>
        </w:rPr>
        <w:t>/QALY</w:t>
      </w:r>
      <w:r w:rsidR="005E2FD2">
        <w:rPr>
          <w:color w:val="000000"/>
        </w:rPr>
        <w:t>)</w:t>
      </w:r>
      <w:r w:rsidR="005D0A03" w:rsidRPr="00CA3B53">
        <w:rPr>
          <w:color w:val="000000"/>
        </w:rPr>
        <w:t xml:space="preserve">. </w:t>
      </w:r>
    </w:p>
    <w:p w14:paraId="0F66C642" w14:textId="3F9FC6C2" w:rsidR="00533636" w:rsidRDefault="00744AB5" w:rsidP="00CA3B53">
      <w:pPr>
        <w:spacing w:after="240"/>
        <w:rPr>
          <w:color w:val="000000"/>
        </w:rPr>
      </w:pPr>
      <w:r w:rsidRPr="00CA3B53">
        <w:rPr>
          <w:color w:val="000000"/>
        </w:rPr>
        <w:t>MSAC noted</w:t>
      </w:r>
      <w:r w:rsidR="005D0A03">
        <w:rPr>
          <w:color w:val="000000"/>
        </w:rPr>
        <w:t xml:space="preserve"> the financial estimates for Population 1 and 2 were presented separately. </w:t>
      </w:r>
      <w:r w:rsidR="00533636">
        <w:rPr>
          <w:color w:val="000000"/>
        </w:rPr>
        <w:t xml:space="preserve">For Population 1, MSAC noted the estimates were </w:t>
      </w:r>
      <w:r w:rsidR="00533636" w:rsidRPr="00533636">
        <w:rPr>
          <w:color w:val="000000"/>
        </w:rPr>
        <w:t xml:space="preserve">based on current MBS data and </w:t>
      </w:r>
      <w:r w:rsidR="006400A9" w:rsidRPr="006400A9">
        <w:rPr>
          <w:b/>
          <w:bCs/>
          <w:color w:val="000000"/>
        </w:rPr>
        <w:t>REDACTED</w:t>
      </w:r>
      <w:r w:rsidR="006400A9" w:rsidRPr="00CA3B53">
        <w:rPr>
          <w:color w:val="000000"/>
        </w:rPr>
        <w:t xml:space="preserve"> </w:t>
      </w:r>
      <w:r w:rsidR="00533636" w:rsidRPr="00533636">
        <w:rPr>
          <w:color w:val="000000"/>
        </w:rPr>
        <w:t>% eligibility expansion while assuming the same</w:t>
      </w:r>
      <w:r w:rsidR="00533636">
        <w:rPr>
          <w:color w:val="000000"/>
        </w:rPr>
        <w:t xml:space="preserve"> suitability and referral rates, which indicated</w:t>
      </w:r>
      <w:r w:rsidR="00533636" w:rsidRPr="00533636">
        <w:t xml:space="preserve"> </w:t>
      </w:r>
      <w:r w:rsidR="00533636">
        <w:rPr>
          <w:color w:val="000000"/>
        </w:rPr>
        <w:t>o</w:t>
      </w:r>
      <w:r w:rsidR="00533636" w:rsidRPr="00533636">
        <w:rPr>
          <w:color w:val="000000"/>
        </w:rPr>
        <w:t xml:space="preserve">ver the five-year period, </w:t>
      </w:r>
      <w:r w:rsidR="00533636">
        <w:rPr>
          <w:color w:val="000000"/>
        </w:rPr>
        <w:t>the</w:t>
      </w:r>
      <w:r w:rsidR="00533636" w:rsidRPr="00533636">
        <w:rPr>
          <w:color w:val="000000"/>
        </w:rPr>
        <w:t xml:space="preserve"> MBS</w:t>
      </w:r>
      <w:r w:rsidR="001A6F51">
        <w:rPr>
          <w:color w:val="000000"/>
        </w:rPr>
        <w:t xml:space="preserve"> budget</w:t>
      </w:r>
      <w:r w:rsidR="00533636" w:rsidRPr="00533636">
        <w:rPr>
          <w:color w:val="000000"/>
        </w:rPr>
        <w:t xml:space="preserve"> impact</w:t>
      </w:r>
      <w:r w:rsidR="00533636">
        <w:rPr>
          <w:color w:val="000000"/>
        </w:rPr>
        <w:t xml:space="preserve"> </w:t>
      </w:r>
      <w:r w:rsidR="001A6F51">
        <w:rPr>
          <w:color w:val="000000"/>
        </w:rPr>
        <w:t>is</w:t>
      </w:r>
      <w:r w:rsidR="00533636" w:rsidRPr="00533636">
        <w:rPr>
          <w:color w:val="000000"/>
        </w:rPr>
        <w:t xml:space="preserve"> $</w:t>
      </w:r>
      <w:r w:rsidR="006400A9" w:rsidRPr="006400A9">
        <w:rPr>
          <w:b/>
          <w:bCs/>
          <w:color w:val="000000"/>
        </w:rPr>
        <w:t>REDACTED</w:t>
      </w:r>
      <w:r w:rsidR="006400A9" w:rsidRPr="00CA3B53">
        <w:rPr>
          <w:color w:val="000000"/>
        </w:rPr>
        <w:t xml:space="preserve"> </w:t>
      </w:r>
      <w:r w:rsidR="00533636" w:rsidRPr="00533636">
        <w:rPr>
          <w:color w:val="000000"/>
        </w:rPr>
        <w:t>to $</w:t>
      </w:r>
      <w:r w:rsidR="006400A9" w:rsidRPr="006400A9">
        <w:rPr>
          <w:b/>
          <w:bCs/>
          <w:color w:val="000000"/>
        </w:rPr>
        <w:t>REDACTED</w:t>
      </w:r>
      <w:r w:rsidR="006400A9" w:rsidRPr="00CA3B53">
        <w:rPr>
          <w:color w:val="000000"/>
        </w:rPr>
        <w:t xml:space="preserve"> </w:t>
      </w:r>
      <w:r w:rsidR="001A6F51">
        <w:rPr>
          <w:color w:val="000000"/>
        </w:rPr>
        <w:t xml:space="preserve">MSAC noted that the utilisation of MBS item 38276 for patients with absolute contraindications since inclusion on the MBS appears to be fairly stable. For Population 2, </w:t>
      </w:r>
      <w:r w:rsidR="001A6F51" w:rsidRPr="00CA3B53">
        <w:rPr>
          <w:color w:val="000000"/>
        </w:rPr>
        <w:t>MSAC noted that the applicant estimated that the utilisation of LAA</w:t>
      </w:r>
      <w:r w:rsidR="001A6F51">
        <w:rPr>
          <w:color w:val="000000"/>
        </w:rPr>
        <w:t xml:space="preserve">C would increase about </w:t>
      </w:r>
      <w:r w:rsidR="006400A9" w:rsidRPr="006400A9">
        <w:rPr>
          <w:b/>
          <w:bCs/>
          <w:color w:val="000000"/>
        </w:rPr>
        <w:t>REDACTED</w:t>
      </w:r>
      <w:r w:rsidR="001A6F51">
        <w:rPr>
          <w:color w:val="000000"/>
        </w:rPr>
        <w:t xml:space="preserve">-fold. </w:t>
      </w:r>
      <w:r w:rsidR="001A6F51" w:rsidRPr="00CA3B53">
        <w:rPr>
          <w:color w:val="000000"/>
        </w:rPr>
        <w:t>MSAC noted that the difficulty in defining Population 2 means that there is potential for significant budget impacts.</w:t>
      </w:r>
      <w:r w:rsidR="001A6F51">
        <w:rPr>
          <w:color w:val="000000"/>
        </w:rPr>
        <w:t xml:space="preserve"> </w:t>
      </w:r>
      <w:r w:rsidR="001A6F51" w:rsidRPr="005D0A03">
        <w:rPr>
          <w:color w:val="000000"/>
        </w:rPr>
        <w:t xml:space="preserve"> </w:t>
      </w:r>
      <w:r w:rsidR="001A6F51">
        <w:rPr>
          <w:color w:val="000000"/>
        </w:rPr>
        <w:t>MSAC noted the pre-MSAC response presented additional sensitivity analyses testing the eligible patient population, treatmen</w:t>
      </w:r>
      <w:r w:rsidR="00D03146">
        <w:rPr>
          <w:color w:val="000000"/>
        </w:rPr>
        <w:t xml:space="preserve">t uptake </w:t>
      </w:r>
      <w:r w:rsidR="001A6F51">
        <w:rPr>
          <w:color w:val="000000"/>
        </w:rPr>
        <w:t>and the population overlap between Population 1 and 2, which indicated there is potential for</w:t>
      </w:r>
      <w:r w:rsidR="001A6F51" w:rsidRPr="00CA3B53">
        <w:rPr>
          <w:color w:val="000000"/>
        </w:rPr>
        <w:t xml:space="preserve"> significant additional costs to the MBS and the healthcare system (up to $</w:t>
      </w:r>
      <w:r w:rsidR="006400A9" w:rsidRPr="006400A9">
        <w:rPr>
          <w:b/>
          <w:bCs/>
          <w:color w:val="000000"/>
        </w:rPr>
        <w:t>REDACTED</w:t>
      </w:r>
      <w:r w:rsidR="001A6F51" w:rsidRPr="00CA3B53">
        <w:rPr>
          <w:color w:val="000000"/>
        </w:rPr>
        <w:t> million).</w:t>
      </w:r>
    </w:p>
    <w:p w14:paraId="57329C4A" w14:textId="6985B52F" w:rsidR="00E87693" w:rsidRPr="00CA3B53" w:rsidRDefault="005D0A03" w:rsidP="003302E4">
      <w:pPr>
        <w:spacing w:after="240"/>
        <w:rPr>
          <w:color w:val="000000"/>
        </w:rPr>
      </w:pPr>
      <w:r>
        <w:rPr>
          <w:color w:val="000000"/>
        </w:rPr>
        <w:lastRenderedPageBreak/>
        <w:t xml:space="preserve">MSAC considered </w:t>
      </w:r>
      <w:r w:rsidR="00744AB5" w:rsidRPr="00CA3B53">
        <w:rPr>
          <w:color w:val="000000"/>
        </w:rPr>
        <w:t>that the proposed LAAC listing eligibility criteria for either or both the absolute contraindications population (Population 1) and relative contraindications</w:t>
      </w:r>
      <w:r w:rsidR="00744AB5" w:rsidRPr="00CA3B53" w:rsidDel="00604F30">
        <w:rPr>
          <w:color w:val="000000"/>
        </w:rPr>
        <w:t xml:space="preserve"> </w:t>
      </w:r>
      <w:r w:rsidR="00744AB5" w:rsidRPr="00CA3B53">
        <w:rPr>
          <w:color w:val="000000"/>
        </w:rPr>
        <w:t xml:space="preserve">population (Population 2) have the potential to “grow the market” for LAAC treatment, with potentially material financial implications for the MBS. However, the extent of any changes in LAAC treatment numbers and resulting financial impacts that would result from the proposed revisions of either population (or both) </w:t>
      </w:r>
      <w:r w:rsidR="007B222D">
        <w:rPr>
          <w:color w:val="000000"/>
        </w:rPr>
        <w:t>was</w:t>
      </w:r>
      <w:r w:rsidR="007B222D" w:rsidRPr="00CA3B53">
        <w:rPr>
          <w:color w:val="000000"/>
        </w:rPr>
        <w:t xml:space="preserve"> </w:t>
      </w:r>
      <w:r w:rsidR="00744AB5" w:rsidRPr="00CA3B53">
        <w:rPr>
          <w:color w:val="000000"/>
        </w:rPr>
        <w:t>unclear. </w:t>
      </w:r>
      <w:r w:rsidR="001A6F51">
        <w:rPr>
          <w:color w:val="000000"/>
        </w:rPr>
        <w:t>MSAC also</w:t>
      </w:r>
      <w:r w:rsidR="007B222D">
        <w:rPr>
          <w:color w:val="000000"/>
        </w:rPr>
        <w:t xml:space="preserve"> considered </w:t>
      </w:r>
      <w:r w:rsidR="007B222D" w:rsidRPr="00CA3B53">
        <w:rPr>
          <w:color w:val="000000"/>
        </w:rPr>
        <w:t xml:space="preserve">that costs maybe underestimated depending on whether the pre-intervention screening </w:t>
      </w:r>
      <w:r w:rsidR="00174A21">
        <w:rPr>
          <w:color w:val="000000"/>
        </w:rPr>
        <w:t xml:space="preserve">occurs </w:t>
      </w:r>
      <w:r w:rsidR="007B222D" w:rsidRPr="00CA3B53">
        <w:rPr>
          <w:color w:val="000000"/>
        </w:rPr>
        <w:t>as an in-patient or outpatient. MSAC noted that utilisation and costing are uncertain and that more robust estimates of population size</w:t>
      </w:r>
      <w:r w:rsidR="00533636">
        <w:rPr>
          <w:color w:val="000000"/>
        </w:rPr>
        <w:t xml:space="preserve"> for Population 2</w:t>
      </w:r>
      <w:r w:rsidR="007B222D" w:rsidRPr="00CA3B53">
        <w:rPr>
          <w:color w:val="000000"/>
        </w:rPr>
        <w:t xml:space="preserve"> with sensitivity analyses are required.</w:t>
      </w:r>
    </w:p>
    <w:p w14:paraId="39D06FE6" w14:textId="25F9DB43" w:rsidR="003302E4" w:rsidRPr="00CA3B53" w:rsidRDefault="003302E4" w:rsidP="003302E4">
      <w:pPr>
        <w:spacing w:after="240"/>
        <w:rPr>
          <w:color w:val="000000"/>
        </w:rPr>
      </w:pPr>
      <w:r w:rsidRPr="00CA3B53">
        <w:rPr>
          <w:color w:val="000000"/>
        </w:rPr>
        <w:t xml:space="preserve">MSAC </w:t>
      </w:r>
      <w:r w:rsidR="001A6F51">
        <w:rPr>
          <w:color w:val="000000"/>
        </w:rPr>
        <w:t xml:space="preserve">also </w:t>
      </w:r>
      <w:r w:rsidRPr="00CA3B53">
        <w:rPr>
          <w:color w:val="000000"/>
        </w:rPr>
        <w:t xml:space="preserve">noted that currently </w:t>
      </w:r>
      <w:r w:rsidR="00174A21">
        <w:rPr>
          <w:color w:val="000000"/>
        </w:rPr>
        <w:t xml:space="preserve">approximately </w:t>
      </w:r>
      <w:r w:rsidR="00BF33EC" w:rsidRPr="00BF33EC">
        <w:rPr>
          <w:b/>
          <w:bCs/>
          <w:color w:val="000000"/>
        </w:rPr>
        <w:t>REDACTED</w:t>
      </w:r>
      <w:r w:rsidR="00BF33EC">
        <w:rPr>
          <w:color w:val="000000"/>
        </w:rPr>
        <w:t xml:space="preserve"> </w:t>
      </w:r>
      <w:r w:rsidRPr="00CA3B53">
        <w:rPr>
          <w:color w:val="000000"/>
        </w:rPr>
        <w:t xml:space="preserve">centres perform this intervention </w:t>
      </w:r>
      <w:r w:rsidR="00FF068A">
        <w:rPr>
          <w:color w:val="000000"/>
        </w:rPr>
        <w:t>but that it may not be</w:t>
      </w:r>
      <w:r w:rsidRPr="00CA3B53">
        <w:rPr>
          <w:color w:val="000000"/>
        </w:rPr>
        <w:t xml:space="preserve"> easily accessible for people living in remote and regional Australia.</w:t>
      </w:r>
    </w:p>
    <w:p w14:paraId="6C9F627C" w14:textId="5817412A" w:rsidR="007B222D" w:rsidRPr="00CA3B53" w:rsidRDefault="00790537" w:rsidP="007B222D">
      <w:pPr>
        <w:spacing w:after="240"/>
        <w:rPr>
          <w:color w:val="000000"/>
        </w:rPr>
      </w:pPr>
      <w:r>
        <w:rPr>
          <w:color w:val="000000"/>
        </w:rPr>
        <w:t xml:space="preserve">MSAC reviewed </w:t>
      </w:r>
      <w:r w:rsidR="001A6F51">
        <w:rPr>
          <w:color w:val="000000"/>
        </w:rPr>
        <w:t xml:space="preserve">the applicant’s proposed amendments to MBS item 38276 to expand the absolute contraindications (Population 1) and include relative contraindications (Population 2) in the explanatory note. </w:t>
      </w:r>
      <w:r w:rsidR="003D3C9E">
        <w:rPr>
          <w:color w:val="000000"/>
        </w:rPr>
        <w:t>In regard to</w:t>
      </w:r>
      <w:r w:rsidR="001A6F51">
        <w:rPr>
          <w:color w:val="000000"/>
        </w:rPr>
        <w:t xml:space="preserve"> Population 1, after considering the evidence available, </w:t>
      </w:r>
      <w:r w:rsidR="007B222D">
        <w:rPr>
          <w:color w:val="000000"/>
        </w:rPr>
        <w:t>MSAC considered it was reasonable to extend the service to include patients with other absolute contraindications, if the population can be well defined. MSAC noted the consultation feedback on the list of contraindications provided by three clinical societies and a Neurologist/</w:t>
      </w:r>
      <w:r w:rsidR="007B222D" w:rsidRPr="0096757B">
        <w:rPr>
          <w:color w:val="000000"/>
        </w:rPr>
        <w:t>Neurointerventionist</w:t>
      </w:r>
      <w:r w:rsidR="007B222D">
        <w:rPr>
          <w:color w:val="000000"/>
        </w:rPr>
        <w:t>. MSAC deliberated on options for ensuring patients with a clinically valid absolute and perm</w:t>
      </w:r>
      <w:r w:rsidR="00174A21">
        <w:rPr>
          <w:color w:val="000000"/>
        </w:rPr>
        <w:t>an</w:t>
      </w:r>
      <w:r w:rsidR="007B222D">
        <w:rPr>
          <w:color w:val="000000"/>
        </w:rPr>
        <w:t xml:space="preserve">ent contraindication are defined and have access to LAAC while respecting the autonomy of clinicians and patients in the decision making. MSAC advised that the item descriptor should be amended to require formal written documentation </w:t>
      </w:r>
      <w:r w:rsidR="007B222D" w:rsidRPr="0096757B">
        <w:rPr>
          <w:color w:val="000000"/>
        </w:rPr>
        <w:t>that the patient has an absolute and permanent contraindication to oral anticoagulation from a</w:t>
      </w:r>
      <w:r w:rsidR="007B222D">
        <w:rPr>
          <w:color w:val="000000"/>
        </w:rPr>
        <w:t>n independent</w:t>
      </w:r>
      <w:r w:rsidR="007B222D" w:rsidRPr="0096757B">
        <w:rPr>
          <w:color w:val="000000"/>
        </w:rPr>
        <w:t xml:space="preserve"> </w:t>
      </w:r>
      <w:r w:rsidR="007B222D">
        <w:rPr>
          <w:color w:val="000000"/>
        </w:rPr>
        <w:t>specialist</w:t>
      </w:r>
      <w:r w:rsidR="009C4DE5">
        <w:rPr>
          <w:color w:val="000000"/>
        </w:rPr>
        <w:t>/medical practitioner</w:t>
      </w:r>
      <w:r w:rsidR="007B222D">
        <w:rPr>
          <w:color w:val="000000"/>
        </w:rPr>
        <w:t xml:space="preserve"> (i.e. non-cardiologist). </w:t>
      </w:r>
    </w:p>
    <w:p w14:paraId="15344CB4" w14:textId="34744D5B" w:rsidR="00790537" w:rsidRPr="00CA3B53" w:rsidRDefault="003D3C9E" w:rsidP="00CA3B53">
      <w:pPr>
        <w:spacing w:after="240"/>
        <w:rPr>
          <w:color w:val="000000"/>
        </w:rPr>
      </w:pPr>
      <w:r>
        <w:rPr>
          <w:color w:val="000000"/>
        </w:rPr>
        <w:t>In regard to</w:t>
      </w:r>
      <w:r w:rsidR="001A6F51">
        <w:rPr>
          <w:color w:val="000000"/>
        </w:rPr>
        <w:t xml:space="preserve"> Population 2, after considering the evidence available</w:t>
      </w:r>
      <w:r w:rsidR="00790537">
        <w:rPr>
          <w:color w:val="000000"/>
        </w:rPr>
        <w:t xml:space="preserve">, MSAC did not support amending the definition to include relative contraindications to anticoagulation.  </w:t>
      </w:r>
    </w:p>
    <w:p w14:paraId="56F16AB7" w14:textId="0415290C" w:rsidR="00550121" w:rsidRPr="00CA3B53" w:rsidRDefault="00E87693" w:rsidP="00550121">
      <w:pPr>
        <w:spacing w:after="240"/>
        <w:rPr>
          <w:color w:val="000000"/>
        </w:rPr>
      </w:pPr>
      <w:r>
        <w:rPr>
          <w:color w:val="000000"/>
        </w:rPr>
        <w:t xml:space="preserve">MSAC </w:t>
      </w:r>
      <w:r w:rsidR="00790537">
        <w:rPr>
          <w:color w:val="000000"/>
        </w:rPr>
        <w:t>reviewed the applicant’s proposal to create t</w:t>
      </w:r>
      <w:r>
        <w:rPr>
          <w:color w:val="000000"/>
        </w:rPr>
        <w:t xml:space="preserve">wo new case conference MBS items for assessing patient eligibility to LAAC by a non-interventional and interventional physician. </w:t>
      </w:r>
      <w:r w:rsidR="003B4E61">
        <w:rPr>
          <w:color w:val="000000"/>
        </w:rPr>
        <w:t xml:space="preserve">MSAC recommended the </w:t>
      </w:r>
      <w:r w:rsidR="003B4E61" w:rsidRPr="003B4E61">
        <w:rPr>
          <w:color w:val="000000"/>
        </w:rPr>
        <w:t xml:space="preserve">applicant’s proposal for a case conference to assess patient eligibility be included in the item descriptor of the procedural item rather </w:t>
      </w:r>
      <w:r w:rsidR="003B4E61">
        <w:rPr>
          <w:color w:val="000000"/>
        </w:rPr>
        <w:t>than creating two new case conference items</w:t>
      </w:r>
      <w:r w:rsidR="003B4E61" w:rsidRPr="003B4E61">
        <w:rPr>
          <w:color w:val="000000"/>
        </w:rPr>
        <w:t>.</w:t>
      </w:r>
      <w:r w:rsidR="003B4E61">
        <w:rPr>
          <w:color w:val="000000"/>
        </w:rPr>
        <w:t xml:space="preserve"> MSAC also recommended that </w:t>
      </w:r>
      <w:r w:rsidR="003B4E61" w:rsidRPr="003B4E61">
        <w:rPr>
          <w:color w:val="000000"/>
        </w:rPr>
        <w:t>the service should be amended to include all associated imaging (which includes catheter and contrast) to represent a complete medical service and the specific associated co-claiming restrictions for heart catheterisation.</w:t>
      </w:r>
    </w:p>
    <w:p w14:paraId="455244B5" w14:textId="20D4B083" w:rsidR="00744AB5" w:rsidRPr="00CA3B53" w:rsidRDefault="00744AB5" w:rsidP="00CA3B53">
      <w:pPr>
        <w:spacing w:after="240"/>
        <w:rPr>
          <w:color w:val="000000"/>
        </w:rPr>
      </w:pPr>
      <w:r w:rsidRPr="00CA3B53">
        <w:rPr>
          <w:color w:val="000000"/>
        </w:rPr>
        <w:t xml:space="preserve">MSAC </w:t>
      </w:r>
      <w:r w:rsidR="00F2330A">
        <w:rPr>
          <w:color w:val="000000"/>
        </w:rPr>
        <w:t>discussed whether there is a</w:t>
      </w:r>
      <w:r w:rsidRPr="00CA3B53">
        <w:rPr>
          <w:color w:val="000000"/>
        </w:rPr>
        <w:t xml:space="preserve"> need for an onsite cardiac surgeon</w:t>
      </w:r>
      <w:r w:rsidR="006C7856">
        <w:rPr>
          <w:color w:val="000000"/>
        </w:rPr>
        <w:t xml:space="preserve"> </w:t>
      </w:r>
      <w:r w:rsidR="00F2330A">
        <w:rPr>
          <w:color w:val="000000"/>
        </w:rPr>
        <w:t xml:space="preserve">where </w:t>
      </w:r>
      <w:r w:rsidR="006C7856">
        <w:rPr>
          <w:color w:val="000000"/>
        </w:rPr>
        <w:t>the LAAC procedure</w:t>
      </w:r>
      <w:r w:rsidR="00F2330A">
        <w:rPr>
          <w:color w:val="000000"/>
        </w:rPr>
        <w:t xml:space="preserve"> is being performed</w:t>
      </w:r>
      <w:r w:rsidRPr="00CA3B53">
        <w:rPr>
          <w:color w:val="000000"/>
        </w:rPr>
        <w:t>. MSAC requested the Department to ask the applicant to provide</w:t>
      </w:r>
      <w:r w:rsidR="003D3C9E">
        <w:rPr>
          <w:color w:val="000000"/>
        </w:rPr>
        <w:t xml:space="preserve"> Registry</w:t>
      </w:r>
      <w:r w:rsidRPr="00CA3B53">
        <w:rPr>
          <w:color w:val="000000"/>
        </w:rPr>
        <w:t xml:space="preserve"> data on </w:t>
      </w:r>
      <w:r w:rsidR="006C7856">
        <w:rPr>
          <w:color w:val="000000"/>
        </w:rPr>
        <w:t>emergency</w:t>
      </w:r>
      <w:r w:rsidR="006C7856" w:rsidRPr="00CA3B53">
        <w:rPr>
          <w:color w:val="000000"/>
        </w:rPr>
        <w:t xml:space="preserve"> </w:t>
      </w:r>
      <w:r w:rsidRPr="00CA3B53">
        <w:rPr>
          <w:color w:val="000000"/>
        </w:rPr>
        <w:t>surgical intervention rates and compare onsite with no onsite</w:t>
      </w:r>
      <w:r w:rsidR="00851C24">
        <w:rPr>
          <w:color w:val="000000"/>
        </w:rPr>
        <w:t xml:space="preserve"> cardiac surgery</w:t>
      </w:r>
      <w:r w:rsidRPr="00CA3B53">
        <w:rPr>
          <w:color w:val="000000"/>
        </w:rPr>
        <w:t xml:space="preserve">. The MSAC Executive can then review the data and </w:t>
      </w:r>
      <w:r w:rsidR="003D3C9E">
        <w:rPr>
          <w:color w:val="000000"/>
        </w:rPr>
        <w:t>advise</w:t>
      </w:r>
      <w:r w:rsidR="003D3C9E" w:rsidRPr="00CA3B53">
        <w:rPr>
          <w:color w:val="000000"/>
        </w:rPr>
        <w:t xml:space="preserve"> </w:t>
      </w:r>
      <w:r w:rsidRPr="00CA3B53">
        <w:rPr>
          <w:color w:val="000000"/>
        </w:rPr>
        <w:t>a</w:t>
      </w:r>
      <w:r w:rsidR="003D3C9E">
        <w:rPr>
          <w:color w:val="000000"/>
        </w:rPr>
        <w:t>n evidence</w:t>
      </w:r>
      <w:r w:rsidR="00265004">
        <w:rPr>
          <w:color w:val="000000"/>
        </w:rPr>
        <w:t>-</w:t>
      </w:r>
      <w:r w:rsidR="003D3C9E">
        <w:rPr>
          <w:color w:val="000000"/>
        </w:rPr>
        <w:t>based</w:t>
      </w:r>
      <w:r w:rsidRPr="00CA3B53">
        <w:rPr>
          <w:color w:val="000000"/>
        </w:rPr>
        <w:t xml:space="preserve"> decision</w:t>
      </w:r>
      <w:r w:rsidR="00D74BE3">
        <w:rPr>
          <w:color w:val="000000"/>
        </w:rPr>
        <w:t xml:space="preserve"> prior to implementation</w:t>
      </w:r>
      <w:r w:rsidRPr="00CA3B53">
        <w:rPr>
          <w:color w:val="000000"/>
        </w:rPr>
        <w:t>.</w:t>
      </w:r>
    </w:p>
    <w:p w14:paraId="018FAD7B" w14:textId="77777777" w:rsidR="00BC1364" w:rsidRPr="00F715D1" w:rsidRDefault="00BC1364" w:rsidP="00F715D1">
      <w:pPr>
        <w:pStyle w:val="Heading1"/>
      </w:pPr>
      <w:r w:rsidRPr="00F715D1">
        <w:t>Background</w:t>
      </w:r>
    </w:p>
    <w:p w14:paraId="0D61F844" w14:textId="384381C6" w:rsidR="00D03146" w:rsidRDefault="00AC1DAF" w:rsidP="00D03146">
      <w:pPr>
        <w:spacing w:before="240" w:after="240"/>
        <w:contextualSpacing/>
      </w:pPr>
      <w:r>
        <w:t xml:space="preserve">Transcatheter occlusion of the </w:t>
      </w:r>
      <w:r w:rsidR="00417B0D">
        <w:t xml:space="preserve">left atrial appendage </w:t>
      </w:r>
      <w:r>
        <w:t xml:space="preserve">for stroke prevention in patients with NVAF who have an increased risk of thromboembolism and have a contraindication to lifelong oral anticoagulant therapy has been listed on the MBS (item 38276) since 1 November 2017, following consideration and support by MSAC (see </w:t>
      </w:r>
      <w:hyperlink r:id="rId10" w:history="1">
        <w:r w:rsidRPr="007C55DB">
          <w:rPr>
            <w:rStyle w:val="Hyperlink"/>
          </w:rPr>
          <w:t>MSAC application 1347.1 Public Summary Document</w:t>
        </w:r>
      </w:hyperlink>
      <w:r>
        <w:t xml:space="preserve"> [PSD]). </w:t>
      </w:r>
      <w:r w:rsidR="00D03146">
        <w:br w:type="page"/>
      </w:r>
    </w:p>
    <w:p w14:paraId="03DA645D" w14:textId="2A43FD87" w:rsidR="00AC1DAF" w:rsidRDefault="00AC1DAF" w:rsidP="00D77296">
      <w:pPr>
        <w:spacing w:before="240" w:after="240"/>
      </w:pPr>
      <w:r>
        <w:lastRenderedPageBreak/>
        <w:t xml:space="preserve">The current explanatory note for MBS item 38276 defines a contraindication to lifelong </w:t>
      </w:r>
      <w:r w:rsidRPr="00745107">
        <w:t>anticoagulation</w:t>
      </w:r>
      <w:r>
        <w:t xml:space="preserve"> as:</w:t>
      </w:r>
      <w:r w:rsidRPr="0044731F">
        <w:t xml:space="preserve"> </w:t>
      </w:r>
    </w:p>
    <w:p w14:paraId="6C48EE44" w14:textId="77777777" w:rsidR="00AC1DAF" w:rsidRDefault="00AC1DAF" w:rsidP="00AC1DAF">
      <w:pPr>
        <w:pStyle w:val="ListParagraph"/>
        <w:numPr>
          <w:ilvl w:val="0"/>
          <w:numId w:val="29"/>
        </w:numPr>
      </w:pPr>
      <w:r>
        <w:t xml:space="preserve">a previous major bleeding complication experienced whilst undergoing treatment with oral anticoagulation therapy, </w:t>
      </w:r>
    </w:p>
    <w:p w14:paraId="44E9A688" w14:textId="77777777" w:rsidR="00AC1DAF" w:rsidRDefault="00AC1DAF" w:rsidP="00AC1DAF">
      <w:pPr>
        <w:pStyle w:val="ListParagraph"/>
        <w:numPr>
          <w:ilvl w:val="0"/>
          <w:numId w:val="29"/>
        </w:numPr>
      </w:pPr>
      <w:r>
        <w:t xml:space="preserve">a blood dyscrasia, or </w:t>
      </w:r>
    </w:p>
    <w:p w14:paraId="593F8F51" w14:textId="62BE87CA" w:rsidR="00AC1DAF" w:rsidRDefault="00AC1DAF" w:rsidP="00AC1DAF">
      <w:pPr>
        <w:pStyle w:val="ListParagraph"/>
        <w:numPr>
          <w:ilvl w:val="0"/>
          <w:numId w:val="29"/>
        </w:numPr>
      </w:pPr>
      <w:r>
        <w:t>a vascular abnormality predisposing to potentially life</w:t>
      </w:r>
      <w:r w:rsidR="00265004">
        <w:t>-</w:t>
      </w:r>
      <w:r>
        <w:t xml:space="preserve">threatening haemorrhage. </w:t>
      </w:r>
    </w:p>
    <w:p w14:paraId="766A00E5" w14:textId="1DB3E324" w:rsidR="00AC1DAF" w:rsidRDefault="00D77296" w:rsidP="00E93186">
      <w:pPr>
        <w:spacing w:before="240"/>
        <w:contextualSpacing/>
      </w:pPr>
      <w:r>
        <w:t>The</w:t>
      </w:r>
      <w:r w:rsidR="00AC1DAF">
        <w:t xml:space="preserve"> application </w:t>
      </w:r>
      <w:r>
        <w:t>seeks</w:t>
      </w:r>
      <w:r w:rsidR="00AC1DAF">
        <w:t xml:space="preserve"> to</w:t>
      </w:r>
      <w:r w:rsidR="00AC1DAF" w:rsidRPr="000E0BFD">
        <w:t xml:space="preserve"> </w:t>
      </w:r>
      <w:r>
        <w:t>expand</w:t>
      </w:r>
      <w:r w:rsidR="00AC1DAF" w:rsidRPr="000E0BFD">
        <w:t xml:space="preserve"> </w:t>
      </w:r>
      <w:r w:rsidR="00AC1DAF">
        <w:t xml:space="preserve">the patient population eligible for </w:t>
      </w:r>
      <w:r>
        <w:t xml:space="preserve">MBS item 38276, by </w:t>
      </w:r>
      <w:r w:rsidR="00AC1DAF">
        <w:t>modify</w:t>
      </w:r>
      <w:r>
        <w:t>ing</w:t>
      </w:r>
      <w:r w:rsidR="00AC1DAF">
        <w:t xml:space="preserve"> </w:t>
      </w:r>
      <w:r w:rsidR="00AC1DAF" w:rsidRPr="000E0BFD">
        <w:t xml:space="preserve">the definition of contraindication to lifelong </w:t>
      </w:r>
      <w:r w:rsidR="00AC1DAF" w:rsidRPr="00745107">
        <w:t>anticoagulation</w:t>
      </w:r>
      <w:r w:rsidR="00AC1DAF">
        <w:t xml:space="preserve"> </w:t>
      </w:r>
      <w:r w:rsidR="00AC1DAF" w:rsidRPr="000E0BFD">
        <w:t>to</w:t>
      </w:r>
      <w:r w:rsidR="00AC1DAF">
        <w:t>:</w:t>
      </w:r>
    </w:p>
    <w:p w14:paraId="5BB155AA" w14:textId="77777777" w:rsidR="00AC1DAF" w:rsidRPr="00D00FC5" w:rsidRDefault="00AC1DAF" w:rsidP="00AC1DAF">
      <w:pPr>
        <w:pStyle w:val="ListParagraph"/>
        <w:numPr>
          <w:ilvl w:val="0"/>
          <w:numId w:val="28"/>
        </w:numPr>
        <w:rPr>
          <w:vanish/>
          <w:color w:val="C00000"/>
        </w:rPr>
      </w:pPr>
      <w:r>
        <w:t xml:space="preserve">expand the list of absolute contraindications to </w:t>
      </w:r>
      <w:r w:rsidRPr="00745107">
        <w:t>anticoagulation</w:t>
      </w:r>
      <w:r>
        <w:t xml:space="preserve"> (Population 1), and</w:t>
      </w:r>
    </w:p>
    <w:p w14:paraId="7E2D99F0" w14:textId="78B85130" w:rsidR="00AC1DAF" w:rsidRPr="00E93186" w:rsidRDefault="00AC1DAF" w:rsidP="00E93186">
      <w:pPr>
        <w:pStyle w:val="ListParagraph"/>
        <w:numPr>
          <w:ilvl w:val="0"/>
          <w:numId w:val="28"/>
        </w:numPr>
        <w:rPr>
          <w:vanish/>
          <w:color w:val="C00000"/>
        </w:rPr>
      </w:pPr>
      <w:r w:rsidRPr="000E0BFD">
        <w:t>inclu</w:t>
      </w:r>
      <w:r>
        <w:t xml:space="preserve">de </w:t>
      </w:r>
      <w:r w:rsidRPr="000E0BFD">
        <w:t xml:space="preserve">relative contraindications to </w:t>
      </w:r>
      <w:r w:rsidRPr="00745107">
        <w:t>anticoagulation</w:t>
      </w:r>
      <w:r>
        <w:t xml:space="preserve"> (Population 2)</w:t>
      </w:r>
      <w:r w:rsidRPr="000E0BFD">
        <w:t>.</w:t>
      </w:r>
    </w:p>
    <w:p w14:paraId="24C75944" w14:textId="3F3C5D4B" w:rsidR="00AC1DAF" w:rsidRDefault="00AC1DAF" w:rsidP="00E93186">
      <w:pPr>
        <w:spacing w:before="240" w:after="240"/>
      </w:pPr>
      <w:r>
        <w:t>Following consideration of the PICO</w:t>
      </w:r>
      <w:r>
        <w:rPr>
          <w:rStyle w:val="FootnoteReference"/>
        </w:rPr>
        <w:footnoteReference w:id="1"/>
      </w:r>
      <w:r>
        <w:t xml:space="preserve"> confirmation by the PICO Advisory Sub-Committee (PASC) at its April 2020 meeting, a budget impact analysis for Population 1 was referred to the MSAC executive for consideration. </w:t>
      </w:r>
      <w:r w:rsidRPr="00D95A15">
        <w:t>The MSAC Executive did not consider it appropriate to expand the previously supported patient population and amend the absolute list of contraindications currently stated in MBS item 38276 without further evaluation. The MSAC Executive advised that both proposed populations should progress through the full MSAC process.</w:t>
      </w:r>
    </w:p>
    <w:p w14:paraId="0EB8410D" w14:textId="220FCD28" w:rsidR="00AC1DAF" w:rsidRDefault="00AC1DAF" w:rsidP="00AC1DAF">
      <w:r>
        <w:t>The ADAR</w:t>
      </w:r>
      <w:r w:rsidR="00B334CA">
        <w:t xml:space="preserve"> </w:t>
      </w:r>
      <w:r>
        <w:t xml:space="preserve">for MSAC Application 1615 subsequently lodged by the applicant pertains to both Population 1 and Population 2. However, the ADAR asserted that the clinical evidence and economic model previously reviewed and supported for MSAC Application 1374.1 remains unchanged and is applicable to Population 1 (absolute contraindication to </w:t>
      </w:r>
      <w:r w:rsidRPr="00745107">
        <w:t>anticoagulation</w:t>
      </w:r>
      <w:r>
        <w:t xml:space="preserve">). Therefore, for Population 1, the ADAR presented a review of the contraindication to DOAC to inform the proposed amended list of absolute contraindications to </w:t>
      </w:r>
      <w:r w:rsidRPr="00745107">
        <w:t>anticoagulation</w:t>
      </w:r>
      <w:r>
        <w:t xml:space="preserve">, along with a budget impact analysis to estimate the cost to the MBS as a consequence of expanding the list of absolute contraindications to </w:t>
      </w:r>
      <w:r w:rsidRPr="00745107">
        <w:t>anticoagulation</w:t>
      </w:r>
      <w:r>
        <w:t xml:space="preserve">. A full assessment of the safety, effectiveness and cost-effectiveness of LAAC against the nominated comparator was provided for Population 2 (relative contraindication to </w:t>
      </w:r>
      <w:r w:rsidRPr="00745107">
        <w:t>anticoagulation</w:t>
      </w:r>
      <w:r>
        <w:t>).</w:t>
      </w:r>
    </w:p>
    <w:p w14:paraId="4DA43DCE" w14:textId="77777777" w:rsidR="00BC1364" w:rsidRPr="00F715D1" w:rsidRDefault="00BC1364" w:rsidP="00F715D1">
      <w:pPr>
        <w:pStyle w:val="Heading1"/>
      </w:pPr>
      <w:r w:rsidRPr="00F715D1">
        <w:t>Prerequisites to implementation of any funding advice</w:t>
      </w:r>
    </w:p>
    <w:p w14:paraId="43C7FB29" w14:textId="35FB0864" w:rsidR="00D03146" w:rsidRPr="00D03146" w:rsidRDefault="00AC1DAF" w:rsidP="00D03146">
      <w:pPr>
        <w:spacing w:after="240"/>
      </w:pPr>
      <w:r w:rsidRPr="00171282">
        <w:t xml:space="preserve">Items on the Australian Register of Therapeutic Goods (ARTG) that are relevant to this application are shown in </w:t>
      </w:r>
      <w:r w:rsidRPr="00171282">
        <w:fldChar w:fldCharType="begin"/>
      </w:r>
      <w:r w:rsidRPr="00171282">
        <w:instrText xml:space="preserve"> REF _Ref58839428 \h </w:instrText>
      </w:r>
      <w:r>
        <w:instrText xml:space="preserve"> \* MERGEFORMAT </w:instrText>
      </w:r>
      <w:r w:rsidRPr="00171282">
        <w:fldChar w:fldCharType="separate"/>
      </w:r>
      <w:r w:rsidRPr="000E0BFD">
        <w:t xml:space="preserve">Table </w:t>
      </w:r>
      <w:r>
        <w:rPr>
          <w:noProof/>
        </w:rPr>
        <w:t>1</w:t>
      </w:r>
      <w:r w:rsidRPr="00171282">
        <w:fldChar w:fldCharType="end"/>
      </w:r>
      <w:r w:rsidRPr="00171282">
        <w:t>.</w:t>
      </w:r>
      <w:bookmarkStart w:id="0" w:name="_Ref58839428"/>
      <w:r w:rsidR="00D03146">
        <w:br w:type="page"/>
      </w:r>
    </w:p>
    <w:p w14:paraId="0874D500" w14:textId="591633A4" w:rsidR="00AC1DAF" w:rsidRPr="000E0BFD" w:rsidRDefault="00AC1DAF" w:rsidP="00AC1DAF">
      <w:pPr>
        <w:pStyle w:val="Caption"/>
      </w:pPr>
      <w:r w:rsidRPr="000E0BFD">
        <w:lastRenderedPageBreak/>
        <w:t xml:space="preserve">Table </w:t>
      </w:r>
      <w:r w:rsidR="00FE1F6B">
        <w:fldChar w:fldCharType="begin"/>
      </w:r>
      <w:r w:rsidR="00FE1F6B">
        <w:instrText xml:space="preserve"> SEQ Table \* ARABIC </w:instrText>
      </w:r>
      <w:r w:rsidR="00FE1F6B">
        <w:fldChar w:fldCharType="separate"/>
      </w:r>
      <w:r>
        <w:rPr>
          <w:noProof/>
        </w:rPr>
        <w:t>1</w:t>
      </w:r>
      <w:r w:rsidR="00FE1F6B">
        <w:rPr>
          <w:noProof/>
        </w:rPr>
        <w:fldChar w:fldCharType="end"/>
      </w:r>
      <w:bookmarkEnd w:id="0"/>
      <w:r w:rsidRPr="000E0BFD">
        <w:tab/>
        <w:t>LAA occluders and associated delivery kits listed on the ARTG</w:t>
      </w:r>
    </w:p>
    <w:tbl>
      <w:tblPr>
        <w:tblStyle w:val="OPTUMTableNormal"/>
        <w:tblW w:w="5000" w:type="pct"/>
        <w:tblLook w:val="04A0" w:firstRow="1" w:lastRow="0" w:firstColumn="1" w:lastColumn="0" w:noHBand="0" w:noVBand="1"/>
        <w:tblCaption w:val="Table 10 XXX listed on the Australian Register of Therapeutic Goods"/>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984"/>
        <w:gridCol w:w="2255"/>
        <w:gridCol w:w="3523"/>
        <w:gridCol w:w="2254"/>
      </w:tblGrid>
      <w:tr w:rsidR="00AC1DAF" w:rsidRPr="000E0BFD" w14:paraId="0AA66E0F" w14:textId="77777777" w:rsidTr="00511ED5">
        <w:trPr>
          <w:cnfStyle w:val="100000000000" w:firstRow="1" w:lastRow="0" w:firstColumn="0" w:lastColumn="0" w:oddVBand="0" w:evenVBand="0" w:oddHBand="0" w:evenHBand="0" w:firstRowFirstColumn="0" w:firstRowLastColumn="0" w:lastRowFirstColumn="0" w:lastRowLastColumn="0"/>
          <w:tblHeader/>
        </w:trPr>
        <w:tc>
          <w:tcPr>
            <w:tcW w:w="545" w:type="pct"/>
          </w:tcPr>
          <w:p w14:paraId="051C1DC5" w14:textId="77777777" w:rsidR="00AC1DAF" w:rsidRPr="003F7A91" w:rsidRDefault="00AC1DAF" w:rsidP="00E93186">
            <w:pPr>
              <w:pStyle w:val="Tabletextboldleft"/>
            </w:pPr>
            <w:r w:rsidRPr="003F7A91">
              <w:t>ARTG no.</w:t>
            </w:r>
          </w:p>
        </w:tc>
        <w:tc>
          <w:tcPr>
            <w:tcW w:w="1250" w:type="pct"/>
          </w:tcPr>
          <w:p w14:paraId="22AECDF5" w14:textId="77777777" w:rsidR="00AC1DAF" w:rsidRPr="003F7A91" w:rsidRDefault="00AC1DAF" w:rsidP="00E93186">
            <w:pPr>
              <w:pStyle w:val="Tabletextboldleft"/>
            </w:pPr>
            <w:r>
              <w:t>GMDN/ P</w:t>
            </w:r>
            <w:r w:rsidRPr="003F7A91">
              <w:t>roduct category</w:t>
            </w:r>
          </w:p>
        </w:tc>
        <w:tc>
          <w:tcPr>
            <w:tcW w:w="1954" w:type="pct"/>
          </w:tcPr>
          <w:p w14:paraId="271FFD1B" w14:textId="77777777" w:rsidR="00AC1DAF" w:rsidRPr="003F7A91" w:rsidRDefault="00AC1DAF" w:rsidP="00E93186">
            <w:pPr>
              <w:pStyle w:val="Tabletextboldleft"/>
            </w:pPr>
            <w:r w:rsidRPr="003F7A91">
              <w:t xml:space="preserve">Product </w:t>
            </w:r>
            <w:r>
              <w:t>name</w:t>
            </w:r>
          </w:p>
        </w:tc>
        <w:tc>
          <w:tcPr>
            <w:tcW w:w="1250" w:type="pct"/>
          </w:tcPr>
          <w:p w14:paraId="113DCB21" w14:textId="77777777" w:rsidR="00AC1DAF" w:rsidRPr="003F7A91" w:rsidRDefault="00AC1DAF" w:rsidP="00E93186">
            <w:pPr>
              <w:pStyle w:val="Tabletextboldleft"/>
            </w:pPr>
            <w:r w:rsidRPr="003F7A91">
              <w:t>Sponsor</w:t>
            </w:r>
          </w:p>
        </w:tc>
      </w:tr>
      <w:tr w:rsidR="00AC1DAF" w:rsidRPr="000E0BFD" w14:paraId="1E31CF33" w14:textId="77777777" w:rsidTr="00511ED5">
        <w:tc>
          <w:tcPr>
            <w:tcW w:w="545" w:type="pct"/>
          </w:tcPr>
          <w:p w14:paraId="2DD8EA5A" w14:textId="77777777" w:rsidR="00AC1DAF" w:rsidRPr="000E0BFD" w:rsidRDefault="00FE1F6B" w:rsidP="00E93186">
            <w:pPr>
              <w:pStyle w:val="Tabletext"/>
              <w:rPr>
                <w:b/>
                <w:bCs/>
              </w:rPr>
            </w:pPr>
            <w:hyperlink r:id="rId11" w:history="1">
              <w:r w:rsidR="00AC1DAF" w:rsidRPr="00ED2FAF">
                <w:rPr>
                  <w:rStyle w:val="Hyperlink"/>
                </w:rPr>
                <w:t>340173</w:t>
              </w:r>
            </w:hyperlink>
          </w:p>
        </w:tc>
        <w:tc>
          <w:tcPr>
            <w:tcW w:w="1250" w:type="pct"/>
          </w:tcPr>
          <w:p w14:paraId="75A33B4F" w14:textId="77777777" w:rsidR="00AC1DAF" w:rsidRPr="000E0BFD" w:rsidRDefault="00AC1DAF" w:rsidP="00E93186">
            <w:pPr>
              <w:pStyle w:val="Tabletext"/>
              <w:rPr>
                <w:b/>
                <w:bCs/>
              </w:rPr>
            </w:pPr>
            <w:r w:rsidRPr="000E0BFD">
              <w:rPr>
                <w:bCs/>
              </w:rPr>
              <w:t xml:space="preserve">45418 </w:t>
            </w:r>
            <w:r>
              <w:rPr>
                <w:bCs/>
              </w:rPr>
              <w:t>cardiac occluder</w:t>
            </w:r>
            <w:r w:rsidRPr="000E0BFD">
              <w:rPr>
                <w:bCs/>
              </w:rPr>
              <w:t>/ Medical Device Class III</w:t>
            </w:r>
          </w:p>
        </w:tc>
        <w:tc>
          <w:tcPr>
            <w:tcW w:w="1954" w:type="pct"/>
          </w:tcPr>
          <w:p w14:paraId="122743E2" w14:textId="77777777" w:rsidR="00AC1DAF" w:rsidRPr="00ED2FAF" w:rsidRDefault="00AC1DAF" w:rsidP="00E93186">
            <w:pPr>
              <w:pStyle w:val="Tabletext"/>
              <w:rPr>
                <w:bCs/>
              </w:rPr>
            </w:pPr>
            <w:r w:rsidRPr="00ED2FAF">
              <w:t>WATCHMAN FLX™ LAA Closure Device with Delivery System - Cardiac occluder</w:t>
            </w:r>
          </w:p>
        </w:tc>
        <w:tc>
          <w:tcPr>
            <w:tcW w:w="1250" w:type="pct"/>
          </w:tcPr>
          <w:p w14:paraId="0763E416" w14:textId="77777777" w:rsidR="00AC1DAF" w:rsidRPr="000E0BFD" w:rsidRDefault="00AC1DAF" w:rsidP="00E93186">
            <w:pPr>
              <w:pStyle w:val="Tabletext"/>
              <w:rPr>
                <w:b/>
                <w:bCs/>
              </w:rPr>
            </w:pPr>
            <w:r w:rsidRPr="000E0BFD">
              <w:rPr>
                <w:bCs/>
              </w:rPr>
              <w:t>Boston Scientific Pty Ltd</w:t>
            </w:r>
          </w:p>
        </w:tc>
      </w:tr>
      <w:tr w:rsidR="00AC1DAF" w:rsidRPr="000E0BFD" w14:paraId="7D93F56E" w14:textId="77777777" w:rsidTr="00511ED5">
        <w:tc>
          <w:tcPr>
            <w:tcW w:w="545" w:type="pct"/>
          </w:tcPr>
          <w:p w14:paraId="77E69BA2" w14:textId="77777777" w:rsidR="00AC1DAF" w:rsidRPr="000E0BFD" w:rsidRDefault="00FE1F6B" w:rsidP="00E93186">
            <w:pPr>
              <w:pStyle w:val="Tabletext"/>
            </w:pPr>
            <w:hyperlink r:id="rId12" w:history="1">
              <w:r w:rsidR="00AC1DAF" w:rsidRPr="00ED2FAF">
                <w:rPr>
                  <w:rStyle w:val="Hyperlink"/>
                </w:rPr>
                <w:t>216434</w:t>
              </w:r>
            </w:hyperlink>
          </w:p>
        </w:tc>
        <w:tc>
          <w:tcPr>
            <w:tcW w:w="1250" w:type="pct"/>
          </w:tcPr>
          <w:p w14:paraId="64ED9A53" w14:textId="77777777" w:rsidR="00AC1DAF" w:rsidRPr="000E0BFD" w:rsidRDefault="00AC1DAF" w:rsidP="00E93186">
            <w:pPr>
              <w:pStyle w:val="Tabletext"/>
            </w:pPr>
            <w:r w:rsidRPr="000E0BFD">
              <w:t xml:space="preserve">45418 </w:t>
            </w:r>
            <w:r>
              <w:rPr>
                <w:bCs/>
              </w:rPr>
              <w:t>cardiac occluder</w:t>
            </w:r>
            <w:r w:rsidRPr="000E0BFD">
              <w:t>/ Medical Device Class III</w:t>
            </w:r>
          </w:p>
        </w:tc>
        <w:tc>
          <w:tcPr>
            <w:tcW w:w="1954" w:type="pct"/>
          </w:tcPr>
          <w:p w14:paraId="0A464164" w14:textId="77777777" w:rsidR="00AC1DAF" w:rsidRPr="00ED2FAF" w:rsidRDefault="00AC1DAF" w:rsidP="00E93186">
            <w:pPr>
              <w:pStyle w:val="Tabletext"/>
            </w:pPr>
            <w:r w:rsidRPr="00ED2FAF">
              <w:rPr>
                <w:bCs/>
              </w:rPr>
              <w:t>Watchman Left Atrial Appendage Closure Device Delivery System - Cardiac occluder</w:t>
            </w:r>
          </w:p>
        </w:tc>
        <w:tc>
          <w:tcPr>
            <w:tcW w:w="1250" w:type="pct"/>
          </w:tcPr>
          <w:p w14:paraId="444747A2" w14:textId="77777777" w:rsidR="00AC1DAF" w:rsidRPr="000E0BFD" w:rsidRDefault="00AC1DAF" w:rsidP="00E93186">
            <w:pPr>
              <w:pStyle w:val="Tabletext"/>
            </w:pPr>
            <w:r w:rsidRPr="000E0BFD">
              <w:t>Boston Scientific Pty Ltd</w:t>
            </w:r>
          </w:p>
        </w:tc>
      </w:tr>
      <w:tr w:rsidR="00AC1DAF" w:rsidRPr="000E0BFD" w14:paraId="27A4DD73" w14:textId="77777777" w:rsidTr="00511ED5">
        <w:tc>
          <w:tcPr>
            <w:tcW w:w="545" w:type="pct"/>
          </w:tcPr>
          <w:p w14:paraId="303B6629" w14:textId="77777777" w:rsidR="00AC1DAF" w:rsidRPr="000E0BFD" w:rsidRDefault="00FE1F6B" w:rsidP="00E93186">
            <w:pPr>
              <w:pStyle w:val="Tabletext"/>
            </w:pPr>
            <w:hyperlink r:id="rId13" w:history="1">
              <w:r w:rsidR="00AC1DAF" w:rsidRPr="00ED2FAF">
                <w:rPr>
                  <w:rStyle w:val="Hyperlink"/>
                </w:rPr>
                <w:t>216435</w:t>
              </w:r>
            </w:hyperlink>
          </w:p>
        </w:tc>
        <w:tc>
          <w:tcPr>
            <w:tcW w:w="1250" w:type="pct"/>
          </w:tcPr>
          <w:p w14:paraId="71CB0DA1" w14:textId="77777777" w:rsidR="00AC1DAF" w:rsidRPr="000E0BFD" w:rsidRDefault="00AC1DAF" w:rsidP="00E93186">
            <w:pPr>
              <w:pStyle w:val="Tabletext"/>
              <w:rPr>
                <w:u w:val="single"/>
              </w:rPr>
            </w:pPr>
            <w:r w:rsidRPr="000E0BFD">
              <w:t xml:space="preserve">45419 </w:t>
            </w:r>
            <w:r w:rsidRPr="00ED2FAF">
              <w:t>Cardiac occluder delivery kit</w:t>
            </w:r>
            <w:r w:rsidRPr="000E0BFD">
              <w:t>/</w:t>
            </w:r>
            <w:r w:rsidRPr="000E0BFD">
              <w:rPr>
                <w:u w:val="single"/>
              </w:rPr>
              <w:t xml:space="preserve"> </w:t>
            </w:r>
            <w:r w:rsidRPr="000E0BFD">
              <w:t>Medical Device Class III</w:t>
            </w:r>
          </w:p>
        </w:tc>
        <w:tc>
          <w:tcPr>
            <w:tcW w:w="1954" w:type="pct"/>
          </w:tcPr>
          <w:p w14:paraId="15D6D86B" w14:textId="77777777" w:rsidR="00AC1DAF" w:rsidRPr="00ED2FAF" w:rsidRDefault="00AC1DAF" w:rsidP="00E93186">
            <w:pPr>
              <w:pStyle w:val="Tabletext"/>
            </w:pPr>
            <w:r w:rsidRPr="00ED2FAF">
              <w:rPr>
                <w:bCs/>
              </w:rPr>
              <w:t>Watchman Access System - Cardiac occluder delivery kit</w:t>
            </w:r>
          </w:p>
        </w:tc>
        <w:tc>
          <w:tcPr>
            <w:tcW w:w="1250" w:type="pct"/>
          </w:tcPr>
          <w:p w14:paraId="6E394F52" w14:textId="77777777" w:rsidR="00AC1DAF" w:rsidRPr="000E0BFD" w:rsidRDefault="00AC1DAF" w:rsidP="00E93186">
            <w:pPr>
              <w:pStyle w:val="Tabletext"/>
            </w:pPr>
            <w:r w:rsidRPr="000E0BFD">
              <w:t>Boston Scientific Pty Ltd</w:t>
            </w:r>
          </w:p>
        </w:tc>
      </w:tr>
      <w:tr w:rsidR="00AC1DAF" w:rsidRPr="000E0BFD" w14:paraId="072B2F11" w14:textId="77777777" w:rsidTr="00511ED5">
        <w:tc>
          <w:tcPr>
            <w:tcW w:w="545" w:type="pct"/>
          </w:tcPr>
          <w:p w14:paraId="7AD0448A" w14:textId="77777777" w:rsidR="00AC1DAF" w:rsidRPr="000E0BFD" w:rsidRDefault="00FE1F6B" w:rsidP="00E93186">
            <w:pPr>
              <w:pStyle w:val="Tabletext"/>
            </w:pPr>
            <w:hyperlink r:id="rId14" w:history="1">
              <w:r w:rsidR="00AC1DAF" w:rsidRPr="00ED2FAF">
                <w:rPr>
                  <w:rStyle w:val="Hyperlink"/>
                </w:rPr>
                <w:t>310680</w:t>
              </w:r>
            </w:hyperlink>
          </w:p>
        </w:tc>
        <w:tc>
          <w:tcPr>
            <w:tcW w:w="1250" w:type="pct"/>
          </w:tcPr>
          <w:p w14:paraId="22E25214" w14:textId="77777777" w:rsidR="00AC1DAF" w:rsidRPr="000E0BFD" w:rsidRDefault="00AC1DAF" w:rsidP="00E93186">
            <w:pPr>
              <w:pStyle w:val="Tabletext"/>
            </w:pPr>
            <w:r w:rsidRPr="000E0BFD">
              <w:t>45419</w:t>
            </w:r>
            <w:r>
              <w:t xml:space="preserve"> </w:t>
            </w:r>
            <w:r w:rsidRPr="00ED2FAF">
              <w:t>Cardiac occluder delivery kit</w:t>
            </w:r>
            <w:r w:rsidRPr="000E0BFD">
              <w:t>/</w:t>
            </w:r>
            <w:r w:rsidRPr="000E0BFD">
              <w:rPr>
                <w:u w:val="single"/>
              </w:rPr>
              <w:t xml:space="preserve"> </w:t>
            </w:r>
            <w:r w:rsidRPr="000E0BFD">
              <w:t>Medical Device Class III</w:t>
            </w:r>
          </w:p>
        </w:tc>
        <w:tc>
          <w:tcPr>
            <w:tcW w:w="1954" w:type="pct"/>
          </w:tcPr>
          <w:p w14:paraId="5F738B20" w14:textId="77777777" w:rsidR="00AC1DAF" w:rsidRPr="00ED2FAF" w:rsidRDefault="00AC1DAF" w:rsidP="00E93186">
            <w:pPr>
              <w:pStyle w:val="Tabletext"/>
              <w:rPr>
                <w:u w:val="single"/>
              </w:rPr>
            </w:pPr>
            <w:r w:rsidRPr="00ED2FAF">
              <w:rPr>
                <w:bCs/>
              </w:rPr>
              <w:t>WATCHMAN™ TruSeal™ Access System - Cardiac occluder delivery kit</w:t>
            </w:r>
          </w:p>
        </w:tc>
        <w:tc>
          <w:tcPr>
            <w:tcW w:w="1250" w:type="pct"/>
          </w:tcPr>
          <w:p w14:paraId="6EAD3DDD" w14:textId="77777777" w:rsidR="00AC1DAF" w:rsidRPr="000E0BFD" w:rsidRDefault="00AC1DAF" w:rsidP="00E93186">
            <w:pPr>
              <w:pStyle w:val="Tabletext"/>
            </w:pPr>
            <w:r w:rsidRPr="000E0BFD">
              <w:t>Boston Scientific Pty Ltd</w:t>
            </w:r>
          </w:p>
        </w:tc>
      </w:tr>
      <w:tr w:rsidR="00AC1DAF" w:rsidRPr="000E0BFD" w14:paraId="714A9398" w14:textId="77777777" w:rsidTr="00511ED5">
        <w:tc>
          <w:tcPr>
            <w:tcW w:w="545" w:type="pct"/>
          </w:tcPr>
          <w:p w14:paraId="1EB94252" w14:textId="77777777" w:rsidR="00AC1DAF" w:rsidRPr="000E0BFD" w:rsidRDefault="00FE1F6B" w:rsidP="00E93186">
            <w:pPr>
              <w:pStyle w:val="Tabletext"/>
            </w:pPr>
            <w:hyperlink r:id="rId15" w:history="1">
              <w:r w:rsidR="00AC1DAF" w:rsidRPr="00ED2FAF">
                <w:rPr>
                  <w:rStyle w:val="Hyperlink"/>
                </w:rPr>
                <w:t>216398</w:t>
              </w:r>
            </w:hyperlink>
          </w:p>
        </w:tc>
        <w:tc>
          <w:tcPr>
            <w:tcW w:w="1250" w:type="pct"/>
          </w:tcPr>
          <w:p w14:paraId="4431FE88" w14:textId="77777777" w:rsidR="00AC1DAF" w:rsidRPr="000E0BFD" w:rsidRDefault="00AC1DAF" w:rsidP="00E93186">
            <w:pPr>
              <w:pStyle w:val="Tabletext"/>
            </w:pPr>
            <w:r w:rsidRPr="000E0BFD">
              <w:t xml:space="preserve">45418 </w:t>
            </w:r>
            <w:r>
              <w:t>Cardiac occluder</w:t>
            </w:r>
            <w:r w:rsidRPr="000E0BFD">
              <w:t>/ Medical Device Class III</w:t>
            </w:r>
          </w:p>
        </w:tc>
        <w:tc>
          <w:tcPr>
            <w:tcW w:w="1954" w:type="pct"/>
          </w:tcPr>
          <w:p w14:paraId="4CFE90D4" w14:textId="77777777" w:rsidR="00AC1DAF" w:rsidRPr="00ED2FAF" w:rsidRDefault="00AC1DAF" w:rsidP="00E93186">
            <w:pPr>
              <w:pStyle w:val="Tabletext"/>
            </w:pPr>
            <w:r w:rsidRPr="00ED2FAF">
              <w:rPr>
                <w:bCs/>
              </w:rPr>
              <w:t>AMPLATZER Amulet Left Atrial Appendage Occluder - Cardiac occluder</w:t>
            </w:r>
          </w:p>
        </w:tc>
        <w:tc>
          <w:tcPr>
            <w:tcW w:w="1250" w:type="pct"/>
          </w:tcPr>
          <w:p w14:paraId="5D0704A8" w14:textId="77777777" w:rsidR="00AC1DAF" w:rsidRPr="000E0BFD" w:rsidRDefault="00AC1DAF" w:rsidP="00E93186">
            <w:pPr>
              <w:pStyle w:val="Tabletext"/>
            </w:pPr>
            <w:r w:rsidRPr="000E0BFD">
              <w:t>Abbott Medical Australia Pty Ltd</w:t>
            </w:r>
          </w:p>
        </w:tc>
      </w:tr>
      <w:tr w:rsidR="00AC1DAF" w:rsidRPr="000E0BFD" w14:paraId="67F57852" w14:textId="77777777" w:rsidTr="00511ED5">
        <w:tc>
          <w:tcPr>
            <w:tcW w:w="545" w:type="pct"/>
          </w:tcPr>
          <w:p w14:paraId="550D2401" w14:textId="77777777" w:rsidR="00AC1DAF" w:rsidRPr="000E0BFD" w:rsidRDefault="00FE1F6B" w:rsidP="00E93186">
            <w:pPr>
              <w:pStyle w:val="Tabletext"/>
            </w:pPr>
            <w:hyperlink r:id="rId16" w:history="1">
              <w:r w:rsidR="00AC1DAF" w:rsidRPr="00ED2FAF">
                <w:rPr>
                  <w:rStyle w:val="Hyperlink"/>
                </w:rPr>
                <w:t>162137</w:t>
              </w:r>
            </w:hyperlink>
          </w:p>
        </w:tc>
        <w:tc>
          <w:tcPr>
            <w:tcW w:w="1250" w:type="pct"/>
          </w:tcPr>
          <w:p w14:paraId="742B28E1" w14:textId="77777777" w:rsidR="00AC1DAF" w:rsidRPr="000E0BFD" w:rsidRDefault="00AC1DAF" w:rsidP="00E93186">
            <w:pPr>
              <w:pStyle w:val="Tabletext"/>
              <w:rPr>
                <w:u w:val="single"/>
              </w:rPr>
            </w:pPr>
            <w:r w:rsidRPr="000E0BFD">
              <w:t xml:space="preserve">45418 </w:t>
            </w:r>
            <w:r>
              <w:t>Cardiac occluder</w:t>
            </w:r>
            <w:r w:rsidRPr="000E0BFD">
              <w:t>/ Medical Device Class III</w:t>
            </w:r>
          </w:p>
        </w:tc>
        <w:tc>
          <w:tcPr>
            <w:tcW w:w="1954" w:type="pct"/>
          </w:tcPr>
          <w:p w14:paraId="36CC3CDF" w14:textId="77777777" w:rsidR="00AC1DAF" w:rsidRPr="001A72DF" w:rsidRDefault="00AC1DAF" w:rsidP="00E93186">
            <w:pPr>
              <w:pStyle w:val="Tabletext"/>
            </w:pPr>
            <w:r w:rsidRPr="001A72DF">
              <w:rPr>
                <w:bCs/>
              </w:rPr>
              <w:t>AMPLATZER Cardiac Plug - Cardiac occluder</w:t>
            </w:r>
          </w:p>
        </w:tc>
        <w:tc>
          <w:tcPr>
            <w:tcW w:w="1250" w:type="pct"/>
          </w:tcPr>
          <w:p w14:paraId="5447F7AD" w14:textId="77777777" w:rsidR="00AC1DAF" w:rsidRPr="000E0BFD" w:rsidRDefault="00AC1DAF" w:rsidP="00E93186">
            <w:pPr>
              <w:pStyle w:val="Tabletext"/>
            </w:pPr>
            <w:r w:rsidRPr="000E0BFD">
              <w:t>Abbott Medical Australia Pty Ltd</w:t>
            </w:r>
          </w:p>
        </w:tc>
      </w:tr>
      <w:tr w:rsidR="00AC1DAF" w:rsidRPr="000E0BFD" w14:paraId="629399A3" w14:textId="77777777" w:rsidTr="00511ED5">
        <w:tc>
          <w:tcPr>
            <w:tcW w:w="545" w:type="pct"/>
          </w:tcPr>
          <w:p w14:paraId="4F15BEC6" w14:textId="77777777" w:rsidR="00AC1DAF" w:rsidRPr="000E0BFD" w:rsidRDefault="00FE1F6B" w:rsidP="00E93186">
            <w:pPr>
              <w:pStyle w:val="Tabletext"/>
            </w:pPr>
            <w:hyperlink r:id="rId17" w:history="1">
              <w:r w:rsidR="00AC1DAF" w:rsidRPr="001A72DF">
                <w:rPr>
                  <w:rStyle w:val="Hyperlink"/>
                </w:rPr>
                <w:t>230575</w:t>
              </w:r>
            </w:hyperlink>
          </w:p>
        </w:tc>
        <w:tc>
          <w:tcPr>
            <w:tcW w:w="1250" w:type="pct"/>
          </w:tcPr>
          <w:p w14:paraId="10449BBB" w14:textId="77777777" w:rsidR="00AC1DAF" w:rsidRPr="000E0BFD" w:rsidRDefault="00AC1DAF" w:rsidP="00E93186">
            <w:pPr>
              <w:pStyle w:val="Tabletext"/>
            </w:pPr>
            <w:r w:rsidRPr="000E0BFD">
              <w:t xml:space="preserve">45418 </w:t>
            </w:r>
            <w:r>
              <w:t>Cardiac occluder</w:t>
            </w:r>
            <w:r w:rsidRPr="000E0BFD">
              <w:t>/ Medical Device Class III</w:t>
            </w:r>
          </w:p>
        </w:tc>
        <w:tc>
          <w:tcPr>
            <w:tcW w:w="1954" w:type="pct"/>
          </w:tcPr>
          <w:p w14:paraId="33171AB1" w14:textId="77777777" w:rsidR="00AC1DAF" w:rsidRPr="001A72DF" w:rsidRDefault="00AC1DAF" w:rsidP="00E93186">
            <w:pPr>
              <w:pStyle w:val="Tabletext"/>
              <w:rPr>
                <w:u w:val="single"/>
              </w:rPr>
            </w:pPr>
            <w:r w:rsidRPr="001A72DF">
              <w:rPr>
                <w:bCs/>
              </w:rPr>
              <w:t>Coherex WaveCrest™ Left Atrial Appendage Occlusion System - Cardiac occluder</w:t>
            </w:r>
          </w:p>
        </w:tc>
        <w:tc>
          <w:tcPr>
            <w:tcW w:w="1250" w:type="pct"/>
          </w:tcPr>
          <w:p w14:paraId="1867D643" w14:textId="77777777" w:rsidR="00AC1DAF" w:rsidRPr="000E0BFD" w:rsidRDefault="00AC1DAF" w:rsidP="00E93186">
            <w:pPr>
              <w:pStyle w:val="Tabletext"/>
            </w:pPr>
            <w:r w:rsidRPr="000E0BFD">
              <w:t>Johnson &amp; Johnson Medical Pty Ltd</w:t>
            </w:r>
          </w:p>
        </w:tc>
      </w:tr>
      <w:tr w:rsidR="00AC1DAF" w:rsidRPr="000E0BFD" w14:paraId="36DD1655" w14:textId="77777777" w:rsidTr="00511ED5">
        <w:tc>
          <w:tcPr>
            <w:tcW w:w="545" w:type="pct"/>
          </w:tcPr>
          <w:p w14:paraId="5379DF20" w14:textId="77777777" w:rsidR="00AC1DAF" w:rsidRPr="000E0BFD" w:rsidRDefault="00FE1F6B" w:rsidP="00E93186">
            <w:pPr>
              <w:pStyle w:val="Tabletext"/>
            </w:pPr>
            <w:hyperlink r:id="rId18" w:history="1">
              <w:r w:rsidR="00AC1DAF" w:rsidRPr="001A72DF">
                <w:rPr>
                  <w:rStyle w:val="Hyperlink"/>
                </w:rPr>
                <w:t>230576</w:t>
              </w:r>
            </w:hyperlink>
          </w:p>
        </w:tc>
        <w:tc>
          <w:tcPr>
            <w:tcW w:w="1250" w:type="pct"/>
          </w:tcPr>
          <w:p w14:paraId="0571B176" w14:textId="77777777" w:rsidR="00AC1DAF" w:rsidRPr="000E0BFD" w:rsidRDefault="00AC1DAF" w:rsidP="00E93186">
            <w:pPr>
              <w:pStyle w:val="Tabletext"/>
            </w:pPr>
            <w:r w:rsidRPr="000E0BFD">
              <w:t xml:space="preserve">45419 </w:t>
            </w:r>
            <w:r w:rsidRPr="00ED2FAF">
              <w:t>Cardiac occluder delivery kit</w:t>
            </w:r>
            <w:r w:rsidRPr="000E0BFD">
              <w:t>/</w:t>
            </w:r>
            <w:r w:rsidRPr="000E0BFD">
              <w:rPr>
                <w:u w:val="single"/>
              </w:rPr>
              <w:t xml:space="preserve"> </w:t>
            </w:r>
            <w:r w:rsidRPr="000E0BFD">
              <w:t>Medical Device Class III</w:t>
            </w:r>
          </w:p>
        </w:tc>
        <w:tc>
          <w:tcPr>
            <w:tcW w:w="1954" w:type="pct"/>
          </w:tcPr>
          <w:p w14:paraId="75B19F61" w14:textId="77777777" w:rsidR="00AC1DAF" w:rsidRPr="001A72DF" w:rsidRDefault="00AC1DAF" w:rsidP="00E93186">
            <w:pPr>
              <w:pStyle w:val="Tabletext"/>
              <w:rPr>
                <w:u w:val="single"/>
              </w:rPr>
            </w:pPr>
            <w:r w:rsidRPr="001A72DF">
              <w:rPr>
                <w:bCs/>
              </w:rPr>
              <w:t>Coherex WaveCrest™ LAA Occlusion System Delivery Sheath - Cardiac occluder delivery kit</w:t>
            </w:r>
          </w:p>
        </w:tc>
        <w:tc>
          <w:tcPr>
            <w:tcW w:w="1250" w:type="pct"/>
          </w:tcPr>
          <w:p w14:paraId="3A3C5030" w14:textId="77777777" w:rsidR="00AC1DAF" w:rsidRPr="000E0BFD" w:rsidRDefault="00AC1DAF" w:rsidP="00E93186">
            <w:pPr>
              <w:pStyle w:val="Tabletext"/>
            </w:pPr>
            <w:r w:rsidRPr="000E0BFD">
              <w:t>Johnson &amp; Johnson Medical Pty Ltd</w:t>
            </w:r>
          </w:p>
        </w:tc>
      </w:tr>
    </w:tbl>
    <w:p w14:paraId="5AAE8D00" w14:textId="77777777" w:rsidR="00AC1DAF" w:rsidRDefault="00AC1DAF" w:rsidP="008275A0">
      <w:pPr>
        <w:pStyle w:val="Tablenotes"/>
      </w:pPr>
      <w:r w:rsidRPr="000E0BFD">
        <w:t xml:space="preserve">Source: Table 9, p. 45-47 of the </w:t>
      </w:r>
      <w:r>
        <w:t>ADAR and ARTG website (accessed on 21 January 2021).</w:t>
      </w:r>
    </w:p>
    <w:p w14:paraId="756415D5" w14:textId="77777777" w:rsidR="00AC1DAF" w:rsidRDefault="00AC1DAF" w:rsidP="008275A0">
      <w:pPr>
        <w:pStyle w:val="Tablenotes"/>
      </w:pPr>
      <w:r>
        <w:t>Abbreviations: ARTG = Australian Register of Therapeutic Goods; GMDN =</w:t>
      </w:r>
      <w:r w:rsidRPr="00F2767C">
        <w:t xml:space="preserve"> Global Medical Device Nomenclature</w:t>
      </w:r>
      <w:r>
        <w:t>; LAA = left atrial appendage</w:t>
      </w:r>
    </w:p>
    <w:p w14:paraId="1BA68E9B" w14:textId="77777777" w:rsidR="00BC1364" w:rsidRPr="00F715D1" w:rsidRDefault="00BC1364" w:rsidP="00F715D1">
      <w:pPr>
        <w:pStyle w:val="Heading1"/>
      </w:pPr>
      <w:r w:rsidRPr="00F715D1">
        <w:t>Proposal for public funding</w:t>
      </w:r>
    </w:p>
    <w:p w14:paraId="6F00D9A6" w14:textId="45906414" w:rsidR="00AC1DAF" w:rsidRDefault="00AC1DAF" w:rsidP="00E93186">
      <w:pPr>
        <w:spacing w:after="240"/>
      </w:pPr>
      <w:r>
        <w:t>The applicant proposed amendments to the explanatory note for MBS item 38276</w:t>
      </w:r>
      <w:r w:rsidR="00417B0D">
        <w:t>,</w:t>
      </w:r>
      <w:r>
        <w:t xml:space="preserve"> to expand the list of absolute contraindications to </w:t>
      </w:r>
      <w:r w:rsidRPr="00745107">
        <w:t>anticoagulation</w:t>
      </w:r>
      <w:r>
        <w:t xml:space="preserve"> (Population 1) and to include relative contraindications to </w:t>
      </w:r>
      <w:r w:rsidRPr="00745107">
        <w:t>anticoagulation</w:t>
      </w:r>
      <w:r>
        <w:t xml:space="preserve"> (Population 2), are shown in red and green text respectively in </w:t>
      </w:r>
      <w:r>
        <w:fldChar w:fldCharType="begin"/>
      </w:r>
      <w:r>
        <w:instrText xml:space="preserve"> REF _Ref61005995 \h </w:instrText>
      </w:r>
      <w:r>
        <w:fldChar w:fldCharType="separate"/>
      </w:r>
      <w:r w:rsidRPr="000E0BFD">
        <w:t xml:space="preserve">Table </w:t>
      </w:r>
      <w:r>
        <w:rPr>
          <w:noProof/>
        </w:rPr>
        <w:t>2</w:t>
      </w:r>
      <w:r>
        <w:fldChar w:fldCharType="end"/>
      </w:r>
      <w:r>
        <w:t xml:space="preserve">. The proposed amendments are based on the applicant’s review </w:t>
      </w:r>
      <w:r w:rsidR="00417B0D">
        <w:t xml:space="preserve">of the </w:t>
      </w:r>
      <w:r>
        <w:t>‘contraindications’ and ‘</w:t>
      </w:r>
      <w:r w:rsidR="00417B0D">
        <w:t>pre</w:t>
      </w:r>
      <w:r>
        <w:t xml:space="preserve">cautions for use’ listed in the TGA approved product information (PI) for DOACs on the ARTG (Attachment 3 of the ADAR). </w:t>
      </w:r>
    </w:p>
    <w:p w14:paraId="448C5EC9" w14:textId="0D4462F6" w:rsidR="00AC1DAF" w:rsidRPr="00E93186" w:rsidRDefault="00AC1DAF" w:rsidP="00E93186">
      <w:pPr>
        <w:spacing w:after="240"/>
        <w:rPr>
          <w:i/>
        </w:rPr>
      </w:pPr>
      <w:r w:rsidRPr="00947CC2">
        <w:t>The</w:t>
      </w:r>
      <w:r>
        <w:t xml:space="preserve"> applicant also proposed amendment of the descriptor for MBS item 38276 to specify that patient eligibility for LAAC to be assessed by a non-interventional and interventional physician, shown in blue text in </w:t>
      </w:r>
      <w:r>
        <w:fldChar w:fldCharType="begin"/>
      </w:r>
      <w:r>
        <w:instrText xml:space="preserve"> REF _Ref61005995 \h </w:instrText>
      </w:r>
      <w:r>
        <w:fldChar w:fldCharType="separate"/>
      </w:r>
      <w:r w:rsidRPr="000E0BFD">
        <w:t xml:space="preserve">Table </w:t>
      </w:r>
      <w:r>
        <w:rPr>
          <w:noProof/>
        </w:rPr>
        <w:t>2</w:t>
      </w:r>
      <w:r>
        <w:fldChar w:fldCharType="end"/>
      </w:r>
      <w:r>
        <w:t xml:space="preserve">. </w:t>
      </w:r>
      <w:r w:rsidRPr="00F57B4C">
        <w:t xml:space="preserve">The </w:t>
      </w:r>
      <w:r>
        <w:t>applicant also proposed two new case conference items (</w:t>
      </w:r>
      <w:r w:rsidRPr="00D76C89">
        <w:fldChar w:fldCharType="begin"/>
      </w:r>
      <w:r w:rsidRPr="00D76C89">
        <w:instrText xml:space="preserve"> REF _Ref61288749 \h  \* MERGEFORMAT </w:instrText>
      </w:r>
      <w:r w:rsidRPr="00D76C89">
        <w:fldChar w:fldCharType="separate"/>
      </w:r>
      <w:r w:rsidRPr="00E22492" w:rsidDel="00A134DA">
        <w:t xml:space="preserve">Table </w:t>
      </w:r>
      <w:r>
        <w:t>3</w:t>
      </w:r>
      <w:r w:rsidRPr="00D76C89">
        <w:fldChar w:fldCharType="end"/>
      </w:r>
      <w:r>
        <w:t>) for</w:t>
      </w:r>
      <w:r w:rsidRPr="00F57B4C">
        <w:t xml:space="preserve"> eligibility for LAAC </w:t>
      </w:r>
      <w:r>
        <w:t>to be</w:t>
      </w:r>
      <w:r w:rsidRPr="00F57B4C">
        <w:t xml:space="preserve"> assessed by a non-interventional and an interventional physician</w:t>
      </w:r>
      <w:r>
        <w:t xml:space="preserve">, which the applicant </w:t>
      </w:r>
      <w:r w:rsidRPr="00F57B4C">
        <w:t>modelled on MBS items 6080 and 6081 for the transao</w:t>
      </w:r>
      <w:r>
        <w:t>rtic valve implantation (TAVI) case c</w:t>
      </w:r>
      <w:r w:rsidRPr="00F57B4C">
        <w:t xml:space="preserve">onference. </w:t>
      </w:r>
    </w:p>
    <w:p w14:paraId="70FC06AB" w14:textId="114EC0B4" w:rsidR="00AC1DAF" w:rsidRDefault="00AC1DAF" w:rsidP="00E93186">
      <w:pPr>
        <w:spacing w:after="240"/>
      </w:pPr>
      <w:r>
        <w:t>The applicant did not propose changes to the</w:t>
      </w:r>
      <w:r w:rsidRPr="00947CC2">
        <w:t xml:space="preserve"> </w:t>
      </w:r>
      <w:r>
        <w:t xml:space="preserve">fee </w:t>
      </w:r>
      <w:r w:rsidRPr="00947CC2">
        <w:t xml:space="preserve">for </w:t>
      </w:r>
      <w:r>
        <w:t>MBS item 38276</w:t>
      </w:r>
      <w:r w:rsidRPr="00947CC2">
        <w:t>.</w:t>
      </w:r>
      <w:r>
        <w:t xml:space="preserve"> </w:t>
      </w:r>
    </w:p>
    <w:p w14:paraId="71C05409" w14:textId="42163F8B" w:rsidR="00AC1DAF" w:rsidRPr="00E93186" w:rsidRDefault="00AC1DAF" w:rsidP="00E93186">
      <w:pPr>
        <w:spacing w:after="240"/>
      </w:pPr>
      <w:r w:rsidRPr="000B0107">
        <w:rPr>
          <w:iCs/>
        </w:rPr>
        <w:t xml:space="preserve">The commentary noted that MSAC may wish to consider whether MBS item 38276 should be amended to include Population 2 or whether Population 2 should be a separate MBS item. </w:t>
      </w:r>
      <w:r w:rsidR="00417B0D">
        <w:rPr>
          <w:iCs/>
        </w:rPr>
        <w:t xml:space="preserve">MSAC did not support creating a new MBS item or amending MBS item 38276 to include population 2 – patients with relative contraindications to anticoagulation. MSAC considered it reasonable to expand the definition of an absolute contraindication to anticoagulation and </w:t>
      </w:r>
      <w:r w:rsidR="00417B0D">
        <w:rPr>
          <w:color w:val="000000"/>
        </w:rPr>
        <w:t xml:space="preserve">advised that the item descriptor should be amended to require formal written documentation </w:t>
      </w:r>
      <w:r w:rsidR="00417B0D" w:rsidRPr="0096757B">
        <w:rPr>
          <w:color w:val="000000"/>
        </w:rPr>
        <w:t>that the patient has an absolute and permanent contraindication to oral anticoagulation from a</w:t>
      </w:r>
      <w:r w:rsidR="00417B0D">
        <w:rPr>
          <w:color w:val="000000"/>
        </w:rPr>
        <w:t>n independent</w:t>
      </w:r>
      <w:r w:rsidR="00417B0D" w:rsidRPr="0096757B">
        <w:rPr>
          <w:color w:val="000000"/>
        </w:rPr>
        <w:t xml:space="preserve"> </w:t>
      </w:r>
      <w:r w:rsidR="00417B0D">
        <w:rPr>
          <w:color w:val="000000"/>
        </w:rPr>
        <w:t>specialist (i.e. non-cardiologist), which could include a General Practitioner</w:t>
      </w:r>
      <w:r w:rsidR="00752038">
        <w:rPr>
          <w:color w:val="000000"/>
        </w:rPr>
        <w:t xml:space="preserve"> (as shown in Section 2 of this PSD)</w:t>
      </w:r>
      <w:r w:rsidR="00417B0D">
        <w:rPr>
          <w:color w:val="000000"/>
        </w:rPr>
        <w:t>.</w:t>
      </w:r>
    </w:p>
    <w:p w14:paraId="7A64D082" w14:textId="77777777" w:rsidR="00AC1DAF" w:rsidRPr="000E0BFD" w:rsidRDefault="00AC1DAF" w:rsidP="00AC1DAF">
      <w:pPr>
        <w:pStyle w:val="Caption"/>
      </w:pPr>
      <w:bookmarkStart w:id="1" w:name="_Ref61005995"/>
      <w:r w:rsidRPr="000E0BFD">
        <w:lastRenderedPageBreak/>
        <w:t xml:space="preserve">Table </w:t>
      </w:r>
      <w:r w:rsidR="00FE1F6B">
        <w:fldChar w:fldCharType="begin"/>
      </w:r>
      <w:r w:rsidR="00FE1F6B">
        <w:instrText xml:space="preserve"> SEQ Table \* ARABIC </w:instrText>
      </w:r>
      <w:r w:rsidR="00FE1F6B">
        <w:fldChar w:fldCharType="separate"/>
      </w:r>
      <w:r>
        <w:rPr>
          <w:noProof/>
        </w:rPr>
        <w:t>2</w:t>
      </w:r>
      <w:r w:rsidR="00FE1F6B">
        <w:rPr>
          <w:noProof/>
        </w:rPr>
        <w:fldChar w:fldCharType="end"/>
      </w:r>
      <w:bookmarkEnd w:id="1"/>
      <w:r w:rsidRPr="000E0BFD">
        <w:tab/>
      </w:r>
      <w:r>
        <w:t>Applicant p</w:t>
      </w:r>
      <w:r w:rsidRPr="000E0BFD">
        <w:t>roposed</w:t>
      </w:r>
      <w:r>
        <w:t xml:space="preserve"> amendment to</w:t>
      </w:r>
      <w:r w:rsidRPr="000E0BFD">
        <w:t xml:space="preserve"> MBS item for LAAC – Population 1 and 2</w:t>
      </w:r>
    </w:p>
    <w:tbl>
      <w:tblPr>
        <w:tblStyle w:val="OPTUMTableNormal"/>
        <w:tblW w:w="9024" w:type="dxa"/>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24"/>
      </w:tblGrid>
      <w:tr w:rsidR="00AC1DAF" w:rsidRPr="000E0BFD" w:rsidDel="00A134DA" w14:paraId="7B3FF69B" w14:textId="77777777" w:rsidTr="00511ED5">
        <w:trPr>
          <w:cnfStyle w:val="100000000000" w:firstRow="1" w:lastRow="0" w:firstColumn="0" w:lastColumn="0" w:oddVBand="0" w:evenVBand="0" w:oddHBand="0" w:evenHBand="0" w:firstRowFirstColumn="0" w:firstRowLastColumn="0" w:lastRowFirstColumn="0" w:lastRowLastColumn="0"/>
          <w:tblHeader/>
        </w:trPr>
        <w:tc>
          <w:tcPr>
            <w:tcW w:w="9024" w:type="dxa"/>
          </w:tcPr>
          <w:p w14:paraId="089FF328" w14:textId="77777777" w:rsidR="00AC1DAF" w:rsidRPr="000E0BFD" w:rsidDel="00A134DA" w:rsidRDefault="00AC1DAF" w:rsidP="00E93186">
            <w:pPr>
              <w:pStyle w:val="Tabletext"/>
            </w:pPr>
            <w:r w:rsidRPr="000E0BFD" w:rsidDel="00A134DA">
              <w:t xml:space="preserve">Category </w:t>
            </w:r>
            <w:r w:rsidRPr="000E0BFD">
              <w:t>3</w:t>
            </w:r>
            <w:r w:rsidRPr="000E0BFD" w:rsidDel="00A134DA">
              <w:t xml:space="preserve"> – </w:t>
            </w:r>
            <w:r w:rsidRPr="000E0BFD">
              <w:t>Therapeutic procedures</w:t>
            </w:r>
          </w:p>
        </w:tc>
      </w:tr>
      <w:tr w:rsidR="00AC1DAF" w:rsidRPr="000E0BFD" w:rsidDel="00A134DA" w14:paraId="2B0E4571" w14:textId="77777777" w:rsidTr="00511ED5">
        <w:tc>
          <w:tcPr>
            <w:tcW w:w="9024" w:type="dxa"/>
          </w:tcPr>
          <w:p w14:paraId="5FE49789" w14:textId="77777777" w:rsidR="00AC1DAF" w:rsidRPr="000E0BFD" w:rsidRDefault="00AC1DAF" w:rsidP="00E93186">
            <w:pPr>
              <w:pStyle w:val="Tabletext"/>
            </w:pPr>
            <w:r w:rsidRPr="000E0BFD">
              <w:t>MBS item 38276</w:t>
            </w:r>
          </w:p>
          <w:p w14:paraId="5F964D17" w14:textId="77777777" w:rsidR="00AC1DAF" w:rsidRPr="000E0BFD" w:rsidRDefault="00AC1DAF" w:rsidP="00E93186">
            <w:pPr>
              <w:pStyle w:val="Tabletext"/>
            </w:pPr>
            <w:r w:rsidRPr="000E0BFD">
              <w:t>Transcatheter occlusion of left atrial appendage, and cardiac catheterisation performed by the same practitioner, for stroke prevention in a patient who has non</w:t>
            </w:r>
            <w:r w:rsidRPr="000E0BFD">
              <w:rPr>
                <w:rFonts w:ascii="Cambria Math" w:hAnsi="Cambria Math" w:cs="Cambria Math"/>
              </w:rPr>
              <w:t>‑</w:t>
            </w:r>
            <w:r w:rsidRPr="000E0BFD">
              <w:t xml:space="preserve">valvular atrial fibrillation </w:t>
            </w:r>
            <w:r w:rsidRPr="0017735D">
              <w:rPr>
                <w:color w:val="0070C0"/>
              </w:rPr>
              <w:t>and assessed by a non-interventional and interventional physician as having a contraindication to life</w:t>
            </w:r>
            <w:r w:rsidRPr="0017735D">
              <w:rPr>
                <w:rFonts w:ascii="Cambria Math" w:hAnsi="Cambria Math" w:cs="Cambria Math"/>
                <w:color w:val="0070C0"/>
              </w:rPr>
              <w:t>‑</w:t>
            </w:r>
            <w:r w:rsidRPr="0017735D">
              <w:rPr>
                <w:color w:val="0070C0"/>
              </w:rPr>
              <w:t>long oral anticoagulation therapy,</w:t>
            </w:r>
            <w:r w:rsidRPr="000E0BFD">
              <w:t xml:space="preserve"> and is at increased risk of thromboembolism demonstrated by:</w:t>
            </w:r>
          </w:p>
          <w:p w14:paraId="241861E5" w14:textId="77777777" w:rsidR="00AC1DAF" w:rsidRPr="000E0BFD" w:rsidRDefault="00AC1DAF" w:rsidP="00E93186">
            <w:pPr>
              <w:pStyle w:val="Tabletext"/>
            </w:pPr>
            <w:r w:rsidRPr="000E0BFD">
              <w:t>(a) a prior stroke (whether of an ischaemic or unknown type), transient ischaemic attack or non</w:t>
            </w:r>
            <w:r w:rsidRPr="000E0BFD">
              <w:rPr>
                <w:rFonts w:ascii="Cambria Math" w:hAnsi="Cambria Math" w:cs="Cambria Math"/>
              </w:rPr>
              <w:t>‑</w:t>
            </w:r>
            <w:r w:rsidRPr="000E0BFD">
              <w:t>central nervous system systemic embolism; or</w:t>
            </w:r>
          </w:p>
          <w:p w14:paraId="56704F4E" w14:textId="77777777" w:rsidR="00AC1DAF" w:rsidRPr="000E0BFD" w:rsidRDefault="00AC1DAF" w:rsidP="00E93186">
            <w:pPr>
              <w:pStyle w:val="Tabletext"/>
            </w:pPr>
            <w:r w:rsidRPr="000E0BFD">
              <w:t>(b) at least 2 of the following risk factors:</w:t>
            </w:r>
          </w:p>
          <w:p w14:paraId="2D9F3742" w14:textId="77777777" w:rsidR="00AC1DAF" w:rsidRPr="000E0BFD" w:rsidRDefault="00AC1DAF" w:rsidP="00E93186">
            <w:pPr>
              <w:pStyle w:val="Tabletext"/>
            </w:pPr>
            <w:r w:rsidRPr="000E0BFD">
              <w:t>(i) an age of 65 years or more;</w:t>
            </w:r>
          </w:p>
          <w:p w14:paraId="5017A33C" w14:textId="77777777" w:rsidR="00AC1DAF" w:rsidRPr="000E0BFD" w:rsidRDefault="00AC1DAF" w:rsidP="00E93186">
            <w:pPr>
              <w:pStyle w:val="Tabletext"/>
            </w:pPr>
            <w:r w:rsidRPr="000E0BFD">
              <w:t>(ii) hypertension;</w:t>
            </w:r>
          </w:p>
          <w:p w14:paraId="35DE20D8" w14:textId="77777777" w:rsidR="00AC1DAF" w:rsidRPr="000E0BFD" w:rsidRDefault="00AC1DAF" w:rsidP="00E93186">
            <w:pPr>
              <w:pStyle w:val="Tabletext"/>
            </w:pPr>
            <w:r w:rsidRPr="000E0BFD">
              <w:t>(iii) diabetes mellitus;</w:t>
            </w:r>
          </w:p>
          <w:p w14:paraId="259ED576" w14:textId="77777777" w:rsidR="00AC1DAF" w:rsidRPr="000E0BFD" w:rsidRDefault="00AC1DAF" w:rsidP="00E93186">
            <w:pPr>
              <w:pStyle w:val="Tabletext"/>
            </w:pPr>
            <w:r w:rsidRPr="000E0BFD">
              <w:t>(iv) heart failure or left ventricular ejection fraction of 35% or less (or both);</w:t>
            </w:r>
          </w:p>
          <w:p w14:paraId="596FE549" w14:textId="77777777" w:rsidR="00AC1DAF" w:rsidRPr="000E0BFD" w:rsidRDefault="00AC1DAF" w:rsidP="00E93186">
            <w:pPr>
              <w:pStyle w:val="Tabletext"/>
            </w:pPr>
            <w:r w:rsidRPr="000E0BFD">
              <w:t>(v) vascular disease (prior myocardial infarction, peripheral artery disease or aortic plaque)</w:t>
            </w:r>
          </w:p>
          <w:p w14:paraId="34BBFE0F" w14:textId="77777777" w:rsidR="00AC1DAF" w:rsidRPr="000E0BFD" w:rsidRDefault="00AC1DAF" w:rsidP="00E93186">
            <w:pPr>
              <w:pStyle w:val="Tabletext"/>
            </w:pPr>
            <w:r w:rsidRPr="000E0BFD">
              <w:t xml:space="preserve">Fee: </w:t>
            </w:r>
            <w:r w:rsidRPr="000E0BFD">
              <w:rPr>
                <w:rFonts w:cs="Helvetica"/>
                <w:color w:val="222222"/>
              </w:rPr>
              <w:t>$</w:t>
            </w:r>
            <w:r w:rsidRPr="000E0BFD">
              <w:t xml:space="preserve"> </w:t>
            </w:r>
            <w:r w:rsidRPr="000E0BFD">
              <w:rPr>
                <w:rFonts w:cs="Helvetica"/>
                <w:color w:val="222222"/>
              </w:rPr>
              <w:t xml:space="preserve">940.80 </w:t>
            </w:r>
            <w:r w:rsidRPr="000E0BFD">
              <w:t xml:space="preserve">Benefit 75% = </w:t>
            </w:r>
            <w:r w:rsidRPr="000E0BFD">
              <w:rPr>
                <w:rFonts w:cs="Helvetica"/>
                <w:color w:val="222222"/>
              </w:rPr>
              <w:t>$</w:t>
            </w:r>
            <w:r w:rsidRPr="000E0BFD">
              <w:t xml:space="preserve"> </w:t>
            </w:r>
            <w:r w:rsidRPr="000E0BFD">
              <w:rPr>
                <w:rFonts w:cs="Helvetica"/>
                <w:color w:val="222222"/>
              </w:rPr>
              <w:t>705.60</w:t>
            </w:r>
          </w:p>
        </w:tc>
      </w:tr>
      <w:tr w:rsidR="00AC1DAF" w:rsidRPr="000E0BFD" w:rsidDel="00A134DA" w14:paraId="5A8D0163" w14:textId="77777777" w:rsidTr="00511ED5">
        <w:tc>
          <w:tcPr>
            <w:tcW w:w="9024" w:type="dxa"/>
          </w:tcPr>
          <w:p w14:paraId="5D8AB82C" w14:textId="77777777" w:rsidR="00AC1DAF" w:rsidRPr="000E0BFD" w:rsidRDefault="00AC1DAF" w:rsidP="00E93186">
            <w:pPr>
              <w:pStyle w:val="Tabletext"/>
            </w:pPr>
            <w:r w:rsidRPr="000E0BFD">
              <w:t>TN.8.132 Transcatheter occlusion of left atrial appendage for stroke prevention (item 38276)</w:t>
            </w:r>
          </w:p>
          <w:p w14:paraId="2DC84BB3" w14:textId="77777777" w:rsidR="00AC1DAF" w:rsidRPr="000E0BFD" w:rsidRDefault="00AC1DAF" w:rsidP="00E93186">
            <w:pPr>
              <w:pStyle w:val="Tabletext"/>
            </w:pPr>
            <w:r w:rsidRPr="000E0BFD">
              <w:t>Explanatory Note:</w:t>
            </w:r>
          </w:p>
          <w:p w14:paraId="780CD217" w14:textId="77777777" w:rsidR="00AC1DAF" w:rsidRPr="000E0BFD" w:rsidRDefault="00AC1DAF" w:rsidP="00E93186">
            <w:pPr>
              <w:pStyle w:val="Tabletext"/>
            </w:pPr>
            <w:r w:rsidRPr="000E0BFD">
              <w:t>A contraindication to life-long oral anticoagulation therapy is defined as:</w:t>
            </w:r>
          </w:p>
          <w:p w14:paraId="1EE4A1D0" w14:textId="77777777" w:rsidR="00AC1DAF" w:rsidRPr="000E0BFD" w:rsidRDefault="00AC1DAF" w:rsidP="00E93186">
            <w:pPr>
              <w:pStyle w:val="Tabletext"/>
            </w:pPr>
            <w:r w:rsidRPr="000E0BFD">
              <w:t>i.</w:t>
            </w:r>
            <w:r w:rsidRPr="000E0BFD">
              <w:tab/>
              <w:t xml:space="preserve">A previous major bleeding complication </w:t>
            </w:r>
            <w:r w:rsidRPr="000E0BFD">
              <w:rPr>
                <w:strike/>
                <w:color w:val="00B050"/>
              </w:rPr>
              <w:t>experienced whilst undergoing treatment with oral anticoagulation therapy</w:t>
            </w:r>
            <w:r w:rsidRPr="000E0BFD">
              <w:t>, or</w:t>
            </w:r>
          </w:p>
          <w:p w14:paraId="442059F1" w14:textId="77777777" w:rsidR="00AC1DAF" w:rsidRPr="000E0BFD" w:rsidRDefault="00AC1DAF" w:rsidP="00E93186">
            <w:pPr>
              <w:pStyle w:val="Tabletext"/>
              <w:rPr>
                <w:color w:val="FF0000"/>
              </w:rPr>
            </w:pPr>
            <w:r w:rsidRPr="000E0BFD">
              <w:rPr>
                <w:color w:val="FF0000"/>
              </w:rPr>
              <w:t>ii.</w:t>
            </w:r>
            <w:r w:rsidRPr="000E0BFD">
              <w:rPr>
                <w:color w:val="FF0000"/>
              </w:rPr>
              <w:tab/>
              <w:t>History of intracranial, intraocular, spinal, retroperitoneal or atraumatic intra-articular bleeding, or</w:t>
            </w:r>
          </w:p>
          <w:p w14:paraId="282740ED" w14:textId="77777777" w:rsidR="00AC1DAF" w:rsidRPr="000E0BFD" w:rsidRDefault="00AC1DAF" w:rsidP="00E93186">
            <w:pPr>
              <w:pStyle w:val="Tabletext"/>
              <w:rPr>
                <w:color w:val="FF0000"/>
              </w:rPr>
            </w:pPr>
            <w:r w:rsidRPr="000E0BFD">
              <w:rPr>
                <w:color w:val="FF0000"/>
              </w:rPr>
              <w:t>iii.</w:t>
            </w:r>
            <w:r w:rsidRPr="000E0BFD">
              <w:rPr>
                <w:color w:val="FF0000"/>
              </w:rPr>
              <w:tab/>
              <w:t>Long-term or recurrent gastrointestinal bleeding without a reversible cause (eg, radiation proctitis or gut angiodysplasia), or</w:t>
            </w:r>
          </w:p>
          <w:p w14:paraId="04F29DCA" w14:textId="77777777" w:rsidR="00AC1DAF" w:rsidRPr="000E0BFD" w:rsidRDefault="00AC1DAF" w:rsidP="00E93186">
            <w:pPr>
              <w:pStyle w:val="Tabletext"/>
            </w:pPr>
            <w:r w:rsidRPr="000E0BFD">
              <w:t>iv.</w:t>
            </w:r>
            <w:r w:rsidRPr="000E0BFD">
              <w:tab/>
              <w:t>A blood dyscrasia, or</w:t>
            </w:r>
          </w:p>
          <w:p w14:paraId="6A9C121E" w14:textId="77777777" w:rsidR="00AC1DAF" w:rsidRPr="000E0BFD" w:rsidRDefault="00AC1DAF" w:rsidP="00E93186">
            <w:pPr>
              <w:pStyle w:val="Tabletext"/>
            </w:pPr>
            <w:r w:rsidRPr="000E0BFD">
              <w:t>v.</w:t>
            </w:r>
            <w:r w:rsidRPr="000E0BFD">
              <w:tab/>
              <w:t>A vascular abnormality predisposing to potentially life threatening haemorrhage, or</w:t>
            </w:r>
          </w:p>
          <w:p w14:paraId="006FEA89" w14:textId="77777777" w:rsidR="00AC1DAF" w:rsidRPr="000E0BFD" w:rsidRDefault="00AC1DAF" w:rsidP="00E93186">
            <w:pPr>
              <w:pStyle w:val="Tabletext"/>
              <w:rPr>
                <w:color w:val="FF0000"/>
              </w:rPr>
            </w:pPr>
            <w:r w:rsidRPr="000E0BFD">
              <w:rPr>
                <w:color w:val="FF0000"/>
              </w:rPr>
              <w:t>vi.</w:t>
            </w:r>
            <w:r w:rsidRPr="000E0BFD">
              <w:rPr>
                <w:color w:val="FF0000"/>
              </w:rPr>
              <w:tab/>
              <w:t>Hepatic disease with coagulopathy and clinically relevant bleeding risk (Child Pugh B and C), or</w:t>
            </w:r>
          </w:p>
          <w:p w14:paraId="608530E1" w14:textId="77777777" w:rsidR="00AC1DAF" w:rsidRPr="000E0BFD" w:rsidRDefault="00AC1DAF" w:rsidP="00E93186">
            <w:pPr>
              <w:pStyle w:val="Tabletext"/>
              <w:rPr>
                <w:color w:val="FF0000"/>
              </w:rPr>
            </w:pPr>
            <w:r w:rsidRPr="000E0BFD">
              <w:rPr>
                <w:color w:val="FF0000"/>
              </w:rPr>
              <w:t>vii.</w:t>
            </w:r>
            <w:r w:rsidRPr="000E0BFD">
              <w:rPr>
                <w:color w:val="FF0000"/>
              </w:rPr>
              <w:tab/>
              <w:t>Receiving concomitant medications with strong inhibitors of both CYP3A4 and P-glycoprotein (P-gp), or</w:t>
            </w:r>
          </w:p>
          <w:p w14:paraId="70B120E5" w14:textId="77777777" w:rsidR="00AC1DAF" w:rsidRPr="000E0BFD" w:rsidRDefault="00AC1DAF" w:rsidP="00E93186">
            <w:pPr>
              <w:pStyle w:val="Tabletext"/>
              <w:rPr>
                <w:color w:val="FF0000"/>
              </w:rPr>
            </w:pPr>
            <w:r w:rsidRPr="000E0BFD">
              <w:rPr>
                <w:color w:val="FF0000"/>
              </w:rPr>
              <w:t>viii.</w:t>
            </w:r>
            <w:r w:rsidRPr="000E0BFD">
              <w:rPr>
                <w:color w:val="FF0000"/>
              </w:rPr>
              <w:tab/>
              <w:t>Severe renal impairment defined as creatinine clearance (CrCL) &lt; 15 ml/min or undergoing dialysis and where warfarin is inappropriate, or</w:t>
            </w:r>
          </w:p>
          <w:p w14:paraId="5647F1D8" w14:textId="77777777" w:rsidR="00AC1DAF" w:rsidRPr="000E0BFD" w:rsidRDefault="00AC1DAF" w:rsidP="00E93186">
            <w:pPr>
              <w:pStyle w:val="Tabletext"/>
            </w:pPr>
            <w:r w:rsidRPr="000E0BFD">
              <w:rPr>
                <w:color w:val="FF0000"/>
              </w:rPr>
              <w:t>ix.</w:t>
            </w:r>
            <w:r w:rsidRPr="000E0BFD">
              <w:rPr>
                <w:color w:val="FF0000"/>
              </w:rPr>
              <w:tab/>
              <w:t xml:space="preserve">Known hypersensitivity to the </w:t>
            </w:r>
            <w:r>
              <w:rPr>
                <w:color w:val="FF0000"/>
              </w:rPr>
              <w:t>direct</w:t>
            </w:r>
            <w:r w:rsidRPr="000E0BFD">
              <w:rPr>
                <w:color w:val="FF0000"/>
              </w:rPr>
              <w:t xml:space="preserve"> </w:t>
            </w:r>
            <w:r>
              <w:rPr>
                <w:color w:val="FF0000"/>
              </w:rPr>
              <w:t>oral anticoagulant (D</w:t>
            </w:r>
            <w:r w:rsidRPr="000E0BFD">
              <w:rPr>
                <w:color w:val="FF0000"/>
              </w:rPr>
              <w:t>OAC) or to any of the excipients</w:t>
            </w:r>
            <w:r w:rsidRPr="000E0BFD">
              <w:t>.</w:t>
            </w:r>
          </w:p>
          <w:p w14:paraId="2115C0AA" w14:textId="77777777" w:rsidR="00AC1DAF" w:rsidRPr="000E0BFD" w:rsidRDefault="00AC1DAF" w:rsidP="00E93186">
            <w:pPr>
              <w:pStyle w:val="Tabletext"/>
            </w:pPr>
            <w:r w:rsidRPr="000E0BFD">
              <w:t>The procedure is performed as a hospital service.</w:t>
            </w:r>
          </w:p>
        </w:tc>
      </w:tr>
    </w:tbl>
    <w:p w14:paraId="6E7B25AD" w14:textId="77777777" w:rsidR="00AC1DAF" w:rsidRDefault="00AC1DAF" w:rsidP="008275A0">
      <w:pPr>
        <w:pStyle w:val="Tablenotes"/>
      </w:pPr>
      <w:r>
        <w:t>Source: Table 1, p22 of the ADAR</w:t>
      </w:r>
    </w:p>
    <w:p w14:paraId="05616193" w14:textId="77777777" w:rsidR="00AC1DAF" w:rsidRDefault="00AC1DAF" w:rsidP="008275A0">
      <w:pPr>
        <w:pStyle w:val="Tablenotes"/>
      </w:pPr>
      <w:r>
        <w:t>Abbreviations: LAAC = l</w:t>
      </w:r>
      <w:r w:rsidRPr="00AC21A3">
        <w:t>eft atrial appendage closure</w:t>
      </w:r>
      <w:r>
        <w:t>; MBS = Medicare Benefits Schedule; D</w:t>
      </w:r>
      <w:r w:rsidRPr="00AC21A3">
        <w:t>OAC</w:t>
      </w:r>
      <w:r>
        <w:t xml:space="preserve"> = direct </w:t>
      </w:r>
      <w:r w:rsidRPr="00AC21A3">
        <w:t>oral anticoagulant</w:t>
      </w:r>
    </w:p>
    <w:p w14:paraId="03E90478" w14:textId="77777777" w:rsidR="00AC1DAF" w:rsidRDefault="00AC1DAF" w:rsidP="008275A0">
      <w:pPr>
        <w:pStyle w:val="Tablenotes"/>
      </w:pPr>
      <w:r>
        <w:t xml:space="preserve">Note: </w:t>
      </w:r>
    </w:p>
    <w:p w14:paraId="1D5D2EB0" w14:textId="77777777" w:rsidR="00AC1DAF" w:rsidRDefault="00AC1DAF" w:rsidP="008275A0">
      <w:pPr>
        <w:pStyle w:val="Tablenotes"/>
      </w:pPr>
      <w:r w:rsidRPr="002D3490">
        <w:t>Amendments to expand the list of ‘absolute’ contraindications (Population 1) and to include ‘relative’ contraindications (Population 2) are shown in red and green text respectively</w:t>
      </w:r>
      <w:r>
        <w:t>.</w:t>
      </w:r>
    </w:p>
    <w:p w14:paraId="1AD4C72B" w14:textId="77777777" w:rsidR="00AC1DAF" w:rsidRDefault="00AC1DAF" w:rsidP="008275A0">
      <w:pPr>
        <w:pStyle w:val="Tablenotes"/>
      </w:pPr>
      <w:r>
        <w:t>Amendment to the item descriptor to</w:t>
      </w:r>
      <w:r w:rsidRPr="00BB551D">
        <w:t xml:space="preserve"> specify that patient eligibility for LAAC to be assessed by a non-interventional and interventional physician</w:t>
      </w:r>
      <w:r>
        <w:t xml:space="preserve"> is</w:t>
      </w:r>
      <w:r w:rsidRPr="00BB551D">
        <w:t xml:space="preserve"> shown in blue text</w:t>
      </w:r>
      <w:r>
        <w:t>.</w:t>
      </w:r>
    </w:p>
    <w:p w14:paraId="17DEE3E1" w14:textId="0A89E634" w:rsidR="00D03146" w:rsidRPr="00D03146" w:rsidRDefault="00AC1DAF" w:rsidP="00D03146">
      <w:pPr>
        <w:pStyle w:val="Tablenotes"/>
      </w:pPr>
      <w:r>
        <w:t xml:space="preserve">To </w:t>
      </w:r>
      <w:r w:rsidRPr="00AC625E">
        <w:t xml:space="preserve">align with the definition provided by the International Society on Thrombosis and Haemostasis (ISTH)(Barnes, Ageno, Ansell, &amp; Kaatz, 2015) </w:t>
      </w:r>
      <w:r>
        <w:t>the applicant proposed descriptor has been updated to use DOAC (direct oral anticoagulant) instead of NOAC (novel oral anticoagulant).</w:t>
      </w:r>
      <w:bookmarkStart w:id="2" w:name="_Ref61288749"/>
      <w:r w:rsidR="00D03146">
        <w:br w:type="page"/>
      </w:r>
    </w:p>
    <w:p w14:paraId="311C94AA" w14:textId="3B5DC86D" w:rsidR="00AC1DAF" w:rsidRPr="00E22492" w:rsidDel="00A134DA" w:rsidRDefault="00AC1DAF" w:rsidP="00AC1DAF">
      <w:pPr>
        <w:pStyle w:val="Caption"/>
      </w:pPr>
      <w:r w:rsidRPr="00E22492" w:rsidDel="00A134DA">
        <w:lastRenderedPageBreak/>
        <w:t xml:space="preserve">Table </w:t>
      </w:r>
      <w:r w:rsidRPr="00E22492">
        <w:rPr>
          <w:noProof/>
        </w:rPr>
        <w:fldChar w:fldCharType="begin"/>
      </w:r>
      <w:r w:rsidRPr="00E22492">
        <w:rPr>
          <w:noProof/>
        </w:rPr>
        <w:instrText xml:space="preserve"> SEQ Table \* ARABIC </w:instrText>
      </w:r>
      <w:r w:rsidRPr="00E22492">
        <w:rPr>
          <w:noProof/>
        </w:rPr>
        <w:fldChar w:fldCharType="separate"/>
      </w:r>
      <w:r>
        <w:rPr>
          <w:noProof/>
        </w:rPr>
        <w:t>3</w:t>
      </w:r>
      <w:r w:rsidRPr="00E22492">
        <w:rPr>
          <w:noProof/>
        </w:rPr>
        <w:fldChar w:fldCharType="end"/>
      </w:r>
      <w:bookmarkEnd w:id="2"/>
      <w:r>
        <w:t xml:space="preserve"> Applicant p</w:t>
      </w:r>
      <w:r w:rsidRPr="00E22492" w:rsidDel="00A134DA">
        <w:t>roposed</w:t>
      </w:r>
      <w:r w:rsidRPr="00E22492">
        <w:t xml:space="preserve">, associated </w:t>
      </w:r>
      <w:r w:rsidRPr="00E22492" w:rsidDel="00A134DA">
        <w:t>MBS item</w:t>
      </w:r>
      <w:r w:rsidRPr="00E22492">
        <w:t>s</w:t>
      </w:r>
      <w:r w:rsidRPr="00E22492" w:rsidDel="00A134DA">
        <w:t xml:space="preserve"> </w:t>
      </w:r>
      <w:r w:rsidRPr="00E22492">
        <w:t>relevant for determining eligibility for LAAC</w:t>
      </w:r>
    </w:p>
    <w:tbl>
      <w:tblPr>
        <w:tblStyle w:val="OPTUMTableNormal"/>
        <w:tblW w:w="9024" w:type="dxa"/>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24"/>
      </w:tblGrid>
      <w:tr w:rsidR="00AC1DAF" w:rsidRPr="00E22492" w:rsidDel="00A134DA" w14:paraId="3A9DB6B5" w14:textId="77777777" w:rsidTr="00511ED5">
        <w:trPr>
          <w:cnfStyle w:val="100000000000" w:firstRow="1" w:lastRow="0" w:firstColumn="0" w:lastColumn="0" w:oddVBand="0" w:evenVBand="0" w:oddHBand="0" w:evenHBand="0" w:firstRowFirstColumn="0" w:firstRowLastColumn="0" w:lastRowFirstColumn="0" w:lastRowLastColumn="0"/>
          <w:tblHeader/>
        </w:trPr>
        <w:tc>
          <w:tcPr>
            <w:tcW w:w="9024" w:type="dxa"/>
          </w:tcPr>
          <w:p w14:paraId="3080071D" w14:textId="77777777" w:rsidR="00AC1DAF" w:rsidRPr="00E22492" w:rsidDel="00A134DA" w:rsidRDefault="00AC1DAF" w:rsidP="00E93186">
            <w:pPr>
              <w:spacing w:after="40"/>
              <w:rPr>
                <w:rFonts w:ascii="Arial Narrow" w:hAnsi="Arial Narrow"/>
                <w:sz w:val="20"/>
              </w:rPr>
            </w:pPr>
            <w:r w:rsidRPr="00E22492" w:rsidDel="00A134DA">
              <w:rPr>
                <w:rFonts w:ascii="Arial Narrow" w:hAnsi="Arial Narrow"/>
                <w:sz w:val="20"/>
              </w:rPr>
              <w:t xml:space="preserve">Category </w:t>
            </w:r>
            <w:r w:rsidRPr="00E22492">
              <w:rPr>
                <w:rFonts w:ascii="Arial Narrow" w:hAnsi="Arial Narrow"/>
                <w:sz w:val="20"/>
              </w:rPr>
              <w:t>3</w:t>
            </w:r>
            <w:r w:rsidRPr="00E22492" w:rsidDel="00A134DA">
              <w:rPr>
                <w:rFonts w:ascii="Arial Narrow" w:hAnsi="Arial Narrow"/>
                <w:sz w:val="20"/>
              </w:rPr>
              <w:t xml:space="preserve"> – </w:t>
            </w:r>
            <w:r w:rsidRPr="00E22492">
              <w:rPr>
                <w:rFonts w:ascii="Arial Narrow" w:hAnsi="Arial Narrow"/>
                <w:sz w:val="20"/>
              </w:rPr>
              <w:t>Therapeutic procedures</w:t>
            </w:r>
          </w:p>
        </w:tc>
      </w:tr>
      <w:tr w:rsidR="00AC1DAF" w:rsidRPr="00E22492" w:rsidDel="00A134DA" w14:paraId="4DDE4683" w14:textId="77777777" w:rsidTr="00511ED5">
        <w:tc>
          <w:tcPr>
            <w:tcW w:w="9024" w:type="dxa"/>
          </w:tcPr>
          <w:p w14:paraId="4F77090E" w14:textId="77777777" w:rsidR="00AC1DAF" w:rsidRPr="00E22492" w:rsidRDefault="00AC1DAF" w:rsidP="00E93186">
            <w:pPr>
              <w:spacing w:after="40"/>
              <w:rPr>
                <w:rFonts w:ascii="Arial Narrow" w:hAnsi="Arial Narrow"/>
                <w:sz w:val="20"/>
              </w:rPr>
            </w:pPr>
            <w:r w:rsidRPr="00E22492">
              <w:rPr>
                <w:rFonts w:ascii="Arial Narrow" w:hAnsi="Arial Narrow"/>
                <w:sz w:val="20"/>
              </w:rPr>
              <w:t>MBS item ####</w:t>
            </w:r>
          </w:p>
          <w:p w14:paraId="27CD0C6E" w14:textId="2815930F" w:rsidR="00AC1DAF" w:rsidRPr="00E22492" w:rsidRDefault="00AC1DAF" w:rsidP="00E93186">
            <w:pPr>
              <w:spacing w:after="40"/>
              <w:rPr>
                <w:rFonts w:ascii="Arial Narrow" w:hAnsi="Arial Narrow"/>
                <w:sz w:val="20"/>
              </w:rPr>
            </w:pPr>
            <w:r w:rsidRPr="00E22492">
              <w:rPr>
                <w:rFonts w:ascii="Arial Narrow" w:hAnsi="Arial Narrow"/>
                <w:sz w:val="20"/>
              </w:rPr>
              <w:t>Coordination of a LAAC Case Conference by a Practitioner where the LAAC Case Conference has a duration of 10 minutes or more.</w:t>
            </w:r>
          </w:p>
          <w:p w14:paraId="64298434" w14:textId="797AC0F7" w:rsidR="00AC1DAF" w:rsidRPr="00E22492" w:rsidRDefault="00AC1DAF" w:rsidP="00D03146">
            <w:pPr>
              <w:spacing w:before="240" w:after="240"/>
              <w:rPr>
                <w:rFonts w:ascii="Arial Narrow" w:hAnsi="Arial Narrow"/>
                <w:sz w:val="20"/>
              </w:rPr>
            </w:pPr>
            <w:r w:rsidRPr="00E22492">
              <w:rPr>
                <w:rFonts w:ascii="Arial Narrow" w:hAnsi="Arial Narrow"/>
                <w:sz w:val="20"/>
              </w:rPr>
              <w:t>(Not payable more than once per patient in a five year period.)</w:t>
            </w:r>
          </w:p>
          <w:p w14:paraId="27C1B8E1" w14:textId="77777777" w:rsidR="00AC1DAF" w:rsidRPr="00E22492" w:rsidRDefault="00AC1DAF" w:rsidP="00E93186">
            <w:pPr>
              <w:spacing w:after="40"/>
              <w:rPr>
                <w:rFonts w:ascii="Arial Narrow" w:hAnsi="Arial Narrow"/>
                <w:sz w:val="20"/>
              </w:rPr>
            </w:pPr>
            <w:r w:rsidRPr="00E22492">
              <w:rPr>
                <w:rFonts w:ascii="Arial Narrow" w:hAnsi="Arial Narrow"/>
                <w:sz w:val="20"/>
              </w:rPr>
              <w:t>Fee: $52.50 Benefit: 75% = $39.40 85% = $44.65</w:t>
            </w:r>
          </w:p>
        </w:tc>
      </w:tr>
      <w:tr w:rsidR="00AC1DAF" w:rsidRPr="00E22492" w:rsidDel="00A134DA" w14:paraId="3E1A213F" w14:textId="77777777" w:rsidTr="00511ED5">
        <w:tc>
          <w:tcPr>
            <w:tcW w:w="9024" w:type="dxa"/>
          </w:tcPr>
          <w:p w14:paraId="6343E0F6" w14:textId="77777777" w:rsidR="00AC1DAF" w:rsidRPr="00E22492" w:rsidDel="00A134DA" w:rsidRDefault="00AC1DAF" w:rsidP="00E93186">
            <w:pPr>
              <w:spacing w:after="40"/>
              <w:rPr>
                <w:rFonts w:ascii="Arial Narrow" w:hAnsi="Arial Narrow"/>
                <w:sz w:val="20"/>
              </w:rPr>
            </w:pPr>
            <w:r w:rsidRPr="00E22492">
              <w:rPr>
                <w:rFonts w:ascii="Arial Narrow" w:hAnsi="Arial Narrow"/>
                <w:sz w:val="20"/>
              </w:rPr>
              <w:t>C</w:t>
            </w:r>
            <w:r w:rsidRPr="00E22492" w:rsidDel="00A134DA">
              <w:rPr>
                <w:rFonts w:ascii="Arial Narrow" w:hAnsi="Arial Narrow"/>
                <w:sz w:val="20"/>
              </w:rPr>
              <w:t xml:space="preserve">ategory </w:t>
            </w:r>
            <w:r w:rsidRPr="00E22492">
              <w:rPr>
                <w:rFonts w:ascii="Arial Narrow" w:hAnsi="Arial Narrow"/>
                <w:sz w:val="20"/>
              </w:rPr>
              <w:t>3</w:t>
            </w:r>
            <w:r w:rsidRPr="00E22492" w:rsidDel="00A134DA">
              <w:rPr>
                <w:rFonts w:ascii="Arial Narrow" w:hAnsi="Arial Narrow"/>
                <w:sz w:val="20"/>
              </w:rPr>
              <w:t xml:space="preserve"> – </w:t>
            </w:r>
            <w:r w:rsidRPr="00E22492">
              <w:rPr>
                <w:rFonts w:ascii="Arial Narrow" w:hAnsi="Arial Narrow"/>
                <w:sz w:val="20"/>
              </w:rPr>
              <w:t>Therapeutic procedures</w:t>
            </w:r>
          </w:p>
        </w:tc>
      </w:tr>
      <w:tr w:rsidR="00AC1DAF" w:rsidRPr="00E22492" w:rsidDel="00A134DA" w14:paraId="032CC4E7" w14:textId="77777777" w:rsidTr="00511ED5">
        <w:tc>
          <w:tcPr>
            <w:tcW w:w="9024" w:type="dxa"/>
          </w:tcPr>
          <w:p w14:paraId="0B7A4C9A" w14:textId="77777777" w:rsidR="00AC1DAF" w:rsidRPr="00E22492" w:rsidRDefault="00AC1DAF" w:rsidP="00E93186">
            <w:pPr>
              <w:spacing w:after="40"/>
              <w:rPr>
                <w:rFonts w:ascii="Arial Narrow" w:hAnsi="Arial Narrow"/>
                <w:sz w:val="20"/>
              </w:rPr>
            </w:pPr>
            <w:r w:rsidRPr="00E22492">
              <w:rPr>
                <w:rFonts w:ascii="Arial Narrow" w:hAnsi="Arial Narrow"/>
                <w:sz w:val="20"/>
              </w:rPr>
              <w:t>MBS item ####</w:t>
            </w:r>
          </w:p>
          <w:p w14:paraId="6DD953D5" w14:textId="77777777" w:rsidR="00AC1DAF" w:rsidRPr="00E22492" w:rsidRDefault="00AC1DAF" w:rsidP="00E93186">
            <w:pPr>
              <w:spacing w:after="40"/>
              <w:rPr>
                <w:rFonts w:ascii="Arial Narrow" w:hAnsi="Arial Narrow"/>
                <w:sz w:val="20"/>
              </w:rPr>
            </w:pPr>
            <w:r w:rsidRPr="00E22492">
              <w:rPr>
                <w:rFonts w:ascii="Arial Narrow" w:hAnsi="Arial Narrow"/>
                <w:sz w:val="20"/>
              </w:rPr>
              <w:t>Attendance at a LAAC Case Conference by a specialist or consultant physician who does not also perform the service described in item #### for the same case conference where the LAAC Case Conference has a duration of 10 minutes or more.</w:t>
            </w:r>
          </w:p>
          <w:p w14:paraId="44484F90" w14:textId="214B3295" w:rsidR="00AC1DAF" w:rsidRPr="00E22492" w:rsidRDefault="00AC1DAF" w:rsidP="00E93186">
            <w:pPr>
              <w:spacing w:after="40"/>
              <w:rPr>
                <w:rFonts w:ascii="Arial Narrow" w:hAnsi="Arial Narrow"/>
                <w:sz w:val="20"/>
              </w:rPr>
            </w:pPr>
            <w:r w:rsidRPr="00E22492">
              <w:rPr>
                <w:rFonts w:ascii="Arial Narrow" w:hAnsi="Arial Narrow"/>
                <w:sz w:val="20"/>
              </w:rPr>
              <w:t>(Not payable more than once per patient in a five year period.)</w:t>
            </w:r>
          </w:p>
          <w:p w14:paraId="25212247" w14:textId="77777777" w:rsidR="00AC1DAF" w:rsidRPr="00E22492" w:rsidRDefault="00AC1DAF" w:rsidP="00D03146">
            <w:pPr>
              <w:spacing w:before="240" w:after="40"/>
              <w:rPr>
                <w:rFonts w:ascii="Arial Narrow" w:hAnsi="Arial Narrow"/>
                <w:sz w:val="20"/>
              </w:rPr>
            </w:pPr>
            <w:r w:rsidRPr="00E22492">
              <w:rPr>
                <w:rFonts w:ascii="Arial Narrow" w:hAnsi="Arial Narrow"/>
                <w:sz w:val="20"/>
              </w:rPr>
              <w:t>Fee: $39.15 Benefit: 75% = $29.40 85% = $33.30</w:t>
            </w:r>
          </w:p>
        </w:tc>
      </w:tr>
      <w:tr w:rsidR="00AC1DAF" w:rsidRPr="00E22492" w:rsidDel="00A134DA" w14:paraId="5326968B" w14:textId="77777777" w:rsidTr="00511ED5">
        <w:tc>
          <w:tcPr>
            <w:tcW w:w="9024" w:type="dxa"/>
          </w:tcPr>
          <w:p w14:paraId="678A93DA" w14:textId="77777777" w:rsidR="00AC1DAF" w:rsidRPr="00E22492" w:rsidRDefault="00AC1DAF" w:rsidP="00E93186">
            <w:pPr>
              <w:spacing w:after="40"/>
              <w:rPr>
                <w:rFonts w:ascii="Arial Narrow" w:hAnsi="Arial Narrow"/>
                <w:sz w:val="20"/>
              </w:rPr>
            </w:pPr>
            <w:r w:rsidRPr="00E22492">
              <w:rPr>
                <w:rFonts w:ascii="Arial Narrow" w:hAnsi="Arial Narrow"/>
                <w:sz w:val="20"/>
              </w:rPr>
              <w:t>Notes:</w:t>
            </w:r>
          </w:p>
          <w:p w14:paraId="4A570C68" w14:textId="77777777" w:rsidR="00AC1DAF" w:rsidRPr="00E22492" w:rsidRDefault="00AC1DAF" w:rsidP="00E93186">
            <w:pPr>
              <w:spacing w:after="40"/>
              <w:rPr>
                <w:rFonts w:ascii="Arial Narrow" w:hAnsi="Arial Narrow"/>
                <w:sz w:val="20"/>
              </w:rPr>
            </w:pPr>
            <w:r w:rsidRPr="00E22492">
              <w:rPr>
                <w:rFonts w:ascii="Arial Narrow" w:hAnsi="Arial Narrow"/>
                <w:sz w:val="20"/>
              </w:rPr>
              <w:t xml:space="preserve">Item #### and #### apply to a LAAC Case Conference organised to discuss a patient’s suitability to receive the service described in Item 38276 for left atrial appendage closure (LAAC). </w:t>
            </w:r>
          </w:p>
          <w:p w14:paraId="0883C614" w14:textId="77777777" w:rsidR="00AC1DAF" w:rsidRPr="00E22492" w:rsidRDefault="00AC1DAF" w:rsidP="00E93186">
            <w:pPr>
              <w:spacing w:after="40"/>
              <w:rPr>
                <w:rFonts w:ascii="Arial Narrow" w:hAnsi="Arial Narrow"/>
                <w:sz w:val="20"/>
              </w:rPr>
            </w:pPr>
            <w:r w:rsidRPr="00E22492">
              <w:rPr>
                <w:rFonts w:ascii="Arial Narrow" w:hAnsi="Arial Narrow"/>
                <w:sz w:val="20"/>
              </w:rPr>
              <w:t>For item #### and #### a LAAC case Conference is a process by which:</w:t>
            </w:r>
          </w:p>
          <w:p w14:paraId="4252AE01" w14:textId="77777777" w:rsidR="00AC1DAF" w:rsidRPr="00E22492" w:rsidRDefault="00AC1DAF" w:rsidP="00AC1DAF">
            <w:pPr>
              <w:numPr>
                <w:ilvl w:val="0"/>
                <w:numId w:val="30"/>
              </w:numPr>
              <w:spacing w:after="40"/>
              <w:rPr>
                <w:rFonts w:ascii="Arial Narrow" w:hAnsi="Arial Narrow"/>
                <w:sz w:val="20"/>
              </w:rPr>
            </w:pPr>
            <w:r w:rsidRPr="00E22492">
              <w:rPr>
                <w:rFonts w:ascii="Arial Narrow" w:hAnsi="Arial Narrow"/>
                <w:sz w:val="20"/>
              </w:rPr>
              <w:t>There are two participants, where one is an interventional physician that performs LAAC procedures and one is a specialist or consultant physician who does not perform a service described in item 38276.</w:t>
            </w:r>
          </w:p>
          <w:p w14:paraId="78EA33CD" w14:textId="77777777" w:rsidR="00AC1DAF" w:rsidRPr="00E22492" w:rsidRDefault="00AC1DAF" w:rsidP="00AC1DAF">
            <w:pPr>
              <w:numPr>
                <w:ilvl w:val="0"/>
                <w:numId w:val="30"/>
              </w:numPr>
              <w:spacing w:after="40"/>
              <w:rPr>
                <w:rFonts w:ascii="Arial Narrow" w:hAnsi="Arial Narrow"/>
                <w:sz w:val="20"/>
              </w:rPr>
            </w:pPr>
            <w:r w:rsidRPr="00E22492">
              <w:rPr>
                <w:rFonts w:ascii="Arial Narrow" w:hAnsi="Arial Narrow"/>
                <w:sz w:val="20"/>
              </w:rPr>
              <w:t>The interventional and non-interventional physicians assess a patient’s eligibility to receive the service described in item 38276, taking into account:</w:t>
            </w:r>
          </w:p>
          <w:p w14:paraId="4BD23EB3" w14:textId="77777777" w:rsidR="00AC1DAF" w:rsidRPr="00E22492" w:rsidRDefault="00AC1DAF" w:rsidP="00AC1DAF">
            <w:pPr>
              <w:numPr>
                <w:ilvl w:val="1"/>
                <w:numId w:val="30"/>
              </w:numPr>
              <w:spacing w:after="40"/>
              <w:rPr>
                <w:rFonts w:ascii="Arial Narrow" w:hAnsi="Arial Narrow"/>
                <w:sz w:val="20"/>
              </w:rPr>
            </w:pPr>
            <w:r w:rsidRPr="00E22492">
              <w:rPr>
                <w:rFonts w:ascii="Arial Narrow" w:hAnsi="Arial Narrow"/>
                <w:sz w:val="20"/>
              </w:rPr>
              <w:t>The patient’s risk of thromboembolism</w:t>
            </w:r>
          </w:p>
          <w:p w14:paraId="5BBC4359" w14:textId="77777777" w:rsidR="00AC1DAF" w:rsidRPr="00E22492" w:rsidRDefault="00AC1DAF" w:rsidP="00AC1DAF">
            <w:pPr>
              <w:numPr>
                <w:ilvl w:val="1"/>
                <w:numId w:val="30"/>
              </w:numPr>
              <w:spacing w:after="40"/>
              <w:rPr>
                <w:rFonts w:ascii="Arial Narrow" w:hAnsi="Arial Narrow"/>
                <w:sz w:val="20"/>
              </w:rPr>
            </w:pPr>
            <w:r w:rsidRPr="00E22492">
              <w:rPr>
                <w:rFonts w:ascii="Arial Narrow" w:hAnsi="Arial Narrow"/>
                <w:sz w:val="20"/>
              </w:rPr>
              <w:t>The patient’s contraindication(s) to</w:t>
            </w:r>
            <w:r>
              <w:rPr>
                <w:rFonts w:ascii="Arial Narrow" w:hAnsi="Arial Narrow"/>
                <w:sz w:val="20"/>
              </w:rPr>
              <w:t xml:space="preserve"> direct oral anticoagulant (D</w:t>
            </w:r>
            <w:r w:rsidRPr="00E22492">
              <w:rPr>
                <w:rFonts w:ascii="Arial Narrow" w:hAnsi="Arial Narrow"/>
                <w:sz w:val="20"/>
              </w:rPr>
              <w:t>OAC) as per the Therapeutic Goods Administration (TGA) ap</w:t>
            </w:r>
            <w:r>
              <w:rPr>
                <w:rFonts w:ascii="Arial Narrow" w:hAnsi="Arial Narrow"/>
                <w:sz w:val="20"/>
              </w:rPr>
              <w:t>proved product information for D</w:t>
            </w:r>
            <w:r w:rsidRPr="00E22492">
              <w:rPr>
                <w:rFonts w:ascii="Arial Narrow" w:hAnsi="Arial Narrow"/>
                <w:sz w:val="20"/>
              </w:rPr>
              <w:t xml:space="preserve">OACs registered for use in stroke prevention. </w:t>
            </w:r>
          </w:p>
          <w:p w14:paraId="6070A3DE" w14:textId="77777777" w:rsidR="00AC1DAF" w:rsidRPr="00E22492" w:rsidRDefault="00AC1DAF" w:rsidP="00AC1DAF">
            <w:pPr>
              <w:numPr>
                <w:ilvl w:val="0"/>
                <w:numId w:val="30"/>
              </w:numPr>
              <w:spacing w:after="40"/>
              <w:rPr>
                <w:rFonts w:ascii="Arial Narrow" w:hAnsi="Arial Narrow"/>
                <w:sz w:val="20"/>
              </w:rPr>
            </w:pPr>
            <w:r w:rsidRPr="00E22492">
              <w:rPr>
                <w:rFonts w:ascii="Arial Narrow" w:hAnsi="Arial Narrow"/>
                <w:sz w:val="20"/>
              </w:rPr>
              <w:t>The result of the assessment is that a recommendation about whether or not the patient is suitable to receive the service described in Item 38276; and</w:t>
            </w:r>
          </w:p>
          <w:p w14:paraId="5C4B631F" w14:textId="77777777" w:rsidR="00AC1DAF" w:rsidRPr="00E22492" w:rsidRDefault="00AC1DAF" w:rsidP="00AC1DAF">
            <w:pPr>
              <w:numPr>
                <w:ilvl w:val="0"/>
                <w:numId w:val="30"/>
              </w:numPr>
              <w:spacing w:after="40"/>
              <w:rPr>
                <w:rFonts w:ascii="Arial Narrow" w:hAnsi="Arial Narrow"/>
                <w:sz w:val="20"/>
              </w:rPr>
            </w:pPr>
            <w:r w:rsidRPr="00E22492">
              <w:rPr>
                <w:rFonts w:ascii="Arial Narrow" w:hAnsi="Arial Narrow"/>
                <w:sz w:val="20"/>
              </w:rPr>
              <w:t xml:space="preserve">The particulars of the assessment and recommendation are recorded in writing. </w:t>
            </w:r>
          </w:p>
        </w:tc>
      </w:tr>
    </w:tbl>
    <w:p w14:paraId="0A6A3D1F" w14:textId="77777777" w:rsidR="00AC1DAF" w:rsidRDefault="00AC1DAF" w:rsidP="008275A0">
      <w:pPr>
        <w:pStyle w:val="Tablenotes"/>
      </w:pPr>
      <w:r>
        <w:t>Source: Table 13, p51 of the ADAR</w:t>
      </w:r>
    </w:p>
    <w:p w14:paraId="28B793F2" w14:textId="77777777" w:rsidR="00AC1DAF" w:rsidRDefault="00AC1DAF" w:rsidP="008275A0">
      <w:pPr>
        <w:pStyle w:val="Tablenotes"/>
      </w:pPr>
      <w:r>
        <w:t>Abbreviations: LAAC = l</w:t>
      </w:r>
      <w:r w:rsidRPr="00AC21A3">
        <w:t>eft atrial appendage closure</w:t>
      </w:r>
      <w:r>
        <w:t>; MBS = Medicare Benefits Schedule; D</w:t>
      </w:r>
      <w:r w:rsidRPr="00AC21A3">
        <w:t>OAC</w:t>
      </w:r>
      <w:r>
        <w:t xml:space="preserve"> = direct</w:t>
      </w:r>
      <w:r w:rsidRPr="00AC21A3">
        <w:t xml:space="preserve"> oral anticoagulant</w:t>
      </w:r>
    </w:p>
    <w:p w14:paraId="25B381E8" w14:textId="77777777" w:rsidR="00BC1364" w:rsidRPr="00AC1DAF" w:rsidRDefault="00AC1DAF" w:rsidP="008275A0">
      <w:pPr>
        <w:pStyle w:val="Tablenotes"/>
      </w:pPr>
      <w:r>
        <w:t xml:space="preserve">Note: </w:t>
      </w:r>
      <w:r w:rsidRPr="00AC625E">
        <w:t>To align with the definition provided by the International Society on Thrombosis and Haemostasis (ISTH)(Barnes, Ageno, Ansell, &amp; Kaatz, 2015) the applicant proposed descriptor has been updated to use DOAC (direct oral anticoagulant) instead of NOAC (novel oral anticoagulant).</w:t>
      </w:r>
    </w:p>
    <w:p w14:paraId="728B76B2"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6B558D90" w14:textId="10230117" w:rsidR="00AC1DAF" w:rsidRDefault="00AC1DAF" w:rsidP="00AC1DAF">
      <w:pPr>
        <w:rPr>
          <w:rStyle w:val="IntenseReference"/>
          <w:szCs w:val="28"/>
        </w:rPr>
      </w:pPr>
      <w:r>
        <w:t>Consultation feedback was received from a consumer group, a health care funding body and from a specialist organisation. The consumer group was supportive of the proposed service, noting it is a once off procedure that would reduce bleeding risks associated with daily oral anticoagulants for high risk patients, and would benefit patients who may “have trouble taking or staying on medicines for stroke prevention”. The health care funding body considered a key issue with the proposed service was the cost of the prosthesis ($11,400) relative to the cost of one of the common medications for AF, which they stated as $21 as per the PBS list price; along with risk of over-servicing.</w:t>
      </w:r>
      <w:r w:rsidRPr="00772D0D">
        <w:t xml:space="preserve"> The specialist organisation (members of the Australasian Stroke Academy (ASA)) were supportive of the proposed amendment to MBS item 38276 as it would allow another alternative in the management of patients with atrial fibrillation where life-long oral anticoagulants are contraindicated or unsafe. It supported aligning t</w:t>
      </w:r>
      <w:r>
        <w:t>he restriction with Australian D</w:t>
      </w:r>
      <w:r w:rsidRPr="00772D0D">
        <w:t>OAC product information to minimise misinterpretation.</w:t>
      </w:r>
      <w:r>
        <w:rPr>
          <w:rStyle w:val="IntenseReference"/>
          <w:szCs w:val="28"/>
        </w:rPr>
        <w:t xml:space="preserve"> </w:t>
      </w:r>
    </w:p>
    <w:p w14:paraId="050FBE83" w14:textId="52043B77" w:rsidR="00752038" w:rsidRPr="00752038" w:rsidRDefault="00752038" w:rsidP="00D03146">
      <w:pPr>
        <w:spacing w:before="240"/>
        <w:rPr>
          <w:rStyle w:val="IntenseReference"/>
          <w:b w:val="0"/>
          <w:bCs w:val="0"/>
          <w:i w:val="0"/>
          <w:smallCaps w:val="0"/>
          <w:color w:val="auto"/>
          <w:szCs w:val="28"/>
        </w:rPr>
      </w:pPr>
      <w:r w:rsidRPr="00752038">
        <w:rPr>
          <w:rStyle w:val="IntenseReference"/>
          <w:b w:val="0"/>
          <w:bCs w:val="0"/>
          <w:i w:val="0"/>
          <w:smallCaps w:val="0"/>
          <w:color w:val="auto"/>
          <w:szCs w:val="28"/>
        </w:rPr>
        <w:t xml:space="preserve">Following consideration by ESC, the Department </w:t>
      </w:r>
      <w:r w:rsidR="00EB2A33">
        <w:rPr>
          <w:rStyle w:val="IntenseReference"/>
          <w:b w:val="0"/>
          <w:bCs w:val="0"/>
          <w:i w:val="0"/>
          <w:smallCaps w:val="0"/>
          <w:color w:val="auto"/>
          <w:szCs w:val="28"/>
        </w:rPr>
        <w:t>undertook targeted consultation to seek clinical expert opinion</w:t>
      </w:r>
      <w:r>
        <w:rPr>
          <w:rStyle w:val="IntenseReference"/>
          <w:b w:val="0"/>
          <w:bCs w:val="0"/>
          <w:i w:val="0"/>
          <w:smallCaps w:val="0"/>
          <w:color w:val="auto"/>
          <w:szCs w:val="28"/>
        </w:rPr>
        <w:t xml:space="preserve"> on the proposed definition of a contraindication to l</w:t>
      </w:r>
      <w:r w:rsidR="00EB2A33">
        <w:rPr>
          <w:rStyle w:val="IntenseReference"/>
          <w:b w:val="0"/>
          <w:bCs w:val="0"/>
          <w:i w:val="0"/>
          <w:smallCaps w:val="0"/>
          <w:color w:val="auto"/>
          <w:szCs w:val="28"/>
        </w:rPr>
        <w:t xml:space="preserve">ifelong </w:t>
      </w:r>
      <w:r w:rsidR="00EB2A33">
        <w:rPr>
          <w:rStyle w:val="IntenseReference"/>
          <w:b w:val="0"/>
          <w:bCs w:val="0"/>
          <w:i w:val="0"/>
          <w:smallCaps w:val="0"/>
          <w:color w:val="auto"/>
          <w:szCs w:val="28"/>
        </w:rPr>
        <w:lastRenderedPageBreak/>
        <w:t>anticoagulation therapy. Responses were received from three clinical societies (</w:t>
      </w:r>
      <w:r w:rsidR="00EB2A33" w:rsidRPr="00EB2A33">
        <w:rPr>
          <w:rStyle w:val="IntenseReference"/>
          <w:b w:val="0"/>
          <w:bCs w:val="0"/>
          <w:i w:val="0"/>
          <w:smallCaps w:val="0"/>
          <w:color w:val="auto"/>
          <w:szCs w:val="28"/>
        </w:rPr>
        <w:t>Australian and New Zealand Society for Vascular Surgery</w:t>
      </w:r>
      <w:r w:rsidR="00EB2A33">
        <w:rPr>
          <w:rStyle w:val="IntenseReference"/>
          <w:b w:val="0"/>
          <w:bCs w:val="0"/>
          <w:i w:val="0"/>
          <w:smallCaps w:val="0"/>
          <w:color w:val="auto"/>
          <w:szCs w:val="28"/>
        </w:rPr>
        <w:t xml:space="preserve">, </w:t>
      </w:r>
      <w:r w:rsidR="00EB2A33" w:rsidRPr="00EB2A33">
        <w:rPr>
          <w:rStyle w:val="IntenseReference"/>
          <w:b w:val="0"/>
          <w:bCs w:val="0"/>
          <w:i w:val="0"/>
          <w:smallCaps w:val="0"/>
          <w:color w:val="auto"/>
          <w:szCs w:val="28"/>
        </w:rPr>
        <w:t>Gastroenterological Society of Australia</w:t>
      </w:r>
      <w:r w:rsidR="00EB2A33">
        <w:rPr>
          <w:rStyle w:val="IntenseReference"/>
          <w:b w:val="0"/>
          <w:bCs w:val="0"/>
          <w:i w:val="0"/>
          <w:smallCaps w:val="0"/>
          <w:color w:val="auto"/>
          <w:szCs w:val="28"/>
        </w:rPr>
        <w:t xml:space="preserve">, and </w:t>
      </w:r>
      <w:r w:rsidR="00EB2A33" w:rsidRPr="00EB2A33">
        <w:rPr>
          <w:rStyle w:val="IntenseReference"/>
          <w:b w:val="0"/>
          <w:bCs w:val="0"/>
          <w:i w:val="0"/>
          <w:smallCaps w:val="0"/>
          <w:color w:val="auto"/>
          <w:szCs w:val="28"/>
        </w:rPr>
        <w:t>Thrombosis &amp; Haemostasis Society of Australia and New Zealand</w:t>
      </w:r>
      <w:r w:rsidR="00EB2A33">
        <w:rPr>
          <w:rStyle w:val="IntenseReference"/>
          <w:b w:val="0"/>
          <w:bCs w:val="0"/>
          <w:i w:val="0"/>
          <w:smallCaps w:val="0"/>
          <w:color w:val="auto"/>
          <w:szCs w:val="28"/>
        </w:rPr>
        <w:t>) and a</w:t>
      </w:r>
      <w:r w:rsidR="00EB2A33" w:rsidRPr="00EB2A33">
        <w:rPr>
          <w:rStyle w:val="IntenseReference"/>
          <w:b w:val="0"/>
          <w:bCs w:val="0"/>
          <w:i w:val="0"/>
          <w:smallCaps w:val="0"/>
          <w:color w:val="auto"/>
          <w:szCs w:val="28"/>
        </w:rPr>
        <w:t xml:space="preserve"> Neurologist/Neurointerventionist</w:t>
      </w:r>
      <w:r w:rsidR="00EB2A33">
        <w:rPr>
          <w:rStyle w:val="IntenseReference"/>
          <w:b w:val="0"/>
          <w:bCs w:val="0"/>
          <w:i w:val="0"/>
          <w:smallCaps w:val="0"/>
          <w:color w:val="auto"/>
          <w:szCs w:val="28"/>
        </w:rPr>
        <w:t xml:space="preserve">. The feedback noted that while some of the proposed contraindications are not always an absolute </w:t>
      </w:r>
      <w:r w:rsidR="00F908AB">
        <w:rPr>
          <w:rStyle w:val="IntenseReference"/>
          <w:b w:val="0"/>
          <w:bCs w:val="0"/>
          <w:i w:val="0"/>
          <w:smallCaps w:val="0"/>
          <w:color w:val="auto"/>
          <w:szCs w:val="28"/>
        </w:rPr>
        <w:t>contraindication</w:t>
      </w:r>
      <w:r w:rsidR="00EB2A33">
        <w:rPr>
          <w:rStyle w:val="IntenseReference"/>
          <w:b w:val="0"/>
          <w:bCs w:val="0"/>
          <w:i w:val="0"/>
          <w:smallCaps w:val="0"/>
          <w:color w:val="auto"/>
          <w:szCs w:val="28"/>
        </w:rPr>
        <w:t xml:space="preserve"> to anticoagulation, </w:t>
      </w:r>
      <w:r w:rsidR="00F908AB">
        <w:rPr>
          <w:rStyle w:val="IntenseReference"/>
          <w:b w:val="0"/>
          <w:bCs w:val="0"/>
          <w:i w:val="0"/>
          <w:smallCaps w:val="0"/>
          <w:color w:val="auto"/>
          <w:szCs w:val="28"/>
        </w:rPr>
        <w:t>it was</w:t>
      </w:r>
      <w:r w:rsidR="00EB2A33">
        <w:rPr>
          <w:rStyle w:val="IntenseReference"/>
          <w:b w:val="0"/>
          <w:bCs w:val="0"/>
          <w:i w:val="0"/>
          <w:smallCaps w:val="0"/>
          <w:color w:val="auto"/>
          <w:szCs w:val="28"/>
        </w:rPr>
        <w:t xml:space="preserve"> also noted that assessment of the bleeding risks and the overall risk-benefit balance is determined on an individual basis. </w:t>
      </w:r>
    </w:p>
    <w:p w14:paraId="4C24B3BD" w14:textId="77777777" w:rsidR="00BC1364" w:rsidRPr="00F715D1" w:rsidRDefault="00BC1364" w:rsidP="00F715D1">
      <w:pPr>
        <w:pStyle w:val="Heading1"/>
      </w:pPr>
      <w:r w:rsidRPr="00F715D1">
        <w:t>Proposed intervention’s place in clinical management</w:t>
      </w:r>
    </w:p>
    <w:p w14:paraId="37103F30" w14:textId="2B4E9794" w:rsidR="00CF4E81" w:rsidRDefault="00CF4E81" w:rsidP="00E93186">
      <w:pPr>
        <w:pStyle w:val="Heading2"/>
      </w:pPr>
      <w:r w:rsidRPr="00CF4E81">
        <w:t>Description of Proposed Intervention</w:t>
      </w:r>
    </w:p>
    <w:p w14:paraId="0119C5FC" w14:textId="7B223367" w:rsidR="00183995" w:rsidRPr="00E93186" w:rsidRDefault="00183995" w:rsidP="00E93186">
      <w:pPr>
        <w:spacing w:after="240"/>
      </w:pPr>
      <w:r w:rsidRPr="000E0BFD">
        <w:t xml:space="preserve">The </w:t>
      </w:r>
      <w:r>
        <w:t xml:space="preserve">proposed </w:t>
      </w:r>
      <w:r w:rsidRPr="000E0BFD">
        <w:t>intervention is</w:t>
      </w:r>
      <w:r w:rsidRPr="000E0BFD">
        <w:rPr>
          <w:rFonts w:asciiTheme="minorHAnsi" w:eastAsiaTheme="minorHAnsi" w:hAnsiTheme="minorHAnsi" w:cstheme="minorBidi"/>
          <w:sz w:val="20"/>
        </w:rPr>
        <w:t xml:space="preserve"> </w:t>
      </w:r>
      <w:r w:rsidRPr="000E0BFD">
        <w:t>percutaneous insertion of a left atrial appendage closure (LAAC) device, to occlude the left atrial appendage (LAA) in patients with NVAF. The left atrial appendage is the primary source for thromboembolism in patients with NVAF. The percutaneous insertion of an implantable device to occlude the LAA may be performed to reduce thromboembolism in patients with NVAF. The procedure aims at preventing stroke and systemic thromboembolism, by closing off the LAA permanently to avoid formation and migration of emboli to the brain.</w:t>
      </w:r>
    </w:p>
    <w:p w14:paraId="0554F300" w14:textId="77777777" w:rsidR="00CF4E81" w:rsidRPr="00CF4E81" w:rsidRDefault="00CF4E81" w:rsidP="00183995">
      <w:pPr>
        <w:pStyle w:val="Heading2"/>
      </w:pPr>
      <w:r w:rsidRPr="00CF4E81">
        <w:t xml:space="preserve">Description of Medical </w:t>
      </w:r>
      <w:r w:rsidRPr="00183995">
        <w:t>Condition</w:t>
      </w:r>
      <w:r w:rsidRPr="00CF4E81">
        <w:t>(s)</w:t>
      </w:r>
    </w:p>
    <w:p w14:paraId="11A9CD34" w14:textId="26C73639" w:rsidR="00183995" w:rsidRDefault="00183995" w:rsidP="00E93186">
      <w:pPr>
        <w:tabs>
          <w:tab w:val="left" w:pos="720"/>
          <w:tab w:val="left" w:pos="1140"/>
        </w:tabs>
        <w:spacing w:after="240"/>
      </w:pPr>
      <w:r>
        <w:t>Atrial f</w:t>
      </w:r>
      <w:r w:rsidRPr="007C6FEF">
        <w:t xml:space="preserve">ibrillation (AF) is the most common sustained cardiac arrhythmia and a key risk factor for ischaemic strokes. A thrombus can form when blood becomes trapped in the LAA due to </w:t>
      </w:r>
      <w:r w:rsidR="00331569">
        <w:t>AF</w:t>
      </w:r>
      <w:r w:rsidRPr="007C6FEF">
        <w:t>. When the thrombus becomes dislodged it migrates through the arterial system towards the brain, resulting in vascular occlusion from the thromboembolism which may cause an ischemic stroke. Ischemic strokes can lead to a large number of complications including hemi-paralysis, speech deficits, dysphasia, and even death.</w:t>
      </w:r>
    </w:p>
    <w:p w14:paraId="1D766597" w14:textId="5CCD2E2F" w:rsidR="00183995" w:rsidRPr="007C55DB" w:rsidRDefault="00183995" w:rsidP="00E93186">
      <w:pPr>
        <w:spacing w:after="240"/>
      </w:pPr>
      <w:r w:rsidRPr="007C55DB">
        <w:t>The clinical management of patients with absolute contraindications</w:t>
      </w:r>
      <w:r>
        <w:t xml:space="preserve"> (Population 1)</w:t>
      </w:r>
      <w:r w:rsidRPr="007C55DB">
        <w:t xml:space="preserve"> is unchanged as per MSAC 1347.1 PSD. </w:t>
      </w:r>
    </w:p>
    <w:p w14:paraId="16E30481" w14:textId="7A276543" w:rsidR="00183995" w:rsidRDefault="00183995" w:rsidP="00E93186">
      <w:pPr>
        <w:spacing w:after="240"/>
      </w:pPr>
      <w:r w:rsidRPr="007235DB">
        <w:t xml:space="preserve">The proposed clinical management algorithm with introduction of LAAC in patients with relative contraindications </w:t>
      </w:r>
      <w:r>
        <w:t xml:space="preserve">(Population 2) </w:t>
      </w:r>
      <w:r w:rsidRPr="007235DB">
        <w:t xml:space="preserve">to </w:t>
      </w:r>
      <w:r w:rsidRPr="00745107">
        <w:t>anticoagulation</w:t>
      </w:r>
      <w:r w:rsidRPr="007235DB">
        <w:t xml:space="preserve"> is presented in </w:t>
      </w:r>
      <w:r w:rsidRPr="007235DB">
        <w:fldChar w:fldCharType="begin"/>
      </w:r>
      <w:r w:rsidRPr="007235DB">
        <w:instrText xml:space="preserve"> REF _Ref20403463 \h </w:instrText>
      </w:r>
      <w:r>
        <w:instrText xml:space="preserve"> \* MERGEFORMAT </w:instrText>
      </w:r>
      <w:r w:rsidRPr="007235DB">
        <w:fldChar w:fldCharType="separate"/>
      </w:r>
      <w:r w:rsidRPr="0040634B">
        <w:t xml:space="preserve">Figure </w:t>
      </w:r>
      <w:r>
        <w:rPr>
          <w:noProof/>
        </w:rPr>
        <w:t>1</w:t>
      </w:r>
      <w:r w:rsidRPr="007235DB">
        <w:fldChar w:fldCharType="end"/>
      </w:r>
      <w:r w:rsidRPr="007235DB">
        <w:t>.</w:t>
      </w:r>
      <w:r>
        <w:t xml:space="preserve"> </w:t>
      </w:r>
      <w:r w:rsidRPr="007235DB">
        <w:t>Patients with a</w:t>
      </w:r>
      <w:r>
        <w:t>n increased risk of thromboembolism (</w:t>
      </w:r>
      <w:r w:rsidRPr="007235DB">
        <w:t>CHA2DS2-VA score of ≥ 2</w:t>
      </w:r>
      <w:r>
        <w:t>)</w:t>
      </w:r>
      <w:r w:rsidRPr="007235DB">
        <w:t xml:space="preserve"> and with a relative contraindication to </w:t>
      </w:r>
      <w:r w:rsidRPr="00745107">
        <w:t>anticoagulation</w:t>
      </w:r>
      <w:r>
        <w:t xml:space="preserve"> may receive treatment with D</w:t>
      </w:r>
      <w:r w:rsidRPr="007235DB">
        <w:t>OAC (preferred) or warfarin, and for these patients LAAC may provide an alternate, one-procedure option.</w:t>
      </w:r>
    </w:p>
    <w:p w14:paraId="0A8BAF83" w14:textId="77777777" w:rsidR="00E93186" w:rsidRPr="0040634B" w:rsidRDefault="00E93186" w:rsidP="00E93186">
      <w:r w:rsidRPr="0040634B">
        <w:rPr>
          <w:noProof/>
        </w:rPr>
        <w:lastRenderedPageBreak/>
        <w:drawing>
          <wp:inline distT="0" distB="0" distL="0" distR="0" wp14:anchorId="79600204" wp14:editId="1705BFA2">
            <wp:extent cx="5206025" cy="4932145"/>
            <wp:effectExtent l="0" t="0" r="0" b="1905"/>
            <wp:docPr id="10" name="Picture 10" descr="Proposed clinical management algorithm with introduction of LAAC in the proposed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13522" cy="4939248"/>
                    </a:xfrm>
                    <a:prstGeom prst="rect">
                      <a:avLst/>
                    </a:prstGeom>
                  </pic:spPr>
                </pic:pic>
              </a:graphicData>
            </a:graphic>
          </wp:inline>
        </w:drawing>
      </w:r>
    </w:p>
    <w:p w14:paraId="2BD8F867" w14:textId="77777777" w:rsidR="00E93186" w:rsidRPr="0040634B" w:rsidRDefault="00E93186" w:rsidP="00E93186">
      <w:pPr>
        <w:pStyle w:val="Caption"/>
      </w:pPr>
      <w:bookmarkStart w:id="3" w:name="_Ref20403463"/>
      <w:bookmarkStart w:id="4" w:name="_Toc52880847"/>
      <w:r w:rsidRPr="0040634B">
        <w:t xml:space="preserve">Figure </w:t>
      </w:r>
      <w:r w:rsidRPr="0040634B">
        <w:rPr>
          <w:noProof/>
        </w:rPr>
        <w:fldChar w:fldCharType="begin"/>
      </w:r>
      <w:r w:rsidRPr="0040634B">
        <w:rPr>
          <w:noProof/>
        </w:rPr>
        <w:instrText xml:space="preserve"> SEQ Figure \* ARABIC </w:instrText>
      </w:r>
      <w:r w:rsidRPr="0040634B">
        <w:rPr>
          <w:noProof/>
        </w:rPr>
        <w:fldChar w:fldCharType="separate"/>
      </w:r>
      <w:r>
        <w:rPr>
          <w:noProof/>
        </w:rPr>
        <w:t>1</w:t>
      </w:r>
      <w:r w:rsidRPr="0040634B">
        <w:rPr>
          <w:noProof/>
        </w:rPr>
        <w:fldChar w:fldCharType="end"/>
      </w:r>
      <w:bookmarkEnd w:id="3"/>
      <w:r w:rsidRPr="0040634B">
        <w:rPr>
          <w:noProof/>
        </w:rPr>
        <w:tab/>
      </w:r>
      <w:r w:rsidRPr="0040634B">
        <w:t>Proposed clinical management algorithm with introduction of LAAC in the proposed population</w:t>
      </w:r>
      <w:bookmarkEnd w:id="4"/>
    </w:p>
    <w:p w14:paraId="3DBE49A8" w14:textId="77777777" w:rsidR="00E93186" w:rsidRPr="00DC69E2" w:rsidRDefault="00E93186" w:rsidP="008275A0">
      <w:pPr>
        <w:pStyle w:val="Tablenotes"/>
      </w:pPr>
      <w:r w:rsidRPr="0040634B">
        <w:t>Source: Figure 5, p19 of MSAC</w:t>
      </w:r>
      <w:r w:rsidRPr="00DC69E2">
        <w:t xml:space="preserve"> 1615 Ratified PICO.</w:t>
      </w:r>
    </w:p>
    <w:p w14:paraId="481C7B63" w14:textId="77777777" w:rsidR="00E93186" w:rsidRPr="00DC69E2" w:rsidRDefault="00E93186" w:rsidP="008275A0">
      <w:pPr>
        <w:pStyle w:val="Tablenotes"/>
      </w:pPr>
      <w:r w:rsidRPr="00DC69E2">
        <w:t>Abbreviations: LAAC = of left atrial appendage closure; NOAC = novel oral anticoagulants; NVAF = non-valvular atrial fibrillation; OAT = oral anticoagulant therapy; SoC = standard of care; TOE = transoesophageal echocardiogram</w:t>
      </w:r>
    </w:p>
    <w:p w14:paraId="5464B53F" w14:textId="2C14710A" w:rsidR="00E93186" w:rsidRDefault="00E93186" w:rsidP="00D03146">
      <w:pPr>
        <w:pStyle w:val="Tablenotes"/>
      </w:pPr>
      <w:r w:rsidRPr="00DC69E2">
        <w:t>*Medications affecting haemostasis; P-glycoprotein (P-gp) inhibitors; thrombolytic agents; selective serotonin re-uptake inhibitors (SSRIs) or selective serotonin norepinephrine re-uptake inhibitors (SNRIs); non-steroidal anti-inflammatory drugs (NSAIDs)</w:t>
      </w:r>
    </w:p>
    <w:p w14:paraId="534A17C3" w14:textId="77777777" w:rsidR="00BC1364" w:rsidRPr="00F715D1" w:rsidRDefault="00BC1364" w:rsidP="00F715D1">
      <w:pPr>
        <w:pStyle w:val="Heading1"/>
      </w:pPr>
      <w:r w:rsidRPr="00F715D1">
        <w:t xml:space="preserve">Comparator </w:t>
      </w:r>
    </w:p>
    <w:p w14:paraId="7D7A9A6B" w14:textId="77777777" w:rsidR="00E93186" w:rsidRPr="00E93186" w:rsidRDefault="00E93186" w:rsidP="00E93186">
      <w:pPr>
        <w:pStyle w:val="Heading3"/>
      </w:pPr>
      <w:r w:rsidRPr="00E93186">
        <w:t>Population 1</w:t>
      </w:r>
    </w:p>
    <w:p w14:paraId="300F9A72" w14:textId="6556FC17" w:rsidR="00E93186" w:rsidRPr="002C742E" w:rsidRDefault="00E93186" w:rsidP="00E93186">
      <w:pPr>
        <w:spacing w:after="240"/>
      </w:pPr>
      <w:r>
        <w:t>Unchanged, best supportive care as per MSAC 1374.1 PSD.</w:t>
      </w:r>
    </w:p>
    <w:p w14:paraId="61A4CF32" w14:textId="77777777" w:rsidR="00E93186" w:rsidRDefault="00E93186" w:rsidP="00E93186">
      <w:pPr>
        <w:pStyle w:val="Heading3"/>
      </w:pPr>
      <w:r>
        <w:t>Population 2</w:t>
      </w:r>
    </w:p>
    <w:p w14:paraId="3ECBB642" w14:textId="4D286234" w:rsidR="00E93186" w:rsidRDefault="00E93186" w:rsidP="00E93186">
      <w:pPr>
        <w:spacing w:after="240"/>
      </w:pPr>
      <w:r w:rsidRPr="000E0BFD">
        <w:t xml:space="preserve">The main comparator for LAAC in patients with NVAF with relative contraindication to </w:t>
      </w:r>
      <w:r w:rsidRPr="00745107">
        <w:t>anticoagulation</w:t>
      </w:r>
      <w:r w:rsidRPr="000E0BFD">
        <w:t xml:space="preserve"> is </w:t>
      </w:r>
      <w:r>
        <w:t>D</w:t>
      </w:r>
      <w:r w:rsidRPr="000E0BFD">
        <w:t>OAC</w:t>
      </w:r>
      <w:r>
        <w:t>s</w:t>
      </w:r>
      <w:r w:rsidRPr="000E0BFD">
        <w:t xml:space="preserve"> as these agents are the preferred treatment option in the proposed patient population. Warfarin is an alternate treatment option in these patients, thus is included as an additional comparator. </w:t>
      </w:r>
    </w:p>
    <w:p w14:paraId="51C69BD6" w14:textId="10D45323" w:rsidR="00E93186" w:rsidRDefault="00E93186" w:rsidP="00E93186">
      <w:pPr>
        <w:spacing w:after="240"/>
      </w:pPr>
      <w:r w:rsidRPr="000E0BFD">
        <w:t>Warfarin has a general listing on the pharmaceutical ben</w:t>
      </w:r>
      <w:r>
        <w:t>efits scheme (PBS) whereas the D</w:t>
      </w:r>
      <w:r w:rsidRPr="000E0BFD">
        <w:t>OACs are restricted to stroke prevention in NVAF patients with C</w:t>
      </w:r>
      <w:r>
        <w:t>HA2DS2-VA ≥ 1. There are three D</w:t>
      </w:r>
      <w:r w:rsidRPr="000E0BFD">
        <w:t xml:space="preserve">OACs listed on the PBS for stroke prevention in NVAF: apixaban, dabigatran and rivaroxaban, restriction provided in </w:t>
      </w:r>
      <w:r w:rsidRPr="000E0BFD">
        <w:fldChar w:fldCharType="begin"/>
      </w:r>
      <w:r w:rsidRPr="000E0BFD">
        <w:instrText xml:space="preserve"> REF _Ref58839990 \h </w:instrText>
      </w:r>
      <w:r w:rsidRPr="000E0BFD">
        <w:fldChar w:fldCharType="separate"/>
      </w:r>
      <w:r w:rsidRPr="000E0BFD">
        <w:t xml:space="preserve">Table </w:t>
      </w:r>
      <w:r>
        <w:rPr>
          <w:noProof/>
        </w:rPr>
        <w:t>4</w:t>
      </w:r>
      <w:r w:rsidRPr="000E0BFD">
        <w:fldChar w:fldCharType="end"/>
      </w:r>
      <w:r w:rsidRPr="000E0BFD">
        <w:t>.</w:t>
      </w:r>
    </w:p>
    <w:p w14:paraId="4B553DBA" w14:textId="77777777" w:rsidR="00E93186" w:rsidRPr="000E0BFD" w:rsidRDefault="00E93186" w:rsidP="00E93186">
      <w:pPr>
        <w:pStyle w:val="Caption"/>
      </w:pPr>
      <w:bookmarkStart w:id="5" w:name="_Ref58839990"/>
      <w:bookmarkStart w:id="6" w:name="_Toc52880699"/>
      <w:r w:rsidRPr="000E0BFD">
        <w:lastRenderedPageBreak/>
        <w:t xml:space="preserve">Table </w:t>
      </w:r>
      <w:r w:rsidR="00FE1F6B">
        <w:fldChar w:fldCharType="begin"/>
      </w:r>
      <w:r w:rsidR="00FE1F6B">
        <w:instrText xml:space="preserve"> SEQ Table \* ARABIC </w:instrText>
      </w:r>
      <w:r w:rsidR="00FE1F6B">
        <w:fldChar w:fldCharType="separate"/>
      </w:r>
      <w:r>
        <w:rPr>
          <w:noProof/>
        </w:rPr>
        <w:t>4</w:t>
      </w:r>
      <w:r w:rsidR="00FE1F6B">
        <w:rPr>
          <w:noProof/>
        </w:rPr>
        <w:fldChar w:fldCharType="end"/>
      </w:r>
      <w:bookmarkEnd w:id="5"/>
      <w:r>
        <w:tab/>
        <w:t>PBS restriction for D</w:t>
      </w:r>
      <w:r w:rsidRPr="000E0BFD">
        <w:t>OACs for prevention of stroke</w:t>
      </w:r>
      <w:bookmarkEnd w:id="6"/>
    </w:p>
    <w:tbl>
      <w:tblPr>
        <w:tblStyle w:val="OPTUMTableNormal"/>
        <w:tblW w:w="0" w:type="auto"/>
        <w:tblLook w:val="04A0" w:firstRow="1" w:lastRow="0" w:firstColumn="1" w:lastColumn="0" w:noHBand="0" w:noVBand="1"/>
        <w:tblDescription w:val="PBS restriction for DOACs for prevention of stroke"/>
      </w:tblPr>
      <w:tblGrid>
        <w:gridCol w:w="9016"/>
      </w:tblGrid>
      <w:tr w:rsidR="00E93186" w:rsidRPr="000E0BFD" w14:paraId="1DB7EC46" w14:textId="77777777" w:rsidTr="00511ED5">
        <w:trPr>
          <w:cnfStyle w:val="100000000000" w:firstRow="1" w:lastRow="0" w:firstColumn="0" w:lastColumn="0" w:oddVBand="0" w:evenVBand="0" w:oddHBand="0" w:evenHBand="0" w:firstRowFirstColumn="0" w:firstRowLastColumn="0" w:lastRowFirstColumn="0" w:lastRowLastColumn="0"/>
          <w:tblHeader/>
        </w:trPr>
        <w:tc>
          <w:tcPr>
            <w:tcW w:w="9019" w:type="dxa"/>
          </w:tcPr>
          <w:p w14:paraId="202DF25F" w14:textId="77777777" w:rsidR="00E93186" w:rsidRPr="000E0BFD" w:rsidRDefault="00E93186" w:rsidP="00E93186">
            <w:pPr>
              <w:pStyle w:val="TableText0"/>
              <w:rPr>
                <w:b/>
                <w:bCs/>
              </w:rPr>
            </w:pPr>
            <w:r>
              <w:rPr>
                <w:b/>
                <w:bCs/>
              </w:rPr>
              <w:t>PBS restriction for D</w:t>
            </w:r>
            <w:r w:rsidRPr="000E0BFD">
              <w:rPr>
                <w:b/>
                <w:bCs/>
              </w:rPr>
              <w:t>OACs</w:t>
            </w:r>
          </w:p>
        </w:tc>
      </w:tr>
      <w:tr w:rsidR="00E93186" w:rsidRPr="000E0BFD" w14:paraId="386FE136" w14:textId="77777777" w:rsidTr="00E93186">
        <w:tc>
          <w:tcPr>
            <w:tcW w:w="9019" w:type="dxa"/>
          </w:tcPr>
          <w:p w14:paraId="33EFF107" w14:textId="77777777" w:rsidR="00E93186" w:rsidRPr="0040634B" w:rsidRDefault="00E93186" w:rsidP="00E93186">
            <w:pPr>
              <w:pStyle w:val="TableText0"/>
            </w:pPr>
            <w:r w:rsidRPr="0040634B">
              <w:t>Prevention of stroke or systemic embolism</w:t>
            </w:r>
          </w:p>
          <w:p w14:paraId="16FE6AD8" w14:textId="77777777" w:rsidR="00E93186" w:rsidRPr="0040634B" w:rsidRDefault="00E93186" w:rsidP="00E93186">
            <w:pPr>
              <w:pStyle w:val="TableText0"/>
            </w:pPr>
            <w:r w:rsidRPr="0040634B">
              <w:t>Patient must have non-valvular atrial fibrillation</w:t>
            </w:r>
          </w:p>
          <w:p w14:paraId="39559704" w14:textId="77777777" w:rsidR="00E93186" w:rsidRPr="0040634B" w:rsidRDefault="00E93186" w:rsidP="00E93186">
            <w:pPr>
              <w:pStyle w:val="TableText0"/>
            </w:pPr>
            <w:r w:rsidRPr="0040634B">
              <w:t>Patient must have one or more risk factors for developing stroke or systemic embolism:</w:t>
            </w:r>
          </w:p>
          <w:p w14:paraId="238F5749" w14:textId="77777777" w:rsidR="00E93186" w:rsidRPr="0040634B" w:rsidRDefault="00E93186" w:rsidP="00E93186">
            <w:pPr>
              <w:pStyle w:val="TableText0"/>
            </w:pPr>
            <w:r w:rsidRPr="0040634B">
              <w:t>i.</w:t>
            </w:r>
            <w:r w:rsidRPr="0040634B">
              <w:tab/>
              <w:t xml:space="preserve">Prior stroke (ischaemic or unknown type), transient ischaemic attack or non-central nervous system (CNS) systemic embolism; </w:t>
            </w:r>
          </w:p>
          <w:p w14:paraId="4D145566" w14:textId="77777777" w:rsidR="00E93186" w:rsidRPr="0040634B" w:rsidRDefault="00E93186" w:rsidP="00E93186">
            <w:pPr>
              <w:pStyle w:val="TableText0"/>
            </w:pPr>
            <w:r w:rsidRPr="0040634B">
              <w:t>ii.</w:t>
            </w:r>
            <w:r w:rsidRPr="0040634B">
              <w:tab/>
              <w:t>age 75 years or older;</w:t>
            </w:r>
          </w:p>
          <w:p w14:paraId="201D07A4" w14:textId="77777777" w:rsidR="00E93186" w:rsidRPr="0040634B" w:rsidRDefault="00E93186" w:rsidP="00E93186">
            <w:pPr>
              <w:pStyle w:val="TableText0"/>
            </w:pPr>
            <w:r w:rsidRPr="0040634B">
              <w:t>iii.</w:t>
            </w:r>
            <w:r w:rsidRPr="0040634B">
              <w:tab/>
              <w:t>hypertension;</w:t>
            </w:r>
          </w:p>
          <w:p w14:paraId="14BAF366" w14:textId="77777777" w:rsidR="00E93186" w:rsidRPr="0040634B" w:rsidRDefault="00E93186" w:rsidP="00E93186">
            <w:pPr>
              <w:pStyle w:val="TableText0"/>
            </w:pPr>
            <w:r w:rsidRPr="0040634B">
              <w:t>iv.</w:t>
            </w:r>
            <w:r w:rsidRPr="0040634B">
              <w:tab/>
              <w:t>diabetes mellitus;</w:t>
            </w:r>
          </w:p>
          <w:p w14:paraId="63185B35" w14:textId="77777777" w:rsidR="00E93186" w:rsidRPr="000E0BFD" w:rsidRDefault="00E93186" w:rsidP="00E93186">
            <w:pPr>
              <w:pStyle w:val="TableText0"/>
            </w:pPr>
            <w:r w:rsidRPr="0040634B">
              <w:t>v.</w:t>
            </w:r>
            <w:r w:rsidRPr="0040634B">
              <w:tab/>
              <w:t>heart failure and/or left ventricular ejection fraction 35% or less.</w:t>
            </w:r>
          </w:p>
        </w:tc>
      </w:tr>
    </w:tbl>
    <w:p w14:paraId="371FB01B" w14:textId="77777777" w:rsidR="00E93186" w:rsidRDefault="00E93186" w:rsidP="008275A0">
      <w:pPr>
        <w:pStyle w:val="Tablenotes"/>
      </w:pPr>
      <w:r>
        <w:t>Source: Table 22, p16 of the commentary</w:t>
      </w:r>
    </w:p>
    <w:p w14:paraId="786527D6" w14:textId="77777777" w:rsidR="00BC1364" w:rsidRPr="00F715D1" w:rsidRDefault="00BC1364" w:rsidP="00F715D1">
      <w:pPr>
        <w:pStyle w:val="Heading1"/>
      </w:pPr>
      <w:r w:rsidRPr="00F715D1">
        <w:t>Comparative safety</w:t>
      </w:r>
    </w:p>
    <w:p w14:paraId="7DA67A19" w14:textId="77777777" w:rsidR="00E93186" w:rsidRDefault="00E93186" w:rsidP="00E93186">
      <w:pPr>
        <w:pStyle w:val="Heading3"/>
      </w:pPr>
      <w:r>
        <w:t>Population 1</w:t>
      </w:r>
    </w:p>
    <w:p w14:paraId="015A9A57" w14:textId="6A3E9836" w:rsidR="00E93186" w:rsidRPr="000E0BFD" w:rsidRDefault="00E93186" w:rsidP="00E93186">
      <w:pPr>
        <w:spacing w:after="240"/>
      </w:pPr>
      <w:r>
        <w:t>Unchanged, as per MSAC 1374.1 PSD.</w:t>
      </w:r>
    </w:p>
    <w:p w14:paraId="0BDF9B4E" w14:textId="77777777" w:rsidR="00E93186" w:rsidRDefault="00E93186" w:rsidP="00E93186">
      <w:pPr>
        <w:pStyle w:val="Heading3"/>
      </w:pPr>
      <w:r>
        <w:t>Population 2</w:t>
      </w:r>
    </w:p>
    <w:p w14:paraId="1DC55DBB" w14:textId="45D3BF88" w:rsidR="00E93186" w:rsidRDefault="00E93186" w:rsidP="00E93186">
      <w:pPr>
        <w:spacing w:after="240"/>
      </w:pPr>
      <w:r>
        <w:t>S</w:t>
      </w:r>
      <w:r w:rsidRPr="000E0BFD">
        <w:t xml:space="preserve">even </w:t>
      </w:r>
      <w:r>
        <w:t>randomised clinical trials (</w:t>
      </w:r>
      <w:r w:rsidRPr="000E0BFD">
        <w:t>RCT</w:t>
      </w:r>
      <w:r>
        <w:t>)</w:t>
      </w:r>
      <w:r w:rsidRPr="000E0BFD">
        <w:t xml:space="preserve"> were included in the </w:t>
      </w:r>
      <w:r>
        <w:t xml:space="preserve">ADAR </w:t>
      </w:r>
      <w:r w:rsidRPr="00261D4F">
        <w:rPr>
          <w:b/>
        </w:rPr>
        <w:t>(</w:t>
      </w:r>
      <w:r w:rsidRPr="00261D4F">
        <w:fldChar w:fldCharType="begin"/>
      </w:r>
      <w:r w:rsidRPr="00261D4F">
        <w:instrText xml:space="preserve"> REF _Ref51155522 \h  \* MERGEFORMAT </w:instrText>
      </w:r>
      <w:r w:rsidRPr="00261D4F">
        <w:fldChar w:fldCharType="separate"/>
      </w:r>
      <w:r w:rsidRPr="0065791C">
        <w:t xml:space="preserve">Table </w:t>
      </w:r>
      <w:r>
        <w:rPr>
          <w:noProof/>
        </w:rPr>
        <w:t>5</w:t>
      </w:r>
      <w:r w:rsidRPr="00261D4F">
        <w:fldChar w:fldCharType="end"/>
      </w:r>
      <w:r w:rsidRPr="00261D4F">
        <w:t>).</w:t>
      </w:r>
      <w:r>
        <w:t xml:space="preserve"> O</w:t>
      </w:r>
      <w:r w:rsidRPr="000E0BFD">
        <w:t>ne</w:t>
      </w:r>
      <w:r>
        <w:t xml:space="preserve"> randomised, unblinded, non-inferiority trial directly compared LAAC to D</w:t>
      </w:r>
      <w:r w:rsidRPr="000E0BFD">
        <w:t>OAC</w:t>
      </w:r>
      <w:r w:rsidR="00D03146">
        <w:br/>
      </w:r>
      <w:r w:rsidRPr="000E0BFD">
        <w:t>(PRAGUE-17</w:t>
      </w:r>
      <w:r>
        <w:t>, Osmancik 2020</w:t>
      </w:r>
      <w:r>
        <w:rPr>
          <w:rStyle w:val="FootnoteReference"/>
        </w:rPr>
        <w:footnoteReference w:id="2"/>
      </w:r>
      <w:r w:rsidRPr="000E0BFD">
        <w:t>)</w:t>
      </w:r>
      <w:r>
        <w:t xml:space="preserve"> and specifically targeted </w:t>
      </w:r>
      <w:r w:rsidRPr="007B6128">
        <w:t xml:space="preserve">patients with </w:t>
      </w:r>
      <w:r>
        <w:t xml:space="preserve">NVAF with </w:t>
      </w:r>
      <w:r w:rsidRPr="007B6128">
        <w:t xml:space="preserve">relative contraindications </w:t>
      </w:r>
      <w:r>
        <w:t xml:space="preserve">to </w:t>
      </w:r>
      <w:r w:rsidRPr="00745107">
        <w:t>anticoagulation</w:t>
      </w:r>
      <w:r w:rsidRPr="000E0BFD">
        <w:t>.</w:t>
      </w:r>
      <w:r>
        <w:t xml:space="preserve"> </w:t>
      </w:r>
      <w:r w:rsidRPr="00CB5FAA">
        <w:t xml:space="preserve">The </w:t>
      </w:r>
      <w:r>
        <w:t xml:space="preserve">PRAGUE-17 study </w:t>
      </w:r>
      <w:r w:rsidRPr="00CB5FAA">
        <w:t>primary outcome was a composite of benefit and harm endpoints: stroke, transient ischemic attack, systemic embolism, cardiovascular-related death, bleeding, or procedure/device-related complications.</w:t>
      </w:r>
    </w:p>
    <w:p w14:paraId="7FDE16A4" w14:textId="578B2A0A" w:rsidR="00E93186" w:rsidRPr="00E93186" w:rsidRDefault="00E93186" w:rsidP="00E93186">
      <w:pPr>
        <w:spacing w:after="240"/>
      </w:pPr>
      <w:r>
        <w:t>The remaining six RCT were included to allow an</w:t>
      </w:r>
      <w:r w:rsidRPr="003917B9">
        <w:t xml:space="preserve"> indirect treatment c</w:t>
      </w:r>
      <w:r>
        <w:t>omparison (ITC) of LAAC versus D</w:t>
      </w:r>
      <w:r w:rsidRPr="003917B9">
        <w:t>OACs via warfarin as the common comparator</w:t>
      </w:r>
      <w:r>
        <w:t xml:space="preserve"> and a </w:t>
      </w:r>
      <w:r w:rsidRPr="003917B9">
        <w:t xml:space="preserve">direct comparison </w:t>
      </w:r>
      <w:r>
        <w:t>between LAAC and warfarin</w:t>
      </w:r>
      <w:r w:rsidRPr="003917B9">
        <w:t xml:space="preserve">. </w:t>
      </w:r>
    </w:p>
    <w:p w14:paraId="7B9D4E79" w14:textId="645F47FB" w:rsidR="00D03146" w:rsidRPr="00D03146" w:rsidRDefault="00E93186">
      <w:pPr>
        <w:rPr>
          <w:lang w:eastAsia="en-US"/>
        </w:rPr>
      </w:pPr>
      <w:r w:rsidRPr="000B0107">
        <w:rPr>
          <w:lang w:eastAsia="en-US"/>
        </w:rPr>
        <w:t xml:space="preserve">The </w:t>
      </w:r>
      <w:r>
        <w:rPr>
          <w:lang w:eastAsia="en-US"/>
        </w:rPr>
        <w:t>commentary noted that</w:t>
      </w:r>
      <w:r w:rsidR="007B26A7" w:rsidRPr="007B26A7">
        <w:t xml:space="preserve"> </w:t>
      </w:r>
      <w:r w:rsidR="00227B22">
        <w:rPr>
          <w:lang w:eastAsia="en-US"/>
        </w:rPr>
        <w:t xml:space="preserve">in </w:t>
      </w:r>
      <w:r>
        <w:rPr>
          <w:lang w:eastAsia="en-US"/>
        </w:rPr>
        <w:t>t</w:t>
      </w:r>
      <w:r w:rsidRPr="000B0107">
        <w:t>he PREVAIL, J-ROCKET-AF and ROCKET-AF</w:t>
      </w:r>
      <w:r w:rsidR="007B26A7">
        <w:t xml:space="preserve"> trials</w:t>
      </w:r>
      <w:r w:rsidR="00227B22">
        <w:t xml:space="preserve"> 91-100% of the </w:t>
      </w:r>
      <w:r w:rsidRPr="000B0107">
        <w:t xml:space="preserve">participants </w:t>
      </w:r>
      <w:r w:rsidR="00227B22">
        <w:t>had</w:t>
      </w:r>
      <w:r w:rsidR="00227B22" w:rsidRPr="000B0107">
        <w:t xml:space="preserve"> </w:t>
      </w:r>
      <w:r w:rsidRPr="000B0107">
        <w:t>a CHADS</w:t>
      </w:r>
      <w:r w:rsidRPr="000B0107">
        <w:rPr>
          <w:vertAlign w:val="subscript"/>
        </w:rPr>
        <w:t xml:space="preserve">2 </w:t>
      </w:r>
      <w:r w:rsidRPr="000B0107">
        <w:t xml:space="preserve">score ≥2 in the warfarin arm, compared to the </w:t>
      </w:r>
      <w:r w:rsidR="00C2648D">
        <w:t>PROTECT-AF, ARISTOTLE and RE-LY</w:t>
      </w:r>
      <w:r w:rsidRPr="000B0107">
        <w:t xml:space="preserve"> trials </w:t>
      </w:r>
      <w:r w:rsidR="007B26A7">
        <w:t>where 66-73% of the participants had a CHADS</w:t>
      </w:r>
      <w:r w:rsidR="007B26A7" w:rsidRPr="00CC62F4">
        <w:rPr>
          <w:vertAlign w:val="subscript"/>
        </w:rPr>
        <w:t>2</w:t>
      </w:r>
      <w:r w:rsidR="007B26A7">
        <w:t xml:space="preserve"> score ≥2 </w:t>
      </w:r>
      <w:r w:rsidR="007B26A7" w:rsidRPr="000B0107">
        <w:t>in the warfarin arm</w:t>
      </w:r>
      <w:r w:rsidR="007B26A7">
        <w:t xml:space="preserve">. </w:t>
      </w:r>
      <w:r w:rsidRPr="000B0107">
        <w:t xml:space="preserve"> Of note are the J-ROCKET-AF and ROCKET-AF trials where majority of participants (63.6% and 54.6% respectively) had a history of stroke or </w:t>
      </w:r>
      <w:r w:rsidR="001A50B7">
        <w:t>transient ischemic attach (</w:t>
      </w:r>
      <w:r w:rsidRPr="000B0107">
        <w:t>TIA</w:t>
      </w:r>
      <w:r w:rsidR="001A50B7">
        <w:t>)</w:t>
      </w:r>
      <w:r w:rsidRPr="000B0107">
        <w:t xml:space="preserve">, compared to other four trials where not more than 30% patients had a previous stroke. Given this variation in the risk of stroke among the participants who were allocated warfarin in the six included trials, </w:t>
      </w:r>
      <w:r>
        <w:t xml:space="preserve">the commentary considered that </w:t>
      </w:r>
      <w:r w:rsidRPr="000B0107">
        <w:t xml:space="preserve">the common comparator arm was not exchangeable across the included trials. </w:t>
      </w:r>
      <w:bookmarkStart w:id="7" w:name="_Ref51155522"/>
      <w:bookmarkStart w:id="8" w:name="_Ref57281063"/>
      <w:bookmarkStart w:id="9" w:name="_Toc52278447"/>
      <w:bookmarkStart w:id="10" w:name="_Toc52880711"/>
      <w:r w:rsidR="00D03146">
        <w:br w:type="page"/>
      </w:r>
    </w:p>
    <w:p w14:paraId="7A20C440" w14:textId="1FB8478A" w:rsidR="00E93186" w:rsidRPr="0065791C" w:rsidRDefault="00E93186" w:rsidP="00E93186">
      <w:pPr>
        <w:pStyle w:val="Caption"/>
      </w:pPr>
      <w:r w:rsidRPr="0065791C">
        <w:lastRenderedPageBreak/>
        <w:t xml:space="preserve">Table </w:t>
      </w:r>
      <w:r w:rsidR="00FE1F6B">
        <w:fldChar w:fldCharType="begin"/>
      </w:r>
      <w:r w:rsidR="00FE1F6B">
        <w:instrText xml:space="preserve"> SEQ Table \* AR</w:instrText>
      </w:r>
      <w:r w:rsidR="00FE1F6B">
        <w:instrText xml:space="preserve">ABIC </w:instrText>
      </w:r>
      <w:r w:rsidR="00FE1F6B">
        <w:fldChar w:fldCharType="separate"/>
      </w:r>
      <w:r>
        <w:rPr>
          <w:noProof/>
        </w:rPr>
        <w:t>5</w:t>
      </w:r>
      <w:r w:rsidR="00FE1F6B">
        <w:rPr>
          <w:noProof/>
        </w:rPr>
        <w:fldChar w:fldCharType="end"/>
      </w:r>
      <w:bookmarkEnd w:id="7"/>
      <w:bookmarkEnd w:id="8"/>
      <w:r w:rsidRPr="0065791C">
        <w:tab/>
        <w:t>Key features of the included evidence in the RCTs</w:t>
      </w:r>
      <w:bookmarkEnd w:id="9"/>
      <w:bookmarkEnd w:id="10"/>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in the RCTs"/>
        <w:tblDescription w:val="This table presents the key features of the included RCTs including study design, follow-up duration, risk of bias, patient population, key outcoes and whether the results were used in economic analysis"/>
      </w:tblPr>
      <w:tblGrid>
        <w:gridCol w:w="1375"/>
        <w:gridCol w:w="1438"/>
        <w:gridCol w:w="1860"/>
        <w:gridCol w:w="709"/>
        <w:gridCol w:w="2588"/>
        <w:gridCol w:w="1295"/>
      </w:tblGrid>
      <w:tr w:rsidR="00E93186" w:rsidRPr="0065791C" w14:paraId="779CCDC4" w14:textId="77777777" w:rsidTr="00E93186">
        <w:trPr>
          <w:cantSplit/>
          <w:tblHeader/>
        </w:trPr>
        <w:tc>
          <w:tcPr>
            <w:tcW w:w="1375" w:type="dxa"/>
            <w:tcBorders>
              <w:bottom w:val="single" w:sz="4" w:space="0" w:color="auto"/>
            </w:tcBorders>
            <w:shd w:val="clear" w:color="auto" w:fill="auto"/>
          </w:tcPr>
          <w:p w14:paraId="5615D198" w14:textId="77777777" w:rsidR="00E93186" w:rsidRDefault="00E93186" w:rsidP="00E93186">
            <w:pPr>
              <w:pStyle w:val="Tabletextboldleft"/>
            </w:pPr>
            <w:r w:rsidRPr="0065791C">
              <w:t>Trial/Study</w:t>
            </w:r>
          </w:p>
          <w:p w14:paraId="1E16A849" w14:textId="77777777" w:rsidR="00E93186" w:rsidRPr="0065791C" w:rsidRDefault="00E93186" w:rsidP="00E93186">
            <w:pPr>
              <w:pStyle w:val="Tabletextboldleft"/>
            </w:pPr>
            <w:r>
              <w:t>(publication)</w:t>
            </w:r>
          </w:p>
        </w:tc>
        <w:tc>
          <w:tcPr>
            <w:tcW w:w="1438" w:type="dxa"/>
            <w:tcBorders>
              <w:bottom w:val="single" w:sz="4" w:space="0" w:color="auto"/>
            </w:tcBorders>
            <w:shd w:val="clear" w:color="auto" w:fill="auto"/>
          </w:tcPr>
          <w:p w14:paraId="6642B9DB" w14:textId="77777777" w:rsidR="00E93186" w:rsidRPr="0065791C" w:rsidRDefault="00E93186" w:rsidP="00E93186">
            <w:pPr>
              <w:pStyle w:val="Tabletextboldleft"/>
            </w:pPr>
            <w:r w:rsidRPr="0065791C">
              <w:t>N</w:t>
            </w:r>
          </w:p>
        </w:tc>
        <w:tc>
          <w:tcPr>
            <w:tcW w:w="1860" w:type="dxa"/>
            <w:tcBorders>
              <w:bottom w:val="single" w:sz="4" w:space="0" w:color="auto"/>
            </w:tcBorders>
            <w:shd w:val="clear" w:color="auto" w:fill="auto"/>
          </w:tcPr>
          <w:p w14:paraId="28E0EF63" w14:textId="77777777" w:rsidR="00E93186" w:rsidRPr="0065791C" w:rsidRDefault="00E93186" w:rsidP="00E93186">
            <w:pPr>
              <w:pStyle w:val="Tabletextboldleft"/>
            </w:pPr>
            <w:r w:rsidRPr="0065791C">
              <w:t>Design/ follow-up / country</w:t>
            </w:r>
          </w:p>
        </w:tc>
        <w:tc>
          <w:tcPr>
            <w:tcW w:w="709" w:type="dxa"/>
            <w:tcBorders>
              <w:bottom w:val="single" w:sz="4" w:space="0" w:color="auto"/>
            </w:tcBorders>
            <w:shd w:val="clear" w:color="auto" w:fill="auto"/>
          </w:tcPr>
          <w:p w14:paraId="584C60DC" w14:textId="77777777" w:rsidR="00E93186" w:rsidRPr="0065791C" w:rsidRDefault="00E93186" w:rsidP="00E93186">
            <w:pPr>
              <w:pStyle w:val="Tabletextboldleft"/>
            </w:pPr>
            <w:r w:rsidRPr="0065791C">
              <w:t>Risk of bias</w:t>
            </w:r>
          </w:p>
        </w:tc>
        <w:tc>
          <w:tcPr>
            <w:tcW w:w="2588" w:type="dxa"/>
            <w:tcBorders>
              <w:bottom w:val="single" w:sz="4" w:space="0" w:color="auto"/>
            </w:tcBorders>
            <w:shd w:val="clear" w:color="auto" w:fill="auto"/>
          </w:tcPr>
          <w:p w14:paraId="052CC519" w14:textId="77777777" w:rsidR="00E93186" w:rsidRPr="0065791C" w:rsidRDefault="00E93186" w:rsidP="00E93186">
            <w:pPr>
              <w:pStyle w:val="Tabletextboldleft"/>
            </w:pPr>
            <w:r w:rsidRPr="0065791C">
              <w:t>Key outcome(s)</w:t>
            </w:r>
          </w:p>
        </w:tc>
        <w:tc>
          <w:tcPr>
            <w:tcW w:w="1295" w:type="dxa"/>
            <w:tcBorders>
              <w:bottom w:val="single" w:sz="4" w:space="0" w:color="auto"/>
            </w:tcBorders>
            <w:shd w:val="clear" w:color="auto" w:fill="auto"/>
          </w:tcPr>
          <w:p w14:paraId="2191F626" w14:textId="77777777" w:rsidR="00E93186" w:rsidRPr="0065791C" w:rsidRDefault="00E93186" w:rsidP="00E93186">
            <w:pPr>
              <w:pStyle w:val="Tabletextboldleft"/>
            </w:pPr>
            <w:r w:rsidRPr="0065791C">
              <w:t>Result used in economic model</w:t>
            </w:r>
          </w:p>
        </w:tc>
      </w:tr>
      <w:tr w:rsidR="00E93186" w:rsidRPr="0065791C" w14:paraId="46E6E823" w14:textId="77777777" w:rsidTr="00E93186">
        <w:trPr>
          <w:cantSplit/>
        </w:trPr>
        <w:tc>
          <w:tcPr>
            <w:tcW w:w="5382" w:type="dxa"/>
            <w:gridSpan w:val="4"/>
            <w:shd w:val="clear" w:color="auto" w:fill="auto"/>
          </w:tcPr>
          <w:p w14:paraId="558EE0B9" w14:textId="77777777" w:rsidR="00E93186" w:rsidRPr="0065791C" w:rsidRDefault="00E93186" w:rsidP="00E93186">
            <w:pPr>
              <w:pStyle w:val="TableHeading"/>
            </w:pPr>
            <w:r>
              <w:t>LAAC vs. D</w:t>
            </w:r>
            <w:r w:rsidRPr="0065791C">
              <w:t>OAC</w:t>
            </w:r>
          </w:p>
        </w:tc>
        <w:tc>
          <w:tcPr>
            <w:tcW w:w="3883" w:type="dxa"/>
            <w:gridSpan w:val="2"/>
            <w:shd w:val="clear" w:color="auto" w:fill="auto"/>
          </w:tcPr>
          <w:p w14:paraId="654FF13F" w14:textId="77777777" w:rsidR="00E93186" w:rsidRPr="0065791C" w:rsidRDefault="00E93186" w:rsidP="00E93186">
            <w:pPr>
              <w:pStyle w:val="Tabletext"/>
              <w:rPr>
                <w:bCs/>
              </w:rPr>
            </w:pPr>
          </w:p>
        </w:tc>
      </w:tr>
      <w:tr w:rsidR="00E93186" w:rsidRPr="0065791C" w14:paraId="78B66D70" w14:textId="77777777" w:rsidTr="00E93186">
        <w:trPr>
          <w:cantSplit/>
        </w:trPr>
        <w:tc>
          <w:tcPr>
            <w:tcW w:w="1375" w:type="dxa"/>
            <w:shd w:val="clear" w:color="auto" w:fill="auto"/>
          </w:tcPr>
          <w:p w14:paraId="5A5AD5F8" w14:textId="3C84D458" w:rsidR="00E93186" w:rsidRDefault="00E93186" w:rsidP="00E93186">
            <w:pPr>
              <w:pStyle w:val="Tabletext"/>
            </w:pPr>
            <w:r w:rsidRPr="0065791C">
              <w:t>PRAGUE-17</w:t>
            </w:r>
          </w:p>
          <w:p w14:paraId="69CF5EA3" w14:textId="77777777" w:rsidR="00E93186" w:rsidRPr="0065791C" w:rsidRDefault="00E93186" w:rsidP="00D03146">
            <w:pPr>
              <w:pStyle w:val="Tabletext"/>
              <w:spacing w:before="240"/>
            </w:pPr>
            <w:r>
              <w:t>(Osmancik 2020)</w:t>
            </w:r>
          </w:p>
        </w:tc>
        <w:tc>
          <w:tcPr>
            <w:tcW w:w="1438" w:type="dxa"/>
            <w:shd w:val="clear" w:color="auto" w:fill="auto"/>
          </w:tcPr>
          <w:p w14:paraId="536E815C" w14:textId="77777777" w:rsidR="00E93186" w:rsidRPr="0065791C" w:rsidRDefault="00E93186" w:rsidP="00E93186">
            <w:pPr>
              <w:pStyle w:val="Tabletext"/>
            </w:pPr>
            <w:r w:rsidRPr="0065791C">
              <w:t>LAAC=201</w:t>
            </w:r>
          </w:p>
          <w:p w14:paraId="516580B6" w14:textId="77777777" w:rsidR="00E93186" w:rsidRPr="0065791C" w:rsidRDefault="00E93186" w:rsidP="00E93186">
            <w:pPr>
              <w:pStyle w:val="Tabletext"/>
            </w:pPr>
            <w:r>
              <w:t>D</w:t>
            </w:r>
            <w:r w:rsidRPr="0065791C">
              <w:t>OAC=201</w:t>
            </w:r>
          </w:p>
        </w:tc>
        <w:tc>
          <w:tcPr>
            <w:tcW w:w="1860" w:type="dxa"/>
            <w:shd w:val="clear" w:color="auto" w:fill="auto"/>
          </w:tcPr>
          <w:p w14:paraId="3E079B3C" w14:textId="77777777" w:rsidR="00E93186" w:rsidRPr="0065791C" w:rsidRDefault="00E93186" w:rsidP="00E93186">
            <w:pPr>
              <w:pStyle w:val="Tabletext"/>
            </w:pPr>
            <w:r w:rsidRPr="0065791C">
              <w:t xml:space="preserve">RCT, P, MC, Czech Republic (2015–2019), OL / median 19.9 months </w:t>
            </w:r>
          </w:p>
          <w:p w14:paraId="44DB33D3" w14:textId="77777777" w:rsidR="00E93186" w:rsidRPr="0065791C" w:rsidRDefault="00E93186" w:rsidP="00E93186">
            <w:pPr>
              <w:pStyle w:val="Tabletext"/>
            </w:pPr>
          </w:p>
        </w:tc>
        <w:tc>
          <w:tcPr>
            <w:tcW w:w="709" w:type="dxa"/>
            <w:shd w:val="clear" w:color="auto" w:fill="auto"/>
          </w:tcPr>
          <w:p w14:paraId="285FF621" w14:textId="77777777" w:rsidR="00E93186" w:rsidRPr="0065791C" w:rsidRDefault="00E93186" w:rsidP="00E93186">
            <w:pPr>
              <w:pStyle w:val="Tabletext"/>
            </w:pPr>
            <w:r w:rsidRPr="0065791C">
              <w:t xml:space="preserve">Low </w:t>
            </w:r>
          </w:p>
        </w:tc>
        <w:tc>
          <w:tcPr>
            <w:tcW w:w="2588" w:type="dxa"/>
            <w:shd w:val="clear" w:color="auto" w:fill="auto"/>
          </w:tcPr>
          <w:p w14:paraId="0472069D" w14:textId="77777777" w:rsidR="00E93186" w:rsidRPr="0065791C" w:rsidRDefault="00E93186" w:rsidP="00E93186">
            <w:pPr>
              <w:pStyle w:val="Tabletext"/>
            </w:pPr>
            <w:r>
              <w:t xml:space="preserve">Stroke, </w:t>
            </w:r>
            <w:r w:rsidRPr="0065791C">
              <w:t>Systemic embolism</w:t>
            </w:r>
            <w:r>
              <w:t xml:space="preserve">, </w:t>
            </w:r>
            <w:r w:rsidRPr="0065791C">
              <w:t>Major and non-major bleeding events</w:t>
            </w:r>
            <w:r>
              <w:t xml:space="preserve">, CV mortality, </w:t>
            </w:r>
            <w:r w:rsidRPr="0065791C">
              <w:t>All-cause mortality</w:t>
            </w:r>
            <w:r>
              <w:t xml:space="preserve">, </w:t>
            </w:r>
          </w:p>
          <w:p w14:paraId="25747879" w14:textId="77777777" w:rsidR="00E93186" w:rsidRPr="0065791C" w:rsidRDefault="00E93186" w:rsidP="00E93186">
            <w:pPr>
              <w:pStyle w:val="Tabletext"/>
            </w:pPr>
            <w:r w:rsidRPr="0065791C">
              <w:t>Significant peri-procedural or device-related complications</w:t>
            </w:r>
          </w:p>
        </w:tc>
        <w:tc>
          <w:tcPr>
            <w:tcW w:w="1295" w:type="dxa"/>
            <w:shd w:val="clear" w:color="auto" w:fill="auto"/>
          </w:tcPr>
          <w:p w14:paraId="003E7FB8" w14:textId="77777777" w:rsidR="00E93186" w:rsidRPr="0065791C" w:rsidRDefault="00E93186" w:rsidP="00E93186">
            <w:pPr>
              <w:pStyle w:val="Tabletext"/>
            </w:pPr>
            <w:r w:rsidRPr="0065791C">
              <w:t>Yes</w:t>
            </w:r>
          </w:p>
        </w:tc>
      </w:tr>
      <w:tr w:rsidR="00E93186" w:rsidRPr="0065791C" w14:paraId="122B5C66" w14:textId="77777777" w:rsidTr="00E93186">
        <w:trPr>
          <w:cantSplit/>
        </w:trPr>
        <w:tc>
          <w:tcPr>
            <w:tcW w:w="5382" w:type="dxa"/>
            <w:gridSpan w:val="4"/>
            <w:shd w:val="clear" w:color="auto" w:fill="auto"/>
          </w:tcPr>
          <w:p w14:paraId="0991595A" w14:textId="77777777" w:rsidR="00E93186" w:rsidRPr="0065791C" w:rsidRDefault="00E93186" w:rsidP="00E93186">
            <w:pPr>
              <w:pStyle w:val="Tabletextboldleft"/>
            </w:pPr>
            <w:r w:rsidRPr="0065791C">
              <w:t>LAAC vs. warfarin</w:t>
            </w:r>
          </w:p>
        </w:tc>
        <w:tc>
          <w:tcPr>
            <w:tcW w:w="3883" w:type="dxa"/>
            <w:gridSpan w:val="2"/>
            <w:shd w:val="clear" w:color="auto" w:fill="auto"/>
          </w:tcPr>
          <w:p w14:paraId="281D96B5" w14:textId="77777777" w:rsidR="00E93186" w:rsidRPr="0065791C" w:rsidRDefault="00E93186" w:rsidP="00E93186">
            <w:pPr>
              <w:pStyle w:val="Tabletext"/>
              <w:rPr>
                <w:bCs/>
              </w:rPr>
            </w:pPr>
          </w:p>
        </w:tc>
      </w:tr>
      <w:tr w:rsidR="00E93186" w:rsidRPr="0065791C" w14:paraId="15B6B4CA" w14:textId="77777777" w:rsidTr="00E93186">
        <w:trPr>
          <w:cantSplit/>
        </w:trPr>
        <w:tc>
          <w:tcPr>
            <w:tcW w:w="1375" w:type="dxa"/>
            <w:shd w:val="clear" w:color="auto" w:fill="auto"/>
          </w:tcPr>
          <w:p w14:paraId="05D084E9" w14:textId="2F3119F5" w:rsidR="00E93186" w:rsidRDefault="00E93186" w:rsidP="00E93186">
            <w:pPr>
              <w:pStyle w:val="Tabletext"/>
            </w:pPr>
            <w:r w:rsidRPr="0065791C">
              <w:t>PROTECT-AF</w:t>
            </w:r>
          </w:p>
          <w:p w14:paraId="2B8797F7" w14:textId="77777777" w:rsidR="00E93186" w:rsidRPr="0065791C" w:rsidRDefault="00E93186" w:rsidP="00D03146">
            <w:pPr>
              <w:pStyle w:val="Tabletext"/>
              <w:spacing w:before="240"/>
            </w:pPr>
            <w:r>
              <w:t>(Holmes 2009, Reddy 2013, Reddy 2014)</w:t>
            </w:r>
          </w:p>
        </w:tc>
        <w:tc>
          <w:tcPr>
            <w:tcW w:w="1438" w:type="dxa"/>
            <w:shd w:val="clear" w:color="auto" w:fill="auto"/>
          </w:tcPr>
          <w:p w14:paraId="0BDDB6DA" w14:textId="77777777" w:rsidR="00E93186" w:rsidRPr="0065791C" w:rsidRDefault="00E93186" w:rsidP="00E93186">
            <w:pPr>
              <w:pStyle w:val="Tabletext"/>
            </w:pPr>
            <w:r w:rsidRPr="0065791C">
              <w:t>LAAC=463</w:t>
            </w:r>
          </w:p>
          <w:p w14:paraId="53BC6DAF" w14:textId="77777777" w:rsidR="00E93186" w:rsidRPr="0065791C" w:rsidRDefault="00E93186" w:rsidP="00E93186">
            <w:pPr>
              <w:pStyle w:val="Tabletext"/>
            </w:pPr>
            <w:r w:rsidRPr="0065791C">
              <w:t>Warfarin=244</w:t>
            </w:r>
          </w:p>
        </w:tc>
        <w:tc>
          <w:tcPr>
            <w:tcW w:w="1860" w:type="dxa"/>
            <w:shd w:val="clear" w:color="auto" w:fill="auto"/>
          </w:tcPr>
          <w:p w14:paraId="7EC8BE05" w14:textId="77777777" w:rsidR="00E93186" w:rsidRPr="0065791C" w:rsidRDefault="00E93186" w:rsidP="00E93186">
            <w:pPr>
              <w:pStyle w:val="Tabletext"/>
            </w:pPr>
            <w:r w:rsidRPr="0065791C">
              <w:t xml:space="preserve">RCT, P, MC, USA/Europe </w:t>
            </w:r>
            <w:r w:rsidRPr="0065791C">
              <w:br/>
              <w:t>(2005–2008), OL / mean 47.6 months</w:t>
            </w:r>
          </w:p>
        </w:tc>
        <w:tc>
          <w:tcPr>
            <w:tcW w:w="709" w:type="dxa"/>
            <w:shd w:val="clear" w:color="auto" w:fill="auto"/>
          </w:tcPr>
          <w:p w14:paraId="762EB1C9" w14:textId="77777777" w:rsidR="00E93186" w:rsidRPr="0065791C" w:rsidRDefault="00E93186" w:rsidP="00E93186">
            <w:pPr>
              <w:pStyle w:val="Tabletext"/>
            </w:pPr>
            <w:r w:rsidRPr="0065791C">
              <w:t>Low</w:t>
            </w:r>
          </w:p>
        </w:tc>
        <w:tc>
          <w:tcPr>
            <w:tcW w:w="2588" w:type="dxa"/>
            <w:shd w:val="clear" w:color="auto" w:fill="auto"/>
          </w:tcPr>
          <w:p w14:paraId="7867627A" w14:textId="77777777" w:rsidR="00E93186" w:rsidRPr="0065791C" w:rsidRDefault="00E93186" w:rsidP="00E93186">
            <w:pPr>
              <w:pStyle w:val="Tabletext"/>
            </w:pPr>
            <w:r w:rsidRPr="0065791C">
              <w:t>Stroke (any type)</w:t>
            </w:r>
            <w:r>
              <w:t xml:space="preserve">, </w:t>
            </w:r>
            <w:r w:rsidRPr="0065791C">
              <w:t>Systemic embolism</w:t>
            </w:r>
            <w:r>
              <w:t xml:space="preserve">, </w:t>
            </w:r>
            <w:r w:rsidRPr="0065791C">
              <w:t>CV/unexplained mortality</w:t>
            </w:r>
            <w:r>
              <w:t xml:space="preserve">, Device/procedure-related events, </w:t>
            </w:r>
            <w:r w:rsidRPr="0065791C">
              <w:t>Major bleeding events</w:t>
            </w:r>
          </w:p>
        </w:tc>
        <w:tc>
          <w:tcPr>
            <w:tcW w:w="1295" w:type="dxa"/>
            <w:shd w:val="clear" w:color="auto" w:fill="auto"/>
          </w:tcPr>
          <w:p w14:paraId="3139E944" w14:textId="77777777" w:rsidR="00E93186" w:rsidRPr="0065791C" w:rsidRDefault="00E93186" w:rsidP="00E93186">
            <w:pPr>
              <w:pStyle w:val="Tabletext"/>
            </w:pPr>
            <w:r w:rsidRPr="0065791C">
              <w:t>No</w:t>
            </w:r>
          </w:p>
        </w:tc>
      </w:tr>
      <w:tr w:rsidR="00E93186" w:rsidRPr="0065791C" w14:paraId="34DF7CD4" w14:textId="77777777" w:rsidTr="00E93186">
        <w:trPr>
          <w:cantSplit/>
        </w:trPr>
        <w:tc>
          <w:tcPr>
            <w:tcW w:w="1375" w:type="dxa"/>
            <w:shd w:val="clear" w:color="auto" w:fill="auto"/>
          </w:tcPr>
          <w:p w14:paraId="18D3F45C" w14:textId="3EA34308" w:rsidR="00E93186" w:rsidRDefault="00E93186" w:rsidP="00E93186">
            <w:pPr>
              <w:pStyle w:val="Tabletext"/>
            </w:pPr>
            <w:r w:rsidRPr="0065791C">
              <w:t>PREVAIL</w:t>
            </w:r>
          </w:p>
          <w:p w14:paraId="16522F83" w14:textId="77777777" w:rsidR="00E93186" w:rsidRPr="0065791C" w:rsidRDefault="00E93186" w:rsidP="00D03146">
            <w:pPr>
              <w:pStyle w:val="Tabletext"/>
              <w:spacing w:before="240"/>
            </w:pPr>
            <w:r>
              <w:t>(Holmes 2014)</w:t>
            </w:r>
          </w:p>
        </w:tc>
        <w:tc>
          <w:tcPr>
            <w:tcW w:w="1438" w:type="dxa"/>
            <w:shd w:val="clear" w:color="auto" w:fill="auto"/>
          </w:tcPr>
          <w:p w14:paraId="69F57001" w14:textId="77777777" w:rsidR="00E93186" w:rsidRPr="0065791C" w:rsidRDefault="00E93186" w:rsidP="00E93186">
            <w:pPr>
              <w:pStyle w:val="Tabletext"/>
            </w:pPr>
            <w:r w:rsidRPr="0065791C">
              <w:t>LAAC=269</w:t>
            </w:r>
            <w:r w:rsidRPr="0065791C">
              <w:br/>
              <w:t>Warfarin=138</w:t>
            </w:r>
          </w:p>
        </w:tc>
        <w:tc>
          <w:tcPr>
            <w:tcW w:w="1860" w:type="dxa"/>
            <w:shd w:val="clear" w:color="auto" w:fill="auto"/>
          </w:tcPr>
          <w:p w14:paraId="07D6D825" w14:textId="77777777" w:rsidR="00E93186" w:rsidRPr="0065791C" w:rsidRDefault="00E93186" w:rsidP="00E93186">
            <w:pPr>
              <w:pStyle w:val="Tabletext"/>
            </w:pPr>
            <w:r w:rsidRPr="0065791C">
              <w:t xml:space="preserve">RCT, P, MC, USA (2010–2012), OL / median 2.8 years </w:t>
            </w:r>
          </w:p>
        </w:tc>
        <w:tc>
          <w:tcPr>
            <w:tcW w:w="709" w:type="dxa"/>
            <w:shd w:val="clear" w:color="auto" w:fill="auto"/>
          </w:tcPr>
          <w:p w14:paraId="582EA7A1" w14:textId="77777777" w:rsidR="00E93186" w:rsidRPr="0065791C" w:rsidRDefault="00E93186" w:rsidP="00E93186">
            <w:pPr>
              <w:pStyle w:val="Tabletext"/>
            </w:pPr>
            <w:r w:rsidRPr="0065791C">
              <w:t>Low</w:t>
            </w:r>
          </w:p>
        </w:tc>
        <w:tc>
          <w:tcPr>
            <w:tcW w:w="2588" w:type="dxa"/>
            <w:shd w:val="clear" w:color="auto" w:fill="auto"/>
          </w:tcPr>
          <w:p w14:paraId="10E1C16E" w14:textId="77777777" w:rsidR="00E93186" w:rsidRPr="0065791C" w:rsidRDefault="00E93186" w:rsidP="00E93186">
            <w:pPr>
              <w:pStyle w:val="Tabletext"/>
            </w:pPr>
            <w:r w:rsidRPr="0065791C">
              <w:t>Stroke (any type)</w:t>
            </w:r>
            <w:r>
              <w:t xml:space="preserve">, </w:t>
            </w:r>
            <w:r w:rsidRPr="0065791C">
              <w:t>Systemic embolism</w:t>
            </w:r>
            <w:r>
              <w:t xml:space="preserve">, </w:t>
            </w:r>
            <w:r w:rsidRPr="0065791C">
              <w:t>CV/unexplained mortality</w:t>
            </w:r>
            <w:r>
              <w:t xml:space="preserve">, Device/procedure-related events, </w:t>
            </w:r>
            <w:r w:rsidRPr="0065791C">
              <w:t>Major bleeding events</w:t>
            </w:r>
          </w:p>
        </w:tc>
        <w:tc>
          <w:tcPr>
            <w:tcW w:w="1295" w:type="dxa"/>
            <w:shd w:val="clear" w:color="auto" w:fill="auto"/>
          </w:tcPr>
          <w:p w14:paraId="3FC648B1" w14:textId="77777777" w:rsidR="00E93186" w:rsidRPr="0065791C" w:rsidRDefault="00E93186" w:rsidP="00E93186">
            <w:pPr>
              <w:pStyle w:val="Tabletext"/>
            </w:pPr>
            <w:r w:rsidRPr="0065791C">
              <w:t>No</w:t>
            </w:r>
          </w:p>
        </w:tc>
      </w:tr>
      <w:tr w:rsidR="00E93186" w:rsidRPr="0065791C" w14:paraId="748FB5D5" w14:textId="77777777" w:rsidTr="00E93186">
        <w:trPr>
          <w:cantSplit/>
        </w:trPr>
        <w:tc>
          <w:tcPr>
            <w:tcW w:w="5382" w:type="dxa"/>
            <w:gridSpan w:val="4"/>
            <w:shd w:val="clear" w:color="auto" w:fill="auto"/>
          </w:tcPr>
          <w:p w14:paraId="7CC49246" w14:textId="77777777" w:rsidR="00E93186" w:rsidRPr="0065791C" w:rsidRDefault="00E93186" w:rsidP="00E93186">
            <w:pPr>
              <w:pStyle w:val="Tabletextboldleft"/>
            </w:pPr>
            <w:r>
              <w:t>D</w:t>
            </w:r>
            <w:r w:rsidRPr="0065791C">
              <w:t>OAC vs. warfarin</w:t>
            </w:r>
          </w:p>
        </w:tc>
        <w:tc>
          <w:tcPr>
            <w:tcW w:w="3883" w:type="dxa"/>
            <w:gridSpan w:val="2"/>
            <w:shd w:val="clear" w:color="auto" w:fill="auto"/>
          </w:tcPr>
          <w:p w14:paraId="1C2C8FA7" w14:textId="77777777" w:rsidR="00E93186" w:rsidRPr="0065791C" w:rsidRDefault="00E93186" w:rsidP="00E93186">
            <w:pPr>
              <w:pStyle w:val="Tabletext"/>
              <w:rPr>
                <w:bCs/>
              </w:rPr>
            </w:pPr>
          </w:p>
        </w:tc>
      </w:tr>
      <w:tr w:rsidR="00E93186" w:rsidRPr="0065791C" w14:paraId="41E18E52" w14:textId="77777777" w:rsidTr="00E93186">
        <w:trPr>
          <w:cantSplit/>
        </w:trPr>
        <w:tc>
          <w:tcPr>
            <w:tcW w:w="1375" w:type="dxa"/>
            <w:shd w:val="clear" w:color="auto" w:fill="auto"/>
          </w:tcPr>
          <w:p w14:paraId="4CFACB64" w14:textId="22FDB5EB" w:rsidR="00E93186" w:rsidRDefault="00E93186" w:rsidP="00E93186">
            <w:pPr>
              <w:pStyle w:val="Tabletext"/>
            </w:pPr>
            <w:r w:rsidRPr="0065791C">
              <w:t>J-ROCKET AF</w:t>
            </w:r>
          </w:p>
          <w:p w14:paraId="4C599C96" w14:textId="77777777" w:rsidR="00E93186" w:rsidRPr="0065791C" w:rsidRDefault="00E93186" w:rsidP="00D03146">
            <w:pPr>
              <w:pStyle w:val="Tabletext"/>
              <w:spacing w:before="240"/>
            </w:pPr>
            <w:r>
              <w:t>(Hori 2014)</w:t>
            </w:r>
          </w:p>
        </w:tc>
        <w:tc>
          <w:tcPr>
            <w:tcW w:w="1438" w:type="dxa"/>
            <w:shd w:val="clear" w:color="auto" w:fill="auto"/>
          </w:tcPr>
          <w:p w14:paraId="24D8F77E" w14:textId="77777777" w:rsidR="00E93186" w:rsidRPr="0065791C" w:rsidRDefault="00E93186" w:rsidP="00E93186">
            <w:pPr>
              <w:pStyle w:val="Tabletext"/>
            </w:pPr>
            <w:r w:rsidRPr="0065791C">
              <w:t>Rivaroxaban=639</w:t>
            </w:r>
          </w:p>
          <w:p w14:paraId="329B5DD0" w14:textId="77777777" w:rsidR="00E93186" w:rsidRPr="0065791C" w:rsidRDefault="00E93186" w:rsidP="00E93186">
            <w:pPr>
              <w:pStyle w:val="Tabletext"/>
            </w:pPr>
            <w:r w:rsidRPr="0065791C">
              <w:t>Warfarin=639</w:t>
            </w:r>
          </w:p>
        </w:tc>
        <w:tc>
          <w:tcPr>
            <w:tcW w:w="1860" w:type="dxa"/>
            <w:shd w:val="clear" w:color="auto" w:fill="auto"/>
          </w:tcPr>
          <w:p w14:paraId="0D6AC184" w14:textId="77777777" w:rsidR="00E93186" w:rsidRPr="0065791C" w:rsidRDefault="00E93186" w:rsidP="00E93186">
            <w:pPr>
              <w:pStyle w:val="Tabletext"/>
            </w:pPr>
            <w:r w:rsidRPr="0065791C">
              <w:t>RCT, P, DB, DD, MC, Japan / expected study duration, were 30 months</w:t>
            </w:r>
          </w:p>
        </w:tc>
        <w:tc>
          <w:tcPr>
            <w:tcW w:w="709" w:type="dxa"/>
            <w:shd w:val="clear" w:color="auto" w:fill="auto"/>
          </w:tcPr>
          <w:p w14:paraId="538EAD55" w14:textId="77777777" w:rsidR="00E93186" w:rsidRPr="0065791C" w:rsidRDefault="00E93186" w:rsidP="00E93186">
            <w:pPr>
              <w:pStyle w:val="Tabletext"/>
            </w:pPr>
            <w:r w:rsidRPr="0065791C">
              <w:t>Low</w:t>
            </w:r>
          </w:p>
        </w:tc>
        <w:tc>
          <w:tcPr>
            <w:tcW w:w="2588" w:type="dxa"/>
            <w:shd w:val="clear" w:color="auto" w:fill="auto"/>
          </w:tcPr>
          <w:p w14:paraId="239C818E" w14:textId="77777777" w:rsidR="00E93186" w:rsidRPr="0065791C" w:rsidRDefault="00E93186" w:rsidP="00E93186">
            <w:pPr>
              <w:pStyle w:val="Tabletext"/>
            </w:pPr>
            <w:r>
              <w:t xml:space="preserve">Stroke, </w:t>
            </w:r>
            <w:r w:rsidRPr="0065791C">
              <w:t>Systemic embolism</w:t>
            </w:r>
            <w:r>
              <w:t xml:space="preserve">, </w:t>
            </w:r>
            <w:r w:rsidRPr="0065791C">
              <w:t>CV mortality</w:t>
            </w:r>
            <w:r>
              <w:t xml:space="preserve">, </w:t>
            </w:r>
            <w:r w:rsidRPr="0065791C">
              <w:t>All-cause mortality</w:t>
            </w:r>
            <w:r>
              <w:t xml:space="preserve">, </w:t>
            </w:r>
            <w:r w:rsidRPr="0065791C">
              <w:t>Major and non-major clinically relevant bleeding events</w:t>
            </w:r>
          </w:p>
        </w:tc>
        <w:tc>
          <w:tcPr>
            <w:tcW w:w="1295" w:type="dxa"/>
            <w:shd w:val="clear" w:color="auto" w:fill="auto"/>
          </w:tcPr>
          <w:p w14:paraId="4622D8BC" w14:textId="77777777" w:rsidR="00E93186" w:rsidRPr="0065791C" w:rsidRDefault="00E93186" w:rsidP="00E93186">
            <w:pPr>
              <w:pStyle w:val="Tabletext"/>
            </w:pPr>
            <w:r w:rsidRPr="0065791C">
              <w:t>No</w:t>
            </w:r>
          </w:p>
        </w:tc>
      </w:tr>
      <w:tr w:rsidR="00E93186" w:rsidRPr="0065791C" w14:paraId="2AD513F1" w14:textId="77777777" w:rsidTr="00E93186">
        <w:trPr>
          <w:cantSplit/>
        </w:trPr>
        <w:tc>
          <w:tcPr>
            <w:tcW w:w="1375" w:type="dxa"/>
            <w:shd w:val="clear" w:color="auto" w:fill="auto"/>
          </w:tcPr>
          <w:p w14:paraId="6086C5BC" w14:textId="0BEDED42" w:rsidR="00E93186" w:rsidRDefault="00E93186" w:rsidP="00E93186">
            <w:pPr>
              <w:pStyle w:val="Tabletext"/>
            </w:pPr>
            <w:r w:rsidRPr="0065791C">
              <w:t>ROCKET AF</w:t>
            </w:r>
          </w:p>
          <w:p w14:paraId="2D5CB615" w14:textId="77777777" w:rsidR="00E93186" w:rsidRPr="0065791C" w:rsidRDefault="00E93186" w:rsidP="00D03146">
            <w:pPr>
              <w:pStyle w:val="Tabletext"/>
              <w:spacing w:before="240"/>
            </w:pPr>
            <w:r>
              <w:t>(Patel 2011, Pokorny 2016)</w:t>
            </w:r>
          </w:p>
        </w:tc>
        <w:tc>
          <w:tcPr>
            <w:tcW w:w="1438" w:type="dxa"/>
            <w:shd w:val="clear" w:color="auto" w:fill="auto"/>
          </w:tcPr>
          <w:p w14:paraId="58C215F9" w14:textId="77777777" w:rsidR="00E93186" w:rsidRPr="0065791C" w:rsidRDefault="00E93186" w:rsidP="00E93186">
            <w:pPr>
              <w:pStyle w:val="Tabletext"/>
            </w:pPr>
            <w:r w:rsidRPr="0065791C">
              <w:t>Rivaroxaban=7131</w:t>
            </w:r>
          </w:p>
          <w:p w14:paraId="28D1E333" w14:textId="77777777" w:rsidR="00E93186" w:rsidRPr="0065791C" w:rsidRDefault="00E93186" w:rsidP="00E93186">
            <w:pPr>
              <w:pStyle w:val="Tabletext"/>
            </w:pPr>
            <w:r w:rsidRPr="0065791C">
              <w:t>Warfarin=7133</w:t>
            </w:r>
          </w:p>
        </w:tc>
        <w:tc>
          <w:tcPr>
            <w:tcW w:w="1860" w:type="dxa"/>
            <w:shd w:val="clear" w:color="auto" w:fill="auto"/>
          </w:tcPr>
          <w:p w14:paraId="1705EB07" w14:textId="77777777" w:rsidR="00E93186" w:rsidRPr="0065791C" w:rsidRDefault="00E93186" w:rsidP="00E93186">
            <w:pPr>
              <w:pStyle w:val="Tabletext"/>
            </w:pPr>
            <w:r w:rsidRPr="0065791C">
              <w:t xml:space="preserve">RCT, DB, DD, MC, 45 countries </w:t>
            </w:r>
            <w:r w:rsidRPr="0065791C">
              <w:br/>
              <w:t>(2006–2009) / median 707 days</w:t>
            </w:r>
          </w:p>
        </w:tc>
        <w:tc>
          <w:tcPr>
            <w:tcW w:w="709" w:type="dxa"/>
            <w:shd w:val="clear" w:color="auto" w:fill="auto"/>
          </w:tcPr>
          <w:p w14:paraId="59163AAB" w14:textId="77777777" w:rsidR="00E93186" w:rsidRPr="0065791C" w:rsidRDefault="00E93186" w:rsidP="00E93186">
            <w:pPr>
              <w:pStyle w:val="Tabletext"/>
            </w:pPr>
            <w:r w:rsidRPr="0065791C">
              <w:t>Low</w:t>
            </w:r>
          </w:p>
        </w:tc>
        <w:tc>
          <w:tcPr>
            <w:tcW w:w="2588" w:type="dxa"/>
            <w:shd w:val="clear" w:color="auto" w:fill="auto"/>
          </w:tcPr>
          <w:p w14:paraId="44D584C4" w14:textId="77777777" w:rsidR="00E93186" w:rsidRPr="0065791C" w:rsidRDefault="00E93186" w:rsidP="00E93186">
            <w:pPr>
              <w:pStyle w:val="Tabletext"/>
            </w:pPr>
            <w:r>
              <w:t xml:space="preserve">Stroke, </w:t>
            </w:r>
            <w:r w:rsidRPr="0065791C">
              <w:t>Systemic embolism</w:t>
            </w:r>
            <w:r>
              <w:t xml:space="preserve">, </w:t>
            </w:r>
          </w:p>
          <w:p w14:paraId="4E533A74" w14:textId="77777777" w:rsidR="00E93186" w:rsidRPr="0065791C" w:rsidRDefault="00E93186" w:rsidP="00E93186">
            <w:pPr>
              <w:pStyle w:val="Tabletext"/>
            </w:pPr>
            <w:r w:rsidRPr="0065791C">
              <w:t>CV mortality</w:t>
            </w:r>
            <w:r>
              <w:t xml:space="preserve">, </w:t>
            </w:r>
            <w:r w:rsidRPr="0065791C">
              <w:t>All-cause mortality</w:t>
            </w:r>
            <w:r>
              <w:t xml:space="preserve">, </w:t>
            </w:r>
            <w:r w:rsidRPr="0065791C">
              <w:t xml:space="preserve">Major and non-major clinically relevant bleeding events </w:t>
            </w:r>
          </w:p>
        </w:tc>
        <w:tc>
          <w:tcPr>
            <w:tcW w:w="1295" w:type="dxa"/>
            <w:shd w:val="clear" w:color="auto" w:fill="auto"/>
          </w:tcPr>
          <w:p w14:paraId="69F65984" w14:textId="77777777" w:rsidR="00E93186" w:rsidRPr="0065791C" w:rsidRDefault="00E93186" w:rsidP="00E93186">
            <w:pPr>
              <w:pStyle w:val="Tabletext"/>
            </w:pPr>
            <w:r w:rsidRPr="0065791C">
              <w:t>No</w:t>
            </w:r>
          </w:p>
        </w:tc>
      </w:tr>
      <w:tr w:rsidR="00E93186" w:rsidRPr="0065791C" w14:paraId="4ACD7490" w14:textId="77777777" w:rsidTr="00E93186">
        <w:trPr>
          <w:cantSplit/>
        </w:trPr>
        <w:tc>
          <w:tcPr>
            <w:tcW w:w="1375" w:type="dxa"/>
            <w:shd w:val="clear" w:color="auto" w:fill="auto"/>
          </w:tcPr>
          <w:p w14:paraId="5AB218BA" w14:textId="692AAFF4" w:rsidR="00E93186" w:rsidRDefault="00E93186" w:rsidP="00E93186">
            <w:pPr>
              <w:pStyle w:val="Tabletext"/>
            </w:pPr>
            <w:r w:rsidRPr="0065791C">
              <w:t>RE-LY</w:t>
            </w:r>
          </w:p>
          <w:p w14:paraId="7D6B8470" w14:textId="77777777" w:rsidR="00E93186" w:rsidRPr="0065791C" w:rsidRDefault="00E93186" w:rsidP="00D03146">
            <w:pPr>
              <w:pStyle w:val="Tabletext"/>
              <w:spacing w:before="240"/>
            </w:pPr>
            <w:r>
              <w:t>(Connolly 2009)</w:t>
            </w:r>
          </w:p>
        </w:tc>
        <w:tc>
          <w:tcPr>
            <w:tcW w:w="1438" w:type="dxa"/>
            <w:shd w:val="clear" w:color="auto" w:fill="auto"/>
          </w:tcPr>
          <w:p w14:paraId="20C4B9F8" w14:textId="77777777" w:rsidR="00E93186" w:rsidRPr="0065791C" w:rsidRDefault="00E93186" w:rsidP="00E93186">
            <w:pPr>
              <w:pStyle w:val="Tabletext"/>
            </w:pPr>
            <w:r w:rsidRPr="0065791C">
              <w:t>Dabigatran=12091</w:t>
            </w:r>
          </w:p>
          <w:p w14:paraId="361F2D8B" w14:textId="77777777" w:rsidR="00E93186" w:rsidRPr="0065791C" w:rsidRDefault="00E93186" w:rsidP="00E93186">
            <w:pPr>
              <w:pStyle w:val="Tabletext"/>
            </w:pPr>
            <w:r w:rsidRPr="0065791C">
              <w:t>Warfarin=6022</w:t>
            </w:r>
          </w:p>
        </w:tc>
        <w:tc>
          <w:tcPr>
            <w:tcW w:w="1860" w:type="dxa"/>
            <w:shd w:val="clear" w:color="auto" w:fill="auto"/>
          </w:tcPr>
          <w:p w14:paraId="65230E27" w14:textId="77777777" w:rsidR="00E93186" w:rsidRPr="0065791C" w:rsidRDefault="00E93186" w:rsidP="00E93186">
            <w:pPr>
              <w:pStyle w:val="Tabletext"/>
            </w:pPr>
            <w:r w:rsidRPr="0065791C">
              <w:t xml:space="preserve">RCT, SB, OL, MC, 44 countries </w:t>
            </w:r>
            <w:r w:rsidRPr="0065791C">
              <w:br/>
              <w:t xml:space="preserve">(2005–2007) / median 2.0 years </w:t>
            </w:r>
          </w:p>
        </w:tc>
        <w:tc>
          <w:tcPr>
            <w:tcW w:w="709" w:type="dxa"/>
            <w:shd w:val="clear" w:color="auto" w:fill="auto"/>
          </w:tcPr>
          <w:p w14:paraId="0CE2D426" w14:textId="77777777" w:rsidR="00E93186" w:rsidRPr="0065791C" w:rsidRDefault="00E93186" w:rsidP="00E93186">
            <w:pPr>
              <w:pStyle w:val="Tabletext"/>
            </w:pPr>
            <w:r w:rsidRPr="0065791C">
              <w:t>Low</w:t>
            </w:r>
          </w:p>
        </w:tc>
        <w:tc>
          <w:tcPr>
            <w:tcW w:w="2588" w:type="dxa"/>
            <w:shd w:val="clear" w:color="auto" w:fill="auto"/>
          </w:tcPr>
          <w:p w14:paraId="74F17172" w14:textId="77777777" w:rsidR="00E93186" w:rsidRPr="0065791C" w:rsidRDefault="00E93186" w:rsidP="00E93186">
            <w:pPr>
              <w:pStyle w:val="Tabletext"/>
            </w:pPr>
            <w:r>
              <w:t xml:space="preserve">Stroke, </w:t>
            </w:r>
            <w:r w:rsidRPr="0065791C">
              <w:t>Systemic embolism</w:t>
            </w:r>
            <w:r>
              <w:t xml:space="preserve">, </w:t>
            </w:r>
            <w:r w:rsidRPr="0065791C">
              <w:t>CV mortality</w:t>
            </w:r>
            <w:r>
              <w:t xml:space="preserve">, </w:t>
            </w:r>
            <w:r w:rsidRPr="0065791C">
              <w:t>All-cause mortality</w:t>
            </w:r>
            <w:r>
              <w:t xml:space="preserve">, </w:t>
            </w:r>
            <w:r w:rsidRPr="0065791C">
              <w:t>Major bleeding</w:t>
            </w:r>
          </w:p>
        </w:tc>
        <w:tc>
          <w:tcPr>
            <w:tcW w:w="1295" w:type="dxa"/>
            <w:shd w:val="clear" w:color="auto" w:fill="auto"/>
          </w:tcPr>
          <w:p w14:paraId="6D9A12BB" w14:textId="77777777" w:rsidR="00E93186" w:rsidRPr="0065791C" w:rsidRDefault="00E93186" w:rsidP="00E93186">
            <w:pPr>
              <w:pStyle w:val="Tabletext"/>
            </w:pPr>
            <w:r w:rsidRPr="0065791C">
              <w:t>No</w:t>
            </w:r>
          </w:p>
        </w:tc>
      </w:tr>
      <w:tr w:rsidR="00E93186" w:rsidRPr="0065791C" w14:paraId="0E987C69" w14:textId="77777777" w:rsidTr="00E93186">
        <w:trPr>
          <w:cantSplit/>
        </w:trPr>
        <w:tc>
          <w:tcPr>
            <w:tcW w:w="1375" w:type="dxa"/>
            <w:shd w:val="clear" w:color="auto" w:fill="auto"/>
          </w:tcPr>
          <w:p w14:paraId="088C3777" w14:textId="020560A1" w:rsidR="00E93186" w:rsidRDefault="00E93186" w:rsidP="00E93186">
            <w:pPr>
              <w:pStyle w:val="Tabletext"/>
              <w:keepNext/>
            </w:pPr>
            <w:r w:rsidRPr="0065791C">
              <w:t>ARISTOTLE</w:t>
            </w:r>
          </w:p>
          <w:p w14:paraId="0638838F" w14:textId="77777777" w:rsidR="00E93186" w:rsidRPr="0065791C" w:rsidRDefault="00E93186" w:rsidP="00D03146">
            <w:pPr>
              <w:pStyle w:val="Tabletext"/>
              <w:keepNext/>
              <w:spacing w:before="240"/>
            </w:pPr>
            <w:r>
              <w:t>(Granger 2011)</w:t>
            </w:r>
          </w:p>
        </w:tc>
        <w:tc>
          <w:tcPr>
            <w:tcW w:w="1438" w:type="dxa"/>
            <w:shd w:val="clear" w:color="auto" w:fill="auto"/>
          </w:tcPr>
          <w:p w14:paraId="411BC8AF" w14:textId="77777777" w:rsidR="00E93186" w:rsidRPr="0065791C" w:rsidRDefault="00E93186" w:rsidP="00E93186">
            <w:pPr>
              <w:pStyle w:val="Tabletext"/>
              <w:keepNext/>
            </w:pPr>
            <w:r w:rsidRPr="0065791C">
              <w:t>Apixaban=9120</w:t>
            </w:r>
          </w:p>
          <w:p w14:paraId="61EEC334" w14:textId="77777777" w:rsidR="00E93186" w:rsidRPr="0065791C" w:rsidRDefault="00E93186" w:rsidP="00E93186">
            <w:pPr>
              <w:pStyle w:val="Tabletext"/>
              <w:keepNext/>
            </w:pPr>
            <w:r w:rsidRPr="0065791C">
              <w:t>Warfarin=9081</w:t>
            </w:r>
          </w:p>
        </w:tc>
        <w:tc>
          <w:tcPr>
            <w:tcW w:w="1860" w:type="dxa"/>
            <w:shd w:val="clear" w:color="auto" w:fill="auto"/>
          </w:tcPr>
          <w:p w14:paraId="1FC395BB" w14:textId="77777777" w:rsidR="00E93186" w:rsidRPr="0065791C" w:rsidRDefault="00E93186" w:rsidP="00E93186">
            <w:pPr>
              <w:pStyle w:val="Tabletext"/>
              <w:keepNext/>
            </w:pPr>
            <w:r w:rsidRPr="0065791C">
              <w:t xml:space="preserve">RCT, DB, DD, MC, 39 countries </w:t>
            </w:r>
            <w:r w:rsidRPr="0065791C">
              <w:br/>
              <w:t xml:space="preserve">(2006–2010) / median 1.8 years </w:t>
            </w:r>
          </w:p>
        </w:tc>
        <w:tc>
          <w:tcPr>
            <w:tcW w:w="709" w:type="dxa"/>
            <w:shd w:val="clear" w:color="auto" w:fill="auto"/>
          </w:tcPr>
          <w:p w14:paraId="2D53F9BB" w14:textId="77777777" w:rsidR="00E93186" w:rsidRPr="0065791C" w:rsidRDefault="00E93186" w:rsidP="00E93186">
            <w:pPr>
              <w:pStyle w:val="Tabletext"/>
              <w:keepNext/>
            </w:pPr>
            <w:r w:rsidRPr="0065791C">
              <w:t>Low</w:t>
            </w:r>
          </w:p>
        </w:tc>
        <w:tc>
          <w:tcPr>
            <w:tcW w:w="2588" w:type="dxa"/>
            <w:shd w:val="clear" w:color="auto" w:fill="auto"/>
          </w:tcPr>
          <w:p w14:paraId="09A049C3" w14:textId="77777777" w:rsidR="00E93186" w:rsidRPr="0065791C" w:rsidRDefault="00E93186" w:rsidP="00E93186">
            <w:pPr>
              <w:pStyle w:val="Tabletext"/>
              <w:keepNext/>
            </w:pPr>
            <w:r>
              <w:t xml:space="preserve">Stroke, Systemic embolism, </w:t>
            </w:r>
            <w:r w:rsidRPr="0065791C">
              <w:t>CV mortality</w:t>
            </w:r>
            <w:r>
              <w:t xml:space="preserve">, </w:t>
            </w:r>
            <w:r w:rsidRPr="0065791C">
              <w:t>All-cause mortality</w:t>
            </w:r>
            <w:r>
              <w:t xml:space="preserve">, </w:t>
            </w:r>
            <w:r w:rsidRPr="0065791C">
              <w:t>Major bleeding and non-major bleeding</w:t>
            </w:r>
          </w:p>
        </w:tc>
        <w:tc>
          <w:tcPr>
            <w:tcW w:w="1295" w:type="dxa"/>
            <w:shd w:val="clear" w:color="auto" w:fill="auto"/>
          </w:tcPr>
          <w:p w14:paraId="653A749C" w14:textId="77777777" w:rsidR="00E93186" w:rsidRPr="0065791C" w:rsidRDefault="00E93186" w:rsidP="00E93186">
            <w:pPr>
              <w:pStyle w:val="Tabletext"/>
              <w:keepNext/>
            </w:pPr>
            <w:r w:rsidRPr="0065791C">
              <w:t>No</w:t>
            </w:r>
          </w:p>
        </w:tc>
      </w:tr>
    </w:tbl>
    <w:p w14:paraId="0AE985AA" w14:textId="77777777" w:rsidR="00E93186" w:rsidRDefault="00E93186" w:rsidP="00E93186">
      <w:pPr>
        <w:keepNext/>
        <w:keepLines/>
        <w:widowControl w:val="0"/>
        <w:spacing w:after="120"/>
        <w:contextualSpacing/>
        <w:rPr>
          <w:rFonts w:ascii="Arial Narrow" w:hAnsi="Arial Narrow" w:cs="Arial"/>
          <w:snapToGrid w:val="0"/>
          <w:sz w:val="18"/>
          <w:lang w:eastAsia="en-US"/>
        </w:rPr>
      </w:pPr>
      <w:r w:rsidRPr="0074102C">
        <w:rPr>
          <w:rFonts w:ascii="Arial Narrow" w:hAnsi="Arial Narrow" w:cs="Arial"/>
          <w:snapToGrid w:val="0"/>
          <w:sz w:val="18"/>
          <w:lang w:eastAsia="en-US"/>
        </w:rPr>
        <w:t xml:space="preserve">Source: </w:t>
      </w:r>
      <w:r>
        <w:rPr>
          <w:rFonts w:ascii="Arial Narrow" w:hAnsi="Arial Narrow" w:cs="Arial"/>
          <w:snapToGrid w:val="0"/>
          <w:sz w:val="18"/>
          <w:lang w:eastAsia="en-US"/>
        </w:rPr>
        <w:t xml:space="preserve">Adapted from </w:t>
      </w:r>
      <w:r w:rsidRPr="0074102C">
        <w:rPr>
          <w:rFonts w:ascii="Arial Narrow" w:hAnsi="Arial Narrow" w:cs="Arial"/>
          <w:snapToGrid w:val="0"/>
          <w:sz w:val="18"/>
          <w:lang w:eastAsia="en-US"/>
        </w:rPr>
        <w:t xml:space="preserve">Table 29, Page 102-103 of the ADAR </w:t>
      </w:r>
    </w:p>
    <w:p w14:paraId="56E76D10" w14:textId="161C8E3D" w:rsidR="00E93186" w:rsidRPr="00E93186" w:rsidRDefault="00E93186" w:rsidP="00E93186">
      <w:pPr>
        <w:keepNext/>
        <w:keepLines/>
        <w:widowControl w:val="0"/>
        <w:spacing w:after="120"/>
        <w:contextualSpacing/>
        <w:rPr>
          <w:rFonts w:ascii="Arial Narrow" w:hAnsi="Arial Narrow" w:cs="Arial"/>
          <w:snapToGrid w:val="0"/>
          <w:sz w:val="18"/>
          <w:lang w:eastAsia="en-US"/>
        </w:rPr>
      </w:pPr>
      <w:r>
        <w:rPr>
          <w:rFonts w:ascii="Arial Narrow" w:hAnsi="Arial Narrow" w:cs="Arial"/>
          <w:snapToGrid w:val="0"/>
          <w:sz w:val="18"/>
          <w:lang w:eastAsia="en-US"/>
        </w:rPr>
        <w:t xml:space="preserve">Abbreviations: </w:t>
      </w:r>
      <w:r w:rsidRPr="0065791C">
        <w:rPr>
          <w:rFonts w:ascii="Arial Narrow" w:hAnsi="Arial Narrow" w:cs="Arial"/>
          <w:snapToGrid w:val="0"/>
          <w:sz w:val="18"/>
          <w:lang w:eastAsia="en-US"/>
        </w:rPr>
        <w:t>AF</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atrial fibrillation; AS</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aortic stenosis; CEP</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cerebral protection device; CV</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cardiovascular; DB</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double-blind; DD</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double dummy; </w:t>
      </w:r>
      <w:r>
        <w:rPr>
          <w:rFonts w:ascii="Arial Narrow" w:hAnsi="Arial Narrow" w:cs="Arial"/>
          <w:snapToGrid w:val="0"/>
          <w:sz w:val="18"/>
          <w:lang w:eastAsia="en-US"/>
        </w:rPr>
        <w:t xml:space="preserve">DOAC = direct oral anticoagulant; </w:t>
      </w:r>
      <w:r w:rsidRPr="0065791C">
        <w:rPr>
          <w:rFonts w:ascii="Arial Narrow" w:hAnsi="Arial Narrow" w:cs="Arial"/>
          <w:snapToGrid w:val="0"/>
          <w:sz w:val="18"/>
          <w:lang w:eastAsia="en-US"/>
        </w:rPr>
        <w:t>MC</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multicentre; MI</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myocardial infarction; NVAF</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non-valvular atrial fibrillation; OL</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open label (unblinded); SAVR</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surgical aortic valve replacement; SB</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single-blind; SC</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single centre; STS</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Society of Thoracic Surgeons; TAVI</w:t>
      </w:r>
      <w:r>
        <w:rPr>
          <w:rFonts w:ascii="Arial Narrow" w:hAnsi="Arial Narrow" w:cs="Arial"/>
          <w:snapToGrid w:val="0"/>
          <w:sz w:val="18"/>
          <w:lang w:eastAsia="en-US"/>
        </w:rPr>
        <w:t xml:space="preserve"> = t</w:t>
      </w:r>
      <w:r w:rsidRPr="0065791C">
        <w:rPr>
          <w:rFonts w:ascii="Arial Narrow" w:hAnsi="Arial Narrow" w:cs="Arial"/>
          <w:snapToGrid w:val="0"/>
          <w:sz w:val="18"/>
          <w:lang w:eastAsia="en-US"/>
        </w:rPr>
        <w:t>ranscatheter aortic valve implantation; TOE</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transesophageal echocardiography; TIA</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transient ischaemic attack; TMVI</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transcatheter mitral valve repair; USA</w:t>
      </w:r>
      <w:r>
        <w:rPr>
          <w:rFonts w:ascii="Arial Narrow" w:hAnsi="Arial Narrow" w:cs="Arial"/>
          <w:snapToGrid w:val="0"/>
          <w:sz w:val="18"/>
          <w:lang w:eastAsia="en-US"/>
        </w:rPr>
        <w:t xml:space="preserve"> =</w:t>
      </w:r>
      <w:r w:rsidRPr="0065791C">
        <w:rPr>
          <w:rFonts w:ascii="Arial Narrow" w:hAnsi="Arial Narrow" w:cs="Arial"/>
          <w:snapToGrid w:val="0"/>
          <w:sz w:val="18"/>
          <w:lang w:eastAsia="en-US"/>
        </w:rPr>
        <w:t xml:space="preserve"> United States of America</w:t>
      </w:r>
      <w:r>
        <w:rPr>
          <w:rFonts w:ascii="Arial Narrow" w:hAnsi="Arial Narrow" w:cs="Arial"/>
          <w:snapToGrid w:val="0"/>
          <w:sz w:val="18"/>
          <w:lang w:eastAsia="en-US"/>
        </w:rPr>
        <w:t>.</w:t>
      </w:r>
    </w:p>
    <w:p w14:paraId="074FD8E1" w14:textId="77777777" w:rsidR="00E93186" w:rsidRPr="00E93186" w:rsidRDefault="00E93186" w:rsidP="00E93186">
      <w:pPr>
        <w:pStyle w:val="Heading4"/>
      </w:pPr>
      <w:r w:rsidRPr="00E93186">
        <w:t>LAAC versus DOAC</w:t>
      </w:r>
    </w:p>
    <w:p w14:paraId="1D3FEFF4" w14:textId="77777777" w:rsidR="00E93186" w:rsidRDefault="00E93186" w:rsidP="00E93186">
      <w:r>
        <w:t xml:space="preserve">Nine </w:t>
      </w:r>
      <w:r w:rsidRPr="003917B9">
        <w:t>patients implanted with LAAC experienced a procedura</w:t>
      </w:r>
      <w:r>
        <w:t>l / device related complication</w:t>
      </w:r>
      <w:r w:rsidRPr="003917B9">
        <w:t>, with a total incidence of 4.5%</w:t>
      </w:r>
      <w:r>
        <w:t xml:space="preserve"> </w:t>
      </w:r>
      <w:r w:rsidRPr="003917B9">
        <w:t>within 30 days in</w:t>
      </w:r>
      <w:r>
        <w:t xml:space="preserve"> the</w:t>
      </w:r>
      <w:r w:rsidRPr="003917B9">
        <w:t xml:space="preserve"> PRAGUE-17 </w:t>
      </w:r>
      <w:r>
        <w:t>trial (</w:t>
      </w:r>
      <w:r>
        <w:fldChar w:fldCharType="begin"/>
      </w:r>
      <w:r>
        <w:instrText xml:space="preserve"> REF _Ref20730777 \h </w:instrText>
      </w:r>
      <w:r>
        <w:fldChar w:fldCharType="separate"/>
      </w:r>
      <w:r w:rsidRPr="00C807FA">
        <w:t xml:space="preserve">Table </w:t>
      </w:r>
      <w:r>
        <w:rPr>
          <w:noProof/>
        </w:rPr>
        <w:t>6</w:t>
      </w:r>
      <w:r>
        <w:fldChar w:fldCharType="end"/>
      </w:r>
      <w:r>
        <w:t>).</w:t>
      </w:r>
    </w:p>
    <w:p w14:paraId="38E530AB" w14:textId="77777777" w:rsidR="00E93186" w:rsidRPr="00C807FA" w:rsidRDefault="00E93186" w:rsidP="00E93186">
      <w:pPr>
        <w:pStyle w:val="Caption"/>
        <w:keepLines/>
        <w:widowControl w:val="0"/>
      </w:pPr>
      <w:bookmarkStart w:id="11" w:name="_Ref20730777"/>
      <w:bookmarkStart w:id="12" w:name="_Toc52278456"/>
      <w:bookmarkStart w:id="13" w:name="_Toc52880718"/>
      <w:r w:rsidRPr="00C807FA">
        <w:lastRenderedPageBreak/>
        <w:t xml:space="preserve">Table </w:t>
      </w:r>
      <w:r w:rsidR="00FE1F6B">
        <w:fldChar w:fldCharType="begin"/>
      </w:r>
      <w:r w:rsidR="00FE1F6B">
        <w:instrText xml:space="preserve"> S</w:instrText>
      </w:r>
      <w:r w:rsidR="00FE1F6B">
        <w:instrText xml:space="preserve">EQ Table \* ARABIC </w:instrText>
      </w:r>
      <w:r w:rsidR="00FE1F6B">
        <w:fldChar w:fldCharType="separate"/>
      </w:r>
      <w:r>
        <w:rPr>
          <w:noProof/>
        </w:rPr>
        <w:t>6</w:t>
      </w:r>
      <w:r w:rsidR="00FE1F6B">
        <w:rPr>
          <w:noProof/>
        </w:rPr>
        <w:fldChar w:fldCharType="end"/>
      </w:r>
      <w:bookmarkEnd w:id="11"/>
      <w:r w:rsidRPr="00C807FA">
        <w:tab/>
      </w:r>
      <w:r>
        <w:t>Device and procedural complications with LAAC in PRAGUE-17</w:t>
      </w:r>
      <w:bookmarkEnd w:id="12"/>
      <w:bookmarkEnd w:id="13"/>
    </w:p>
    <w:tbl>
      <w:tblPr>
        <w:tblStyle w:val="OPTUMTableNormal"/>
        <w:tblW w:w="4793" w:type="pct"/>
        <w:tblLayout w:type="fixed"/>
        <w:tblLook w:val="04A0" w:firstRow="1" w:lastRow="0" w:firstColumn="1" w:lastColumn="0" w:noHBand="0" w:noVBand="1"/>
        <w:tblDescription w:val="Device and procedural complications with LAAC in PRAGUE-17"/>
      </w:tblPr>
      <w:tblGrid>
        <w:gridCol w:w="2267"/>
        <w:gridCol w:w="2124"/>
        <w:gridCol w:w="2126"/>
        <w:gridCol w:w="2126"/>
      </w:tblGrid>
      <w:tr w:rsidR="00E93186" w:rsidRPr="00C807FA" w14:paraId="0B0782E1" w14:textId="77777777" w:rsidTr="00511ED5">
        <w:trPr>
          <w:cnfStyle w:val="100000000000" w:firstRow="1" w:lastRow="0" w:firstColumn="0" w:lastColumn="0" w:oddVBand="0" w:evenVBand="0" w:oddHBand="0" w:evenHBand="0" w:firstRowFirstColumn="0" w:firstRowLastColumn="0" w:lastRowFirstColumn="0" w:lastRowLastColumn="0"/>
          <w:tblHeader/>
        </w:trPr>
        <w:tc>
          <w:tcPr>
            <w:tcW w:w="1311" w:type="pct"/>
            <w:hideMark/>
          </w:tcPr>
          <w:p w14:paraId="4B88DF78" w14:textId="77777777" w:rsidR="00E93186" w:rsidRPr="00C807FA" w:rsidRDefault="00E93186" w:rsidP="00E93186">
            <w:pPr>
              <w:keepNext/>
              <w:keepLines/>
              <w:widowControl w:val="0"/>
              <w:spacing w:after="40"/>
              <w:rPr>
                <w:rFonts w:ascii="Arial Narrow" w:hAnsi="Arial Narrow"/>
                <w:b/>
                <w:bCs/>
                <w:sz w:val="20"/>
                <w:lang w:eastAsia="en-US"/>
              </w:rPr>
            </w:pPr>
            <w:r w:rsidRPr="00C807FA">
              <w:rPr>
                <w:rFonts w:ascii="Arial Narrow" w:hAnsi="Arial Narrow"/>
                <w:b/>
                <w:bCs/>
                <w:sz w:val="20"/>
                <w:lang w:eastAsia="en-US"/>
              </w:rPr>
              <w:t>Study ID</w:t>
            </w:r>
          </w:p>
        </w:tc>
        <w:tc>
          <w:tcPr>
            <w:tcW w:w="1229" w:type="pct"/>
            <w:hideMark/>
          </w:tcPr>
          <w:p w14:paraId="5CF1E625" w14:textId="77777777" w:rsidR="00E93186" w:rsidRPr="00C807FA" w:rsidRDefault="00E93186" w:rsidP="00E93186">
            <w:pPr>
              <w:keepNext/>
              <w:keepLines/>
              <w:widowControl w:val="0"/>
              <w:spacing w:after="40"/>
              <w:jc w:val="center"/>
              <w:rPr>
                <w:rFonts w:ascii="Arial Narrow" w:hAnsi="Arial Narrow"/>
                <w:b/>
                <w:bCs/>
                <w:sz w:val="20"/>
                <w:lang w:eastAsia="en-US"/>
              </w:rPr>
            </w:pPr>
            <w:r>
              <w:rPr>
                <w:rFonts w:ascii="Arial Narrow" w:hAnsi="Arial Narrow"/>
                <w:b/>
                <w:bCs/>
                <w:sz w:val="20"/>
                <w:lang w:eastAsia="en-US"/>
              </w:rPr>
              <w:t>Early (≤ 7 days) occurrence</w:t>
            </w:r>
          </w:p>
        </w:tc>
        <w:tc>
          <w:tcPr>
            <w:tcW w:w="1230" w:type="pct"/>
            <w:hideMark/>
          </w:tcPr>
          <w:p w14:paraId="4716F454" w14:textId="77777777" w:rsidR="00E93186" w:rsidRPr="00C807FA" w:rsidRDefault="00E93186" w:rsidP="00E93186">
            <w:pPr>
              <w:keepNext/>
              <w:keepLines/>
              <w:widowControl w:val="0"/>
              <w:spacing w:after="40"/>
              <w:jc w:val="center"/>
              <w:rPr>
                <w:rFonts w:ascii="Arial Narrow" w:hAnsi="Arial Narrow"/>
                <w:b/>
                <w:bCs/>
                <w:sz w:val="20"/>
                <w:lang w:eastAsia="en-US"/>
              </w:rPr>
            </w:pPr>
            <w:r>
              <w:rPr>
                <w:rFonts w:ascii="Arial Narrow" w:hAnsi="Arial Narrow"/>
                <w:b/>
                <w:bCs/>
                <w:sz w:val="20"/>
                <w:lang w:eastAsia="en-US"/>
              </w:rPr>
              <w:t>Late (&gt;7 days) occurrence</w:t>
            </w:r>
          </w:p>
        </w:tc>
        <w:tc>
          <w:tcPr>
            <w:tcW w:w="1230" w:type="pct"/>
            <w:hideMark/>
          </w:tcPr>
          <w:p w14:paraId="56A82104" w14:textId="77777777" w:rsidR="00E93186" w:rsidRPr="00C807FA" w:rsidRDefault="00E93186" w:rsidP="00E93186">
            <w:pPr>
              <w:keepNext/>
              <w:keepLines/>
              <w:widowControl w:val="0"/>
              <w:spacing w:after="40"/>
              <w:jc w:val="center"/>
              <w:rPr>
                <w:rFonts w:ascii="Arial Narrow" w:hAnsi="Arial Narrow"/>
                <w:b/>
                <w:bCs/>
                <w:sz w:val="20"/>
                <w:lang w:eastAsia="en-US"/>
              </w:rPr>
            </w:pPr>
            <w:r>
              <w:rPr>
                <w:rFonts w:ascii="Arial Narrow" w:hAnsi="Arial Narrow"/>
                <w:b/>
                <w:bCs/>
                <w:sz w:val="20"/>
                <w:lang w:eastAsia="en-US"/>
              </w:rPr>
              <w:t>Total</w:t>
            </w:r>
          </w:p>
        </w:tc>
      </w:tr>
      <w:tr w:rsidR="00E93186" w:rsidRPr="00C807FA" w14:paraId="0AC0CF3D" w14:textId="77777777" w:rsidTr="00511ED5">
        <w:tc>
          <w:tcPr>
            <w:tcW w:w="1311" w:type="pct"/>
          </w:tcPr>
          <w:p w14:paraId="3A349ED9" w14:textId="77777777" w:rsidR="00E93186" w:rsidRPr="00C807FA" w:rsidRDefault="00E93186" w:rsidP="00E93186">
            <w:pPr>
              <w:keepNext/>
              <w:keepLines/>
              <w:widowControl w:val="0"/>
              <w:spacing w:after="40"/>
              <w:rPr>
                <w:rFonts w:ascii="Arial Narrow" w:hAnsi="Arial Narrow"/>
                <w:sz w:val="20"/>
                <w:lang w:eastAsia="en-US"/>
              </w:rPr>
            </w:pPr>
            <w:r>
              <w:rPr>
                <w:rFonts w:ascii="Arial Narrow" w:hAnsi="Arial Narrow"/>
                <w:sz w:val="20"/>
                <w:lang w:eastAsia="en-US"/>
              </w:rPr>
              <w:t>Pericardial effusion</w:t>
            </w:r>
          </w:p>
        </w:tc>
        <w:tc>
          <w:tcPr>
            <w:tcW w:w="1229" w:type="pct"/>
            <w:noWrap/>
          </w:tcPr>
          <w:p w14:paraId="0FBEABA6" w14:textId="77777777" w:rsidR="00E93186" w:rsidRPr="00C807FA"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0</w:t>
            </w:r>
          </w:p>
        </w:tc>
        <w:tc>
          <w:tcPr>
            <w:tcW w:w="1230" w:type="pct"/>
            <w:noWrap/>
          </w:tcPr>
          <w:p w14:paraId="20CBB75A" w14:textId="77777777" w:rsidR="00E93186" w:rsidRPr="00C807FA"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2</w:t>
            </w:r>
            <w:r w:rsidRPr="004E553C">
              <w:rPr>
                <w:rFonts w:ascii="Arial Narrow" w:hAnsi="Arial Narrow"/>
                <w:sz w:val="20"/>
                <w:vertAlign w:val="superscript"/>
                <w:lang w:eastAsia="en-US"/>
              </w:rPr>
              <w:t>a</w:t>
            </w:r>
          </w:p>
        </w:tc>
        <w:tc>
          <w:tcPr>
            <w:tcW w:w="1230" w:type="pct"/>
            <w:noWrap/>
          </w:tcPr>
          <w:p w14:paraId="4245CC70" w14:textId="77777777" w:rsidR="00E93186" w:rsidRPr="00C807FA"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2</w:t>
            </w:r>
          </w:p>
        </w:tc>
      </w:tr>
      <w:tr w:rsidR="00E93186" w:rsidRPr="00C807FA" w14:paraId="3590A3FE" w14:textId="77777777" w:rsidTr="00511ED5">
        <w:tc>
          <w:tcPr>
            <w:tcW w:w="1311" w:type="pct"/>
          </w:tcPr>
          <w:p w14:paraId="21DB15E1" w14:textId="77777777" w:rsidR="00E93186" w:rsidRPr="00C807FA" w:rsidRDefault="00E93186" w:rsidP="00E93186">
            <w:pPr>
              <w:keepNext/>
              <w:keepLines/>
              <w:widowControl w:val="0"/>
              <w:spacing w:after="40"/>
              <w:rPr>
                <w:rFonts w:ascii="Arial Narrow" w:hAnsi="Arial Narrow"/>
                <w:sz w:val="20"/>
                <w:lang w:eastAsia="en-US"/>
              </w:rPr>
            </w:pPr>
            <w:r>
              <w:rPr>
                <w:rFonts w:ascii="Arial Narrow" w:hAnsi="Arial Narrow"/>
                <w:sz w:val="20"/>
                <w:lang w:eastAsia="en-US"/>
              </w:rPr>
              <w:t>Device embolization</w:t>
            </w:r>
          </w:p>
        </w:tc>
        <w:tc>
          <w:tcPr>
            <w:tcW w:w="1229" w:type="pct"/>
            <w:noWrap/>
          </w:tcPr>
          <w:p w14:paraId="6CE30D7C" w14:textId="77777777" w:rsidR="00E93186" w:rsidRPr="00C807FA"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1</w:t>
            </w:r>
            <w:r w:rsidRPr="00174747">
              <w:rPr>
                <w:rFonts w:ascii="Arial Narrow" w:hAnsi="Arial Narrow"/>
                <w:sz w:val="20"/>
                <w:vertAlign w:val="superscript"/>
                <w:lang w:eastAsia="en-US"/>
              </w:rPr>
              <w:t>b</w:t>
            </w:r>
          </w:p>
        </w:tc>
        <w:tc>
          <w:tcPr>
            <w:tcW w:w="1230" w:type="pct"/>
            <w:noWrap/>
          </w:tcPr>
          <w:p w14:paraId="5D894974" w14:textId="77777777" w:rsidR="00E93186" w:rsidRPr="00C807FA"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0</w:t>
            </w:r>
          </w:p>
        </w:tc>
        <w:tc>
          <w:tcPr>
            <w:tcW w:w="1230" w:type="pct"/>
            <w:noWrap/>
          </w:tcPr>
          <w:p w14:paraId="76D3C745" w14:textId="77777777" w:rsidR="00E93186" w:rsidRPr="00C807FA"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1</w:t>
            </w:r>
          </w:p>
        </w:tc>
      </w:tr>
      <w:tr w:rsidR="00E93186" w:rsidRPr="00C807FA" w14:paraId="09C76C58" w14:textId="77777777" w:rsidTr="00511ED5">
        <w:tc>
          <w:tcPr>
            <w:tcW w:w="1311" w:type="pct"/>
          </w:tcPr>
          <w:p w14:paraId="08F01FEB" w14:textId="77777777" w:rsidR="00E93186" w:rsidRPr="00C807FA" w:rsidRDefault="00E93186" w:rsidP="00E93186">
            <w:pPr>
              <w:keepNext/>
              <w:keepLines/>
              <w:widowControl w:val="0"/>
              <w:spacing w:after="40"/>
              <w:rPr>
                <w:rFonts w:ascii="Arial Narrow" w:hAnsi="Arial Narrow"/>
                <w:sz w:val="20"/>
                <w:lang w:eastAsia="en-US"/>
              </w:rPr>
            </w:pPr>
            <w:r>
              <w:rPr>
                <w:rFonts w:ascii="Arial Narrow" w:hAnsi="Arial Narrow"/>
                <w:sz w:val="20"/>
                <w:lang w:eastAsia="en-US"/>
              </w:rPr>
              <w:t>Device-related death</w:t>
            </w:r>
          </w:p>
        </w:tc>
        <w:tc>
          <w:tcPr>
            <w:tcW w:w="1229" w:type="pct"/>
            <w:noWrap/>
          </w:tcPr>
          <w:p w14:paraId="7F052946" w14:textId="77777777" w:rsidR="00E93186" w:rsidRPr="00C807FA"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0</w:t>
            </w:r>
          </w:p>
        </w:tc>
        <w:tc>
          <w:tcPr>
            <w:tcW w:w="1230" w:type="pct"/>
            <w:noWrap/>
          </w:tcPr>
          <w:p w14:paraId="040D5766" w14:textId="77777777" w:rsidR="00E93186" w:rsidRPr="00C807FA"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1</w:t>
            </w:r>
            <w:r w:rsidRPr="00174747">
              <w:rPr>
                <w:rFonts w:ascii="Arial Narrow" w:hAnsi="Arial Narrow"/>
                <w:sz w:val="20"/>
                <w:vertAlign w:val="superscript"/>
                <w:lang w:eastAsia="en-US"/>
              </w:rPr>
              <w:t>c</w:t>
            </w:r>
          </w:p>
        </w:tc>
        <w:tc>
          <w:tcPr>
            <w:tcW w:w="1230" w:type="pct"/>
            <w:noWrap/>
          </w:tcPr>
          <w:p w14:paraId="0EDE8600" w14:textId="77777777" w:rsidR="00E93186" w:rsidRPr="00C807FA"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1</w:t>
            </w:r>
          </w:p>
        </w:tc>
      </w:tr>
      <w:tr w:rsidR="00E93186" w:rsidRPr="00C807FA" w14:paraId="135EB063" w14:textId="77777777" w:rsidTr="00511ED5">
        <w:tc>
          <w:tcPr>
            <w:tcW w:w="1311" w:type="pct"/>
          </w:tcPr>
          <w:p w14:paraId="4294243D" w14:textId="77777777" w:rsidR="00E93186" w:rsidRDefault="00E93186" w:rsidP="00E93186">
            <w:pPr>
              <w:keepNext/>
              <w:keepLines/>
              <w:widowControl w:val="0"/>
              <w:spacing w:after="40"/>
              <w:rPr>
                <w:rFonts w:ascii="Arial Narrow" w:hAnsi="Arial Narrow"/>
                <w:sz w:val="20"/>
                <w:lang w:eastAsia="en-US"/>
              </w:rPr>
            </w:pPr>
            <w:r>
              <w:rPr>
                <w:rFonts w:ascii="Arial Narrow" w:hAnsi="Arial Narrow"/>
                <w:sz w:val="20"/>
                <w:lang w:eastAsia="en-US"/>
              </w:rPr>
              <w:t>Procedure-related death</w:t>
            </w:r>
          </w:p>
        </w:tc>
        <w:tc>
          <w:tcPr>
            <w:tcW w:w="1229" w:type="pct"/>
            <w:noWrap/>
          </w:tcPr>
          <w:p w14:paraId="483F21CF" w14:textId="77777777" w:rsidR="00E93186"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1</w:t>
            </w:r>
            <w:r w:rsidRPr="00174747">
              <w:rPr>
                <w:rFonts w:ascii="Arial Narrow" w:hAnsi="Arial Narrow"/>
                <w:sz w:val="20"/>
                <w:vertAlign w:val="superscript"/>
                <w:lang w:eastAsia="en-US"/>
              </w:rPr>
              <w:t>d</w:t>
            </w:r>
          </w:p>
        </w:tc>
        <w:tc>
          <w:tcPr>
            <w:tcW w:w="1230" w:type="pct"/>
            <w:noWrap/>
          </w:tcPr>
          <w:p w14:paraId="3900E063" w14:textId="77777777" w:rsidR="00E93186"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0</w:t>
            </w:r>
          </w:p>
        </w:tc>
        <w:tc>
          <w:tcPr>
            <w:tcW w:w="1230" w:type="pct"/>
            <w:noWrap/>
          </w:tcPr>
          <w:p w14:paraId="71ACF5CD" w14:textId="77777777" w:rsidR="00E93186"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1</w:t>
            </w:r>
          </w:p>
        </w:tc>
      </w:tr>
      <w:tr w:rsidR="00E93186" w:rsidRPr="00C807FA" w14:paraId="721A3501" w14:textId="77777777" w:rsidTr="00511ED5">
        <w:tc>
          <w:tcPr>
            <w:tcW w:w="1311" w:type="pct"/>
          </w:tcPr>
          <w:p w14:paraId="32A183A2" w14:textId="77777777" w:rsidR="00E93186" w:rsidRPr="00C807FA" w:rsidRDefault="00E93186" w:rsidP="00E93186">
            <w:pPr>
              <w:keepNext/>
              <w:keepLines/>
              <w:widowControl w:val="0"/>
              <w:spacing w:after="40"/>
              <w:rPr>
                <w:rFonts w:ascii="Arial Narrow" w:hAnsi="Arial Narrow"/>
                <w:sz w:val="20"/>
                <w:lang w:eastAsia="en-US"/>
              </w:rPr>
            </w:pPr>
            <w:r>
              <w:rPr>
                <w:rFonts w:ascii="Arial Narrow" w:hAnsi="Arial Narrow"/>
                <w:sz w:val="20"/>
                <w:lang w:eastAsia="en-US"/>
              </w:rPr>
              <w:t>Vascular complications</w:t>
            </w:r>
          </w:p>
        </w:tc>
        <w:tc>
          <w:tcPr>
            <w:tcW w:w="1229" w:type="pct"/>
            <w:noWrap/>
          </w:tcPr>
          <w:p w14:paraId="7943A422" w14:textId="77777777" w:rsidR="00E93186" w:rsidRPr="00C807FA"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2</w:t>
            </w:r>
            <w:r w:rsidRPr="00174747">
              <w:rPr>
                <w:rFonts w:ascii="Arial Narrow" w:hAnsi="Arial Narrow"/>
                <w:sz w:val="20"/>
                <w:vertAlign w:val="superscript"/>
                <w:lang w:eastAsia="en-US"/>
              </w:rPr>
              <w:t>e</w:t>
            </w:r>
          </w:p>
        </w:tc>
        <w:tc>
          <w:tcPr>
            <w:tcW w:w="1230" w:type="pct"/>
            <w:noWrap/>
          </w:tcPr>
          <w:p w14:paraId="32FC94BA" w14:textId="77777777" w:rsidR="00E93186" w:rsidRPr="00C807FA"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0</w:t>
            </w:r>
          </w:p>
        </w:tc>
        <w:tc>
          <w:tcPr>
            <w:tcW w:w="1230" w:type="pct"/>
            <w:noWrap/>
          </w:tcPr>
          <w:p w14:paraId="1EE27E76" w14:textId="77777777" w:rsidR="00E93186" w:rsidRPr="00C807FA"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2</w:t>
            </w:r>
          </w:p>
        </w:tc>
      </w:tr>
      <w:tr w:rsidR="00E93186" w:rsidRPr="00C807FA" w14:paraId="3618D3C2" w14:textId="77777777" w:rsidTr="00511ED5">
        <w:tc>
          <w:tcPr>
            <w:tcW w:w="1311" w:type="pct"/>
          </w:tcPr>
          <w:p w14:paraId="727053C8" w14:textId="77777777" w:rsidR="00E93186" w:rsidRDefault="00E93186" w:rsidP="00E93186">
            <w:pPr>
              <w:keepNext/>
              <w:keepLines/>
              <w:widowControl w:val="0"/>
              <w:spacing w:after="40"/>
              <w:rPr>
                <w:rFonts w:ascii="Arial Narrow" w:hAnsi="Arial Narrow"/>
                <w:sz w:val="20"/>
                <w:lang w:eastAsia="en-US"/>
              </w:rPr>
            </w:pPr>
            <w:r>
              <w:rPr>
                <w:rFonts w:ascii="Arial Narrow" w:hAnsi="Arial Narrow"/>
                <w:sz w:val="20"/>
                <w:lang w:eastAsia="en-US"/>
              </w:rPr>
              <w:t>Other complications</w:t>
            </w:r>
          </w:p>
        </w:tc>
        <w:tc>
          <w:tcPr>
            <w:tcW w:w="1229" w:type="pct"/>
            <w:noWrap/>
          </w:tcPr>
          <w:p w14:paraId="5A4B1990" w14:textId="77777777" w:rsidR="00E93186"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0</w:t>
            </w:r>
          </w:p>
        </w:tc>
        <w:tc>
          <w:tcPr>
            <w:tcW w:w="1230" w:type="pct"/>
            <w:noWrap/>
          </w:tcPr>
          <w:p w14:paraId="0E209789" w14:textId="77777777" w:rsidR="00E93186"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2</w:t>
            </w:r>
            <w:r w:rsidRPr="00174747">
              <w:rPr>
                <w:rFonts w:ascii="Arial Narrow" w:hAnsi="Arial Narrow"/>
                <w:sz w:val="20"/>
                <w:vertAlign w:val="superscript"/>
                <w:lang w:eastAsia="en-US"/>
              </w:rPr>
              <w:t>f</w:t>
            </w:r>
          </w:p>
        </w:tc>
        <w:tc>
          <w:tcPr>
            <w:tcW w:w="1230" w:type="pct"/>
            <w:noWrap/>
          </w:tcPr>
          <w:p w14:paraId="13621DAB" w14:textId="77777777" w:rsidR="00E93186"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2</w:t>
            </w:r>
          </w:p>
        </w:tc>
      </w:tr>
      <w:tr w:rsidR="00E93186" w:rsidRPr="00C807FA" w14:paraId="0C821D95" w14:textId="77777777" w:rsidTr="00511ED5">
        <w:tc>
          <w:tcPr>
            <w:tcW w:w="1311" w:type="pct"/>
          </w:tcPr>
          <w:p w14:paraId="71807A83" w14:textId="77777777" w:rsidR="00E93186" w:rsidRDefault="00E93186" w:rsidP="00E93186">
            <w:pPr>
              <w:keepNext/>
              <w:keepLines/>
              <w:widowControl w:val="0"/>
              <w:spacing w:after="40"/>
              <w:rPr>
                <w:rFonts w:ascii="Arial Narrow" w:hAnsi="Arial Narrow"/>
                <w:sz w:val="20"/>
                <w:lang w:eastAsia="en-US"/>
              </w:rPr>
            </w:pPr>
            <w:r>
              <w:rPr>
                <w:rFonts w:ascii="Arial Narrow" w:hAnsi="Arial Narrow"/>
                <w:sz w:val="20"/>
                <w:lang w:eastAsia="en-US"/>
              </w:rPr>
              <w:t>Total</w:t>
            </w:r>
          </w:p>
        </w:tc>
        <w:tc>
          <w:tcPr>
            <w:tcW w:w="1229" w:type="pct"/>
            <w:noWrap/>
          </w:tcPr>
          <w:p w14:paraId="68E8E6E7" w14:textId="77777777" w:rsidR="00E93186"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4/201 (2.0)</w:t>
            </w:r>
          </w:p>
        </w:tc>
        <w:tc>
          <w:tcPr>
            <w:tcW w:w="1230" w:type="pct"/>
            <w:noWrap/>
          </w:tcPr>
          <w:p w14:paraId="49EF1ABD" w14:textId="77777777" w:rsidR="00E93186"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5/201 (2.5)</w:t>
            </w:r>
          </w:p>
        </w:tc>
        <w:tc>
          <w:tcPr>
            <w:tcW w:w="1230" w:type="pct"/>
            <w:noWrap/>
          </w:tcPr>
          <w:p w14:paraId="74E190EF" w14:textId="77777777" w:rsidR="00E93186" w:rsidRDefault="00E93186" w:rsidP="00E93186">
            <w:pPr>
              <w:keepNext/>
              <w:keepLines/>
              <w:widowControl w:val="0"/>
              <w:spacing w:after="40"/>
              <w:jc w:val="center"/>
              <w:rPr>
                <w:rFonts w:ascii="Arial Narrow" w:hAnsi="Arial Narrow"/>
                <w:sz w:val="20"/>
                <w:lang w:eastAsia="en-US"/>
              </w:rPr>
            </w:pPr>
            <w:r>
              <w:rPr>
                <w:rFonts w:ascii="Arial Narrow" w:hAnsi="Arial Narrow"/>
                <w:sz w:val="20"/>
                <w:lang w:eastAsia="en-US"/>
              </w:rPr>
              <w:t>9/201 (4.5)</w:t>
            </w:r>
          </w:p>
        </w:tc>
      </w:tr>
    </w:tbl>
    <w:p w14:paraId="76B5A13C" w14:textId="77777777" w:rsidR="00E93186" w:rsidRDefault="00E93186" w:rsidP="00E93186">
      <w:pPr>
        <w:keepNext/>
        <w:keepLines/>
        <w:widowControl w:val="0"/>
        <w:contextualSpacing/>
        <w:jc w:val="both"/>
        <w:rPr>
          <w:rFonts w:ascii="Arial Narrow" w:hAnsi="Arial Narrow" w:cs="Arial"/>
          <w:iCs/>
          <w:snapToGrid w:val="0"/>
          <w:sz w:val="18"/>
          <w:lang w:eastAsia="en-US"/>
        </w:rPr>
      </w:pPr>
      <w:r w:rsidRPr="00C807FA">
        <w:rPr>
          <w:rFonts w:ascii="Arial Narrow" w:hAnsi="Arial Narrow" w:cs="Arial"/>
          <w:iCs/>
          <w:snapToGrid w:val="0"/>
          <w:sz w:val="18"/>
          <w:lang w:eastAsia="en-US"/>
        </w:rPr>
        <w:t xml:space="preserve">Source: </w:t>
      </w:r>
      <w:r>
        <w:rPr>
          <w:rFonts w:ascii="Arial Narrow" w:hAnsi="Arial Narrow" w:cs="Arial"/>
          <w:iCs/>
          <w:snapToGrid w:val="0"/>
          <w:sz w:val="18"/>
          <w:lang w:eastAsia="en-US"/>
        </w:rPr>
        <w:t>Table 36, p123 of the ADAR based on PRAGUE-17, Osmancik 2020 table 4.</w:t>
      </w:r>
    </w:p>
    <w:p w14:paraId="30F77F45" w14:textId="77777777" w:rsidR="00E93186" w:rsidRPr="00F515EB" w:rsidRDefault="00E93186" w:rsidP="00E93186">
      <w:pPr>
        <w:pStyle w:val="ListParagraph"/>
        <w:keepNext/>
        <w:keepLines/>
        <w:widowControl w:val="0"/>
        <w:numPr>
          <w:ilvl w:val="0"/>
          <w:numId w:val="31"/>
        </w:numPr>
        <w:jc w:val="both"/>
        <w:rPr>
          <w:rFonts w:ascii="Arial Narrow" w:hAnsi="Arial Narrow" w:cs="Arial"/>
          <w:iCs/>
          <w:snapToGrid w:val="0"/>
          <w:sz w:val="18"/>
          <w:lang w:eastAsia="en-US"/>
        </w:rPr>
      </w:pPr>
      <w:r w:rsidRPr="00F515EB">
        <w:rPr>
          <w:rFonts w:ascii="Arial Narrow" w:hAnsi="Arial Narrow" w:cs="Arial"/>
          <w:iCs/>
          <w:snapToGrid w:val="0"/>
          <w:sz w:val="18"/>
          <w:lang w:eastAsia="en-US"/>
        </w:rPr>
        <w:t>Late pericardial effusions occurred at 89 and 194 days after implantation with the Amulet device. One was treated with pericardiocentesis and the other conservatively; both patients had good outcomes.</w:t>
      </w:r>
    </w:p>
    <w:p w14:paraId="21DA594D" w14:textId="77777777" w:rsidR="00E93186" w:rsidRPr="00F515EB" w:rsidRDefault="00E93186" w:rsidP="00E93186">
      <w:pPr>
        <w:pStyle w:val="ListParagraph"/>
        <w:keepNext/>
        <w:keepLines/>
        <w:widowControl w:val="0"/>
        <w:numPr>
          <w:ilvl w:val="0"/>
          <w:numId w:val="31"/>
        </w:numPr>
        <w:jc w:val="both"/>
        <w:rPr>
          <w:rFonts w:ascii="Arial Narrow" w:hAnsi="Arial Narrow" w:cs="Arial"/>
          <w:iCs/>
          <w:snapToGrid w:val="0"/>
          <w:sz w:val="18"/>
          <w:lang w:eastAsia="en-US"/>
        </w:rPr>
      </w:pPr>
      <w:r w:rsidRPr="00F515EB">
        <w:rPr>
          <w:rFonts w:ascii="Arial Narrow" w:hAnsi="Arial Narrow" w:cs="Arial"/>
          <w:iCs/>
          <w:snapToGrid w:val="0"/>
          <w:sz w:val="18"/>
          <w:lang w:eastAsia="en-US"/>
        </w:rPr>
        <w:t>Acute device embolization during the procedure, requiring surgical removal.</w:t>
      </w:r>
    </w:p>
    <w:p w14:paraId="50A0B3A4" w14:textId="77777777" w:rsidR="00E93186" w:rsidRPr="00F515EB" w:rsidRDefault="00E93186" w:rsidP="00E93186">
      <w:pPr>
        <w:pStyle w:val="ListParagraph"/>
        <w:keepNext/>
        <w:keepLines/>
        <w:widowControl w:val="0"/>
        <w:numPr>
          <w:ilvl w:val="0"/>
          <w:numId w:val="31"/>
        </w:numPr>
        <w:jc w:val="both"/>
        <w:rPr>
          <w:rFonts w:ascii="Arial Narrow" w:hAnsi="Arial Narrow" w:cs="Arial"/>
          <w:iCs/>
          <w:snapToGrid w:val="0"/>
          <w:sz w:val="18"/>
          <w:lang w:eastAsia="en-US"/>
        </w:rPr>
      </w:pPr>
      <w:r w:rsidRPr="00F515EB">
        <w:rPr>
          <w:rFonts w:ascii="Arial Narrow" w:hAnsi="Arial Narrow" w:cs="Arial"/>
          <w:iCs/>
          <w:snapToGrid w:val="0"/>
          <w:sz w:val="18"/>
          <w:lang w:eastAsia="en-US"/>
        </w:rPr>
        <w:t>A groin bleed occurred that required vascular surgery, in turn complicated by a large myocardial infarction with unsuccessful resuscitation.</w:t>
      </w:r>
    </w:p>
    <w:p w14:paraId="40187E28" w14:textId="77777777" w:rsidR="00E93186" w:rsidRPr="00F515EB" w:rsidRDefault="00E93186" w:rsidP="00E93186">
      <w:pPr>
        <w:pStyle w:val="ListParagraph"/>
        <w:keepNext/>
        <w:keepLines/>
        <w:widowControl w:val="0"/>
        <w:numPr>
          <w:ilvl w:val="0"/>
          <w:numId w:val="31"/>
        </w:numPr>
        <w:jc w:val="both"/>
        <w:rPr>
          <w:rFonts w:ascii="Arial Narrow" w:hAnsi="Arial Narrow" w:cs="Arial"/>
          <w:iCs/>
          <w:snapToGrid w:val="0"/>
          <w:sz w:val="18"/>
          <w:lang w:eastAsia="en-US"/>
        </w:rPr>
      </w:pPr>
      <w:r w:rsidRPr="00F515EB">
        <w:rPr>
          <w:rFonts w:ascii="Arial Narrow" w:hAnsi="Arial Narrow" w:cs="Arial"/>
          <w:iCs/>
          <w:snapToGrid w:val="0"/>
          <w:sz w:val="18"/>
          <w:lang w:eastAsia="en-US"/>
        </w:rPr>
        <w:t>Device-related pericardial tamponade.</w:t>
      </w:r>
    </w:p>
    <w:p w14:paraId="06ACADBC" w14:textId="77777777" w:rsidR="00E93186" w:rsidRPr="00F515EB" w:rsidRDefault="00E93186" w:rsidP="00E93186">
      <w:pPr>
        <w:pStyle w:val="ListParagraph"/>
        <w:keepNext/>
        <w:keepLines/>
        <w:widowControl w:val="0"/>
        <w:numPr>
          <w:ilvl w:val="0"/>
          <w:numId w:val="31"/>
        </w:numPr>
        <w:jc w:val="both"/>
        <w:rPr>
          <w:rFonts w:ascii="Arial Narrow" w:hAnsi="Arial Narrow" w:cs="Arial"/>
          <w:iCs/>
          <w:snapToGrid w:val="0"/>
          <w:sz w:val="18"/>
          <w:lang w:eastAsia="en-US"/>
        </w:rPr>
      </w:pPr>
      <w:r w:rsidRPr="00F515EB">
        <w:rPr>
          <w:rFonts w:ascii="Arial Narrow" w:hAnsi="Arial Narrow" w:cs="Arial"/>
          <w:iCs/>
          <w:snapToGrid w:val="0"/>
          <w:sz w:val="18"/>
          <w:lang w:eastAsia="en-US"/>
        </w:rPr>
        <w:t>One femoral pseudoaneurysm and one large groin hematoma, both treated with vascular surgery</w:t>
      </w:r>
    </w:p>
    <w:p w14:paraId="568CD40C" w14:textId="29B9B951" w:rsidR="00E93186" w:rsidRPr="00E93186" w:rsidRDefault="00E93186" w:rsidP="00E93186">
      <w:pPr>
        <w:pStyle w:val="ListParagraph"/>
        <w:keepNext/>
        <w:keepLines/>
        <w:widowControl w:val="0"/>
        <w:numPr>
          <w:ilvl w:val="0"/>
          <w:numId w:val="31"/>
        </w:numPr>
        <w:jc w:val="both"/>
        <w:rPr>
          <w:rFonts w:ascii="Arial Narrow" w:hAnsi="Arial Narrow" w:cs="Arial"/>
          <w:iCs/>
          <w:snapToGrid w:val="0"/>
          <w:sz w:val="18"/>
          <w:lang w:eastAsia="en-US"/>
        </w:rPr>
      </w:pPr>
      <w:r w:rsidRPr="00F515EB">
        <w:rPr>
          <w:rFonts w:ascii="Arial Narrow" w:hAnsi="Arial Narrow" w:cs="Arial"/>
          <w:iCs/>
          <w:snapToGrid w:val="0"/>
          <w:sz w:val="18"/>
          <w:lang w:eastAsia="en-US"/>
        </w:rPr>
        <w:t>One device malposition at the left inferior pulmonary vein, with successful removal and reimplantation. One large device-related thrombus was diagnosed by TOE imaging 113 days after implantation. The thrombus was considered potentially malignant (although no embolic event had occurred), so surgical removal was successfully performed.</w:t>
      </w:r>
    </w:p>
    <w:p w14:paraId="392649E7" w14:textId="353589B2" w:rsidR="00E93186" w:rsidRDefault="00E93186" w:rsidP="00E93186">
      <w:pPr>
        <w:spacing w:before="240" w:after="240"/>
      </w:pPr>
      <w:r>
        <w:t>In the PRAGUE-17 trial, the bleeding rates were similar between the LAAC (10.9%) and DOAC (9.0%) arms during a mean follow up of 21.1 months and 19.3 months, respectively (</w:t>
      </w:r>
      <w:r>
        <w:fldChar w:fldCharType="begin"/>
      </w:r>
      <w:r>
        <w:instrText xml:space="preserve"> REF _Ref48573469 \h </w:instrText>
      </w:r>
      <w:r>
        <w:fldChar w:fldCharType="separate"/>
      </w:r>
      <w:r w:rsidRPr="00C807FA">
        <w:t xml:space="preserve">Table </w:t>
      </w:r>
      <w:r>
        <w:rPr>
          <w:noProof/>
        </w:rPr>
        <w:t>7</w:t>
      </w:r>
      <w:r>
        <w:fldChar w:fldCharType="end"/>
      </w:r>
      <w:r>
        <w:t>). However, the ADAR noted that when procedure-related bleeding events were excluded, the</w:t>
      </w:r>
      <w:r w:rsidRPr="003917B9">
        <w:t xml:space="preserve"> incidence of major/non-major clinically relevant bleeding</w:t>
      </w:r>
      <w:r>
        <w:t xml:space="preserve"> in the LAAC arm was lower relative to the D</w:t>
      </w:r>
      <w:r w:rsidRPr="003917B9">
        <w:t>OAC</w:t>
      </w:r>
      <w:r>
        <w:t xml:space="preserve"> arm</w:t>
      </w:r>
      <w:r w:rsidRPr="003917B9">
        <w:t xml:space="preserve"> (6.0% versus 10.9%, respectively). </w:t>
      </w:r>
      <w:r>
        <w:t>The ADAR claimed this trend showed a</w:t>
      </w:r>
      <w:r w:rsidRPr="003917B9">
        <w:t xml:space="preserve"> 48% reduction in the odds of experiencing major/non-major clinically relevant </w:t>
      </w:r>
      <w:r>
        <w:t>bleeding with LAAC relative to D</w:t>
      </w:r>
      <w:r w:rsidRPr="003917B9">
        <w:t>OAC with the confidence i</w:t>
      </w:r>
      <w:r>
        <w:t xml:space="preserve">nterval marginally crossing one </w:t>
      </w:r>
      <w:r w:rsidRPr="003917B9">
        <w:t xml:space="preserve">(OR [95% CI]: 0.52 [0.25, 1.07]). </w:t>
      </w:r>
      <w:r>
        <w:t>The ADAR suggested</w:t>
      </w:r>
      <w:r w:rsidRPr="003917B9">
        <w:t xml:space="preserve"> that, with continued follow up of patients in PRAGUE-17, the difference in bleeding would reach statistical significance in favour of LAAC</w:t>
      </w:r>
      <w:r>
        <w:t xml:space="preserve">, given the </w:t>
      </w:r>
      <w:r w:rsidR="00C2648D">
        <w:t>di</w:t>
      </w:r>
      <w:r>
        <w:t>vergence of lines in the Kaplan Meier curve</w:t>
      </w:r>
      <w:r w:rsidRPr="003917B9">
        <w:t xml:space="preserve">. </w:t>
      </w:r>
    </w:p>
    <w:p w14:paraId="0CEDEAC7" w14:textId="77777777" w:rsidR="00E93186" w:rsidRPr="000E0BFD" w:rsidRDefault="00E93186" w:rsidP="00E93186">
      <w:pPr>
        <w:pStyle w:val="Caption"/>
        <w:keepLines/>
        <w:widowControl w:val="0"/>
      </w:pPr>
      <w:bookmarkStart w:id="14" w:name="_Ref48573469"/>
      <w:bookmarkStart w:id="15" w:name="_Toc52278457"/>
      <w:bookmarkStart w:id="16" w:name="_Toc52880719"/>
      <w:r w:rsidRPr="00C807FA">
        <w:t xml:space="preserve">Table </w:t>
      </w:r>
      <w:r w:rsidR="00FE1F6B">
        <w:fldChar w:fldCharType="begin"/>
      </w:r>
      <w:r w:rsidR="00FE1F6B">
        <w:instrText xml:space="preserve"> SEQ Table \* ARABIC </w:instrText>
      </w:r>
      <w:r w:rsidR="00FE1F6B">
        <w:fldChar w:fldCharType="separate"/>
      </w:r>
      <w:r>
        <w:rPr>
          <w:noProof/>
        </w:rPr>
        <w:t>7</w:t>
      </w:r>
      <w:r w:rsidR="00FE1F6B">
        <w:rPr>
          <w:noProof/>
        </w:rPr>
        <w:fldChar w:fldCharType="end"/>
      </w:r>
      <w:bookmarkEnd w:id="14"/>
      <w:r w:rsidRPr="00C807FA">
        <w:tab/>
      </w:r>
      <w:r>
        <w:t>Clinically significant major / non-major bleeding (defined based on ISTH criteria): PRAGUE-17</w:t>
      </w:r>
      <w:bookmarkEnd w:id="15"/>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6 Results of the key patient-relevant outcome across the studies"/>
        <w:tblDescription w:val="This table provides a summary of the findings in each study for the key patient-relevant outcome. Results for the intervention and comparator arms of each study are provided, along with an indication of the absolute difference and relative difference in results between the study arms. If the results across studies are meta-analysed, the results are also given."/>
      </w:tblPr>
      <w:tblGrid>
        <w:gridCol w:w="1135"/>
        <w:gridCol w:w="814"/>
        <w:gridCol w:w="1236"/>
        <w:gridCol w:w="753"/>
        <w:gridCol w:w="752"/>
        <w:gridCol w:w="1378"/>
        <w:gridCol w:w="716"/>
        <w:gridCol w:w="1159"/>
        <w:gridCol w:w="1073"/>
      </w:tblGrid>
      <w:tr w:rsidR="00E93186" w:rsidRPr="000E0BFD" w14:paraId="123B8ACF" w14:textId="77777777" w:rsidTr="00E93186">
        <w:tc>
          <w:tcPr>
            <w:tcW w:w="629" w:type="pct"/>
            <w:vMerge w:val="restart"/>
            <w:shd w:val="clear" w:color="auto" w:fill="auto"/>
          </w:tcPr>
          <w:p w14:paraId="1E548F30" w14:textId="77777777" w:rsidR="00E93186" w:rsidRPr="000E0BFD" w:rsidRDefault="00E93186" w:rsidP="00E93186">
            <w:pPr>
              <w:keepNext/>
              <w:keepLines/>
              <w:widowControl w:val="0"/>
              <w:spacing w:before="40" w:after="40"/>
              <w:rPr>
                <w:rFonts w:ascii="Arial Narrow" w:hAnsi="Arial Narrow"/>
                <w:b/>
                <w:snapToGrid w:val="0"/>
                <w:sz w:val="20"/>
                <w:lang w:eastAsia="en-US"/>
              </w:rPr>
            </w:pPr>
            <w:r w:rsidRPr="000E0BFD">
              <w:rPr>
                <w:rFonts w:ascii="Arial Narrow" w:hAnsi="Arial Narrow"/>
                <w:b/>
                <w:snapToGrid w:val="0"/>
                <w:sz w:val="20"/>
                <w:lang w:eastAsia="en-US"/>
              </w:rPr>
              <w:t>Outcome</w:t>
            </w:r>
          </w:p>
        </w:tc>
        <w:tc>
          <w:tcPr>
            <w:tcW w:w="451" w:type="pct"/>
            <w:tcBorders>
              <w:right w:val="nil"/>
            </w:tcBorders>
          </w:tcPr>
          <w:p w14:paraId="2D05F570" w14:textId="77777777" w:rsidR="00E93186" w:rsidRPr="000E0BFD" w:rsidRDefault="00E93186" w:rsidP="00E93186">
            <w:pPr>
              <w:keepNext/>
              <w:keepLines/>
              <w:widowControl w:val="0"/>
              <w:spacing w:before="40" w:after="40"/>
              <w:ind w:left="77" w:right="117"/>
              <w:rPr>
                <w:rFonts w:ascii="Arial Narrow" w:hAnsi="Arial Narrow"/>
                <w:b/>
                <w:snapToGrid w:val="0"/>
                <w:sz w:val="20"/>
                <w:lang w:eastAsia="en-US"/>
              </w:rPr>
            </w:pPr>
          </w:p>
        </w:tc>
        <w:tc>
          <w:tcPr>
            <w:tcW w:w="685" w:type="pct"/>
            <w:tcBorders>
              <w:left w:val="nil"/>
              <w:bottom w:val="nil"/>
              <w:right w:val="nil"/>
            </w:tcBorders>
            <w:shd w:val="clear" w:color="auto" w:fill="auto"/>
          </w:tcPr>
          <w:p w14:paraId="58A58AB9" w14:textId="77777777" w:rsidR="00E93186" w:rsidRPr="000E0BFD" w:rsidRDefault="00E93186" w:rsidP="00E93186">
            <w:pPr>
              <w:keepNext/>
              <w:keepLines/>
              <w:widowControl w:val="0"/>
              <w:spacing w:before="40" w:after="40"/>
              <w:ind w:left="77" w:right="117"/>
              <w:rPr>
                <w:rFonts w:ascii="Arial Narrow" w:hAnsi="Arial Narrow"/>
                <w:b/>
                <w:snapToGrid w:val="0"/>
                <w:sz w:val="20"/>
                <w:lang w:eastAsia="en-US"/>
              </w:rPr>
            </w:pPr>
            <w:r w:rsidRPr="000E0BFD">
              <w:rPr>
                <w:rFonts w:ascii="Arial Narrow" w:hAnsi="Arial Narrow"/>
                <w:b/>
                <w:snapToGrid w:val="0"/>
                <w:sz w:val="20"/>
                <w:lang w:eastAsia="en-US"/>
              </w:rPr>
              <w:t>LAAC</w:t>
            </w:r>
          </w:p>
        </w:tc>
        <w:tc>
          <w:tcPr>
            <w:tcW w:w="417" w:type="pct"/>
            <w:tcBorders>
              <w:left w:val="nil"/>
              <w:bottom w:val="nil"/>
            </w:tcBorders>
            <w:shd w:val="clear" w:color="auto" w:fill="auto"/>
          </w:tcPr>
          <w:p w14:paraId="61C7CE85" w14:textId="77777777" w:rsidR="00E93186" w:rsidRPr="000E0BFD" w:rsidRDefault="00E93186" w:rsidP="00E93186">
            <w:pPr>
              <w:keepNext/>
              <w:keepLines/>
              <w:widowControl w:val="0"/>
              <w:spacing w:before="40" w:after="40"/>
              <w:ind w:left="77" w:right="117"/>
              <w:rPr>
                <w:rFonts w:ascii="Arial Narrow" w:hAnsi="Arial Narrow"/>
                <w:b/>
                <w:snapToGrid w:val="0"/>
                <w:sz w:val="20"/>
                <w:lang w:eastAsia="en-US"/>
              </w:rPr>
            </w:pPr>
          </w:p>
        </w:tc>
        <w:tc>
          <w:tcPr>
            <w:tcW w:w="417" w:type="pct"/>
            <w:tcBorders>
              <w:right w:val="nil"/>
            </w:tcBorders>
          </w:tcPr>
          <w:p w14:paraId="494AB30F" w14:textId="77777777" w:rsidR="00E93186" w:rsidRPr="000E0BFD" w:rsidRDefault="00E93186" w:rsidP="00E93186">
            <w:pPr>
              <w:keepNext/>
              <w:keepLines/>
              <w:widowControl w:val="0"/>
              <w:spacing w:before="40" w:after="40"/>
              <w:ind w:right="117"/>
              <w:rPr>
                <w:rFonts w:ascii="Arial Narrow" w:hAnsi="Arial Narrow"/>
                <w:b/>
                <w:snapToGrid w:val="0"/>
                <w:sz w:val="20"/>
                <w:lang w:eastAsia="en-US"/>
              </w:rPr>
            </w:pPr>
          </w:p>
        </w:tc>
        <w:tc>
          <w:tcPr>
            <w:tcW w:w="764" w:type="pct"/>
            <w:tcBorders>
              <w:left w:val="nil"/>
              <w:right w:val="nil"/>
            </w:tcBorders>
            <w:shd w:val="clear" w:color="auto" w:fill="auto"/>
          </w:tcPr>
          <w:p w14:paraId="51C4321F" w14:textId="77777777" w:rsidR="00E93186" w:rsidRPr="000E0BFD" w:rsidRDefault="00E93186" w:rsidP="00E93186">
            <w:pPr>
              <w:keepNext/>
              <w:keepLines/>
              <w:widowControl w:val="0"/>
              <w:spacing w:before="40" w:after="40"/>
              <w:ind w:right="117"/>
              <w:rPr>
                <w:rFonts w:ascii="Arial Narrow" w:hAnsi="Arial Narrow"/>
                <w:b/>
                <w:snapToGrid w:val="0"/>
                <w:sz w:val="20"/>
                <w:lang w:eastAsia="en-US"/>
              </w:rPr>
            </w:pPr>
            <w:r w:rsidRPr="000E0BFD">
              <w:rPr>
                <w:rFonts w:ascii="Arial Narrow" w:hAnsi="Arial Narrow"/>
                <w:b/>
                <w:snapToGrid w:val="0"/>
                <w:sz w:val="20"/>
                <w:lang w:eastAsia="en-US"/>
              </w:rPr>
              <w:t>NOAC</w:t>
            </w:r>
          </w:p>
        </w:tc>
        <w:tc>
          <w:tcPr>
            <w:tcW w:w="397" w:type="pct"/>
            <w:tcBorders>
              <w:left w:val="nil"/>
            </w:tcBorders>
            <w:shd w:val="clear" w:color="auto" w:fill="auto"/>
          </w:tcPr>
          <w:p w14:paraId="6EC3A9C6" w14:textId="77777777" w:rsidR="00E93186" w:rsidRPr="000E0BFD" w:rsidRDefault="00E93186" w:rsidP="00E93186">
            <w:pPr>
              <w:keepNext/>
              <w:keepLines/>
              <w:widowControl w:val="0"/>
              <w:spacing w:before="40" w:after="40"/>
              <w:ind w:right="117"/>
              <w:rPr>
                <w:rFonts w:ascii="Arial Narrow" w:hAnsi="Arial Narrow"/>
                <w:b/>
                <w:snapToGrid w:val="0"/>
                <w:sz w:val="20"/>
                <w:lang w:eastAsia="en-US"/>
              </w:rPr>
            </w:pPr>
          </w:p>
        </w:tc>
        <w:tc>
          <w:tcPr>
            <w:tcW w:w="643" w:type="pct"/>
            <w:vMerge w:val="restart"/>
          </w:tcPr>
          <w:p w14:paraId="6354FAF4" w14:textId="77777777" w:rsidR="00E93186" w:rsidRPr="000E0BFD" w:rsidRDefault="00E93186" w:rsidP="00E93186">
            <w:pPr>
              <w:keepNext/>
              <w:keepLines/>
              <w:widowControl w:val="0"/>
              <w:spacing w:before="40" w:after="40"/>
              <w:ind w:left="41" w:right="117"/>
              <w:rPr>
                <w:rFonts w:ascii="Arial Narrow" w:hAnsi="Arial Narrow"/>
                <w:b/>
                <w:snapToGrid w:val="0"/>
                <w:sz w:val="20"/>
                <w:lang w:eastAsia="en-US"/>
              </w:rPr>
            </w:pPr>
            <w:r w:rsidRPr="000E0BFD">
              <w:rPr>
                <w:rFonts w:ascii="Arial Narrow" w:hAnsi="Arial Narrow"/>
                <w:b/>
                <w:snapToGrid w:val="0"/>
                <w:sz w:val="20"/>
                <w:lang w:eastAsia="en-US"/>
              </w:rPr>
              <w:t>RD [95% CI]; p value</w:t>
            </w:r>
          </w:p>
        </w:tc>
        <w:tc>
          <w:tcPr>
            <w:tcW w:w="595" w:type="pct"/>
            <w:vMerge w:val="restart"/>
            <w:shd w:val="clear" w:color="auto" w:fill="auto"/>
          </w:tcPr>
          <w:p w14:paraId="4E2C3D61" w14:textId="77777777" w:rsidR="00E93186" w:rsidRPr="000E0BFD" w:rsidRDefault="00E93186" w:rsidP="00E93186">
            <w:pPr>
              <w:keepNext/>
              <w:keepLines/>
              <w:widowControl w:val="0"/>
              <w:spacing w:before="40" w:after="40"/>
              <w:ind w:left="41" w:right="117"/>
              <w:rPr>
                <w:rFonts w:ascii="Arial Narrow" w:hAnsi="Arial Narrow"/>
                <w:b/>
                <w:snapToGrid w:val="0"/>
                <w:sz w:val="20"/>
                <w:lang w:eastAsia="en-US"/>
              </w:rPr>
            </w:pPr>
            <w:r w:rsidRPr="000E0BFD">
              <w:rPr>
                <w:rFonts w:ascii="Arial Narrow" w:hAnsi="Arial Narrow"/>
                <w:b/>
                <w:snapToGrid w:val="0"/>
                <w:sz w:val="20"/>
                <w:lang w:eastAsia="en-US"/>
              </w:rPr>
              <w:t>sHR [95% CI]; p value</w:t>
            </w:r>
          </w:p>
        </w:tc>
      </w:tr>
      <w:tr w:rsidR="00E93186" w:rsidRPr="000E0BFD" w14:paraId="446AF982" w14:textId="77777777" w:rsidTr="00E93186">
        <w:tc>
          <w:tcPr>
            <w:tcW w:w="629" w:type="pct"/>
            <w:vMerge/>
            <w:tcBorders>
              <w:bottom w:val="single" w:sz="4" w:space="0" w:color="auto"/>
            </w:tcBorders>
            <w:shd w:val="clear" w:color="auto" w:fill="auto"/>
            <w:vAlign w:val="center"/>
          </w:tcPr>
          <w:p w14:paraId="1148CF24" w14:textId="77777777" w:rsidR="00E93186" w:rsidRPr="000E0BFD" w:rsidRDefault="00E93186" w:rsidP="00E93186">
            <w:pPr>
              <w:keepNext/>
              <w:keepLines/>
              <w:widowControl w:val="0"/>
              <w:spacing w:before="40" w:after="40"/>
              <w:rPr>
                <w:rFonts w:ascii="Arial Narrow" w:hAnsi="Arial Narrow"/>
                <w:b/>
                <w:bCs/>
                <w:snapToGrid w:val="0"/>
                <w:sz w:val="20"/>
                <w:lang w:eastAsia="en-US"/>
              </w:rPr>
            </w:pPr>
          </w:p>
        </w:tc>
        <w:tc>
          <w:tcPr>
            <w:tcW w:w="451" w:type="pct"/>
            <w:tcBorders>
              <w:bottom w:val="single" w:sz="4" w:space="0" w:color="auto"/>
            </w:tcBorders>
            <w:shd w:val="clear" w:color="auto" w:fill="auto"/>
            <w:vAlign w:val="center"/>
          </w:tcPr>
          <w:p w14:paraId="313F4470" w14:textId="77777777" w:rsidR="00E93186" w:rsidRPr="000E0BFD" w:rsidRDefault="00E93186" w:rsidP="00E93186">
            <w:pPr>
              <w:keepNext/>
              <w:keepLines/>
              <w:widowControl w:val="0"/>
              <w:spacing w:before="40" w:after="40"/>
              <w:ind w:left="111" w:right="117"/>
              <w:jc w:val="center"/>
              <w:rPr>
                <w:rFonts w:ascii="Arial Narrow" w:hAnsi="Arial Narrow"/>
                <w:b/>
                <w:bCs/>
                <w:snapToGrid w:val="0"/>
                <w:sz w:val="20"/>
                <w:lang w:eastAsia="en-US"/>
              </w:rPr>
            </w:pPr>
            <w:r w:rsidRPr="000E0BFD">
              <w:rPr>
                <w:rFonts w:ascii="Arial Narrow" w:hAnsi="Arial Narrow"/>
                <w:b/>
                <w:snapToGrid w:val="0"/>
                <w:sz w:val="20"/>
                <w:lang w:eastAsia="en-US"/>
              </w:rPr>
              <w:t>n/N (%)</w:t>
            </w:r>
          </w:p>
        </w:tc>
        <w:tc>
          <w:tcPr>
            <w:tcW w:w="685" w:type="pct"/>
            <w:tcBorders>
              <w:bottom w:val="single" w:sz="4" w:space="0" w:color="auto"/>
            </w:tcBorders>
          </w:tcPr>
          <w:p w14:paraId="6331448B" w14:textId="77777777" w:rsidR="00E93186" w:rsidRPr="000E0BFD" w:rsidRDefault="00E93186" w:rsidP="00E93186">
            <w:pPr>
              <w:keepNext/>
              <w:keepLines/>
              <w:widowControl w:val="0"/>
              <w:spacing w:before="40" w:after="40"/>
              <w:ind w:left="77" w:right="117"/>
              <w:jc w:val="center"/>
              <w:rPr>
                <w:rFonts w:ascii="Arial Narrow" w:hAnsi="Arial Narrow"/>
                <w:b/>
                <w:bCs/>
                <w:snapToGrid w:val="0"/>
                <w:sz w:val="20"/>
                <w:lang w:eastAsia="en-US"/>
              </w:rPr>
            </w:pPr>
            <w:r w:rsidRPr="000E0BFD">
              <w:rPr>
                <w:rFonts w:ascii="Arial Narrow" w:hAnsi="Arial Narrow"/>
                <w:b/>
                <w:bCs/>
                <w:snapToGrid w:val="0"/>
                <w:sz w:val="20"/>
                <w:lang w:eastAsia="en-US"/>
              </w:rPr>
              <w:t>Events</w:t>
            </w:r>
          </w:p>
        </w:tc>
        <w:tc>
          <w:tcPr>
            <w:tcW w:w="417" w:type="pct"/>
            <w:tcBorders>
              <w:bottom w:val="single" w:sz="4" w:space="0" w:color="auto"/>
            </w:tcBorders>
            <w:shd w:val="clear" w:color="auto" w:fill="auto"/>
          </w:tcPr>
          <w:p w14:paraId="741F69C0" w14:textId="77777777" w:rsidR="00E93186" w:rsidRPr="000E0BFD" w:rsidRDefault="00E93186" w:rsidP="00E93186">
            <w:pPr>
              <w:keepNext/>
              <w:keepLines/>
              <w:widowControl w:val="0"/>
              <w:spacing w:before="40" w:after="40"/>
              <w:ind w:left="77" w:right="117"/>
              <w:jc w:val="center"/>
              <w:rPr>
                <w:rFonts w:ascii="Arial Narrow" w:hAnsi="Arial Narrow"/>
                <w:b/>
                <w:bCs/>
                <w:snapToGrid w:val="0"/>
                <w:sz w:val="20"/>
                <w:lang w:eastAsia="en-US"/>
              </w:rPr>
            </w:pPr>
            <w:r w:rsidRPr="000E0BFD">
              <w:rPr>
                <w:rFonts w:ascii="Arial Narrow" w:hAnsi="Arial Narrow"/>
                <w:b/>
                <w:bCs/>
                <w:snapToGrid w:val="0"/>
                <w:sz w:val="20"/>
                <w:lang w:eastAsia="en-US"/>
              </w:rPr>
              <w:t>Event rate/yr</w:t>
            </w:r>
          </w:p>
        </w:tc>
        <w:tc>
          <w:tcPr>
            <w:tcW w:w="417" w:type="pct"/>
            <w:tcBorders>
              <w:bottom w:val="single" w:sz="4" w:space="0" w:color="auto"/>
            </w:tcBorders>
            <w:shd w:val="clear" w:color="auto" w:fill="auto"/>
            <w:vAlign w:val="center"/>
          </w:tcPr>
          <w:p w14:paraId="7428E21C" w14:textId="77777777" w:rsidR="00E93186" w:rsidRPr="000E0BFD" w:rsidRDefault="00E93186" w:rsidP="00E93186">
            <w:pPr>
              <w:keepNext/>
              <w:keepLines/>
              <w:widowControl w:val="0"/>
              <w:spacing w:before="40" w:after="40"/>
              <w:ind w:left="77" w:right="117"/>
              <w:jc w:val="center"/>
              <w:rPr>
                <w:rFonts w:ascii="Arial Narrow" w:hAnsi="Arial Narrow"/>
                <w:b/>
                <w:bCs/>
                <w:snapToGrid w:val="0"/>
                <w:sz w:val="20"/>
                <w:lang w:eastAsia="en-US"/>
              </w:rPr>
            </w:pPr>
            <w:r w:rsidRPr="000E0BFD">
              <w:rPr>
                <w:rFonts w:ascii="Arial Narrow" w:hAnsi="Arial Narrow"/>
                <w:b/>
                <w:snapToGrid w:val="0"/>
                <w:sz w:val="20"/>
                <w:lang w:eastAsia="en-US"/>
              </w:rPr>
              <w:t>n/N (%)</w:t>
            </w:r>
          </w:p>
        </w:tc>
        <w:tc>
          <w:tcPr>
            <w:tcW w:w="764" w:type="pct"/>
            <w:tcBorders>
              <w:bottom w:val="single" w:sz="4" w:space="0" w:color="auto"/>
            </w:tcBorders>
          </w:tcPr>
          <w:p w14:paraId="5F7733A5" w14:textId="77777777" w:rsidR="00E93186" w:rsidRPr="000E0BFD" w:rsidRDefault="00E93186" w:rsidP="00E93186">
            <w:pPr>
              <w:keepNext/>
              <w:keepLines/>
              <w:widowControl w:val="0"/>
              <w:spacing w:before="40" w:after="40"/>
              <w:ind w:left="41" w:right="117"/>
              <w:jc w:val="center"/>
              <w:rPr>
                <w:rFonts w:ascii="Arial Narrow" w:hAnsi="Arial Narrow"/>
                <w:b/>
                <w:bCs/>
                <w:snapToGrid w:val="0"/>
                <w:sz w:val="20"/>
                <w:lang w:eastAsia="en-US"/>
              </w:rPr>
            </w:pPr>
            <w:r w:rsidRPr="000E0BFD">
              <w:rPr>
                <w:rFonts w:ascii="Arial Narrow" w:hAnsi="Arial Narrow"/>
                <w:b/>
                <w:bCs/>
                <w:snapToGrid w:val="0"/>
                <w:sz w:val="20"/>
                <w:lang w:eastAsia="en-US"/>
              </w:rPr>
              <w:t>Events</w:t>
            </w:r>
          </w:p>
        </w:tc>
        <w:tc>
          <w:tcPr>
            <w:tcW w:w="397" w:type="pct"/>
            <w:tcBorders>
              <w:bottom w:val="single" w:sz="4" w:space="0" w:color="auto"/>
            </w:tcBorders>
            <w:shd w:val="clear" w:color="auto" w:fill="auto"/>
          </w:tcPr>
          <w:p w14:paraId="7B053B4C" w14:textId="77777777" w:rsidR="00E93186" w:rsidRPr="000E0BFD" w:rsidRDefault="00E93186" w:rsidP="00E93186">
            <w:pPr>
              <w:keepNext/>
              <w:keepLines/>
              <w:widowControl w:val="0"/>
              <w:spacing w:before="40" w:after="40"/>
              <w:ind w:left="41" w:right="117"/>
              <w:jc w:val="center"/>
              <w:rPr>
                <w:rFonts w:ascii="Arial Narrow" w:hAnsi="Arial Narrow"/>
                <w:b/>
                <w:bCs/>
                <w:snapToGrid w:val="0"/>
                <w:sz w:val="20"/>
                <w:lang w:eastAsia="en-US"/>
              </w:rPr>
            </w:pPr>
            <w:r w:rsidRPr="000E0BFD">
              <w:rPr>
                <w:rFonts w:ascii="Arial Narrow" w:hAnsi="Arial Narrow"/>
                <w:b/>
                <w:bCs/>
                <w:snapToGrid w:val="0"/>
                <w:sz w:val="20"/>
                <w:lang w:eastAsia="en-US"/>
              </w:rPr>
              <w:t>Event rate/yr</w:t>
            </w:r>
          </w:p>
        </w:tc>
        <w:tc>
          <w:tcPr>
            <w:tcW w:w="643" w:type="pct"/>
            <w:vMerge/>
            <w:tcBorders>
              <w:bottom w:val="single" w:sz="4" w:space="0" w:color="auto"/>
            </w:tcBorders>
            <w:shd w:val="clear" w:color="auto" w:fill="auto"/>
          </w:tcPr>
          <w:p w14:paraId="12C0C434" w14:textId="77777777" w:rsidR="00E93186" w:rsidRPr="000E0BFD" w:rsidRDefault="00E93186" w:rsidP="00E93186">
            <w:pPr>
              <w:keepNext/>
              <w:keepLines/>
              <w:widowControl w:val="0"/>
              <w:spacing w:before="40" w:after="40"/>
              <w:ind w:left="41" w:right="117"/>
              <w:jc w:val="center"/>
              <w:rPr>
                <w:rFonts w:ascii="Arial Narrow" w:hAnsi="Arial Narrow"/>
                <w:b/>
                <w:bCs/>
                <w:snapToGrid w:val="0"/>
                <w:sz w:val="20"/>
                <w:lang w:eastAsia="en-US"/>
              </w:rPr>
            </w:pPr>
          </w:p>
        </w:tc>
        <w:tc>
          <w:tcPr>
            <w:tcW w:w="595" w:type="pct"/>
            <w:vMerge/>
            <w:tcBorders>
              <w:bottom w:val="single" w:sz="4" w:space="0" w:color="auto"/>
            </w:tcBorders>
            <w:shd w:val="clear" w:color="auto" w:fill="auto"/>
            <w:vAlign w:val="center"/>
          </w:tcPr>
          <w:p w14:paraId="0833C075" w14:textId="77777777" w:rsidR="00E93186" w:rsidRPr="000E0BFD" w:rsidRDefault="00E93186" w:rsidP="00E93186">
            <w:pPr>
              <w:keepNext/>
              <w:keepLines/>
              <w:widowControl w:val="0"/>
              <w:spacing w:before="40" w:after="40"/>
              <w:ind w:right="117"/>
              <w:rPr>
                <w:rFonts w:ascii="Arial Narrow" w:hAnsi="Arial Narrow"/>
                <w:b/>
                <w:bCs/>
                <w:snapToGrid w:val="0"/>
                <w:sz w:val="20"/>
                <w:lang w:eastAsia="en-US"/>
              </w:rPr>
            </w:pPr>
          </w:p>
        </w:tc>
      </w:tr>
      <w:tr w:rsidR="00E93186" w:rsidRPr="000E0BFD" w14:paraId="419CAFA8" w14:textId="77777777" w:rsidTr="00E93186">
        <w:tc>
          <w:tcPr>
            <w:tcW w:w="629" w:type="pct"/>
            <w:tcBorders>
              <w:top w:val="single" w:sz="4" w:space="0" w:color="auto"/>
            </w:tcBorders>
            <w:shd w:val="clear" w:color="auto" w:fill="auto"/>
            <w:vAlign w:val="center"/>
          </w:tcPr>
          <w:p w14:paraId="56F2C21F" w14:textId="77777777" w:rsidR="00E93186" w:rsidRPr="000E0BFD" w:rsidRDefault="00E93186" w:rsidP="00E93186">
            <w:pPr>
              <w:keepNext/>
              <w:keepLines/>
              <w:widowControl w:val="0"/>
              <w:spacing w:before="40" w:after="40"/>
              <w:rPr>
                <w:rFonts w:ascii="Arial Narrow" w:hAnsi="Arial Narrow"/>
                <w:snapToGrid w:val="0"/>
                <w:sz w:val="20"/>
                <w:lang w:eastAsia="en-US"/>
              </w:rPr>
            </w:pPr>
            <w:r w:rsidRPr="000E0BFD">
              <w:rPr>
                <w:rFonts w:ascii="Arial Narrow" w:hAnsi="Arial Narrow"/>
                <w:snapToGrid w:val="0"/>
                <w:sz w:val="20"/>
                <w:lang w:eastAsia="en-US"/>
              </w:rPr>
              <w:t>Clinically significant major/non-major bleeding</w:t>
            </w:r>
          </w:p>
        </w:tc>
        <w:tc>
          <w:tcPr>
            <w:tcW w:w="451" w:type="pct"/>
            <w:tcBorders>
              <w:top w:val="single" w:sz="4" w:space="0" w:color="auto"/>
            </w:tcBorders>
            <w:shd w:val="clear" w:color="auto" w:fill="auto"/>
          </w:tcPr>
          <w:p w14:paraId="3A0E0D8F" w14:textId="77777777" w:rsidR="00E93186" w:rsidRPr="000E0BFD" w:rsidRDefault="00E93186" w:rsidP="00E93186">
            <w:pPr>
              <w:keepNext/>
              <w:keepLines/>
              <w:widowControl w:val="0"/>
              <w:spacing w:before="40" w:after="40"/>
              <w:ind w:left="111" w:right="117"/>
              <w:jc w:val="center"/>
              <w:rPr>
                <w:rFonts w:ascii="Arial Narrow" w:hAnsi="Arial Narrow"/>
                <w:snapToGrid w:val="0"/>
                <w:sz w:val="20"/>
                <w:lang w:eastAsia="en-US"/>
              </w:rPr>
            </w:pPr>
            <w:r w:rsidRPr="000E0BFD">
              <w:rPr>
                <w:rFonts w:ascii="Arial Narrow" w:hAnsi="Arial Narrow"/>
                <w:snapToGrid w:val="0"/>
                <w:sz w:val="20"/>
                <w:lang w:eastAsia="en-US"/>
              </w:rPr>
              <w:t>18/201 (9.0)</w:t>
            </w:r>
          </w:p>
        </w:tc>
        <w:tc>
          <w:tcPr>
            <w:tcW w:w="685" w:type="pct"/>
            <w:tcBorders>
              <w:top w:val="single" w:sz="4" w:space="0" w:color="auto"/>
            </w:tcBorders>
          </w:tcPr>
          <w:p w14:paraId="482AE8D0" w14:textId="77777777" w:rsidR="00E93186" w:rsidRPr="000E0BFD" w:rsidRDefault="00E93186" w:rsidP="00E93186">
            <w:pPr>
              <w:keepNext/>
              <w:keepLines/>
              <w:widowControl w:val="0"/>
              <w:spacing w:before="40" w:after="40"/>
              <w:ind w:left="77" w:right="117"/>
              <w:jc w:val="center"/>
              <w:rPr>
                <w:rFonts w:ascii="Arial Narrow" w:hAnsi="Arial Narrow"/>
                <w:snapToGrid w:val="0"/>
                <w:sz w:val="20"/>
                <w:lang w:eastAsia="en-US"/>
              </w:rPr>
            </w:pPr>
            <w:r w:rsidRPr="000E0BFD">
              <w:rPr>
                <w:rFonts w:ascii="Arial Narrow" w:hAnsi="Arial Narrow"/>
                <w:snapToGrid w:val="0"/>
                <w:sz w:val="20"/>
                <w:lang w:eastAsia="en-US"/>
              </w:rPr>
              <w:t xml:space="preserve">19 </w:t>
            </w:r>
          </w:p>
          <w:p w14:paraId="31324071" w14:textId="77777777" w:rsidR="00E93186" w:rsidRPr="000E0BFD" w:rsidRDefault="00E93186" w:rsidP="00E93186">
            <w:pPr>
              <w:keepNext/>
              <w:keepLines/>
              <w:widowControl w:val="0"/>
              <w:spacing w:before="40" w:after="40"/>
              <w:ind w:left="77" w:right="117"/>
              <w:jc w:val="center"/>
              <w:rPr>
                <w:rFonts w:ascii="Arial Narrow" w:hAnsi="Arial Narrow"/>
                <w:snapToGrid w:val="0"/>
                <w:sz w:val="20"/>
                <w:lang w:eastAsia="en-US"/>
              </w:rPr>
            </w:pPr>
            <w:r w:rsidRPr="000E0BFD">
              <w:rPr>
                <w:rFonts w:ascii="Arial Narrow" w:hAnsi="Arial Narrow"/>
                <w:snapToGrid w:val="0"/>
                <w:sz w:val="20"/>
                <w:lang w:eastAsia="en-US"/>
              </w:rPr>
              <w:t>(major, 13; non-major, 6)</w:t>
            </w:r>
          </w:p>
        </w:tc>
        <w:tc>
          <w:tcPr>
            <w:tcW w:w="417" w:type="pct"/>
            <w:tcBorders>
              <w:top w:val="single" w:sz="4" w:space="0" w:color="auto"/>
              <w:bottom w:val="single" w:sz="4" w:space="0" w:color="auto"/>
            </w:tcBorders>
          </w:tcPr>
          <w:p w14:paraId="6FDEF076" w14:textId="77777777" w:rsidR="00E93186" w:rsidRPr="000E0BFD" w:rsidRDefault="00E93186" w:rsidP="00E93186">
            <w:pPr>
              <w:keepNext/>
              <w:keepLines/>
              <w:widowControl w:val="0"/>
              <w:spacing w:before="40" w:after="40"/>
              <w:ind w:left="77" w:right="117"/>
              <w:jc w:val="center"/>
              <w:rPr>
                <w:rFonts w:ascii="Arial Narrow" w:hAnsi="Arial Narrow"/>
                <w:snapToGrid w:val="0"/>
                <w:sz w:val="20"/>
                <w:lang w:eastAsia="en-US"/>
              </w:rPr>
            </w:pPr>
            <w:r w:rsidRPr="000E0BFD">
              <w:rPr>
                <w:rFonts w:ascii="Arial Narrow" w:hAnsi="Arial Narrow"/>
                <w:snapToGrid w:val="0"/>
                <w:sz w:val="20"/>
                <w:lang w:eastAsia="en-US"/>
              </w:rPr>
              <w:t>5.5</w:t>
            </w:r>
          </w:p>
        </w:tc>
        <w:tc>
          <w:tcPr>
            <w:tcW w:w="417" w:type="pct"/>
            <w:tcBorders>
              <w:top w:val="single" w:sz="4" w:space="0" w:color="auto"/>
              <w:bottom w:val="single" w:sz="4" w:space="0" w:color="auto"/>
            </w:tcBorders>
            <w:shd w:val="clear" w:color="auto" w:fill="auto"/>
          </w:tcPr>
          <w:p w14:paraId="56BBCEA9" w14:textId="77777777" w:rsidR="00E93186" w:rsidRPr="000E0BFD" w:rsidRDefault="00E93186" w:rsidP="00E93186">
            <w:pPr>
              <w:keepNext/>
              <w:keepLines/>
              <w:widowControl w:val="0"/>
              <w:spacing w:before="40" w:after="40"/>
              <w:ind w:left="77" w:right="117"/>
              <w:jc w:val="center"/>
              <w:rPr>
                <w:rFonts w:ascii="Arial Narrow" w:hAnsi="Arial Narrow"/>
                <w:snapToGrid w:val="0"/>
                <w:sz w:val="20"/>
                <w:lang w:eastAsia="en-US"/>
              </w:rPr>
            </w:pPr>
            <w:r w:rsidRPr="000E0BFD">
              <w:rPr>
                <w:rFonts w:ascii="Arial Narrow" w:hAnsi="Arial Narrow"/>
                <w:snapToGrid w:val="0"/>
                <w:sz w:val="20"/>
                <w:lang w:eastAsia="en-US"/>
              </w:rPr>
              <w:t>22/201 (10.9)</w:t>
            </w:r>
          </w:p>
        </w:tc>
        <w:tc>
          <w:tcPr>
            <w:tcW w:w="764" w:type="pct"/>
            <w:tcBorders>
              <w:top w:val="single" w:sz="4" w:space="0" w:color="auto"/>
            </w:tcBorders>
          </w:tcPr>
          <w:p w14:paraId="7DF40388" w14:textId="77777777" w:rsidR="00E93186" w:rsidRPr="000E0BFD" w:rsidRDefault="00E93186" w:rsidP="00E93186">
            <w:pPr>
              <w:keepNext/>
              <w:keepLines/>
              <w:widowControl w:val="0"/>
              <w:spacing w:before="40" w:after="40"/>
              <w:ind w:left="41" w:right="117"/>
              <w:jc w:val="center"/>
              <w:rPr>
                <w:rFonts w:ascii="Arial Narrow" w:hAnsi="Arial Narrow"/>
                <w:snapToGrid w:val="0"/>
                <w:sz w:val="20"/>
                <w:lang w:eastAsia="en-US"/>
              </w:rPr>
            </w:pPr>
            <w:r w:rsidRPr="000E0BFD">
              <w:rPr>
                <w:rFonts w:ascii="Arial Narrow" w:hAnsi="Arial Narrow"/>
                <w:snapToGrid w:val="0"/>
                <w:sz w:val="20"/>
                <w:lang w:eastAsia="en-US"/>
              </w:rPr>
              <w:t>26</w:t>
            </w:r>
          </w:p>
          <w:p w14:paraId="153865F4" w14:textId="77777777" w:rsidR="00E93186" w:rsidRPr="000E0BFD" w:rsidRDefault="00E93186" w:rsidP="00E93186">
            <w:pPr>
              <w:keepNext/>
              <w:keepLines/>
              <w:widowControl w:val="0"/>
              <w:spacing w:before="40" w:after="40"/>
              <w:ind w:left="41" w:right="117"/>
              <w:jc w:val="center"/>
              <w:rPr>
                <w:rFonts w:ascii="Arial Narrow" w:hAnsi="Arial Narrow"/>
                <w:snapToGrid w:val="0"/>
                <w:sz w:val="20"/>
                <w:lang w:eastAsia="en-US"/>
              </w:rPr>
            </w:pPr>
            <w:r w:rsidRPr="000E0BFD">
              <w:rPr>
                <w:rFonts w:ascii="Arial Narrow" w:hAnsi="Arial Narrow"/>
                <w:snapToGrid w:val="0"/>
                <w:sz w:val="20"/>
                <w:lang w:eastAsia="en-US"/>
              </w:rPr>
              <w:t>(major, 14, non-major, 12)</w:t>
            </w:r>
          </w:p>
        </w:tc>
        <w:tc>
          <w:tcPr>
            <w:tcW w:w="397" w:type="pct"/>
            <w:tcBorders>
              <w:top w:val="single" w:sz="4" w:space="0" w:color="auto"/>
              <w:bottom w:val="single" w:sz="4" w:space="0" w:color="auto"/>
            </w:tcBorders>
          </w:tcPr>
          <w:p w14:paraId="2FAC0AB2" w14:textId="77777777" w:rsidR="00E93186" w:rsidRPr="000E0BFD" w:rsidRDefault="00E93186" w:rsidP="00E93186">
            <w:pPr>
              <w:keepNext/>
              <w:keepLines/>
              <w:widowControl w:val="0"/>
              <w:spacing w:before="40" w:after="40"/>
              <w:ind w:left="41" w:right="117"/>
              <w:jc w:val="center"/>
              <w:rPr>
                <w:rFonts w:ascii="Arial Narrow" w:hAnsi="Arial Narrow"/>
                <w:snapToGrid w:val="0"/>
                <w:sz w:val="20"/>
                <w:lang w:eastAsia="en-US"/>
              </w:rPr>
            </w:pPr>
            <w:r w:rsidRPr="000E0BFD">
              <w:rPr>
                <w:rFonts w:ascii="Arial Narrow" w:hAnsi="Arial Narrow"/>
                <w:snapToGrid w:val="0"/>
                <w:sz w:val="20"/>
                <w:lang w:eastAsia="en-US"/>
              </w:rPr>
              <w:t>7.42</w:t>
            </w:r>
          </w:p>
        </w:tc>
        <w:tc>
          <w:tcPr>
            <w:tcW w:w="643" w:type="pct"/>
            <w:tcBorders>
              <w:top w:val="single" w:sz="4" w:space="0" w:color="auto"/>
              <w:bottom w:val="single" w:sz="4" w:space="0" w:color="auto"/>
            </w:tcBorders>
          </w:tcPr>
          <w:p w14:paraId="76232C52" w14:textId="77777777" w:rsidR="00E93186" w:rsidRPr="000E0BFD" w:rsidRDefault="00E93186" w:rsidP="00E93186">
            <w:pPr>
              <w:keepNext/>
              <w:keepLines/>
              <w:widowControl w:val="0"/>
              <w:spacing w:before="40" w:after="40"/>
              <w:ind w:left="41" w:right="117"/>
              <w:jc w:val="center"/>
              <w:rPr>
                <w:rFonts w:ascii="Arial Narrow" w:hAnsi="Arial Narrow"/>
                <w:snapToGrid w:val="0"/>
                <w:sz w:val="20"/>
                <w:lang w:eastAsia="en-US"/>
              </w:rPr>
            </w:pPr>
            <w:r w:rsidRPr="000E0BFD">
              <w:rPr>
                <w:rFonts w:ascii="Arial Narrow" w:hAnsi="Arial Narrow"/>
                <w:snapToGrid w:val="0"/>
                <w:sz w:val="20"/>
                <w:lang w:eastAsia="en-US"/>
              </w:rPr>
              <w:t>-0.02 [-0.08, 0.04]; p=0.50</w:t>
            </w:r>
          </w:p>
        </w:tc>
        <w:tc>
          <w:tcPr>
            <w:tcW w:w="595" w:type="pct"/>
            <w:tcBorders>
              <w:top w:val="single" w:sz="4" w:space="0" w:color="auto"/>
              <w:bottom w:val="single" w:sz="4" w:space="0" w:color="auto"/>
            </w:tcBorders>
            <w:shd w:val="clear" w:color="auto" w:fill="auto"/>
          </w:tcPr>
          <w:p w14:paraId="3E6847F1" w14:textId="77777777" w:rsidR="00E93186" w:rsidRPr="000E0BFD" w:rsidRDefault="00E93186" w:rsidP="00E93186">
            <w:pPr>
              <w:keepNext/>
              <w:keepLines/>
              <w:widowControl w:val="0"/>
              <w:spacing w:before="40" w:after="40"/>
              <w:ind w:left="41" w:right="117"/>
              <w:jc w:val="center"/>
              <w:rPr>
                <w:rFonts w:ascii="Arial Narrow" w:hAnsi="Arial Narrow"/>
                <w:snapToGrid w:val="0"/>
                <w:sz w:val="20"/>
                <w:lang w:eastAsia="en-US"/>
              </w:rPr>
            </w:pPr>
            <w:r w:rsidRPr="000E0BFD">
              <w:rPr>
                <w:rFonts w:ascii="Arial Narrow" w:hAnsi="Arial Narrow"/>
                <w:snapToGrid w:val="0"/>
                <w:sz w:val="20"/>
                <w:lang w:eastAsia="en-US"/>
              </w:rPr>
              <w:t>0.81 [0.44–1.52]; NR</w:t>
            </w:r>
          </w:p>
        </w:tc>
      </w:tr>
      <w:tr w:rsidR="00E93186" w:rsidRPr="000E0BFD" w14:paraId="0E3BDA1A" w14:textId="77777777" w:rsidTr="00E93186">
        <w:tc>
          <w:tcPr>
            <w:tcW w:w="629" w:type="pct"/>
            <w:tcBorders>
              <w:bottom w:val="single" w:sz="4" w:space="0" w:color="auto"/>
            </w:tcBorders>
            <w:shd w:val="clear" w:color="auto" w:fill="auto"/>
            <w:vAlign w:val="center"/>
          </w:tcPr>
          <w:p w14:paraId="330BA855" w14:textId="77777777" w:rsidR="00E93186" w:rsidRPr="000E0BFD" w:rsidRDefault="00E93186" w:rsidP="00E93186">
            <w:pPr>
              <w:keepNext/>
              <w:keepLines/>
              <w:widowControl w:val="0"/>
              <w:spacing w:before="40" w:after="40"/>
              <w:rPr>
                <w:rFonts w:ascii="Arial Narrow" w:hAnsi="Arial Narrow"/>
                <w:snapToGrid w:val="0"/>
                <w:sz w:val="20"/>
                <w:lang w:eastAsia="en-US"/>
              </w:rPr>
            </w:pPr>
            <w:r w:rsidRPr="000E0BFD">
              <w:rPr>
                <w:rFonts w:ascii="Arial Narrow" w:hAnsi="Arial Narrow"/>
                <w:snapToGrid w:val="0"/>
                <w:sz w:val="20"/>
                <w:lang w:eastAsia="en-US"/>
              </w:rPr>
              <w:t>Clinically significant major/non-major bleeding – not related to device</w:t>
            </w:r>
          </w:p>
        </w:tc>
        <w:tc>
          <w:tcPr>
            <w:tcW w:w="451" w:type="pct"/>
            <w:tcBorders>
              <w:bottom w:val="single" w:sz="4" w:space="0" w:color="auto"/>
            </w:tcBorders>
            <w:shd w:val="clear" w:color="auto" w:fill="auto"/>
          </w:tcPr>
          <w:p w14:paraId="614598B9" w14:textId="77777777" w:rsidR="00E93186" w:rsidRPr="000E0BFD" w:rsidRDefault="00E93186" w:rsidP="00E93186">
            <w:pPr>
              <w:keepNext/>
              <w:keepLines/>
              <w:widowControl w:val="0"/>
              <w:spacing w:before="40" w:after="40"/>
              <w:ind w:left="111" w:right="117"/>
              <w:jc w:val="center"/>
              <w:rPr>
                <w:rFonts w:ascii="Arial Narrow" w:hAnsi="Arial Narrow"/>
                <w:snapToGrid w:val="0"/>
                <w:sz w:val="20"/>
                <w:lang w:eastAsia="en-US"/>
              </w:rPr>
            </w:pPr>
            <w:r w:rsidRPr="000E0BFD">
              <w:rPr>
                <w:rFonts w:ascii="Arial Narrow" w:hAnsi="Arial Narrow"/>
                <w:snapToGrid w:val="0"/>
                <w:sz w:val="20"/>
                <w:lang w:eastAsia="en-US"/>
              </w:rPr>
              <w:t>12/201 (6.0)</w:t>
            </w:r>
          </w:p>
        </w:tc>
        <w:tc>
          <w:tcPr>
            <w:tcW w:w="685" w:type="pct"/>
            <w:tcBorders>
              <w:bottom w:val="single" w:sz="4" w:space="0" w:color="auto"/>
            </w:tcBorders>
          </w:tcPr>
          <w:p w14:paraId="4600D4DD" w14:textId="77777777" w:rsidR="00E93186" w:rsidRPr="000E0BFD" w:rsidRDefault="00E93186" w:rsidP="00E93186">
            <w:pPr>
              <w:keepNext/>
              <w:keepLines/>
              <w:widowControl w:val="0"/>
              <w:spacing w:before="40" w:after="40"/>
              <w:ind w:left="77" w:right="117"/>
              <w:jc w:val="center"/>
              <w:rPr>
                <w:rFonts w:ascii="Arial Narrow" w:hAnsi="Arial Narrow"/>
                <w:snapToGrid w:val="0"/>
                <w:sz w:val="20"/>
                <w:lang w:eastAsia="en-US"/>
              </w:rPr>
            </w:pPr>
            <w:r w:rsidRPr="000E0BFD">
              <w:rPr>
                <w:rFonts w:ascii="Arial Narrow" w:hAnsi="Arial Narrow"/>
                <w:snapToGrid w:val="0"/>
                <w:sz w:val="20"/>
                <w:lang w:eastAsia="en-US"/>
              </w:rPr>
              <w:t>13</w:t>
            </w:r>
          </w:p>
        </w:tc>
        <w:tc>
          <w:tcPr>
            <w:tcW w:w="417" w:type="pct"/>
            <w:tcBorders>
              <w:bottom w:val="single" w:sz="4" w:space="0" w:color="auto"/>
            </w:tcBorders>
          </w:tcPr>
          <w:p w14:paraId="28F2EC17" w14:textId="77777777" w:rsidR="00E93186" w:rsidRPr="000E0BFD" w:rsidRDefault="00E93186" w:rsidP="00E93186">
            <w:pPr>
              <w:keepNext/>
              <w:keepLines/>
              <w:widowControl w:val="0"/>
              <w:spacing w:before="40" w:after="40"/>
              <w:ind w:left="77" w:right="117"/>
              <w:jc w:val="center"/>
              <w:rPr>
                <w:rFonts w:ascii="Arial Narrow" w:hAnsi="Arial Narrow"/>
                <w:snapToGrid w:val="0"/>
                <w:sz w:val="20"/>
                <w:lang w:eastAsia="en-US"/>
              </w:rPr>
            </w:pPr>
            <w:r w:rsidRPr="000E0BFD">
              <w:rPr>
                <w:rFonts w:ascii="Arial Narrow" w:hAnsi="Arial Narrow"/>
                <w:snapToGrid w:val="0"/>
                <w:sz w:val="20"/>
                <w:lang w:eastAsia="en-US"/>
              </w:rPr>
              <w:t>3.76</w:t>
            </w:r>
          </w:p>
        </w:tc>
        <w:tc>
          <w:tcPr>
            <w:tcW w:w="417" w:type="pct"/>
            <w:tcBorders>
              <w:bottom w:val="single" w:sz="4" w:space="0" w:color="auto"/>
            </w:tcBorders>
            <w:shd w:val="clear" w:color="auto" w:fill="auto"/>
          </w:tcPr>
          <w:p w14:paraId="0A5804FA" w14:textId="77777777" w:rsidR="00E93186" w:rsidRPr="000E0BFD" w:rsidRDefault="00E93186" w:rsidP="00E93186">
            <w:pPr>
              <w:keepNext/>
              <w:keepLines/>
              <w:widowControl w:val="0"/>
              <w:spacing w:before="40" w:after="40"/>
              <w:ind w:left="77" w:right="117"/>
              <w:jc w:val="center"/>
              <w:rPr>
                <w:rFonts w:ascii="Arial Narrow" w:hAnsi="Arial Narrow"/>
                <w:snapToGrid w:val="0"/>
                <w:sz w:val="20"/>
                <w:lang w:eastAsia="en-US"/>
              </w:rPr>
            </w:pPr>
            <w:r w:rsidRPr="000E0BFD">
              <w:rPr>
                <w:rFonts w:ascii="Arial Narrow" w:hAnsi="Arial Narrow"/>
                <w:snapToGrid w:val="0"/>
                <w:sz w:val="20"/>
                <w:lang w:eastAsia="en-US"/>
              </w:rPr>
              <w:t>22/201 (10.9)</w:t>
            </w:r>
          </w:p>
        </w:tc>
        <w:tc>
          <w:tcPr>
            <w:tcW w:w="764" w:type="pct"/>
            <w:tcBorders>
              <w:bottom w:val="single" w:sz="4" w:space="0" w:color="auto"/>
            </w:tcBorders>
          </w:tcPr>
          <w:p w14:paraId="6DC39D65" w14:textId="77777777" w:rsidR="00E93186" w:rsidRPr="000E0BFD" w:rsidRDefault="00E93186" w:rsidP="00E93186">
            <w:pPr>
              <w:keepNext/>
              <w:keepLines/>
              <w:widowControl w:val="0"/>
              <w:spacing w:before="40" w:after="40"/>
              <w:ind w:left="41" w:right="117"/>
              <w:jc w:val="center"/>
              <w:rPr>
                <w:rFonts w:ascii="Arial Narrow" w:hAnsi="Arial Narrow"/>
                <w:snapToGrid w:val="0"/>
                <w:sz w:val="20"/>
                <w:lang w:eastAsia="en-US"/>
              </w:rPr>
            </w:pPr>
            <w:r w:rsidRPr="000E0BFD">
              <w:rPr>
                <w:rFonts w:ascii="Arial Narrow" w:hAnsi="Arial Narrow"/>
                <w:snapToGrid w:val="0"/>
                <w:sz w:val="20"/>
                <w:lang w:eastAsia="en-US"/>
              </w:rPr>
              <w:t>26</w:t>
            </w:r>
          </w:p>
        </w:tc>
        <w:tc>
          <w:tcPr>
            <w:tcW w:w="397" w:type="pct"/>
            <w:tcBorders>
              <w:bottom w:val="single" w:sz="4" w:space="0" w:color="auto"/>
            </w:tcBorders>
          </w:tcPr>
          <w:p w14:paraId="047A1CD6" w14:textId="77777777" w:rsidR="00E93186" w:rsidRPr="000E0BFD" w:rsidRDefault="00E93186" w:rsidP="00E93186">
            <w:pPr>
              <w:keepNext/>
              <w:keepLines/>
              <w:widowControl w:val="0"/>
              <w:spacing w:before="40" w:after="40"/>
              <w:ind w:left="41" w:right="117"/>
              <w:jc w:val="center"/>
              <w:rPr>
                <w:rFonts w:ascii="Arial Narrow" w:hAnsi="Arial Narrow"/>
                <w:snapToGrid w:val="0"/>
                <w:sz w:val="20"/>
                <w:lang w:eastAsia="en-US"/>
              </w:rPr>
            </w:pPr>
            <w:r w:rsidRPr="000E0BFD">
              <w:rPr>
                <w:rFonts w:ascii="Arial Narrow" w:hAnsi="Arial Narrow"/>
                <w:snapToGrid w:val="0"/>
                <w:sz w:val="20"/>
                <w:lang w:eastAsia="en-US"/>
              </w:rPr>
              <w:t>7.42</w:t>
            </w:r>
          </w:p>
        </w:tc>
        <w:tc>
          <w:tcPr>
            <w:tcW w:w="643" w:type="pct"/>
            <w:tcBorders>
              <w:bottom w:val="single" w:sz="4" w:space="0" w:color="auto"/>
            </w:tcBorders>
          </w:tcPr>
          <w:p w14:paraId="5BB0FC02" w14:textId="77777777" w:rsidR="00E93186" w:rsidRPr="000E0BFD" w:rsidRDefault="00E93186" w:rsidP="00E93186">
            <w:pPr>
              <w:keepNext/>
              <w:keepLines/>
              <w:widowControl w:val="0"/>
              <w:spacing w:before="40" w:after="40"/>
              <w:ind w:left="41" w:right="117"/>
              <w:jc w:val="center"/>
              <w:rPr>
                <w:rFonts w:ascii="Arial Narrow" w:hAnsi="Arial Narrow"/>
                <w:snapToGrid w:val="0"/>
                <w:sz w:val="20"/>
                <w:lang w:eastAsia="en-US"/>
              </w:rPr>
            </w:pPr>
            <w:r w:rsidRPr="000E0BFD">
              <w:rPr>
                <w:rFonts w:ascii="Arial Narrow" w:hAnsi="Arial Narrow"/>
                <w:snapToGrid w:val="0"/>
                <w:sz w:val="20"/>
                <w:lang w:eastAsia="en-US"/>
              </w:rPr>
              <w:t>-0.05 [-0.10, 0.00]; p=0.07</w:t>
            </w:r>
          </w:p>
        </w:tc>
        <w:tc>
          <w:tcPr>
            <w:tcW w:w="595" w:type="pct"/>
            <w:tcBorders>
              <w:bottom w:val="single" w:sz="4" w:space="0" w:color="auto"/>
            </w:tcBorders>
            <w:shd w:val="clear" w:color="auto" w:fill="auto"/>
          </w:tcPr>
          <w:p w14:paraId="2FC0B065" w14:textId="77777777" w:rsidR="00E93186" w:rsidRPr="000E0BFD" w:rsidRDefault="00E93186" w:rsidP="00E93186">
            <w:pPr>
              <w:keepNext/>
              <w:keepLines/>
              <w:widowControl w:val="0"/>
              <w:spacing w:before="40" w:after="40"/>
              <w:ind w:left="41" w:right="117"/>
              <w:jc w:val="center"/>
              <w:rPr>
                <w:rFonts w:ascii="Arial Narrow" w:hAnsi="Arial Narrow"/>
                <w:snapToGrid w:val="0"/>
                <w:sz w:val="20"/>
                <w:lang w:eastAsia="en-US"/>
              </w:rPr>
            </w:pPr>
            <w:r w:rsidRPr="000E0BFD">
              <w:rPr>
                <w:rFonts w:ascii="Arial Narrow" w:hAnsi="Arial Narrow"/>
                <w:snapToGrid w:val="0"/>
                <w:sz w:val="20"/>
                <w:lang w:eastAsia="en-US"/>
              </w:rPr>
              <w:t>0.53 [0.26–1.06]; NR</w:t>
            </w:r>
          </w:p>
        </w:tc>
      </w:tr>
    </w:tbl>
    <w:p w14:paraId="7BB97D0F" w14:textId="77777777" w:rsidR="00E93186" w:rsidRDefault="00E93186" w:rsidP="008275A0">
      <w:pPr>
        <w:pStyle w:val="Tablenotes"/>
      </w:pPr>
      <w:r w:rsidRPr="000E0BFD">
        <w:t>Source: Table 3</w:t>
      </w:r>
      <w:r>
        <w:t>8</w:t>
      </w:r>
      <w:r w:rsidRPr="000E0BFD">
        <w:t xml:space="preserve">, </w:t>
      </w:r>
      <w:r>
        <w:t>p63 of the commentary</w:t>
      </w:r>
    </w:p>
    <w:p w14:paraId="6A4FEA8D" w14:textId="3BDF2C76" w:rsidR="00E93186" w:rsidRDefault="00E93186" w:rsidP="008275A0">
      <w:pPr>
        <w:pStyle w:val="Tablenotes"/>
      </w:pPr>
      <w:r>
        <w:t xml:space="preserve">Abbreviations: </w:t>
      </w:r>
      <w:r w:rsidRPr="000E0BFD">
        <w:t>CI</w:t>
      </w:r>
      <w:r>
        <w:t xml:space="preserve"> =</w:t>
      </w:r>
      <w:r w:rsidRPr="000E0BFD">
        <w:t xml:space="preserve"> confidence interval; RD</w:t>
      </w:r>
      <w:r>
        <w:t xml:space="preserve"> =</w:t>
      </w:r>
      <w:r w:rsidRPr="000E0BFD">
        <w:t xml:space="preserve"> risk difference; sHR</w:t>
      </w:r>
      <w:r>
        <w:t xml:space="preserve"> =</w:t>
      </w:r>
      <w:r w:rsidRPr="000E0BFD">
        <w:t xml:space="preserve"> subdistribution Hazard Ratio.</w:t>
      </w:r>
    </w:p>
    <w:p w14:paraId="11DC2CF6" w14:textId="18B5CA41" w:rsidR="00E93186" w:rsidRDefault="00E93186" w:rsidP="00E93186">
      <w:pPr>
        <w:spacing w:after="240"/>
      </w:pPr>
      <w:r w:rsidRPr="003917B9">
        <w:t>The</w:t>
      </w:r>
      <w:r>
        <w:t xml:space="preserve"> ADAR</w:t>
      </w:r>
      <w:r w:rsidRPr="003917B9">
        <w:t xml:space="preserve"> </w:t>
      </w:r>
      <w:r>
        <w:t xml:space="preserve">claimed the </w:t>
      </w:r>
      <w:r w:rsidRPr="003917B9">
        <w:t>resul</w:t>
      </w:r>
      <w:r>
        <w:t>ts from the ITC of LAAC versus D</w:t>
      </w:r>
      <w:r w:rsidRPr="003917B9">
        <w:t>OACs, via warfarin support</w:t>
      </w:r>
      <w:r>
        <w:t>ed the</w:t>
      </w:r>
      <w:r w:rsidRPr="003917B9">
        <w:t xml:space="preserve"> claim of superior safety in favour of LAAC. The</w:t>
      </w:r>
      <w:r>
        <w:t xml:space="preserve"> ADAR</w:t>
      </w:r>
      <w:r w:rsidRPr="003917B9">
        <w:t xml:space="preserve"> </w:t>
      </w:r>
      <w:r>
        <w:t xml:space="preserve">claimed the </w:t>
      </w:r>
      <w:r w:rsidRPr="003917B9">
        <w:t>results demonstrated statistically significant differences</w:t>
      </w:r>
      <w:r>
        <w:t xml:space="preserve"> in favour of LAAC relative to D</w:t>
      </w:r>
      <w:r w:rsidRPr="003917B9">
        <w:t xml:space="preserve">OAC with respect to major bleeding and major GI bleeding, when considering bleeding events occurring </w:t>
      </w:r>
      <w:r w:rsidRPr="003917B9">
        <w:lastRenderedPageBreak/>
        <w:t xml:space="preserve">&gt; 7 days after the LAAC procedure. </w:t>
      </w:r>
      <w:r>
        <w:t>The ADAR also noted the</w:t>
      </w:r>
      <w:r w:rsidRPr="003917B9">
        <w:t xml:space="preserve"> treatment effect observed in favour of LAAC was similar in t</w:t>
      </w:r>
      <w:r>
        <w:t>he direct (0.52) and ITC (0.54)</w:t>
      </w:r>
      <w:r w:rsidRPr="003917B9">
        <w:t>.</w:t>
      </w:r>
    </w:p>
    <w:p w14:paraId="3C92FB88" w14:textId="334F042D" w:rsidR="00E93186" w:rsidRPr="003917B9" w:rsidRDefault="00E93186" w:rsidP="00E93186">
      <w:pPr>
        <w:spacing w:after="240"/>
      </w:pPr>
      <w:r w:rsidRPr="00261D4F">
        <w:t xml:space="preserve">The commentary noted </w:t>
      </w:r>
      <w:r>
        <w:t>uncertainty with</w:t>
      </w:r>
      <w:r w:rsidRPr="00261D4F">
        <w:t xml:space="preserve"> only</w:t>
      </w:r>
      <w:r>
        <w:t xml:space="preserve"> considering</w:t>
      </w:r>
      <w:r w:rsidRPr="00261D4F">
        <w:t xml:space="preserve"> major bleeding after the procedure </w:t>
      </w:r>
      <w:r>
        <w:t>and noted that</w:t>
      </w:r>
      <w:r w:rsidRPr="00261D4F">
        <w:t xml:space="preserve"> if bleeding events related to the procedure and other pro</w:t>
      </w:r>
      <w:r>
        <w:t>cedure-related complications we</w:t>
      </w:r>
      <w:r w:rsidRPr="00261D4F">
        <w:t xml:space="preserve">re considered, </w:t>
      </w:r>
      <w:r>
        <w:t xml:space="preserve">the </w:t>
      </w:r>
      <w:r w:rsidRPr="00261D4F">
        <w:t>safety of LAAC relative to DOAC may be considered non-inferior based on the current evidence base. Due to differences in the risks associated with LAAC and DOAC</w:t>
      </w:r>
      <w:r>
        <w:t>, the commentary considered</w:t>
      </w:r>
      <w:r w:rsidRPr="00261D4F">
        <w:t xml:space="preserve"> it challenging to draw safety conclusions. </w:t>
      </w:r>
    </w:p>
    <w:p w14:paraId="6DC8617A" w14:textId="77777777" w:rsidR="00E93186" w:rsidRPr="0057389D" w:rsidRDefault="00E93186" w:rsidP="00E93186">
      <w:pPr>
        <w:pStyle w:val="Heading4"/>
      </w:pPr>
      <w:r w:rsidRPr="0057389D">
        <w:t>LAAC versus warfarin</w:t>
      </w:r>
    </w:p>
    <w:p w14:paraId="18731635" w14:textId="71705F66" w:rsidR="00E93186" w:rsidRDefault="00E93186" w:rsidP="00E93186">
      <w:pPr>
        <w:spacing w:after="240"/>
      </w:pPr>
      <w:r w:rsidRPr="003917B9">
        <w:t xml:space="preserve">With respect to safety, </w:t>
      </w:r>
      <w:r w:rsidRPr="0004601C">
        <w:t xml:space="preserve">there was no statistically significant difference in the proportions of subjects experiencing a major bleeding event in subjects treated with LAAC compared to warfarin (OR [95% CI]: 0.87 [0.60, 1.27]; p=0.47). There was no significant heterogeneity in this analysis. </w:t>
      </w:r>
      <w:r>
        <w:t xml:space="preserve">However, in the post-procedure analysis (excluding events occurring within the first 7 days of the procedure), the ADAR reported that LAAC was associated with significantly fewer bleeding events relative to warfarin (OR [95% CI]: 0.46 [0.30, 0.70]; p=0.0003). A pooled analysis of PROTECT-AF and PREVAIL of bleeding outcomes including individual patient level data indicated that the reduced risk of gastrointestinal bleeding in the LAAC group relative to those treated with warfarin was the main driver of the difference in post-procedural major bleeding events. </w:t>
      </w:r>
    </w:p>
    <w:p w14:paraId="19D660DA" w14:textId="01D4C6AB" w:rsidR="00E93186" w:rsidRPr="003917B9" w:rsidRDefault="00E93186" w:rsidP="00E93186">
      <w:pPr>
        <w:spacing w:after="240"/>
      </w:pPr>
      <w:r>
        <w:t>T</w:t>
      </w:r>
      <w:r w:rsidRPr="003917B9">
        <w:t xml:space="preserve">he </w:t>
      </w:r>
      <w:r>
        <w:t xml:space="preserve">ADAR’s </w:t>
      </w:r>
      <w:r w:rsidRPr="003917B9">
        <w:t xml:space="preserve">meta-analysis </w:t>
      </w:r>
      <w:r>
        <w:t>indicated</w:t>
      </w:r>
      <w:r w:rsidRPr="003917B9">
        <w:t xml:space="preserve"> LAAC to be superior to warfarin on the basis of a statistically significant reduction in major bleeding events and major </w:t>
      </w:r>
      <w:r>
        <w:t>GI bleeding events relative to D</w:t>
      </w:r>
      <w:r w:rsidRPr="003917B9">
        <w:t xml:space="preserve">OAC, when considering events occurring &gt; 7 days post procedure (6.6% vs 13.1%; and 4.1% vs 7.9% respectively). </w:t>
      </w:r>
      <w:r>
        <w:t xml:space="preserve">On this basis, the ADAR suggested that </w:t>
      </w:r>
      <w:r w:rsidRPr="003917B9">
        <w:t>in the longer-term, LAAC is the superior treatment option relative to warfarin, on the basis of preventing bleeding events.</w:t>
      </w:r>
    </w:p>
    <w:p w14:paraId="600C1457" w14:textId="6482B318" w:rsidR="00DB5833" w:rsidRPr="00E93186" w:rsidRDefault="00E93186" w:rsidP="00E93186">
      <w:pPr>
        <w:spacing w:after="240"/>
      </w:pPr>
      <w:r>
        <w:t xml:space="preserve">The commentary considered there to be </w:t>
      </w:r>
      <w:r w:rsidRPr="000E0BFD">
        <w:t xml:space="preserve">some uncertainty around the superior safety claim. </w:t>
      </w:r>
      <w:r>
        <w:t>The commentary noted that t</w:t>
      </w:r>
      <w:r w:rsidRPr="000E0BFD">
        <w:t xml:space="preserve">here is low quality evidence showing that LAAC is superior to warfarin on the basis of a statistically significant reduction in major bleeding events and major GI bleeding events. </w:t>
      </w:r>
      <w:r>
        <w:t>However, t</w:t>
      </w:r>
      <w:r w:rsidRPr="000E0BFD">
        <w:t>he evidence for</w:t>
      </w:r>
      <w:r>
        <w:t xml:space="preserve"> the conclusion of superior safety of LAAC versus warfarin was</w:t>
      </w:r>
      <w:r w:rsidRPr="000E0BFD">
        <w:t xml:space="preserve"> downgraded </w:t>
      </w:r>
      <w:r>
        <w:t xml:space="preserve">due </w:t>
      </w:r>
      <w:r w:rsidRPr="000E0BFD">
        <w:t>to low certainty</w:t>
      </w:r>
      <w:r>
        <w:t>,</w:t>
      </w:r>
      <w:r w:rsidRPr="000E0BFD">
        <w:t xml:space="preserve"> predominantly due to the populations in the evidence base not reflecting patients with re</w:t>
      </w:r>
      <w:r>
        <w:t xml:space="preserve">lative contraindication to </w:t>
      </w:r>
      <w:r w:rsidRPr="00745107">
        <w:t>anticoagulation</w:t>
      </w:r>
      <w:r>
        <w:t>.</w:t>
      </w:r>
    </w:p>
    <w:p w14:paraId="4A752772" w14:textId="77777777" w:rsidR="00BC1364" w:rsidRPr="00F715D1" w:rsidRDefault="00BC1364" w:rsidP="00F715D1">
      <w:pPr>
        <w:pStyle w:val="Heading1"/>
      </w:pPr>
      <w:r w:rsidRPr="00F715D1">
        <w:t>Comparative effectiveness</w:t>
      </w:r>
    </w:p>
    <w:p w14:paraId="7DBE599D" w14:textId="77777777" w:rsidR="00E93186" w:rsidRDefault="00E93186" w:rsidP="00E93186">
      <w:pPr>
        <w:pStyle w:val="Heading3"/>
      </w:pPr>
      <w:r>
        <w:t>Population 1</w:t>
      </w:r>
    </w:p>
    <w:p w14:paraId="0B65CF28" w14:textId="1F90F899" w:rsidR="00E93186" w:rsidRPr="000E0BFD" w:rsidRDefault="00E93186" w:rsidP="00E93186">
      <w:pPr>
        <w:spacing w:after="240"/>
      </w:pPr>
      <w:r>
        <w:t>Unchanged, as per MSAC 1374.1 PSD.</w:t>
      </w:r>
    </w:p>
    <w:p w14:paraId="5BC8E707" w14:textId="77777777" w:rsidR="00E93186" w:rsidRDefault="00E93186" w:rsidP="00E93186">
      <w:pPr>
        <w:pStyle w:val="Heading3"/>
      </w:pPr>
      <w:r>
        <w:t>Population 2</w:t>
      </w:r>
    </w:p>
    <w:p w14:paraId="4553EBE8" w14:textId="77777777" w:rsidR="00E93186" w:rsidRPr="0057389D" w:rsidRDefault="00E93186" w:rsidP="00E93186">
      <w:pPr>
        <w:pStyle w:val="Heading3"/>
        <w:spacing w:after="240"/>
      </w:pPr>
      <w:r>
        <w:t>LAAC versus D</w:t>
      </w:r>
      <w:r w:rsidRPr="0057389D">
        <w:t>OAC</w:t>
      </w:r>
    </w:p>
    <w:p w14:paraId="45B5BA1D" w14:textId="52E903DB" w:rsidR="00E93186" w:rsidRPr="003917B9" w:rsidRDefault="00E93186" w:rsidP="00E93186">
      <w:pPr>
        <w:spacing w:after="240"/>
      </w:pPr>
      <w:r>
        <w:t>In terms of all stroke, i</w:t>
      </w:r>
      <w:r w:rsidRPr="00A32CBD">
        <w:t>n the PRAGUE-17 trial, eight (4.0%) and seven (3.5%) LAAC and DOAC patients experienced a stroke during the follow up of the study (OR: 1.15; 95% CI: 0.41, 3.23; p=0.79), none of which were procedure related, supporting non-inferiority.</w:t>
      </w:r>
      <w:r w:rsidRPr="003917B9">
        <w:t xml:space="preserve"> </w:t>
      </w:r>
      <w:r>
        <w:t>The</w:t>
      </w:r>
      <w:r w:rsidRPr="003917B9">
        <w:t xml:space="preserve"> results from the ITC of LAAC versus </w:t>
      </w:r>
      <w:r>
        <w:t>DOAC</w:t>
      </w:r>
      <w:r w:rsidRPr="003917B9">
        <w:t xml:space="preserve">s, via warfarin </w:t>
      </w:r>
      <w:r>
        <w:t>indicated no difference in</w:t>
      </w:r>
      <w:r w:rsidRPr="003917B9">
        <w:t xml:space="preserve"> prevention of any stroke, when all events are considered with and without PREVAIL (OR: [95% CI]; 1.09 [0.48, 2.48]; and 0.78 [0.4, 1.5], respectively) and when considering post-procedure events only with and without PREVAIL (0.97 [0.33, 2.86]; and 0.59 [0.3, 1.17], respectively). </w:t>
      </w:r>
    </w:p>
    <w:p w14:paraId="2AAA7E55" w14:textId="6F4F944C" w:rsidR="00E93186" w:rsidRPr="003917B9" w:rsidRDefault="00E93186" w:rsidP="00E93186">
      <w:pPr>
        <w:spacing w:after="240"/>
      </w:pPr>
      <w:r w:rsidRPr="003917B9">
        <w:lastRenderedPageBreak/>
        <w:t xml:space="preserve">With respect to ischaemic stroke, the results from the ITC </w:t>
      </w:r>
      <w:r>
        <w:t>indicated</w:t>
      </w:r>
      <w:r w:rsidRPr="003917B9">
        <w:t xml:space="preserve"> no statistically significant differences</w:t>
      </w:r>
      <w:r>
        <w:t xml:space="preserve"> were observed between LAAC and DOAC patients, suggesting there are</w:t>
      </w:r>
      <w:r w:rsidRPr="003917B9">
        <w:t xml:space="preserve"> no differences between LAAC and </w:t>
      </w:r>
      <w:r>
        <w:t>DOAC</w:t>
      </w:r>
      <w:r w:rsidRPr="003917B9">
        <w:t xml:space="preserve"> with respect to long term risk of ischaemic stroke. </w:t>
      </w:r>
    </w:p>
    <w:p w14:paraId="1DBDD17F" w14:textId="519692ED" w:rsidR="00E93186" w:rsidRPr="003917B9" w:rsidRDefault="00E93186" w:rsidP="00E93186">
      <w:pPr>
        <w:spacing w:after="240"/>
      </w:pPr>
      <w:r>
        <w:t>In terms of haemorrhagic stroke, i</w:t>
      </w:r>
      <w:r w:rsidRPr="003917B9">
        <w:t>n the PRAGUE-17</w:t>
      </w:r>
      <w:r>
        <w:t xml:space="preserve"> trial</w:t>
      </w:r>
      <w:r w:rsidRPr="003917B9">
        <w:t xml:space="preserve">, a treatment benefit was observed in favour of LAAC with respect to haemorrhagic stroke, with LAAC associated with a 67% reduction in the odds of experiencing a haemorrhagic stroke compared with </w:t>
      </w:r>
      <w:r>
        <w:t>DOAC</w:t>
      </w:r>
      <w:r w:rsidRPr="003917B9">
        <w:t xml:space="preserve"> (OR</w:t>
      </w:r>
      <w:r>
        <w:t xml:space="preserve"> [95% CI]: 0.33 [0.01 to 8.19]). However,</w:t>
      </w:r>
      <w:r w:rsidRPr="003917B9">
        <w:t xml:space="preserve"> the number of events were few, making the results difficult to interpret. The ITC similarly demonstrated a protective benefit with respect to haemorrhagic stroke with LAAC relative to </w:t>
      </w:r>
      <w:r>
        <w:t>DOAC</w:t>
      </w:r>
      <w:r w:rsidRPr="003917B9">
        <w:t xml:space="preserve">, at a similar magnitude of effect. The analysis including only PROTECT-AF produced results that were borderline statistically significantly in favour of LAAC (OR: [95% CI]; 0.22 [0.05, 1.02]; p=0.05). When </w:t>
      </w:r>
      <w:r>
        <w:t xml:space="preserve">including </w:t>
      </w:r>
      <w:r w:rsidRPr="003917B9">
        <w:t xml:space="preserve">PREVAIL </w:t>
      </w:r>
      <w:r>
        <w:t>t</w:t>
      </w:r>
      <w:r w:rsidRPr="003917B9">
        <w:t>he confidence interval crossed one to a greater extent (OR: [95% CI]; 0.37 (0.11, 1.2</w:t>
      </w:r>
      <w:r>
        <w:t>7</w:t>
      </w:r>
      <w:r w:rsidRPr="003917B9">
        <w:t xml:space="preserve">); p=0.1). That is, LAAC is nominally superior to </w:t>
      </w:r>
      <w:r>
        <w:t>DOAC</w:t>
      </w:r>
      <w:r w:rsidRPr="003917B9">
        <w:t xml:space="preserve">s with respect to haemorrhagic stroke. </w:t>
      </w:r>
    </w:p>
    <w:p w14:paraId="19F3E77E" w14:textId="16FD5F94" w:rsidR="00E93186" w:rsidRDefault="00E93186" w:rsidP="00E93186">
      <w:pPr>
        <w:spacing w:after="240"/>
      </w:pPr>
      <w:r w:rsidRPr="003917B9">
        <w:t xml:space="preserve">In terms of </w:t>
      </w:r>
      <w:r>
        <w:t>cardiovascular (</w:t>
      </w:r>
      <w:r w:rsidRPr="003917B9">
        <w:t>CV</w:t>
      </w:r>
      <w:r>
        <w:t>)</w:t>
      </w:r>
      <w:r w:rsidRPr="003917B9">
        <w:t xml:space="preserve"> mortality, there was no statistically significant difference in rates between groups in the </w:t>
      </w:r>
      <w:r>
        <w:t xml:space="preserve">PRAGUE-17 </w:t>
      </w:r>
      <w:r w:rsidRPr="003917B9">
        <w:t>trial (</w:t>
      </w:r>
      <w:r w:rsidRPr="00E24CAE">
        <w:t xml:space="preserve">subdistribution hazard ratio </w:t>
      </w:r>
      <w:r>
        <w:t>[</w:t>
      </w:r>
      <w:r w:rsidRPr="003917B9">
        <w:t>sHR</w:t>
      </w:r>
      <w:r>
        <w:t>]</w:t>
      </w:r>
      <w:r w:rsidRPr="003917B9">
        <w:t xml:space="preserve">: 0.75; 95% CI:0.34, 1.62), with the treatment effect numerically in favour of LAAC. The results from the ITC showed that LAAC is statistically superior with respect to post-procedural </w:t>
      </w:r>
      <w:r>
        <w:t xml:space="preserve">CV </w:t>
      </w:r>
      <w:r w:rsidRPr="003917B9">
        <w:t>mortality when only PROTECT-AF is included (OR: [95% CI]; 0.46 [0.24, 0.88]; p= 0.0198)</w:t>
      </w:r>
      <w:r>
        <w:t xml:space="preserve">. </w:t>
      </w:r>
      <w:r w:rsidRPr="003917B9">
        <w:t xml:space="preserve">When </w:t>
      </w:r>
      <w:r>
        <w:t>both trials are included</w:t>
      </w:r>
      <w:r w:rsidRPr="003917B9">
        <w:t xml:space="preserve">, the upper bound of confidence interval marginally </w:t>
      </w:r>
      <w:r>
        <w:t>exceeds</w:t>
      </w:r>
      <w:r w:rsidRPr="003917B9">
        <w:t xml:space="preserve"> </w:t>
      </w:r>
      <w:r>
        <w:t>one (0.79 [0.56, 1.11; p=0.17]. As t</w:t>
      </w:r>
      <w:r w:rsidRPr="003917B9">
        <w:t xml:space="preserve">he magnitude of effect from the ITC (OR=0.46–0.79) and the </w:t>
      </w:r>
      <w:r>
        <w:t xml:space="preserve">PRAGUE-17 </w:t>
      </w:r>
      <w:r w:rsidRPr="003917B9">
        <w:t xml:space="preserve">study (OR=0.75) were similar, </w:t>
      </w:r>
      <w:r>
        <w:t>the ADAR claimed this suggested</w:t>
      </w:r>
      <w:r w:rsidRPr="003917B9">
        <w:t xml:space="preserve"> a treatment benefit in favour of LAAC with respect to CV death.</w:t>
      </w:r>
    </w:p>
    <w:p w14:paraId="70F54634" w14:textId="3F93CD94" w:rsidR="00E93186" w:rsidRDefault="00E93186" w:rsidP="00E93186">
      <w:pPr>
        <w:spacing w:after="240"/>
      </w:pPr>
      <w:r w:rsidRPr="006D59CF">
        <w:t>The commentary noted that there was no difference in all stroke, ischaemic stroke, all-cause mortality, and systemic</w:t>
      </w:r>
      <w:r>
        <w:t xml:space="preserve"> embolism between LAAC and DOAC as such </w:t>
      </w:r>
      <w:r w:rsidRPr="006D59CF">
        <w:t>the claim of non-inferior effectiveness may be reasonable.  Although the ADAR stated that there were some advantages of LA</w:t>
      </w:r>
      <w:r>
        <w:t>AC over D</w:t>
      </w:r>
      <w:r w:rsidRPr="006D59CF">
        <w:t>OAC with respect to haemorrhagic stroke and CV mortality, the commentary noted that this conclusion was drawn largely from the ITC. Although the ADAR suggested that PRAGUE-17 trial showed a treatment benefit with LAAC for reduction of haemorrhagic stroke, the commentary noted that as there was only a single haemorrhagic event across the two study arms (in the warfarin grou</w:t>
      </w:r>
      <w:r>
        <w:t xml:space="preserve">p) as such, </w:t>
      </w:r>
      <w:r w:rsidRPr="006D59CF">
        <w:t>no conclusions of treatment effectiveness can be made from this study.</w:t>
      </w:r>
    </w:p>
    <w:p w14:paraId="0ABFB2F8" w14:textId="76AE3AB2" w:rsidR="00D03146" w:rsidRPr="00D03146" w:rsidRDefault="00E93186" w:rsidP="00D03146">
      <w:pPr>
        <w:spacing w:after="240"/>
      </w:pPr>
      <w:r w:rsidRPr="003C203B">
        <w:t xml:space="preserve">The balance of clinical benefits and harms of </w:t>
      </w:r>
      <w:r>
        <w:t>LAAC</w:t>
      </w:r>
      <w:r w:rsidRPr="003C203B">
        <w:t xml:space="preserve"> compared with </w:t>
      </w:r>
      <w:r>
        <w:t xml:space="preserve">DOACs, (direct) and via warfarin ITC are presented in </w:t>
      </w:r>
      <w:r>
        <w:fldChar w:fldCharType="begin"/>
      </w:r>
      <w:r>
        <w:instrText xml:space="preserve"> REF _Ref58595801 \h </w:instrText>
      </w:r>
      <w:r>
        <w:fldChar w:fldCharType="separate"/>
      </w:r>
      <w:r w:rsidRPr="00713DAD">
        <w:t>Table</w:t>
      </w:r>
      <w:r w:rsidRPr="000E0BFD">
        <w:t xml:space="preserve"> </w:t>
      </w:r>
      <w:r>
        <w:rPr>
          <w:noProof/>
        </w:rPr>
        <w:t>8</w:t>
      </w:r>
      <w:r>
        <w:fldChar w:fldCharType="end"/>
      </w:r>
      <w:r>
        <w:t xml:space="preserve"> and </w:t>
      </w:r>
      <w:r>
        <w:fldChar w:fldCharType="begin"/>
      </w:r>
      <w:r>
        <w:instrText xml:space="preserve"> REF _Ref58596537 \h </w:instrText>
      </w:r>
      <w:r>
        <w:fldChar w:fldCharType="separate"/>
      </w:r>
      <w:r w:rsidRPr="000E0BFD">
        <w:t xml:space="preserve">Table </w:t>
      </w:r>
      <w:r>
        <w:rPr>
          <w:noProof/>
        </w:rPr>
        <w:t>9</w:t>
      </w:r>
      <w:r>
        <w:fldChar w:fldCharType="end"/>
      </w:r>
      <w:r w:rsidRPr="003C203B">
        <w:t xml:space="preserve"> </w:t>
      </w:r>
      <w:r>
        <w:t>respectively</w:t>
      </w:r>
      <w:r w:rsidRPr="00545D24">
        <w:t xml:space="preserve">. </w:t>
      </w:r>
      <w:bookmarkStart w:id="17" w:name="_Ref58595801"/>
      <w:r w:rsidR="00D03146">
        <w:br w:type="page"/>
      </w:r>
    </w:p>
    <w:p w14:paraId="73D22D6F" w14:textId="7DA70033" w:rsidR="00E93186" w:rsidRPr="000E0BFD" w:rsidRDefault="00E93186" w:rsidP="00E93186">
      <w:pPr>
        <w:pStyle w:val="Caption"/>
      </w:pPr>
      <w:r w:rsidRPr="00713DAD">
        <w:lastRenderedPageBreak/>
        <w:t>Table</w:t>
      </w:r>
      <w:r w:rsidRPr="000E0BFD">
        <w:t xml:space="preserve"> </w:t>
      </w:r>
      <w:r w:rsidRPr="000E0BFD">
        <w:fldChar w:fldCharType="begin"/>
      </w:r>
      <w:r w:rsidRPr="000E0BFD">
        <w:instrText>SEQ Table \* ARABIC</w:instrText>
      </w:r>
      <w:r w:rsidRPr="000E0BFD">
        <w:fldChar w:fldCharType="separate"/>
      </w:r>
      <w:r>
        <w:rPr>
          <w:noProof/>
        </w:rPr>
        <w:t>8</w:t>
      </w:r>
      <w:r w:rsidRPr="000E0BFD">
        <w:fldChar w:fldCharType="end"/>
      </w:r>
      <w:bookmarkEnd w:id="17"/>
      <w:r>
        <w:tab/>
      </w:r>
      <w:r w:rsidRPr="000E0BFD">
        <w:rPr>
          <w:snapToGrid w:val="0"/>
        </w:rPr>
        <w:t xml:space="preserve">Balance of clinical benefits and harms of LAAC, relative to </w:t>
      </w:r>
      <w:r>
        <w:rPr>
          <w:snapToGrid w:val="0"/>
        </w:rPr>
        <w:t>DOAC</w:t>
      </w:r>
      <w:r w:rsidRPr="000E0BFD">
        <w:rPr>
          <w:snapToGrid w:val="0"/>
        </w:rPr>
        <w:t xml:space="preserve">, and as measured by the </w:t>
      </w:r>
      <w:r w:rsidRPr="000E0BFD">
        <w:rPr>
          <w:snapToGrid w:val="0"/>
          <w:u w:val="single"/>
        </w:rPr>
        <w:t>critical</w:t>
      </w:r>
      <w:r w:rsidRPr="000E0BFD">
        <w:rPr>
          <w:snapToGrid w:val="0"/>
        </w:rPr>
        <w:t xml:space="preserve"> patient-relevant outcomes in the key studies: PRAGUE-17</w:t>
      </w:r>
    </w:p>
    <w:tbl>
      <w:tblPr>
        <w:tblStyle w:val="OPTUMTableNormal"/>
        <w:tblW w:w="9191" w:type="dxa"/>
        <w:tblLook w:val="04A0" w:firstRow="1" w:lastRow="0" w:firstColumn="1" w:lastColumn="0" w:noHBand="0" w:noVBand="1"/>
        <w:tblDescription w:val="Summary of findings table"/>
      </w:tblPr>
      <w:tblGrid>
        <w:gridCol w:w="1270"/>
        <w:gridCol w:w="1155"/>
        <w:gridCol w:w="1009"/>
        <w:gridCol w:w="1239"/>
        <w:gridCol w:w="990"/>
        <w:gridCol w:w="1129"/>
        <w:gridCol w:w="2399"/>
      </w:tblGrid>
      <w:tr w:rsidR="00E93186" w:rsidRPr="00236412" w14:paraId="3E0C0EFE" w14:textId="77777777" w:rsidTr="00511ED5">
        <w:trPr>
          <w:cnfStyle w:val="100000000000" w:firstRow="1" w:lastRow="0" w:firstColumn="0" w:lastColumn="0" w:oddVBand="0" w:evenVBand="0" w:oddHBand="0" w:evenHBand="0" w:firstRowFirstColumn="0" w:firstRowLastColumn="0" w:lastRowFirstColumn="0" w:lastRowLastColumn="0"/>
          <w:tblHeader/>
        </w:trPr>
        <w:tc>
          <w:tcPr>
            <w:tcW w:w="1270" w:type="dxa"/>
          </w:tcPr>
          <w:p w14:paraId="61260112" w14:textId="77777777" w:rsidR="00E93186" w:rsidRPr="00236412" w:rsidRDefault="00E93186" w:rsidP="00E93186">
            <w:pPr>
              <w:keepNext/>
              <w:keepLines/>
              <w:widowControl w:val="0"/>
              <w:spacing w:after="40"/>
              <w:rPr>
                <w:rFonts w:ascii="Arial Narrow" w:hAnsi="Arial Narrow"/>
                <w:b/>
                <w:sz w:val="20"/>
              </w:rPr>
            </w:pPr>
            <w:r w:rsidRPr="00236412">
              <w:rPr>
                <w:rFonts w:ascii="Arial Narrow" w:hAnsi="Arial Narrow"/>
                <w:b/>
                <w:sz w:val="20"/>
              </w:rPr>
              <w:t>Outcomes (units)</w:t>
            </w:r>
          </w:p>
          <w:p w14:paraId="0A03F239" w14:textId="77777777" w:rsidR="00E93186" w:rsidRPr="00236412" w:rsidRDefault="00E93186" w:rsidP="00E93186">
            <w:pPr>
              <w:keepNext/>
              <w:keepLines/>
              <w:widowControl w:val="0"/>
              <w:spacing w:after="40"/>
              <w:rPr>
                <w:rFonts w:ascii="Arial Narrow" w:hAnsi="Arial Narrow"/>
                <w:b/>
                <w:sz w:val="20"/>
              </w:rPr>
            </w:pPr>
            <w:r w:rsidRPr="00236412">
              <w:rPr>
                <w:rFonts w:ascii="Arial Narrow" w:hAnsi="Arial Narrow"/>
                <w:b/>
                <w:sz w:val="20"/>
              </w:rPr>
              <w:t>Follow-up</w:t>
            </w:r>
          </w:p>
        </w:tc>
        <w:tc>
          <w:tcPr>
            <w:tcW w:w="1155" w:type="dxa"/>
          </w:tcPr>
          <w:p w14:paraId="547030A6" w14:textId="77777777" w:rsidR="00E93186" w:rsidRPr="00236412" w:rsidRDefault="00E93186" w:rsidP="00E93186">
            <w:pPr>
              <w:keepNext/>
              <w:keepLines/>
              <w:widowControl w:val="0"/>
              <w:spacing w:after="40"/>
              <w:rPr>
                <w:rFonts w:ascii="Arial Narrow" w:hAnsi="Arial Narrow"/>
                <w:b/>
                <w:sz w:val="20"/>
              </w:rPr>
            </w:pPr>
            <w:r w:rsidRPr="00236412">
              <w:rPr>
                <w:rFonts w:ascii="Arial Narrow" w:hAnsi="Arial Narrow"/>
                <w:b/>
                <w:sz w:val="20"/>
              </w:rPr>
              <w:t>Participants (studies)</w:t>
            </w:r>
          </w:p>
        </w:tc>
        <w:tc>
          <w:tcPr>
            <w:tcW w:w="1009" w:type="dxa"/>
          </w:tcPr>
          <w:p w14:paraId="6F073621" w14:textId="77777777" w:rsidR="00E93186" w:rsidRPr="00236412" w:rsidRDefault="00E93186" w:rsidP="00E93186">
            <w:pPr>
              <w:keepNext/>
              <w:keepLines/>
              <w:widowControl w:val="0"/>
              <w:spacing w:after="40"/>
              <w:rPr>
                <w:rFonts w:ascii="Arial Narrow" w:hAnsi="Arial Narrow"/>
                <w:b/>
                <w:sz w:val="20"/>
              </w:rPr>
            </w:pPr>
            <w:r w:rsidRPr="00236412">
              <w:rPr>
                <w:rFonts w:ascii="Arial Narrow" w:hAnsi="Arial Narrow"/>
                <w:b/>
                <w:sz w:val="20"/>
              </w:rPr>
              <w:t>Quality of evidence (GRADE)a</w:t>
            </w:r>
          </w:p>
        </w:tc>
        <w:tc>
          <w:tcPr>
            <w:tcW w:w="1239" w:type="dxa"/>
          </w:tcPr>
          <w:p w14:paraId="02B48A6D" w14:textId="77777777" w:rsidR="00E93186" w:rsidRPr="00236412" w:rsidRDefault="00E93186" w:rsidP="00E93186">
            <w:pPr>
              <w:keepNext/>
              <w:keepLines/>
              <w:widowControl w:val="0"/>
              <w:spacing w:after="40"/>
              <w:rPr>
                <w:rFonts w:ascii="Arial Narrow" w:hAnsi="Arial Narrow"/>
                <w:b/>
                <w:sz w:val="20"/>
              </w:rPr>
            </w:pPr>
            <w:r w:rsidRPr="00236412">
              <w:rPr>
                <w:rFonts w:ascii="Arial Narrow" w:hAnsi="Arial Narrow"/>
                <w:b/>
                <w:sz w:val="20"/>
              </w:rPr>
              <w:t>OR (95%CI)</w:t>
            </w:r>
          </w:p>
        </w:tc>
        <w:tc>
          <w:tcPr>
            <w:tcW w:w="990" w:type="dxa"/>
          </w:tcPr>
          <w:p w14:paraId="632F2394" w14:textId="77777777" w:rsidR="00E93186" w:rsidRPr="00236412" w:rsidRDefault="00E93186" w:rsidP="00E93186">
            <w:pPr>
              <w:keepNext/>
              <w:keepLines/>
              <w:widowControl w:val="0"/>
              <w:spacing w:after="40"/>
              <w:rPr>
                <w:rFonts w:ascii="Arial Narrow" w:hAnsi="Arial Narrow"/>
                <w:b/>
                <w:sz w:val="20"/>
              </w:rPr>
            </w:pPr>
            <w:r w:rsidRPr="00236412">
              <w:rPr>
                <w:rFonts w:ascii="Arial Narrow" w:hAnsi="Arial Narrow"/>
                <w:b/>
                <w:sz w:val="20"/>
              </w:rPr>
              <w:t xml:space="preserve">Risk with </w:t>
            </w:r>
            <w:r>
              <w:rPr>
                <w:rFonts w:ascii="Arial Narrow" w:hAnsi="Arial Narrow"/>
                <w:b/>
                <w:sz w:val="20"/>
              </w:rPr>
              <w:t>DOAC</w:t>
            </w:r>
          </w:p>
        </w:tc>
        <w:tc>
          <w:tcPr>
            <w:tcW w:w="1129" w:type="dxa"/>
          </w:tcPr>
          <w:p w14:paraId="2274D683" w14:textId="77777777" w:rsidR="00E93186" w:rsidRPr="00236412" w:rsidRDefault="00E93186" w:rsidP="00E93186">
            <w:pPr>
              <w:keepNext/>
              <w:keepLines/>
              <w:widowControl w:val="0"/>
              <w:spacing w:after="40"/>
              <w:rPr>
                <w:rFonts w:ascii="Arial Narrow" w:hAnsi="Arial Narrow"/>
                <w:b/>
                <w:sz w:val="20"/>
              </w:rPr>
            </w:pPr>
            <w:r w:rsidRPr="00236412">
              <w:rPr>
                <w:rFonts w:ascii="Arial Narrow" w:hAnsi="Arial Narrow"/>
                <w:b/>
                <w:sz w:val="20"/>
              </w:rPr>
              <w:t>Risk with LAAC</w:t>
            </w:r>
          </w:p>
        </w:tc>
        <w:tc>
          <w:tcPr>
            <w:tcW w:w="2399" w:type="dxa"/>
          </w:tcPr>
          <w:p w14:paraId="77561FBA" w14:textId="77777777" w:rsidR="00E93186" w:rsidRPr="00236412" w:rsidRDefault="00E93186" w:rsidP="00E93186">
            <w:pPr>
              <w:keepNext/>
              <w:keepLines/>
              <w:widowControl w:val="0"/>
              <w:spacing w:after="40"/>
              <w:rPr>
                <w:rFonts w:ascii="Arial Narrow" w:hAnsi="Arial Narrow"/>
                <w:b/>
                <w:sz w:val="20"/>
              </w:rPr>
            </w:pPr>
            <w:r w:rsidRPr="00236412">
              <w:rPr>
                <w:rFonts w:ascii="Arial Narrow" w:hAnsi="Arial Narrow"/>
                <w:b/>
                <w:sz w:val="20"/>
              </w:rPr>
              <w:t>Comments</w:t>
            </w:r>
          </w:p>
        </w:tc>
      </w:tr>
      <w:tr w:rsidR="00E93186" w:rsidRPr="00236412" w14:paraId="64CA8F08" w14:textId="77777777" w:rsidTr="00511ED5">
        <w:trPr>
          <w:trHeight w:val="25"/>
        </w:trPr>
        <w:tc>
          <w:tcPr>
            <w:tcW w:w="1270" w:type="dxa"/>
          </w:tcPr>
          <w:p w14:paraId="6FA7F9D1" w14:textId="77777777" w:rsidR="00E93186" w:rsidRPr="00236412" w:rsidRDefault="00E93186" w:rsidP="00E93186">
            <w:pPr>
              <w:pStyle w:val="Tabletext"/>
              <w:rPr>
                <w:rFonts w:cs="Arial"/>
              </w:rPr>
            </w:pPr>
            <w:r w:rsidRPr="00236412">
              <w:rPr>
                <w:rStyle w:val="label"/>
              </w:rPr>
              <w:t xml:space="preserve">All stroke </w:t>
            </w:r>
          </w:p>
        </w:tc>
        <w:tc>
          <w:tcPr>
            <w:tcW w:w="1155" w:type="dxa"/>
          </w:tcPr>
          <w:p w14:paraId="1A27B513" w14:textId="77777777" w:rsidR="00E93186" w:rsidRPr="00236412" w:rsidRDefault="00E93186" w:rsidP="00E93186">
            <w:pPr>
              <w:pStyle w:val="Tabletext"/>
              <w:rPr>
                <w:rFonts w:cs="Arial"/>
              </w:rPr>
            </w:pPr>
            <w:r w:rsidRPr="00236412">
              <w:rPr>
                <w:rFonts w:cs="Arial"/>
              </w:rPr>
              <w:t>402</w:t>
            </w:r>
          </w:p>
          <w:p w14:paraId="005A4DFB" w14:textId="77777777" w:rsidR="00E93186" w:rsidRPr="00236412" w:rsidRDefault="00E93186" w:rsidP="00E93186">
            <w:pPr>
              <w:pStyle w:val="Tabletext"/>
              <w:rPr>
                <w:rFonts w:cs="Arial"/>
              </w:rPr>
            </w:pPr>
            <w:r w:rsidRPr="00236412">
              <w:rPr>
                <w:rFonts w:cs="Arial"/>
              </w:rPr>
              <w:t>(1 RCT)</w:t>
            </w:r>
          </w:p>
        </w:tc>
        <w:tc>
          <w:tcPr>
            <w:tcW w:w="1009" w:type="dxa"/>
          </w:tcPr>
          <w:p w14:paraId="236E52E1" w14:textId="77777777" w:rsidR="00E93186" w:rsidRPr="00236412" w:rsidRDefault="00E93186" w:rsidP="00E93186">
            <w:pPr>
              <w:keepNext/>
              <w:spacing w:after="40"/>
              <w:rPr>
                <w:rFonts w:ascii="Arial Narrow" w:hAnsi="Arial Narrow" w:cs="Arial"/>
                <w:sz w:val="20"/>
              </w:rPr>
            </w:pPr>
            <w:r w:rsidRPr="00236412">
              <w:rPr>
                <w:rFonts w:ascii="Cambria Math" w:hAnsi="Cambria Math" w:cs="Cambria Math"/>
                <w:color w:val="00B050"/>
                <w:sz w:val="20"/>
              </w:rPr>
              <w:t>⨁⨁⨁</w:t>
            </w:r>
            <w:r w:rsidRPr="00236412">
              <w:rPr>
                <w:rFonts w:ascii="Cambria Math" w:hAnsi="Cambria Math" w:cs="Cambria Math"/>
                <w:color w:val="C00000"/>
                <w:sz w:val="20"/>
              </w:rPr>
              <w:t>⨀</w:t>
            </w:r>
          </w:p>
        </w:tc>
        <w:tc>
          <w:tcPr>
            <w:tcW w:w="1239" w:type="dxa"/>
          </w:tcPr>
          <w:p w14:paraId="5A6E3A29" w14:textId="77777777" w:rsidR="00E93186" w:rsidRPr="00236412" w:rsidRDefault="00E93186" w:rsidP="00E93186">
            <w:pPr>
              <w:pStyle w:val="Tabletext"/>
              <w:rPr>
                <w:rFonts w:cs="Arial"/>
              </w:rPr>
            </w:pPr>
            <w:r w:rsidRPr="00236412">
              <w:rPr>
                <w:rStyle w:val="block"/>
              </w:rPr>
              <w:t>OR 1.15</w:t>
            </w:r>
            <w:r w:rsidRPr="00236412">
              <w:br/>
            </w:r>
            <w:r w:rsidRPr="00236412">
              <w:rPr>
                <w:rStyle w:val="cell"/>
              </w:rPr>
              <w:t>(0.41 to 3.20)</w:t>
            </w:r>
            <w:r w:rsidRPr="00236412">
              <w:t xml:space="preserve"> </w:t>
            </w:r>
          </w:p>
        </w:tc>
        <w:tc>
          <w:tcPr>
            <w:tcW w:w="990" w:type="dxa"/>
          </w:tcPr>
          <w:p w14:paraId="51BA1681" w14:textId="77777777" w:rsidR="00E93186" w:rsidRPr="00236412" w:rsidRDefault="00E93186" w:rsidP="00E93186">
            <w:pPr>
              <w:pStyle w:val="Tabletext"/>
              <w:rPr>
                <w:rFonts w:cs="Arial"/>
              </w:rPr>
            </w:pPr>
            <w:r w:rsidRPr="00236412">
              <w:t xml:space="preserve">35 per 1,000 </w:t>
            </w:r>
          </w:p>
        </w:tc>
        <w:tc>
          <w:tcPr>
            <w:tcW w:w="1129" w:type="dxa"/>
          </w:tcPr>
          <w:p w14:paraId="6AFE2402" w14:textId="77777777" w:rsidR="00E93186" w:rsidRPr="00236412" w:rsidRDefault="00E93186" w:rsidP="00E93186">
            <w:pPr>
              <w:pStyle w:val="Tabletext"/>
              <w:rPr>
                <w:rFonts w:cs="Arial"/>
              </w:rPr>
            </w:pPr>
            <w:r w:rsidRPr="00236412">
              <w:rPr>
                <w:rStyle w:val="cell-value"/>
              </w:rPr>
              <w:t>40 per 1,000</w:t>
            </w:r>
            <w:r w:rsidRPr="00236412">
              <w:rPr>
                <w:rStyle w:val="cell-value"/>
              </w:rPr>
              <w:br/>
              <w:t>(15 to 104)</w:t>
            </w:r>
            <w:r w:rsidRPr="00236412">
              <w:t xml:space="preserve"> </w:t>
            </w:r>
          </w:p>
        </w:tc>
        <w:tc>
          <w:tcPr>
            <w:tcW w:w="2399" w:type="dxa"/>
          </w:tcPr>
          <w:p w14:paraId="32B85611" w14:textId="77777777" w:rsidR="00E93186" w:rsidRPr="00236412" w:rsidRDefault="00E93186" w:rsidP="00E93186">
            <w:pPr>
              <w:keepNext/>
              <w:spacing w:after="40"/>
              <w:rPr>
                <w:rFonts w:ascii="Arial Narrow" w:hAnsi="Arial Narrow"/>
                <w:sz w:val="20"/>
              </w:rPr>
            </w:pPr>
            <w:r w:rsidRPr="00236412">
              <w:rPr>
                <w:rFonts w:ascii="Arial Narrow" w:hAnsi="Arial Narrow"/>
                <w:sz w:val="20"/>
              </w:rPr>
              <w:t>LAAC likely results in little to no difference in all stroke when considering all events.</w:t>
            </w:r>
          </w:p>
        </w:tc>
      </w:tr>
      <w:tr w:rsidR="00E93186" w:rsidRPr="00236412" w14:paraId="71372583" w14:textId="77777777" w:rsidTr="00511ED5">
        <w:tc>
          <w:tcPr>
            <w:tcW w:w="1270" w:type="dxa"/>
          </w:tcPr>
          <w:p w14:paraId="49DE2356" w14:textId="77777777" w:rsidR="00E93186" w:rsidRPr="00236412" w:rsidRDefault="00E93186" w:rsidP="00E93186">
            <w:pPr>
              <w:pStyle w:val="Tabletext"/>
              <w:rPr>
                <w:rStyle w:val="label"/>
              </w:rPr>
            </w:pPr>
            <w:r w:rsidRPr="00236412">
              <w:rPr>
                <w:rStyle w:val="label"/>
              </w:rPr>
              <w:t xml:space="preserve">All stroke - Post-procedure analysis </w:t>
            </w:r>
          </w:p>
        </w:tc>
        <w:tc>
          <w:tcPr>
            <w:tcW w:w="1155" w:type="dxa"/>
          </w:tcPr>
          <w:p w14:paraId="69FE76A0" w14:textId="77777777" w:rsidR="00E93186" w:rsidRPr="00236412" w:rsidRDefault="00E93186" w:rsidP="00E93186">
            <w:pPr>
              <w:pStyle w:val="Tabletext"/>
              <w:rPr>
                <w:rFonts w:cs="Arial"/>
              </w:rPr>
            </w:pPr>
            <w:r w:rsidRPr="00236412">
              <w:rPr>
                <w:rFonts w:cs="Arial"/>
              </w:rPr>
              <w:t>402</w:t>
            </w:r>
          </w:p>
          <w:p w14:paraId="6219D6E7" w14:textId="77777777" w:rsidR="00E93186" w:rsidRPr="00236412" w:rsidRDefault="00E93186" w:rsidP="00E93186">
            <w:pPr>
              <w:pStyle w:val="Tabletext"/>
              <w:rPr>
                <w:rStyle w:val="label"/>
              </w:rPr>
            </w:pPr>
            <w:r w:rsidRPr="00236412">
              <w:rPr>
                <w:rFonts w:cs="Arial"/>
              </w:rPr>
              <w:t>(1 RCT)</w:t>
            </w:r>
          </w:p>
        </w:tc>
        <w:tc>
          <w:tcPr>
            <w:tcW w:w="1009" w:type="dxa"/>
          </w:tcPr>
          <w:p w14:paraId="145642A6" w14:textId="77777777" w:rsidR="00E93186" w:rsidRPr="00236412" w:rsidRDefault="00E93186" w:rsidP="00E93186">
            <w:pPr>
              <w:keepNext/>
              <w:spacing w:after="40"/>
              <w:rPr>
                <w:rFonts w:ascii="Arial Narrow" w:hAnsi="Arial Narrow" w:cs="Arial"/>
                <w:sz w:val="20"/>
              </w:rPr>
            </w:pPr>
            <w:r w:rsidRPr="00236412">
              <w:rPr>
                <w:rFonts w:ascii="Cambria Math" w:hAnsi="Cambria Math" w:cs="Cambria Math"/>
                <w:color w:val="00B050"/>
                <w:sz w:val="20"/>
              </w:rPr>
              <w:t>⨁⨁⨁</w:t>
            </w:r>
            <w:r w:rsidRPr="00236412">
              <w:rPr>
                <w:rFonts w:ascii="Cambria Math" w:hAnsi="Cambria Math" w:cs="Cambria Math"/>
                <w:color w:val="C00000"/>
                <w:sz w:val="20"/>
              </w:rPr>
              <w:t>⨀</w:t>
            </w:r>
          </w:p>
        </w:tc>
        <w:tc>
          <w:tcPr>
            <w:tcW w:w="1239" w:type="dxa"/>
          </w:tcPr>
          <w:p w14:paraId="4C478EE7" w14:textId="77777777" w:rsidR="00E93186" w:rsidRPr="00236412" w:rsidRDefault="00E93186" w:rsidP="00E93186">
            <w:pPr>
              <w:pStyle w:val="Tabletext"/>
              <w:rPr>
                <w:rFonts w:cs="Arial"/>
              </w:rPr>
            </w:pPr>
            <w:r w:rsidRPr="00236412">
              <w:rPr>
                <w:rStyle w:val="block"/>
              </w:rPr>
              <w:t>OR 1.15</w:t>
            </w:r>
            <w:r w:rsidRPr="00236412">
              <w:br/>
            </w:r>
            <w:r w:rsidRPr="00236412">
              <w:rPr>
                <w:rStyle w:val="cell"/>
              </w:rPr>
              <w:t>(0.41 to 3.20)</w:t>
            </w:r>
            <w:r w:rsidRPr="00236412">
              <w:t xml:space="preserve"> </w:t>
            </w:r>
          </w:p>
        </w:tc>
        <w:tc>
          <w:tcPr>
            <w:tcW w:w="990" w:type="dxa"/>
          </w:tcPr>
          <w:p w14:paraId="70422163" w14:textId="77777777" w:rsidR="00E93186" w:rsidRPr="00236412" w:rsidRDefault="00E93186" w:rsidP="00E93186">
            <w:pPr>
              <w:pStyle w:val="Tabletext"/>
              <w:rPr>
                <w:rFonts w:cs="Arial"/>
              </w:rPr>
            </w:pPr>
            <w:r w:rsidRPr="00236412">
              <w:t xml:space="preserve">35 per 1,000 </w:t>
            </w:r>
          </w:p>
        </w:tc>
        <w:tc>
          <w:tcPr>
            <w:tcW w:w="1129" w:type="dxa"/>
          </w:tcPr>
          <w:p w14:paraId="3407BB44" w14:textId="77777777" w:rsidR="00E93186" w:rsidRPr="00236412" w:rsidRDefault="00E93186" w:rsidP="00E93186">
            <w:pPr>
              <w:pStyle w:val="Tabletext"/>
              <w:rPr>
                <w:rFonts w:cs="Arial"/>
              </w:rPr>
            </w:pPr>
            <w:r w:rsidRPr="00236412">
              <w:rPr>
                <w:rStyle w:val="cell-value"/>
              </w:rPr>
              <w:t>40 per 1,000</w:t>
            </w:r>
            <w:r w:rsidRPr="00236412">
              <w:rPr>
                <w:rStyle w:val="cell-value"/>
              </w:rPr>
              <w:br/>
              <w:t>(15 to 104)</w:t>
            </w:r>
            <w:r w:rsidRPr="00236412">
              <w:t xml:space="preserve"> </w:t>
            </w:r>
          </w:p>
        </w:tc>
        <w:tc>
          <w:tcPr>
            <w:tcW w:w="2399" w:type="dxa"/>
          </w:tcPr>
          <w:p w14:paraId="27A7F38D" w14:textId="77777777" w:rsidR="00E93186" w:rsidRPr="00236412" w:rsidRDefault="00E93186" w:rsidP="00E93186">
            <w:pPr>
              <w:keepNext/>
              <w:spacing w:after="40"/>
              <w:rPr>
                <w:rFonts w:ascii="Arial Narrow" w:hAnsi="Arial Narrow"/>
                <w:sz w:val="20"/>
              </w:rPr>
            </w:pPr>
            <w:r w:rsidRPr="00236412">
              <w:rPr>
                <w:rFonts w:ascii="Arial Narrow" w:hAnsi="Arial Narrow"/>
                <w:sz w:val="20"/>
              </w:rPr>
              <w:t xml:space="preserve">LAAC likely results in little to no difference in all stroke - Post-procedure analysis. </w:t>
            </w:r>
          </w:p>
        </w:tc>
      </w:tr>
      <w:tr w:rsidR="00E93186" w:rsidRPr="00236412" w14:paraId="5C185C58" w14:textId="77777777" w:rsidTr="00511ED5">
        <w:tc>
          <w:tcPr>
            <w:tcW w:w="1270" w:type="dxa"/>
          </w:tcPr>
          <w:p w14:paraId="6BA702C1" w14:textId="77777777" w:rsidR="00E93186" w:rsidRPr="00236412" w:rsidRDefault="00E93186" w:rsidP="00E93186">
            <w:pPr>
              <w:pStyle w:val="Tabletext"/>
              <w:rPr>
                <w:rFonts w:cs="Arial"/>
              </w:rPr>
            </w:pPr>
            <w:r w:rsidRPr="00236412">
              <w:rPr>
                <w:rFonts w:cs="Arial"/>
              </w:rPr>
              <w:t>Ischemic stroke</w:t>
            </w:r>
          </w:p>
        </w:tc>
        <w:tc>
          <w:tcPr>
            <w:tcW w:w="1155" w:type="dxa"/>
          </w:tcPr>
          <w:p w14:paraId="0121A32C" w14:textId="77777777" w:rsidR="00E93186" w:rsidRPr="00236412" w:rsidRDefault="00E93186" w:rsidP="00E93186">
            <w:pPr>
              <w:pStyle w:val="Tabletext"/>
              <w:rPr>
                <w:rFonts w:cs="Arial"/>
              </w:rPr>
            </w:pPr>
            <w:r w:rsidRPr="00236412">
              <w:rPr>
                <w:rFonts w:cs="Arial"/>
              </w:rPr>
              <w:t>402</w:t>
            </w:r>
          </w:p>
          <w:p w14:paraId="027D889C" w14:textId="77777777" w:rsidR="00E93186" w:rsidRPr="00236412" w:rsidRDefault="00E93186" w:rsidP="00E93186">
            <w:pPr>
              <w:pStyle w:val="Tabletext"/>
              <w:rPr>
                <w:rFonts w:cs="Arial"/>
              </w:rPr>
            </w:pPr>
            <w:r w:rsidRPr="00236412">
              <w:rPr>
                <w:rFonts w:cs="Arial"/>
              </w:rPr>
              <w:t>(1 RCT)</w:t>
            </w:r>
          </w:p>
        </w:tc>
        <w:tc>
          <w:tcPr>
            <w:tcW w:w="1009" w:type="dxa"/>
          </w:tcPr>
          <w:p w14:paraId="24EE6FF0" w14:textId="77777777" w:rsidR="00E93186" w:rsidRPr="00236412" w:rsidRDefault="00E93186" w:rsidP="00E93186">
            <w:pPr>
              <w:keepNext/>
              <w:spacing w:after="40"/>
              <w:rPr>
                <w:rFonts w:ascii="Arial Narrow" w:hAnsi="Arial Narrow" w:cs="Cambria Math"/>
                <w:sz w:val="20"/>
              </w:rPr>
            </w:pPr>
            <w:r w:rsidRPr="00236412">
              <w:rPr>
                <w:rFonts w:ascii="Cambria Math" w:hAnsi="Cambria Math" w:cs="Cambria Math"/>
                <w:color w:val="00B050"/>
                <w:sz w:val="20"/>
              </w:rPr>
              <w:t>⨁⨁⨁</w:t>
            </w:r>
            <w:r w:rsidRPr="00236412">
              <w:rPr>
                <w:rFonts w:ascii="Cambria Math" w:hAnsi="Cambria Math" w:cs="Cambria Math"/>
                <w:color w:val="C00000"/>
                <w:sz w:val="20"/>
              </w:rPr>
              <w:t>⨀</w:t>
            </w:r>
          </w:p>
        </w:tc>
        <w:tc>
          <w:tcPr>
            <w:tcW w:w="1239" w:type="dxa"/>
          </w:tcPr>
          <w:p w14:paraId="6A49100E" w14:textId="77777777" w:rsidR="00E93186" w:rsidRPr="00236412" w:rsidRDefault="00E93186" w:rsidP="00E93186">
            <w:pPr>
              <w:pStyle w:val="Tabletext"/>
              <w:rPr>
                <w:rFonts w:cs="Arial"/>
              </w:rPr>
            </w:pPr>
            <w:r w:rsidRPr="00236412">
              <w:rPr>
                <w:rStyle w:val="block"/>
              </w:rPr>
              <w:t>OR 1.35</w:t>
            </w:r>
            <w:r w:rsidRPr="00236412">
              <w:br/>
            </w:r>
            <w:r w:rsidRPr="00236412">
              <w:rPr>
                <w:rStyle w:val="cell"/>
              </w:rPr>
              <w:t>(0.46 to 3.96)</w:t>
            </w:r>
            <w:r w:rsidRPr="00236412">
              <w:t xml:space="preserve"> </w:t>
            </w:r>
          </w:p>
        </w:tc>
        <w:tc>
          <w:tcPr>
            <w:tcW w:w="990" w:type="dxa"/>
          </w:tcPr>
          <w:p w14:paraId="0FF9CDAE" w14:textId="77777777" w:rsidR="00E93186" w:rsidRPr="00236412" w:rsidRDefault="00E93186" w:rsidP="00E93186">
            <w:pPr>
              <w:pStyle w:val="Tabletext"/>
              <w:rPr>
                <w:rFonts w:cs="Arial"/>
              </w:rPr>
            </w:pPr>
            <w:r w:rsidRPr="00236412">
              <w:t xml:space="preserve">30 per 1,000 </w:t>
            </w:r>
          </w:p>
        </w:tc>
        <w:tc>
          <w:tcPr>
            <w:tcW w:w="1129" w:type="dxa"/>
          </w:tcPr>
          <w:p w14:paraId="7D544D3F" w14:textId="77777777" w:rsidR="00E93186" w:rsidRPr="00236412" w:rsidRDefault="00E93186" w:rsidP="00E93186">
            <w:pPr>
              <w:pStyle w:val="Tabletext"/>
              <w:rPr>
                <w:rFonts w:cs="Arial"/>
              </w:rPr>
            </w:pPr>
            <w:r w:rsidRPr="00236412">
              <w:rPr>
                <w:rStyle w:val="cell-value"/>
              </w:rPr>
              <w:t>40 per 1,000</w:t>
            </w:r>
            <w:r w:rsidRPr="00236412">
              <w:rPr>
                <w:rStyle w:val="cell-value"/>
              </w:rPr>
              <w:br/>
              <w:t>(14 to 109)</w:t>
            </w:r>
            <w:r w:rsidRPr="00236412">
              <w:t xml:space="preserve"> </w:t>
            </w:r>
          </w:p>
        </w:tc>
        <w:tc>
          <w:tcPr>
            <w:tcW w:w="2399" w:type="dxa"/>
          </w:tcPr>
          <w:p w14:paraId="26245D34" w14:textId="77777777" w:rsidR="00E93186" w:rsidRPr="00236412" w:rsidRDefault="00E93186" w:rsidP="00E93186">
            <w:pPr>
              <w:keepNext/>
              <w:spacing w:after="40"/>
              <w:rPr>
                <w:rFonts w:ascii="Arial Narrow" w:hAnsi="Arial Narrow"/>
                <w:sz w:val="20"/>
              </w:rPr>
            </w:pPr>
            <w:r w:rsidRPr="00236412">
              <w:rPr>
                <w:rFonts w:ascii="Arial Narrow" w:hAnsi="Arial Narrow"/>
                <w:sz w:val="20"/>
              </w:rPr>
              <w:t xml:space="preserve">LAAC likely results in little to no difference in ischaemic stroke when considering all events. </w:t>
            </w:r>
          </w:p>
        </w:tc>
      </w:tr>
      <w:tr w:rsidR="00E93186" w:rsidRPr="00236412" w14:paraId="56FCD0E8" w14:textId="77777777" w:rsidTr="00511ED5">
        <w:tc>
          <w:tcPr>
            <w:tcW w:w="1270" w:type="dxa"/>
          </w:tcPr>
          <w:p w14:paraId="2D9B8E9C" w14:textId="77777777" w:rsidR="00E93186" w:rsidRPr="00236412" w:rsidRDefault="00E93186" w:rsidP="00E93186">
            <w:pPr>
              <w:pStyle w:val="Tabletext"/>
              <w:rPr>
                <w:rFonts w:cs="Arial"/>
              </w:rPr>
            </w:pPr>
            <w:r w:rsidRPr="00236412">
              <w:rPr>
                <w:rFonts w:cs="Arial"/>
              </w:rPr>
              <w:t>Ischemic stroke – post procedure analysis</w:t>
            </w:r>
          </w:p>
        </w:tc>
        <w:tc>
          <w:tcPr>
            <w:tcW w:w="1155" w:type="dxa"/>
          </w:tcPr>
          <w:p w14:paraId="43BACD10" w14:textId="77777777" w:rsidR="00E93186" w:rsidRPr="00236412" w:rsidRDefault="00E93186" w:rsidP="00E93186">
            <w:pPr>
              <w:pStyle w:val="Tabletext"/>
              <w:rPr>
                <w:rFonts w:cs="Arial"/>
              </w:rPr>
            </w:pPr>
            <w:r w:rsidRPr="00236412">
              <w:rPr>
                <w:rFonts w:cs="Arial"/>
              </w:rPr>
              <w:t>402</w:t>
            </w:r>
          </w:p>
          <w:p w14:paraId="7059C935" w14:textId="77777777" w:rsidR="00E93186" w:rsidRPr="00236412" w:rsidRDefault="00E93186" w:rsidP="00E93186">
            <w:pPr>
              <w:pStyle w:val="Tabletext"/>
              <w:rPr>
                <w:rFonts w:cs="Arial"/>
              </w:rPr>
            </w:pPr>
            <w:r w:rsidRPr="00236412">
              <w:rPr>
                <w:rFonts w:cs="Arial"/>
              </w:rPr>
              <w:t>(1 RCT)</w:t>
            </w:r>
          </w:p>
        </w:tc>
        <w:tc>
          <w:tcPr>
            <w:tcW w:w="1009" w:type="dxa"/>
          </w:tcPr>
          <w:p w14:paraId="3F88F3C2" w14:textId="77777777" w:rsidR="00E93186" w:rsidRPr="00236412" w:rsidRDefault="00E93186" w:rsidP="00E93186">
            <w:pPr>
              <w:keepNext/>
              <w:spacing w:after="40"/>
              <w:rPr>
                <w:rFonts w:ascii="Arial Narrow" w:hAnsi="Arial Narrow"/>
                <w:color w:val="00B050"/>
                <w:sz w:val="20"/>
              </w:rPr>
            </w:pPr>
            <w:r w:rsidRPr="00236412">
              <w:rPr>
                <w:rFonts w:ascii="Cambria Math" w:hAnsi="Cambria Math" w:cs="Cambria Math"/>
                <w:color w:val="00B050"/>
                <w:sz w:val="20"/>
              </w:rPr>
              <w:t>⨁⨁⨁</w:t>
            </w:r>
            <w:r w:rsidRPr="00236412">
              <w:rPr>
                <w:rFonts w:ascii="Cambria Math" w:hAnsi="Cambria Math" w:cs="Cambria Math"/>
                <w:color w:val="C00000"/>
                <w:sz w:val="20"/>
              </w:rPr>
              <w:t>⨀</w:t>
            </w:r>
          </w:p>
        </w:tc>
        <w:tc>
          <w:tcPr>
            <w:tcW w:w="1239" w:type="dxa"/>
          </w:tcPr>
          <w:p w14:paraId="03FC3CE9" w14:textId="77777777" w:rsidR="00E93186" w:rsidRPr="00236412" w:rsidRDefault="00E93186" w:rsidP="00E93186">
            <w:pPr>
              <w:pStyle w:val="Tabletext"/>
              <w:rPr>
                <w:rFonts w:cs="Arial"/>
              </w:rPr>
            </w:pPr>
            <w:r w:rsidRPr="00236412">
              <w:rPr>
                <w:rFonts w:cs="Arial"/>
              </w:rPr>
              <w:t>OR 1.35</w:t>
            </w:r>
          </w:p>
          <w:p w14:paraId="7EB96B8A" w14:textId="77777777" w:rsidR="00E93186" w:rsidRPr="00236412" w:rsidRDefault="00E93186" w:rsidP="00E93186">
            <w:pPr>
              <w:pStyle w:val="Tabletext"/>
              <w:rPr>
                <w:rFonts w:cs="Arial"/>
              </w:rPr>
            </w:pPr>
            <w:r w:rsidRPr="00236412">
              <w:rPr>
                <w:rFonts w:cs="Arial"/>
              </w:rPr>
              <w:t>(0.46 to 3.96)</w:t>
            </w:r>
          </w:p>
        </w:tc>
        <w:tc>
          <w:tcPr>
            <w:tcW w:w="990" w:type="dxa"/>
          </w:tcPr>
          <w:p w14:paraId="2A5F967A" w14:textId="77777777" w:rsidR="00E93186" w:rsidRPr="00236412" w:rsidRDefault="00E93186" w:rsidP="00E93186">
            <w:pPr>
              <w:pStyle w:val="Tabletext"/>
            </w:pPr>
            <w:r w:rsidRPr="00236412">
              <w:t xml:space="preserve">30 per 1,000 </w:t>
            </w:r>
          </w:p>
        </w:tc>
        <w:tc>
          <w:tcPr>
            <w:tcW w:w="1129" w:type="dxa"/>
          </w:tcPr>
          <w:p w14:paraId="301C9E36" w14:textId="77777777" w:rsidR="00E93186" w:rsidRPr="00236412" w:rsidRDefault="00E93186" w:rsidP="00E93186">
            <w:pPr>
              <w:pStyle w:val="Tabletext"/>
            </w:pPr>
            <w:r w:rsidRPr="00236412">
              <w:rPr>
                <w:rStyle w:val="cell-value"/>
              </w:rPr>
              <w:t>40 per 1,000</w:t>
            </w:r>
            <w:r w:rsidRPr="00236412">
              <w:rPr>
                <w:rStyle w:val="cell-value"/>
              </w:rPr>
              <w:br/>
              <w:t>(14 to 109)</w:t>
            </w:r>
          </w:p>
        </w:tc>
        <w:tc>
          <w:tcPr>
            <w:tcW w:w="2399" w:type="dxa"/>
          </w:tcPr>
          <w:p w14:paraId="54EE59EE" w14:textId="77777777" w:rsidR="00E93186" w:rsidRPr="00236412" w:rsidRDefault="00E93186" w:rsidP="00E93186">
            <w:pPr>
              <w:keepNext/>
              <w:spacing w:after="40"/>
              <w:rPr>
                <w:rFonts w:ascii="Arial Narrow" w:hAnsi="Arial Narrow" w:cs="Arial"/>
                <w:sz w:val="20"/>
              </w:rPr>
            </w:pPr>
            <w:r w:rsidRPr="00236412">
              <w:rPr>
                <w:rFonts w:ascii="Arial Narrow" w:hAnsi="Arial Narrow" w:cs="Arial"/>
                <w:sz w:val="20"/>
              </w:rPr>
              <w:t>LAAC likely results in little to no difference in ischaemic stroke - Post-procedure analysis</w:t>
            </w:r>
          </w:p>
        </w:tc>
      </w:tr>
      <w:tr w:rsidR="00E93186" w:rsidRPr="00236412" w14:paraId="5E7FD1A9" w14:textId="77777777" w:rsidTr="00511ED5">
        <w:tc>
          <w:tcPr>
            <w:tcW w:w="1270" w:type="dxa"/>
          </w:tcPr>
          <w:p w14:paraId="3BE73F21" w14:textId="77777777" w:rsidR="00E93186" w:rsidRPr="00236412" w:rsidRDefault="00E93186" w:rsidP="00E93186">
            <w:pPr>
              <w:pStyle w:val="Tabletext"/>
              <w:rPr>
                <w:rFonts w:cs="Arial"/>
              </w:rPr>
            </w:pPr>
            <w:r w:rsidRPr="00236412">
              <w:rPr>
                <w:rFonts w:cs="Arial"/>
              </w:rPr>
              <w:t>Haemorrhagic stroke</w:t>
            </w:r>
          </w:p>
        </w:tc>
        <w:tc>
          <w:tcPr>
            <w:tcW w:w="1155" w:type="dxa"/>
          </w:tcPr>
          <w:p w14:paraId="316DAF94" w14:textId="77777777" w:rsidR="00E93186" w:rsidRPr="00236412" w:rsidRDefault="00E93186" w:rsidP="00E93186">
            <w:pPr>
              <w:pStyle w:val="Tabletext"/>
              <w:rPr>
                <w:rFonts w:cs="Arial"/>
              </w:rPr>
            </w:pPr>
            <w:r w:rsidRPr="00236412">
              <w:rPr>
                <w:rFonts w:cs="Arial"/>
              </w:rPr>
              <w:t>402</w:t>
            </w:r>
          </w:p>
          <w:p w14:paraId="57F58B65" w14:textId="77777777" w:rsidR="00E93186" w:rsidRPr="00236412" w:rsidRDefault="00E93186" w:rsidP="00E93186">
            <w:pPr>
              <w:pStyle w:val="Tabletext"/>
              <w:rPr>
                <w:rFonts w:cs="Arial"/>
              </w:rPr>
            </w:pPr>
            <w:r w:rsidRPr="00236412">
              <w:rPr>
                <w:rFonts w:cs="Arial"/>
              </w:rPr>
              <w:t>(1 RCT)</w:t>
            </w:r>
          </w:p>
        </w:tc>
        <w:tc>
          <w:tcPr>
            <w:tcW w:w="1009" w:type="dxa"/>
          </w:tcPr>
          <w:p w14:paraId="01F1783D" w14:textId="77777777" w:rsidR="00E93186" w:rsidRPr="00236412" w:rsidRDefault="00E93186" w:rsidP="00E93186">
            <w:pPr>
              <w:keepNext/>
              <w:spacing w:after="40"/>
              <w:rPr>
                <w:rFonts w:ascii="Arial Narrow" w:hAnsi="Arial Narrow"/>
                <w:color w:val="00B050"/>
                <w:sz w:val="20"/>
              </w:rPr>
            </w:pPr>
            <w:r w:rsidRPr="00236412">
              <w:rPr>
                <w:rFonts w:ascii="Cambria Math" w:hAnsi="Cambria Math" w:cs="Cambria Math"/>
                <w:color w:val="00B050"/>
                <w:sz w:val="20"/>
              </w:rPr>
              <w:t>⨁⨁⨁</w:t>
            </w:r>
            <w:r w:rsidRPr="00236412">
              <w:rPr>
                <w:rFonts w:ascii="Cambria Math" w:hAnsi="Cambria Math" w:cs="Cambria Math"/>
                <w:color w:val="C00000"/>
                <w:sz w:val="20"/>
              </w:rPr>
              <w:t>⨀</w:t>
            </w:r>
          </w:p>
        </w:tc>
        <w:tc>
          <w:tcPr>
            <w:tcW w:w="1239" w:type="dxa"/>
          </w:tcPr>
          <w:p w14:paraId="279E67C5" w14:textId="77777777" w:rsidR="00E93186" w:rsidRPr="00236412" w:rsidRDefault="00E93186" w:rsidP="00E93186">
            <w:pPr>
              <w:pStyle w:val="Tabletext"/>
              <w:rPr>
                <w:rFonts w:cs="Arial"/>
              </w:rPr>
            </w:pPr>
            <w:r w:rsidRPr="00236412">
              <w:rPr>
                <w:rFonts w:cs="Arial"/>
              </w:rPr>
              <w:t>OR 0.33</w:t>
            </w:r>
          </w:p>
          <w:p w14:paraId="02FFBF79" w14:textId="77777777" w:rsidR="00E93186" w:rsidRPr="00236412" w:rsidRDefault="00E93186" w:rsidP="00E93186">
            <w:pPr>
              <w:pStyle w:val="Tabletext"/>
              <w:rPr>
                <w:rFonts w:cs="Arial"/>
              </w:rPr>
            </w:pPr>
            <w:r w:rsidRPr="00236412">
              <w:rPr>
                <w:rFonts w:cs="Arial"/>
              </w:rPr>
              <w:t>(0.01 to 8.19)</w:t>
            </w:r>
          </w:p>
        </w:tc>
        <w:tc>
          <w:tcPr>
            <w:tcW w:w="990" w:type="dxa"/>
          </w:tcPr>
          <w:p w14:paraId="28613357" w14:textId="77777777" w:rsidR="00E93186" w:rsidRPr="00236412" w:rsidRDefault="00E93186" w:rsidP="00E93186">
            <w:pPr>
              <w:pStyle w:val="Tabletext"/>
            </w:pPr>
            <w:r w:rsidRPr="00236412">
              <w:t xml:space="preserve">30 per 1,000 </w:t>
            </w:r>
          </w:p>
        </w:tc>
        <w:tc>
          <w:tcPr>
            <w:tcW w:w="1129" w:type="dxa"/>
          </w:tcPr>
          <w:p w14:paraId="33FB54CB" w14:textId="77777777" w:rsidR="00E93186" w:rsidRPr="00236412" w:rsidRDefault="00E93186" w:rsidP="00E93186">
            <w:pPr>
              <w:pStyle w:val="Tabletext"/>
              <w:rPr>
                <w:rStyle w:val="cell-value"/>
              </w:rPr>
            </w:pPr>
            <w:r w:rsidRPr="00236412">
              <w:rPr>
                <w:rStyle w:val="cell-value"/>
              </w:rPr>
              <w:t>40 per 1,000</w:t>
            </w:r>
            <w:r w:rsidRPr="00236412">
              <w:rPr>
                <w:rStyle w:val="cell-value"/>
              </w:rPr>
              <w:br/>
              <w:t>(14 to 109)</w:t>
            </w:r>
            <w:r w:rsidRPr="00236412">
              <w:t xml:space="preserve"> </w:t>
            </w:r>
          </w:p>
        </w:tc>
        <w:tc>
          <w:tcPr>
            <w:tcW w:w="2399" w:type="dxa"/>
          </w:tcPr>
          <w:p w14:paraId="4BF0C577" w14:textId="77777777" w:rsidR="00E93186" w:rsidRPr="00236412" w:rsidRDefault="00E93186" w:rsidP="00E93186">
            <w:pPr>
              <w:keepNext/>
              <w:spacing w:after="40"/>
              <w:rPr>
                <w:rFonts w:ascii="Arial Narrow" w:hAnsi="Arial Narrow" w:cs="Arial"/>
                <w:strike/>
                <w:sz w:val="20"/>
              </w:rPr>
            </w:pPr>
            <w:r w:rsidRPr="00236412">
              <w:rPr>
                <w:rFonts w:ascii="Arial Narrow" w:hAnsi="Arial Narrow" w:cs="Arial"/>
                <w:strike/>
                <w:sz w:val="20"/>
              </w:rPr>
              <w:t xml:space="preserve">Numerical difference in favour of LAAC; yet wide CIs, due to few events. </w:t>
            </w:r>
          </w:p>
          <w:p w14:paraId="6ED43846" w14:textId="77777777" w:rsidR="00E93186" w:rsidRPr="00236412" w:rsidRDefault="00E93186" w:rsidP="00E93186">
            <w:pPr>
              <w:keepNext/>
              <w:spacing w:after="40"/>
              <w:rPr>
                <w:rFonts w:ascii="Arial Narrow" w:hAnsi="Arial Narrow" w:cs="Arial"/>
                <w:i/>
                <w:iCs/>
                <w:strike/>
                <w:sz w:val="20"/>
              </w:rPr>
            </w:pPr>
            <w:r w:rsidRPr="00236412">
              <w:rPr>
                <w:rFonts w:ascii="Arial Narrow" w:hAnsi="Arial Narrow" w:cs="Arial"/>
                <w:i/>
                <w:iCs/>
                <w:sz w:val="20"/>
              </w:rPr>
              <w:t>LAAC likely results in little to no difference in haemorrhagic stroke</w:t>
            </w:r>
          </w:p>
        </w:tc>
      </w:tr>
      <w:tr w:rsidR="00E93186" w:rsidRPr="00236412" w14:paraId="1443B7EA" w14:textId="77777777" w:rsidTr="00511ED5">
        <w:tc>
          <w:tcPr>
            <w:tcW w:w="1270" w:type="dxa"/>
          </w:tcPr>
          <w:p w14:paraId="689B2086" w14:textId="77777777" w:rsidR="00E93186" w:rsidRPr="00236412" w:rsidRDefault="00E93186" w:rsidP="00E93186">
            <w:pPr>
              <w:pStyle w:val="Tabletext"/>
              <w:rPr>
                <w:rFonts w:cs="Arial"/>
              </w:rPr>
            </w:pPr>
            <w:r w:rsidRPr="00236412">
              <w:rPr>
                <w:rFonts w:cs="Arial"/>
              </w:rPr>
              <w:t>CV mortality</w:t>
            </w:r>
          </w:p>
        </w:tc>
        <w:tc>
          <w:tcPr>
            <w:tcW w:w="1155" w:type="dxa"/>
          </w:tcPr>
          <w:p w14:paraId="223BB69C" w14:textId="77777777" w:rsidR="00E93186" w:rsidRPr="00236412" w:rsidRDefault="00E93186" w:rsidP="00E93186">
            <w:pPr>
              <w:pStyle w:val="Tabletext"/>
              <w:rPr>
                <w:rFonts w:cs="Arial"/>
              </w:rPr>
            </w:pPr>
            <w:r w:rsidRPr="00236412">
              <w:rPr>
                <w:rFonts w:cs="Arial"/>
              </w:rPr>
              <w:t>402</w:t>
            </w:r>
          </w:p>
          <w:p w14:paraId="67D930CC" w14:textId="77777777" w:rsidR="00E93186" w:rsidRPr="00236412" w:rsidRDefault="00E93186" w:rsidP="00E93186">
            <w:pPr>
              <w:pStyle w:val="Tabletext"/>
              <w:rPr>
                <w:rFonts w:cs="Arial"/>
              </w:rPr>
            </w:pPr>
            <w:r w:rsidRPr="00236412">
              <w:rPr>
                <w:rFonts w:cs="Arial"/>
              </w:rPr>
              <w:t>(1 RCT)</w:t>
            </w:r>
          </w:p>
        </w:tc>
        <w:tc>
          <w:tcPr>
            <w:tcW w:w="1009" w:type="dxa"/>
          </w:tcPr>
          <w:p w14:paraId="1231EFCF" w14:textId="77777777" w:rsidR="00E93186" w:rsidRPr="00236412" w:rsidRDefault="00E93186" w:rsidP="00E93186">
            <w:pPr>
              <w:keepNext/>
              <w:spacing w:after="40"/>
              <w:rPr>
                <w:rFonts w:ascii="Arial Narrow" w:hAnsi="Arial Narrow"/>
                <w:color w:val="00B050"/>
                <w:sz w:val="20"/>
              </w:rPr>
            </w:pPr>
            <w:r w:rsidRPr="00236412">
              <w:rPr>
                <w:rFonts w:ascii="Cambria Math" w:hAnsi="Cambria Math" w:cs="Cambria Math"/>
                <w:color w:val="00B050"/>
                <w:sz w:val="20"/>
              </w:rPr>
              <w:t>⨁⨁⨁</w:t>
            </w:r>
            <w:r w:rsidRPr="00236412">
              <w:rPr>
                <w:rFonts w:ascii="Cambria Math" w:hAnsi="Cambria Math" w:cs="Cambria Math"/>
                <w:color w:val="C00000"/>
                <w:sz w:val="20"/>
              </w:rPr>
              <w:t>⨀</w:t>
            </w:r>
          </w:p>
        </w:tc>
        <w:tc>
          <w:tcPr>
            <w:tcW w:w="1239" w:type="dxa"/>
          </w:tcPr>
          <w:p w14:paraId="20C988AE" w14:textId="77777777" w:rsidR="00E93186" w:rsidRPr="00236412" w:rsidRDefault="00E93186" w:rsidP="00E93186">
            <w:pPr>
              <w:pStyle w:val="Tabletext"/>
              <w:rPr>
                <w:rFonts w:cs="Arial"/>
              </w:rPr>
            </w:pPr>
            <w:r w:rsidRPr="00236412">
              <w:rPr>
                <w:rFonts w:cs="Arial"/>
              </w:rPr>
              <w:t>OR 0.72</w:t>
            </w:r>
          </w:p>
          <w:p w14:paraId="6E8D42B1" w14:textId="77777777" w:rsidR="00E93186" w:rsidRPr="00236412" w:rsidRDefault="00E93186" w:rsidP="00E93186">
            <w:pPr>
              <w:pStyle w:val="Tabletext"/>
              <w:rPr>
                <w:rFonts w:cs="Arial"/>
              </w:rPr>
            </w:pPr>
            <w:r w:rsidRPr="00236412">
              <w:rPr>
                <w:rFonts w:cs="Arial"/>
              </w:rPr>
              <w:t>(0.32 to 1.60)</w:t>
            </w:r>
          </w:p>
          <w:p w14:paraId="3C446514" w14:textId="77777777" w:rsidR="00E93186" w:rsidRPr="00236412" w:rsidRDefault="00E93186" w:rsidP="00E93186">
            <w:pPr>
              <w:pStyle w:val="Tabletext"/>
              <w:rPr>
                <w:rFonts w:cs="Arial"/>
              </w:rPr>
            </w:pPr>
            <w:r w:rsidRPr="00236412">
              <w:rPr>
                <w:rFonts w:cs="Arial"/>
              </w:rPr>
              <w:t>sHR 0.75 (0.34, 1.62)</w:t>
            </w:r>
          </w:p>
        </w:tc>
        <w:tc>
          <w:tcPr>
            <w:tcW w:w="990" w:type="dxa"/>
          </w:tcPr>
          <w:p w14:paraId="26E695F2" w14:textId="77777777" w:rsidR="00E93186" w:rsidRPr="00236412" w:rsidRDefault="00E93186" w:rsidP="00E93186">
            <w:pPr>
              <w:pStyle w:val="Tabletext"/>
            </w:pPr>
            <w:r w:rsidRPr="00236412">
              <w:t xml:space="preserve">75 per 1,000 </w:t>
            </w:r>
          </w:p>
        </w:tc>
        <w:tc>
          <w:tcPr>
            <w:tcW w:w="1129" w:type="dxa"/>
          </w:tcPr>
          <w:p w14:paraId="77132B0B" w14:textId="77777777" w:rsidR="00E93186" w:rsidRPr="00236412" w:rsidRDefault="00E93186" w:rsidP="00E93186">
            <w:pPr>
              <w:pStyle w:val="Tabletext"/>
              <w:rPr>
                <w:rStyle w:val="cell-value"/>
              </w:rPr>
            </w:pPr>
            <w:r w:rsidRPr="00236412">
              <w:rPr>
                <w:rStyle w:val="cell-value"/>
              </w:rPr>
              <w:t>55 per 1,000</w:t>
            </w:r>
            <w:r w:rsidRPr="00236412">
              <w:rPr>
                <w:rStyle w:val="cell-value"/>
              </w:rPr>
              <w:br/>
              <w:t>(25 to 114)</w:t>
            </w:r>
            <w:r w:rsidRPr="00236412">
              <w:t xml:space="preserve"> </w:t>
            </w:r>
          </w:p>
        </w:tc>
        <w:tc>
          <w:tcPr>
            <w:tcW w:w="2399" w:type="dxa"/>
          </w:tcPr>
          <w:p w14:paraId="356745CC" w14:textId="77777777" w:rsidR="00E93186" w:rsidRPr="00236412" w:rsidRDefault="00E93186" w:rsidP="00E93186">
            <w:pPr>
              <w:keepNext/>
              <w:spacing w:after="40"/>
              <w:rPr>
                <w:rFonts w:ascii="Arial Narrow" w:hAnsi="Arial Narrow"/>
                <w:strike/>
                <w:sz w:val="20"/>
              </w:rPr>
            </w:pPr>
            <w:r w:rsidRPr="00236412">
              <w:rPr>
                <w:rFonts w:ascii="Arial Narrow" w:hAnsi="Arial Narrow"/>
                <w:strike/>
                <w:sz w:val="20"/>
              </w:rPr>
              <w:t>LAAC probably reduces cardiovascular mortality slightly.</w:t>
            </w:r>
          </w:p>
          <w:p w14:paraId="55ED863D" w14:textId="77777777" w:rsidR="00E93186" w:rsidRPr="00236412" w:rsidRDefault="00E93186" w:rsidP="00E93186">
            <w:pPr>
              <w:keepNext/>
              <w:spacing w:after="40"/>
              <w:rPr>
                <w:rFonts w:ascii="Arial Narrow" w:hAnsi="Arial Narrow" w:cs="Arial"/>
                <w:i/>
                <w:iCs/>
                <w:sz w:val="20"/>
              </w:rPr>
            </w:pPr>
            <w:r w:rsidRPr="00236412">
              <w:rPr>
                <w:rFonts w:ascii="Arial Narrow" w:hAnsi="Arial Narrow" w:cs="Arial"/>
                <w:i/>
                <w:iCs/>
                <w:sz w:val="20"/>
              </w:rPr>
              <w:t>LAAC likely results in little to no difference in CV mortality</w:t>
            </w:r>
          </w:p>
        </w:tc>
      </w:tr>
      <w:tr w:rsidR="00E93186" w:rsidRPr="00236412" w14:paraId="4FD388B4" w14:textId="77777777" w:rsidTr="00511ED5">
        <w:tc>
          <w:tcPr>
            <w:tcW w:w="1270" w:type="dxa"/>
          </w:tcPr>
          <w:p w14:paraId="04F3591D" w14:textId="77777777" w:rsidR="00E93186" w:rsidRPr="00236412" w:rsidRDefault="00E93186" w:rsidP="00E93186">
            <w:pPr>
              <w:pStyle w:val="Tabletext"/>
              <w:rPr>
                <w:rFonts w:cs="Arial"/>
              </w:rPr>
            </w:pPr>
            <w:r w:rsidRPr="00236412">
              <w:rPr>
                <w:rFonts w:cs="Arial"/>
              </w:rPr>
              <w:t>MNMCRB – All events</w:t>
            </w:r>
          </w:p>
        </w:tc>
        <w:tc>
          <w:tcPr>
            <w:tcW w:w="1155" w:type="dxa"/>
          </w:tcPr>
          <w:p w14:paraId="06AE5D7E" w14:textId="77777777" w:rsidR="00E93186" w:rsidRPr="00236412" w:rsidRDefault="00E93186" w:rsidP="00E93186">
            <w:pPr>
              <w:pStyle w:val="Tabletext"/>
              <w:rPr>
                <w:rFonts w:cs="Arial"/>
              </w:rPr>
            </w:pPr>
            <w:r w:rsidRPr="00236412">
              <w:rPr>
                <w:rFonts w:cs="Arial"/>
              </w:rPr>
              <w:t>402</w:t>
            </w:r>
          </w:p>
          <w:p w14:paraId="6A4567D6" w14:textId="77777777" w:rsidR="00E93186" w:rsidRPr="00236412" w:rsidRDefault="00E93186" w:rsidP="00E93186">
            <w:pPr>
              <w:pStyle w:val="Tabletext"/>
              <w:rPr>
                <w:rFonts w:cs="Arial"/>
              </w:rPr>
            </w:pPr>
            <w:r w:rsidRPr="00236412">
              <w:rPr>
                <w:rFonts w:cs="Arial"/>
              </w:rPr>
              <w:t>(1 RCT)</w:t>
            </w:r>
          </w:p>
        </w:tc>
        <w:tc>
          <w:tcPr>
            <w:tcW w:w="1009" w:type="dxa"/>
          </w:tcPr>
          <w:p w14:paraId="03AD7E5F" w14:textId="77777777" w:rsidR="00E93186" w:rsidRPr="00236412" w:rsidRDefault="00E93186" w:rsidP="00E93186">
            <w:pPr>
              <w:keepNext/>
              <w:spacing w:after="40"/>
              <w:rPr>
                <w:rFonts w:ascii="Arial Narrow" w:hAnsi="Arial Narrow"/>
                <w:color w:val="00B050"/>
                <w:sz w:val="20"/>
              </w:rPr>
            </w:pPr>
            <w:r w:rsidRPr="00236412">
              <w:rPr>
                <w:rFonts w:ascii="Cambria Math" w:hAnsi="Cambria Math" w:cs="Cambria Math"/>
                <w:color w:val="00B050"/>
                <w:sz w:val="20"/>
              </w:rPr>
              <w:t>⨁⨁⨁</w:t>
            </w:r>
            <w:r w:rsidRPr="00236412">
              <w:rPr>
                <w:rFonts w:ascii="Cambria Math" w:hAnsi="Cambria Math" w:cs="Cambria Math"/>
                <w:color w:val="C00000"/>
                <w:sz w:val="20"/>
              </w:rPr>
              <w:t>⨀</w:t>
            </w:r>
          </w:p>
        </w:tc>
        <w:tc>
          <w:tcPr>
            <w:tcW w:w="1239" w:type="dxa"/>
          </w:tcPr>
          <w:p w14:paraId="31D5BF21" w14:textId="77777777" w:rsidR="00E93186" w:rsidRPr="00236412" w:rsidRDefault="00E93186" w:rsidP="00E93186">
            <w:pPr>
              <w:pStyle w:val="Tabletext"/>
              <w:rPr>
                <w:rFonts w:cs="Arial"/>
              </w:rPr>
            </w:pPr>
            <w:r w:rsidRPr="00236412">
              <w:rPr>
                <w:rStyle w:val="block"/>
              </w:rPr>
              <w:t>OR 0.80</w:t>
            </w:r>
            <w:r w:rsidRPr="00236412">
              <w:br/>
            </w:r>
            <w:r w:rsidRPr="00236412">
              <w:rPr>
                <w:rStyle w:val="cell"/>
              </w:rPr>
              <w:t>(0.42 to 1.54)</w:t>
            </w:r>
            <w:r w:rsidRPr="00236412">
              <w:t xml:space="preserve"> sHR 0.81 (0.44, 1.52);</w:t>
            </w:r>
          </w:p>
        </w:tc>
        <w:tc>
          <w:tcPr>
            <w:tcW w:w="990" w:type="dxa"/>
          </w:tcPr>
          <w:p w14:paraId="70122CCD" w14:textId="77777777" w:rsidR="00E93186" w:rsidRPr="00236412" w:rsidRDefault="00E93186" w:rsidP="00E93186">
            <w:pPr>
              <w:pStyle w:val="Tabletext"/>
            </w:pPr>
            <w:r w:rsidRPr="00236412">
              <w:t xml:space="preserve">109 per 1,000 </w:t>
            </w:r>
          </w:p>
        </w:tc>
        <w:tc>
          <w:tcPr>
            <w:tcW w:w="1129" w:type="dxa"/>
          </w:tcPr>
          <w:p w14:paraId="044DB02F" w14:textId="77777777" w:rsidR="00E93186" w:rsidRPr="00236412" w:rsidRDefault="00E93186" w:rsidP="00E93186">
            <w:pPr>
              <w:pStyle w:val="Tabletext"/>
              <w:rPr>
                <w:rStyle w:val="cell-value"/>
              </w:rPr>
            </w:pPr>
            <w:r w:rsidRPr="00236412">
              <w:rPr>
                <w:rStyle w:val="cell-value"/>
              </w:rPr>
              <w:t>90 per 1,000</w:t>
            </w:r>
            <w:r w:rsidRPr="00236412">
              <w:rPr>
                <w:rStyle w:val="cell-value"/>
              </w:rPr>
              <w:br/>
              <w:t>(49 to 159)</w:t>
            </w:r>
            <w:r w:rsidRPr="00236412">
              <w:t xml:space="preserve"> </w:t>
            </w:r>
          </w:p>
        </w:tc>
        <w:tc>
          <w:tcPr>
            <w:tcW w:w="2399" w:type="dxa"/>
          </w:tcPr>
          <w:p w14:paraId="336CAA5B" w14:textId="77777777" w:rsidR="00E93186" w:rsidRPr="00236412" w:rsidRDefault="00E93186" w:rsidP="00E93186">
            <w:pPr>
              <w:keepNext/>
              <w:spacing w:after="40"/>
              <w:rPr>
                <w:rFonts w:ascii="Arial Narrow" w:hAnsi="Arial Narrow"/>
                <w:strike/>
                <w:sz w:val="20"/>
              </w:rPr>
            </w:pPr>
            <w:r w:rsidRPr="00236412">
              <w:rPr>
                <w:rFonts w:ascii="Arial Narrow" w:hAnsi="Arial Narrow"/>
                <w:strike/>
                <w:sz w:val="20"/>
              </w:rPr>
              <w:t xml:space="preserve">LAAC likely reduces major/non-major clinically relevant bleeding slightly. </w:t>
            </w:r>
          </w:p>
          <w:p w14:paraId="6AD03022" w14:textId="77777777" w:rsidR="00E93186" w:rsidRPr="00236412" w:rsidRDefault="00E93186" w:rsidP="00E93186">
            <w:pPr>
              <w:keepNext/>
              <w:spacing w:after="40"/>
              <w:rPr>
                <w:rFonts w:ascii="Arial Narrow" w:hAnsi="Arial Narrow" w:cs="Arial"/>
                <w:i/>
                <w:iCs/>
                <w:sz w:val="20"/>
              </w:rPr>
            </w:pPr>
            <w:r w:rsidRPr="00236412">
              <w:rPr>
                <w:rFonts w:ascii="Arial Narrow" w:hAnsi="Arial Narrow" w:cs="Arial"/>
                <w:i/>
                <w:iCs/>
                <w:sz w:val="20"/>
              </w:rPr>
              <w:t>LAAC likely results in little to no difference in MNCRB when all events are considered</w:t>
            </w:r>
          </w:p>
        </w:tc>
      </w:tr>
      <w:tr w:rsidR="00E93186" w:rsidRPr="00236412" w14:paraId="6E2B8336" w14:textId="77777777" w:rsidTr="00511ED5">
        <w:tc>
          <w:tcPr>
            <w:tcW w:w="1270" w:type="dxa"/>
          </w:tcPr>
          <w:p w14:paraId="01304114" w14:textId="77777777" w:rsidR="00E93186" w:rsidRPr="00236412" w:rsidRDefault="00E93186" w:rsidP="00E93186">
            <w:pPr>
              <w:pStyle w:val="Tabletext"/>
              <w:rPr>
                <w:rFonts w:cs="Arial"/>
              </w:rPr>
            </w:pPr>
            <w:r w:rsidRPr="00236412">
              <w:rPr>
                <w:rFonts w:cs="Arial"/>
              </w:rPr>
              <w:t>MNMCRB - Excluding procedure-related events</w:t>
            </w:r>
          </w:p>
        </w:tc>
        <w:tc>
          <w:tcPr>
            <w:tcW w:w="1155" w:type="dxa"/>
          </w:tcPr>
          <w:p w14:paraId="333D4E05" w14:textId="77777777" w:rsidR="00E93186" w:rsidRPr="00236412" w:rsidRDefault="00E93186" w:rsidP="00E93186">
            <w:pPr>
              <w:pStyle w:val="Tabletext"/>
              <w:rPr>
                <w:rFonts w:cs="Arial"/>
              </w:rPr>
            </w:pPr>
            <w:r w:rsidRPr="00236412">
              <w:rPr>
                <w:rFonts w:cs="Arial"/>
              </w:rPr>
              <w:t>402</w:t>
            </w:r>
          </w:p>
          <w:p w14:paraId="51E6E0AC" w14:textId="77777777" w:rsidR="00E93186" w:rsidRPr="00236412" w:rsidRDefault="00E93186" w:rsidP="00E93186">
            <w:pPr>
              <w:pStyle w:val="Tabletext"/>
              <w:rPr>
                <w:rFonts w:cs="Arial"/>
              </w:rPr>
            </w:pPr>
            <w:r w:rsidRPr="00236412">
              <w:rPr>
                <w:rFonts w:cs="Arial"/>
              </w:rPr>
              <w:t>(1 RCT)</w:t>
            </w:r>
          </w:p>
        </w:tc>
        <w:tc>
          <w:tcPr>
            <w:tcW w:w="1009" w:type="dxa"/>
          </w:tcPr>
          <w:p w14:paraId="2145F712" w14:textId="77777777" w:rsidR="00E93186" w:rsidRPr="00236412" w:rsidRDefault="00E93186" w:rsidP="00E93186">
            <w:pPr>
              <w:keepNext/>
              <w:spacing w:after="40"/>
              <w:rPr>
                <w:rFonts w:ascii="Arial Narrow" w:hAnsi="Arial Narrow"/>
                <w:color w:val="00B050"/>
                <w:sz w:val="20"/>
              </w:rPr>
            </w:pPr>
            <w:r w:rsidRPr="00236412">
              <w:rPr>
                <w:rFonts w:ascii="Cambria Math" w:hAnsi="Cambria Math" w:cs="Cambria Math"/>
                <w:color w:val="00B050"/>
                <w:sz w:val="20"/>
              </w:rPr>
              <w:t>⨁⨁⨁</w:t>
            </w:r>
            <w:r w:rsidRPr="00236412">
              <w:rPr>
                <w:rFonts w:ascii="Cambria Math" w:hAnsi="Cambria Math" w:cs="Cambria Math"/>
                <w:color w:val="C00000"/>
                <w:sz w:val="20"/>
              </w:rPr>
              <w:t>⨀</w:t>
            </w:r>
          </w:p>
        </w:tc>
        <w:tc>
          <w:tcPr>
            <w:tcW w:w="1239" w:type="dxa"/>
          </w:tcPr>
          <w:p w14:paraId="142441C3" w14:textId="77777777" w:rsidR="00E93186" w:rsidRPr="00236412" w:rsidRDefault="00E93186" w:rsidP="00E93186">
            <w:pPr>
              <w:pStyle w:val="Tabletext"/>
              <w:rPr>
                <w:rFonts w:cs="Arial"/>
              </w:rPr>
            </w:pPr>
            <w:r w:rsidRPr="00236412">
              <w:rPr>
                <w:rStyle w:val="block"/>
              </w:rPr>
              <w:t>OR 0.52</w:t>
            </w:r>
            <w:r w:rsidRPr="00236412">
              <w:br/>
            </w:r>
            <w:r w:rsidRPr="00236412">
              <w:rPr>
                <w:rStyle w:val="cell"/>
              </w:rPr>
              <w:t>(0.25 to 1.07) sHR 0.53 (0.26, 1.06)</w:t>
            </w:r>
          </w:p>
        </w:tc>
        <w:tc>
          <w:tcPr>
            <w:tcW w:w="990" w:type="dxa"/>
          </w:tcPr>
          <w:p w14:paraId="4DFB8F9C" w14:textId="77777777" w:rsidR="00E93186" w:rsidRPr="00236412" w:rsidRDefault="00E93186" w:rsidP="00E93186">
            <w:pPr>
              <w:pStyle w:val="Tabletext"/>
            </w:pPr>
            <w:r w:rsidRPr="00236412">
              <w:t xml:space="preserve">109 per 1,000 </w:t>
            </w:r>
          </w:p>
        </w:tc>
        <w:tc>
          <w:tcPr>
            <w:tcW w:w="1129" w:type="dxa"/>
          </w:tcPr>
          <w:p w14:paraId="46C12F3C" w14:textId="77777777" w:rsidR="00E93186" w:rsidRPr="00236412" w:rsidRDefault="00E93186" w:rsidP="00E93186">
            <w:pPr>
              <w:pStyle w:val="Tabletext"/>
              <w:rPr>
                <w:rStyle w:val="cell-value"/>
              </w:rPr>
            </w:pPr>
            <w:r w:rsidRPr="00236412">
              <w:rPr>
                <w:rStyle w:val="cell-value"/>
              </w:rPr>
              <w:t>60 per 1,000</w:t>
            </w:r>
            <w:r w:rsidRPr="00236412">
              <w:rPr>
                <w:rStyle w:val="cell-value"/>
              </w:rPr>
              <w:br/>
              <w:t>(30 to 116)</w:t>
            </w:r>
            <w:r w:rsidRPr="00236412">
              <w:t xml:space="preserve"> </w:t>
            </w:r>
          </w:p>
        </w:tc>
        <w:tc>
          <w:tcPr>
            <w:tcW w:w="2399" w:type="dxa"/>
          </w:tcPr>
          <w:p w14:paraId="7C3DE949" w14:textId="77777777" w:rsidR="00E93186" w:rsidRPr="00236412" w:rsidRDefault="00E93186" w:rsidP="00E93186">
            <w:pPr>
              <w:keepNext/>
              <w:spacing w:after="40"/>
              <w:rPr>
                <w:rFonts w:ascii="Arial Narrow" w:hAnsi="Arial Narrow" w:cs="Arial"/>
                <w:sz w:val="20"/>
              </w:rPr>
            </w:pPr>
            <w:r w:rsidRPr="00236412">
              <w:rPr>
                <w:rFonts w:ascii="Arial Narrow" w:hAnsi="Arial Narrow"/>
                <w:sz w:val="20"/>
              </w:rPr>
              <w:t xml:space="preserve">LAAC likely reduces major/non-major clinically relevant bleeding when excluding procedure-related events. </w:t>
            </w:r>
          </w:p>
        </w:tc>
      </w:tr>
    </w:tbl>
    <w:p w14:paraId="1655ABD3" w14:textId="77777777" w:rsidR="00E93186" w:rsidRPr="00236412" w:rsidRDefault="00E93186" w:rsidP="008275A0">
      <w:pPr>
        <w:pStyle w:val="Tablenotes"/>
        <w:rPr>
          <w:i/>
        </w:rPr>
      </w:pPr>
      <w:bookmarkStart w:id="18" w:name="_Hlk20844586"/>
      <w:r w:rsidRPr="006326F2">
        <w:t xml:space="preserve">Source: Table 2, p26-27 of the ADAR with commentary in </w:t>
      </w:r>
      <w:r w:rsidRPr="006326F2">
        <w:rPr>
          <w:i/>
        </w:rPr>
        <w:t>italics</w:t>
      </w:r>
    </w:p>
    <w:p w14:paraId="6FAD8535" w14:textId="77777777" w:rsidR="00E93186" w:rsidRDefault="00E93186" w:rsidP="008275A0">
      <w:pPr>
        <w:pStyle w:val="Tablenotes"/>
      </w:pPr>
      <w:r>
        <w:t xml:space="preserve">Abbreviations: </w:t>
      </w:r>
      <w:r w:rsidRPr="000E0BFD">
        <w:t>CI</w:t>
      </w:r>
      <w:r>
        <w:t xml:space="preserve"> = </w:t>
      </w:r>
      <w:r w:rsidRPr="000E0BFD">
        <w:t>confidence interval; MNMCRB</w:t>
      </w:r>
      <w:r>
        <w:t xml:space="preserve"> = m</w:t>
      </w:r>
      <w:r w:rsidRPr="000E0BFD">
        <w:t xml:space="preserve">ajor/non-major </w:t>
      </w:r>
      <w:r>
        <w:t xml:space="preserve">clinically relevant bleeding; CV = </w:t>
      </w:r>
      <w:r w:rsidRPr="000E0BFD">
        <w:t xml:space="preserve">cardiovascular; </w:t>
      </w:r>
      <w:r>
        <w:t>DOAC = direct oral anticoagulant LAAC = left atrial appendage closure; NR = not reported;</w:t>
      </w:r>
      <w:r w:rsidRPr="000E0BFD">
        <w:t xml:space="preserve"> OR</w:t>
      </w:r>
      <w:r>
        <w:t xml:space="preserve"> = </w:t>
      </w:r>
      <w:r w:rsidRPr="000E0BFD">
        <w:t xml:space="preserve">odds ratio; </w:t>
      </w:r>
      <w:r>
        <w:t>RCT = randomised controlled trial; sHR = subdistribution hazard ratio.</w:t>
      </w:r>
      <w:bookmarkEnd w:id="18"/>
    </w:p>
    <w:p w14:paraId="0FDD97A3" w14:textId="560F7B69" w:rsidR="00E93186" w:rsidRPr="00A3532C" w:rsidRDefault="00E93186" w:rsidP="00D03146">
      <w:pPr>
        <w:pStyle w:val="TFAbbrevs18"/>
        <w:keepNext w:val="0"/>
        <w:keepLines w:val="0"/>
        <w:spacing w:after="0"/>
      </w:pPr>
      <w:r w:rsidRPr="000E0BFD">
        <w:rPr>
          <w:vertAlign w:val="superscript"/>
        </w:rPr>
        <w:t xml:space="preserve">a </w:t>
      </w:r>
      <w:r w:rsidRPr="000E0BFD">
        <w:t xml:space="preserve">GRADE Working Group grades of evidence (Guyatt et al., 2013); </w:t>
      </w:r>
      <w:r w:rsidRPr="000E0BFD">
        <w:rPr>
          <w:rFonts w:ascii="Cambria Math" w:hAnsi="Cambria Math" w:cs="Cambria Math"/>
          <w:color w:val="00B050"/>
        </w:rPr>
        <w:t>⨁⨁⨁⨁</w:t>
      </w:r>
      <w:r w:rsidRPr="000E0BFD">
        <w:rPr>
          <w:color w:val="00B050"/>
        </w:rPr>
        <w:t xml:space="preserve"> </w:t>
      </w:r>
      <w:r w:rsidRPr="000E0BFD">
        <w:rPr>
          <w:b/>
          <w:bCs/>
        </w:rPr>
        <w:t>High quality:</w:t>
      </w:r>
      <w:r w:rsidRPr="000E0BFD">
        <w:t xml:space="preserve"> We are very confident that the true effect lies close to that of the estimate of effect. </w:t>
      </w:r>
      <w:r w:rsidRPr="000E0BFD">
        <w:rPr>
          <w:rFonts w:ascii="Cambria Math" w:hAnsi="Cambria Math" w:cs="Cambria Math"/>
          <w:color w:val="00B050"/>
        </w:rPr>
        <w:t>⨁⨁⨁</w:t>
      </w:r>
      <w:r w:rsidRPr="000E0BFD">
        <w:rPr>
          <w:rFonts w:ascii="Cambria Math" w:hAnsi="Cambria Math" w:cs="Cambria Math"/>
          <w:color w:val="C00000"/>
        </w:rPr>
        <w:t>⨀</w:t>
      </w:r>
      <w:r w:rsidRPr="000E0BFD">
        <w:rPr>
          <w:rFonts w:cs="Cambria Math"/>
          <w:color w:val="C00000"/>
        </w:rPr>
        <w:t xml:space="preserve"> </w:t>
      </w:r>
      <w:r w:rsidRPr="000E0BFD">
        <w:rPr>
          <w:b/>
          <w:bCs/>
        </w:rPr>
        <w:t>Moderate quality:</w:t>
      </w:r>
      <w:r w:rsidRPr="000E0BFD">
        <w:t xml:space="preserve"> We are moderately confident in the effect estimate: The true effect is likely to be close to the estimate of the effect, but there is a possibility that it is substantially different. </w:t>
      </w:r>
      <w:r w:rsidRPr="000E0BFD">
        <w:rPr>
          <w:rFonts w:ascii="Cambria Math" w:hAnsi="Cambria Math" w:cs="Cambria Math"/>
          <w:color w:val="00B050"/>
        </w:rPr>
        <w:t>⨁⨁</w:t>
      </w:r>
      <w:r w:rsidRPr="000E0BFD">
        <w:rPr>
          <w:rFonts w:ascii="Cambria Math" w:hAnsi="Cambria Math" w:cs="Cambria Math"/>
          <w:color w:val="C00000"/>
        </w:rPr>
        <w:t>⨀⨀</w:t>
      </w:r>
      <w:r w:rsidRPr="000E0BFD">
        <w:rPr>
          <w:rFonts w:cs="Cambria Math"/>
          <w:color w:val="C00000"/>
        </w:rPr>
        <w:t xml:space="preserve"> </w:t>
      </w:r>
      <w:r w:rsidRPr="000E0BFD">
        <w:rPr>
          <w:b/>
          <w:bCs/>
        </w:rPr>
        <w:t>Low quality:</w:t>
      </w:r>
      <w:r w:rsidRPr="000E0BFD">
        <w:t xml:space="preserve"> Our confidence in the effect estimate is limited: The true effect may be substantially different from the estimate of the effect.</w:t>
      </w:r>
      <w:r w:rsidRPr="000E0BFD">
        <w:rPr>
          <w:rFonts w:ascii="Cambria Math" w:hAnsi="Cambria Math" w:cs="Cambria Math"/>
          <w:color w:val="00B050"/>
        </w:rPr>
        <w:t>⨁</w:t>
      </w:r>
      <w:r w:rsidRPr="000E0BFD">
        <w:rPr>
          <w:rFonts w:ascii="Cambria Math" w:hAnsi="Cambria Math" w:cs="Cambria Math"/>
          <w:color w:val="C00000"/>
        </w:rPr>
        <w:t>⨀⨀⨀</w:t>
      </w:r>
      <w:r w:rsidRPr="000E0BFD">
        <w:rPr>
          <w:rFonts w:cs="Cambria Math"/>
          <w:color w:val="C00000"/>
        </w:rPr>
        <w:t xml:space="preserve"> </w:t>
      </w:r>
      <w:r w:rsidRPr="000E0BFD">
        <w:rPr>
          <w:b/>
          <w:bCs/>
        </w:rPr>
        <w:t>Very low quality:</w:t>
      </w:r>
      <w:r w:rsidRPr="000E0BFD">
        <w:t xml:space="preserve"> We have very little confidence in the effect estimate: The true effect is likely to be substantially different from the estimate of effect. </w:t>
      </w:r>
    </w:p>
    <w:p w14:paraId="430EEF67" w14:textId="77777777" w:rsidR="00E93186" w:rsidRPr="000E0BFD" w:rsidRDefault="00E93186" w:rsidP="00E93186">
      <w:pPr>
        <w:pStyle w:val="Caption"/>
        <w:keepLines/>
      </w:pPr>
      <w:bookmarkStart w:id="19" w:name="_Ref58596537"/>
      <w:r w:rsidRPr="000E0BFD">
        <w:lastRenderedPageBreak/>
        <w:t xml:space="preserve">Table </w:t>
      </w:r>
      <w:r w:rsidR="00FE1F6B">
        <w:fldChar w:fldCharType="begin"/>
      </w:r>
      <w:r w:rsidR="00FE1F6B">
        <w:instrText xml:space="preserve"> SEQ Table \* ARABIC </w:instrText>
      </w:r>
      <w:r w:rsidR="00FE1F6B">
        <w:fldChar w:fldCharType="separate"/>
      </w:r>
      <w:r>
        <w:rPr>
          <w:noProof/>
        </w:rPr>
        <w:t>9</w:t>
      </w:r>
      <w:r w:rsidR="00FE1F6B">
        <w:rPr>
          <w:noProof/>
        </w:rPr>
        <w:fldChar w:fldCharType="end"/>
      </w:r>
      <w:bookmarkEnd w:id="19"/>
      <w:r>
        <w:tab/>
      </w:r>
      <w:r w:rsidRPr="000E0BFD">
        <w:rPr>
          <w:snapToGrid w:val="0"/>
          <w:szCs w:val="16"/>
        </w:rPr>
        <w:t xml:space="preserve">Balance of clinical benefits and harms of LAAC, relative to </w:t>
      </w:r>
      <w:r>
        <w:rPr>
          <w:snapToGrid w:val="0"/>
          <w:szCs w:val="16"/>
        </w:rPr>
        <w:t>DOAC</w:t>
      </w:r>
      <w:r w:rsidRPr="000E0BFD">
        <w:rPr>
          <w:snapToGrid w:val="0"/>
          <w:szCs w:val="16"/>
        </w:rPr>
        <w:t xml:space="preserve"> via warfarin ITC, and as measured by the </w:t>
      </w:r>
      <w:r w:rsidRPr="000E0BFD">
        <w:rPr>
          <w:snapToGrid w:val="0"/>
          <w:szCs w:val="16"/>
          <w:u w:val="single"/>
        </w:rPr>
        <w:t>critical</w:t>
      </w:r>
      <w:r w:rsidRPr="000E0BFD">
        <w:rPr>
          <w:snapToGrid w:val="0"/>
          <w:szCs w:val="16"/>
        </w:rPr>
        <w:t xml:space="preserve"> patient-relevant outcomes in the key studies</w:t>
      </w:r>
    </w:p>
    <w:tbl>
      <w:tblPr>
        <w:tblStyle w:val="OPTUMTableNormal"/>
        <w:tblW w:w="5107" w:type="pct"/>
        <w:tblLook w:val="04A0" w:firstRow="1" w:lastRow="0" w:firstColumn="1" w:lastColumn="0" w:noHBand="0" w:noVBand="1"/>
        <w:tblDescription w:val="Summary of findings table"/>
      </w:tblPr>
      <w:tblGrid>
        <w:gridCol w:w="1246"/>
        <w:gridCol w:w="1269"/>
        <w:gridCol w:w="977"/>
        <w:gridCol w:w="1415"/>
        <w:gridCol w:w="1195"/>
        <w:gridCol w:w="1236"/>
        <w:gridCol w:w="1871"/>
      </w:tblGrid>
      <w:tr w:rsidR="00E93186" w:rsidRPr="00761705" w14:paraId="3458CA7F" w14:textId="77777777" w:rsidTr="00511ED5">
        <w:trPr>
          <w:cnfStyle w:val="100000000000" w:firstRow="1" w:lastRow="0" w:firstColumn="0" w:lastColumn="0" w:oddVBand="0" w:evenVBand="0" w:oddHBand="0" w:evenHBand="0" w:firstRowFirstColumn="0" w:firstRowLastColumn="0" w:lastRowFirstColumn="0" w:lastRowLastColumn="0"/>
          <w:tblHeader/>
        </w:trPr>
        <w:tc>
          <w:tcPr>
            <w:tcW w:w="677" w:type="pct"/>
          </w:tcPr>
          <w:p w14:paraId="2F031C2F" w14:textId="77777777" w:rsidR="00E93186" w:rsidRPr="00981EA6" w:rsidRDefault="00E93186" w:rsidP="00E93186">
            <w:pPr>
              <w:keepNext/>
              <w:keepLines/>
              <w:spacing w:after="40"/>
              <w:rPr>
                <w:rFonts w:ascii="Arial Narrow" w:hAnsi="Arial Narrow"/>
                <w:b/>
                <w:sz w:val="20"/>
              </w:rPr>
            </w:pPr>
            <w:r w:rsidRPr="00981EA6">
              <w:rPr>
                <w:rFonts w:ascii="Arial Narrow" w:hAnsi="Arial Narrow"/>
                <w:b/>
                <w:sz w:val="20"/>
              </w:rPr>
              <w:t>Outcomes (units)</w:t>
            </w:r>
          </w:p>
          <w:p w14:paraId="255D01C8" w14:textId="77777777" w:rsidR="00E93186" w:rsidRPr="00981EA6" w:rsidRDefault="00E93186" w:rsidP="00E93186">
            <w:pPr>
              <w:keepNext/>
              <w:keepLines/>
              <w:spacing w:after="40"/>
              <w:rPr>
                <w:rFonts w:ascii="Arial Narrow" w:hAnsi="Arial Narrow"/>
                <w:b/>
                <w:sz w:val="20"/>
              </w:rPr>
            </w:pPr>
            <w:r w:rsidRPr="00981EA6">
              <w:rPr>
                <w:rFonts w:ascii="Arial Narrow" w:hAnsi="Arial Narrow"/>
                <w:b/>
                <w:sz w:val="20"/>
              </w:rPr>
              <w:t>Follow-up</w:t>
            </w:r>
          </w:p>
        </w:tc>
        <w:tc>
          <w:tcPr>
            <w:tcW w:w="689" w:type="pct"/>
          </w:tcPr>
          <w:p w14:paraId="7C1A0CCD" w14:textId="77777777" w:rsidR="00E93186" w:rsidRPr="00981EA6" w:rsidRDefault="00E93186" w:rsidP="00E93186">
            <w:pPr>
              <w:keepNext/>
              <w:keepLines/>
              <w:spacing w:after="40"/>
              <w:rPr>
                <w:rFonts w:ascii="Arial Narrow" w:hAnsi="Arial Narrow"/>
                <w:b/>
                <w:sz w:val="20"/>
              </w:rPr>
            </w:pPr>
            <w:r w:rsidRPr="00981EA6">
              <w:rPr>
                <w:rFonts w:ascii="Arial Narrow" w:hAnsi="Arial Narrow"/>
                <w:b/>
                <w:sz w:val="20"/>
              </w:rPr>
              <w:t>Participants (studies)</w:t>
            </w:r>
          </w:p>
        </w:tc>
        <w:tc>
          <w:tcPr>
            <w:tcW w:w="530" w:type="pct"/>
          </w:tcPr>
          <w:p w14:paraId="0E6A08B1" w14:textId="77777777" w:rsidR="00E93186" w:rsidRPr="00981EA6" w:rsidRDefault="00E93186" w:rsidP="00E93186">
            <w:pPr>
              <w:keepNext/>
              <w:keepLines/>
              <w:spacing w:after="40"/>
              <w:rPr>
                <w:rFonts w:ascii="Arial Narrow" w:hAnsi="Arial Narrow"/>
                <w:b/>
                <w:sz w:val="20"/>
              </w:rPr>
            </w:pPr>
            <w:r w:rsidRPr="00981EA6">
              <w:rPr>
                <w:rFonts w:ascii="Arial Narrow" w:hAnsi="Arial Narrow"/>
                <w:b/>
                <w:sz w:val="20"/>
              </w:rPr>
              <w:t>Quality of evidence (GRADE)</w:t>
            </w:r>
            <w:r w:rsidRPr="00981EA6">
              <w:rPr>
                <w:rFonts w:ascii="Arial Narrow" w:hAnsi="Arial Narrow"/>
                <w:b/>
                <w:sz w:val="20"/>
                <w:vertAlign w:val="superscript"/>
              </w:rPr>
              <w:t>a</w:t>
            </w:r>
          </w:p>
        </w:tc>
        <w:tc>
          <w:tcPr>
            <w:tcW w:w="768" w:type="pct"/>
          </w:tcPr>
          <w:p w14:paraId="14DC174A" w14:textId="77777777" w:rsidR="00E93186" w:rsidRPr="00981EA6" w:rsidRDefault="00E93186" w:rsidP="00E93186">
            <w:pPr>
              <w:keepNext/>
              <w:keepLines/>
              <w:spacing w:after="40"/>
              <w:rPr>
                <w:rFonts w:ascii="Arial Narrow" w:hAnsi="Arial Narrow"/>
                <w:b/>
                <w:sz w:val="20"/>
              </w:rPr>
            </w:pPr>
            <w:r w:rsidRPr="00981EA6">
              <w:rPr>
                <w:rFonts w:ascii="Arial Narrow" w:hAnsi="Arial Narrow"/>
                <w:b/>
                <w:sz w:val="20"/>
              </w:rPr>
              <w:t xml:space="preserve">LAAC vs warfarin </w:t>
            </w:r>
            <w:r w:rsidRPr="00981EA6">
              <w:rPr>
                <w:rFonts w:ascii="Arial Narrow" w:hAnsi="Arial Narrow"/>
                <w:b/>
                <w:sz w:val="20"/>
              </w:rPr>
              <w:br/>
              <w:t>OR (95%CI)</w:t>
            </w:r>
          </w:p>
          <w:p w14:paraId="5A763312" w14:textId="77777777" w:rsidR="00E93186" w:rsidRPr="00981EA6" w:rsidRDefault="00E93186" w:rsidP="00E93186">
            <w:pPr>
              <w:keepNext/>
              <w:keepLines/>
              <w:spacing w:after="40"/>
              <w:rPr>
                <w:rFonts w:ascii="Arial Narrow" w:hAnsi="Arial Narrow"/>
                <w:bCs/>
                <w:sz w:val="20"/>
              </w:rPr>
            </w:pPr>
            <w:r w:rsidRPr="00981EA6">
              <w:rPr>
                <w:rFonts w:ascii="Arial Narrow" w:hAnsi="Arial Narrow"/>
                <w:bCs/>
                <w:sz w:val="20"/>
              </w:rPr>
              <w:t>OR &lt; 1 favours LAAC</w:t>
            </w:r>
          </w:p>
        </w:tc>
        <w:tc>
          <w:tcPr>
            <w:tcW w:w="649" w:type="pct"/>
          </w:tcPr>
          <w:p w14:paraId="0392146E" w14:textId="77777777" w:rsidR="00E93186" w:rsidRPr="00981EA6" w:rsidRDefault="00E93186" w:rsidP="00E93186">
            <w:pPr>
              <w:keepNext/>
              <w:keepLines/>
              <w:spacing w:after="40"/>
              <w:rPr>
                <w:rFonts w:ascii="Arial Narrow" w:hAnsi="Arial Narrow"/>
                <w:b/>
                <w:sz w:val="20"/>
              </w:rPr>
            </w:pPr>
            <w:r>
              <w:rPr>
                <w:rFonts w:ascii="Arial Narrow" w:hAnsi="Arial Narrow"/>
                <w:b/>
                <w:sz w:val="20"/>
              </w:rPr>
              <w:t>DOAC</w:t>
            </w:r>
            <w:r w:rsidRPr="00981EA6">
              <w:rPr>
                <w:rFonts w:ascii="Arial Narrow" w:hAnsi="Arial Narrow"/>
                <w:b/>
                <w:sz w:val="20"/>
              </w:rPr>
              <w:t xml:space="preserve"> vs warfarin </w:t>
            </w:r>
            <w:r w:rsidRPr="00981EA6">
              <w:rPr>
                <w:rFonts w:ascii="Arial Narrow" w:hAnsi="Arial Narrow"/>
                <w:b/>
                <w:sz w:val="20"/>
              </w:rPr>
              <w:br/>
              <w:t>OR (95%CI)</w:t>
            </w:r>
          </w:p>
          <w:p w14:paraId="1626801A" w14:textId="77777777" w:rsidR="00E93186" w:rsidRPr="00981EA6" w:rsidRDefault="00E93186" w:rsidP="00E93186">
            <w:pPr>
              <w:keepNext/>
              <w:keepLines/>
              <w:spacing w:after="40"/>
              <w:rPr>
                <w:rFonts w:ascii="Arial Narrow" w:hAnsi="Arial Narrow"/>
                <w:bCs/>
                <w:sz w:val="20"/>
              </w:rPr>
            </w:pPr>
            <w:r w:rsidRPr="00981EA6">
              <w:rPr>
                <w:rFonts w:ascii="Arial Narrow" w:hAnsi="Arial Narrow"/>
                <w:bCs/>
                <w:sz w:val="20"/>
              </w:rPr>
              <w:t xml:space="preserve">OR &lt; 1 favours </w:t>
            </w:r>
            <w:r>
              <w:rPr>
                <w:rFonts w:ascii="Arial Narrow" w:hAnsi="Arial Narrow"/>
                <w:bCs/>
                <w:sz w:val="20"/>
              </w:rPr>
              <w:t>DOAC</w:t>
            </w:r>
          </w:p>
        </w:tc>
        <w:tc>
          <w:tcPr>
            <w:tcW w:w="671" w:type="pct"/>
          </w:tcPr>
          <w:p w14:paraId="5E0D2B80" w14:textId="77777777" w:rsidR="00E93186" w:rsidRPr="00981EA6" w:rsidRDefault="00E93186" w:rsidP="00E93186">
            <w:pPr>
              <w:keepNext/>
              <w:keepLines/>
              <w:spacing w:after="40"/>
              <w:rPr>
                <w:rFonts w:ascii="Arial Narrow" w:hAnsi="Arial Narrow"/>
                <w:b/>
                <w:sz w:val="20"/>
              </w:rPr>
            </w:pPr>
            <w:r w:rsidRPr="00981EA6">
              <w:rPr>
                <w:rFonts w:ascii="Arial Narrow" w:hAnsi="Arial Narrow"/>
                <w:b/>
                <w:sz w:val="20"/>
              </w:rPr>
              <w:t>IEE: OR (95%CI)</w:t>
            </w:r>
          </w:p>
          <w:p w14:paraId="3A4AC756" w14:textId="77777777" w:rsidR="00E93186" w:rsidRPr="00981EA6" w:rsidRDefault="00E93186" w:rsidP="00E93186">
            <w:pPr>
              <w:keepNext/>
              <w:keepLines/>
              <w:spacing w:after="40"/>
              <w:rPr>
                <w:rFonts w:ascii="Arial Narrow" w:hAnsi="Arial Narrow"/>
                <w:bCs/>
                <w:sz w:val="20"/>
              </w:rPr>
            </w:pPr>
            <w:r w:rsidRPr="00981EA6">
              <w:rPr>
                <w:rFonts w:ascii="Arial Narrow" w:hAnsi="Arial Narrow"/>
                <w:bCs/>
                <w:sz w:val="20"/>
              </w:rPr>
              <w:t>OR &lt; 1 favours LAAC</w:t>
            </w:r>
          </w:p>
        </w:tc>
        <w:tc>
          <w:tcPr>
            <w:tcW w:w="1016" w:type="pct"/>
          </w:tcPr>
          <w:p w14:paraId="61CDEF0E" w14:textId="77777777" w:rsidR="00E93186" w:rsidRPr="00981EA6" w:rsidRDefault="00E93186" w:rsidP="00E93186">
            <w:pPr>
              <w:keepNext/>
              <w:keepLines/>
              <w:spacing w:after="40"/>
              <w:rPr>
                <w:rFonts w:ascii="Arial Narrow" w:hAnsi="Arial Narrow"/>
                <w:b/>
                <w:sz w:val="20"/>
              </w:rPr>
            </w:pPr>
            <w:r w:rsidRPr="00981EA6">
              <w:rPr>
                <w:rFonts w:ascii="Arial Narrow" w:hAnsi="Arial Narrow"/>
                <w:b/>
                <w:sz w:val="20"/>
              </w:rPr>
              <w:t>Comments</w:t>
            </w:r>
          </w:p>
        </w:tc>
      </w:tr>
      <w:tr w:rsidR="00E93186" w:rsidRPr="00761705" w14:paraId="58C4D4E6" w14:textId="77777777" w:rsidTr="00511ED5">
        <w:trPr>
          <w:trHeight w:val="25"/>
        </w:trPr>
        <w:tc>
          <w:tcPr>
            <w:tcW w:w="677" w:type="pct"/>
          </w:tcPr>
          <w:p w14:paraId="4D5D3EE1" w14:textId="77777777" w:rsidR="00E93186" w:rsidRPr="00981EA6" w:rsidRDefault="00E93186" w:rsidP="00E93186">
            <w:pPr>
              <w:pStyle w:val="Tabletext"/>
            </w:pPr>
            <w:r w:rsidRPr="00981EA6">
              <w:t>All stroke</w:t>
            </w:r>
          </w:p>
        </w:tc>
        <w:tc>
          <w:tcPr>
            <w:tcW w:w="689" w:type="pct"/>
          </w:tcPr>
          <w:p w14:paraId="0D42284A" w14:textId="77777777" w:rsidR="00E93186" w:rsidRPr="00981EA6" w:rsidRDefault="00E93186" w:rsidP="00E93186">
            <w:pPr>
              <w:pStyle w:val="Tabletext"/>
            </w:pPr>
            <w:r w:rsidRPr="00981EA6">
              <w:t xml:space="preserve">ITC of LAAC vs warfarin k=2; N=1114 / </w:t>
            </w:r>
            <w:r>
              <w:t>DOAC</w:t>
            </w:r>
            <w:r w:rsidRPr="00981EA6">
              <w:t xml:space="preserve"> vs warfarin k=4; N=51,731</w:t>
            </w:r>
          </w:p>
        </w:tc>
        <w:tc>
          <w:tcPr>
            <w:tcW w:w="530" w:type="pct"/>
          </w:tcPr>
          <w:p w14:paraId="3E105D99" w14:textId="77777777" w:rsidR="00E93186" w:rsidRPr="00981EA6" w:rsidRDefault="00E93186" w:rsidP="00E93186">
            <w:pPr>
              <w:keepNext/>
              <w:keepLines/>
              <w:spacing w:after="40"/>
              <w:rPr>
                <w:rFonts w:ascii="Arial Narrow" w:hAnsi="Arial Narrow" w:cs="Cambria Math"/>
                <w:sz w:val="20"/>
                <w:vertAlign w:val="superscript"/>
              </w:rPr>
            </w:pPr>
            <w:r w:rsidRPr="00981EA6">
              <w:rPr>
                <w:rFonts w:ascii="Cambria Math" w:hAnsi="Cambria Math" w:cs="Cambria Math"/>
                <w:color w:val="00B050"/>
                <w:sz w:val="20"/>
              </w:rPr>
              <w:t>⨁</w:t>
            </w:r>
            <w:r w:rsidRPr="00981EA6">
              <w:rPr>
                <w:rFonts w:ascii="Cambria Math" w:hAnsi="Cambria Math" w:cs="Cambria Math"/>
                <w:color w:val="C00000"/>
                <w:sz w:val="20"/>
              </w:rPr>
              <w:t>⨀⨀⨀</w:t>
            </w:r>
            <w:r w:rsidRPr="00981EA6">
              <w:rPr>
                <w:rFonts w:ascii="Arial Narrow" w:hAnsi="Arial Narrow" w:cs="Cambria Math"/>
                <w:sz w:val="20"/>
                <w:vertAlign w:val="superscript"/>
              </w:rPr>
              <w:t>b</w:t>
            </w:r>
          </w:p>
          <w:p w14:paraId="14E391B3" w14:textId="77777777" w:rsidR="00E93186" w:rsidRPr="00981EA6" w:rsidRDefault="00E93186" w:rsidP="00E93186">
            <w:pPr>
              <w:keepNext/>
              <w:keepLines/>
              <w:spacing w:after="40"/>
              <w:rPr>
                <w:rFonts w:ascii="Arial Narrow" w:hAnsi="Arial Narrow" w:cs="Arial"/>
                <w:sz w:val="20"/>
              </w:rPr>
            </w:pPr>
            <w:r w:rsidRPr="00981EA6">
              <w:rPr>
                <w:rFonts w:ascii="Arial Narrow" w:hAnsi="Arial Narrow" w:cs="Arial"/>
                <w:sz w:val="20"/>
              </w:rPr>
              <w:t>VERY LOW</w:t>
            </w:r>
          </w:p>
        </w:tc>
        <w:tc>
          <w:tcPr>
            <w:tcW w:w="768" w:type="pct"/>
          </w:tcPr>
          <w:p w14:paraId="79592EB4" w14:textId="77777777" w:rsidR="00E93186" w:rsidRPr="00981EA6" w:rsidRDefault="00E93186" w:rsidP="00E93186">
            <w:pPr>
              <w:pStyle w:val="Tabletext"/>
            </w:pPr>
            <w:r w:rsidRPr="00981EA6">
              <w:t>0.94 (0.43, 2.06)</w:t>
            </w:r>
          </w:p>
          <w:p w14:paraId="6D61B5CF" w14:textId="77777777" w:rsidR="00E93186" w:rsidRPr="00981EA6" w:rsidRDefault="00E93186" w:rsidP="00E93186">
            <w:pPr>
              <w:pStyle w:val="Tabletext"/>
              <w:rPr>
                <w:iCs/>
              </w:rPr>
            </w:pPr>
            <w:r w:rsidRPr="00981EA6">
              <w:rPr>
                <w:iCs/>
              </w:rPr>
              <w:t>PROTECT-AF only:</w:t>
            </w:r>
            <w:r w:rsidRPr="00981EA6">
              <w:rPr>
                <w:iCs/>
              </w:rPr>
              <w:br/>
              <w:t>0.67 (0.36, 1.22)</w:t>
            </w:r>
          </w:p>
        </w:tc>
        <w:tc>
          <w:tcPr>
            <w:tcW w:w="649" w:type="pct"/>
          </w:tcPr>
          <w:p w14:paraId="5888C14E" w14:textId="77777777" w:rsidR="00E93186" w:rsidRPr="00981EA6" w:rsidRDefault="00E93186" w:rsidP="00E93186">
            <w:pPr>
              <w:pStyle w:val="Tabletext"/>
            </w:pPr>
            <w:r w:rsidRPr="00981EA6">
              <w:t>0.86 (0.68, 1.09)</w:t>
            </w:r>
          </w:p>
        </w:tc>
        <w:tc>
          <w:tcPr>
            <w:tcW w:w="671" w:type="pct"/>
          </w:tcPr>
          <w:p w14:paraId="116CB7F6" w14:textId="77777777" w:rsidR="00E93186" w:rsidRPr="00981EA6" w:rsidRDefault="00E93186" w:rsidP="00E93186">
            <w:pPr>
              <w:pStyle w:val="Tabletext"/>
            </w:pPr>
            <w:r w:rsidRPr="00981EA6">
              <w:t>1.09 (0.48, 2.48)</w:t>
            </w:r>
          </w:p>
          <w:p w14:paraId="12DA1E0E" w14:textId="77777777" w:rsidR="00E93186" w:rsidRPr="00981EA6" w:rsidRDefault="00E93186" w:rsidP="00E93186">
            <w:pPr>
              <w:pStyle w:val="Tabletext"/>
            </w:pPr>
            <w:r w:rsidRPr="00981EA6">
              <w:rPr>
                <w:iCs/>
              </w:rPr>
              <w:t>PROTECT-AF only: 0.78 (0.4, 1.5)</w:t>
            </w:r>
          </w:p>
        </w:tc>
        <w:tc>
          <w:tcPr>
            <w:tcW w:w="1016" w:type="pct"/>
          </w:tcPr>
          <w:p w14:paraId="54BFAFB7" w14:textId="77777777" w:rsidR="00E93186" w:rsidRPr="00981EA6" w:rsidRDefault="00E93186" w:rsidP="00E93186">
            <w:pPr>
              <w:keepNext/>
              <w:keepLines/>
              <w:spacing w:after="40"/>
              <w:rPr>
                <w:rFonts w:ascii="Arial Narrow" w:hAnsi="Arial Narrow" w:cs="Arial"/>
                <w:sz w:val="20"/>
              </w:rPr>
            </w:pPr>
            <w:r w:rsidRPr="00981EA6">
              <w:rPr>
                <w:rFonts w:ascii="Arial Narrow" w:hAnsi="Arial Narrow" w:cs="Arial"/>
                <w:sz w:val="20"/>
              </w:rPr>
              <w:t>No significant difference. Numerical difference in favour of LAAC in the analysis including only PROTECT-AF</w:t>
            </w:r>
          </w:p>
        </w:tc>
      </w:tr>
      <w:tr w:rsidR="00E93186" w:rsidRPr="00761705" w14:paraId="567E4F2F" w14:textId="77777777" w:rsidTr="00511ED5">
        <w:tc>
          <w:tcPr>
            <w:tcW w:w="677" w:type="pct"/>
          </w:tcPr>
          <w:p w14:paraId="12285818" w14:textId="77777777" w:rsidR="00E93186" w:rsidRPr="00981EA6" w:rsidRDefault="00E93186" w:rsidP="00E93186">
            <w:pPr>
              <w:pStyle w:val="Tabletext"/>
            </w:pPr>
            <w:r w:rsidRPr="00981EA6">
              <w:t>All stroke – post procedural</w:t>
            </w:r>
          </w:p>
        </w:tc>
        <w:tc>
          <w:tcPr>
            <w:tcW w:w="689" w:type="pct"/>
          </w:tcPr>
          <w:p w14:paraId="30C850B5" w14:textId="77777777" w:rsidR="00E93186" w:rsidRPr="00981EA6" w:rsidRDefault="00E93186" w:rsidP="00E93186">
            <w:pPr>
              <w:pStyle w:val="Tabletext"/>
            </w:pPr>
            <w:r w:rsidRPr="00981EA6">
              <w:t xml:space="preserve">ITC of LAAC vs warfarin k=2; N=1114 / </w:t>
            </w:r>
            <w:r>
              <w:t>DOAC</w:t>
            </w:r>
            <w:r w:rsidRPr="00981EA6">
              <w:t xml:space="preserve"> vs warfarin k=4; N=51,731</w:t>
            </w:r>
          </w:p>
        </w:tc>
        <w:tc>
          <w:tcPr>
            <w:tcW w:w="530" w:type="pct"/>
          </w:tcPr>
          <w:p w14:paraId="0FCD0E3E" w14:textId="77777777" w:rsidR="00E93186" w:rsidRPr="00981EA6" w:rsidRDefault="00E93186" w:rsidP="00E93186">
            <w:pPr>
              <w:spacing w:after="40"/>
              <w:rPr>
                <w:rFonts w:ascii="Arial Narrow" w:hAnsi="Arial Narrow" w:cs="Cambria Math"/>
                <w:sz w:val="20"/>
                <w:vertAlign w:val="superscript"/>
              </w:rPr>
            </w:pPr>
            <w:r w:rsidRPr="00981EA6">
              <w:rPr>
                <w:rFonts w:ascii="Cambria Math" w:hAnsi="Cambria Math" w:cs="Cambria Math"/>
                <w:color w:val="00B050"/>
                <w:sz w:val="20"/>
              </w:rPr>
              <w:t>⨁</w:t>
            </w:r>
            <w:r w:rsidRPr="00981EA6">
              <w:rPr>
                <w:rFonts w:ascii="Cambria Math" w:hAnsi="Cambria Math" w:cs="Cambria Math"/>
                <w:color w:val="C00000"/>
                <w:sz w:val="20"/>
              </w:rPr>
              <w:t>⨀⨀⨀</w:t>
            </w:r>
            <w:r w:rsidRPr="00981EA6">
              <w:rPr>
                <w:rFonts w:ascii="Arial Narrow" w:hAnsi="Arial Narrow" w:cs="Cambria Math"/>
                <w:sz w:val="20"/>
                <w:vertAlign w:val="superscript"/>
              </w:rPr>
              <w:t>b</w:t>
            </w:r>
          </w:p>
          <w:p w14:paraId="48A815DF" w14:textId="77777777" w:rsidR="00E93186" w:rsidRPr="00981EA6" w:rsidRDefault="00E93186" w:rsidP="00E93186">
            <w:pPr>
              <w:spacing w:after="40"/>
              <w:rPr>
                <w:rFonts w:ascii="Arial Narrow" w:hAnsi="Arial Narrow" w:cs="Arial"/>
                <w:sz w:val="20"/>
              </w:rPr>
            </w:pPr>
            <w:r w:rsidRPr="00981EA6">
              <w:rPr>
                <w:rFonts w:ascii="Arial Narrow" w:hAnsi="Arial Narrow" w:cs="Arial"/>
                <w:sz w:val="20"/>
              </w:rPr>
              <w:t>VERY LOW</w:t>
            </w:r>
          </w:p>
        </w:tc>
        <w:tc>
          <w:tcPr>
            <w:tcW w:w="768" w:type="pct"/>
          </w:tcPr>
          <w:p w14:paraId="735BF270" w14:textId="77777777" w:rsidR="00E93186" w:rsidRPr="00981EA6" w:rsidRDefault="00E93186" w:rsidP="00E93186">
            <w:pPr>
              <w:pStyle w:val="Tabletext"/>
            </w:pPr>
            <w:r w:rsidRPr="00981EA6">
              <w:t>0.83 (0.29, 2.42)</w:t>
            </w:r>
          </w:p>
          <w:p w14:paraId="29709824" w14:textId="77777777" w:rsidR="00E93186" w:rsidRPr="00981EA6" w:rsidRDefault="00E93186" w:rsidP="00E93186">
            <w:pPr>
              <w:pStyle w:val="Tabletext"/>
              <w:rPr>
                <w:iCs/>
              </w:rPr>
            </w:pPr>
            <w:r w:rsidRPr="00981EA6">
              <w:rPr>
                <w:iCs/>
              </w:rPr>
              <w:t>PROTECT-AF only:</w:t>
            </w:r>
          </w:p>
          <w:p w14:paraId="5F8974D1" w14:textId="77777777" w:rsidR="00E93186" w:rsidRPr="00981EA6" w:rsidRDefault="00E93186" w:rsidP="00E93186">
            <w:pPr>
              <w:pStyle w:val="Tabletext"/>
            </w:pPr>
            <w:r w:rsidRPr="00981EA6">
              <w:rPr>
                <w:iCs/>
              </w:rPr>
              <w:t>0.51 (0.27, 0.96)</w:t>
            </w:r>
          </w:p>
        </w:tc>
        <w:tc>
          <w:tcPr>
            <w:tcW w:w="649" w:type="pct"/>
          </w:tcPr>
          <w:p w14:paraId="37536AAA" w14:textId="77777777" w:rsidR="00E93186" w:rsidRPr="00981EA6" w:rsidRDefault="00E93186" w:rsidP="00E93186">
            <w:pPr>
              <w:pStyle w:val="Tabletext"/>
            </w:pPr>
            <w:r w:rsidRPr="00981EA6">
              <w:t>0.86 (0.68, 1.09)</w:t>
            </w:r>
          </w:p>
        </w:tc>
        <w:tc>
          <w:tcPr>
            <w:tcW w:w="671" w:type="pct"/>
          </w:tcPr>
          <w:p w14:paraId="162FD573" w14:textId="77777777" w:rsidR="00E93186" w:rsidRPr="00981EA6" w:rsidRDefault="00E93186" w:rsidP="00E93186">
            <w:pPr>
              <w:pStyle w:val="Tabletext"/>
            </w:pPr>
            <w:r w:rsidRPr="00981EA6">
              <w:t>0.97 (0.33, 2.86)</w:t>
            </w:r>
          </w:p>
          <w:p w14:paraId="441C6083" w14:textId="77777777" w:rsidR="00E93186" w:rsidRPr="00981EA6" w:rsidRDefault="00E93186" w:rsidP="00E93186">
            <w:pPr>
              <w:pStyle w:val="Tabletext"/>
            </w:pPr>
            <w:r w:rsidRPr="00981EA6">
              <w:rPr>
                <w:iCs/>
              </w:rPr>
              <w:t>PROTECT-AF only: 0.59 (0.3, 1.17)</w:t>
            </w:r>
          </w:p>
        </w:tc>
        <w:tc>
          <w:tcPr>
            <w:tcW w:w="1016" w:type="pct"/>
          </w:tcPr>
          <w:p w14:paraId="0FAF633A" w14:textId="77777777" w:rsidR="00E93186" w:rsidRPr="00981EA6" w:rsidRDefault="00E93186" w:rsidP="00E93186">
            <w:pPr>
              <w:spacing w:after="40"/>
              <w:rPr>
                <w:rFonts w:ascii="Arial Narrow" w:hAnsi="Arial Narrow" w:cs="Arial"/>
                <w:sz w:val="20"/>
              </w:rPr>
            </w:pPr>
            <w:r w:rsidRPr="00981EA6">
              <w:rPr>
                <w:rFonts w:ascii="Arial Narrow" w:hAnsi="Arial Narrow" w:cs="Arial"/>
                <w:sz w:val="20"/>
              </w:rPr>
              <w:t>No significant difference. Numerical difference in favour of LAAC in the analysis including only PROTECT-AF</w:t>
            </w:r>
          </w:p>
        </w:tc>
      </w:tr>
      <w:tr w:rsidR="00E93186" w:rsidRPr="00761705" w14:paraId="19023E79" w14:textId="77777777" w:rsidTr="00511ED5">
        <w:tc>
          <w:tcPr>
            <w:tcW w:w="677" w:type="pct"/>
          </w:tcPr>
          <w:p w14:paraId="46B090DF" w14:textId="77777777" w:rsidR="00E93186" w:rsidRPr="00981EA6" w:rsidRDefault="00E93186" w:rsidP="00E93186">
            <w:pPr>
              <w:pStyle w:val="Tabletext"/>
            </w:pPr>
            <w:r w:rsidRPr="00981EA6">
              <w:t>Ischaemic stroke</w:t>
            </w:r>
          </w:p>
        </w:tc>
        <w:tc>
          <w:tcPr>
            <w:tcW w:w="689" w:type="pct"/>
          </w:tcPr>
          <w:p w14:paraId="7EB289D5" w14:textId="77777777" w:rsidR="00E93186" w:rsidRPr="00981EA6" w:rsidRDefault="00E93186" w:rsidP="00E93186">
            <w:pPr>
              <w:pStyle w:val="Tabletext"/>
            </w:pPr>
            <w:r w:rsidRPr="00981EA6">
              <w:t xml:space="preserve">ITC of LAAC vs warfarin k=2; N=1114 / </w:t>
            </w:r>
            <w:r>
              <w:t>DOAC</w:t>
            </w:r>
            <w:r w:rsidRPr="00981EA6">
              <w:t xml:space="preserve"> vs warfarin k=4; N=51,731</w:t>
            </w:r>
          </w:p>
        </w:tc>
        <w:tc>
          <w:tcPr>
            <w:tcW w:w="530" w:type="pct"/>
          </w:tcPr>
          <w:p w14:paraId="225EB3E1" w14:textId="77777777" w:rsidR="00E93186" w:rsidRPr="00981EA6" w:rsidRDefault="00E93186" w:rsidP="00E93186">
            <w:pPr>
              <w:spacing w:after="40"/>
              <w:rPr>
                <w:rFonts w:ascii="Arial Narrow" w:hAnsi="Arial Narrow" w:cs="Cambria Math"/>
                <w:sz w:val="20"/>
                <w:vertAlign w:val="superscript"/>
              </w:rPr>
            </w:pPr>
            <w:r w:rsidRPr="00981EA6">
              <w:rPr>
                <w:rFonts w:ascii="Cambria Math" w:hAnsi="Cambria Math" w:cs="Cambria Math"/>
                <w:color w:val="00B050"/>
                <w:sz w:val="20"/>
              </w:rPr>
              <w:t>⨁⨁</w:t>
            </w:r>
            <w:r w:rsidRPr="00981EA6">
              <w:rPr>
                <w:rFonts w:ascii="Cambria Math" w:hAnsi="Cambria Math" w:cs="Cambria Math"/>
                <w:color w:val="C00000"/>
                <w:sz w:val="20"/>
              </w:rPr>
              <w:t>⨀⨀</w:t>
            </w:r>
            <w:r w:rsidRPr="00981EA6">
              <w:rPr>
                <w:rFonts w:ascii="Arial Narrow" w:hAnsi="Arial Narrow" w:cs="Cambria Math"/>
                <w:sz w:val="20"/>
                <w:vertAlign w:val="superscript"/>
              </w:rPr>
              <w:t>c</w:t>
            </w:r>
          </w:p>
          <w:p w14:paraId="26279030" w14:textId="77777777" w:rsidR="00E93186" w:rsidRPr="00981EA6" w:rsidRDefault="00E93186" w:rsidP="00E93186">
            <w:pPr>
              <w:spacing w:after="40"/>
              <w:rPr>
                <w:rFonts w:ascii="Arial Narrow" w:hAnsi="Arial Narrow" w:cs="Cambria Math"/>
                <w:sz w:val="20"/>
              </w:rPr>
            </w:pPr>
            <w:r w:rsidRPr="00981EA6">
              <w:rPr>
                <w:rFonts w:ascii="Arial Narrow" w:hAnsi="Arial Narrow" w:cs="Arial"/>
                <w:sz w:val="20"/>
              </w:rPr>
              <w:t>LOW</w:t>
            </w:r>
          </w:p>
        </w:tc>
        <w:tc>
          <w:tcPr>
            <w:tcW w:w="768" w:type="pct"/>
          </w:tcPr>
          <w:p w14:paraId="56D345EC" w14:textId="77777777" w:rsidR="00E93186" w:rsidRPr="00981EA6" w:rsidRDefault="00E93186" w:rsidP="00E93186">
            <w:pPr>
              <w:pStyle w:val="Tabletext"/>
            </w:pPr>
            <w:r w:rsidRPr="00981EA6">
              <w:t>1.56 (0.84, 2.92)</w:t>
            </w:r>
          </w:p>
          <w:p w14:paraId="022E4954" w14:textId="77777777" w:rsidR="00E93186" w:rsidRPr="00981EA6" w:rsidRDefault="00E93186" w:rsidP="00E93186">
            <w:pPr>
              <w:pStyle w:val="Tabletext"/>
            </w:pPr>
            <w:r w:rsidRPr="00981EA6">
              <w:t>PROTECT-AF only:</w:t>
            </w:r>
          </w:p>
          <w:p w14:paraId="44BFBFC8" w14:textId="77777777" w:rsidR="00E93186" w:rsidRPr="00981EA6" w:rsidRDefault="00E93186" w:rsidP="00E93186">
            <w:pPr>
              <w:pStyle w:val="Tabletext"/>
            </w:pPr>
            <w:r w:rsidRPr="00981EA6">
              <w:t>1.28 (0.6, 2.72)</w:t>
            </w:r>
          </w:p>
        </w:tc>
        <w:tc>
          <w:tcPr>
            <w:tcW w:w="649" w:type="pct"/>
          </w:tcPr>
          <w:p w14:paraId="0B2D3234" w14:textId="77777777" w:rsidR="00E93186" w:rsidRPr="00981EA6" w:rsidRDefault="00E93186" w:rsidP="00E93186">
            <w:pPr>
              <w:pStyle w:val="Tabletext"/>
            </w:pPr>
            <w:r w:rsidRPr="00981EA6">
              <w:t>0.91 (0.8, 1.04)</w:t>
            </w:r>
          </w:p>
        </w:tc>
        <w:tc>
          <w:tcPr>
            <w:tcW w:w="671" w:type="pct"/>
          </w:tcPr>
          <w:p w14:paraId="5FEBB780" w14:textId="77777777" w:rsidR="00E93186" w:rsidRPr="00981EA6" w:rsidRDefault="00E93186" w:rsidP="00E93186">
            <w:pPr>
              <w:pStyle w:val="Tabletext"/>
            </w:pPr>
            <w:r w:rsidRPr="00981EA6">
              <w:t>1.71 (0.91, 3.24)</w:t>
            </w:r>
          </w:p>
          <w:p w14:paraId="70EB95B2" w14:textId="77777777" w:rsidR="00E93186" w:rsidRPr="00981EA6" w:rsidRDefault="00E93186" w:rsidP="00E93186">
            <w:pPr>
              <w:pStyle w:val="Tabletext"/>
            </w:pPr>
            <w:r w:rsidRPr="00981EA6">
              <w:rPr>
                <w:iCs/>
              </w:rPr>
              <w:t>PROTECT-AF only: 1.41 (0.66, 3.02)</w:t>
            </w:r>
          </w:p>
        </w:tc>
        <w:tc>
          <w:tcPr>
            <w:tcW w:w="1016" w:type="pct"/>
          </w:tcPr>
          <w:p w14:paraId="18DAB298" w14:textId="77777777" w:rsidR="00E93186" w:rsidRPr="00981EA6" w:rsidRDefault="00E93186" w:rsidP="00E93186">
            <w:pPr>
              <w:spacing w:after="40"/>
              <w:rPr>
                <w:rFonts w:ascii="Arial Narrow" w:hAnsi="Arial Narrow" w:cs="Arial"/>
                <w:sz w:val="20"/>
              </w:rPr>
            </w:pPr>
            <w:r w:rsidRPr="00981EA6">
              <w:rPr>
                <w:rFonts w:ascii="Arial Narrow" w:hAnsi="Arial Narrow" w:cs="Arial"/>
                <w:sz w:val="20"/>
              </w:rPr>
              <w:t>No significant difference, whether PREVAIL is included or excluded</w:t>
            </w:r>
          </w:p>
        </w:tc>
      </w:tr>
      <w:tr w:rsidR="00E93186" w:rsidRPr="00761705" w14:paraId="7C4EBECD" w14:textId="77777777" w:rsidTr="00511ED5">
        <w:tc>
          <w:tcPr>
            <w:tcW w:w="677" w:type="pct"/>
          </w:tcPr>
          <w:p w14:paraId="062365DA" w14:textId="77777777" w:rsidR="00E93186" w:rsidRPr="00981EA6" w:rsidRDefault="00E93186" w:rsidP="00E93186">
            <w:pPr>
              <w:pStyle w:val="Tabletext"/>
            </w:pPr>
            <w:r w:rsidRPr="00981EA6">
              <w:t>Ischaemic stroke – post procedural</w:t>
            </w:r>
          </w:p>
        </w:tc>
        <w:tc>
          <w:tcPr>
            <w:tcW w:w="689" w:type="pct"/>
          </w:tcPr>
          <w:p w14:paraId="17071106" w14:textId="77777777" w:rsidR="00E93186" w:rsidRPr="00981EA6" w:rsidRDefault="00E93186" w:rsidP="00E93186">
            <w:pPr>
              <w:pStyle w:val="Tabletext"/>
            </w:pPr>
            <w:r w:rsidRPr="00981EA6">
              <w:t xml:space="preserve">ITC of LAAC vs warfarin k=2; N=1114 / </w:t>
            </w:r>
            <w:r>
              <w:t>DOAC</w:t>
            </w:r>
            <w:r w:rsidRPr="00981EA6">
              <w:t xml:space="preserve"> vs warfarin k=4; N= N=51,731</w:t>
            </w:r>
          </w:p>
        </w:tc>
        <w:tc>
          <w:tcPr>
            <w:tcW w:w="530" w:type="pct"/>
          </w:tcPr>
          <w:p w14:paraId="0524C8D5" w14:textId="77777777" w:rsidR="00E93186" w:rsidRPr="00981EA6" w:rsidRDefault="00E93186" w:rsidP="00E93186">
            <w:pPr>
              <w:spacing w:after="40"/>
              <w:rPr>
                <w:rFonts w:ascii="Arial Narrow" w:hAnsi="Arial Narrow" w:cs="Cambria Math"/>
                <w:sz w:val="20"/>
                <w:vertAlign w:val="superscript"/>
              </w:rPr>
            </w:pPr>
            <w:r w:rsidRPr="00981EA6">
              <w:rPr>
                <w:rFonts w:ascii="Cambria Math" w:hAnsi="Cambria Math" w:cs="Cambria Math"/>
                <w:color w:val="00B050"/>
                <w:sz w:val="20"/>
              </w:rPr>
              <w:t>⨁⨁</w:t>
            </w:r>
            <w:r w:rsidRPr="00981EA6">
              <w:rPr>
                <w:rFonts w:ascii="Cambria Math" w:hAnsi="Cambria Math" w:cs="Cambria Math"/>
                <w:color w:val="C00000"/>
                <w:sz w:val="20"/>
              </w:rPr>
              <w:t>⨀⨀</w:t>
            </w:r>
            <w:r w:rsidRPr="00981EA6">
              <w:rPr>
                <w:rFonts w:ascii="Arial Narrow" w:hAnsi="Arial Narrow" w:cs="Cambria Math"/>
                <w:sz w:val="20"/>
                <w:vertAlign w:val="superscript"/>
              </w:rPr>
              <w:t>c</w:t>
            </w:r>
          </w:p>
          <w:p w14:paraId="6F3948F3" w14:textId="77777777" w:rsidR="00E93186" w:rsidRPr="00981EA6" w:rsidRDefault="00E93186" w:rsidP="00E93186">
            <w:pPr>
              <w:spacing w:after="40"/>
              <w:rPr>
                <w:rFonts w:ascii="Arial Narrow" w:hAnsi="Arial Narrow"/>
                <w:color w:val="00B050"/>
                <w:sz w:val="20"/>
              </w:rPr>
            </w:pPr>
            <w:r w:rsidRPr="00981EA6">
              <w:rPr>
                <w:rFonts w:ascii="Arial Narrow" w:hAnsi="Arial Narrow" w:cs="Arial"/>
                <w:sz w:val="20"/>
              </w:rPr>
              <w:t>LOW</w:t>
            </w:r>
          </w:p>
        </w:tc>
        <w:tc>
          <w:tcPr>
            <w:tcW w:w="768" w:type="pct"/>
          </w:tcPr>
          <w:p w14:paraId="03B08D9D" w14:textId="77777777" w:rsidR="00E93186" w:rsidRPr="00981EA6" w:rsidRDefault="00E93186" w:rsidP="00E93186">
            <w:pPr>
              <w:pStyle w:val="Tabletext"/>
            </w:pPr>
            <w:r w:rsidRPr="00981EA6">
              <w:t>1.34 (0.58, 3.09)</w:t>
            </w:r>
          </w:p>
          <w:p w14:paraId="273572EA" w14:textId="77777777" w:rsidR="00E93186" w:rsidRPr="00981EA6" w:rsidRDefault="00E93186" w:rsidP="00E93186">
            <w:pPr>
              <w:pStyle w:val="Tabletext"/>
              <w:rPr>
                <w:iCs/>
              </w:rPr>
            </w:pPr>
            <w:r w:rsidRPr="00981EA6">
              <w:rPr>
                <w:iCs/>
              </w:rPr>
              <w:t>PROTECT-AF only:</w:t>
            </w:r>
          </w:p>
          <w:p w14:paraId="48863B4C" w14:textId="77777777" w:rsidR="00E93186" w:rsidRPr="00981EA6" w:rsidRDefault="00E93186" w:rsidP="00E93186">
            <w:pPr>
              <w:pStyle w:val="Tabletext"/>
            </w:pPr>
            <w:r w:rsidRPr="00981EA6">
              <w:rPr>
                <w:iCs/>
              </w:rPr>
              <w:t>0.95 (0.43, 2.08)</w:t>
            </w:r>
          </w:p>
        </w:tc>
        <w:tc>
          <w:tcPr>
            <w:tcW w:w="649" w:type="pct"/>
          </w:tcPr>
          <w:p w14:paraId="609DA69A" w14:textId="77777777" w:rsidR="00E93186" w:rsidRPr="00981EA6" w:rsidRDefault="00E93186" w:rsidP="00E93186">
            <w:pPr>
              <w:pStyle w:val="Tabletext"/>
            </w:pPr>
            <w:r w:rsidRPr="00981EA6">
              <w:t>0.91 (0.8, 1.04)</w:t>
            </w:r>
          </w:p>
        </w:tc>
        <w:tc>
          <w:tcPr>
            <w:tcW w:w="671" w:type="pct"/>
          </w:tcPr>
          <w:p w14:paraId="1B0D538A" w14:textId="77777777" w:rsidR="00E93186" w:rsidRPr="00981EA6" w:rsidRDefault="00E93186" w:rsidP="00E93186">
            <w:pPr>
              <w:pStyle w:val="Tabletext"/>
            </w:pPr>
            <w:r w:rsidRPr="00981EA6">
              <w:t>1.47 (0.63, 3.43)</w:t>
            </w:r>
          </w:p>
          <w:p w14:paraId="694A96B1" w14:textId="77777777" w:rsidR="00E93186" w:rsidRPr="00981EA6" w:rsidRDefault="00E93186" w:rsidP="00E93186">
            <w:pPr>
              <w:pStyle w:val="Tabletext"/>
            </w:pPr>
            <w:r w:rsidRPr="00981EA6">
              <w:rPr>
                <w:iCs/>
              </w:rPr>
              <w:t>PROTECT-AF only: 1.04 (0.47, 2.32)</w:t>
            </w:r>
          </w:p>
        </w:tc>
        <w:tc>
          <w:tcPr>
            <w:tcW w:w="1016" w:type="pct"/>
          </w:tcPr>
          <w:p w14:paraId="6D840207" w14:textId="77777777" w:rsidR="00E93186" w:rsidRPr="00981EA6" w:rsidRDefault="00E93186" w:rsidP="00E93186">
            <w:pPr>
              <w:spacing w:after="40"/>
              <w:rPr>
                <w:rFonts w:ascii="Arial Narrow" w:hAnsi="Arial Narrow" w:cs="Arial"/>
                <w:sz w:val="20"/>
              </w:rPr>
            </w:pPr>
            <w:r w:rsidRPr="00981EA6">
              <w:rPr>
                <w:rFonts w:ascii="Arial Narrow" w:hAnsi="Arial Narrow" w:cs="Arial"/>
                <w:sz w:val="20"/>
              </w:rPr>
              <w:t>No significant difference, whether PREVAIL is included or excluded; OR when excluded close to 1.</w:t>
            </w:r>
          </w:p>
        </w:tc>
      </w:tr>
      <w:tr w:rsidR="00E93186" w:rsidRPr="00761705" w14:paraId="42AD5B46" w14:textId="77777777" w:rsidTr="00511ED5">
        <w:tc>
          <w:tcPr>
            <w:tcW w:w="677" w:type="pct"/>
          </w:tcPr>
          <w:p w14:paraId="73FAACD7" w14:textId="77777777" w:rsidR="00E93186" w:rsidRPr="00981EA6" w:rsidRDefault="00E93186" w:rsidP="00E93186">
            <w:pPr>
              <w:pStyle w:val="Tabletext"/>
            </w:pPr>
            <w:r w:rsidRPr="00981EA6">
              <w:t>Haemorrhagic stroke</w:t>
            </w:r>
          </w:p>
        </w:tc>
        <w:tc>
          <w:tcPr>
            <w:tcW w:w="689" w:type="pct"/>
          </w:tcPr>
          <w:p w14:paraId="72C5A35F" w14:textId="77777777" w:rsidR="00E93186" w:rsidRPr="00981EA6" w:rsidRDefault="00E93186" w:rsidP="00E93186">
            <w:pPr>
              <w:pStyle w:val="Tabletext"/>
            </w:pPr>
            <w:r w:rsidRPr="00981EA6">
              <w:t xml:space="preserve">ITC of LAAC vs warfarin k=2; N=1114 / </w:t>
            </w:r>
            <w:r>
              <w:t>DOAC</w:t>
            </w:r>
            <w:r w:rsidRPr="00981EA6">
              <w:t xml:space="preserve"> vs warfarin k=4; N=51,731</w:t>
            </w:r>
          </w:p>
        </w:tc>
        <w:tc>
          <w:tcPr>
            <w:tcW w:w="530" w:type="pct"/>
          </w:tcPr>
          <w:p w14:paraId="231969AD" w14:textId="77777777" w:rsidR="00E93186" w:rsidRPr="00981EA6" w:rsidRDefault="00E93186" w:rsidP="00E93186">
            <w:pPr>
              <w:spacing w:after="40"/>
              <w:rPr>
                <w:rFonts w:ascii="Arial Narrow" w:hAnsi="Arial Narrow" w:cs="Cambria Math"/>
                <w:sz w:val="20"/>
                <w:vertAlign w:val="superscript"/>
              </w:rPr>
            </w:pPr>
            <w:r w:rsidRPr="00981EA6">
              <w:rPr>
                <w:rFonts w:ascii="Cambria Math" w:hAnsi="Cambria Math" w:cs="Cambria Math"/>
                <w:color w:val="00B050"/>
                <w:sz w:val="20"/>
              </w:rPr>
              <w:t>⨁⨁</w:t>
            </w:r>
            <w:r w:rsidRPr="00981EA6">
              <w:rPr>
                <w:rFonts w:ascii="Cambria Math" w:hAnsi="Cambria Math" w:cs="Cambria Math"/>
                <w:color w:val="C00000"/>
                <w:sz w:val="20"/>
              </w:rPr>
              <w:t>⨀⨀</w:t>
            </w:r>
            <w:r w:rsidRPr="00981EA6">
              <w:rPr>
                <w:rFonts w:ascii="Arial Narrow" w:hAnsi="Arial Narrow" w:cs="Cambria Math"/>
                <w:sz w:val="20"/>
                <w:vertAlign w:val="superscript"/>
              </w:rPr>
              <w:t>d</w:t>
            </w:r>
          </w:p>
          <w:p w14:paraId="20F7D68F" w14:textId="77777777" w:rsidR="00E93186" w:rsidRPr="00981EA6" w:rsidRDefault="00E93186" w:rsidP="00E93186">
            <w:pPr>
              <w:spacing w:after="40"/>
              <w:rPr>
                <w:rFonts w:ascii="Arial Narrow" w:hAnsi="Arial Narrow"/>
                <w:color w:val="00B050"/>
                <w:sz w:val="20"/>
              </w:rPr>
            </w:pPr>
            <w:r w:rsidRPr="00981EA6">
              <w:rPr>
                <w:rFonts w:ascii="Arial Narrow" w:hAnsi="Arial Narrow" w:cs="Arial"/>
                <w:sz w:val="20"/>
              </w:rPr>
              <w:t>LOW</w:t>
            </w:r>
          </w:p>
        </w:tc>
        <w:tc>
          <w:tcPr>
            <w:tcW w:w="768" w:type="pct"/>
          </w:tcPr>
          <w:p w14:paraId="5EEEF514" w14:textId="77777777" w:rsidR="00E93186" w:rsidRPr="00981EA6" w:rsidRDefault="00E93186" w:rsidP="00E93186">
            <w:pPr>
              <w:pStyle w:val="Tabletext"/>
            </w:pPr>
            <w:r w:rsidRPr="00981EA6">
              <w:t>0.17 (0.05, 0.54)</w:t>
            </w:r>
          </w:p>
          <w:p w14:paraId="103CE4E6" w14:textId="77777777" w:rsidR="00E93186" w:rsidRPr="00981EA6" w:rsidRDefault="00E93186" w:rsidP="00E93186">
            <w:pPr>
              <w:pStyle w:val="Tabletext"/>
            </w:pPr>
            <w:r w:rsidRPr="00981EA6">
              <w:t>PROTECT-AF only:</w:t>
            </w:r>
          </w:p>
          <w:p w14:paraId="0B25FCDC" w14:textId="77777777" w:rsidR="00E93186" w:rsidRPr="00981EA6" w:rsidRDefault="00E93186" w:rsidP="00E93186">
            <w:pPr>
              <w:pStyle w:val="Tabletext"/>
            </w:pPr>
            <w:r w:rsidRPr="00981EA6">
              <w:t>0.1 (0.02, 0.47)</w:t>
            </w:r>
          </w:p>
        </w:tc>
        <w:tc>
          <w:tcPr>
            <w:tcW w:w="649" w:type="pct"/>
          </w:tcPr>
          <w:p w14:paraId="4B624B54" w14:textId="77777777" w:rsidR="00E93186" w:rsidRPr="00981EA6" w:rsidRDefault="00E93186" w:rsidP="00E93186">
            <w:pPr>
              <w:pStyle w:val="Tabletext"/>
            </w:pPr>
            <w:r w:rsidRPr="00981EA6">
              <w:t>0.46 (0.32, 0.66)</w:t>
            </w:r>
          </w:p>
        </w:tc>
        <w:tc>
          <w:tcPr>
            <w:tcW w:w="671" w:type="pct"/>
          </w:tcPr>
          <w:p w14:paraId="14F0B354" w14:textId="77777777" w:rsidR="00E93186" w:rsidRPr="00981EA6" w:rsidRDefault="00E93186" w:rsidP="00E93186">
            <w:pPr>
              <w:pStyle w:val="Tabletext"/>
            </w:pPr>
            <w:r w:rsidRPr="00981EA6">
              <w:t>0.37 (0.11, 1.27)</w:t>
            </w:r>
          </w:p>
          <w:p w14:paraId="711C60E0" w14:textId="77777777" w:rsidR="00E93186" w:rsidRPr="00981EA6" w:rsidRDefault="00E93186" w:rsidP="00E93186">
            <w:pPr>
              <w:pStyle w:val="Tabletext"/>
            </w:pPr>
            <w:r w:rsidRPr="00981EA6">
              <w:t>PROTECT-AF only: 0.22 (0.05, 1.02)</w:t>
            </w:r>
          </w:p>
        </w:tc>
        <w:tc>
          <w:tcPr>
            <w:tcW w:w="1016" w:type="pct"/>
          </w:tcPr>
          <w:p w14:paraId="68BD5687" w14:textId="77777777" w:rsidR="00E93186" w:rsidRPr="00981EA6" w:rsidRDefault="00E93186" w:rsidP="00E93186">
            <w:pPr>
              <w:spacing w:after="40"/>
              <w:rPr>
                <w:rFonts w:ascii="Arial Narrow" w:hAnsi="Arial Narrow" w:cs="Arial"/>
                <w:sz w:val="20"/>
              </w:rPr>
            </w:pPr>
            <w:r w:rsidRPr="00981EA6">
              <w:rPr>
                <w:rFonts w:ascii="Arial Narrow" w:hAnsi="Arial Narrow" w:cs="Arial"/>
                <w:sz w:val="20"/>
              </w:rPr>
              <w:t xml:space="preserve">No significant difference, when PREVAIL is included, when excluded the approaching significance (p=0.05). LAAC likely results in a reduction in haemorrhagic stroke. </w:t>
            </w:r>
          </w:p>
        </w:tc>
      </w:tr>
      <w:tr w:rsidR="00E93186" w:rsidRPr="00761705" w14:paraId="44BD0AB8" w14:textId="77777777" w:rsidTr="00511ED5">
        <w:tc>
          <w:tcPr>
            <w:tcW w:w="677" w:type="pct"/>
          </w:tcPr>
          <w:p w14:paraId="0F936B4B" w14:textId="77777777" w:rsidR="00E93186" w:rsidRPr="00981EA6" w:rsidRDefault="00E93186" w:rsidP="00E93186">
            <w:pPr>
              <w:pStyle w:val="Tabletext"/>
            </w:pPr>
            <w:r w:rsidRPr="00981EA6">
              <w:t>CV mortality</w:t>
            </w:r>
          </w:p>
        </w:tc>
        <w:tc>
          <w:tcPr>
            <w:tcW w:w="689" w:type="pct"/>
          </w:tcPr>
          <w:p w14:paraId="2587CE13" w14:textId="77777777" w:rsidR="00E93186" w:rsidRPr="00981EA6" w:rsidRDefault="00E93186" w:rsidP="00E93186">
            <w:pPr>
              <w:pStyle w:val="Tabletext"/>
            </w:pPr>
            <w:r w:rsidRPr="00981EA6">
              <w:t xml:space="preserve">ITC of LAAC vs warfarin k=2; N=1114 / </w:t>
            </w:r>
            <w:r>
              <w:t>DOAC</w:t>
            </w:r>
            <w:r w:rsidRPr="00981EA6">
              <w:t xml:space="preserve"> vs warfarin k=4; N=51,759</w:t>
            </w:r>
          </w:p>
        </w:tc>
        <w:tc>
          <w:tcPr>
            <w:tcW w:w="530" w:type="pct"/>
          </w:tcPr>
          <w:p w14:paraId="65F980B9" w14:textId="77777777" w:rsidR="00E93186" w:rsidRPr="00981EA6" w:rsidRDefault="00E93186" w:rsidP="00E93186">
            <w:pPr>
              <w:spacing w:after="40"/>
              <w:rPr>
                <w:rFonts w:ascii="Arial Narrow" w:hAnsi="Arial Narrow" w:cs="Cambria Math"/>
                <w:sz w:val="20"/>
                <w:vertAlign w:val="superscript"/>
              </w:rPr>
            </w:pPr>
            <w:r w:rsidRPr="00981EA6">
              <w:rPr>
                <w:rFonts w:ascii="Cambria Math" w:hAnsi="Cambria Math" w:cs="Cambria Math"/>
                <w:color w:val="00B050"/>
                <w:sz w:val="20"/>
              </w:rPr>
              <w:t>⨁⨁</w:t>
            </w:r>
            <w:r w:rsidRPr="00981EA6">
              <w:rPr>
                <w:rFonts w:ascii="Cambria Math" w:hAnsi="Cambria Math" w:cs="Cambria Math"/>
                <w:color w:val="C00000"/>
                <w:sz w:val="20"/>
              </w:rPr>
              <w:t>⨀⨀</w:t>
            </w:r>
            <w:r w:rsidRPr="00981EA6">
              <w:rPr>
                <w:rFonts w:ascii="Arial Narrow" w:hAnsi="Arial Narrow" w:cs="Cambria Math"/>
                <w:sz w:val="20"/>
                <w:vertAlign w:val="superscript"/>
              </w:rPr>
              <w:t>c</w:t>
            </w:r>
          </w:p>
          <w:p w14:paraId="2FCC2089" w14:textId="77777777" w:rsidR="00E93186" w:rsidRPr="00981EA6" w:rsidRDefault="00E93186" w:rsidP="00E93186">
            <w:pPr>
              <w:spacing w:after="40"/>
              <w:rPr>
                <w:rFonts w:ascii="Arial Narrow" w:hAnsi="Arial Narrow"/>
                <w:color w:val="00B050"/>
                <w:sz w:val="20"/>
              </w:rPr>
            </w:pPr>
            <w:r w:rsidRPr="00981EA6">
              <w:rPr>
                <w:rFonts w:ascii="Arial Narrow" w:hAnsi="Arial Narrow" w:cs="Arial"/>
                <w:sz w:val="20"/>
              </w:rPr>
              <w:t>LOW</w:t>
            </w:r>
          </w:p>
        </w:tc>
        <w:tc>
          <w:tcPr>
            <w:tcW w:w="768" w:type="pct"/>
          </w:tcPr>
          <w:p w14:paraId="4508EDC1" w14:textId="77777777" w:rsidR="00E93186" w:rsidRPr="00981EA6" w:rsidRDefault="00E93186" w:rsidP="00E93186">
            <w:pPr>
              <w:pStyle w:val="Tabletext"/>
            </w:pPr>
            <w:r w:rsidRPr="00981EA6">
              <w:t>0.64 (0.25, 1.68)</w:t>
            </w:r>
          </w:p>
          <w:p w14:paraId="0295D19F" w14:textId="77777777" w:rsidR="00E93186" w:rsidRPr="00981EA6" w:rsidRDefault="00E93186" w:rsidP="00E93186">
            <w:pPr>
              <w:pStyle w:val="Tabletext"/>
            </w:pPr>
            <w:r w:rsidRPr="00981EA6">
              <w:t>PROTECT-AF only:</w:t>
            </w:r>
          </w:p>
          <w:p w14:paraId="48975F55" w14:textId="77777777" w:rsidR="00E93186" w:rsidRPr="00981EA6" w:rsidRDefault="00E93186" w:rsidP="00E93186">
            <w:pPr>
              <w:pStyle w:val="Tabletext"/>
            </w:pPr>
            <w:r w:rsidRPr="00981EA6">
              <w:t>0.51 (0.26, 0.98)</w:t>
            </w:r>
          </w:p>
        </w:tc>
        <w:tc>
          <w:tcPr>
            <w:tcW w:w="649" w:type="pct"/>
          </w:tcPr>
          <w:p w14:paraId="72311DEA" w14:textId="77777777" w:rsidR="00E93186" w:rsidRPr="00981EA6" w:rsidRDefault="00E93186" w:rsidP="00E93186">
            <w:pPr>
              <w:pStyle w:val="Tabletext"/>
            </w:pPr>
            <w:r w:rsidRPr="00981EA6">
              <w:t>0.9 (0.83, 0.98)</w:t>
            </w:r>
          </w:p>
        </w:tc>
        <w:tc>
          <w:tcPr>
            <w:tcW w:w="671" w:type="pct"/>
          </w:tcPr>
          <w:p w14:paraId="61558946" w14:textId="77777777" w:rsidR="00E93186" w:rsidRPr="00981EA6" w:rsidRDefault="00E93186" w:rsidP="00E93186">
            <w:pPr>
              <w:pStyle w:val="Tabletext"/>
            </w:pPr>
            <w:r w:rsidRPr="00981EA6">
              <w:t>0.71 (0.27, 1.85)</w:t>
            </w:r>
          </w:p>
          <w:p w14:paraId="29803898" w14:textId="77777777" w:rsidR="00E93186" w:rsidRPr="00981EA6" w:rsidRDefault="00E93186" w:rsidP="00E93186">
            <w:pPr>
              <w:pStyle w:val="Tabletext"/>
            </w:pPr>
            <w:r w:rsidRPr="00981EA6">
              <w:t>PROTECT-AF only: 0.57 (0.29, 1.11)</w:t>
            </w:r>
          </w:p>
        </w:tc>
        <w:tc>
          <w:tcPr>
            <w:tcW w:w="1016" w:type="pct"/>
          </w:tcPr>
          <w:p w14:paraId="3707E3DB" w14:textId="77777777" w:rsidR="00E93186" w:rsidRPr="00981EA6" w:rsidRDefault="00E93186" w:rsidP="00E93186">
            <w:pPr>
              <w:spacing w:after="40"/>
              <w:rPr>
                <w:rFonts w:ascii="Arial Narrow" w:hAnsi="Arial Narrow" w:cs="Arial"/>
                <w:sz w:val="20"/>
              </w:rPr>
            </w:pPr>
            <w:r w:rsidRPr="00981EA6">
              <w:rPr>
                <w:rFonts w:ascii="Arial Narrow" w:hAnsi="Arial Narrow" w:cs="Arial"/>
                <w:sz w:val="20"/>
              </w:rPr>
              <w:t>No significant difference, whether PREVAIL is included or excluded; OR in favour of LAAC</w:t>
            </w:r>
          </w:p>
        </w:tc>
      </w:tr>
      <w:tr w:rsidR="00E93186" w:rsidRPr="00761705" w14:paraId="3CAECD7D" w14:textId="77777777" w:rsidTr="00511ED5">
        <w:tc>
          <w:tcPr>
            <w:tcW w:w="677" w:type="pct"/>
          </w:tcPr>
          <w:p w14:paraId="23511D98" w14:textId="77777777" w:rsidR="00E93186" w:rsidRPr="00981EA6" w:rsidRDefault="00E93186" w:rsidP="00E93186">
            <w:pPr>
              <w:pStyle w:val="Tabletext"/>
            </w:pPr>
            <w:r w:rsidRPr="00981EA6">
              <w:t>CV mortality – post procedural</w:t>
            </w:r>
          </w:p>
        </w:tc>
        <w:tc>
          <w:tcPr>
            <w:tcW w:w="689" w:type="pct"/>
          </w:tcPr>
          <w:p w14:paraId="79E92782" w14:textId="77777777" w:rsidR="00E93186" w:rsidRPr="00981EA6" w:rsidRDefault="00E93186" w:rsidP="00E93186">
            <w:pPr>
              <w:pStyle w:val="Tabletext"/>
            </w:pPr>
            <w:r w:rsidRPr="00981EA6">
              <w:t xml:space="preserve">ITC of LAAC vs warfarin k=2; N=1114 / </w:t>
            </w:r>
            <w:r>
              <w:t>DOAC</w:t>
            </w:r>
            <w:r w:rsidRPr="00981EA6">
              <w:t xml:space="preserve"> vs warfarin k=4; N=51,759</w:t>
            </w:r>
          </w:p>
        </w:tc>
        <w:tc>
          <w:tcPr>
            <w:tcW w:w="530" w:type="pct"/>
          </w:tcPr>
          <w:p w14:paraId="009D9786" w14:textId="77777777" w:rsidR="00E93186" w:rsidRPr="00981EA6" w:rsidRDefault="00E93186" w:rsidP="00E93186">
            <w:pPr>
              <w:spacing w:after="40"/>
              <w:rPr>
                <w:rFonts w:ascii="Arial Narrow" w:hAnsi="Arial Narrow" w:cs="Cambria Math"/>
                <w:sz w:val="20"/>
                <w:vertAlign w:val="superscript"/>
              </w:rPr>
            </w:pPr>
            <w:r w:rsidRPr="00981EA6">
              <w:rPr>
                <w:rFonts w:ascii="Cambria Math" w:hAnsi="Cambria Math" w:cs="Cambria Math"/>
                <w:color w:val="00B050"/>
                <w:sz w:val="20"/>
              </w:rPr>
              <w:t>⨁⨁</w:t>
            </w:r>
            <w:r w:rsidRPr="00981EA6">
              <w:rPr>
                <w:rFonts w:ascii="Cambria Math" w:hAnsi="Cambria Math" w:cs="Cambria Math"/>
                <w:color w:val="C00000"/>
                <w:sz w:val="20"/>
              </w:rPr>
              <w:t>⨀⨀</w:t>
            </w:r>
            <w:r w:rsidRPr="00981EA6">
              <w:rPr>
                <w:rFonts w:ascii="Arial Narrow" w:hAnsi="Arial Narrow" w:cs="Cambria Math"/>
                <w:sz w:val="20"/>
                <w:vertAlign w:val="superscript"/>
              </w:rPr>
              <w:t>c</w:t>
            </w:r>
          </w:p>
          <w:p w14:paraId="38CA955F" w14:textId="77777777" w:rsidR="00E93186" w:rsidRPr="00981EA6" w:rsidRDefault="00E93186" w:rsidP="00E93186">
            <w:pPr>
              <w:spacing w:after="40"/>
              <w:rPr>
                <w:rFonts w:ascii="Arial Narrow" w:hAnsi="Arial Narrow"/>
                <w:color w:val="00B050"/>
                <w:sz w:val="20"/>
              </w:rPr>
            </w:pPr>
            <w:r w:rsidRPr="00981EA6">
              <w:rPr>
                <w:rFonts w:ascii="Arial Narrow" w:hAnsi="Arial Narrow" w:cs="Arial"/>
                <w:sz w:val="20"/>
              </w:rPr>
              <w:t>LOW</w:t>
            </w:r>
          </w:p>
        </w:tc>
        <w:tc>
          <w:tcPr>
            <w:tcW w:w="768" w:type="pct"/>
          </w:tcPr>
          <w:p w14:paraId="4ED11F00" w14:textId="77777777" w:rsidR="00E93186" w:rsidRPr="00981EA6" w:rsidRDefault="00E93186" w:rsidP="00E93186">
            <w:pPr>
              <w:pStyle w:val="Tabletext"/>
            </w:pPr>
            <w:r w:rsidRPr="00981EA6">
              <w:t>0.71 (0.51, 0.99)</w:t>
            </w:r>
          </w:p>
          <w:p w14:paraId="479F1EDD" w14:textId="77777777" w:rsidR="00E93186" w:rsidRPr="00981EA6" w:rsidRDefault="00E93186" w:rsidP="00E93186">
            <w:pPr>
              <w:pStyle w:val="Tabletext"/>
            </w:pPr>
            <w:r w:rsidRPr="00981EA6">
              <w:t>PROTECT-AF only:</w:t>
            </w:r>
          </w:p>
          <w:p w14:paraId="3E6FD249" w14:textId="77777777" w:rsidR="00E93186" w:rsidRPr="00981EA6" w:rsidRDefault="00E93186" w:rsidP="00E93186">
            <w:pPr>
              <w:pStyle w:val="Tabletext"/>
            </w:pPr>
            <w:r w:rsidRPr="00981EA6">
              <w:t>0.41 (0.21, 0.78)</w:t>
            </w:r>
          </w:p>
        </w:tc>
        <w:tc>
          <w:tcPr>
            <w:tcW w:w="649" w:type="pct"/>
          </w:tcPr>
          <w:p w14:paraId="62E317BB" w14:textId="77777777" w:rsidR="00E93186" w:rsidRPr="00981EA6" w:rsidRDefault="00E93186" w:rsidP="00E93186">
            <w:pPr>
              <w:pStyle w:val="Tabletext"/>
            </w:pPr>
            <w:r w:rsidRPr="00981EA6">
              <w:t>0.9 (0.84, 0.96)</w:t>
            </w:r>
          </w:p>
        </w:tc>
        <w:tc>
          <w:tcPr>
            <w:tcW w:w="671" w:type="pct"/>
          </w:tcPr>
          <w:p w14:paraId="3D123946" w14:textId="77777777" w:rsidR="00E93186" w:rsidRPr="00981EA6" w:rsidRDefault="00E93186" w:rsidP="00E93186">
            <w:pPr>
              <w:pStyle w:val="Tabletext"/>
            </w:pPr>
            <w:r w:rsidRPr="00981EA6">
              <w:t>0.79 (0.56, 1.11)</w:t>
            </w:r>
          </w:p>
          <w:p w14:paraId="7F2C122F" w14:textId="77777777" w:rsidR="00E93186" w:rsidRPr="00981EA6" w:rsidRDefault="00E93186" w:rsidP="00E93186">
            <w:pPr>
              <w:pStyle w:val="Tabletext"/>
            </w:pPr>
            <w:r w:rsidRPr="00981EA6">
              <w:t>PROTECT-AF only: 0.46 (0.24, 0.88)</w:t>
            </w:r>
          </w:p>
        </w:tc>
        <w:tc>
          <w:tcPr>
            <w:tcW w:w="1016" w:type="pct"/>
          </w:tcPr>
          <w:p w14:paraId="58C29A85" w14:textId="77777777" w:rsidR="00E93186" w:rsidRPr="00981EA6" w:rsidRDefault="00E93186" w:rsidP="00E93186">
            <w:pPr>
              <w:spacing w:after="40"/>
              <w:rPr>
                <w:rFonts w:ascii="Arial Narrow" w:hAnsi="Arial Narrow" w:cs="Arial"/>
                <w:sz w:val="20"/>
              </w:rPr>
            </w:pPr>
            <w:r w:rsidRPr="00981EA6">
              <w:rPr>
                <w:rFonts w:ascii="Arial Narrow" w:hAnsi="Arial Narrow" w:cs="Arial"/>
                <w:sz w:val="20"/>
              </w:rPr>
              <w:t xml:space="preserve">No significant difference when PREVAIL is included, a statistically significant difference in favour of LAAC when excluded. LAAC likely results in a reduction in CV mortality. </w:t>
            </w:r>
          </w:p>
        </w:tc>
      </w:tr>
      <w:tr w:rsidR="00E93186" w:rsidRPr="00761705" w14:paraId="35234D2B" w14:textId="77777777" w:rsidTr="00511ED5">
        <w:tc>
          <w:tcPr>
            <w:tcW w:w="677" w:type="pct"/>
          </w:tcPr>
          <w:p w14:paraId="190E00D7" w14:textId="77777777" w:rsidR="00E93186" w:rsidRPr="00981EA6" w:rsidRDefault="00E93186" w:rsidP="00E93186">
            <w:pPr>
              <w:pStyle w:val="Tabletext"/>
            </w:pPr>
            <w:r w:rsidRPr="00981EA6">
              <w:lastRenderedPageBreak/>
              <w:t>Major bleeding</w:t>
            </w:r>
          </w:p>
        </w:tc>
        <w:tc>
          <w:tcPr>
            <w:tcW w:w="689" w:type="pct"/>
          </w:tcPr>
          <w:p w14:paraId="4942F612" w14:textId="77777777" w:rsidR="00E93186" w:rsidRPr="00981EA6" w:rsidRDefault="00E93186" w:rsidP="00E93186">
            <w:pPr>
              <w:pStyle w:val="Tabletext"/>
            </w:pPr>
            <w:r w:rsidRPr="00981EA6">
              <w:t xml:space="preserve">ITC of LAAC vs warfarin k=2; N=1114 / </w:t>
            </w:r>
            <w:r>
              <w:t>DOAC</w:t>
            </w:r>
            <w:r w:rsidRPr="00981EA6">
              <w:t xml:space="preserve"> vs warfarin k=4; N=51,767</w:t>
            </w:r>
          </w:p>
        </w:tc>
        <w:tc>
          <w:tcPr>
            <w:tcW w:w="530" w:type="pct"/>
          </w:tcPr>
          <w:p w14:paraId="28E6F2B2" w14:textId="77777777" w:rsidR="00E93186" w:rsidRPr="00981EA6" w:rsidRDefault="00E93186" w:rsidP="00E93186">
            <w:pPr>
              <w:spacing w:after="40"/>
              <w:rPr>
                <w:rFonts w:ascii="Arial Narrow" w:hAnsi="Arial Narrow" w:cs="Cambria Math"/>
                <w:sz w:val="20"/>
                <w:vertAlign w:val="superscript"/>
              </w:rPr>
            </w:pPr>
            <w:r w:rsidRPr="00981EA6">
              <w:rPr>
                <w:rFonts w:ascii="Cambria Math" w:hAnsi="Cambria Math" w:cs="Cambria Math"/>
                <w:color w:val="00B050"/>
                <w:sz w:val="20"/>
              </w:rPr>
              <w:t>⨁</w:t>
            </w:r>
            <w:r w:rsidRPr="00981EA6">
              <w:rPr>
                <w:rFonts w:ascii="Cambria Math" w:hAnsi="Cambria Math" w:cs="Cambria Math"/>
                <w:color w:val="C00000"/>
                <w:sz w:val="20"/>
              </w:rPr>
              <w:t>⨀⨀⨀</w:t>
            </w:r>
            <w:r w:rsidRPr="00981EA6">
              <w:rPr>
                <w:rFonts w:ascii="Arial Narrow" w:hAnsi="Arial Narrow" w:cs="Cambria Math"/>
                <w:sz w:val="20"/>
                <w:vertAlign w:val="superscript"/>
              </w:rPr>
              <w:t>b</w:t>
            </w:r>
          </w:p>
          <w:p w14:paraId="3EF96E8E" w14:textId="77777777" w:rsidR="00E93186" w:rsidRPr="00981EA6" w:rsidRDefault="00E93186" w:rsidP="00E93186">
            <w:pPr>
              <w:spacing w:after="40"/>
              <w:rPr>
                <w:rFonts w:ascii="Arial Narrow" w:hAnsi="Arial Narrow"/>
                <w:color w:val="00B050"/>
                <w:sz w:val="20"/>
              </w:rPr>
            </w:pPr>
            <w:r w:rsidRPr="00981EA6">
              <w:rPr>
                <w:rFonts w:ascii="Arial Narrow" w:hAnsi="Arial Narrow" w:cs="Arial"/>
                <w:sz w:val="20"/>
              </w:rPr>
              <w:t>VERY LOW</w:t>
            </w:r>
          </w:p>
        </w:tc>
        <w:tc>
          <w:tcPr>
            <w:tcW w:w="768" w:type="pct"/>
          </w:tcPr>
          <w:p w14:paraId="021319E7" w14:textId="77777777" w:rsidR="00E93186" w:rsidRPr="00981EA6" w:rsidRDefault="00E93186" w:rsidP="00E93186">
            <w:pPr>
              <w:pStyle w:val="Tabletext"/>
            </w:pPr>
            <w:r w:rsidRPr="00981EA6">
              <w:t>0.87 (0.6, 1.27)</w:t>
            </w:r>
          </w:p>
          <w:p w14:paraId="31D55E01" w14:textId="77777777" w:rsidR="00E93186" w:rsidRPr="00981EA6" w:rsidRDefault="00E93186" w:rsidP="00E93186">
            <w:pPr>
              <w:pStyle w:val="Tabletext"/>
            </w:pPr>
            <w:r w:rsidRPr="00981EA6">
              <w:t>PROTECT-AF only:</w:t>
            </w:r>
          </w:p>
          <w:p w14:paraId="618410D9" w14:textId="77777777" w:rsidR="00E93186" w:rsidRPr="00981EA6" w:rsidRDefault="00E93186" w:rsidP="00E93186">
            <w:pPr>
              <w:pStyle w:val="Tabletext"/>
            </w:pPr>
            <w:r w:rsidRPr="00981EA6">
              <w:t>0.9 (0.55, 1.46)</w:t>
            </w:r>
          </w:p>
        </w:tc>
        <w:tc>
          <w:tcPr>
            <w:tcW w:w="649" w:type="pct"/>
          </w:tcPr>
          <w:p w14:paraId="2287466D" w14:textId="77777777" w:rsidR="00E93186" w:rsidRPr="00981EA6" w:rsidRDefault="00E93186" w:rsidP="00E93186">
            <w:pPr>
              <w:pStyle w:val="Tabletext"/>
            </w:pPr>
            <w:r w:rsidRPr="00981EA6">
              <w:t>0.85 (0.7, 1.03)</w:t>
            </w:r>
          </w:p>
        </w:tc>
        <w:tc>
          <w:tcPr>
            <w:tcW w:w="671" w:type="pct"/>
          </w:tcPr>
          <w:p w14:paraId="3AA58529" w14:textId="77777777" w:rsidR="00E93186" w:rsidRPr="00981EA6" w:rsidRDefault="00E93186" w:rsidP="00E93186">
            <w:pPr>
              <w:pStyle w:val="Tabletext"/>
            </w:pPr>
            <w:r w:rsidRPr="00981EA6">
              <w:t>1.02 (0.67, 1.56)</w:t>
            </w:r>
          </w:p>
          <w:p w14:paraId="7AF24D42" w14:textId="77777777" w:rsidR="00E93186" w:rsidRPr="00981EA6" w:rsidRDefault="00E93186" w:rsidP="00E93186">
            <w:pPr>
              <w:pStyle w:val="Tabletext"/>
            </w:pPr>
            <w:r w:rsidRPr="00981EA6">
              <w:t>PROTECT-AF only: 1.06 (0.63, 1.79)</w:t>
            </w:r>
          </w:p>
        </w:tc>
        <w:tc>
          <w:tcPr>
            <w:tcW w:w="1016" w:type="pct"/>
          </w:tcPr>
          <w:p w14:paraId="3C8AD53D" w14:textId="77777777" w:rsidR="00E93186" w:rsidRPr="00981EA6" w:rsidRDefault="00E93186" w:rsidP="00E93186">
            <w:pPr>
              <w:spacing w:after="40"/>
              <w:rPr>
                <w:rFonts w:ascii="Arial Narrow" w:hAnsi="Arial Narrow" w:cs="Arial"/>
                <w:sz w:val="20"/>
              </w:rPr>
            </w:pPr>
            <w:r w:rsidRPr="00981EA6">
              <w:rPr>
                <w:rFonts w:ascii="Arial Narrow" w:hAnsi="Arial Narrow" w:cs="Arial"/>
                <w:sz w:val="20"/>
              </w:rPr>
              <w:t>No significant difference whether PREVAIL is included or not</w:t>
            </w:r>
          </w:p>
        </w:tc>
      </w:tr>
      <w:tr w:rsidR="00E93186" w:rsidRPr="00761705" w14:paraId="4C0A3F63" w14:textId="77777777" w:rsidTr="00511ED5">
        <w:tc>
          <w:tcPr>
            <w:tcW w:w="677" w:type="pct"/>
          </w:tcPr>
          <w:p w14:paraId="26543374" w14:textId="77777777" w:rsidR="00E93186" w:rsidRPr="00981EA6" w:rsidRDefault="00E93186" w:rsidP="00E93186">
            <w:pPr>
              <w:pStyle w:val="Tabletext"/>
            </w:pPr>
            <w:r w:rsidRPr="00981EA6">
              <w:t>Major bleeding – post procedural</w:t>
            </w:r>
          </w:p>
        </w:tc>
        <w:tc>
          <w:tcPr>
            <w:tcW w:w="689" w:type="pct"/>
          </w:tcPr>
          <w:p w14:paraId="0746B1E6" w14:textId="77777777" w:rsidR="00E93186" w:rsidRPr="00981EA6" w:rsidRDefault="00E93186" w:rsidP="00E93186">
            <w:pPr>
              <w:pStyle w:val="Tabletext"/>
            </w:pPr>
            <w:r w:rsidRPr="00981EA6">
              <w:t xml:space="preserve">ITC of LAAC vs warfarin k=2; N=1114 / </w:t>
            </w:r>
            <w:r>
              <w:t>DOAC</w:t>
            </w:r>
            <w:r w:rsidRPr="00981EA6">
              <w:t xml:space="preserve"> vs warfarin k=4; N=51,767</w:t>
            </w:r>
          </w:p>
        </w:tc>
        <w:tc>
          <w:tcPr>
            <w:tcW w:w="530" w:type="pct"/>
          </w:tcPr>
          <w:p w14:paraId="3E238658" w14:textId="77777777" w:rsidR="00E93186" w:rsidRPr="00981EA6" w:rsidRDefault="00E93186" w:rsidP="00E93186">
            <w:pPr>
              <w:spacing w:after="40"/>
              <w:rPr>
                <w:rFonts w:ascii="Arial Narrow" w:hAnsi="Arial Narrow" w:cs="Cambria Math"/>
                <w:sz w:val="20"/>
                <w:vertAlign w:val="superscript"/>
              </w:rPr>
            </w:pPr>
            <w:r w:rsidRPr="00981EA6">
              <w:rPr>
                <w:rFonts w:ascii="Cambria Math" w:hAnsi="Cambria Math" w:cs="Cambria Math"/>
                <w:color w:val="00B050"/>
                <w:sz w:val="20"/>
              </w:rPr>
              <w:t>⨁</w:t>
            </w:r>
            <w:r w:rsidRPr="00981EA6">
              <w:rPr>
                <w:rFonts w:ascii="Cambria Math" w:hAnsi="Cambria Math" w:cs="Cambria Math"/>
                <w:color w:val="C00000"/>
                <w:sz w:val="20"/>
              </w:rPr>
              <w:t>⨀⨀⨀</w:t>
            </w:r>
            <w:r w:rsidRPr="00981EA6">
              <w:rPr>
                <w:rFonts w:ascii="Arial Narrow" w:hAnsi="Arial Narrow" w:cs="Cambria Math"/>
                <w:sz w:val="20"/>
                <w:vertAlign w:val="superscript"/>
              </w:rPr>
              <w:t>e</w:t>
            </w:r>
          </w:p>
          <w:p w14:paraId="73E5A3E0" w14:textId="77777777" w:rsidR="00E93186" w:rsidRPr="00981EA6" w:rsidRDefault="00E93186" w:rsidP="00E93186">
            <w:pPr>
              <w:spacing w:after="40"/>
              <w:rPr>
                <w:rFonts w:ascii="Arial Narrow" w:hAnsi="Arial Narrow"/>
                <w:color w:val="00B050"/>
                <w:sz w:val="20"/>
              </w:rPr>
            </w:pPr>
            <w:r w:rsidRPr="00981EA6">
              <w:rPr>
                <w:rFonts w:ascii="Arial Narrow" w:hAnsi="Arial Narrow" w:cs="Arial"/>
                <w:sz w:val="20"/>
              </w:rPr>
              <w:t>VERY LOW</w:t>
            </w:r>
          </w:p>
        </w:tc>
        <w:tc>
          <w:tcPr>
            <w:tcW w:w="768" w:type="pct"/>
          </w:tcPr>
          <w:p w14:paraId="4BCCB445" w14:textId="77777777" w:rsidR="00E93186" w:rsidRPr="00981EA6" w:rsidRDefault="00E93186" w:rsidP="00E93186">
            <w:pPr>
              <w:pStyle w:val="Tabletext"/>
            </w:pPr>
            <w:r w:rsidRPr="00981EA6">
              <w:t>0.46 (0.3, 0.7)</w:t>
            </w:r>
          </w:p>
          <w:p w14:paraId="072CAA7D" w14:textId="77777777" w:rsidR="00E93186" w:rsidRPr="00981EA6" w:rsidRDefault="00E93186" w:rsidP="00E93186">
            <w:pPr>
              <w:pStyle w:val="Tabletext"/>
            </w:pPr>
            <w:r w:rsidRPr="00981EA6">
              <w:t>PROTECT-AF only:</w:t>
            </w:r>
          </w:p>
          <w:p w14:paraId="579534B5" w14:textId="77777777" w:rsidR="00E93186" w:rsidRPr="00981EA6" w:rsidRDefault="00E93186" w:rsidP="00E93186">
            <w:pPr>
              <w:pStyle w:val="Tabletext"/>
            </w:pPr>
            <w:r w:rsidRPr="00981EA6">
              <w:t>0.41 (0.23, 0.71)</w:t>
            </w:r>
          </w:p>
        </w:tc>
        <w:tc>
          <w:tcPr>
            <w:tcW w:w="649" w:type="pct"/>
          </w:tcPr>
          <w:p w14:paraId="1213DF8B" w14:textId="77777777" w:rsidR="00E93186" w:rsidRPr="00981EA6" w:rsidRDefault="00E93186" w:rsidP="00E93186">
            <w:pPr>
              <w:pStyle w:val="Tabletext"/>
            </w:pPr>
            <w:r w:rsidRPr="00981EA6">
              <w:t>0.85 (0.7, 1.03)</w:t>
            </w:r>
          </w:p>
        </w:tc>
        <w:tc>
          <w:tcPr>
            <w:tcW w:w="671" w:type="pct"/>
          </w:tcPr>
          <w:p w14:paraId="1F739E88" w14:textId="77777777" w:rsidR="00E93186" w:rsidRPr="00981EA6" w:rsidRDefault="00E93186" w:rsidP="00E93186">
            <w:pPr>
              <w:pStyle w:val="Tabletext"/>
            </w:pPr>
            <w:r w:rsidRPr="00981EA6">
              <w:t>0.54 (0.34, 0.86)</w:t>
            </w:r>
          </w:p>
          <w:p w14:paraId="31958260" w14:textId="77777777" w:rsidR="00E93186" w:rsidRPr="00981EA6" w:rsidRDefault="00E93186" w:rsidP="00E93186">
            <w:pPr>
              <w:pStyle w:val="Tabletext"/>
            </w:pPr>
            <w:r w:rsidRPr="00981EA6">
              <w:t>PROTECT-AF only: 0.48 (0.27, 0.88)</w:t>
            </w:r>
          </w:p>
        </w:tc>
        <w:tc>
          <w:tcPr>
            <w:tcW w:w="1016" w:type="pct"/>
          </w:tcPr>
          <w:p w14:paraId="4FB774D7" w14:textId="77777777" w:rsidR="00E93186" w:rsidRPr="00981EA6" w:rsidRDefault="00E93186" w:rsidP="00E93186">
            <w:pPr>
              <w:spacing w:after="40"/>
              <w:rPr>
                <w:rFonts w:ascii="Arial Narrow" w:hAnsi="Arial Narrow" w:cs="Arial"/>
                <w:sz w:val="20"/>
              </w:rPr>
            </w:pPr>
            <w:r w:rsidRPr="00981EA6">
              <w:rPr>
                <w:rFonts w:ascii="Arial Narrow" w:hAnsi="Arial Narrow" w:cs="Arial"/>
                <w:sz w:val="20"/>
              </w:rPr>
              <w:t xml:space="preserve">Statistically significant difference in favour of LAAC. LAAC is likely to reduce major bleeding events vs </w:t>
            </w:r>
            <w:r>
              <w:rPr>
                <w:rFonts w:ascii="Arial Narrow" w:hAnsi="Arial Narrow" w:cs="Arial"/>
                <w:sz w:val="20"/>
              </w:rPr>
              <w:t>DOAC</w:t>
            </w:r>
            <w:r w:rsidRPr="00981EA6">
              <w:rPr>
                <w:rFonts w:ascii="Arial Narrow" w:hAnsi="Arial Narrow" w:cs="Arial"/>
                <w:sz w:val="20"/>
              </w:rPr>
              <w:t xml:space="preserve"> over the longer term.</w:t>
            </w:r>
          </w:p>
        </w:tc>
      </w:tr>
    </w:tbl>
    <w:p w14:paraId="402E864B" w14:textId="77777777" w:rsidR="00E93186" w:rsidRDefault="00E93186" w:rsidP="008275A0">
      <w:pPr>
        <w:pStyle w:val="Tablenotes"/>
      </w:pPr>
      <w:r w:rsidRPr="000E0BFD">
        <w:t xml:space="preserve">Source: </w:t>
      </w:r>
      <w:r w:rsidRPr="006326F2">
        <w:t>Table, 3, pg 27-28 of the ADAR</w:t>
      </w:r>
    </w:p>
    <w:p w14:paraId="53E2B01B" w14:textId="77777777" w:rsidR="00E93186" w:rsidRDefault="00E93186" w:rsidP="008275A0">
      <w:pPr>
        <w:pStyle w:val="Tablenotes"/>
      </w:pPr>
      <w:r>
        <w:t xml:space="preserve">Abbreviations: AF = atrial fibrillation; </w:t>
      </w:r>
      <w:r w:rsidRPr="000E0BFD">
        <w:t>CI</w:t>
      </w:r>
      <w:r>
        <w:t xml:space="preserve"> = </w:t>
      </w:r>
      <w:r w:rsidRPr="000E0BFD">
        <w:t>confidence interval; CV</w:t>
      </w:r>
      <w:r>
        <w:t xml:space="preserve"> = </w:t>
      </w:r>
      <w:r w:rsidRPr="000E0BFD">
        <w:t>cardiovascular;</w:t>
      </w:r>
      <w:r w:rsidRPr="00DF1F21">
        <w:t xml:space="preserve"> </w:t>
      </w:r>
      <w:r>
        <w:t xml:space="preserve">DOAC = direct oral anticoagulant; </w:t>
      </w:r>
      <w:r w:rsidRPr="004B618D">
        <w:t>IEE</w:t>
      </w:r>
      <w:r>
        <w:t xml:space="preserve"> = </w:t>
      </w:r>
      <w:r w:rsidRPr="004B618D">
        <w:t>indirect estimate of effect</w:t>
      </w:r>
      <w:r>
        <w:t>;</w:t>
      </w:r>
      <w:r w:rsidRPr="004B618D">
        <w:t xml:space="preserve"> </w:t>
      </w:r>
      <w:r>
        <w:t>ITC = indirect treatment comparison; k = number of studies; LAAC = left atrial appendage closure;</w:t>
      </w:r>
      <w:r w:rsidRPr="000E0BFD">
        <w:t xml:space="preserve"> </w:t>
      </w:r>
      <w:r>
        <w:t>N = number of participants; NR =not reported;</w:t>
      </w:r>
      <w:r w:rsidRPr="000E0BFD">
        <w:t xml:space="preserve"> OR</w:t>
      </w:r>
      <w:r>
        <w:t xml:space="preserve"> = </w:t>
      </w:r>
      <w:r w:rsidRPr="000E0BFD">
        <w:t xml:space="preserve">odds ratio; </w:t>
      </w:r>
      <w:r>
        <w:t>RCT = randomised controlled trial; sHR = subdistribution hazard ratio.</w:t>
      </w:r>
    </w:p>
    <w:p w14:paraId="3A8AD2E0" w14:textId="77777777" w:rsidR="00E93186" w:rsidRDefault="00E93186" w:rsidP="00E93186">
      <w:pPr>
        <w:pStyle w:val="TFAbbrevs18"/>
      </w:pPr>
      <w:r w:rsidRPr="000E0BFD">
        <w:rPr>
          <w:vertAlign w:val="superscript"/>
        </w:rPr>
        <w:t>a</w:t>
      </w:r>
      <w:r w:rsidRPr="000E0BFD">
        <w:t xml:space="preserve">GRADE Working Group grades of evidence (Guyatt et al., 2013); </w:t>
      </w:r>
      <w:r w:rsidRPr="000E0BFD">
        <w:rPr>
          <w:rFonts w:ascii="Cambria Math" w:hAnsi="Cambria Math" w:cs="Cambria Math"/>
          <w:color w:val="00B050"/>
        </w:rPr>
        <w:t>⨁⨁⨁⨁</w:t>
      </w:r>
      <w:r w:rsidRPr="000E0BFD">
        <w:rPr>
          <w:color w:val="00B050"/>
        </w:rPr>
        <w:t xml:space="preserve"> </w:t>
      </w:r>
      <w:r w:rsidRPr="000E0BFD">
        <w:rPr>
          <w:b/>
          <w:bCs/>
        </w:rPr>
        <w:t>High quality:</w:t>
      </w:r>
      <w:r w:rsidRPr="000E0BFD">
        <w:t xml:space="preserve"> We are very confident that the true effect lies close to that of the estimate of effect. </w:t>
      </w:r>
      <w:r w:rsidRPr="000E0BFD">
        <w:rPr>
          <w:rFonts w:ascii="Cambria Math" w:hAnsi="Cambria Math" w:cs="Cambria Math"/>
          <w:color w:val="00B050"/>
        </w:rPr>
        <w:t>⨁⨁⨁</w:t>
      </w:r>
      <w:r w:rsidRPr="000E0BFD">
        <w:rPr>
          <w:rFonts w:ascii="Cambria Math" w:hAnsi="Cambria Math" w:cs="Cambria Math"/>
          <w:color w:val="C00000"/>
        </w:rPr>
        <w:t>⨀</w:t>
      </w:r>
      <w:r w:rsidRPr="000E0BFD">
        <w:rPr>
          <w:rFonts w:cs="Cambria Math"/>
          <w:color w:val="C00000"/>
        </w:rPr>
        <w:t xml:space="preserve"> </w:t>
      </w:r>
      <w:r w:rsidRPr="000E0BFD">
        <w:rPr>
          <w:b/>
          <w:bCs/>
        </w:rPr>
        <w:t>Moderate quality:</w:t>
      </w:r>
      <w:r w:rsidRPr="000E0BFD">
        <w:t xml:space="preserve"> We are moderately confident in the effect estimate: The true effect is likely to be close to the estimate of the effect, but there is a possibility that it is substantially different. </w:t>
      </w:r>
      <w:r w:rsidRPr="000E0BFD">
        <w:rPr>
          <w:rFonts w:ascii="Cambria Math" w:hAnsi="Cambria Math" w:cs="Cambria Math"/>
          <w:color w:val="00B050"/>
        </w:rPr>
        <w:t>⨁⨁</w:t>
      </w:r>
      <w:r w:rsidRPr="000E0BFD">
        <w:rPr>
          <w:rFonts w:ascii="Cambria Math" w:hAnsi="Cambria Math" w:cs="Cambria Math"/>
          <w:color w:val="C00000"/>
        </w:rPr>
        <w:t>⨀⨀</w:t>
      </w:r>
      <w:r w:rsidRPr="000E0BFD">
        <w:rPr>
          <w:rFonts w:cs="Cambria Math"/>
          <w:color w:val="C00000"/>
        </w:rPr>
        <w:t xml:space="preserve"> </w:t>
      </w:r>
      <w:r w:rsidRPr="000E0BFD">
        <w:rPr>
          <w:b/>
          <w:bCs/>
        </w:rPr>
        <w:t>Low quality:</w:t>
      </w:r>
      <w:r w:rsidRPr="000E0BFD">
        <w:t xml:space="preserve"> Our confidence in the effect estimate is limited: The true effect may be substantially different from the estimate of the effect.</w:t>
      </w:r>
      <w:r w:rsidRPr="000E0BFD">
        <w:rPr>
          <w:rFonts w:ascii="Cambria Math" w:hAnsi="Cambria Math" w:cs="Cambria Math"/>
          <w:color w:val="00B050"/>
        </w:rPr>
        <w:t>⨁</w:t>
      </w:r>
      <w:r w:rsidRPr="000E0BFD">
        <w:rPr>
          <w:rFonts w:ascii="Cambria Math" w:hAnsi="Cambria Math" w:cs="Cambria Math"/>
          <w:color w:val="C00000"/>
        </w:rPr>
        <w:t>⨀⨀⨀</w:t>
      </w:r>
      <w:r w:rsidRPr="000E0BFD">
        <w:rPr>
          <w:rFonts w:cs="Cambria Math"/>
          <w:color w:val="C00000"/>
        </w:rPr>
        <w:t xml:space="preserve"> </w:t>
      </w:r>
      <w:r w:rsidRPr="000E0BFD">
        <w:rPr>
          <w:b/>
          <w:bCs/>
        </w:rPr>
        <w:t>Very low quality:</w:t>
      </w:r>
      <w:r w:rsidRPr="000E0BFD">
        <w:t xml:space="preserve"> We have very little confidence in the effect estimate: The true effect is likely to be substantially different from the estimate of effect.; </w:t>
      </w:r>
      <w:r>
        <w:br/>
      </w:r>
      <w:r w:rsidRPr="000E0BFD">
        <w:rPr>
          <w:vertAlign w:val="superscript"/>
        </w:rPr>
        <w:t>b</w:t>
      </w:r>
      <w:r w:rsidRPr="000E0BFD">
        <w:t xml:space="preserve"> On the basis of ITC of two sets of data of LOW quality, graded down from LOW to VERY LOW for indirectness; </w:t>
      </w:r>
      <w:r>
        <w:br/>
      </w:r>
      <w:r w:rsidRPr="000E0BFD">
        <w:rPr>
          <w:vertAlign w:val="superscript"/>
        </w:rPr>
        <w:t>c</w:t>
      </w:r>
      <w:r w:rsidRPr="000E0BFD">
        <w:t xml:space="preserve"> On the basis of ITC of two sets of data, of which one is LOW quality and one is MODERATE quality, where the MODERATE quality dataset was derived from the largest body of evidence; graded down from MODERARE to LOW for indirectness; </w:t>
      </w:r>
      <w:r>
        <w:br/>
      </w:r>
      <w:r w:rsidRPr="000E0BFD">
        <w:rPr>
          <w:vertAlign w:val="superscript"/>
        </w:rPr>
        <w:t xml:space="preserve">d </w:t>
      </w:r>
      <w:r w:rsidRPr="000E0BFD">
        <w:t xml:space="preserve">On the basis of ITC of two sets of data of MODERATE quality, graded down from MODERATE to LOW for indirectness; </w:t>
      </w:r>
      <w:r>
        <w:br/>
      </w:r>
      <w:r w:rsidRPr="000E0BFD">
        <w:rPr>
          <w:vertAlign w:val="superscript"/>
        </w:rPr>
        <w:t xml:space="preserve">e </w:t>
      </w:r>
      <w:r w:rsidRPr="000E0BFD">
        <w:t xml:space="preserve">On the basis of ITC of two sets of data, of which one is LOW quality and one is MODERATE quality, where the MODERATE quality dataset was derived from the smaller body of evidence; graded down from LOW to VERY LOW for indirectness; </w:t>
      </w:r>
    </w:p>
    <w:p w14:paraId="7AC8B7C2" w14:textId="77777777" w:rsidR="00E93186" w:rsidRPr="0057389D" w:rsidRDefault="00E93186" w:rsidP="00B3097D">
      <w:pPr>
        <w:pStyle w:val="Heading4"/>
      </w:pPr>
      <w:r w:rsidRPr="0057389D">
        <w:t>LAAC versus warfarin</w:t>
      </w:r>
    </w:p>
    <w:p w14:paraId="57978057" w14:textId="4390BE76" w:rsidR="00E93186" w:rsidRDefault="00E93186" w:rsidP="00B3097D">
      <w:pPr>
        <w:spacing w:after="240"/>
      </w:pPr>
      <w:r w:rsidRPr="003917B9">
        <w:t xml:space="preserve">The </w:t>
      </w:r>
      <w:r>
        <w:t xml:space="preserve">ADAR reported that the </w:t>
      </w:r>
      <w:r w:rsidRPr="003917B9">
        <w:t>results from the meta-analysis demonstrate</w:t>
      </w:r>
      <w:r>
        <w:t>d</w:t>
      </w:r>
      <w:r w:rsidRPr="003917B9">
        <w:t xml:space="preserve"> LAAC to be non-inferior to warfarin with respect to stroke when including all events (OR [95% CI]: 0.94 [0.43 to 2.06] and when only considering post-procedure events. (0.83 [0.29 to 2.42]). Similarly, the analysis of ischaemic stroke demonstrated non-inferiority, although the warfarin arm of PREVAIL is considered an anomaly in that the stroke rate was significantly lower than predicted based on the risk score, thus influencing the meta-analysis.</w:t>
      </w:r>
    </w:p>
    <w:p w14:paraId="6AD6079C" w14:textId="0711C6E9" w:rsidR="00E93186" w:rsidRDefault="00E93186" w:rsidP="00B3097D">
      <w:pPr>
        <w:spacing w:after="240"/>
      </w:pPr>
      <w:r w:rsidRPr="003917B9">
        <w:t>With respect to haemorrhagic stroke, a statistically significant difference was observed in favour of LAAC relative to warfarin (OR [95% CI]: 0.17 [0.05 to 0.54]), showing that LAAC was associated with an 83% reduction in the odds of experiencing a haemorrhagic stroke compared with warfarin. In the meta-analysis of LAAC versus warfarin for CV/unexplained mortality, there were no statistically significant difference observed between LAAC and warfarin in the analysis including all events and in the post-procedure analysis, however, both analyses numerically favoured LAAC (OR [95% CI]: 0.66 [0.27, 1.63]; p=0.37; and 0.64 [0.25, 1.68]; p=0.37, respectively). A significant difference in favour of LAAC relative to warfarin was observed with respect to all-cause mortality.</w:t>
      </w:r>
    </w:p>
    <w:p w14:paraId="20427DE4" w14:textId="32BF0BEC" w:rsidR="00E93186" w:rsidRPr="00B3097D" w:rsidRDefault="00E93186" w:rsidP="00B3097D">
      <w:pPr>
        <w:spacing w:after="240"/>
      </w:pPr>
      <w:r>
        <w:t xml:space="preserve">The commentary noted that </w:t>
      </w:r>
      <w:r w:rsidRPr="000E0BFD">
        <w:t xml:space="preserve">LAAC </w:t>
      </w:r>
      <w:r>
        <w:t>also appeared to be</w:t>
      </w:r>
      <w:r w:rsidRPr="000E0BFD">
        <w:t xml:space="preserve"> superior in reducing the rates of haemorrhagic stroke and all-cause</w:t>
      </w:r>
      <w:r>
        <w:t xml:space="preserve"> mortality relative to warfarin, and as such the claim that, relative to warfarin, LAAC has superior safety on the bases of haemorrhagic stroke may be </w:t>
      </w:r>
      <w:r>
        <w:lastRenderedPageBreak/>
        <w:t>reasonable. However, t</w:t>
      </w:r>
      <w:r w:rsidRPr="000E0BFD">
        <w:t>he evidence for</w:t>
      </w:r>
      <w:r>
        <w:t xml:space="preserve"> the conclusion of superior efficacy of LAAC versus warfarin was</w:t>
      </w:r>
      <w:r w:rsidRPr="000E0BFD">
        <w:t xml:space="preserve"> downgraded </w:t>
      </w:r>
      <w:r>
        <w:t xml:space="preserve">due </w:t>
      </w:r>
      <w:r w:rsidRPr="000E0BFD">
        <w:t>to low certainty</w:t>
      </w:r>
      <w:r>
        <w:t>,</w:t>
      </w:r>
      <w:r w:rsidRPr="000E0BFD">
        <w:t xml:space="preserve"> predominantly due to the populations in the evidence base not reflecting patients with re</w:t>
      </w:r>
      <w:r>
        <w:t xml:space="preserve">lative contraindication to </w:t>
      </w:r>
      <w:r w:rsidRPr="00745107">
        <w:t>anticoagulation</w:t>
      </w:r>
      <w:r>
        <w:t>.</w:t>
      </w:r>
    </w:p>
    <w:p w14:paraId="778A8260" w14:textId="4CAE5739" w:rsidR="00F37B9C" w:rsidRDefault="00C06B0B" w:rsidP="00E93186">
      <w:pPr>
        <w:pStyle w:val="Heading2"/>
      </w:pPr>
      <w:r>
        <w:t>Clinical c</w:t>
      </w:r>
      <w:r w:rsidR="00F37B9C" w:rsidRPr="00F37B9C">
        <w:t>laim</w:t>
      </w:r>
    </w:p>
    <w:p w14:paraId="13952833" w14:textId="77777777" w:rsidR="00E93186" w:rsidRDefault="00E93186" w:rsidP="00E93186">
      <w:pPr>
        <w:pStyle w:val="Heading3"/>
      </w:pPr>
      <w:r>
        <w:t xml:space="preserve">Population 1 </w:t>
      </w:r>
    </w:p>
    <w:p w14:paraId="504A33D3" w14:textId="79DC3F50" w:rsidR="00E93186" w:rsidRPr="002C742E" w:rsidRDefault="00E93186" w:rsidP="00B3097D">
      <w:pPr>
        <w:keepLines/>
        <w:spacing w:after="240"/>
      </w:pPr>
      <w:r>
        <w:t>Unc</w:t>
      </w:r>
      <w:r w:rsidR="00B3097D">
        <w:t>hanged, as per MSAC 1374.1 PSD.</w:t>
      </w:r>
    </w:p>
    <w:p w14:paraId="49B2FC0B" w14:textId="77777777" w:rsidR="00E93186" w:rsidRDefault="00E93186" w:rsidP="00E93186">
      <w:pPr>
        <w:pStyle w:val="Heading3"/>
      </w:pPr>
      <w:r>
        <w:t>Population 2</w:t>
      </w:r>
    </w:p>
    <w:p w14:paraId="727C1C64" w14:textId="77777777" w:rsidR="00E93186" w:rsidRDefault="00E93186" w:rsidP="00E93186">
      <w:r>
        <w:t>The ADAR claimed that:</w:t>
      </w:r>
    </w:p>
    <w:p w14:paraId="1E5A25D6" w14:textId="77777777" w:rsidR="00E93186" w:rsidRDefault="00E93186" w:rsidP="00E93186">
      <w:pPr>
        <w:pStyle w:val="ListParagraph"/>
        <w:numPr>
          <w:ilvl w:val="0"/>
          <w:numId w:val="32"/>
        </w:numPr>
      </w:pPr>
      <w:r>
        <w:t>relative to D</w:t>
      </w:r>
      <w:r w:rsidRPr="000E0BFD">
        <w:t>OAC, LAAC has superior safety with respect to bleeding and non-inferior effectiveness, noting some advantages with LAAC with respect to haemorrhagic stroke and CV mortality.</w:t>
      </w:r>
    </w:p>
    <w:p w14:paraId="5754F97A" w14:textId="6D46AFE2" w:rsidR="00E93186" w:rsidRPr="00B3097D" w:rsidRDefault="00E93186" w:rsidP="00B3097D">
      <w:pPr>
        <w:pStyle w:val="ListParagraph"/>
        <w:numPr>
          <w:ilvl w:val="0"/>
          <w:numId w:val="32"/>
        </w:numPr>
      </w:pPr>
      <w:r>
        <w:t>r</w:t>
      </w:r>
      <w:r w:rsidRPr="000E0BFD">
        <w:t>elative to warfarin, LAAC has superior safety on the basis of major bleeding events and superior effectiveness on the basis of haemorrhagic stroke.</w:t>
      </w:r>
    </w:p>
    <w:p w14:paraId="17B897C3" w14:textId="77777777" w:rsidR="00BC1364" w:rsidRPr="00F715D1" w:rsidRDefault="00BC1364" w:rsidP="00F715D1">
      <w:pPr>
        <w:pStyle w:val="Heading1"/>
      </w:pPr>
      <w:r w:rsidRPr="00F715D1">
        <w:t>Economic evaluation</w:t>
      </w:r>
    </w:p>
    <w:p w14:paraId="1D648C39" w14:textId="77777777" w:rsidR="00E93186" w:rsidRDefault="00E93186" w:rsidP="00B3097D">
      <w:pPr>
        <w:pStyle w:val="Heading3"/>
      </w:pPr>
      <w:r>
        <w:t>Population 1</w:t>
      </w:r>
    </w:p>
    <w:p w14:paraId="60246284" w14:textId="08AAA741" w:rsidR="00E93186" w:rsidRPr="000E0BFD" w:rsidRDefault="00E93186" w:rsidP="00B3097D">
      <w:pPr>
        <w:spacing w:after="240"/>
      </w:pPr>
      <w:r>
        <w:t>Unchanged, a</w:t>
      </w:r>
      <w:r w:rsidR="00B3097D">
        <w:t>s per MSAC 1374.1 PSD.</w:t>
      </w:r>
    </w:p>
    <w:p w14:paraId="6EE44561" w14:textId="77777777" w:rsidR="00E93186" w:rsidRDefault="00E93186" w:rsidP="00B3097D">
      <w:pPr>
        <w:pStyle w:val="Heading3"/>
      </w:pPr>
      <w:r>
        <w:t>Population 2</w:t>
      </w:r>
    </w:p>
    <w:p w14:paraId="2343F5FB" w14:textId="005EDD03" w:rsidR="00D03146" w:rsidRPr="00D03146" w:rsidRDefault="00E93186" w:rsidP="00D03146">
      <w:pPr>
        <w:spacing w:after="240"/>
      </w:pPr>
      <w:r w:rsidRPr="000E46BC">
        <w:t>A cost-utility analysis was presented</w:t>
      </w:r>
      <w:r w:rsidRPr="00256CDC">
        <w:t xml:space="preserve"> to estimate the expected costs and health outcomes associated with</w:t>
      </w:r>
      <w:r>
        <w:t xml:space="preserve"> LAAC implantation compared to D</w:t>
      </w:r>
      <w:r w:rsidRPr="00256CDC">
        <w:t xml:space="preserve">OACs </w:t>
      </w:r>
      <w:r w:rsidR="00380C23">
        <w:t xml:space="preserve">in </w:t>
      </w:r>
      <w:r w:rsidRPr="000E46BC">
        <w:t xml:space="preserve">patients with NVAF who have an increased risk of thromboembolism (CHA2DS2-VA score of ≥ 2) and with a relative contraindication to </w:t>
      </w:r>
      <w:r w:rsidRPr="00745107">
        <w:t>anticoagulation</w:t>
      </w:r>
      <w:r w:rsidRPr="000E46BC">
        <w:t xml:space="preserve">  (</w:t>
      </w:r>
      <w:r w:rsidRPr="000E46BC">
        <w:fldChar w:fldCharType="begin"/>
      </w:r>
      <w:r w:rsidRPr="000E46BC">
        <w:instrText xml:space="preserve"> REF _Ref58835825 \h </w:instrText>
      </w:r>
      <w:r>
        <w:instrText xml:space="preserve"> \* MERGEFORMAT </w:instrText>
      </w:r>
      <w:r w:rsidRPr="000E46BC">
        <w:fldChar w:fldCharType="separate"/>
      </w:r>
      <w:r w:rsidRPr="004610C3">
        <w:t xml:space="preserve">Table </w:t>
      </w:r>
      <w:r>
        <w:rPr>
          <w:noProof/>
        </w:rPr>
        <w:t>11</w:t>
      </w:r>
      <w:r w:rsidRPr="000E46BC">
        <w:fldChar w:fldCharType="end"/>
      </w:r>
      <w:r w:rsidRPr="000E46BC">
        <w:t>).</w:t>
      </w:r>
      <w:r w:rsidRPr="00256CDC">
        <w:t xml:space="preserve"> Warfarin was tested in a sensitivity analysis using the same structure as per the </w:t>
      </w:r>
      <w:r>
        <w:t>D</w:t>
      </w:r>
      <w:r w:rsidRPr="00256CDC">
        <w:t xml:space="preserve">OAC mode. </w:t>
      </w:r>
      <w:r w:rsidRPr="000E46BC">
        <w:t xml:space="preserve"> </w:t>
      </w:r>
      <w:bookmarkStart w:id="20" w:name="_Ref58847692"/>
      <w:r w:rsidR="00D03146">
        <w:br w:type="page"/>
      </w:r>
    </w:p>
    <w:p w14:paraId="41D7D843" w14:textId="07C4C847" w:rsidR="00E93186" w:rsidRPr="000E0BFD" w:rsidRDefault="00E93186" w:rsidP="00E93186">
      <w:pPr>
        <w:pStyle w:val="Caption"/>
      </w:pPr>
      <w:r>
        <w:lastRenderedPageBreak/>
        <w:t xml:space="preserve">Table </w:t>
      </w:r>
      <w:r w:rsidR="00FE1F6B">
        <w:fldChar w:fldCharType="begin"/>
      </w:r>
      <w:r w:rsidR="00FE1F6B">
        <w:instrText xml:space="preserve"> SEQ Table \* ARABIC </w:instrText>
      </w:r>
      <w:r w:rsidR="00FE1F6B">
        <w:fldChar w:fldCharType="separate"/>
      </w:r>
      <w:r>
        <w:rPr>
          <w:noProof/>
        </w:rPr>
        <w:t>10</w:t>
      </w:r>
      <w:r w:rsidR="00FE1F6B">
        <w:rPr>
          <w:noProof/>
        </w:rPr>
        <w:fldChar w:fldCharType="end"/>
      </w:r>
      <w:bookmarkEnd w:id="20"/>
      <w:r>
        <w:rPr>
          <w:noProof/>
        </w:rPr>
        <w:tab/>
      </w:r>
      <w:r w:rsidRPr="00367108">
        <w:t>Summary of the economic evaluation</w:t>
      </w:r>
    </w:p>
    <w:tbl>
      <w:tblPr>
        <w:tblStyle w:val="OPTUMTableNormal"/>
        <w:tblW w:w="5000" w:type="pct"/>
        <w:tblLook w:val="01E0" w:firstRow="1" w:lastRow="1" w:firstColumn="1" w:lastColumn="1" w:noHBand="0" w:noVBand="0"/>
        <w:tblDescription w:val="Summary of the economic evaluation"/>
      </w:tblPr>
      <w:tblGrid>
        <w:gridCol w:w="3105"/>
        <w:gridCol w:w="5911"/>
      </w:tblGrid>
      <w:tr w:rsidR="00E93186" w:rsidRPr="000E0BFD" w14:paraId="5CCA9194" w14:textId="77777777" w:rsidTr="00511ED5">
        <w:trPr>
          <w:cnfStyle w:val="100000000000" w:firstRow="1" w:lastRow="0" w:firstColumn="0" w:lastColumn="0" w:oddVBand="0" w:evenVBand="0" w:oddHBand="0" w:evenHBand="0" w:firstRowFirstColumn="0" w:firstRowLastColumn="0" w:lastRowFirstColumn="0" w:lastRowLastColumn="0"/>
          <w:trHeight w:val="20"/>
          <w:tblHeader/>
        </w:trPr>
        <w:tc>
          <w:tcPr>
            <w:tcW w:w="1722" w:type="pct"/>
          </w:tcPr>
          <w:p w14:paraId="10904F72" w14:textId="77777777" w:rsidR="00E93186" w:rsidRPr="000E0BFD" w:rsidRDefault="00E93186" w:rsidP="00E93186">
            <w:pPr>
              <w:widowControl w:val="0"/>
              <w:spacing w:after="40"/>
              <w:rPr>
                <w:rFonts w:ascii="Arial Narrow" w:hAnsi="Arial Narrow"/>
                <w:b/>
                <w:sz w:val="20"/>
              </w:rPr>
            </w:pPr>
            <w:r w:rsidRPr="000E0BFD">
              <w:rPr>
                <w:rFonts w:ascii="Arial Narrow" w:hAnsi="Arial Narrow"/>
                <w:b/>
                <w:sz w:val="20"/>
              </w:rPr>
              <w:t>Perspective</w:t>
            </w:r>
          </w:p>
        </w:tc>
        <w:tc>
          <w:tcPr>
            <w:tcW w:w="3278" w:type="pct"/>
          </w:tcPr>
          <w:p w14:paraId="0B44785F" w14:textId="77777777" w:rsidR="00E93186" w:rsidRPr="000E0BFD" w:rsidRDefault="00E93186" w:rsidP="00E93186">
            <w:pPr>
              <w:pStyle w:val="TableText0"/>
              <w:keepNext w:val="0"/>
              <w:widowControl w:val="0"/>
            </w:pPr>
            <w:r w:rsidRPr="000E0BFD">
              <w:t xml:space="preserve">Healthcare system </w:t>
            </w:r>
          </w:p>
        </w:tc>
      </w:tr>
      <w:tr w:rsidR="00E93186" w:rsidRPr="000E0BFD" w14:paraId="780EA57E" w14:textId="77777777" w:rsidTr="00511ED5">
        <w:trPr>
          <w:trHeight w:val="20"/>
        </w:trPr>
        <w:tc>
          <w:tcPr>
            <w:tcW w:w="1722" w:type="pct"/>
          </w:tcPr>
          <w:p w14:paraId="623FB607" w14:textId="77777777" w:rsidR="00E93186" w:rsidRPr="000E0BFD" w:rsidRDefault="00E93186" w:rsidP="00E93186">
            <w:pPr>
              <w:widowControl w:val="0"/>
              <w:spacing w:after="40"/>
              <w:rPr>
                <w:rFonts w:ascii="Arial Narrow" w:hAnsi="Arial Narrow"/>
                <w:b/>
                <w:sz w:val="20"/>
              </w:rPr>
            </w:pPr>
            <w:r w:rsidRPr="000E0BFD">
              <w:rPr>
                <w:rFonts w:ascii="Arial Narrow" w:hAnsi="Arial Narrow"/>
                <w:b/>
                <w:sz w:val="20"/>
              </w:rPr>
              <w:t>Comparator</w:t>
            </w:r>
          </w:p>
        </w:tc>
        <w:tc>
          <w:tcPr>
            <w:tcW w:w="3278" w:type="pct"/>
          </w:tcPr>
          <w:p w14:paraId="41370D86" w14:textId="77777777" w:rsidR="00E93186" w:rsidRPr="000E0BFD" w:rsidRDefault="00E93186" w:rsidP="00E93186">
            <w:pPr>
              <w:pStyle w:val="TableText0"/>
              <w:keepNext w:val="0"/>
              <w:widowControl w:val="0"/>
            </w:pPr>
            <w:r>
              <w:t>DOAC</w:t>
            </w:r>
            <w:r w:rsidRPr="000E0BFD">
              <w:t>s (primary), warfarin (secondary)</w:t>
            </w:r>
          </w:p>
        </w:tc>
      </w:tr>
      <w:tr w:rsidR="00E93186" w:rsidRPr="000E0BFD" w14:paraId="16EBD399" w14:textId="77777777" w:rsidTr="00511ED5">
        <w:trPr>
          <w:trHeight w:val="20"/>
        </w:trPr>
        <w:tc>
          <w:tcPr>
            <w:tcW w:w="1722" w:type="pct"/>
          </w:tcPr>
          <w:p w14:paraId="64EFCE7A" w14:textId="77777777" w:rsidR="00E93186" w:rsidRPr="000E0BFD" w:rsidRDefault="00E93186" w:rsidP="00E93186">
            <w:pPr>
              <w:widowControl w:val="0"/>
              <w:spacing w:after="40"/>
              <w:rPr>
                <w:rFonts w:ascii="Arial Narrow" w:hAnsi="Arial Narrow"/>
                <w:b/>
                <w:sz w:val="20"/>
              </w:rPr>
            </w:pPr>
            <w:r w:rsidRPr="000E0BFD">
              <w:rPr>
                <w:rFonts w:ascii="Arial Narrow" w:hAnsi="Arial Narrow"/>
                <w:b/>
                <w:sz w:val="20"/>
              </w:rPr>
              <w:t>Type of economic evaluation</w:t>
            </w:r>
          </w:p>
        </w:tc>
        <w:tc>
          <w:tcPr>
            <w:tcW w:w="3278" w:type="pct"/>
          </w:tcPr>
          <w:p w14:paraId="5ED11A53" w14:textId="77777777" w:rsidR="00E93186" w:rsidRPr="000E0BFD" w:rsidRDefault="00E93186" w:rsidP="00E93186">
            <w:pPr>
              <w:pStyle w:val="TableText0"/>
              <w:keepNext w:val="0"/>
              <w:widowControl w:val="0"/>
            </w:pPr>
            <w:r w:rsidRPr="000E0BFD">
              <w:t>Cost-utility analysis</w:t>
            </w:r>
          </w:p>
        </w:tc>
      </w:tr>
      <w:tr w:rsidR="00E93186" w:rsidRPr="000E0BFD" w14:paraId="0E1FDAAF" w14:textId="77777777" w:rsidTr="00511ED5">
        <w:trPr>
          <w:trHeight w:val="20"/>
        </w:trPr>
        <w:tc>
          <w:tcPr>
            <w:tcW w:w="1722" w:type="pct"/>
          </w:tcPr>
          <w:p w14:paraId="70214834" w14:textId="77777777" w:rsidR="00E93186" w:rsidRPr="000E0BFD" w:rsidRDefault="00E93186" w:rsidP="00E93186">
            <w:pPr>
              <w:widowControl w:val="0"/>
              <w:spacing w:after="40"/>
              <w:rPr>
                <w:rFonts w:ascii="Arial Narrow" w:hAnsi="Arial Narrow"/>
                <w:b/>
                <w:sz w:val="20"/>
              </w:rPr>
            </w:pPr>
            <w:r w:rsidRPr="000E0BFD">
              <w:rPr>
                <w:rFonts w:ascii="Arial Narrow" w:hAnsi="Arial Narrow"/>
                <w:b/>
                <w:sz w:val="20"/>
              </w:rPr>
              <w:t>Sources of evidence</w:t>
            </w:r>
          </w:p>
        </w:tc>
        <w:tc>
          <w:tcPr>
            <w:tcW w:w="3278" w:type="pct"/>
          </w:tcPr>
          <w:p w14:paraId="47DBF8DD" w14:textId="77777777" w:rsidR="00E93186" w:rsidRPr="000E0BFD" w:rsidRDefault="00E93186" w:rsidP="00E93186">
            <w:pPr>
              <w:pStyle w:val="TableText0"/>
              <w:keepNext w:val="0"/>
              <w:widowControl w:val="0"/>
            </w:pPr>
            <w:r w:rsidRPr="000E0BFD">
              <w:t>Tri</w:t>
            </w:r>
            <w:r>
              <w:t>a</w:t>
            </w:r>
            <w:r w:rsidRPr="000E0BFD">
              <w:t>l based (PRAGUE-17, ARISTOTLE, ROCKET, see Section C.2)</w:t>
            </w:r>
          </w:p>
          <w:p w14:paraId="5CE7076E" w14:textId="77777777" w:rsidR="00E93186" w:rsidRPr="000E0BFD" w:rsidRDefault="00E93186" w:rsidP="00E93186">
            <w:pPr>
              <w:pStyle w:val="TableText0"/>
              <w:keepNext w:val="0"/>
              <w:widowControl w:val="0"/>
            </w:pPr>
            <w:r w:rsidRPr="000E0BFD">
              <w:t>Literature based (see Section C. 4-7 for details)</w:t>
            </w:r>
          </w:p>
          <w:p w14:paraId="2614FC4D" w14:textId="77777777" w:rsidR="00E93186" w:rsidRPr="000E0BFD" w:rsidRDefault="00E93186" w:rsidP="00E93186">
            <w:pPr>
              <w:pStyle w:val="TableText0"/>
              <w:keepNext w:val="0"/>
              <w:widowControl w:val="0"/>
            </w:pPr>
            <w:r w:rsidRPr="000E0BFD">
              <w:t>PBS scripts analysis (see Section C.3)</w:t>
            </w:r>
          </w:p>
        </w:tc>
      </w:tr>
      <w:tr w:rsidR="00E93186" w:rsidRPr="000E0BFD" w14:paraId="5687118E" w14:textId="77777777" w:rsidTr="00511ED5">
        <w:trPr>
          <w:trHeight w:val="20"/>
        </w:trPr>
        <w:tc>
          <w:tcPr>
            <w:tcW w:w="1722" w:type="pct"/>
            <w:hideMark/>
          </w:tcPr>
          <w:p w14:paraId="771534B4" w14:textId="77777777" w:rsidR="00E93186" w:rsidRPr="000E0BFD" w:rsidRDefault="00E93186" w:rsidP="00E93186">
            <w:pPr>
              <w:widowControl w:val="0"/>
              <w:spacing w:after="40"/>
              <w:rPr>
                <w:rFonts w:ascii="Arial Narrow" w:hAnsi="Arial Narrow"/>
                <w:b/>
                <w:sz w:val="20"/>
              </w:rPr>
            </w:pPr>
            <w:r w:rsidRPr="000E0BFD">
              <w:rPr>
                <w:rFonts w:ascii="Arial Narrow" w:hAnsi="Arial Narrow"/>
                <w:b/>
                <w:sz w:val="20"/>
              </w:rPr>
              <w:t>Time horizon</w:t>
            </w:r>
          </w:p>
        </w:tc>
        <w:tc>
          <w:tcPr>
            <w:tcW w:w="3278" w:type="pct"/>
          </w:tcPr>
          <w:p w14:paraId="0393C206" w14:textId="77777777" w:rsidR="00E93186" w:rsidRPr="000E0BFD" w:rsidRDefault="00E93186" w:rsidP="00E93186">
            <w:pPr>
              <w:pStyle w:val="TableText0"/>
              <w:keepNext w:val="0"/>
              <w:widowControl w:val="0"/>
            </w:pPr>
            <w:r w:rsidRPr="000E0BFD">
              <w:t>Lifetime</w:t>
            </w:r>
          </w:p>
        </w:tc>
      </w:tr>
      <w:tr w:rsidR="00E93186" w:rsidRPr="000E0BFD" w14:paraId="454B1834" w14:textId="77777777" w:rsidTr="00511ED5">
        <w:trPr>
          <w:trHeight w:val="20"/>
        </w:trPr>
        <w:tc>
          <w:tcPr>
            <w:tcW w:w="1722" w:type="pct"/>
            <w:hideMark/>
          </w:tcPr>
          <w:p w14:paraId="16B96954" w14:textId="77777777" w:rsidR="00E93186" w:rsidRPr="000E0BFD" w:rsidRDefault="00E93186" w:rsidP="00E93186">
            <w:pPr>
              <w:widowControl w:val="0"/>
              <w:spacing w:after="40"/>
              <w:rPr>
                <w:rFonts w:ascii="Arial Narrow" w:hAnsi="Arial Narrow"/>
                <w:b/>
                <w:sz w:val="20"/>
              </w:rPr>
            </w:pPr>
            <w:r w:rsidRPr="000E0BFD">
              <w:rPr>
                <w:rFonts w:ascii="Arial Narrow" w:hAnsi="Arial Narrow"/>
                <w:b/>
                <w:sz w:val="20"/>
              </w:rPr>
              <w:t>Outcomes</w:t>
            </w:r>
          </w:p>
        </w:tc>
        <w:tc>
          <w:tcPr>
            <w:tcW w:w="3278" w:type="pct"/>
          </w:tcPr>
          <w:p w14:paraId="620A6ED7" w14:textId="77777777" w:rsidR="00E93186" w:rsidRPr="000E0BFD" w:rsidRDefault="00E93186" w:rsidP="00E93186">
            <w:pPr>
              <w:pStyle w:val="TableText0"/>
              <w:keepNext w:val="0"/>
              <w:widowControl w:val="0"/>
            </w:pPr>
            <w:r w:rsidRPr="000E0BFD">
              <w:t xml:space="preserve">Quality-adjusted life years </w:t>
            </w:r>
          </w:p>
        </w:tc>
      </w:tr>
      <w:tr w:rsidR="00E93186" w:rsidRPr="000E0BFD" w14:paraId="7EFF6F79" w14:textId="77777777" w:rsidTr="00511ED5">
        <w:trPr>
          <w:trHeight w:val="20"/>
        </w:trPr>
        <w:tc>
          <w:tcPr>
            <w:tcW w:w="1722" w:type="pct"/>
            <w:hideMark/>
          </w:tcPr>
          <w:p w14:paraId="6CEC6485" w14:textId="77777777" w:rsidR="00E93186" w:rsidRPr="000E0BFD" w:rsidRDefault="00E93186" w:rsidP="00E93186">
            <w:pPr>
              <w:widowControl w:val="0"/>
              <w:spacing w:after="40"/>
              <w:rPr>
                <w:rFonts w:ascii="Arial Narrow" w:hAnsi="Arial Narrow"/>
                <w:b/>
                <w:sz w:val="20"/>
              </w:rPr>
            </w:pPr>
            <w:r w:rsidRPr="000E0BFD">
              <w:rPr>
                <w:rFonts w:ascii="Arial Narrow" w:hAnsi="Arial Narrow"/>
                <w:b/>
                <w:sz w:val="20"/>
              </w:rPr>
              <w:t>Methods used to generate results</w:t>
            </w:r>
          </w:p>
        </w:tc>
        <w:tc>
          <w:tcPr>
            <w:tcW w:w="3278" w:type="pct"/>
          </w:tcPr>
          <w:p w14:paraId="43D93628" w14:textId="77777777" w:rsidR="00E93186" w:rsidRPr="000E0BFD" w:rsidRDefault="00E93186" w:rsidP="00E93186">
            <w:pPr>
              <w:pStyle w:val="TableText0"/>
              <w:keepNext w:val="0"/>
              <w:widowControl w:val="0"/>
            </w:pPr>
            <w:r w:rsidRPr="000E0BFD">
              <w:t xml:space="preserve">Markov cohort </w:t>
            </w:r>
          </w:p>
        </w:tc>
      </w:tr>
      <w:tr w:rsidR="00E93186" w:rsidRPr="000E0BFD" w14:paraId="2FD4D884" w14:textId="77777777" w:rsidTr="00511ED5">
        <w:trPr>
          <w:trHeight w:val="20"/>
        </w:trPr>
        <w:tc>
          <w:tcPr>
            <w:tcW w:w="1722" w:type="pct"/>
          </w:tcPr>
          <w:p w14:paraId="28647815" w14:textId="77777777" w:rsidR="00E93186" w:rsidRPr="000E0BFD" w:rsidRDefault="00E93186" w:rsidP="00E93186">
            <w:pPr>
              <w:widowControl w:val="0"/>
              <w:spacing w:after="40"/>
              <w:rPr>
                <w:rFonts w:ascii="Arial Narrow" w:hAnsi="Arial Narrow"/>
                <w:b/>
                <w:sz w:val="20"/>
              </w:rPr>
            </w:pPr>
            <w:r w:rsidRPr="000E0BFD">
              <w:rPr>
                <w:rFonts w:ascii="Arial Narrow" w:hAnsi="Arial Narrow"/>
                <w:b/>
                <w:sz w:val="20"/>
              </w:rPr>
              <w:t>Health states</w:t>
            </w:r>
          </w:p>
        </w:tc>
        <w:tc>
          <w:tcPr>
            <w:tcW w:w="3278" w:type="pct"/>
          </w:tcPr>
          <w:p w14:paraId="315F92AC" w14:textId="77777777" w:rsidR="00E93186" w:rsidRPr="000E0BFD" w:rsidRDefault="00E93186" w:rsidP="00E93186">
            <w:pPr>
              <w:pStyle w:val="TableText0"/>
              <w:keepNext w:val="0"/>
              <w:widowControl w:val="0"/>
            </w:pPr>
            <w:r w:rsidRPr="000E0BFD">
              <w:t>LAAC, no stroke, no major bleeding</w:t>
            </w:r>
          </w:p>
          <w:p w14:paraId="3A8AB08B" w14:textId="77777777" w:rsidR="00E93186" w:rsidRPr="000E0BFD" w:rsidRDefault="00E93186" w:rsidP="00E93186">
            <w:pPr>
              <w:pStyle w:val="TableText0"/>
              <w:keepNext w:val="0"/>
              <w:widowControl w:val="0"/>
            </w:pPr>
            <w:r w:rsidRPr="000E0BFD">
              <w:t>LAAC, no stroke, major bleeding</w:t>
            </w:r>
          </w:p>
          <w:p w14:paraId="75A39916" w14:textId="77777777" w:rsidR="00E93186" w:rsidRPr="000E0BFD" w:rsidRDefault="00E93186" w:rsidP="00E93186">
            <w:pPr>
              <w:pStyle w:val="TableText0"/>
              <w:keepNext w:val="0"/>
              <w:widowControl w:val="0"/>
            </w:pPr>
            <w:r w:rsidRPr="000E0BFD">
              <w:t>LAAC, non-disabling stroke, no major bleeding</w:t>
            </w:r>
          </w:p>
          <w:p w14:paraId="2034E3F8" w14:textId="77777777" w:rsidR="00E93186" w:rsidRPr="000E0BFD" w:rsidRDefault="00E93186" w:rsidP="00E93186">
            <w:pPr>
              <w:pStyle w:val="TableText0"/>
              <w:keepNext w:val="0"/>
              <w:widowControl w:val="0"/>
            </w:pPr>
            <w:r w:rsidRPr="000E0BFD">
              <w:t>LAAC, non-disabling stroke, major bleeding</w:t>
            </w:r>
          </w:p>
          <w:p w14:paraId="281A680D" w14:textId="77777777" w:rsidR="00E93186" w:rsidRPr="000E0BFD" w:rsidRDefault="00E93186" w:rsidP="00E93186">
            <w:pPr>
              <w:pStyle w:val="TableText0"/>
              <w:keepNext w:val="0"/>
              <w:widowControl w:val="0"/>
            </w:pPr>
            <w:r w:rsidRPr="000E0BFD">
              <w:t>LAAC, disabling stroke, no major bleeding</w:t>
            </w:r>
          </w:p>
          <w:p w14:paraId="18169517" w14:textId="77777777" w:rsidR="00E93186" w:rsidRPr="000E0BFD" w:rsidRDefault="00E93186" w:rsidP="00E93186">
            <w:pPr>
              <w:pStyle w:val="TableText0"/>
              <w:keepNext w:val="0"/>
              <w:widowControl w:val="0"/>
            </w:pPr>
            <w:r w:rsidRPr="000E0BFD">
              <w:t>LAAC, disabling stroke, major bleeding</w:t>
            </w:r>
          </w:p>
          <w:p w14:paraId="35624914" w14:textId="77777777" w:rsidR="00E93186" w:rsidRPr="000E0BFD" w:rsidRDefault="00E93186" w:rsidP="00E93186">
            <w:pPr>
              <w:pStyle w:val="TableText0"/>
              <w:keepNext w:val="0"/>
              <w:widowControl w:val="0"/>
            </w:pPr>
            <w:r>
              <w:t>DOAC</w:t>
            </w:r>
            <w:r w:rsidRPr="000E0BFD">
              <w:t>, no stroke, no major bleeding</w:t>
            </w:r>
          </w:p>
          <w:p w14:paraId="169A672C" w14:textId="77777777" w:rsidR="00E93186" w:rsidRPr="000E0BFD" w:rsidRDefault="00E93186" w:rsidP="00E93186">
            <w:pPr>
              <w:pStyle w:val="TableText0"/>
              <w:keepNext w:val="0"/>
              <w:widowControl w:val="0"/>
            </w:pPr>
            <w:r>
              <w:t>DOAC</w:t>
            </w:r>
            <w:r w:rsidRPr="000E0BFD">
              <w:t>, no stroke, major bleeding</w:t>
            </w:r>
          </w:p>
          <w:p w14:paraId="3C74D3D5" w14:textId="77777777" w:rsidR="00E93186" w:rsidRPr="000E0BFD" w:rsidRDefault="00E93186" w:rsidP="00E93186">
            <w:pPr>
              <w:pStyle w:val="TableText0"/>
              <w:keepNext w:val="0"/>
              <w:widowControl w:val="0"/>
            </w:pPr>
            <w:r>
              <w:t>DOAC</w:t>
            </w:r>
            <w:r w:rsidRPr="000E0BFD">
              <w:t>, non-disabling stroke, no major bleeding</w:t>
            </w:r>
          </w:p>
          <w:p w14:paraId="68EF6BD7" w14:textId="77777777" w:rsidR="00E93186" w:rsidRPr="000E0BFD" w:rsidRDefault="00E93186" w:rsidP="00E93186">
            <w:pPr>
              <w:pStyle w:val="TableText0"/>
              <w:keepNext w:val="0"/>
              <w:widowControl w:val="0"/>
            </w:pPr>
            <w:r>
              <w:t>DOAC</w:t>
            </w:r>
            <w:r w:rsidRPr="000E0BFD">
              <w:t>, non-disabling stroke, major bleeding</w:t>
            </w:r>
          </w:p>
          <w:p w14:paraId="440912AA" w14:textId="77777777" w:rsidR="00E93186" w:rsidRPr="000E0BFD" w:rsidRDefault="00E93186" w:rsidP="00E93186">
            <w:pPr>
              <w:pStyle w:val="TableText0"/>
              <w:keepNext w:val="0"/>
              <w:widowControl w:val="0"/>
            </w:pPr>
            <w:r>
              <w:t>DOAC</w:t>
            </w:r>
            <w:r w:rsidRPr="000E0BFD">
              <w:t>, disabling stroke, no major bleeding</w:t>
            </w:r>
          </w:p>
          <w:p w14:paraId="2B1DCB64" w14:textId="77777777" w:rsidR="00E93186" w:rsidRPr="000E0BFD" w:rsidRDefault="00E93186" w:rsidP="00E93186">
            <w:pPr>
              <w:pStyle w:val="TableText0"/>
              <w:keepNext w:val="0"/>
              <w:widowControl w:val="0"/>
            </w:pPr>
            <w:r>
              <w:t>DOAC</w:t>
            </w:r>
            <w:r w:rsidRPr="000E0BFD">
              <w:t>, disabling stroke, major bleeding</w:t>
            </w:r>
          </w:p>
          <w:p w14:paraId="311087AE" w14:textId="77777777" w:rsidR="00E93186" w:rsidRPr="000E0BFD" w:rsidRDefault="00E93186" w:rsidP="00E93186">
            <w:pPr>
              <w:pStyle w:val="TableText0"/>
              <w:keepNext w:val="0"/>
              <w:widowControl w:val="0"/>
            </w:pPr>
            <w:r w:rsidRPr="000E0BFD">
              <w:t>SOC, no stroke, no major bleeding</w:t>
            </w:r>
          </w:p>
          <w:p w14:paraId="6231FB92" w14:textId="77777777" w:rsidR="00E93186" w:rsidRPr="000E0BFD" w:rsidRDefault="00E93186" w:rsidP="00E93186">
            <w:pPr>
              <w:pStyle w:val="TableText0"/>
              <w:keepNext w:val="0"/>
              <w:widowControl w:val="0"/>
            </w:pPr>
            <w:r w:rsidRPr="000E0BFD">
              <w:t>SOC, no stroke, major bleeding</w:t>
            </w:r>
          </w:p>
          <w:p w14:paraId="328CF651" w14:textId="77777777" w:rsidR="00E93186" w:rsidRPr="000E0BFD" w:rsidRDefault="00E93186" w:rsidP="00E93186">
            <w:pPr>
              <w:pStyle w:val="TableText0"/>
              <w:keepNext w:val="0"/>
              <w:widowControl w:val="0"/>
            </w:pPr>
            <w:r w:rsidRPr="000E0BFD">
              <w:t>SOC, non-disabling stroke, no major bleeding</w:t>
            </w:r>
          </w:p>
          <w:p w14:paraId="64D258F1" w14:textId="77777777" w:rsidR="00E93186" w:rsidRPr="000E0BFD" w:rsidRDefault="00E93186" w:rsidP="00E93186">
            <w:pPr>
              <w:pStyle w:val="TableText0"/>
              <w:keepNext w:val="0"/>
              <w:widowControl w:val="0"/>
            </w:pPr>
            <w:r w:rsidRPr="000E0BFD">
              <w:t>SOC, non-disabling stroke, major bleeding</w:t>
            </w:r>
          </w:p>
          <w:p w14:paraId="74AAF562" w14:textId="77777777" w:rsidR="00E93186" w:rsidRPr="000E0BFD" w:rsidRDefault="00E93186" w:rsidP="00E93186">
            <w:pPr>
              <w:pStyle w:val="TableText0"/>
              <w:keepNext w:val="0"/>
              <w:widowControl w:val="0"/>
            </w:pPr>
            <w:r w:rsidRPr="000E0BFD">
              <w:t>SOC, disabling stroke, no major bleeding</w:t>
            </w:r>
          </w:p>
          <w:p w14:paraId="5D9496A7" w14:textId="77777777" w:rsidR="00E93186" w:rsidRPr="000E0BFD" w:rsidRDefault="00E93186" w:rsidP="00E93186">
            <w:pPr>
              <w:pStyle w:val="TableText0"/>
              <w:keepNext w:val="0"/>
              <w:widowControl w:val="0"/>
            </w:pPr>
            <w:r w:rsidRPr="000E0BFD">
              <w:t>SOC, disabling stroke, major bleeding</w:t>
            </w:r>
          </w:p>
          <w:p w14:paraId="28646DCB" w14:textId="77777777" w:rsidR="00E93186" w:rsidRPr="000E0BFD" w:rsidRDefault="00E93186" w:rsidP="00E93186">
            <w:pPr>
              <w:pStyle w:val="TableText0"/>
              <w:keepNext w:val="0"/>
              <w:widowControl w:val="0"/>
            </w:pPr>
            <w:r w:rsidRPr="000E0BFD">
              <w:t>Death</w:t>
            </w:r>
          </w:p>
        </w:tc>
      </w:tr>
      <w:tr w:rsidR="00E93186" w:rsidRPr="000E0BFD" w14:paraId="05B7641C" w14:textId="77777777" w:rsidTr="00511ED5">
        <w:trPr>
          <w:trHeight w:val="20"/>
        </w:trPr>
        <w:tc>
          <w:tcPr>
            <w:tcW w:w="1722" w:type="pct"/>
            <w:hideMark/>
          </w:tcPr>
          <w:p w14:paraId="13831CA4" w14:textId="77777777" w:rsidR="00E93186" w:rsidRPr="000E0BFD" w:rsidRDefault="00E93186" w:rsidP="00E93186">
            <w:pPr>
              <w:widowControl w:val="0"/>
              <w:spacing w:after="40"/>
              <w:rPr>
                <w:rFonts w:ascii="Arial Narrow" w:hAnsi="Arial Narrow"/>
                <w:b/>
                <w:sz w:val="20"/>
              </w:rPr>
            </w:pPr>
            <w:r w:rsidRPr="000E0BFD">
              <w:rPr>
                <w:rFonts w:ascii="Arial Narrow" w:hAnsi="Arial Narrow"/>
                <w:b/>
                <w:sz w:val="20"/>
              </w:rPr>
              <w:t>Cycle length</w:t>
            </w:r>
          </w:p>
        </w:tc>
        <w:tc>
          <w:tcPr>
            <w:tcW w:w="3278" w:type="pct"/>
          </w:tcPr>
          <w:p w14:paraId="27EE8D81" w14:textId="77777777" w:rsidR="00E93186" w:rsidRPr="000E0BFD" w:rsidRDefault="00E93186" w:rsidP="00E93186">
            <w:pPr>
              <w:pStyle w:val="TableText0"/>
              <w:keepNext w:val="0"/>
              <w:widowControl w:val="0"/>
            </w:pPr>
            <w:r w:rsidRPr="000E0BFD">
              <w:t>1 year</w:t>
            </w:r>
          </w:p>
        </w:tc>
      </w:tr>
      <w:tr w:rsidR="00E93186" w:rsidRPr="000E0BFD" w14:paraId="06D3D863" w14:textId="77777777" w:rsidTr="00511ED5">
        <w:trPr>
          <w:trHeight w:val="20"/>
        </w:trPr>
        <w:tc>
          <w:tcPr>
            <w:tcW w:w="1722" w:type="pct"/>
            <w:hideMark/>
          </w:tcPr>
          <w:p w14:paraId="67883C45" w14:textId="77777777" w:rsidR="00E93186" w:rsidRPr="000E0BFD" w:rsidRDefault="00E93186" w:rsidP="00E93186">
            <w:pPr>
              <w:widowControl w:val="0"/>
              <w:spacing w:after="40"/>
              <w:rPr>
                <w:rFonts w:ascii="Arial Narrow" w:hAnsi="Arial Narrow"/>
                <w:b/>
                <w:sz w:val="20"/>
              </w:rPr>
            </w:pPr>
            <w:r w:rsidRPr="000E0BFD">
              <w:rPr>
                <w:rFonts w:ascii="Arial Narrow" w:hAnsi="Arial Narrow"/>
                <w:b/>
                <w:sz w:val="20"/>
              </w:rPr>
              <w:t>Discount rate</w:t>
            </w:r>
          </w:p>
        </w:tc>
        <w:tc>
          <w:tcPr>
            <w:tcW w:w="3278" w:type="pct"/>
          </w:tcPr>
          <w:p w14:paraId="707D0273" w14:textId="77777777" w:rsidR="00E93186" w:rsidRPr="000E0BFD" w:rsidRDefault="00E93186" w:rsidP="00E93186">
            <w:pPr>
              <w:pStyle w:val="TableText0"/>
              <w:keepNext w:val="0"/>
              <w:widowControl w:val="0"/>
            </w:pPr>
            <w:r w:rsidRPr="000E0BFD">
              <w:t>5%</w:t>
            </w:r>
          </w:p>
        </w:tc>
      </w:tr>
      <w:tr w:rsidR="00E93186" w:rsidRPr="000E0BFD" w14:paraId="7B9E6168" w14:textId="77777777" w:rsidTr="00511ED5">
        <w:trPr>
          <w:trHeight w:val="20"/>
        </w:trPr>
        <w:tc>
          <w:tcPr>
            <w:tcW w:w="1722" w:type="pct"/>
            <w:hideMark/>
          </w:tcPr>
          <w:p w14:paraId="082102F1" w14:textId="77777777" w:rsidR="00E93186" w:rsidRPr="000E0BFD" w:rsidRDefault="00E93186" w:rsidP="00E93186">
            <w:pPr>
              <w:widowControl w:val="0"/>
              <w:spacing w:after="40"/>
              <w:rPr>
                <w:rFonts w:ascii="Arial Narrow" w:hAnsi="Arial Narrow"/>
                <w:b/>
                <w:sz w:val="20"/>
              </w:rPr>
            </w:pPr>
            <w:r w:rsidRPr="000E0BFD">
              <w:rPr>
                <w:rFonts w:ascii="Arial Narrow" w:hAnsi="Arial Narrow"/>
                <w:b/>
                <w:sz w:val="20"/>
              </w:rPr>
              <w:t>Software packages used</w:t>
            </w:r>
          </w:p>
        </w:tc>
        <w:tc>
          <w:tcPr>
            <w:tcW w:w="3278" w:type="pct"/>
          </w:tcPr>
          <w:p w14:paraId="757A9B22" w14:textId="77777777" w:rsidR="00E93186" w:rsidRPr="000E0BFD" w:rsidRDefault="00E93186" w:rsidP="00E93186">
            <w:pPr>
              <w:pStyle w:val="TableText0"/>
              <w:keepNext w:val="0"/>
              <w:widowControl w:val="0"/>
            </w:pPr>
            <w:r w:rsidRPr="000E0BFD">
              <w:t>TreeAge</w:t>
            </w:r>
          </w:p>
        </w:tc>
      </w:tr>
    </w:tbl>
    <w:p w14:paraId="060BCEF1" w14:textId="77777777" w:rsidR="00E93186" w:rsidRPr="00B3097D" w:rsidRDefault="00E93186" w:rsidP="008275A0">
      <w:pPr>
        <w:pStyle w:val="Tablenotes"/>
        <w:rPr>
          <w:rStyle w:val="Emphasis"/>
          <w:rFonts w:ascii="Arial Narrow" w:hAnsi="Arial Narrow" w:cs="Arial"/>
          <w:i w:val="0"/>
          <w:sz w:val="18"/>
          <w:szCs w:val="18"/>
        </w:rPr>
      </w:pPr>
      <w:r w:rsidRPr="00B3097D">
        <w:rPr>
          <w:rStyle w:val="Emphasis"/>
          <w:rFonts w:ascii="Arial Narrow" w:hAnsi="Arial Narrow" w:cs="Arial"/>
          <w:i w:val="0"/>
          <w:sz w:val="18"/>
          <w:szCs w:val="18"/>
        </w:rPr>
        <w:t xml:space="preserve">Source: </w:t>
      </w:r>
      <w:r w:rsidRPr="00B3097D">
        <w:t>Table 7, pXXIII of the commentary</w:t>
      </w:r>
    </w:p>
    <w:p w14:paraId="630DCA82" w14:textId="702D6236" w:rsidR="00E93186" w:rsidRPr="00B3097D" w:rsidRDefault="00E93186" w:rsidP="008275A0">
      <w:pPr>
        <w:pStyle w:val="Tablenotes"/>
      </w:pPr>
      <w:r w:rsidRPr="00B3097D">
        <w:rPr>
          <w:rStyle w:val="Emphasis"/>
          <w:rFonts w:ascii="Arial Narrow" w:hAnsi="Arial Narrow" w:cs="Arial"/>
          <w:i w:val="0"/>
          <w:sz w:val="18"/>
          <w:szCs w:val="18"/>
        </w:rPr>
        <w:t>Abbreviations: DOAC = direct oral anticoagulants; PBS = Pharmaceutical Benefits Scheme; LAAC,= left atrial appendage closure; SOC = standard of Care</w:t>
      </w:r>
    </w:p>
    <w:p w14:paraId="6CBDD4B5" w14:textId="6098E8CF" w:rsidR="00E93186" w:rsidRPr="00B3097D" w:rsidRDefault="00E93186" w:rsidP="00B3097D">
      <w:pPr>
        <w:spacing w:after="240"/>
        <w:rPr>
          <w:bCs/>
        </w:rPr>
      </w:pPr>
      <w:r>
        <w:t>The commentary considered that t</w:t>
      </w:r>
      <w:r w:rsidRPr="004467CC">
        <w:t>he ADAR appropriately de</w:t>
      </w:r>
      <w:r>
        <w:t>monstrated that</w:t>
      </w:r>
      <w:r w:rsidRPr="004467CC">
        <w:t xml:space="preserve"> the </w:t>
      </w:r>
      <w:r w:rsidR="00D03146">
        <w:br/>
      </w:r>
      <w:r w:rsidRPr="004467CC">
        <w:t>PRAGUE-17 trial was appli</w:t>
      </w:r>
      <w:r>
        <w:t>cable to the Australian setting; and that</w:t>
      </w:r>
      <w:r w:rsidRPr="00EE1FB9">
        <w:t xml:space="preserve"> </w:t>
      </w:r>
      <w:r>
        <w:rPr>
          <w:color w:val="000000" w:themeColor="text1"/>
        </w:rPr>
        <w:t>t</w:t>
      </w:r>
      <w:r w:rsidRPr="00EE1FB9">
        <w:rPr>
          <w:color w:val="000000" w:themeColor="text1"/>
        </w:rPr>
        <w:t>he structure of the</w:t>
      </w:r>
      <w:r>
        <w:rPr>
          <w:color w:val="000000" w:themeColor="text1"/>
        </w:rPr>
        <w:t xml:space="preserve"> model for economic evaluation was</w:t>
      </w:r>
      <w:r w:rsidRPr="00EE1FB9">
        <w:rPr>
          <w:color w:val="000000" w:themeColor="text1"/>
        </w:rPr>
        <w:t xml:space="preserve"> appropriate and reflect</w:t>
      </w:r>
      <w:r>
        <w:rPr>
          <w:color w:val="000000" w:themeColor="text1"/>
        </w:rPr>
        <w:t>ed</w:t>
      </w:r>
      <w:r w:rsidRPr="00EE1FB9">
        <w:rPr>
          <w:color w:val="000000" w:themeColor="text1"/>
        </w:rPr>
        <w:t xml:space="preserve"> the treatment algorithm used for the intervention</w:t>
      </w:r>
      <w:r w:rsidRPr="000E0BFD">
        <w:rPr>
          <w:i/>
          <w:color w:val="000000" w:themeColor="text1"/>
        </w:rPr>
        <w:t xml:space="preserve">. </w:t>
      </w:r>
      <w:r w:rsidRPr="00C06639">
        <w:rPr>
          <w:bCs/>
        </w:rPr>
        <w:t xml:space="preserve">The time horizon of the model is lifetime </w:t>
      </w:r>
      <w:r>
        <w:rPr>
          <w:bCs/>
        </w:rPr>
        <w:t xml:space="preserve">from 73 years of age, </w:t>
      </w:r>
      <w:r w:rsidRPr="00C06639">
        <w:rPr>
          <w:bCs/>
        </w:rPr>
        <w:t>which roughly ends after 40 years wit</w:t>
      </w:r>
      <w:r>
        <w:rPr>
          <w:bCs/>
        </w:rPr>
        <w:t>h an annual cycle length. The commentary considered this appropriate noting the</w:t>
      </w:r>
      <w:r w:rsidRPr="00C06639">
        <w:rPr>
          <w:bCs/>
        </w:rPr>
        <w:t xml:space="preserve"> cycle length and time horizon of the model reflects the natural history of the medical condition post treatment with intervention and comparator</w:t>
      </w:r>
      <w:r>
        <w:rPr>
          <w:bCs/>
        </w:rPr>
        <w:t>,</w:t>
      </w:r>
      <w:r w:rsidRPr="00C06639">
        <w:rPr>
          <w:bCs/>
        </w:rPr>
        <w:t xml:space="preserve"> and is long enough to capt</w:t>
      </w:r>
      <w:r w:rsidR="00B3097D">
        <w:rPr>
          <w:bCs/>
        </w:rPr>
        <w:t xml:space="preserve">ure important clinical events. </w:t>
      </w:r>
    </w:p>
    <w:p w14:paraId="1D591D80" w14:textId="503C828D" w:rsidR="00E93186" w:rsidRDefault="00E93186" w:rsidP="00B3097D">
      <w:pPr>
        <w:spacing w:after="240"/>
        <w:rPr>
          <w:iCs/>
        </w:rPr>
      </w:pPr>
      <w:r>
        <w:t>T</w:t>
      </w:r>
      <w:r w:rsidRPr="004E4F61">
        <w:t>he model assumes the distribution of stroke disabi</w:t>
      </w:r>
      <w:r>
        <w:t>lity and fatality for LAAC and D</w:t>
      </w:r>
      <w:r w:rsidRPr="004E4F61">
        <w:t>OAC patients are equal. The commentary consider</w:t>
      </w:r>
      <w:r w:rsidR="00D357DA">
        <w:t>ed</w:t>
      </w:r>
      <w:r w:rsidRPr="004E4F61">
        <w:t xml:space="preserve"> this</w:t>
      </w:r>
      <w:r w:rsidRPr="00A0187F">
        <w:rPr>
          <w:iCs/>
        </w:rPr>
        <w:t xml:space="preserve"> assumption to be valid as the only d</w:t>
      </w:r>
      <w:r>
        <w:rPr>
          <w:iCs/>
        </w:rPr>
        <w:t>emonstrated difference between D</w:t>
      </w:r>
      <w:r w:rsidRPr="00A0187F">
        <w:rPr>
          <w:iCs/>
        </w:rPr>
        <w:t>OACs and LAAC in the ADAR was major bleeding after 7 days.</w:t>
      </w:r>
      <w:r w:rsidR="00B3097D">
        <w:rPr>
          <w:iCs/>
        </w:rPr>
        <w:t xml:space="preserve"> </w:t>
      </w:r>
    </w:p>
    <w:p w14:paraId="28D8B2A4" w14:textId="5218BB38" w:rsidR="00E93186" w:rsidRPr="00B3097D" w:rsidRDefault="00E93186" w:rsidP="00B3097D">
      <w:pPr>
        <w:spacing w:after="240"/>
      </w:pPr>
      <w:r>
        <w:t>T</w:t>
      </w:r>
      <w:r w:rsidRPr="00E97A9C">
        <w:t>he baseline patient characteristics</w:t>
      </w:r>
      <w:r>
        <w:t>,</w:t>
      </w:r>
      <w:r w:rsidRPr="00E97A9C">
        <w:t xml:space="preserve"> tre</w:t>
      </w:r>
      <w:r>
        <w:t>atment efficacy of LAAC versus D</w:t>
      </w:r>
      <w:r w:rsidRPr="00E97A9C">
        <w:t>OACs</w:t>
      </w:r>
      <w:r>
        <w:t>,</w:t>
      </w:r>
      <w:r w:rsidRPr="00E97A9C">
        <w:t xml:space="preserve"> baseline s</w:t>
      </w:r>
      <w:r>
        <w:t xml:space="preserve">troke and major bleeding rates, and </w:t>
      </w:r>
      <w:r w:rsidRPr="000A2517">
        <w:t xml:space="preserve">proportion of patients that initiate LAAC versus SoC </w:t>
      </w:r>
      <w:r w:rsidRPr="000A2517">
        <w:lastRenderedPageBreak/>
        <w:t>after a major bleeding event</w:t>
      </w:r>
      <w:r>
        <w:t>, were</w:t>
      </w:r>
      <w:r w:rsidRPr="00E97A9C">
        <w:t xml:space="preserve"> derived</w:t>
      </w:r>
      <w:r>
        <w:t xml:space="preserve"> from the PRAGUE-17 trial. The</w:t>
      </w:r>
      <w:r w:rsidRPr="00E97A9C">
        <w:t xml:space="preserve"> proportion of </w:t>
      </w:r>
      <w:r w:rsidRPr="000A2517">
        <w:t>strokes resulting in disability or fatality were derived from pooled ARISTOTLE and ROCKET data.</w:t>
      </w:r>
      <w:r>
        <w:t xml:space="preserve"> Other</w:t>
      </w:r>
      <w:r w:rsidRPr="00E97A9C">
        <w:t xml:space="preserve"> clinical and economic inputs </w:t>
      </w:r>
      <w:r>
        <w:t>in the model, including ‘real-world’ D</w:t>
      </w:r>
      <w:r w:rsidRPr="00E97A9C">
        <w:t>OAC compliance derived from PBS scripts analysis, treatment efficacy o</w:t>
      </w:r>
      <w:r>
        <w:t>f SOC/PBO relative to LAAC and D</w:t>
      </w:r>
      <w:r w:rsidRPr="00E97A9C">
        <w:t>OACs, extrapolation of event rates,</w:t>
      </w:r>
      <w:r>
        <w:t xml:space="preserve"> utility values and cost inputs, were </w:t>
      </w:r>
      <w:r w:rsidRPr="00E97A9C">
        <w:t>derived from the literature</w:t>
      </w:r>
      <w:r>
        <w:t>.</w:t>
      </w:r>
      <w:r w:rsidRPr="00E97A9C">
        <w:t xml:space="preserve"> </w:t>
      </w:r>
    </w:p>
    <w:p w14:paraId="600CC594" w14:textId="4CE33A4A" w:rsidR="00E93186" w:rsidRPr="00B3097D" w:rsidRDefault="00E93186" w:rsidP="00B3097D">
      <w:pPr>
        <w:tabs>
          <w:tab w:val="left" w:pos="720"/>
        </w:tabs>
        <w:spacing w:after="240"/>
        <w:rPr>
          <w:iCs/>
        </w:rPr>
      </w:pPr>
      <w:r w:rsidRPr="009E2925">
        <w:t xml:space="preserve">The </w:t>
      </w:r>
      <w:r w:rsidR="00CB7E0E">
        <w:t>c</w:t>
      </w:r>
      <w:r w:rsidR="00CB7E0E" w:rsidRPr="009E2925">
        <w:t xml:space="preserve">ommentary </w:t>
      </w:r>
      <w:r w:rsidRPr="009E2925">
        <w:t xml:space="preserve">highlighted several limitations of the </w:t>
      </w:r>
      <w:r>
        <w:t xml:space="preserve">ADAR’s model. </w:t>
      </w:r>
      <w:r w:rsidRPr="00C736C0">
        <w:t>The treatment efficacy o</w:t>
      </w:r>
      <w:r>
        <w:t>f standard of care/placebo (SOC/PBO) relative to LAAC and D</w:t>
      </w:r>
      <w:r w:rsidRPr="00C736C0">
        <w:t>OACs was based on a re</w:t>
      </w:r>
      <w:r>
        <w:t>view of the ITC of LAAC and SOC/</w:t>
      </w:r>
      <w:r w:rsidRPr="00C736C0">
        <w:t>PBO. The r</w:t>
      </w:r>
      <w:r>
        <w:t>elative risk (RR) of SOC/PBO versus D</w:t>
      </w:r>
      <w:r w:rsidRPr="00C736C0">
        <w:t xml:space="preserve">OAC/LAAC in terms of major bleeding </w:t>
      </w:r>
      <w:r>
        <w:t xml:space="preserve">was </w:t>
      </w:r>
      <w:r w:rsidRPr="00C736C0">
        <w:t xml:space="preserve">assumed to be equal to LAAC and </w:t>
      </w:r>
      <w:r>
        <w:t xml:space="preserve">the model applied </w:t>
      </w:r>
      <w:r w:rsidRPr="00C736C0">
        <w:t xml:space="preserve">a </w:t>
      </w:r>
      <w:r>
        <w:t>hazard ratio (</w:t>
      </w:r>
      <w:r w:rsidRPr="00C736C0">
        <w:t>HR</w:t>
      </w:r>
      <w:r>
        <w:t xml:space="preserve">) of </w:t>
      </w:r>
      <w:r>
        <w:rPr>
          <w:iCs/>
        </w:rPr>
        <w:t>3.45 (A</w:t>
      </w:r>
      <w:r>
        <w:t xml:space="preserve">rauz </w:t>
      </w:r>
      <w:r w:rsidRPr="00C736C0">
        <w:t>2017)</w:t>
      </w:r>
      <w:r>
        <w:rPr>
          <w:rStyle w:val="FootnoteReference"/>
        </w:rPr>
        <w:footnoteReference w:id="3"/>
      </w:r>
      <w:r w:rsidRPr="00C736C0">
        <w:t>. The commentary noted that w</w:t>
      </w:r>
      <w:r w:rsidRPr="004A1688">
        <w:rPr>
          <w:iCs/>
        </w:rPr>
        <w:t>hile the risk of bleeding decreases over time, this risk is distinctly different in the treatment and post-treatment phases, with the risk (possibly) roughly double in the LAAC arm during the procedure phase. The differences in interventions are clinically advantageous to the patient by either avoiding surgery (DOACs) and the potential harms of surgery, or by mitigating non</w:t>
      </w:r>
      <w:r w:rsidRPr="004A1688">
        <w:rPr>
          <w:iCs/>
        </w:rPr>
        <w:noBreakHyphen/>
        <w:t xml:space="preserve">compliance to therapies (LAAC) as LAAC is a “one-off” treatment. However, the ADAR quantified non-compliance </w:t>
      </w:r>
      <w:r>
        <w:rPr>
          <w:iCs/>
        </w:rPr>
        <w:t>but</w:t>
      </w:r>
      <w:r w:rsidRPr="004A1688">
        <w:rPr>
          <w:iCs/>
        </w:rPr>
        <w:t xml:space="preserve"> </w:t>
      </w:r>
      <w:r>
        <w:rPr>
          <w:iCs/>
        </w:rPr>
        <w:t xml:space="preserve">not </w:t>
      </w:r>
      <w:r w:rsidRPr="004A1688">
        <w:rPr>
          <w:iCs/>
        </w:rPr>
        <w:t>surgical related outcomes</w:t>
      </w:r>
      <w:r>
        <w:rPr>
          <w:iCs/>
        </w:rPr>
        <w:t>. T</w:t>
      </w:r>
      <w:r w:rsidRPr="004A1688">
        <w:rPr>
          <w:iCs/>
        </w:rPr>
        <w:t>herefore</w:t>
      </w:r>
      <w:r>
        <w:rPr>
          <w:iCs/>
        </w:rPr>
        <w:t>,</w:t>
      </w:r>
      <w:r w:rsidRPr="004A1688">
        <w:rPr>
          <w:iCs/>
        </w:rPr>
        <w:t xml:space="preserve"> biases any modelled outcome in favour of LAAC.</w:t>
      </w:r>
    </w:p>
    <w:p w14:paraId="7E256F8B" w14:textId="35EE95DE" w:rsidR="00E93186" w:rsidRDefault="00E93186" w:rsidP="00B3097D">
      <w:pPr>
        <w:spacing w:after="240"/>
        <w:rPr>
          <w:i/>
          <w:iCs/>
        </w:rPr>
      </w:pPr>
      <w:r w:rsidRPr="000E0BFD">
        <w:t>The relative t</w:t>
      </w:r>
      <w:r>
        <w:t>reatment effect of LAAC versus D</w:t>
      </w:r>
      <w:r w:rsidRPr="000E0BFD">
        <w:t>OACs for clinically significant major/non-major bleeding – not related to device (sHR=0.53) reported in PRAGUE-17</w:t>
      </w:r>
      <w:r>
        <w:t xml:space="preserve"> was </w:t>
      </w:r>
      <w:r w:rsidRPr="00F16306">
        <w:t xml:space="preserve">applied in the economic model. The commentary noted that </w:t>
      </w:r>
      <w:r w:rsidRPr="004A1688">
        <w:rPr>
          <w:iCs/>
        </w:rPr>
        <w:t xml:space="preserve">while the sHR for clinically significant major/non-major bleeding not related to the device was 0.53, the overall </w:t>
      </w:r>
      <w:r>
        <w:rPr>
          <w:iCs/>
        </w:rPr>
        <w:t>odds ratio (</w:t>
      </w:r>
      <w:r w:rsidRPr="004A1688">
        <w:rPr>
          <w:iCs/>
        </w:rPr>
        <w:t>OR</w:t>
      </w:r>
      <w:r>
        <w:rPr>
          <w:iCs/>
        </w:rPr>
        <w:t>)</w:t>
      </w:r>
      <w:r w:rsidRPr="004A1688">
        <w:rPr>
          <w:iCs/>
        </w:rPr>
        <w:t xml:space="preserve"> for major bleeding was 1.02 (0.67-1.56). </w:t>
      </w:r>
      <w:r>
        <w:rPr>
          <w:iCs/>
        </w:rPr>
        <w:t>A</w:t>
      </w:r>
      <w:r w:rsidRPr="004A1688">
        <w:rPr>
          <w:iCs/>
        </w:rPr>
        <w:t xml:space="preserve">ssuming the OR is similar to the </w:t>
      </w:r>
      <w:r>
        <w:rPr>
          <w:iCs/>
        </w:rPr>
        <w:t>RR</w:t>
      </w:r>
      <w:r w:rsidRPr="004A1688">
        <w:rPr>
          <w:iCs/>
        </w:rPr>
        <w:t xml:space="preserve">, the OR for procedural bleeding may be approximately 1.51 [(1.51+0.53)/2 = 1.03], or approximately 50% greater in the LAAC arm, and this increase in procedural bleeding has not been considered. </w:t>
      </w:r>
      <w:r>
        <w:rPr>
          <w:iCs/>
        </w:rPr>
        <w:t>Although</w:t>
      </w:r>
      <w:r w:rsidRPr="004A1688">
        <w:rPr>
          <w:iCs/>
        </w:rPr>
        <w:t xml:space="preserve"> this additional risk is only attributed in the first 7 days, and the impact of post-procedural bleeding may be greater than procedural bleeding, this increased risk suggests the model may overestimate the benefit of LAAC. </w:t>
      </w:r>
    </w:p>
    <w:p w14:paraId="7B57CEBC" w14:textId="309A0639" w:rsidR="00E93186" w:rsidRPr="00023348" w:rsidRDefault="00E93186" w:rsidP="00B3097D">
      <w:pPr>
        <w:spacing w:after="240"/>
        <w:rPr>
          <w:iCs/>
        </w:rPr>
      </w:pPr>
      <w:r>
        <w:rPr>
          <w:iCs/>
        </w:rPr>
        <w:t>Further, while the rates of procedural bleeding were not considered in the economic model, the</w:t>
      </w:r>
      <w:r w:rsidRPr="00023348">
        <w:rPr>
          <w:iCs/>
        </w:rPr>
        <w:t xml:space="preserve"> </w:t>
      </w:r>
      <w:r>
        <w:rPr>
          <w:iCs/>
        </w:rPr>
        <w:t>A</w:t>
      </w:r>
      <w:r w:rsidRPr="00023348">
        <w:rPr>
          <w:iCs/>
        </w:rPr>
        <w:t xml:space="preserve">DAR estimated cost of procedural bleeding </w:t>
      </w:r>
      <w:r>
        <w:rPr>
          <w:iCs/>
        </w:rPr>
        <w:t>was included in the</w:t>
      </w:r>
      <w:r w:rsidRPr="00023348">
        <w:rPr>
          <w:iCs/>
        </w:rPr>
        <w:t xml:space="preserve"> model and therefore may overestimate the incremental benefit of LAAC. While the impact of procedural bleeding may be marginal, the impact may be significant if the incremental difference in benefit is small.</w:t>
      </w:r>
    </w:p>
    <w:p w14:paraId="746FA58D" w14:textId="1AD1C44B" w:rsidR="00E93186" w:rsidRDefault="00E93186" w:rsidP="00B3097D">
      <w:pPr>
        <w:spacing w:after="240"/>
      </w:pPr>
      <w:r w:rsidRPr="00A0187F">
        <w:t xml:space="preserve">A utility value of </w:t>
      </w:r>
      <w:r>
        <w:t>0.998 for the ‘No stroke’ health state, derived from the Gage et al 1996</w:t>
      </w:r>
      <w:r>
        <w:rPr>
          <w:rStyle w:val="FootnoteReference"/>
        </w:rPr>
        <w:footnoteReference w:id="4"/>
      </w:r>
      <w:r>
        <w:t xml:space="preserve"> study was applied in the model. The model assumed that 32</w:t>
      </w:r>
      <w:r w:rsidRPr="00B63C93">
        <w:t xml:space="preserve">% of patients had a history of stroke </w:t>
      </w:r>
      <w:r>
        <w:t>(based on the baseline patient characteristics in the PRAGUE-17 trial) and therefore, the baseline utility value for ‘No stroke’ was adjusted to 0.918 (0.998*0.68 +0.75*0.32</w:t>
      </w:r>
      <w:r w:rsidRPr="00B63C93">
        <w:t>)</w:t>
      </w:r>
      <w:r>
        <w:t>.</w:t>
      </w:r>
      <w:r w:rsidRPr="00B63C93">
        <w:t xml:space="preserve"> </w:t>
      </w:r>
      <w:r>
        <w:t xml:space="preserve">The commentary noted that based on </w:t>
      </w:r>
      <w:r w:rsidRPr="007F2503">
        <w:t xml:space="preserve">the Australian population norms on health-related quality of life by Norman </w:t>
      </w:r>
      <w:r>
        <w:t>(2013)</w:t>
      </w:r>
      <w:r>
        <w:rPr>
          <w:rStyle w:val="FootnoteReference"/>
        </w:rPr>
        <w:footnoteReference w:id="5"/>
      </w:r>
      <w:r w:rsidRPr="007F2503">
        <w:t>, the mean SF-6D utility value in the age group of 71 years and above is 0.703 (SD 0.129).</w:t>
      </w:r>
      <w:r>
        <w:t xml:space="preserve"> </w:t>
      </w:r>
      <w:r w:rsidRPr="000E0BFD">
        <w:t xml:space="preserve">The </w:t>
      </w:r>
      <w:r>
        <w:t>commentary considered the utility value of 0.998 to be</w:t>
      </w:r>
      <w:r w:rsidRPr="000E0BFD">
        <w:t xml:space="preserve"> too high</w:t>
      </w:r>
      <w:r>
        <w:t xml:space="preserve"> and unreasonable</w:t>
      </w:r>
      <w:r w:rsidRPr="000E0BFD">
        <w:t xml:space="preserve"> as the baseline age in the model is 73 years with an indication of NVAF. </w:t>
      </w:r>
      <w:r>
        <w:t>The commentary considered that this would</w:t>
      </w:r>
      <w:r w:rsidRPr="000E0BFD">
        <w:t xml:space="preserve"> overestimate the health outcomes of patients in the </w:t>
      </w:r>
      <w:r>
        <w:t>‘</w:t>
      </w:r>
      <w:r w:rsidRPr="000E0BFD">
        <w:t>No stroke, no bleed</w:t>
      </w:r>
      <w:r>
        <w:t>’</w:t>
      </w:r>
      <w:r w:rsidRPr="000E0BFD">
        <w:t xml:space="preserve"> and </w:t>
      </w:r>
      <w:r>
        <w:t>‘</w:t>
      </w:r>
      <w:r w:rsidRPr="000E0BFD">
        <w:t>No stroke, bleed</w:t>
      </w:r>
      <w:r>
        <w:t>’</w:t>
      </w:r>
      <w:r w:rsidR="00B3097D">
        <w:t xml:space="preserve"> health state.</w:t>
      </w:r>
    </w:p>
    <w:p w14:paraId="7A2F11D3" w14:textId="77777777" w:rsidR="00E93186" w:rsidRDefault="00E93186" w:rsidP="00B3097D">
      <w:pPr>
        <w:pStyle w:val="Heading4"/>
      </w:pPr>
      <w:r>
        <w:lastRenderedPageBreak/>
        <w:t>LAAC versus DOACs</w:t>
      </w:r>
    </w:p>
    <w:p w14:paraId="73870E46" w14:textId="3CEE1DBC" w:rsidR="00E93186" w:rsidRPr="00B3097D" w:rsidRDefault="00E93186" w:rsidP="00B3097D">
      <w:pPr>
        <w:spacing w:after="240"/>
        <w:rPr>
          <w:i/>
          <w:szCs w:val="22"/>
        </w:rPr>
      </w:pPr>
      <w:r w:rsidRPr="004610C3">
        <w:t>The overall costs and outcomes, and incremental costs and</w:t>
      </w:r>
      <w:r>
        <w:t xml:space="preserve"> outcomes as calculated for LAAC</w:t>
      </w:r>
      <w:r w:rsidRPr="004610C3">
        <w:t xml:space="preserve"> and </w:t>
      </w:r>
      <w:r>
        <w:t>DOACs,</w:t>
      </w:r>
      <w:r w:rsidRPr="004610C3">
        <w:t xml:space="preserve"> </w:t>
      </w:r>
      <w:r>
        <w:t>using the base case assumptions are presented in</w:t>
      </w:r>
      <w:r w:rsidRPr="004610C3">
        <w:t xml:space="preserve"> </w:t>
      </w:r>
      <w:r>
        <w:fldChar w:fldCharType="begin"/>
      </w:r>
      <w:r>
        <w:instrText xml:space="preserve"> REF _Ref58835825 \h </w:instrText>
      </w:r>
      <w:r>
        <w:fldChar w:fldCharType="separate"/>
      </w:r>
      <w:r w:rsidRPr="004610C3">
        <w:t xml:space="preserve">Table </w:t>
      </w:r>
      <w:r>
        <w:rPr>
          <w:noProof/>
        </w:rPr>
        <w:t>11</w:t>
      </w:r>
      <w:r>
        <w:fldChar w:fldCharType="end"/>
      </w:r>
      <w:r w:rsidRPr="004610C3">
        <w:fldChar w:fldCharType="begin"/>
      </w:r>
      <w:r w:rsidRPr="004610C3">
        <w:rPr>
          <w:vanish/>
          <w:color w:val="C00000"/>
        </w:rPr>
        <w:instrText xml:space="preserve"> REF _Ref58835793 \h </w:instrText>
      </w:r>
      <w:r w:rsidRPr="004610C3">
        <w:fldChar w:fldCharType="end"/>
      </w:r>
      <w:r w:rsidRPr="004610C3">
        <w:t xml:space="preserve">. </w:t>
      </w:r>
      <w:r>
        <w:t>T</w:t>
      </w:r>
      <w:r w:rsidRPr="005E6832">
        <w:t>he commentary presented revised calculations that incorporated correction of the</w:t>
      </w:r>
      <w:r w:rsidRPr="005E6832">
        <w:rPr>
          <w:szCs w:val="22"/>
        </w:rPr>
        <w:t xml:space="preserve"> costs and utility inputs. The cost for LAAC increased to $</w:t>
      </w:r>
      <w:r w:rsidR="006400A9" w:rsidRPr="006400A9">
        <w:rPr>
          <w:b/>
          <w:bCs/>
          <w:color w:val="000000"/>
        </w:rPr>
        <w:t>REDACTED</w:t>
      </w:r>
      <w:r w:rsidR="006400A9" w:rsidRPr="00CA3B53">
        <w:rPr>
          <w:color w:val="000000"/>
        </w:rPr>
        <w:t xml:space="preserve"> </w:t>
      </w:r>
      <w:r w:rsidRPr="005E6832">
        <w:rPr>
          <w:szCs w:val="22"/>
        </w:rPr>
        <w:t>and cost of DOACs increased to $</w:t>
      </w:r>
      <w:r w:rsidR="006400A9" w:rsidRPr="006400A9">
        <w:rPr>
          <w:b/>
          <w:bCs/>
          <w:color w:val="000000"/>
        </w:rPr>
        <w:t>REDACTED</w:t>
      </w:r>
      <w:r w:rsidRPr="006400A9">
        <w:rPr>
          <w:szCs w:val="22"/>
        </w:rPr>
        <w:t>. When the utility values were revised (ADAR utility value multiplied by 0.703 from Norman</w:t>
      </w:r>
      <w:r>
        <w:rPr>
          <w:szCs w:val="22"/>
        </w:rPr>
        <w:t xml:space="preserve"> 2013), th</w:t>
      </w:r>
      <w:r w:rsidRPr="005E6832">
        <w:rPr>
          <w:szCs w:val="22"/>
        </w:rPr>
        <w:t xml:space="preserve">e QALYs reduced to </w:t>
      </w:r>
      <w:r w:rsidR="006400A9" w:rsidRPr="006400A9">
        <w:rPr>
          <w:b/>
          <w:bCs/>
          <w:color w:val="000000"/>
        </w:rPr>
        <w:t>REDACTED</w:t>
      </w:r>
      <w:r w:rsidR="006400A9" w:rsidRPr="00CA3B53">
        <w:rPr>
          <w:color w:val="000000"/>
        </w:rPr>
        <w:t xml:space="preserve"> </w:t>
      </w:r>
      <w:r w:rsidRPr="005E6832">
        <w:rPr>
          <w:szCs w:val="22"/>
        </w:rPr>
        <w:t xml:space="preserve">and </w:t>
      </w:r>
      <w:r w:rsidR="006400A9" w:rsidRPr="006400A9">
        <w:rPr>
          <w:b/>
          <w:bCs/>
          <w:color w:val="000000"/>
        </w:rPr>
        <w:t>REDACTED</w:t>
      </w:r>
      <w:r w:rsidRPr="005E6832">
        <w:rPr>
          <w:szCs w:val="22"/>
        </w:rPr>
        <w:t xml:space="preserve"> for LAAC and DOACs</w:t>
      </w:r>
      <w:r>
        <w:rPr>
          <w:szCs w:val="22"/>
        </w:rPr>
        <w:t>,</w:t>
      </w:r>
      <w:r w:rsidRPr="005E6832">
        <w:rPr>
          <w:szCs w:val="22"/>
        </w:rPr>
        <w:t xml:space="preserve"> respectively. Based on the revised inputs, </w:t>
      </w:r>
      <w:r>
        <w:rPr>
          <w:szCs w:val="22"/>
        </w:rPr>
        <w:t>the</w:t>
      </w:r>
      <w:r w:rsidRPr="005E6832">
        <w:rPr>
          <w:szCs w:val="22"/>
        </w:rPr>
        <w:t xml:space="preserve"> ICER changed from $</w:t>
      </w:r>
      <w:r w:rsidR="006400A9" w:rsidRPr="006400A9">
        <w:rPr>
          <w:b/>
          <w:bCs/>
          <w:color w:val="000000"/>
        </w:rPr>
        <w:t>REDACTED</w:t>
      </w:r>
      <w:r w:rsidR="006400A9" w:rsidRPr="00CA3B53">
        <w:rPr>
          <w:color w:val="000000"/>
        </w:rPr>
        <w:t xml:space="preserve"> </w:t>
      </w:r>
      <w:r w:rsidRPr="005E6832">
        <w:rPr>
          <w:szCs w:val="22"/>
        </w:rPr>
        <w:t>to $</w:t>
      </w:r>
      <w:r w:rsidR="006400A9" w:rsidRPr="006400A9">
        <w:rPr>
          <w:b/>
          <w:bCs/>
          <w:color w:val="000000"/>
        </w:rPr>
        <w:t>REDACTED</w:t>
      </w:r>
      <w:r w:rsidR="006400A9" w:rsidRPr="00CA3B53">
        <w:rPr>
          <w:color w:val="000000"/>
        </w:rPr>
        <w:t xml:space="preserve"> </w:t>
      </w:r>
      <w:r>
        <w:rPr>
          <w:szCs w:val="22"/>
        </w:rPr>
        <w:t>(</w:t>
      </w:r>
      <w:r>
        <w:rPr>
          <w:szCs w:val="22"/>
        </w:rPr>
        <w:fldChar w:fldCharType="begin"/>
      </w:r>
      <w:r>
        <w:rPr>
          <w:szCs w:val="22"/>
        </w:rPr>
        <w:instrText xml:space="preserve"> REF _Ref58835825 \h </w:instrText>
      </w:r>
      <w:r>
        <w:rPr>
          <w:szCs w:val="22"/>
        </w:rPr>
      </w:r>
      <w:r>
        <w:rPr>
          <w:szCs w:val="22"/>
        </w:rPr>
        <w:fldChar w:fldCharType="separate"/>
      </w:r>
      <w:r w:rsidRPr="004610C3">
        <w:t xml:space="preserve">Table </w:t>
      </w:r>
      <w:r>
        <w:rPr>
          <w:noProof/>
        </w:rPr>
        <w:t>11</w:t>
      </w:r>
      <w:r>
        <w:rPr>
          <w:szCs w:val="22"/>
        </w:rPr>
        <w:fldChar w:fldCharType="end"/>
      </w:r>
      <w:r>
        <w:rPr>
          <w:szCs w:val="22"/>
        </w:rPr>
        <w:t>)</w:t>
      </w:r>
      <w:r w:rsidRPr="005E6832">
        <w:rPr>
          <w:szCs w:val="22"/>
        </w:rPr>
        <w:t xml:space="preserve">. </w:t>
      </w:r>
    </w:p>
    <w:p w14:paraId="1F3B87F2" w14:textId="77777777" w:rsidR="00E93186" w:rsidRPr="004610C3" w:rsidRDefault="00E93186" w:rsidP="00E93186">
      <w:pPr>
        <w:pStyle w:val="Caption"/>
      </w:pPr>
      <w:bookmarkStart w:id="21" w:name="_Ref58835825"/>
      <w:r w:rsidRPr="004610C3">
        <w:t xml:space="preserve">Table </w:t>
      </w:r>
      <w:r w:rsidR="00FE1F6B">
        <w:fldChar w:fldCharType="begin"/>
      </w:r>
      <w:r w:rsidR="00FE1F6B">
        <w:instrText xml:space="preserve"> SEQ Table \* ARABIC </w:instrText>
      </w:r>
      <w:r w:rsidR="00FE1F6B">
        <w:fldChar w:fldCharType="separate"/>
      </w:r>
      <w:r>
        <w:rPr>
          <w:noProof/>
        </w:rPr>
        <w:t>11</w:t>
      </w:r>
      <w:r w:rsidR="00FE1F6B">
        <w:rPr>
          <w:noProof/>
        </w:rPr>
        <w:fldChar w:fldCharType="end"/>
      </w:r>
      <w:bookmarkEnd w:id="21"/>
      <w:r w:rsidRPr="004610C3">
        <w:rPr>
          <w:noProof/>
        </w:rPr>
        <w:tab/>
      </w:r>
      <w:r>
        <w:t>I</w:t>
      </w:r>
      <w:r w:rsidRPr="004610C3">
        <w:t xml:space="preserve">ncremental cost-effectiveness for LAAC versus </w:t>
      </w:r>
      <w:r>
        <w:t>DOAC</w:t>
      </w:r>
      <w:r w:rsidRPr="004610C3">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1980"/>
        <w:gridCol w:w="1980"/>
        <w:gridCol w:w="1980"/>
      </w:tblGrid>
      <w:tr w:rsidR="00E93186" w:rsidRPr="004610C3" w14:paraId="6A5D8BD0" w14:textId="77777777" w:rsidTr="00E93186">
        <w:trPr>
          <w:trHeight w:val="20"/>
        </w:trPr>
        <w:tc>
          <w:tcPr>
            <w:tcW w:w="1706" w:type="pct"/>
            <w:tcBorders>
              <w:top w:val="single" w:sz="4" w:space="0" w:color="auto"/>
              <w:left w:val="single" w:sz="4" w:space="0" w:color="auto"/>
              <w:bottom w:val="single" w:sz="4" w:space="0" w:color="auto"/>
              <w:right w:val="single" w:sz="4" w:space="0" w:color="auto"/>
            </w:tcBorders>
          </w:tcPr>
          <w:p w14:paraId="49DB13C6" w14:textId="77777777" w:rsidR="00E93186" w:rsidRPr="004610C3" w:rsidRDefault="00E93186" w:rsidP="00E93186">
            <w:pPr>
              <w:pStyle w:val="TableHeading"/>
            </w:pPr>
            <w:r w:rsidRPr="004610C3">
              <w:t>Outcome</w:t>
            </w:r>
          </w:p>
        </w:tc>
        <w:tc>
          <w:tcPr>
            <w:tcW w:w="1098" w:type="pct"/>
            <w:tcBorders>
              <w:top w:val="single" w:sz="4" w:space="0" w:color="auto"/>
              <w:left w:val="single" w:sz="4" w:space="0" w:color="auto"/>
              <w:bottom w:val="single" w:sz="4" w:space="0" w:color="auto"/>
              <w:right w:val="single" w:sz="4" w:space="0" w:color="auto"/>
            </w:tcBorders>
          </w:tcPr>
          <w:p w14:paraId="749269FE" w14:textId="77777777" w:rsidR="00E93186" w:rsidRPr="004610C3" w:rsidRDefault="00E93186" w:rsidP="00E93186">
            <w:pPr>
              <w:pStyle w:val="TableHeading"/>
            </w:pPr>
            <w:r w:rsidRPr="004610C3">
              <w:t>LAAC</w:t>
            </w:r>
          </w:p>
        </w:tc>
        <w:tc>
          <w:tcPr>
            <w:tcW w:w="1098" w:type="pct"/>
            <w:tcBorders>
              <w:top w:val="single" w:sz="4" w:space="0" w:color="auto"/>
              <w:left w:val="single" w:sz="4" w:space="0" w:color="auto"/>
              <w:bottom w:val="single" w:sz="4" w:space="0" w:color="auto"/>
              <w:right w:val="single" w:sz="4" w:space="0" w:color="auto"/>
            </w:tcBorders>
          </w:tcPr>
          <w:p w14:paraId="2FF93806" w14:textId="77777777" w:rsidR="00E93186" w:rsidRPr="004610C3" w:rsidRDefault="00E93186" w:rsidP="00E93186">
            <w:pPr>
              <w:pStyle w:val="TableHeading"/>
            </w:pPr>
            <w:r>
              <w:t>DOAC</w:t>
            </w:r>
            <w:r w:rsidRPr="004610C3">
              <w:t>s</w:t>
            </w:r>
          </w:p>
        </w:tc>
        <w:tc>
          <w:tcPr>
            <w:tcW w:w="1098" w:type="pct"/>
            <w:tcBorders>
              <w:top w:val="single" w:sz="4" w:space="0" w:color="auto"/>
              <w:left w:val="single" w:sz="4" w:space="0" w:color="auto"/>
              <w:bottom w:val="single" w:sz="4" w:space="0" w:color="auto"/>
              <w:right w:val="single" w:sz="4" w:space="0" w:color="auto"/>
            </w:tcBorders>
          </w:tcPr>
          <w:p w14:paraId="06E716AC" w14:textId="77777777" w:rsidR="00E93186" w:rsidRPr="004610C3" w:rsidRDefault="00E93186" w:rsidP="00E93186">
            <w:pPr>
              <w:pStyle w:val="TableHeading"/>
            </w:pPr>
            <w:r w:rsidRPr="004610C3">
              <w:t>Incremental</w:t>
            </w:r>
          </w:p>
        </w:tc>
      </w:tr>
      <w:tr w:rsidR="00E93186" w:rsidRPr="004610C3" w14:paraId="5035F80C" w14:textId="77777777" w:rsidTr="00E93186">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21C9A7C5" w14:textId="77777777" w:rsidR="00E93186" w:rsidRPr="004610C3" w:rsidRDefault="00E93186" w:rsidP="00E93186">
            <w:pPr>
              <w:pStyle w:val="TableText0"/>
              <w:rPr>
                <w:rFonts w:cs="Calibri"/>
                <w:color w:val="000000"/>
              </w:rPr>
            </w:pPr>
            <w:r>
              <w:t>Base case</w:t>
            </w:r>
          </w:p>
        </w:tc>
      </w:tr>
      <w:tr w:rsidR="00E93186" w:rsidRPr="004610C3" w14:paraId="7FDCCF26" w14:textId="77777777" w:rsidTr="00E93186">
        <w:trPr>
          <w:trHeight w:val="20"/>
        </w:trPr>
        <w:tc>
          <w:tcPr>
            <w:tcW w:w="1706" w:type="pct"/>
            <w:tcBorders>
              <w:top w:val="single" w:sz="4" w:space="0" w:color="auto"/>
              <w:left w:val="single" w:sz="4" w:space="0" w:color="auto"/>
              <w:bottom w:val="single" w:sz="4" w:space="0" w:color="auto"/>
              <w:right w:val="single" w:sz="4" w:space="0" w:color="auto"/>
            </w:tcBorders>
          </w:tcPr>
          <w:p w14:paraId="4179C923" w14:textId="77777777" w:rsidR="00E93186" w:rsidRPr="004610C3" w:rsidRDefault="00E93186" w:rsidP="00E93186">
            <w:pPr>
              <w:pStyle w:val="TableText0"/>
            </w:pPr>
            <w:r w:rsidRPr="000E0BFD">
              <w:rPr>
                <w:szCs w:val="20"/>
              </w:rPr>
              <w:t>Costs</w:t>
            </w:r>
          </w:p>
        </w:tc>
        <w:tc>
          <w:tcPr>
            <w:tcW w:w="1098" w:type="pct"/>
            <w:tcBorders>
              <w:top w:val="single" w:sz="4" w:space="0" w:color="auto"/>
              <w:left w:val="single" w:sz="4" w:space="0" w:color="auto"/>
              <w:bottom w:val="single" w:sz="4" w:space="0" w:color="auto"/>
              <w:right w:val="single" w:sz="4" w:space="0" w:color="auto"/>
            </w:tcBorders>
            <w:vAlign w:val="center"/>
          </w:tcPr>
          <w:p w14:paraId="78262951" w14:textId="5D5DBA54" w:rsidR="00E93186" w:rsidRPr="004C1E95" w:rsidRDefault="00E93186" w:rsidP="00E93186">
            <w:pPr>
              <w:pStyle w:val="TableText0"/>
              <w:rPr>
                <w:rFonts w:cs="Calibri"/>
                <w:color w:val="000000"/>
              </w:rPr>
            </w:pPr>
            <w:r w:rsidRPr="004C1E95">
              <w:rPr>
                <w:rFonts w:cs="Calibri"/>
                <w:color w:val="000000"/>
                <w:szCs w:val="20"/>
              </w:rPr>
              <w:t>$</w:t>
            </w:r>
            <w:r w:rsidR="004C1E95" w:rsidRPr="004C1E95">
              <w:rPr>
                <w:b/>
                <w:bCs/>
                <w:color w:val="000000"/>
              </w:rPr>
              <w:t>REDACTED</w:t>
            </w:r>
          </w:p>
        </w:tc>
        <w:tc>
          <w:tcPr>
            <w:tcW w:w="1098" w:type="pct"/>
            <w:tcBorders>
              <w:top w:val="single" w:sz="4" w:space="0" w:color="auto"/>
              <w:left w:val="single" w:sz="4" w:space="0" w:color="auto"/>
              <w:bottom w:val="single" w:sz="4" w:space="0" w:color="auto"/>
              <w:right w:val="single" w:sz="4" w:space="0" w:color="auto"/>
            </w:tcBorders>
            <w:vAlign w:val="center"/>
          </w:tcPr>
          <w:p w14:paraId="6B0BEDF4" w14:textId="6FC20A72" w:rsidR="00E93186" w:rsidRPr="004C1E95" w:rsidRDefault="00E93186" w:rsidP="00E93186">
            <w:pPr>
              <w:pStyle w:val="TableText0"/>
              <w:rPr>
                <w:rFonts w:cs="Calibri"/>
                <w:color w:val="000000"/>
              </w:rPr>
            </w:pPr>
            <w:r w:rsidRPr="004C1E95">
              <w:rPr>
                <w:rFonts w:cs="Calibri"/>
                <w:color w:val="000000"/>
                <w:szCs w:val="20"/>
              </w:rPr>
              <w:t>$</w:t>
            </w:r>
            <w:r w:rsidR="004C1E95" w:rsidRPr="004C1E95">
              <w:rPr>
                <w:b/>
                <w:bCs/>
                <w:color w:val="000000"/>
              </w:rPr>
              <w:t>REDACTED</w:t>
            </w:r>
          </w:p>
        </w:tc>
        <w:tc>
          <w:tcPr>
            <w:tcW w:w="1098" w:type="pct"/>
            <w:tcBorders>
              <w:top w:val="single" w:sz="4" w:space="0" w:color="auto"/>
              <w:left w:val="single" w:sz="4" w:space="0" w:color="auto"/>
              <w:bottom w:val="single" w:sz="4" w:space="0" w:color="auto"/>
              <w:right w:val="single" w:sz="4" w:space="0" w:color="auto"/>
            </w:tcBorders>
            <w:vAlign w:val="center"/>
          </w:tcPr>
          <w:p w14:paraId="43B48846" w14:textId="0217A0C4" w:rsidR="00E93186" w:rsidRPr="004C1E95" w:rsidRDefault="00E93186" w:rsidP="00E93186">
            <w:pPr>
              <w:pStyle w:val="TableText0"/>
              <w:rPr>
                <w:rFonts w:cs="Calibri"/>
                <w:color w:val="000000"/>
              </w:rPr>
            </w:pPr>
            <w:r w:rsidRPr="004C1E95">
              <w:rPr>
                <w:rFonts w:cs="Calibri"/>
                <w:color w:val="000000"/>
                <w:szCs w:val="20"/>
              </w:rPr>
              <w:t>$</w:t>
            </w:r>
            <w:r w:rsidR="004C1E95" w:rsidRPr="004C1E95">
              <w:rPr>
                <w:b/>
                <w:bCs/>
                <w:color w:val="000000"/>
              </w:rPr>
              <w:t>REDACTED</w:t>
            </w:r>
          </w:p>
        </w:tc>
      </w:tr>
      <w:tr w:rsidR="00E93186" w:rsidRPr="004610C3" w14:paraId="5A5DBC74" w14:textId="77777777" w:rsidTr="00E93186">
        <w:trPr>
          <w:trHeight w:val="20"/>
        </w:trPr>
        <w:tc>
          <w:tcPr>
            <w:tcW w:w="1706" w:type="pct"/>
            <w:tcBorders>
              <w:top w:val="single" w:sz="4" w:space="0" w:color="auto"/>
              <w:left w:val="single" w:sz="4" w:space="0" w:color="auto"/>
              <w:bottom w:val="single" w:sz="4" w:space="0" w:color="auto"/>
              <w:right w:val="single" w:sz="4" w:space="0" w:color="auto"/>
            </w:tcBorders>
          </w:tcPr>
          <w:p w14:paraId="5503F052" w14:textId="77777777" w:rsidR="00E93186" w:rsidRPr="004610C3" w:rsidRDefault="00E93186" w:rsidP="00E93186">
            <w:pPr>
              <w:pStyle w:val="TableText0"/>
            </w:pPr>
            <w:r w:rsidRPr="000E0BFD">
              <w:rPr>
                <w:szCs w:val="20"/>
              </w:rPr>
              <w:t>QALYs</w:t>
            </w:r>
          </w:p>
        </w:tc>
        <w:tc>
          <w:tcPr>
            <w:tcW w:w="1098" w:type="pct"/>
            <w:tcBorders>
              <w:top w:val="single" w:sz="4" w:space="0" w:color="auto"/>
              <w:left w:val="single" w:sz="4" w:space="0" w:color="auto"/>
              <w:bottom w:val="single" w:sz="4" w:space="0" w:color="auto"/>
              <w:right w:val="single" w:sz="4" w:space="0" w:color="auto"/>
            </w:tcBorders>
            <w:vAlign w:val="center"/>
          </w:tcPr>
          <w:p w14:paraId="13275C06" w14:textId="325A1D9E" w:rsidR="00E93186" w:rsidRPr="004C1E95" w:rsidRDefault="004C1E95" w:rsidP="00E93186">
            <w:pPr>
              <w:pStyle w:val="TableText0"/>
              <w:rPr>
                <w:rFonts w:cs="Calibri"/>
                <w:b/>
                <w:bCs/>
                <w:color w:val="000000"/>
              </w:rPr>
            </w:pPr>
            <w:r w:rsidRPr="004C1E95">
              <w:rPr>
                <w:b/>
                <w:bCs/>
                <w:color w:val="000000"/>
              </w:rPr>
              <w:t>REDACTED</w:t>
            </w:r>
          </w:p>
        </w:tc>
        <w:tc>
          <w:tcPr>
            <w:tcW w:w="1098" w:type="pct"/>
            <w:tcBorders>
              <w:top w:val="single" w:sz="4" w:space="0" w:color="auto"/>
              <w:left w:val="single" w:sz="4" w:space="0" w:color="auto"/>
              <w:bottom w:val="single" w:sz="4" w:space="0" w:color="auto"/>
              <w:right w:val="single" w:sz="4" w:space="0" w:color="auto"/>
            </w:tcBorders>
            <w:vAlign w:val="center"/>
          </w:tcPr>
          <w:p w14:paraId="68020AAC" w14:textId="036BE8B9" w:rsidR="00E93186" w:rsidRPr="004C1E95" w:rsidRDefault="004C1E95" w:rsidP="00E93186">
            <w:pPr>
              <w:pStyle w:val="TableText0"/>
              <w:rPr>
                <w:rFonts w:cs="Calibri"/>
                <w:color w:val="000000"/>
              </w:rPr>
            </w:pPr>
            <w:r w:rsidRPr="004C1E95">
              <w:rPr>
                <w:b/>
                <w:bCs/>
                <w:color w:val="000000"/>
              </w:rPr>
              <w:t>REDACTED</w:t>
            </w:r>
          </w:p>
        </w:tc>
        <w:tc>
          <w:tcPr>
            <w:tcW w:w="1098" w:type="pct"/>
            <w:tcBorders>
              <w:top w:val="single" w:sz="4" w:space="0" w:color="auto"/>
              <w:left w:val="single" w:sz="4" w:space="0" w:color="auto"/>
              <w:bottom w:val="single" w:sz="4" w:space="0" w:color="auto"/>
              <w:right w:val="single" w:sz="4" w:space="0" w:color="auto"/>
            </w:tcBorders>
            <w:vAlign w:val="center"/>
          </w:tcPr>
          <w:p w14:paraId="3160670A" w14:textId="59B2D645" w:rsidR="00E93186" w:rsidRPr="004C1E95" w:rsidRDefault="004C1E95" w:rsidP="00E93186">
            <w:pPr>
              <w:pStyle w:val="TableText0"/>
              <w:rPr>
                <w:rFonts w:cs="Calibri"/>
                <w:color w:val="000000"/>
              </w:rPr>
            </w:pPr>
            <w:r w:rsidRPr="004C1E95">
              <w:rPr>
                <w:b/>
                <w:bCs/>
                <w:color w:val="000000"/>
              </w:rPr>
              <w:t>REDACTED</w:t>
            </w:r>
          </w:p>
        </w:tc>
      </w:tr>
      <w:tr w:rsidR="00E93186" w:rsidRPr="004610C3" w14:paraId="16561445" w14:textId="77777777" w:rsidTr="00E93186">
        <w:trPr>
          <w:trHeight w:val="20"/>
        </w:trPr>
        <w:tc>
          <w:tcPr>
            <w:tcW w:w="3902" w:type="pct"/>
            <w:gridSpan w:val="3"/>
            <w:tcBorders>
              <w:top w:val="single" w:sz="4" w:space="0" w:color="auto"/>
              <w:left w:val="single" w:sz="4" w:space="0" w:color="auto"/>
              <w:bottom w:val="single" w:sz="4" w:space="0" w:color="auto"/>
              <w:right w:val="single" w:sz="4" w:space="0" w:color="auto"/>
            </w:tcBorders>
          </w:tcPr>
          <w:p w14:paraId="59139577" w14:textId="77777777" w:rsidR="00E93186" w:rsidRPr="004C1E95" w:rsidRDefault="00E93186" w:rsidP="00E93186">
            <w:pPr>
              <w:pStyle w:val="TableText0"/>
              <w:rPr>
                <w:rFonts w:cs="Calibri"/>
                <w:color w:val="000000"/>
              </w:rPr>
            </w:pPr>
            <w:r w:rsidRPr="004C1E95">
              <w:rPr>
                <w:szCs w:val="20"/>
              </w:rPr>
              <w:t>ICER</w:t>
            </w:r>
            <w:r w:rsidRPr="004C1E95">
              <w:rPr>
                <w:rFonts w:cs="Calibri"/>
                <w:color w:val="000000"/>
                <w:szCs w:val="20"/>
              </w:rPr>
              <w:t> </w:t>
            </w:r>
          </w:p>
        </w:tc>
        <w:tc>
          <w:tcPr>
            <w:tcW w:w="1098" w:type="pct"/>
            <w:tcBorders>
              <w:top w:val="single" w:sz="4" w:space="0" w:color="auto"/>
              <w:left w:val="single" w:sz="4" w:space="0" w:color="auto"/>
              <w:bottom w:val="single" w:sz="4" w:space="0" w:color="auto"/>
              <w:right w:val="single" w:sz="4" w:space="0" w:color="auto"/>
            </w:tcBorders>
            <w:vAlign w:val="center"/>
          </w:tcPr>
          <w:p w14:paraId="5F59E293" w14:textId="6C9CFB33" w:rsidR="00E93186" w:rsidRPr="004C1E95" w:rsidRDefault="004C1E95" w:rsidP="00E93186">
            <w:pPr>
              <w:pStyle w:val="TableText0"/>
              <w:rPr>
                <w:rFonts w:cs="Calibri"/>
                <w:color w:val="000000"/>
              </w:rPr>
            </w:pPr>
            <w:r w:rsidRPr="004C1E95">
              <w:rPr>
                <w:b/>
                <w:bCs/>
                <w:color w:val="000000"/>
              </w:rPr>
              <w:t>REDACTED</w:t>
            </w:r>
          </w:p>
        </w:tc>
      </w:tr>
      <w:tr w:rsidR="00E93186" w:rsidRPr="004610C3" w14:paraId="62F3BE09" w14:textId="77777777" w:rsidTr="00E93186">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7F545FFF" w14:textId="77777777" w:rsidR="00E93186" w:rsidRPr="00F905C4" w:rsidRDefault="00E93186" w:rsidP="00E93186">
            <w:pPr>
              <w:pStyle w:val="TableText0"/>
              <w:rPr>
                <w:rFonts w:cs="Calibri"/>
                <w:color w:val="000000"/>
              </w:rPr>
            </w:pPr>
            <w:r>
              <w:t>Commentary r</w:t>
            </w:r>
            <w:r w:rsidRPr="00F905C4">
              <w:t>evised base case</w:t>
            </w:r>
          </w:p>
        </w:tc>
      </w:tr>
      <w:tr w:rsidR="004C1E95" w:rsidRPr="004610C3" w14:paraId="399D3F0C" w14:textId="77777777" w:rsidTr="00E93186">
        <w:trPr>
          <w:trHeight w:val="20"/>
        </w:trPr>
        <w:tc>
          <w:tcPr>
            <w:tcW w:w="1706" w:type="pct"/>
            <w:tcBorders>
              <w:top w:val="single" w:sz="4" w:space="0" w:color="auto"/>
              <w:left w:val="single" w:sz="4" w:space="0" w:color="auto"/>
              <w:bottom w:val="single" w:sz="4" w:space="0" w:color="auto"/>
              <w:right w:val="single" w:sz="4" w:space="0" w:color="auto"/>
            </w:tcBorders>
          </w:tcPr>
          <w:p w14:paraId="3BCE379C" w14:textId="77777777" w:rsidR="004C1E95" w:rsidRPr="00F905C4" w:rsidRDefault="004C1E95" w:rsidP="004C1E95">
            <w:pPr>
              <w:pStyle w:val="TableText0"/>
            </w:pPr>
            <w:r w:rsidRPr="00F905C4">
              <w:t>Costs</w:t>
            </w:r>
          </w:p>
        </w:tc>
        <w:tc>
          <w:tcPr>
            <w:tcW w:w="1098" w:type="pct"/>
            <w:tcBorders>
              <w:top w:val="single" w:sz="4" w:space="0" w:color="auto"/>
              <w:left w:val="single" w:sz="4" w:space="0" w:color="auto"/>
              <w:bottom w:val="single" w:sz="4" w:space="0" w:color="auto"/>
              <w:right w:val="single" w:sz="4" w:space="0" w:color="auto"/>
            </w:tcBorders>
            <w:vAlign w:val="center"/>
          </w:tcPr>
          <w:p w14:paraId="71383B6D" w14:textId="19BB304E" w:rsidR="004C1E95" w:rsidRPr="0082105F" w:rsidRDefault="004C1E95" w:rsidP="004C1E95">
            <w:pPr>
              <w:pStyle w:val="TableText0"/>
              <w:rPr>
                <w:highlight w:val="yellow"/>
              </w:rPr>
            </w:pPr>
            <w:r w:rsidRPr="004C1E95">
              <w:rPr>
                <w:rFonts w:cs="Calibri"/>
                <w:color w:val="000000"/>
                <w:szCs w:val="20"/>
              </w:rPr>
              <w:t>$</w:t>
            </w:r>
            <w:r w:rsidRPr="004C1E95">
              <w:rPr>
                <w:b/>
                <w:bCs/>
                <w:color w:val="000000"/>
              </w:rPr>
              <w:t>REDACTED</w:t>
            </w:r>
          </w:p>
        </w:tc>
        <w:tc>
          <w:tcPr>
            <w:tcW w:w="1098" w:type="pct"/>
            <w:tcBorders>
              <w:top w:val="single" w:sz="4" w:space="0" w:color="auto"/>
              <w:left w:val="single" w:sz="4" w:space="0" w:color="auto"/>
              <w:bottom w:val="single" w:sz="4" w:space="0" w:color="auto"/>
              <w:right w:val="single" w:sz="4" w:space="0" w:color="auto"/>
            </w:tcBorders>
            <w:vAlign w:val="center"/>
          </w:tcPr>
          <w:p w14:paraId="154CCA0C" w14:textId="48116503" w:rsidR="004C1E95" w:rsidRPr="0082105F" w:rsidRDefault="004C1E95" w:rsidP="004C1E95">
            <w:pPr>
              <w:pStyle w:val="TableText0"/>
              <w:rPr>
                <w:highlight w:val="yellow"/>
              </w:rPr>
            </w:pPr>
            <w:r w:rsidRPr="004C1E95">
              <w:rPr>
                <w:rFonts w:cs="Calibri"/>
                <w:color w:val="000000"/>
                <w:szCs w:val="20"/>
              </w:rPr>
              <w:t>$</w:t>
            </w:r>
            <w:r w:rsidRPr="004C1E95">
              <w:rPr>
                <w:b/>
                <w:bCs/>
                <w:color w:val="000000"/>
              </w:rPr>
              <w:t>REDACTED</w:t>
            </w:r>
          </w:p>
        </w:tc>
        <w:tc>
          <w:tcPr>
            <w:tcW w:w="1098" w:type="pct"/>
            <w:tcBorders>
              <w:top w:val="single" w:sz="4" w:space="0" w:color="auto"/>
              <w:left w:val="single" w:sz="4" w:space="0" w:color="auto"/>
              <w:bottom w:val="single" w:sz="4" w:space="0" w:color="auto"/>
              <w:right w:val="single" w:sz="4" w:space="0" w:color="auto"/>
            </w:tcBorders>
            <w:vAlign w:val="center"/>
          </w:tcPr>
          <w:p w14:paraId="3DEFF52B" w14:textId="2E69FD73" w:rsidR="004C1E95" w:rsidRPr="0082105F" w:rsidRDefault="004C1E95" w:rsidP="004C1E95">
            <w:pPr>
              <w:pStyle w:val="TableText0"/>
              <w:rPr>
                <w:highlight w:val="yellow"/>
              </w:rPr>
            </w:pPr>
            <w:r w:rsidRPr="004C1E95">
              <w:rPr>
                <w:rFonts w:cs="Calibri"/>
                <w:color w:val="000000"/>
                <w:szCs w:val="20"/>
              </w:rPr>
              <w:t>$</w:t>
            </w:r>
            <w:r w:rsidRPr="004C1E95">
              <w:rPr>
                <w:b/>
                <w:bCs/>
                <w:color w:val="000000"/>
              </w:rPr>
              <w:t>REDACTED</w:t>
            </w:r>
          </w:p>
        </w:tc>
      </w:tr>
      <w:tr w:rsidR="004C1E95" w:rsidRPr="004610C3" w14:paraId="06D87DDE" w14:textId="77777777" w:rsidTr="00E93186">
        <w:trPr>
          <w:trHeight w:val="20"/>
        </w:trPr>
        <w:tc>
          <w:tcPr>
            <w:tcW w:w="1706" w:type="pct"/>
            <w:tcBorders>
              <w:top w:val="single" w:sz="4" w:space="0" w:color="auto"/>
              <w:left w:val="single" w:sz="4" w:space="0" w:color="auto"/>
              <w:bottom w:val="single" w:sz="4" w:space="0" w:color="auto"/>
              <w:right w:val="single" w:sz="4" w:space="0" w:color="auto"/>
            </w:tcBorders>
          </w:tcPr>
          <w:p w14:paraId="608893B0" w14:textId="77777777" w:rsidR="004C1E95" w:rsidRPr="00F905C4" w:rsidRDefault="004C1E95" w:rsidP="004C1E95">
            <w:pPr>
              <w:pStyle w:val="TableText0"/>
            </w:pPr>
            <w:r w:rsidRPr="00F905C4">
              <w:t>QALYs</w:t>
            </w:r>
          </w:p>
        </w:tc>
        <w:tc>
          <w:tcPr>
            <w:tcW w:w="1098" w:type="pct"/>
            <w:tcBorders>
              <w:top w:val="single" w:sz="4" w:space="0" w:color="auto"/>
              <w:left w:val="single" w:sz="4" w:space="0" w:color="auto"/>
              <w:bottom w:val="single" w:sz="4" w:space="0" w:color="auto"/>
              <w:right w:val="single" w:sz="4" w:space="0" w:color="auto"/>
            </w:tcBorders>
            <w:vAlign w:val="center"/>
          </w:tcPr>
          <w:p w14:paraId="7296A917" w14:textId="5B7F3B21" w:rsidR="004C1E95" w:rsidRPr="0082105F" w:rsidRDefault="004C1E95" w:rsidP="004C1E95">
            <w:pPr>
              <w:pStyle w:val="TableText0"/>
              <w:rPr>
                <w:highlight w:val="yellow"/>
              </w:rPr>
            </w:pPr>
            <w:r w:rsidRPr="004C1E95">
              <w:rPr>
                <w:b/>
                <w:bCs/>
                <w:color w:val="000000"/>
              </w:rPr>
              <w:t>REDACTED</w:t>
            </w:r>
          </w:p>
        </w:tc>
        <w:tc>
          <w:tcPr>
            <w:tcW w:w="1098" w:type="pct"/>
            <w:tcBorders>
              <w:top w:val="single" w:sz="4" w:space="0" w:color="auto"/>
              <w:left w:val="single" w:sz="4" w:space="0" w:color="auto"/>
              <w:bottom w:val="single" w:sz="4" w:space="0" w:color="auto"/>
              <w:right w:val="single" w:sz="4" w:space="0" w:color="auto"/>
            </w:tcBorders>
            <w:vAlign w:val="center"/>
          </w:tcPr>
          <w:p w14:paraId="18E1D59D" w14:textId="5E98AFEE" w:rsidR="004C1E95" w:rsidRPr="0082105F" w:rsidRDefault="004C1E95" w:rsidP="004C1E95">
            <w:pPr>
              <w:pStyle w:val="TableText0"/>
              <w:rPr>
                <w:highlight w:val="yellow"/>
              </w:rPr>
            </w:pPr>
            <w:r w:rsidRPr="004C1E95">
              <w:rPr>
                <w:b/>
                <w:bCs/>
                <w:color w:val="000000"/>
              </w:rPr>
              <w:t>REDACTED</w:t>
            </w:r>
          </w:p>
        </w:tc>
        <w:tc>
          <w:tcPr>
            <w:tcW w:w="1098" w:type="pct"/>
            <w:tcBorders>
              <w:top w:val="single" w:sz="4" w:space="0" w:color="auto"/>
              <w:left w:val="single" w:sz="4" w:space="0" w:color="auto"/>
              <w:bottom w:val="single" w:sz="4" w:space="0" w:color="auto"/>
              <w:right w:val="single" w:sz="4" w:space="0" w:color="auto"/>
            </w:tcBorders>
            <w:vAlign w:val="center"/>
          </w:tcPr>
          <w:p w14:paraId="2ACC9E0F" w14:textId="3F6A7663" w:rsidR="004C1E95" w:rsidRPr="0082105F" w:rsidRDefault="004C1E95" w:rsidP="004C1E95">
            <w:pPr>
              <w:pStyle w:val="TableText0"/>
              <w:rPr>
                <w:highlight w:val="yellow"/>
              </w:rPr>
            </w:pPr>
            <w:r w:rsidRPr="004C1E95">
              <w:rPr>
                <w:b/>
                <w:bCs/>
                <w:color w:val="000000"/>
              </w:rPr>
              <w:t>REDACTED</w:t>
            </w:r>
          </w:p>
        </w:tc>
      </w:tr>
      <w:tr w:rsidR="00E93186" w:rsidRPr="004C1E95" w14:paraId="1FF92D4B" w14:textId="77777777" w:rsidTr="004C1E95">
        <w:trPr>
          <w:trHeight w:val="123"/>
        </w:trPr>
        <w:tc>
          <w:tcPr>
            <w:tcW w:w="1706" w:type="pct"/>
            <w:tcBorders>
              <w:top w:val="single" w:sz="4" w:space="0" w:color="auto"/>
              <w:left w:val="single" w:sz="4" w:space="0" w:color="auto"/>
              <w:bottom w:val="single" w:sz="4" w:space="0" w:color="auto"/>
              <w:right w:val="nil"/>
            </w:tcBorders>
          </w:tcPr>
          <w:p w14:paraId="3A616E03" w14:textId="77777777" w:rsidR="00E93186" w:rsidRPr="004C1E95" w:rsidRDefault="00E93186" w:rsidP="00E93186">
            <w:pPr>
              <w:pStyle w:val="TableText0"/>
            </w:pPr>
            <w:r w:rsidRPr="004C1E95">
              <w:t>ICER</w:t>
            </w:r>
          </w:p>
        </w:tc>
        <w:tc>
          <w:tcPr>
            <w:tcW w:w="1098" w:type="pct"/>
            <w:tcBorders>
              <w:top w:val="single" w:sz="4" w:space="0" w:color="auto"/>
              <w:left w:val="nil"/>
              <w:bottom w:val="single" w:sz="4" w:space="0" w:color="auto"/>
              <w:right w:val="nil"/>
            </w:tcBorders>
            <w:vAlign w:val="center"/>
          </w:tcPr>
          <w:p w14:paraId="46C6440D" w14:textId="77777777" w:rsidR="00E93186" w:rsidRPr="004C1E95" w:rsidRDefault="00E93186" w:rsidP="00E93186">
            <w:pPr>
              <w:pStyle w:val="TableText0"/>
            </w:pPr>
            <w:r w:rsidRPr="004C1E95">
              <w:rPr>
                <w:rFonts w:cs="Calibri"/>
                <w:color w:val="000000"/>
              </w:rPr>
              <w:t> </w:t>
            </w:r>
          </w:p>
        </w:tc>
        <w:tc>
          <w:tcPr>
            <w:tcW w:w="1098" w:type="pct"/>
            <w:tcBorders>
              <w:top w:val="single" w:sz="4" w:space="0" w:color="auto"/>
              <w:left w:val="nil"/>
              <w:bottom w:val="single" w:sz="4" w:space="0" w:color="auto"/>
              <w:right w:val="single" w:sz="4" w:space="0" w:color="auto"/>
            </w:tcBorders>
            <w:vAlign w:val="center"/>
          </w:tcPr>
          <w:p w14:paraId="3F2D9431" w14:textId="77777777" w:rsidR="00E93186" w:rsidRPr="004C1E95" w:rsidRDefault="00E93186" w:rsidP="00E93186">
            <w:pPr>
              <w:pStyle w:val="TableText0"/>
            </w:pPr>
            <w:r w:rsidRPr="004C1E95">
              <w:rPr>
                <w:rFonts w:cs="Calibri"/>
                <w:color w:val="000000"/>
              </w:rPr>
              <w:t> </w:t>
            </w:r>
          </w:p>
        </w:tc>
        <w:tc>
          <w:tcPr>
            <w:tcW w:w="1098" w:type="pct"/>
            <w:tcBorders>
              <w:top w:val="single" w:sz="4" w:space="0" w:color="auto"/>
              <w:left w:val="single" w:sz="4" w:space="0" w:color="auto"/>
              <w:bottom w:val="single" w:sz="4" w:space="0" w:color="auto"/>
              <w:right w:val="single" w:sz="4" w:space="0" w:color="auto"/>
            </w:tcBorders>
            <w:vAlign w:val="center"/>
          </w:tcPr>
          <w:p w14:paraId="529B041A" w14:textId="0A5012CE" w:rsidR="00E93186" w:rsidRPr="004C1E95" w:rsidRDefault="004C1E95" w:rsidP="00E93186">
            <w:pPr>
              <w:pStyle w:val="TableText0"/>
            </w:pPr>
            <w:r w:rsidRPr="004C1E95">
              <w:rPr>
                <w:b/>
                <w:bCs/>
                <w:color w:val="000000"/>
              </w:rPr>
              <w:t>REDACTED</w:t>
            </w:r>
          </w:p>
        </w:tc>
      </w:tr>
    </w:tbl>
    <w:p w14:paraId="354B538A" w14:textId="77777777" w:rsidR="00E93186" w:rsidRPr="004610C3" w:rsidRDefault="00E93186" w:rsidP="00E93186">
      <w:pPr>
        <w:widowControl w:val="0"/>
        <w:spacing w:after="120"/>
        <w:contextualSpacing/>
        <w:jc w:val="both"/>
        <w:rPr>
          <w:rFonts w:ascii="Arial Narrow" w:hAnsi="Arial Narrow" w:cs="Arial"/>
          <w:snapToGrid w:val="0"/>
          <w:sz w:val="18"/>
          <w:lang w:eastAsia="en-US"/>
        </w:rPr>
      </w:pPr>
      <w:r w:rsidRPr="004C1E95">
        <w:rPr>
          <w:rFonts w:ascii="Arial Narrow" w:hAnsi="Arial Narrow" w:cs="Arial"/>
          <w:snapToGrid w:val="0"/>
          <w:sz w:val="18"/>
          <w:lang w:eastAsia="en-US"/>
        </w:rPr>
        <w:t>Source: Adapted from Table 128, p228 of the ADAR and Table 83, p145 of the commentary</w:t>
      </w:r>
    </w:p>
    <w:p w14:paraId="4F6E33CE" w14:textId="301DAD92" w:rsidR="00E93186" w:rsidRPr="00B3097D" w:rsidRDefault="00E93186" w:rsidP="00B3097D">
      <w:pPr>
        <w:widowControl w:val="0"/>
        <w:spacing w:after="240"/>
        <w:contextualSpacing/>
        <w:jc w:val="both"/>
        <w:rPr>
          <w:rFonts w:ascii="Arial Narrow" w:hAnsi="Arial Narrow" w:cs="Arial"/>
          <w:snapToGrid w:val="0"/>
          <w:sz w:val="18"/>
          <w:lang w:eastAsia="en-US"/>
        </w:rPr>
      </w:pPr>
      <w:r>
        <w:rPr>
          <w:rFonts w:ascii="Arial Narrow" w:hAnsi="Arial Narrow" w:cs="Arial"/>
          <w:snapToGrid w:val="0"/>
          <w:sz w:val="18"/>
          <w:lang w:eastAsia="en-US"/>
        </w:rPr>
        <w:t>Abbreviations: D</w:t>
      </w:r>
      <w:r w:rsidRPr="004610C3">
        <w:rPr>
          <w:rFonts w:ascii="Arial Narrow" w:hAnsi="Arial Narrow" w:cs="Arial"/>
          <w:snapToGrid w:val="0"/>
          <w:sz w:val="18"/>
          <w:lang w:eastAsia="en-US"/>
        </w:rPr>
        <w:t>OAC</w:t>
      </w:r>
      <w:r>
        <w:rPr>
          <w:rFonts w:ascii="Arial Narrow" w:hAnsi="Arial Narrow" w:cs="Arial"/>
          <w:snapToGrid w:val="0"/>
          <w:sz w:val="18"/>
          <w:lang w:eastAsia="en-US"/>
        </w:rPr>
        <w:t xml:space="preserve"> = direct oral a</w:t>
      </w:r>
      <w:r w:rsidRPr="004610C3">
        <w:rPr>
          <w:rFonts w:ascii="Arial Narrow" w:hAnsi="Arial Narrow" w:cs="Arial"/>
          <w:snapToGrid w:val="0"/>
          <w:sz w:val="18"/>
          <w:lang w:eastAsia="en-US"/>
        </w:rPr>
        <w:t>nticoagulants;</w:t>
      </w:r>
      <w:r>
        <w:rPr>
          <w:rFonts w:ascii="Arial Narrow" w:hAnsi="Arial Narrow" w:cs="Arial"/>
          <w:snapToGrid w:val="0"/>
          <w:sz w:val="18"/>
          <w:lang w:eastAsia="en-US"/>
        </w:rPr>
        <w:t xml:space="preserve"> ICER =</w:t>
      </w:r>
      <w:r w:rsidRPr="004610C3">
        <w:rPr>
          <w:rFonts w:ascii="Arial Narrow" w:hAnsi="Arial Narrow" w:cs="Arial"/>
          <w:snapToGrid w:val="0"/>
          <w:sz w:val="18"/>
          <w:lang w:eastAsia="en-US"/>
        </w:rPr>
        <w:t xml:space="preserve"> </w:t>
      </w:r>
      <w:r>
        <w:rPr>
          <w:rFonts w:ascii="Arial Narrow" w:hAnsi="Arial Narrow" w:cs="Arial"/>
          <w:snapToGrid w:val="0"/>
          <w:sz w:val="18"/>
          <w:lang w:eastAsia="en-US"/>
        </w:rPr>
        <w:t>i</w:t>
      </w:r>
      <w:r w:rsidRPr="004610C3">
        <w:rPr>
          <w:rFonts w:ascii="Arial Narrow" w:hAnsi="Arial Narrow" w:cs="Arial"/>
          <w:snapToGrid w:val="0"/>
          <w:sz w:val="18"/>
          <w:lang w:eastAsia="en-US"/>
        </w:rPr>
        <w:t>ncremental cost effectiveness ratio</w:t>
      </w:r>
      <w:r>
        <w:rPr>
          <w:rFonts w:ascii="Arial Narrow" w:hAnsi="Arial Narrow" w:cs="Arial"/>
          <w:snapToGrid w:val="0"/>
          <w:sz w:val="18"/>
          <w:lang w:eastAsia="en-US"/>
        </w:rPr>
        <w:t xml:space="preserve">; </w:t>
      </w:r>
      <w:r w:rsidRPr="004610C3">
        <w:rPr>
          <w:rFonts w:ascii="Arial Narrow" w:hAnsi="Arial Narrow" w:cs="Arial"/>
          <w:snapToGrid w:val="0"/>
          <w:sz w:val="18"/>
          <w:lang w:eastAsia="en-US"/>
        </w:rPr>
        <w:t>LAAC</w:t>
      </w:r>
      <w:r>
        <w:rPr>
          <w:rFonts w:ascii="Arial Narrow" w:hAnsi="Arial Narrow" w:cs="Arial"/>
          <w:snapToGrid w:val="0"/>
          <w:sz w:val="18"/>
          <w:lang w:eastAsia="en-US"/>
        </w:rPr>
        <w:t xml:space="preserve"> = l</w:t>
      </w:r>
      <w:r w:rsidRPr="004610C3">
        <w:rPr>
          <w:rFonts w:ascii="Arial Narrow" w:hAnsi="Arial Narrow" w:cs="Arial"/>
          <w:snapToGrid w:val="0"/>
          <w:sz w:val="18"/>
          <w:lang w:eastAsia="en-US"/>
        </w:rPr>
        <w:t>eft atrial appendage closure; QALYs</w:t>
      </w:r>
      <w:r>
        <w:rPr>
          <w:rFonts w:ascii="Arial Narrow" w:hAnsi="Arial Narrow" w:cs="Arial"/>
          <w:snapToGrid w:val="0"/>
          <w:sz w:val="18"/>
          <w:lang w:eastAsia="en-US"/>
        </w:rPr>
        <w:t xml:space="preserve"> =</w:t>
      </w:r>
      <w:r w:rsidRPr="004610C3">
        <w:rPr>
          <w:rFonts w:ascii="Arial Narrow" w:hAnsi="Arial Narrow" w:cs="Arial"/>
          <w:snapToGrid w:val="0"/>
          <w:sz w:val="18"/>
          <w:lang w:eastAsia="en-US"/>
        </w:rPr>
        <w:t xml:space="preserve"> </w:t>
      </w:r>
      <w:r>
        <w:rPr>
          <w:rFonts w:ascii="Arial Narrow" w:hAnsi="Arial Narrow" w:cs="Arial"/>
          <w:snapToGrid w:val="0"/>
          <w:sz w:val="18"/>
          <w:lang w:eastAsia="en-US"/>
        </w:rPr>
        <w:t>q</w:t>
      </w:r>
      <w:r w:rsidRPr="004610C3">
        <w:rPr>
          <w:rFonts w:ascii="Arial Narrow" w:hAnsi="Arial Narrow" w:cs="Arial"/>
          <w:snapToGrid w:val="0"/>
          <w:sz w:val="18"/>
          <w:lang w:eastAsia="en-US"/>
        </w:rPr>
        <w:t>ua</w:t>
      </w:r>
      <w:r>
        <w:rPr>
          <w:rFonts w:ascii="Arial Narrow" w:hAnsi="Arial Narrow" w:cs="Arial"/>
          <w:snapToGrid w:val="0"/>
          <w:sz w:val="18"/>
          <w:lang w:eastAsia="en-US"/>
        </w:rPr>
        <w:t>lity adjusted life years.</w:t>
      </w:r>
    </w:p>
    <w:p w14:paraId="3D632312" w14:textId="6EE4433C" w:rsidR="00E93186" w:rsidRDefault="00E93186" w:rsidP="00B3097D">
      <w:pPr>
        <w:spacing w:after="240"/>
      </w:pPr>
      <w:r>
        <w:t>T</w:t>
      </w:r>
      <w:r w:rsidRPr="004610C3">
        <w:t xml:space="preserve">he ADAR presented several one-way sensitivity analyses as well as two-way sensitivity analysis. </w:t>
      </w:r>
      <w:r>
        <w:t xml:space="preserve">The key drivers of the model for LAAC versus DOACs, based on the ADAR sensitivity analyses, are presented in </w:t>
      </w:r>
      <w:r>
        <w:fldChar w:fldCharType="begin"/>
      </w:r>
      <w:r>
        <w:instrText xml:space="preserve"> REF _Ref52879690 \h </w:instrText>
      </w:r>
      <w:r>
        <w:fldChar w:fldCharType="separate"/>
      </w:r>
      <w:r>
        <w:t xml:space="preserve">Table </w:t>
      </w:r>
      <w:r>
        <w:rPr>
          <w:noProof/>
        </w:rPr>
        <w:t>12</w:t>
      </w:r>
      <w:r>
        <w:fldChar w:fldCharType="end"/>
      </w:r>
      <w:r>
        <w:t>. However, t</w:t>
      </w:r>
      <w:r w:rsidRPr="004610C3">
        <w:t>he</w:t>
      </w:r>
      <w:r>
        <w:t xml:space="preserve"> commentary noted that the </w:t>
      </w:r>
      <w:r w:rsidRPr="004610C3">
        <w:t>applicant may wish to provide updated sensitivity analyses based on the revised inputs (LAAC procedure costs and utility values).</w:t>
      </w:r>
    </w:p>
    <w:p w14:paraId="5B62CD82" w14:textId="77777777" w:rsidR="00E93186" w:rsidRPr="00DE27BC" w:rsidRDefault="00E93186" w:rsidP="00E93186">
      <w:pPr>
        <w:pStyle w:val="Caption"/>
      </w:pPr>
      <w:bookmarkStart w:id="22" w:name="_Ref52879690"/>
      <w:bookmarkStart w:id="23" w:name="_Toc52353061"/>
      <w:bookmarkStart w:id="24" w:name="_Toc52880688"/>
      <w:r>
        <w:t xml:space="preserve">Table </w:t>
      </w:r>
      <w:r w:rsidR="00FE1F6B">
        <w:fldChar w:fldCharType="begin"/>
      </w:r>
      <w:r w:rsidR="00FE1F6B">
        <w:instrText xml:space="preserve"> SEQ Table \* ARABIC </w:instrText>
      </w:r>
      <w:r w:rsidR="00FE1F6B">
        <w:fldChar w:fldCharType="separate"/>
      </w:r>
      <w:r>
        <w:rPr>
          <w:noProof/>
        </w:rPr>
        <w:t>12</w:t>
      </w:r>
      <w:r w:rsidR="00FE1F6B">
        <w:rPr>
          <w:noProof/>
        </w:rPr>
        <w:fldChar w:fldCharType="end"/>
      </w:r>
      <w:bookmarkEnd w:id="22"/>
      <w:r w:rsidRPr="00DE27BC">
        <w:tab/>
        <w:t>Key drivers of the economic model</w:t>
      </w:r>
      <w:bookmarkEnd w:id="23"/>
      <w:r>
        <w:t xml:space="preserve"> (LAAC versus DOACs)</w:t>
      </w:r>
      <w:bookmarkEnd w:id="24"/>
    </w:p>
    <w:tbl>
      <w:tblPr>
        <w:tblStyle w:val="OPTUMTableNormal"/>
        <w:tblW w:w="5000" w:type="pct"/>
        <w:tblLook w:val="01E0" w:firstRow="1" w:lastRow="1" w:firstColumn="1" w:lastColumn="1" w:noHBand="0" w:noVBand="0"/>
        <w:tblDescription w:val="Key drivers of the economic model (LAAC versus DOACs)"/>
      </w:tblPr>
      <w:tblGrid>
        <w:gridCol w:w="2263"/>
        <w:gridCol w:w="6753"/>
      </w:tblGrid>
      <w:tr w:rsidR="00E93186" w:rsidRPr="00DE27BC" w14:paraId="439DAE98" w14:textId="77777777" w:rsidTr="00511ED5">
        <w:trPr>
          <w:cnfStyle w:val="100000000000" w:firstRow="1" w:lastRow="0" w:firstColumn="0" w:lastColumn="0" w:oddVBand="0" w:evenVBand="0" w:oddHBand="0" w:evenHBand="0" w:firstRowFirstColumn="0" w:firstRowLastColumn="0" w:lastRowFirstColumn="0" w:lastRowLastColumn="0"/>
          <w:trHeight w:val="28"/>
          <w:tblHeader/>
        </w:trPr>
        <w:tc>
          <w:tcPr>
            <w:tcW w:w="1255" w:type="pct"/>
          </w:tcPr>
          <w:p w14:paraId="7872D149" w14:textId="77777777" w:rsidR="00E93186" w:rsidRPr="00E24CAE" w:rsidRDefault="00E93186" w:rsidP="00E93186">
            <w:pPr>
              <w:keepNext/>
              <w:keepLines/>
              <w:widowControl w:val="0"/>
              <w:spacing w:after="40"/>
              <w:rPr>
                <w:rFonts w:ascii="Arial Narrow" w:hAnsi="Arial Narrow"/>
                <w:b/>
                <w:sz w:val="18"/>
                <w:szCs w:val="18"/>
              </w:rPr>
            </w:pPr>
            <w:r w:rsidRPr="00E24CAE">
              <w:rPr>
                <w:rFonts w:ascii="Arial Narrow" w:hAnsi="Arial Narrow"/>
                <w:b/>
                <w:sz w:val="18"/>
                <w:szCs w:val="18"/>
              </w:rPr>
              <w:t>Parameter</w:t>
            </w:r>
          </w:p>
        </w:tc>
        <w:tc>
          <w:tcPr>
            <w:tcW w:w="3745" w:type="pct"/>
          </w:tcPr>
          <w:p w14:paraId="67D3CE49" w14:textId="77777777" w:rsidR="00E93186" w:rsidRPr="00E24CAE" w:rsidRDefault="00E93186" w:rsidP="00E93186">
            <w:pPr>
              <w:keepNext/>
              <w:keepLines/>
              <w:widowControl w:val="0"/>
              <w:spacing w:after="40"/>
              <w:rPr>
                <w:rFonts w:ascii="Arial Narrow" w:hAnsi="Arial Narrow"/>
                <w:b/>
                <w:sz w:val="18"/>
                <w:szCs w:val="18"/>
              </w:rPr>
            </w:pPr>
            <w:r w:rsidRPr="00E24CAE">
              <w:rPr>
                <w:rFonts w:ascii="Arial Narrow" w:hAnsi="Arial Narrow"/>
                <w:b/>
                <w:sz w:val="18"/>
                <w:szCs w:val="18"/>
              </w:rPr>
              <w:t>Impact</w:t>
            </w:r>
          </w:p>
        </w:tc>
      </w:tr>
      <w:tr w:rsidR="00E93186" w:rsidRPr="00DE27BC" w14:paraId="3C00C3EC" w14:textId="77777777" w:rsidTr="00511ED5">
        <w:trPr>
          <w:trHeight w:val="28"/>
        </w:trPr>
        <w:tc>
          <w:tcPr>
            <w:tcW w:w="1255" w:type="pct"/>
          </w:tcPr>
          <w:p w14:paraId="133FE286" w14:textId="77777777" w:rsidR="00E93186" w:rsidRPr="00E24CAE" w:rsidRDefault="00E93186" w:rsidP="00E93186">
            <w:pPr>
              <w:keepNext/>
              <w:keepLines/>
              <w:widowControl w:val="0"/>
              <w:spacing w:after="40"/>
              <w:rPr>
                <w:rFonts w:ascii="Arial Narrow" w:hAnsi="Arial Narrow"/>
                <w:sz w:val="18"/>
                <w:szCs w:val="18"/>
              </w:rPr>
            </w:pPr>
            <w:r w:rsidRPr="00E24CAE">
              <w:rPr>
                <w:rFonts w:ascii="Arial Narrow" w:hAnsi="Arial Narrow"/>
                <w:sz w:val="18"/>
                <w:szCs w:val="18"/>
              </w:rPr>
              <w:t>Costs</w:t>
            </w:r>
          </w:p>
        </w:tc>
        <w:tc>
          <w:tcPr>
            <w:tcW w:w="3745" w:type="pct"/>
          </w:tcPr>
          <w:p w14:paraId="14E1F856" w14:textId="2E2F0EFF" w:rsidR="00E93186" w:rsidRPr="00E24CAE" w:rsidRDefault="00E93186" w:rsidP="00E93186">
            <w:pPr>
              <w:keepNext/>
              <w:keepLines/>
              <w:widowControl w:val="0"/>
              <w:spacing w:after="40"/>
              <w:rPr>
                <w:rFonts w:ascii="Arial Narrow" w:hAnsi="Arial Narrow"/>
                <w:bCs/>
                <w:sz w:val="18"/>
                <w:szCs w:val="18"/>
              </w:rPr>
            </w:pPr>
            <w:r w:rsidRPr="00E24CAE">
              <w:rPr>
                <w:rFonts w:ascii="Arial Narrow" w:hAnsi="Arial Narrow"/>
                <w:bCs/>
                <w:sz w:val="18"/>
                <w:szCs w:val="18"/>
              </w:rPr>
              <w:t xml:space="preserve">The cost of disease related events in the model including major bleeding and stroke, and the cost of treatments were increased and decreased by 50% respectively. </w:t>
            </w:r>
            <w:r w:rsidRPr="00E24CAE">
              <w:rPr>
                <w:rFonts w:ascii="Arial Narrow" w:hAnsi="Arial Narrow"/>
                <w:sz w:val="18"/>
                <w:szCs w:val="18"/>
              </w:rPr>
              <w:t xml:space="preserve">The univariate analyses did not exceed an ICER </w:t>
            </w:r>
            <w:r w:rsidRPr="004C1E95">
              <w:rPr>
                <w:rFonts w:ascii="Arial Narrow" w:hAnsi="Arial Narrow"/>
                <w:bCs/>
                <w:sz w:val="18"/>
                <w:szCs w:val="18"/>
              </w:rPr>
              <w:t>of $</w:t>
            </w:r>
            <w:r w:rsidR="004C1E95" w:rsidRPr="004C1E95">
              <w:rPr>
                <w:rFonts w:ascii="Arial Narrow" w:hAnsi="Arial Narrow"/>
                <w:b/>
                <w:sz w:val="18"/>
                <w:szCs w:val="18"/>
              </w:rPr>
              <w:t>REDACTED</w:t>
            </w:r>
          </w:p>
        </w:tc>
      </w:tr>
      <w:tr w:rsidR="00E93186" w:rsidRPr="00DE27BC" w14:paraId="51B50E93" w14:textId="77777777" w:rsidTr="00511ED5">
        <w:trPr>
          <w:trHeight w:val="28"/>
        </w:trPr>
        <w:tc>
          <w:tcPr>
            <w:tcW w:w="1255" w:type="pct"/>
          </w:tcPr>
          <w:p w14:paraId="046915EC" w14:textId="77777777" w:rsidR="00E93186" w:rsidRPr="00E24CAE" w:rsidRDefault="00E93186" w:rsidP="00E93186">
            <w:pPr>
              <w:keepNext/>
              <w:keepLines/>
              <w:spacing w:after="40"/>
              <w:rPr>
                <w:rFonts w:ascii="Arial Narrow" w:hAnsi="Arial Narrow"/>
                <w:sz w:val="18"/>
                <w:szCs w:val="18"/>
              </w:rPr>
            </w:pPr>
            <w:r w:rsidRPr="00E24CAE">
              <w:rPr>
                <w:rFonts w:ascii="Arial Narrow" w:hAnsi="Arial Narrow"/>
                <w:sz w:val="18"/>
                <w:szCs w:val="18"/>
              </w:rPr>
              <w:t>Population and model time horizon</w:t>
            </w:r>
          </w:p>
        </w:tc>
        <w:tc>
          <w:tcPr>
            <w:tcW w:w="3745" w:type="pct"/>
          </w:tcPr>
          <w:p w14:paraId="4E7AA266" w14:textId="3B239702" w:rsidR="00E93186" w:rsidRPr="00E24CAE" w:rsidRDefault="00E93186" w:rsidP="00E93186">
            <w:pPr>
              <w:keepNext/>
              <w:keepLines/>
              <w:spacing w:after="40"/>
              <w:rPr>
                <w:rFonts w:ascii="Arial Narrow" w:hAnsi="Arial Narrow"/>
                <w:sz w:val="18"/>
                <w:szCs w:val="18"/>
              </w:rPr>
            </w:pPr>
            <w:r w:rsidRPr="00E24CAE">
              <w:rPr>
                <w:rFonts w:ascii="Arial Narrow" w:hAnsi="Arial Narrow"/>
                <w:sz w:val="18"/>
                <w:szCs w:val="18"/>
              </w:rPr>
              <w:t xml:space="preserve">Reducing the time horizon of the economic model to 5 </w:t>
            </w:r>
            <w:bookmarkStart w:id="25" w:name="_Hlk52875533"/>
            <w:r w:rsidRPr="00E24CAE">
              <w:rPr>
                <w:rFonts w:ascii="Arial Narrow" w:hAnsi="Arial Narrow"/>
                <w:sz w:val="18"/>
                <w:szCs w:val="18"/>
              </w:rPr>
              <w:t>(</w:t>
            </w:r>
            <w:r w:rsidRPr="00F13BE7">
              <w:rPr>
                <w:rFonts w:ascii="Arial Narrow" w:hAnsi="Arial Narrow"/>
                <w:sz w:val="18"/>
                <w:szCs w:val="18"/>
              </w:rPr>
              <w:t>$</w:t>
            </w:r>
            <w:r w:rsidR="004C1E95" w:rsidRPr="004C1E95">
              <w:rPr>
                <w:rFonts w:ascii="Arial Narrow" w:hAnsi="Arial Narrow"/>
                <w:b/>
                <w:sz w:val="18"/>
                <w:szCs w:val="18"/>
              </w:rPr>
              <w:t>REDACTED</w:t>
            </w:r>
            <w:r w:rsidRPr="00E24CAE">
              <w:rPr>
                <w:rFonts w:ascii="Arial Narrow" w:hAnsi="Arial Narrow"/>
                <w:sz w:val="18"/>
                <w:szCs w:val="18"/>
              </w:rPr>
              <w:t>) and 10 (</w:t>
            </w:r>
            <w:r w:rsidRPr="00F13BE7">
              <w:rPr>
                <w:rFonts w:ascii="Arial Narrow" w:hAnsi="Arial Narrow"/>
                <w:sz w:val="18"/>
                <w:szCs w:val="18"/>
              </w:rPr>
              <w:t>$</w:t>
            </w:r>
            <w:r w:rsidR="004C1E95" w:rsidRPr="004C1E95">
              <w:rPr>
                <w:rFonts w:ascii="Arial Narrow" w:hAnsi="Arial Narrow"/>
                <w:b/>
                <w:sz w:val="18"/>
                <w:szCs w:val="18"/>
              </w:rPr>
              <w:t>REDACTED</w:t>
            </w:r>
            <w:r w:rsidRPr="00E24CAE">
              <w:rPr>
                <w:rFonts w:ascii="Arial Narrow" w:hAnsi="Arial Narrow"/>
                <w:sz w:val="18"/>
                <w:szCs w:val="18"/>
              </w:rPr>
              <w:t xml:space="preserve">) </w:t>
            </w:r>
            <w:bookmarkEnd w:id="25"/>
            <w:r w:rsidRPr="00E24CAE">
              <w:rPr>
                <w:rFonts w:ascii="Arial Narrow" w:hAnsi="Arial Narrow"/>
                <w:sz w:val="18"/>
                <w:szCs w:val="18"/>
              </w:rPr>
              <w:t>years had the largest impact on cost-effective ness of all univariate analyses.</w:t>
            </w:r>
            <w:r>
              <w:rPr>
                <w:rFonts w:ascii="Arial Narrow" w:hAnsi="Arial Narrow"/>
                <w:sz w:val="18"/>
                <w:szCs w:val="18"/>
              </w:rPr>
              <w:t xml:space="preserve"> </w:t>
            </w:r>
          </w:p>
        </w:tc>
      </w:tr>
      <w:tr w:rsidR="00E93186" w:rsidRPr="00DE27BC" w14:paraId="0B6203EE" w14:textId="77777777" w:rsidTr="00511ED5">
        <w:trPr>
          <w:trHeight w:val="28"/>
        </w:trPr>
        <w:tc>
          <w:tcPr>
            <w:tcW w:w="1255" w:type="pct"/>
          </w:tcPr>
          <w:p w14:paraId="29FD1058" w14:textId="77777777" w:rsidR="00E93186" w:rsidRPr="00E24CAE" w:rsidRDefault="00E93186" w:rsidP="00E93186">
            <w:pPr>
              <w:keepNext/>
              <w:keepLines/>
              <w:spacing w:after="40"/>
              <w:rPr>
                <w:rFonts w:ascii="Arial Narrow" w:hAnsi="Arial Narrow"/>
                <w:sz w:val="18"/>
                <w:szCs w:val="18"/>
              </w:rPr>
            </w:pPr>
            <w:r w:rsidRPr="00E24CAE">
              <w:rPr>
                <w:rFonts w:ascii="Arial Narrow" w:hAnsi="Arial Narrow"/>
                <w:sz w:val="18"/>
                <w:szCs w:val="18"/>
              </w:rPr>
              <w:t>Major Bleeding</w:t>
            </w:r>
          </w:p>
        </w:tc>
        <w:tc>
          <w:tcPr>
            <w:tcW w:w="3745" w:type="pct"/>
          </w:tcPr>
          <w:p w14:paraId="6C68CBDE" w14:textId="1F7E3304" w:rsidR="00E93186" w:rsidRPr="00E24CAE" w:rsidRDefault="00E93186" w:rsidP="00E93186">
            <w:pPr>
              <w:keepNext/>
              <w:keepLines/>
              <w:spacing w:after="40"/>
              <w:rPr>
                <w:rFonts w:ascii="Arial Narrow" w:hAnsi="Arial Narrow"/>
                <w:sz w:val="18"/>
                <w:szCs w:val="18"/>
              </w:rPr>
            </w:pPr>
            <w:r w:rsidRPr="00E24CAE">
              <w:rPr>
                <w:rFonts w:ascii="Arial Narrow" w:hAnsi="Arial Narrow"/>
                <w:sz w:val="18"/>
                <w:szCs w:val="18"/>
              </w:rPr>
              <w:t>Univariate analyses measured the impact of altering the overall probability of bleeding events, applying age and prior bleeding as a risk factor in the model, the RR of major bleedi</w:t>
            </w:r>
            <w:r>
              <w:rPr>
                <w:rFonts w:ascii="Arial Narrow" w:hAnsi="Arial Narrow"/>
                <w:sz w:val="18"/>
                <w:szCs w:val="18"/>
              </w:rPr>
              <w:t>ng events between LAAC/SoC and D</w:t>
            </w:r>
            <w:r w:rsidRPr="00E24CAE">
              <w:rPr>
                <w:rFonts w:ascii="Arial Narrow" w:hAnsi="Arial Narrow"/>
                <w:sz w:val="18"/>
                <w:szCs w:val="18"/>
              </w:rPr>
              <w:t>OAC (HR=1 in sensitivity) and the probability of fatal bleeding. The univariate analyses did not exceed an IC</w:t>
            </w:r>
            <w:r w:rsidRPr="004C1E95">
              <w:rPr>
                <w:rFonts w:ascii="Arial Narrow" w:hAnsi="Arial Narrow"/>
                <w:sz w:val="18"/>
                <w:szCs w:val="18"/>
              </w:rPr>
              <w:t>ER of $</w:t>
            </w:r>
            <w:r w:rsidR="004C1E95" w:rsidRPr="004C1E95">
              <w:rPr>
                <w:rFonts w:ascii="Arial Narrow" w:hAnsi="Arial Narrow"/>
                <w:b/>
                <w:sz w:val="18"/>
                <w:szCs w:val="18"/>
              </w:rPr>
              <w:t xml:space="preserve"> REDACTED</w:t>
            </w:r>
            <w:r w:rsidRPr="004C1E95">
              <w:rPr>
                <w:rFonts w:ascii="Arial Narrow" w:hAnsi="Arial Narrow"/>
                <w:sz w:val="18"/>
                <w:szCs w:val="18"/>
              </w:rPr>
              <w:t>.</w:t>
            </w:r>
          </w:p>
        </w:tc>
      </w:tr>
      <w:tr w:rsidR="00E93186" w:rsidRPr="00DE27BC" w14:paraId="0A13EF10" w14:textId="77777777" w:rsidTr="00511ED5">
        <w:trPr>
          <w:trHeight w:val="28"/>
        </w:trPr>
        <w:tc>
          <w:tcPr>
            <w:tcW w:w="1255" w:type="pct"/>
          </w:tcPr>
          <w:p w14:paraId="4A3D73BD" w14:textId="77777777" w:rsidR="00E93186" w:rsidRPr="00E24CAE" w:rsidRDefault="00E93186" w:rsidP="00E93186">
            <w:pPr>
              <w:keepNext/>
              <w:keepLines/>
              <w:spacing w:after="40"/>
              <w:rPr>
                <w:rFonts w:ascii="Arial Narrow" w:hAnsi="Arial Narrow"/>
                <w:sz w:val="18"/>
                <w:szCs w:val="18"/>
              </w:rPr>
            </w:pPr>
            <w:r>
              <w:rPr>
                <w:rFonts w:ascii="Arial Narrow" w:hAnsi="Arial Narrow"/>
                <w:sz w:val="18"/>
                <w:szCs w:val="18"/>
              </w:rPr>
              <w:t>D</w:t>
            </w:r>
            <w:r w:rsidRPr="00E24CAE">
              <w:rPr>
                <w:rFonts w:ascii="Arial Narrow" w:hAnsi="Arial Narrow"/>
                <w:sz w:val="18"/>
                <w:szCs w:val="18"/>
              </w:rPr>
              <w:t>OAC Compliance</w:t>
            </w:r>
          </w:p>
        </w:tc>
        <w:tc>
          <w:tcPr>
            <w:tcW w:w="3745" w:type="pct"/>
          </w:tcPr>
          <w:p w14:paraId="328DEEEE" w14:textId="5C6E9318" w:rsidR="00E93186" w:rsidRPr="00E24CAE" w:rsidRDefault="00E93186" w:rsidP="00E93186">
            <w:pPr>
              <w:keepNext/>
              <w:keepLines/>
              <w:spacing w:after="40"/>
              <w:rPr>
                <w:rFonts w:ascii="Arial Narrow" w:hAnsi="Arial Narrow"/>
                <w:sz w:val="18"/>
                <w:szCs w:val="18"/>
              </w:rPr>
            </w:pPr>
            <w:r w:rsidRPr="00E24CAE">
              <w:rPr>
                <w:rFonts w:ascii="Arial Narrow" w:hAnsi="Arial Narrow"/>
                <w:sz w:val="18"/>
                <w:szCs w:val="18"/>
              </w:rPr>
              <w:t>Univariate analysis m</w:t>
            </w:r>
            <w:r>
              <w:rPr>
                <w:rFonts w:ascii="Arial Narrow" w:hAnsi="Arial Narrow"/>
                <w:sz w:val="18"/>
                <w:szCs w:val="18"/>
              </w:rPr>
              <w:t>easured the effect of assuming D</w:t>
            </w:r>
            <w:r w:rsidRPr="00E24CAE">
              <w:rPr>
                <w:rFonts w:ascii="Arial Narrow" w:hAnsi="Arial Narrow"/>
                <w:sz w:val="18"/>
                <w:szCs w:val="18"/>
              </w:rPr>
              <w:t xml:space="preserve">OAC adherence of 100% medication persistence ratio (MPR). </w:t>
            </w:r>
            <w:r>
              <w:rPr>
                <w:rFonts w:ascii="Arial Narrow" w:hAnsi="Arial Narrow"/>
                <w:sz w:val="18"/>
                <w:szCs w:val="18"/>
              </w:rPr>
              <w:t>Applying 100% adherence to the D</w:t>
            </w:r>
            <w:r w:rsidRPr="00E24CAE">
              <w:rPr>
                <w:rFonts w:ascii="Arial Narrow" w:hAnsi="Arial Narrow"/>
                <w:sz w:val="18"/>
                <w:szCs w:val="18"/>
              </w:rPr>
              <w:t xml:space="preserve">OAC arm had little effect on the ICER </w:t>
            </w:r>
            <w:bookmarkStart w:id="26" w:name="_Hlk52875558"/>
            <w:r w:rsidRPr="00E24CAE">
              <w:rPr>
                <w:rFonts w:ascii="Arial Narrow" w:hAnsi="Arial Narrow"/>
                <w:sz w:val="18"/>
                <w:szCs w:val="18"/>
              </w:rPr>
              <w:t>(</w:t>
            </w:r>
            <w:r w:rsidRPr="00F13BE7">
              <w:rPr>
                <w:rFonts w:ascii="Arial Narrow" w:hAnsi="Arial Narrow"/>
                <w:sz w:val="18"/>
                <w:szCs w:val="18"/>
              </w:rPr>
              <w:t>$</w:t>
            </w:r>
            <w:r w:rsidR="004C1E95" w:rsidRPr="004C1E95">
              <w:rPr>
                <w:rFonts w:ascii="Arial Narrow" w:hAnsi="Arial Narrow"/>
                <w:b/>
                <w:sz w:val="18"/>
                <w:szCs w:val="18"/>
              </w:rPr>
              <w:t>REDACTED</w:t>
            </w:r>
            <w:r w:rsidRPr="00E24CAE">
              <w:rPr>
                <w:rFonts w:ascii="Arial Narrow" w:hAnsi="Arial Narrow"/>
                <w:sz w:val="18"/>
                <w:szCs w:val="18"/>
              </w:rPr>
              <w:t>)</w:t>
            </w:r>
            <w:bookmarkEnd w:id="26"/>
            <w:r w:rsidRPr="00E24CAE">
              <w:rPr>
                <w:rFonts w:ascii="Arial Narrow" w:hAnsi="Arial Narrow"/>
                <w:sz w:val="18"/>
                <w:szCs w:val="18"/>
              </w:rPr>
              <w:t>.</w:t>
            </w:r>
          </w:p>
        </w:tc>
      </w:tr>
      <w:tr w:rsidR="00E93186" w:rsidRPr="00DE27BC" w14:paraId="1EDD48B1" w14:textId="77777777" w:rsidTr="00511ED5">
        <w:trPr>
          <w:trHeight w:val="28"/>
        </w:trPr>
        <w:tc>
          <w:tcPr>
            <w:tcW w:w="1255" w:type="pct"/>
          </w:tcPr>
          <w:p w14:paraId="39C7010B" w14:textId="77777777" w:rsidR="00E93186" w:rsidRPr="00E24CAE" w:rsidRDefault="00E93186" w:rsidP="00E93186">
            <w:pPr>
              <w:keepNext/>
              <w:keepLines/>
              <w:spacing w:after="40"/>
              <w:rPr>
                <w:rFonts w:ascii="Arial Narrow" w:hAnsi="Arial Narrow"/>
                <w:sz w:val="18"/>
                <w:szCs w:val="18"/>
              </w:rPr>
            </w:pPr>
            <w:r w:rsidRPr="00E24CAE">
              <w:rPr>
                <w:rFonts w:ascii="Arial Narrow" w:hAnsi="Arial Narrow"/>
                <w:sz w:val="18"/>
                <w:szCs w:val="18"/>
              </w:rPr>
              <w:t>Stroke</w:t>
            </w:r>
          </w:p>
        </w:tc>
        <w:tc>
          <w:tcPr>
            <w:tcW w:w="3745" w:type="pct"/>
          </w:tcPr>
          <w:p w14:paraId="227FE0BC" w14:textId="2A1567C2" w:rsidR="00E93186" w:rsidRPr="00E24CAE" w:rsidRDefault="00E93186" w:rsidP="00E93186">
            <w:pPr>
              <w:keepNext/>
              <w:keepLines/>
              <w:spacing w:after="40"/>
              <w:rPr>
                <w:rFonts w:ascii="Arial Narrow" w:hAnsi="Arial Narrow"/>
                <w:sz w:val="18"/>
                <w:szCs w:val="18"/>
              </w:rPr>
            </w:pPr>
            <w:r w:rsidRPr="00E24CAE">
              <w:rPr>
                <w:rFonts w:ascii="Arial Narrow" w:hAnsi="Arial Narrow"/>
                <w:sz w:val="18"/>
                <w:szCs w:val="18"/>
              </w:rPr>
              <w:t>The univariate analyses measured the impact of applying age as a risk factor for disabling and fatal stroke outcome in the model, altering the overall probability of stroke events, applying a constant probability of stroke based on PRAGUE-17 and altering the relative treatment</w:t>
            </w:r>
            <w:r>
              <w:rPr>
                <w:rFonts w:ascii="Arial Narrow" w:hAnsi="Arial Narrow"/>
                <w:sz w:val="18"/>
                <w:szCs w:val="18"/>
              </w:rPr>
              <w:t xml:space="preserve"> effect of SoC versus LAAC and D</w:t>
            </w:r>
            <w:r w:rsidRPr="00E24CAE">
              <w:rPr>
                <w:rFonts w:ascii="Arial Narrow" w:hAnsi="Arial Narrow"/>
                <w:sz w:val="18"/>
                <w:szCs w:val="18"/>
              </w:rPr>
              <w:t xml:space="preserve">OACs. This analysis resulted in an ICER of </w:t>
            </w:r>
            <w:bookmarkStart w:id="27" w:name="_Hlk52875575"/>
            <w:r w:rsidRPr="00F13BE7">
              <w:rPr>
                <w:rFonts w:ascii="Arial Narrow" w:hAnsi="Arial Narrow"/>
                <w:sz w:val="18"/>
                <w:szCs w:val="18"/>
              </w:rPr>
              <w:t>$</w:t>
            </w:r>
            <w:bookmarkEnd w:id="27"/>
            <w:r w:rsidR="004C1E95" w:rsidRPr="004C1E95">
              <w:rPr>
                <w:rFonts w:ascii="Arial Narrow" w:hAnsi="Arial Narrow"/>
                <w:b/>
                <w:sz w:val="18"/>
                <w:szCs w:val="18"/>
              </w:rPr>
              <w:t xml:space="preserve"> REDACTED</w:t>
            </w:r>
          </w:p>
        </w:tc>
      </w:tr>
      <w:tr w:rsidR="00E93186" w:rsidRPr="00DE27BC" w14:paraId="2AFD7299" w14:textId="77777777" w:rsidTr="00511ED5">
        <w:trPr>
          <w:trHeight w:val="28"/>
        </w:trPr>
        <w:tc>
          <w:tcPr>
            <w:tcW w:w="1255" w:type="pct"/>
          </w:tcPr>
          <w:p w14:paraId="2A3A7137" w14:textId="77777777" w:rsidR="00E93186" w:rsidRPr="00E24CAE" w:rsidRDefault="00E93186" w:rsidP="00E93186">
            <w:pPr>
              <w:keepNext/>
              <w:keepLines/>
              <w:spacing w:after="40"/>
              <w:rPr>
                <w:rFonts w:ascii="Arial Narrow" w:hAnsi="Arial Narrow"/>
                <w:sz w:val="18"/>
                <w:szCs w:val="18"/>
              </w:rPr>
            </w:pPr>
            <w:r w:rsidRPr="00E24CAE">
              <w:rPr>
                <w:rFonts w:ascii="Arial Narrow" w:hAnsi="Arial Narrow"/>
                <w:sz w:val="18"/>
                <w:szCs w:val="18"/>
              </w:rPr>
              <w:t>Utilities</w:t>
            </w:r>
          </w:p>
        </w:tc>
        <w:tc>
          <w:tcPr>
            <w:tcW w:w="3745" w:type="pct"/>
          </w:tcPr>
          <w:p w14:paraId="1F160653" w14:textId="47F52C09" w:rsidR="00E93186" w:rsidRPr="00E24CAE" w:rsidRDefault="00E93186" w:rsidP="00E93186">
            <w:pPr>
              <w:keepNext/>
              <w:keepLines/>
              <w:spacing w:after="40"/>
              <w:rPr>
                <w:rFonts w:ascii="Arial Narrow" w:hAnsi="Arial Narrow"/>
                <w:sz w:val="18"/>
                <w:szCs w:val="18"/>
              </w:rPr>
            </w:pPr>
            <w:r w:rsidRPr="00E24CAE">
              <w:rPr>
                <w:rFonts w:ascii="Arial Narrow" w:hAnsi="Arial Narrow"/>
                <w:sz w:val="18"/>
                <w:szCs w:val="18"/>
              </w:rPr>
              <w:t>The disutility of stroke and a major bleeding events were altered and resulted in ICERs that did not exceed $</w:t>
            </w:r>
            <w:r w:rsidR="004C1E95" w:rsidRPr="004C1E95">
              <w:rPr>
                <w:rFonts w:ascii="Arial Narrow" w:hAnsi="Arial Narrow"/>
                <w:b/>
                <w:sz w:val="18"/>
                <w:szCs w:val="18"/>
              </w:rPr>
              <w:t>REDACTED</w:t>
            </w:r>
            <w:r w:rsidRPr="00E24CAE">
              <w:rPr>
                <w:rFonts w:ascii="Arial Narrow" w:hAnsi="Arial Narrow"/>
                <w:sz w:val="18"/>
                <w:szCs w:val="18"/>
              </w:rPr>
              <w:t>.</w:t>
            </w:r>
          </w:p>
        </w:tc>
      </w:tr>
    </w:tbl>
    <w:p w14:paraId="58222641" w14:textId="77777777" w:rsidR="00E93186" w:rsidRDefault="00E93186" w:rsidP="008275A0">
      <w:pPr>
        <w:pStyle w:val="Tablenotes"/>
      </w:pPr>
      <w:r>
        <w:t>Source: Table 6, p31 of the ADAR.</w:t>
      </w:r>
    </w:p>
    <w:p w14:paraId="0B73D433" w14:textId="25C60134" w:rsidR="00D03146" w:rsidRPr="00D03146" w:rsidRDefault="00E93186" w:rsidP="00D03146">
      <w:pPr>
        <w:pStyle w:val="Tablenotes"/>
      </w:pPr>
      <w:r>
        <w:t xml:space="preserve">Abbreviations: DOAC = direct oral anticoagulant; ICER = </w:t>
      </w:r>
      <w:r w:rsidRPr="00D57501">
        <w:t>incremental cost effectiveness ratio</w:t>
      </w:r>
      <w:r>
        <w:t xml:space="preserve">; LAAC = </w:t>
      </w:r>
      <w:r w:rsidRPr="00D57501">
        <w:t>left atrial appendage closure</w:t>
      </w:r>
      <w:r>
        <w:t>; SoC = standard of care.</w:t>
      </w:r>
      <w:r w:rsidR="00D03146">
        <w:br w:type="page"/>
      </w:r>
    </w:p>
    <w:p w14:paraId="260DE480" w14:textId="782DADDC" w:rsidR="00E93186" w:rsidRPr="004610C3" w:rsidRDefault="00E93186" w:rsidP="00B3097D">
      <w:pPr>
        <w:pStyle w:val="Heading4"/>
      </w:pPr>
      <w:r>
        <w:lastRenderedPageBreak/>
        <w:t>LAAC versus warfarin</w:t>
      </w:r>
    </w:p>
    <w:p w14:paraId="713214ED" w14:textId="0F2FC678" w:rsidR="00E93186" w:rsidRPr="004610C3" w:rsidRDefault="00E93186" w:rsidP="00B3097D">
      <w:pPr>
        <w:spacing w:after="240"/>
      </w:pPr>
      <w:r>
        <w:t xml:space="preserve">The cost-effectiveness of </w:t>
      </w:r>
      <w:r w:rsidRPr="00D57501">
        <w:t>warfarin was tested in a sensitivity analysis using the same structure as per the DOAC mode</w:t>
      </w:r>
      <w:r>
        <w:t>l</w:t>
      </w:r>
      <w:r w:rsidRPr="00D57501">
        <w:t>.</w:t>
      </w:r>
      <w:r>
        <w:t xml:space="preserve"> The</w:t>
      </w:r>
      <w:r w:rsidRPr="004610C3">
        <w:t xml:space="preserve"> </w:t>
      </w:r>
      <w:r>
        <w:t xml:space="preserve">commentary’s </w:t>
      </w:r>
      <w:r w:rsidRPr="004610C3">
        <w:t>revised</w:t>
      </w:r>
      <w:r>
        <w:t xml:space="preserve"> utility estimates resulted in a change in </w:t>
      </w:r>
      <w:r w:rsidRPr="004610C3">
        <w:t xml:space="preserve">the QALYs for LAAC and warfarin. Based on the revised estimates, LAAC generates </w:t>
      </w:r>
      <w:r w:rsidR="004C1E95" w:rsidRPr="004C1E95">
        <w:rPr>
          <w:b/>
          <w:bCs/>
        </w:rPr>
        <w:t>REDACTED</w:t>
      </w:r>
      <w:r w:rsidR="004C1E95" w:rsidRPr="004C1E95">
        <w:t xml:space="preserve"> </w:t>
      </w:r>
      <w:r w:rsidRPr="004610C3">
        <w:t xml:space="preserve">QALYs and warfarin generates </w:t>
      </w:r>
      <w:r w:rsidR="004C1E95" w:rsidRPr="004C1E95">
        <w:rPr>
          <w:b/>
          <w:bCs/>
        </w:rPr>
        <w:t>REDACTED</w:t>
      </w:r>
      <w:r w:rsidR="004C1E95" w:rsidRPr="004C1E95">
        <w:t xml:space="preserve"> </w:t>
      </w:r>
      <w:r w:rsidRPr="004610C3">
        <w:t xml:space="preserve">QALYs with an incremental gain of </w:t>
      </w:r>
      <w:r w:rsidR="004C1E95" w:rsidRPr="004C1E95">
        <w:rPr>
          <w:b/>
          <w:bCs/>
        </w:rPr>
        <w:t>REDACTED</w:t>
      </w:r>
      <w:r w:rsidR="004C1E95" w:rsidRPr="004C1E95">
        <w:t xml:space="preserve"> </w:t>
      </w:r>
      <w:r w:rsidRPr="004610C3">
        <w:t xml:space="preserve">for LAAC. The incremental QALY gains with LAAC reduced based on the revised inputs. </w:t>
      </w:r>
    </w:p>
    <w:p w14:paraId="73E1C9AA" w14:textId="3A516B67" w:rsidR="00E93186" w:rsidRPr="004610C3" w:rsidRDefault="00E93186" w:rsidP="00B3097D">
      <w:pPr>
        <w:spacing w:after="240"/>
      </w:pPr>
      <w:r w:rsidRPr="004610C3">
        <w:t xml:space="preserve">Based on the revised </w:t>
      </w:r>
      <w:r>
        <w:t xml:space="preserve">cost and utility </w:t>
      </w:r>
      <w:r w:rsidRPr="004610C3">
        <w:t xml:space="preserve">inputs, the results of incremental cost-effectiveness are provided in </w:t>
      </w:r>
      <w:r w:rsidRPr="004610C3">
        <w:fldChar w:fldCharType="begin"/>
      </w:r>
      <w:r w:rsidRPr="004610C3">
        <w:instrText xml:space="preserve"> REF _Ref58836145 \h  \* MERGEFORMAT </w:instrText>
      </w:r>
      <w:r w:rsidRPr="004610C3">
        <w:fldChar w:fldCharType="separate"/>
      </w:r>
      <w:r w:rsidRPr="004610C3">
        <w:t xml:space="preserve">Table </w:t>
      </w:r>
      <w:r>
        <w:rPr>
          <w:noProof/>
        </w:rPr>
        <w:t>13</w:t>
      </w:r>
      <w:r w:rsidRPr="004610C3">
        <w:fldChar w:fldCharType="end"/>
      </w:r>
      <w:r w:rsidRPr="004610C3">
        <w:t>. The ICER changed from $</w:t>
      </w:r>
      <w:r w:rsidR="004C1E95" w:rsidRPr="004C1E95">
        <w:rPr>
          <w:b/>
          <w:bCs/>
        </w:rPr>
        <w:t>REDACTED</w:t>
      </w:r>
      <w:r w:rsidR="004C1E95" w:rsidRPr="004C1E95">
        <w:t xml:space="preserve"> </w:t>
      </w:r>
      <w:r w:rsidRPr="004610C3">
        <w:t>to $</w:t>
      </w:r>
      <w:r w:rsidR="004C1E95" w:rsidRPr="004C1E95">
        <w:rPr>
          <w:b/>
          <w:bCs/>
        </w:rPr>
        <w:t>REDACTED</w:t>
      </w:r>
      <w:r w:rsidRPr="004610C3">
        <w:t xml:space="preserve">. </w:t>
      </w:r>
    </w:p>
    <w:p w14:paraId="3802833B" w14:textId="77777777" w:rsidR="00E93186" w:rsidRPr="004610C3" w:rsidRDefault="00E93186" w:rsidP="00E93186">
      <w:pPr>
        <w:pStyle w:val="Caption"/>
      </w:pPr>
      <w:bookmarkStart w:id="28" w:name="_Ref58836145"/>
      <w:r w:rsidRPr="004610C3">
        <w:t xml:space="preserve">Table </w:t>
      </w:r>
      <w:r w:rsidR="00FE1F6B">
        <w:fldChar w:fldCharType="begin"/>
      </w:r>
      <w:r w:rsidR="00FE1F6B">
        <w:instrText xml:space="preserve"> SEQ Table \* ARABIC </w:instrText>
      </w:r>
      <w:r w:rsidR="00FE1F6B">
        <w:fldChar w:fldCharType="separate"/>
      </w:r>
      <w:r>
        <w:rPr>
          <w:noProof/>
        </w:rPr>
        <w:t>13</w:t>
      </w:r>
      <w:r w:rsidR="00FE1F6B">
        <w:rPr>
          <w:noProof/>
        </w:rPr>
        <w:fldChar w:fldCharType="end"/>
      </w:r>
      <w:bookmarkEnd w:id="28"/>
      <w:r w:rsidRPr="004610C3">
        <w:rPr>
          <w:noProof/>
        </w:rPr>
        <w:tab/>
      </w:r>
      <w:r w:rsidRPr="004610C3">
        <w:t>Revised incremental cost-effectiveness for LAAC versus warfarin</w:t>
      </w:r>
    </w:p>
    <w:tbl>
      <w:tblPr>
        <w:tblStyle w:val="OPTUMTableNormal"/>
        <w:tblW w:w="5000" w:type="pct"/>
        <w:tblLook w:val="01E0" w:firstRow="1" w:lastRow="1" w:firstColumn="1" w:lastColumn="1" w:noHBand="0" w:noVBand="0"/>
        <w:tblDescription w:val="Revised incremental cost-effectiveness for LAAC versus warfarin"/>
      </w:tblPr>
      <w:tblGrid>
        <w:gridCol w:w="3076"/>
        <w:gridCol w:w="1980"/>
        <w:gridCol w:w="1980"/>
        <w:gridCol w:w="1980"/>
      </w:tblGrid>
      <w:tr w:rsidR="00E93186" w:rsidRPr="008F3032" w14:paraId="6CE10C69" w14:textId="77777777" w:rsidTr="00511ED5">
        <w:trPr>
          <w:cnfStyle w:val="100000000000" w:firstRow="1" w:lastRow="0" w:firstColumn="0" w:lastColumn="0" w:oddVBand="0" w:evenVBand="0" w:oddHBand="0" w:evenHBand="0" w:firstRowFirstColumn="0" w:firstRowLastColumn="0" w:lastRowFirstColumn="0" w:lastRowLastColumn="0"/>
          <w:trHeight w:val="20"/>
          <w:tblHeader/>
        </w:trPr>
        <w:tc>
          <w:tcPr>
            <w:tcW w:w="1706" w:type="pct"/>
            <w:hideMark/>
          </w:tcPr>
          <w:p w14:paraId="53714DAB" w14:textId="77777777" w:rsidR="00E93186" w:rsidRPr="008F3032" w:rsidRDefault="00E93186" w:rsidP="00E93186">
            <w:pPr>
              <w:keepNext/>
              <w:keepLines/>
              <w:spacing w:after="40"/>
              <w:rPr>
                <w:rFonts w:ascii="Arial Narrow" w:hAnsi="Arial Narrow" w:cs="Tahoma"/>
                <w:b/>
                <w:sz w:val="20"/>
              </w:rPr>
            </w:pPr>
            <w:r w:rsidRPr="008F3032">
              <w:rPr>
                <w:rFonts w:ascii="Arial Narrow" w:hAnsi="Arial Narrow" w:cs="Tahoma"/>
                <w:b/>
                <w:sz w:val="20"/>
              </w:rPr>
              <w:t>Outcome</w:t>
            </w:r>
          </w:p>
        </w:tc>
        <w:tc>
          <w:tcPr>
            <w:tcW w:w="1098" w:type="pct"/>
            <w:hideMark/>
          </w:tcPr>
          <w:p w14:paraId="3CBD6DCA" w14:textId="77777777" w:rsidR="00E93186" w:rsidRPr="008F3032" w:rsidRDefault="00E93186" w:rsidP="00E93186">
            <w:pPr>
              <w:keepNext/>
              <w:keepLines/>
              <w:spacing w:after="40"/>
              <w:rPr>
                <w:rFonts w:ascii="Arial Narrow" w:hAnsi="Arial Narrow" w:cs="Tahoma"/>
                <w:b/>
                <w:sz w:val="20"/>
              </w:rPr>
            </w:pPr>
            <w:r w:rsidRPr="008F3032">
              <w:rPr>
                <w:rFonts w:ascii="Arial Narrow" w:hAnsi="Arial Narrow" w:cs="Tahoma"/>
                <w:b/>
                <w:sz w:val="20"/>
              </w:rPr>
              <w:t>LAAC</w:t>
            </w:r>
          </w:p>
        </w:tc>
        <w:tc>
          <w:tcPr>
            <w:tcW w:w="1098" w:type="pct"/>
            <w:hideMark/>
          </w:tcPr>
          <w:p w14:paraId="4A29C1F6" w14:textId="77777777" w:rsidR="00E93186" w:rsidRPr="008F3032" w:rsidRDefault="00E93186" w:rsidP="00E93186">
            <w:pPr>
              <w:keepNext/>
              <w:keepLines/>
              <w:spacing w:after="40"/>
              <w:rPr>
                <w:rFonts w:ascii="Arial Narrow" w:hAnsi="Arial Narrow" w:cs="Tahoma"/>
                <w:b/>
                <w:sz w:val="20"/>
              </w:rPr>
            </w:pPr>
            <w:r w:rsidRPr="008F3032">
              <w:rPr>
                <w:rFonts w:ascii="Arial Narrow" w:hAnsi="Arial Narrow" w:cs="Tahoma"/>
                <w:b/>
                <w:sz w:val="20"/>
              </w:rPr>
              <w:t>warfarin</w:t>
            </w:r>
          </w:p>
        </w:tc>
        <w:tc>
          <w:tcPr>
            <w:tcW w:w="1098" w:type="pct"/>
            <w:hideMark/>
          </w:tcPr>
          <w:p w14:paraId="3F02E391" w14:textId="77777777" w:rsidR="00E93186" w:rsidRPr="008F3032" w:rsidRDefault="00E93186" w:rsidP="00E93186">
            <w:pPr>
              <w:keepNext/>
              <w:keepLines/>
              <w:spacing w:after="40"/>
              <w:rPr>
                <w:rFonts w:ascii="Arial Narrow" w:hAnsi="Arial Narrow" w:cs="Tahoma"/>
                <w:b/>
                <w:sz w:val="20"/>
              </w:rPr>
            </w:pPr>
            <w:r w:rsidRPr="008F3032">
              <w:rPr>
                <w:rFonts w:ascii="Arial Narrow" w:hAnsi="Arial Narrow" w:cs="Tahoma"/>
                <w:b/>
                <w:sz w:val="20"/>
              </w:rPr>
              <w:t>Incremental</w:t>
            </w:r>
          </w:p>
        </w:tc>
      </w:tr>
      <w:tr w:rsidR="00E93186" w:rsidRPr="008F3032" w14:paraId="3144517E" w14:textId="77777777" w:rsidTr="00511ED5">
        <w:trPr>
          <w:trHeight w:val="20"/>
        </w:trPr>
        <w:tc>
          <w:tcPr>
            <w:tcW w:w="1706" w:type="pct"/>
            <w:hideMark/>
          </w:tcPr>
          <w:p w14:paraId="10A61714" w14:textId="77777777" w:rsidR="00E93186" w:rsidRPr="008F3032" w:rsidRDefault="00E93186" w:rsidP="00E93186">
            <w:pPr>
              <w:keepNext/>
              <w:keepLines/>
              <w:spacing w:after="40"/>
              <w:rPr>
                <w:rFonts w:ascii="Arial Narrow" w:hAnsi="Arial Narrow" w:cs="Tahoma"/>
                <w:sz w:val="20"/>
              </w:rPr>
            </w:pPr>
            <w:r w:rsidRPr="008F3032">
              <w:rPr>
                <w:rFonts w:ascii="Arial Narrow" w:hAnsi="Arial Narrow" w:cs="Tahoma"/>
                <w:sz w:val="20"/>
              </w:rPr>
              <w:t>Costs</w:t>
            </w:r>
          </w:p>
        </w:tc>
        <w:tc>
          <w:tcPr>
            <w:tcW w:w="1098" w:type="pct"/>
            <w:hideMark/>
          </w:tcPr>
          <w:p w14:paraId="4ED0025A" w14:textId="370A4C97" w:rsidR="00E93186" w:rsidRPr="008F3032" w:rsidRDefault="00E93186" w:rsidP="00E93186">
            <w:pPr>
              <w:keepNext/>
              <w:spacing w:after="40"/>
              <w:rPr>
                <w:rFonts w:ascii="Arial Narrow" w:hAnsi="Arial Narrow" w:cs="Tahoma"/>
                <w:b/>
                <w:bCs/>
                <w:sz w:val="20"/>
                <w:lang w:eastAsia="en-US"/>
              </w:rPr>
            </w:pPr>
            <w:r w:rsidRPr="008F3032">
              <w:rPr>
                <w:rFonts w:ascii="Arial Narrow" w:hAnsi="Arial Narrow" w:cs="Calibri"/>
                <w:b/>
                <w:bCs/>
                <w:color w:val="000000"/>
                <w:sz w:val="20"/>
                <w:lang w:eastAsia="en-US"/>
              </w:rPr>
              <w:t>$</w:t>
            </w:r>
            <w:r w:rsidR="008F3032" w:rsidRPr="008F3032">
              <w:rPr>
                <w:rFonts w:ascii="Arial Narrow" w:hAnsi="Arial Narrow" w:cs="Calibri"/>
                <w:b/>
                <w:bCs/>
                <w:color w:val="000000"/>
                <w:sz w:val="20"/>
                <w:lang w:eastAsia="en-US"/>
              </w:rPr>
              <w:t>REDACTED</w:t>
            </w:r>
          </w:p>
        </w:tc>
        <w:tc>
          <w:tcPr>
            <w:tcW w:w="1098" w:type="pct"/>
            <w:hideMark/>
          </w:tcPr>
          <w:p w14:paraId="1CF7175B" w14:textId="4A9FB76B" w:rsidR="00E93186" w:rsidRPr="008F3032" w:rsidRDefault="008F3032" w:rsidP="00E93186">
            <w:pPr>
              <w:keepNext/>
              <w:spacing w:after="40"/>
              <w:rPr>
                <w:rFonts w:ascii="Arial Narrow" w:hAnsi="Arial Narrow" w:cs="Tahoma"/>
                <w:sz w:val="20"/>
                <w:lang w:eastAsia="en-US"/>
              </w:rPr>
            </w:pPr>
            <w:r w:rsidRPr="008F3032">
              <w:rPr>
                <w:rFonts w:ascii="Arial Narrow" w:hAnsi="Arial Narrow" w:cs="Calibri"/>
                <w:b/>
                <w:bCs/>
                <w:color w:val="000000"/>
                <w:sz w:val="20"/>
                <w:lang w:eastAsia="en-US"/>
              </w:rPr>
              <w:t>$REDACTED</w:t>
            </w:r>
          </w:p>
        </w:tc>
        <w:tc>
          <w:tcPr>
            <w:tcW w:w="1098" w:type="pct"/>
            <w:hideMark/>
          </w:tcPr>
          <w:p w14:paraId="4E47BDAC" w14:textId="486C0406" w:rsidR="00E93186" w:rsidRPr="008F3032" w:rsidRDefault="008F3032" w:rsidP="00E93186">
            <w:pPr>
              <w:keepNext/>
              <w:spacing w:after="40"/>
              <w:rPr>
                <w:rFonts w:ascii="Arial Narrow" w:hAnsi="Arial Narrow" w:cs="Tahoma"/>
                <w:sz w:val="20"/>
                <w:lang w:eastAsia="en-US"/>
              </w:rPr>
            </w:pPr>
            <w:r w:rsidRPr="008F3032">
              <w:rPr>
                <w:rFonts w:ascii="Arial Narrow" w:hAnsi="Arial Narrow" w:cs="Calibri"/>
                <w:b/>
                <w:bCs/>
                <w:color w:val="000000"/>
                <w:sz w:val="20"/>
                <w:lang w:eastAsia="en-US"/>
              </w:rPr>
              <w:t>$REDACTED</w:t>
            </w:r>
          </w:p>
        </w:tc>
      </w:tr>
      <w:tr w:rsidR="008F3032" w:rsidRPr="008F3032" w14:paraId="5C6147A5" w14:textId="77777777" w:rsidTr="00511ED5">
        <w:trPr>
          <w:trHeight w:val="20"/>
        </w:trPr>
        <w:tc>
          <w:tcPr>
            <w:tcW w:w="1706" w:type="pct"/>
            <w:hideMark/>
          </w:tcPr>
          <w:p w14:paraId="24F718BB" w14:textId="77777777" w:rsidR="008F3032" w:rsidRPr="008F3032" w:rsidRDefault="008F3032" w:rsidP="008F3032">
            <w:pPr>
              <w:keepNext/>
              <w:keepLines/>
              <w:spacing w:after="40"/>
              <w:rPr>
                <w:rFonts w:ascii="Arial Narrow" w:hAnsi="Arial Narrow" w:cs="Tahoma"/>
                <w:sz w:val="20"/>
              </w:rPr>
            </w:pPr>
            <w:r w:rsidRPr="008F3032">
              <w:rPr>
                <w:rFonts w:ascii="Arial Narrow" w:hAnsi="Arial Narrow" w:cs="Tahoma"/>
                <w:sz w:val="20"/>
              </w:rPr>
              <w:t>QALYs</w:t>
            </w:r>
          </w:p>
        </w:tc>
        <w:tc>
          <w:tcPr>
            <w:tcW w:w="1098" w:type="pct"/>
            <w:hideMark/>
          </w:tcPr>
          <w:p w14:paraId="367C7C20" w14:textId="6EC9247D" w:rsidR="008F3032" w:rsidRPr="008F3032" w:rsidRDefault="008F3032" w:rsidP="008F3032">
            <w:pPr>
              <w:keepNext/>
              <w:spacing w:after="40"/>
              <w:rPr>
                <w:rFonts w:ascii="Arial Narrow" w:hAnsi="Arial Narrow" w:cs="Tahoma"/>
                <w:sz w:val="20"/>
                <w:lang w:eastAsia="en-US"/>
              </w:rPr>
            </w:pPr>
            <w:r w:rsidRPr="008F3032">
              <w:rPr>
                <w:rFonts w:ascii="Arial Narrow" w:hAnsi="Arial Narrow" w:cs="Calibri"/>
                <w:b/>
                <w:bCs/>
                <w:color w:val="000000"/>
                <w:sz w:val="20"/>
                <w:lang w:eastAsia="en-US"/>
              </w:rPr>
              <w:t>REDACTED</w:t>
            </w:r>
          </w:p>
        </w:tc>
        <w:tc>
          <w:tcPr>
            <w:tcW w:w="1098" w:type="pct"/>
            <w:hideMark/>
          </w:tcPr>
          <w:p w14:paraId="60B2A852" w14:textId="02369410" w:rsidR="008F3032" w:rsidRPr="008F3032" w:rsidRDefault="008F3032" w:rsidP="008F3032">
            <w:pPr>
              <w:keepNext/>
              <w:spacing w:after="40"/>
              <w:rPr>
                <w:rFonts w:ascii="Arial Narrow" w:hAnsi="Arial Narrow" w:cs="Tahoma"/>
                <w:sz w:val="20"/>
                <w:lang w:eastAsia="en-US"/>
              </w:rPr>
            </w:pPr>
            <w:r w:rsidRPr="008F3032">
              <w:rPr>
                <w:rFonts w:ascii="Arial Narrow" w:hAnsi="Arial Narrow" w:cs="Calibri"/>
                <w:b/>
                <w:bCs/>
                <w:color w:val="000000"/>
                <w:sz w:val="20"/>
                <w:lang w:eastAsia="en-US"/>
              </w:rPr>
              <w:t>REDACTED</w:t>
            </w:r>
          </w:p>
        </w:tc>
        <w:tc>
          <w:tcPr>
            <w:tcW w:w="1098" w:type="pct"/>
            <w:hideMark/>
          </w:tcPr>
          <w:p w14:paraId="40F043AE" w14:textId="21AA4E96" w:rsidR="008F3032" w:rsidRPr="008F3032" w:rsidRDefault="008F3032" w:rsidP="008F3032">
            <w:pPr>
              <w:keepNext/>
              <w:spacing w:after="40"/>
              <w:rPr>
                <w:rFonts w:ascii="Arial Narrow" w:hAnsi="Arial Narrow" w:cs="Tahoma"/>
                <w:sz w:val="20"/>
                <w:lang w:eastAsia="en-US"/>
              </w:rPr>
            </w:pPr>
            <w:r w:rsidRPr="008F3032">
              <w:rPr>
                <w:rFonts w:ascii="Arial Narrow" w:hAnsi="Arial Narrow" w:cs="Calibri"/>
                <w:b/>
                <w:bCs/>
                <w:color w:val="000000"/>
                <w:sz w:val="20"/>
                <w:lang w:eastAsia="en-US"/>
              </w:rPr>
              <w:t>REDACTED</w:t>
            </w:r>
          </w:p>
        </w:tc>
      </w:tr>
      <w:tr w:rsidR="00E93186" w:rsidRPr="008F3032" w14:paraId="72640C9F" w14:textId="77777777" w:rsidTr="00511ED5">
        <w:trPr>
          <w:trHeight w:val="20"/>
        </w:trPr>
        <w:tc>
          <w:tcPr>
            <w:tcW w:w="1706" w:type="pct"/>
            <w:hideMark/>
          </w:tcPr>
          <w:p w14:paraId="1B067230" w14:textId="77777777" w:rsidR="00E93186" w:rsidRPr="008F3032" w:rsidRDefault="00E93186" w:rsidP="00E93186">
            <w:pPr>
              <w:keepNext/>
              <w:keepLines/>
              <w:spacing w:after="40"/>
              <w:rPr>
                <w:rFonts w:ascii="Arial Narrow" w:hAnsi="Arial Narrow" w:cs="Tahoma"/>
                <w:sz w:val="20"/>
              </w:rPr>
            </w:pPr>
            <w:r w:rsidRPr="008F3032">
              <w:rPr>
                <w:rFonts w:ascii="Arial Narrow" w:hAnsi="Arial Narrow" w:cs="Tahoma"/>
                <w:sz w:val="20"/>
              </w:rPr>
              <w:t>ICER</w:t>
            </w:r>
          </w:p>
        </w:tc>
        <w:tc>
          <w:tcPr>
            <w:tcW w:w="1098" w:type="pct"/>
            <w:hideMark/>
          </w:tcPr>
          <w:p w14:paraId="61576ED5" w14:textId="77777777" w:rsidR="00E93186" w:rsidRPr="008F3032" w:rsidRDefault="00E93186" w:rsidP="00E93186">
            <w:pPr>
              <w:keepNext/>
              <w:spacing w:after="40"/>
              <w:rPr>
                <w:rFonts w:ascii="Arial Narrow" w:hAnsi="Arial Narrow" w:cs="Tahoma"/>
                <w:sz w:val="20"/>
                <w:lang w:eastAsia="en-US"/>
              </w:rPr>
            </w:pPr>
            <w:r w:rsidRPr="008F3032">
              <w:rPr>
                <w:rFonts w:ascii="Arial Narrow" w:hAnsi="Arial Narrow" w:cs="Calibri"/>
                <w:color w:val="000000"/>
                <w:sz w:val="20"/>
                <w:lang w:eastAsia="en-US"/>
              </w:rPr>
              <w:t> </w:t>
            </w:r>
          </w:p>
        </w:tc>
        <w:tc>
          <w:tcPr>
            <w:tcW w:w="1098" w:type="pct"/>
            <w:hideMark/>
          </w:tcPr>
          <w:p w14:paraId="7243C196" w14:textId="77777777" w:rsidR="00E93186" w:rsidRPr="008F3032" w:rsidRDefault="00E93186" w:rsidP="00E93186">
            <w:pPr>
              <w:keepNext/>
              <w:spacing w:after="40"/>
              <w:rPr>
                <w:rFonts w:ascii="Arial Narrow" w:hAnsi="Arial Narrow" w:cs="Tahoma"/>
                <w:sz w:val="20"/>
                <w:lang w:eastAsia="en-US"/>
              </w:rPr>
            </w:pPr>
            <w:r w:rsidRPr="008F3032">
              <w:rPr>
                <w:rFonts w:ascii="Arial Narrow" w:hAnsi="Arial Narrow" w:cs="Calibri"/>
                <w:color w:val="000000"/>
                <w:sz w:val="20"/>
                <w:lang w:eastAsia="en-US"/>
              </w:rPr>
              <w:t> </w:t>
            </w:r>
          </w:p>
        </w:tc>
        <w:tc>
          <w:tcPr>
            <w:tcW w:w="1098" w:type="pct"/>
            <w:hideMark/>
          </w:tcPr>
          <w:p w14:paraId="2C667A06" w14:textId="0F724AF6" w:rsidR="00E93186" w:rsidRPr="008F3032" w:rsidRDefault="008F3032" w:rsidP="00E93186">
            <w:pPr>
              <w:keepNext/>
              <w:spacing w:after="40"/>
              <w:rPr>
                <w:rFonts w:ascii="Arial Narrow" w:hAnsi="Arial Narrow" w:cs="Tahoma"/>
                <w:sz w:val="20"/>
                <w:lang w:eastAsia="en-US"/>
              </w:rPr>
            </w:pPr>
            <w:r w:rsidRPr="008F3032">
              <w:rPr>
                <w:rFonts w:ascii="Arial Narrow" w:hAnsi="Arial Narrow" w:cs="Calibri"/>
                <w:b/>
                <w:bCs/>
                <w:color w:val="000000"/>
                <w:sz w:val="20"/>
                <w:lang w:eastAsia="en-US"/>
              </w:rPr>
              <w:t>$REDACTED</w:t>
            </w:r>
          </w:p>
        </w:tc>
      </w:tr>
    </w:tbl>
    <w:p w14:paraId="034524CE" w14:textId="77777777" w:rsidR="00E93186" w:rsidRPr="004610C3" w:rsidRDefault="00E93186" w:rsidP="00E93186">
      <w:pPr>
        <w:widowControl w:val="0"/>
        <w:spacing w:after="120"/>
        <w:contextualSpacing/>
        <w:jc w:val="both"/>
        <w:rPr>
          <w:rFonts w:ascii="Arial Narrow" w:hAnsi="Arial Narrow" w:cs="Arial"/>
          <w:snapToGrid w:val="0"/>
          <w:sz w:val="18"/>
          <w:lang w:eastAsia="en-US"/>
        </w:rPr>
      </w:pPr>
      <w:r w:rsidRPr="008F3032">
        <w:rPr>
          <w:rFonts w:ascii="Arial Narrow" w:hAnsi="Arial Narrow" w:cs="Arial"/>
          <w:snapToGrid w:val="0"/>
          <w:sz w:val="18"/>
          <w:lang w:eastAsia="en-US"/>
        </w:rPr>
        <w:t>Source: Table 10, pXXV of the commentary</w:t>
      </w:r>
    </w:p>
    <w:p w14:paraId="3C25BCDE" w14:textId="64878198" w:rsidR="00D347F8" w:rsidRDefault="00E93186" w:rsidP="00E93186">
      <w:pPr>
        <w:widowControl w:val="0"/>
        <w:spacing w:after="120"/>
        <w:contextualSpacing/>
        <w:jc w:val="both"/>
        <w:rPr>
          <w:rFonts w:ascii="Arial Narrow" w:hAnsi="Arial Narrow" w:cs="Arial"/>
          <w:snapToGrid w:val="0"/>
          <w:sz w:val="18"/>
          <w:lang w:eastAsia="en-US"/>
        </w:rPr>
      </w:pPr>
      <w:r>
        <w:rPr>
          <w:rFonts w:ascii="Arial Narrow" w:hAnsi="Arial Narrow" w:cs="Arial"/>
          <w:snapToGrid w:val="0"/>
          <w:sz w:val="18"/>
          <w:lang w:eastAsia="en-US"/>
        </w:rPr>
        <w:t xml:space="preserve">Abbreviations: </w:t>
      </w:r>
      <w:r w:rsidRPr="004610C3">
        <w:rPr>
          <w:rFonts w:ascii="Arial Narrow" w:hAnsi="Arial Narrow" w:cs="Arial"/>
          <w:snapToGrid w:val="0"/>
          <w:sz w:val="18"/>
          <w:lang w:eastAsia="en-US"/>
        </w:rPr>
        <w:t>LAAC</w:t>
      </w:r>
      <w:r>
        <w:rPr>
          <w:rFonts w:ascii="Arial Narrow" w:hAnsi="Arial Narrow" w:cs="Arial"/>
          <w:snapToGrid w:val="0"/>
          <w:sz w:val="18"/>
          <w:lang w:eastAsia="en-US"/>
        </w:rPr>
        <w:t xml:space="preserve"> = l</w:t>
      </w:r>
      <w:r w:rsidRPr="004610C3">
        <w:rPr>
          <w:rFonts w:ascii="Arial Narrow" w:hAnsi="Arial Narrow" w:cs="Arial"/>
          <w:snapToGrid w:val="0"/>
          <w:sz w:val="18"/>
          <w:lang w:eastAsia="en-US"/>
        </w:rPr>
        <w:t>eft atrial appendage closure; QALYs</w:t>
      </w:r>
      <w:r>
        <w:rPr>
          <w:rFonts w:ascii="Arial Narrow" w:hAnsi="Arial Narrow" w:cs="Arial"/>
          <w:snapToGrid w:val="0"/>
          <w:sz w:val="18"/>
          <w:lang w:eastAsia="en-US"/>
        </w:rPr>
        <w:t xml:space="preserve"> =</w:t>
      </w:r>
      <w:r w:rsidRPr="004610C3">
        <w:rPr>
          <w:rFonts w:ascii="Arial Narrow" w:hAnsi="Arial Narrow" w:cs="Arial"/>
          <w:snapToGrid w:val="0"/>
          <w:sz w:val="18"/>
          <w:lang w:eastAsia="en-US"/>
        </w:rPr>
        <w:t xml:space="preserve"> </w:t>
      </w:r>
      <w:r>
        <w:rPr>
          <w:rFonts w:ascii="Arial Narrow" w:hAnsi="Arial Narrow" w:cs="Arial"/>
          <w:snapToGrid w:val="0"/>
          <w:sz w:val="18"/>
          <w:lang w:eastAsia="en-US"/>
        </w:rPr>
        <w:t>q</w:t>
      </w:r>
      <w:r w:rsidRPr="004610C3">
        <w:rPr>
          <w:rFonts w:ascii="Arial Narrow" w:hAnsi="Arial Narrow" w:cs="Arial"/>
          <w:snapToGrid w:val="0"/>
          <w:sz w:val="18"/>
          <w:lang w:eastAsia="en-US"/>
        </w:rPr>
        <w:t>ua</w:t>
      </w:r>
      <w:r>
        <w:rPr>
          <w:rFonts w:ascii="Arial Narrow" w:hAnsi="Arial Narrow" w:cs="Arial"/>
          <w:snapToGrid w:val="0"/>
          <w:sz w:val="18"/>
          <w:lang w:eastAsia="en-US"/>
        </w:rPr>
        <w:t>lity adjusted life years; ICER =</w:t>
      </w:r>
      <w:r w:rsidRPr="004610C3">
        <w:rPr>
          <w:rFonts w:ascii="Arial Narrow" w:hAnsi="Arial Narrow" w:cs="Arial"/>
          <w:snapToGrid w:val="0"/>
          <w:sz w:val="18"/>
          <w:lang w:eastAsia="en-US"/>
        </w:rPr>
        <w:t xml:space="preserve"> </w:t>
      </w:r>
      <w:r>
        <w:rPr>
          <w:rFonts w:ascii="Arial Narrow" w:hAnsi="Arial Narrow" w:cs="Arial"/>
          <w:snapToGrid w:val="0"/>
          <w:sz w:val="18"/>
          <w:lang w:eastAsia="en-US"/>
        </w:rPr>
        <w:t>i</w:t>
      </w:r>
      <w:r w:rsidRPr="004610C3">
        <w:rPr>
          <w:rFonts w:ascii="Arial Narrow" w:hAnsi="Arial Narrow" w:cs="Arial"/>
          <w:snapToGrid w:val="0"/>
          <w:sz w:val="18"/>
          <w:lang w:eastAsia="en-US"/>
        </w:rPr>
        <w:t>ncremental cost effectiveness ratio</w:t>
      </w:r>
    </w:p>
    <w:p w14:paraId="2DB57050" w14:textId="552D3068" w:rsidR="00D347F8" w:rsidRDefault="00D347F8" w:rsidP="00D03146">
      <w:pPr>
        <w:spacing w:before="240" w:after="240"/>
        <w:rPr>
          <w:color w:val="000000"/>
        </w:rPr>
      </w:pPr>
      <w:r>
        <w:rPr>
          <w:snapToGrid w:val="0"/>
          <w:lang w:eastAsia="en-US"/>
        </w:rPr>
        <w:t xml:space="preserve">The pre-MSAC response stated that </w:t>
      </w:r>
      <w:r w:rsidRPr="00D347F8">
        <w:rPr>
          <w:snapToGrid w:val="0"/>
          <w:lang w:eastAsia="en-US"/>
        </w:rPr>
        <w:t>economic model applied a 2.23% risk of procedural bleeding for all patients implanted with an LAAC device. After this initial procedural risk, patients in both arms of the model are exposed to a continued risk of bleeding (LAAC at a placebo rate of 3.93% per annum and NOAC at a higher rate of 7.42% base</w:t>
      </w:r>
      <w:r>
        <w:rPr>
          <w:snapToGrid w:val="0"/>
          <w:lang w:eastAsia="en-US"/>
        </w:rPr>
        <w:t>d on the hazard ration of 0.53)</w:t>
      </w:r>
      <w:r w:rsidRPr="00D347F8">
        <w:rPr>
          <w:snapToGrid w:val="0"/>
          <w:lang w:eastAsia="en-US"/>
        </w:rPr>
        <w:t xml:space="preserve">. </w:t>
      </w:r>
      <w:r>
        <w:rPr>
          <w:snapToGrid w:val="0"/>
          <w:lang w:eastAsia="en-US"/>
        </w:rPr>
        <w:t xml:space="preserve">The pre-MSAC response also presented a revised economic </w:t>
      </w:r>
      <w:r w:rsidR="00AB1909">
        <w:rPr>
          <w:snapToGrid w:val="0"/>
          <w:lang w:eastAsia="en-US"/>
        </w:rPr>
        <w:t>analysis</w:t>
      </w:r>
      <w:r>
        <w:rPr>
          <w:snapToGrid w:val="0"/>
          <w:lang w:eastAsia="en-US"/>
        </w:rPr>
        <w:t xml:space="preserve"> in which the</w:t>
      </w:r>
      <w:r w:rsidRPr="00CA3B53">
        <w:rPr>
          <w:color w:val="000000"/>
        </w:rPr>
        <w:t xml:space="preserve"> base case</w:t>
      </w:r>
      <w:r>
        <w:rPr>
          <w:color w:val="000000"/>
        </w:rPr>
        <w:t xml:space="preserve"> was revised using utility values </w:t>
      </w:r>
      <w:r w:rsidRPr="00CA3B53">
        <w:rPr>
          <w:color w:val="000000"/>
        </w:rPr>
        <w:t>weighted to the Australian population as requested by ESC</w:t>
      </w:r>
      <w:r>
        <w:rPr>
          <w:color w:val="000000"/>
        </w:rPr>
        <w:t xml:space="preserve"> (</w:t>
      </w:r>
      <w:r w:rsidR="008275A0">
        <w:rPr>
          <w:color w:val="000000"/>
        </w:rPr>
        <w:fldChar w:fldCharType="begin"/>
      </w:r>
      <w:r w:rsidR="008275A0">
        <w:rPr>
          <w:color w:val="000000"/>
        </w:rPr>
        <w:instrText xml:space="preserve"> REF _Ref58839428 \h </w:instrText>
      </w:r>
      <w:r w:rsidR="008275A0">
        <w:rPr>
          <w:color w:val="000000"/>
        </w:rPr>
      </w:r>
      <w:r w:rsidR="008275A0">
        <w:rPr>
          <w:color w:val="000000"/>
        </w:rPr>
        <w:fldChar w:fldCharType="end"/>
      </w:r>
      <w:r w:rsidR="008275A0">
        <w:rPr>
          <w:color w:val="000000"/>
        </w:rPr>
        <w:fldChar w:fldCharType="begin"/>
      </w:r>
      <w:r w:rsidR="008275A0">
        <w:rPr>
          <w:color w:val="000000"/>
        </w:rPr>
        <w:instrText xml:space="preserve"> REF _Ref66968838 \h </w:instrText>
      </w:r>
      <w:r w:rsidR="008275A0">
        <w:rPr>
          <w:color w:val="000000"/>
        </w:rPr>
      </w:r>
      <w:r w:rsidR="008275A0">
        <w:rPr>
          <w:color w:val="000000"/>
        </w:rPr>
        <w:fldChar w:fldCharType="separate"/>
      </w:r>
      <w:r w:rsidR="008275A0">
        <w:t xml:space="preserve">Table </w:t>
      </w:r>
      <w:r w:rsidR="008275A0">
        <w:rPr>
          <w:noProof/>
        </w:rPr>
        <w:t>14</w:t>
      </w:r>
      <w:r w:rsidR="008275A0">
        <w:rPr>
          <w:color w:val="000000"/>
        </w:rPr>
        <w:fldChar w:fldCharType="end"/>
      </w:r>
      <w:r>
        <w:rPr>
          <w:color w:val="000000"/>
        </w:rPr>
        <w:t>), along with additional sensitivity analyses</w:t>
      </w:r>
      <w:r w:rsidRPr="00CA3B53">
        <w:rPr>
          <w:color w:val="000000"/>
        </w:rPr>
        <w:t xml:space="preserve"> </w:t>
      </w:r>
      <w:r>
        <w:rPr>
          <w:color w:val="000000"/>
        </w:rPr>
        <w:t>testing the assumed rates of bleeding and stroke along with a range of utility values (</w:t>
      </w:r>
      <w:r w:rsidR="008275A0">
        <w:rPr>
          <w:color w:val="000000"/>
        </w:rPr>
        <w:fldChar w:fldCharType="begin"/>
      </w:r>
      <w:r w:rsidR="008275A0">
        <w:rPr>
          <w:color w:val="000000"/>
        </w:rPr>
        <w:instrText xml:space="preserve"> REF _Ref66968851 \h </w:instrText>
      </w:r>
      <w:r w:rsidR="008275A0">
        <w:rPr>
          <w:color w:val="000000"/>
        </w:rPr>
      </w:r>
      <w:r w:rsidR="008275A0">
        <w:rPr>
          <w:color w:val="000000"/>
        </w:rPr>
        <w:fldChar w:fldCharType="separate"/>
      </w:r>
      <w:r w:rsidR="008275A0">
        <w:t xml:space="preserve">Table </w:t>
      </w:r>
      <w:r w:rsidR="008275A0">
        <w:rPr>
          <w:noProof/>
        </w:rPr>
        <w:t>15</w:t>
      </w:r>
      <w:r w:rsidR="008275A0">
        <w:rPr>
          <w:color w:val="000000"/>
        </w:rPr>
        <w:fldChar w:fldCharType="end"/>
      </w:r>
      <w:r>
        <w:rPr>
          <w:color w:val="000000"/>
        </w:rPr>
        <w:t xml:space="preserve">). </w:t>
      </w:r>
    </w:p>
    <w:p w14:paraId="0259B0B6" w14:textId="24E52BC5" w:rsidR="00D347F8" w:rsidRDefault="00D347F8" w:rsidP="00D347F8">
      <w:pPr>
        <w:pStyle w:val="Caption"/>
      </w:pPr>
      <w:bookmarkStart w:id="29" w:name="_Ref66968838"/>
      <w:r>
        <w:t xml:space="preserve">Table </w:t>
      </w:r>
      <w:r w:rsidR="00FE1F6B">
        <w:fldChar w:fldCharType="begin"/>
      </w:r>
      <w:r w:rsidR="00FE1F6B">
        <w:instrText xml:space="preserve"> SEQ Table \* ARABIC </w:instrText>
      </w:r>
      <w:r w:rsidR="00FE1F6B">
        <w:fldChar w:fldCharType="separate"/>
      </w:r>
      <w:r>
        <w:rPr>
          <w:noProof/>
        </w:rPr>
        <w:t>14</w:t>
      </w:r>
      <w:r w:rsidR="00FE1F6B">
        <w:rPr>
          <w:noProof/>
        </w:rPr>
        <w:fldChar w:fldCharType="end"/>
      </w:r>
      <w:bookmarkEnd w:id="29"/>
      <w:r>
        <w:tab/>
        <w:t>Revised pre-MSAC base case for the economic evaluation</w:t>
      </w:r>
    </w:p>
    <w:tbl>
      <w:tblPr>
        <w:tblStyle w:val="OPTUMTableNormal"/>
        <w:tblW w:w="9498" w:type="dxa"/>
        <w:tblLayout w:type="fixed"/>
        <w:tblLook w:val="01E0" w:firstRow="1" w:lastRow="1" w:firstColumn="1" w:lastColumn="1" w:noHBand="0" w:noVBand="0"/>
        <w:tblDescription w:val="Revised pre-MSAC base case for the economic evaluation"/>
      </w:tblPr>
      <w:tblGrid>
        <w:gridCol w:w="7933"/>
        <w:gridCol w:w="1565"/>
      </w:tblGrid>
      <w:tr w:rsidR="00D347F8" w:rsidRPr="00CC4E27" w14:paraId="10FF0EB1" w14:textId="77777777" w:rsidTr="00EE5C48">
        <w:trPr>
          <w:cnfStyle w:val="100000000000" w:firstRow="1" w:lastRow="0" w:firstColumn="0" w:lastColumn="0" w:oddVBand="0" w:evenVBand="0" w:oddHBand="0" w:evenHBand="0" w:firstRowFirstColumn="0" w:firstRowLastColumn="0" w:lastRowFirstColumn="0" w:lastRowLastColumn="0"/>
          <w:trHeight w:val="213"/>
          <w:tblHeader/>
        </w:trPr>
        <w:tc>
          <w:tcPr>
            <w:tcW w:w="7933" w:type="dxa"/>
          </w:tcPr>
          <w:p w14:paraId="45DCEAA4" w14:textId="77777777" w:rsidR="00D347F8" w:rsidRPr="00CC4E27" w:rsidRDefault="00D347F8" w:rsidP="00D347F8">
            <w:pPr>
              <w:widowControl w:val="0"/>
              <w:autoSpaceDE w:val="0"/>
              <w:autoSpaceDN w:val="0"/>
              <w:spacing w:before="36"/>
              <w:ind w:left="136"/>
              <w:contextualSpacing/>
              <w:rPr>
                <w:rFonts w:ascii="Arial Narrow" w:eastAsia="Arial Narrow" w:hAnsi="Arial Narrow" w:cs="Arial Narrow"/>
                <w:b/>
                <w:iCs/>
                <w:sz w:val="18"/>
                <w:szCs w:val="18"/>
                <w:lang w:val="en-US"/>
              </w:rPr>
            </w:pPr>
            <w:r w:rsidRPr="00CC4E27">
              <w:rPr>
                <w:rFonts w:ascii="Arial Narrow" w:eastAsia="Arial Narrow" w:hAnsi="Arial Narrow" w:cs="Arial Narrow"/>
                <w:b/>
                <w:iCs/>
                <w:sz w:val="18"/>
                <w:szCs w:val="18"/>
                <w:lang w:val="en-US"/>
              </w:rPr>
              <w:t>Model Inputs</w:t>
            </w:r>
          </w:p>
        </w:tc>
        <w:tc>
          <w:tcPr>
            <w:tcW w:w="1565" w:type="dxa"/>
          </w:tcPr>
          <w:p w14:paraId="47227C15" w14:textId="77777777" w:rsidR="00D347F8" w:rsidRPr="00CC4E27" w:rsidRDefault="00D347F8" w:rsidP="00D347F8">
            <w:pPr>
              <w:widowControl w:val="0"/>
              <w:autoSpaceDE w:val="0"/>
              <w:autoSpaceDN w:val="0"/>
              <w:spacing w:before="36"/>
              <w:ind w:left="136"/>
              <w:contextualSpacing/>
              <w:rPr>
                <w:rFonts w:ascii="Arial Narrow" w:eastAsia="Arial Narrow" w:hAnsi="Arial Narrow" w:cs="Arial Narrow"/>
                <w:b/>
                <w:iCs/>
                <w:sz w:val="18"/>
                <w:szCs w:val="18"/>
                <w:lang w:val="en-US"/>
              </w:rPr>
            </w:pPr>
            <w:r>
              <w:rPr>
                <w:rFonts w:ascii="Arial Narrow" w:eastAsia="Arial Narrow" w:hAnsi="Arial Narrow" w:cs="Arial Narrow"/>
                <w:b/>
                <w:iCs/>
                <w:sz w:val="18"/>
                <w:szCs w:val="18"/>
                <w:lang w:val="en-US"/>
              </w:rPr>
              <w:t>ICER</w:t>
            </w:r>
          </w:p>
        </w:tc>
      </w:tr>
      <w:tr w:rsidR="008F3032" w:rsidRPr="00CC4E27" w14:paraId="0DD7ADAB" w14:textId="77777777" w:rsidTr="00EE5C48">
        <w:trPr>
          <w:trHeight w:val="213"/>
        </w:trPr>
        <w:tc>
          <w:tcPr>
            <w:tcW w:w="7933" w:type="dxa"/>
          </w:tcPr>
          <w:p w14:paraId="23E366B5" w14:textId="77777777" w:rsidR="008F3032" w:rsidRPr="00CC4E27" w:rsidRDefault="008F3032" w:rsidP="008F3032">
            <w:pPr>
              <w:widowControl w:val="0"/>
              <w:autoSpaceDE w:val="0"/>
              <w:autoSpaceDN w:val="0"/>
              <w:spacing w:before="120" w:after="120"/>
              <w:ind w:left="136"/>
              <w:rPr>
                <w:rFonts w:ascii="Arial Narrow" w:eastAsia="Arial Narrow" w:hAnsi="Arial Narrow" w:cs="Arial Narrow"/>
                <w:bCs/>
                <w:i/>
                <w:sz w:val="18"/>
                <w:szCs w:val="18"/>
                <w:lang w:val="en-US"/>
              </w:rPr>
            </w:pPr>
            <w:r w:rsidRPr="00560502">
              <w:rPr>
                <w:rFonts w:ascii="Arial Narrow" w:eastAsia="Arial Narrow" w:hAnsi="Arial Narrow" w:cs="Arial Narrow"/>
                <w:b/>
                <w:i/>
                <w:sz w:val="18"/>
                <w:szCs w:val="18"/>
                <w:u w:val="single"/>
                <w:lang w:val="en-US"/>
              </w:rPr>
              <w:t>ADAR Base Case</w:t>
            </w:r>
            <w:r w:rsidRPr="00CC4E27">
              <w:rPr>
                <w:rFonts w:ascii="Arial Narrow" w:eastAsia="Arial Narrow" w:hAnsi="Arial Narrow" w:cs="Arial Narrow"/>
                <w:bCs/>
                <w:i/>
                <w:sz w:val="18"/>
                <w:szCs w:val="18"/>
                <w:lang w:val="en-US"/>
              </w:rPr>
              <w:t xml:space="preserve"> (Total cost of LAAC: $21,900.45; Health state utility values: No stroke=0.998, Non-disabling stroke=0.75, Disabling stroke=0.39; Rates of disabling stroke in NOAC/LAAC arm: 23/75)</w:t>
            </w:r>
          </w:p>
        </w:tc>
        <w:tc>
          <w:tcPr>
            <w:tcW w:w="1565" w:type="dxa"/>
          </w:tcPr>
          <w:p w14:paraId="65E7EF64" w14:textId="7C75D45B" w:rsidR="008F3032" w:rsidRPr="0082105F" w:rsidRDefault="008F3032" w:rsidP="008F3032">
            <w:pPr>
              <w:widowControl w:val="0"/>
              <w:autoSpaceDE w:val="0"/>
              <w:autoSpaceDN w:val="0"/>
              <w:spacing w:before="120" w:after="120"/>
              <w:ind w:left="136"/>
              <w:rPr>
                <w:rFonts w:ascii="Arial Narrow" w:eastAsia="Arial Narrow" w:hAnsi="Arial Narrow" w:cs="Arial Narrow"/>
                <w:bCs/>
                <w:i/>
                <w:sz w:val="18"/>
                <w:szCs w:val="18"/>
                <w:highlight w:val="yellow"/>
                <w:lang w:val="en-US"/>
              </w:rPr>
            </w:pPr>
            <w:r w:rsidRPr="00E361E3">
              <w:rPr>
                <w:rFonts w:ascii="Arial Narrow" w:hAnsi="Arial Narrow" w:cs="Calibri"/>
                <w:b/>
                <w:bCs/>
                <w:color w:val="000000"/>
                <w:sz w:val="20"/>
                <w:lang w:eastAsia="en-US"/>
              </w:rPr>
              <w:t>$REDACTED</w:t>
            </w:r>
          </w:p>
        </w:tc>
      </w:tr>
      <w:tr w:rsidR="008F3032" w:rsidRPr="00CC4E27" w14:paraId="4FE0ED9B" w14:textId="77777777" w:rsidTr="00EE5C48">
        <w:trPr>
          <w:trHeight w:val="213"/>
        </w:trPr>
        <w:tc>
          <w:tcPr>
            <w:tcW w:w="7933" w:type="dxa"/>
          </w:tcPr>
          <w:p w14:paraId="262E2089" w14:textId="77777777" w:rsidR="008F3032" w:rsidRPr="00CC4E27" w:rsidRDefault="008F3032" w:rsidP="008F3032">
            <w:pPr>
              <w:widowControl w:val="0"/>
              <w:autoSpaceDE w:val="0"/>
              <w:autoSpaceDN w:val="0"/>
              <w:spacing w:before="120" w:after="120"/>
              <w:ind w:left="136"/>
              <w:rPr>
                <w:rFonts w:ascii="Arial Narrow" w:eastAsia="Arial Narrow" w:hAnsi="Arial Narrow" w:cs="Arial Narrow"/>
                <w:iCs/>
                <w:sz w:val="18"/>
                <w:szCs w:val="18"/>
                <w:lang w:val="en-US"/>
              </w:rPr>
            </w:pPr>
            <w:r w:rsidRPr="00560502">
              <w:rPr>
                <w:rFonts w:ascii="Arial Narrow" w:eastAsia="Arial Narrow" w:hAnsi="Arial Narrow" w:cs="Arial Narrow"/>
                <w:b/>
                <w:bCs/>
                <w:iCs/>
                <w:sz w:val="18"/>
                <w:szCs w:val="18"/>
                <w:u w:val="single"/>
                <w:lang w:val="en-US"/>
              </w:rPr>
              <w:t>Pre-ESC response’s Revised Base Case</w:t>
            </w:r>
            <w:r w:rsidRPr="00560502">
              <w:rPr>
                <w:rFonts w:ascii="Arial Narrow" w:eastAsia="Arial Narrow" w:hAnsi="Arial Narrow" w:cs="Arial Narrow"/>
                <w:iCs/>
                <w:sz w:val="18"/>
                <w:szCs w:val="18"/>
                <w:lang w:val="en-US"/>
              </w:rPr>
              <w:t xml:space="preserve"> (Total cost of LAAC: $23,171; Health state utility values: No stroke=0.998, Non-disabling stroke=0.75, Disabling stroke=0.39; Rates of disabling stroke in NOAC/LAAC arm: 0.23)</w:t>
            </w:r>
          </w:p>
        </w:tc>
        <w:tc>
          <w:tcPr>
            <w:tcW w:w="1565" w:type="dxa"/>
          </w:tcPr>
          <w:p w14:paraId="52A2F013" w14:textId="49C9C96A" w:rsidR="008F3032" w:rsidRPr="0082105F" w:rsidRDefault="008F3032" w:rsidP="008F3032">
            <w:pPr>
              <w:widowControl w:val="0"/>
              <w:autoSpaceDE w:val="0"/>
              <w:autoSpaceDN w:val="0"/>
              <w:spacing w:before="120" w:after="120"/>
              <w:ind w:left="136"/>
              <w:rPr>
                <w:rFonts w:ascii="Arial Narrow" w:eastAsia="Arial Narrow" w:hAnsi="Arial Narrow" w:cs="Arial Narrow"/>
                <w:iCs/>
                <w:sz w:val="18"/>
                <w:szCs w:val="18"/>
                <w:highlight w:val="yellow"/>
                <w:lang w:val="en-US"/>
              </w:rPr>
            </w:pPr>
            <w:r w:rsidRPr="00E361E3">
              <w:rPr>
                <w:rFonts w:ascii="Arial Narrow" w:hAnsi="Arial Narrow" w:cs="Calibri"/>
                <w:b/>
                <w:bCs/>
                <w:color w:val="000000"/>
                <w:sz w:val="20"/>
                <w:lang w:eastAsia="en-US"/>
              </w:rPr>
              <w:t>$REDACTED</w:t>
            </w:r>
          </w:p>
        </w:tc>
      </w:tr>
      <w:tr w:rsidR="008F3032" w:rsidRPr="00CC4E27" w14:paraId="3F8986B7" w14:textId="77777777" w:rsidTr="00EE5C48">
        <w:trPr>
          <w:trHeight w:val="213"/>
        </w:trPr>
        <w:tc>
          <w:tcPr>
            <w:tcW w:w="7933" w:type="dxa"/>
          </w:tcPr>
          <w:p w14:paraId="030831F2" w14:textId="77777777" w:rsidR="008F3032" w:rsidRPr="00560502" w:rsidRDefault="008F3032" w:rsidP="008F3032">
            <w:pPr>
              <w:widowControl w:val="0"/>
              <w:autoSpaceDE w:val="0"/>
              <w:autoSpaceDN w:val="0"/>
              <w:spacing w:before="120" w:after="120"/>
              <w:ind w:left="136"/>
              <w:rPr>
                <w:rFonts w:ascii="Arial Narrow" w:eastAsia="Arial Narrow" w:hAnsi="Arial Narrow" w:cs="Arial Narrow"/>
                <w:b/>
                <w:bCs/>
                <w:iCs/>
                <w:sz w:val="18"/>
                <w:szCs w:val="18"/>
                <w:u w:val="single"/>
                <w:lang w:val="en-US"/>
              </w:rPr>
            </w:pPr>
            <w:r w:rsidRPr="00560502">
              <w:rPr>
                <w:rFonts w:ascii="Arial Narrow" w:eastAsia="Arial Narrow" w:hAnsi="Arial Narrow" w:cs="Arial Narrow"/>
                <w:b/>
                <w:i/>
                <w:sz w:val="18"/>
                <w:szCs w:val="18"/>
                <w:u w:val="single"/>
                <w:lang w:val="en-US"/>
              </w:rPr>
              <w:t>Pre-MSAC response’s Revised Base Case</w:t>
            </w:r>
            <w:r w:rsidRPr="00560502">
              <w:rPr>
                <w:rFonts w:ascii="Arial Narrow" w:eastAsia="Arial Narrow" w:hAnsi="Arial Narrow" w:cs="Arial Narrow"/>
                <w:bCs/>
                <w:i/>
                <w:sz w:val="18"/>
                <w:szCs w:val="18"/>
                <w:lang w:val="en-US"/>
              </w:rPr>
              <w:t xml:space="preserve"> (Total cost of LAAC: $23,171; Health state utility values: No stroke = 0.86826; Non-disabling stroke= 0.6525; Disabling stroke= 0.3393; Rates of disabling stroke in NOAC/LAAC arm: 0.23</w:t>
            </w:r>
            <w:r>
              <w:rPr>
                <w:rFonts w:ascii="Arial Narrow" w:eastAsia="Arial Narrow" w:hAnsi="Arial Narrow" w:cs="Arial Narrow"/>
                <w:bCs/>
                <w:i/>
                <w:sz w:val="18"/>
                <w:szCs w:val="18"/>
                <w:lang w:val="en-US"/>
              </w:rPr>
              <w:t>)</w:t>
            </w:r>
          </w:p>
        </w:tc>
        <w:tc>
          <w:tcPr>
            <w:tcW w:w="1565" w:type="dxa"/>
          </w:tcPr>
          <w:p w14:paraId="6C70D433" w14:textId="18DE9E27" w:rsidR="008F3032" w:rsidRPr="0082105F" w:rsidRDefault="008F3032" w:rsidP="008F3032">
            <w:pPr>
              <w:widowControl w:val="0"/>
              <w:autoSpaceDE w:val="0"/>
              <w:autoSpaceDN w:val="0"/>
              <w:spacing w:before="120" w:after="120"/>
              <w:ind w:left="136"/>
              <w:rPr>
                <w:rFonts w:ascii="Arial Narrow" w:eastAsia="Arial Narrow" w:hAnsi="Arial Narrow" w:cs="Arial Narrow"/>
                <w:iCs/>
                <w:sz w:val="18"/>
                <w:szCs w:val="18"/>
                <w:highlight w:val="yellow"/>
                <w:lang w:val="en-US"/>
              </w:rPr>
            </w:pPr>
            <w:r w:rsidRPr="00E361E3">
              <w:rPr>
                <w:rFonts w:ascii="Arial Narrow" w:hAnsi="Arial Narrow" w:cs="Calibri"/>
                <w:b/>
                <w:bCs/>
                <w:color w:val="000000"/>
                <w:sz w:val="20"/>
                <w:lang w:eastAsia="en-US"/>
              </w:rPr>
              <w:t>$REDACTED</w:t>
            </w:r>
          </w:p>
        </w:tc>
      </w:tr>
    </w:tbl>
    <w:p w14:paraId="45491837" w14:textId="36B43932" w:rsidR="00D03146" w:rsidRPr="00D03146" w:rsidRDefault="008275A0" w:rsidP="00D03146">
      <w:pPr>
        <w:pStyle w:val="Tablenotes"/>
      </w:pPr>
      <w:r>
        <w:t>Source: Table 1, p6 of the pre-MSAC response</w:t>
      </w:r>
      <w:bookmarkStart w:id="30" w:name="_Ref66968851"/>
      <w:r w:rsidR="00D03146">
        <w:br w:type="page"/>
      </w:r>
    </w:p>
    <w:p w14:paraId="6EA7F783" w14:textId="55EECD5C" w:rsidR="008275A0" w:rsidRDefault="008275A0" w:rsidP="008275A0">
      <w:pPr>
        <w:pStyle w:val="Caption"/>
      </w:pPr>
      <w:r>
        <w:lastRenderedPageBreak/>
        <w:t xml:space="preserve">Table </w:t>
      </w:r>
      <w:r w:rsidR="00FE1F6B">
        <w:fldChar w:fldCharType="begin"/>
      </w:r>
      <w:r w:rsidR="00FE1F6B">
        <w:instrText xml:space="preserve"> SEQ Table \* ARABIC </w:instrText>
      </w:r>
      <w:r w:rsidR="00FE1F6B">
        <w:fldChar w:fldCharType="separate"/>
      </w:r>
      <w:r>
        <w:rPr>
          <w:noProof/>
        </w:rPr>
        <w:t>15</w:t>
      </w:r>
      <w:r w:rsidR="00FE1F6B">
        <w:rPr>
          <w:noProof/>
        </w:rPr>
        <w:fldChar w:fldCharType="end"/>
      </w:r>
      <w:bookmarkEnd w:id="30"/>
      <w:r>
        <w:tab/>
        <w:t>Pre-MSAC revised base case - sensitivity analyses requested by ESC</w:t>
      </w:r>
    </w:p>
    <w:tbl>
      <w:tblPr>
        <w:tblW w:w="9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461"/>
        <w:gridCol w:w="1838"/>
      </w:tblGrid>
      <w:tr w:rsidR="008275A0" w:rsidRPr="00CC4E27" w14:paraId="74500D9A" w14:textId="77777777" w:rsidTr="008275A0">
        <w:trPr>
          <w:trHeight w:val="202"/>
          <w:tblHeader/>
        </w:trPr>
        <w:tc>
          <w:tcPr>
            <w:tcW w:w="3121" w:type="dxa"/>
            <w:tcBorders>
              <w:bottom w:val="single" w:sz="4" w:space="0" w:color="auto"/>
            </w:tcBorders>
            <w:shd w:val="clear" w:color="auto" w:fill="auto"/>
            <w:hideMark/>
          </w:tcPr>
          <w:p w14:paraId="3CCF5CCB" w14:textId="77777777" w:rsidR="008275A0" w:rsidRPr="00CC4E27" w:rsidRDefault="008275A0" w:rsidP="00CC5079">
            <w:pPr>
              <w:pStyle w:val="Tabletext"/>
              <w:contextualSpacing/>
              <w:jc w:val="center"/>
              <w:rPr>
                <w:b/>
                <w:bCs/>
              </w:rPr>
            </w:pPr>
            <w:r w:rsidRPr="00CC4E27">
              <w:rPr>
                <w:b/>
              </w:rPr>
              <w:t>Parameter</w:t>
            </w:r>
            <w:r>
              <w:rPr>
                <w:b/>
              </w:rPr>
              <w:t>/</w:t>
            </w:r>
            <w:r>
              <w:rPr>
                <w:b/>
              </w:rPr>
              <w:br/>
            </w:r>
            <w:r w:rsidRPr="00CC4E27">
              <w:rPr>
                <w:b/>
              </w:rPr>
              <w:t>Base case value</w:t>
            </w:r>
          </w:p>
        </w:tc>
        <w:tc>
          <w:tcPr>
            <w:tcW w:w="4461" w:type="dxa"/>
            <w:tcBorders>
              <w:bottom w:val="single" w:sz="4" w:space="0" w:color="auto"/>
            </w:tcBorders>
            <w:shd w:val="clear" w:color="auto" w:fill="auto"/>
            <w:hideMark/>
          </w:tcPr>
          <w:p w14:paraId="7A27A97D" w14:textId="77777777" w:rsidR="008275A0" w:rsidRPr="00CC4E27" w:rsidRDefault="008275A0" w:rsidP="00CC5079">
            <w:pPr>
              <w:pStyle w:val="Tabletext"/>
              <w:contextualSpacing/>
              <w:jc w:val="center"/>
              <w:rPr>
                <w:b/>
                <w:bCs/>
              </w:rPr>
            </w:pPr>
            <w:r w:rsidRPr="00CC4E27">
              <w:rPr>
                <w:b/>
              </w:rPr>
              <w:t>Sensitivity</w:t>
            </w:r>
          </w:p>
        </w:tc>
        <w:tc>
          <w:tcPr>
            <w:tcW w:w="0" w:type="auto"/>
            <w:shd w:val="clear" w:color="auto" w:fill="auto"/>
            <w:hideMark/>
          </w:tcPr>
          <w:p w14:paraId="5E9E2721" w14:textId="77777777" w:rsidR="008275A0" w:rsidRPr="00CC4E27" w:rsidRDefault="008275A0" w:rsidP="00CC5079">
            <w:pPr>
              <w:pStyle w:val="Tabletext"/>
              <w:contextualSpacing/>
              <w:jc w:val="center"/>
              <w:rPr>
                <w:b/>
                <w:bCs/>
              </w:rPr>
            </w:pPr>
            <w:r w:rsidRPr="00CC4E27">
              <w:rPr>
                <w:b/>
              </w:rPr>
              <w:t>ICER</w:t>
            </w:r>
          </w:p>
        </w:tc>
      </w:tr>
      <w:tr w:rsidR="008275A0" w:rsidRPr="00CC4E27" w14:paraId="21F8B1E2" w14:textId="77777777" w:rsidTr="009C4DE5">
        <w:trPr>
          <w:trHeight w:val="103"/>
        </w:trPr>
        <w:tc>
          <w:tcPr>
            <w:tcW w:w="3121" w:type="dxa"/>
            <w:tcBorders>
              <w:right w:val="nil"/>
            </w:tcBorders>
            <w:shd w:val="clear" w:color="auto" w:fill="auto"/>
            <w:vAlign w:val="center"/>
            <w:hideMark/>
          </w:tcPr>
          <w:p w14:paraId="3E26CD5F" w14:textId="77777777" w:rsidR="008275A0" w:rsidRPr="00CC4E27" w:rsidRDefault="008275A0" w:rsidP="00CC5079">
            <w:pPr>
              <w:pStyle w:val="Tabletext"/>
              <w:contextualSpacing/>
            </w:pPr>
            <w:r w:rsidRPr="00CC4E27">
              <w:t>Base Case</w:t>
            </w:r>
          </w:p>
        </w:tc>
        <w:tc>
          <w:tcPr>
            <w:tcW w:w="4461" w:type="dxa"/>
            <w:tcBorders>
              <w:left w:val="nil"/>
            </w:tcBorders>
            <w:shd w:val="clear" w:color="auto" w:fill="auto"/>
            <w:vAlign w:val="center"/>
            <w:hideMark/>
          </w:tcPr>
          <w:p w14:paraId="71A19C3C" w14:textId="77777777" w:rsidR="008275A0" w:rsidRPr="00CC4E27" w:rsidRDefault="008275A0" w:rsidP="00CC5079">
            <w:pPr>
              <w:pStyle w:val="Tabletext"/>
              <w:contextualSpacing/>
            </w:pPr>
          </w:p>
        </w:tc>
        <w:tc>
          <w:tcPr>
            <w:tcW w:w="0" w:type="auto"/>
            <w:shd w:val="clear" w:color="auto" w:fill="auto"/>
            <w:vAlign w:val="center"/>
            <w:hideMark/>
          </w:tcPr>
          <w:p w14:paraId="5FF3AB1F" w14:textId="76A62515" w:rsidR="008275A0" w:rsidRPr="0082105F" w:rsidRDefault="008F3032" w:rsidP="00CC5079">
            <w:pPr>
              <w:pStyle w:val="Tabletext"/>
              <w:contextualSpacing/>
              <w:jc w:val="center"/>
              <w:rPr>
                <w:highlight w:val="yellow"/>
              </w:rPr>
            </w:pPr>
            <w:r w:rsidRPr="008F3032">
              <w:rPr>
                <w:rFonts w:cs="Calibri"/>
                <w:b/>
                <w:bCs/>
                <w:color w:val="000000"/>
              </w:rPr>
              <w:t>$REDACTED</w:t>
            </w:r>
          </w:p>
        </w:tc>
      </w:tr>
      <w:tr w:rsidR="008275A0" w:rsidRPr="00CC4E27" w14:paraId="3EC5146C" w14:textId="77777777" w:rsidTr="008275A0">
        <w:trPr>
          <w:trHeight w:val="103"/>
        </w:trPr>
        <w:tc>
          <w:tcPr>
            <w:tcW w:w="9420" w:type="dxa"/>
            <w:gridSpan w:val="3"/>
            <w:shd w:val="clear" w:color="auto" w:fill="D9D9D9" w:themeFill="background1" w:themeFillShade="D9"/>
            <w:vAlign w:val="center"/>
          </w:tcPr>
          <w:p w14:paraId="5CCCFAF9" w14:textId="77777777" w:rsidR="008275A0" w:rsidRPr="00CC4E27" w:rsidRDefault="008275A0" w:rsidP="00CC5079">
            <w:pPr>
              <w:pStyle w:val="Tabletext"/>
              <w:contextualSpacing/>
            </w:pPr>
            <w:r w:rsidRPr="00CC4E27">
              <w:t>Relative risk of post-procedural major bleeding LAAC/SOC versus NOACs</w:t>
            </w:r>
          </w:p>
        </w:tc>
      </w:tr>
      <w:tr w:rsidR="008F3032" w:rsidRPr="00CC4E27" w14:paraId="4677C1B6" w14:textId="77777777" w:rsidTr="00AB1909">
        <w:trPr>
          <w:trHeight w:val="245"/>
        </w:trPr>
        <w:tc>
          <w:tcPr>
            <w:tcW w:w="3121" w:type="dxa"/>
            <w:vMerge w:val="restart"/>
            <w:shd w:val="clear" w:color="auto" w:fill="auto"/>
            <w:vAlign w:val="center"/>
            <w:hideMark/>
          </w:tcPr>
          <w:p w14:paraId="29AD57A4" w14:textId="77777777" w:rsidR="008F3032" w:rsidRPr="00CC4E27" w:rsidRDefault="008F3032" w:rsidP="008F3032">
            <w:pPr>
              <w:pStyle w:val="Tabletext"/>
              <w:contextualSpacing/>
            </w:pPr>
            <w:r w:rsidRPr="00CC4E27">
              <w:t>Relative treatment effect LAAC versus NOACs = HR 0.53 (PRAGUE-17- clinically significant bleeding (excluding procedural related bleeding) endpoint)</w:t>
            </w:r>
          </w:p>
        </w:tc>
        <w:tc>
          <w:tcPr>
            <w:tcW w:w="4461" w:type="dxa"/>
            <w:shd w:val="clear" w:color="auto" w:fill="auto"/>
            <w:vAlign w:val="center"/>
            <w:hideMark/>
          </w:tcPr>
          <w:p w14:paraId="7A07F156" w14:textId="77777777" w:rsidR="008F3032" w:rsidRPr="00CC4E27" w:rsidRDefault="008F3032" w:rsidP="008F3032">
            <w:pPr>
              <w:pStyle w:val="Tabletext"/>
              <w:contextualSpacing/>
            </w:pPr>
            <w:r w:rsidRPr="00CC4E27">
              <w:t xml:space="preserve">Lower 95% CI reported in PRAGUE-17: </w:t>
            </w:r>
            <w:r>
              <w:t>R</w:t>
            </w:r>
            <w:r w:rsidRPr="00CC4E27">
              <w:t>R = 0.26</w:t>
            </w:r>
          </w:p>
        </w:tc>
        <w:tc>
          <w:tcPr>
            <w:tcW w:w="0" w:type="auto"/>
            <w:shd w:val="clear" w:color="auto" w:fill="auto"/>
            <w:hideMark/>
          </w:tcPr>
          <w:p w14:paraId="1DC26A61" w14:textId="01A851E5" w:rsidR="008F3032" w:rsidRPr="0082105F" w:rsidRDefault="008F3032" w:rsidP="008F3032">
            <w:pPr>
              <w:pStyle w:val="Tabletext"/>
              <w:contextualSpacing/>
              <w:jc w:val="center"/>
              <w:rPr>
                <w:highlight w:val="yellow"/>
              </w:rPr>
            </w:pPr>
            <w:r w:rsidRPr="00C673A8">
              <w:rPr>
                <w:rFonts w:cs="Calibri"/>
                <w:b/>
                <w:bCs/>
                <w:color w:val="000000"/>
              </w:rPr>
              <w:t>$REDACTED</w:t>
            </w:r>
          </w:p>
        </w:tc>
      </w:tr>
      <w:tr w:rsidR="008F3032" w:rsidRPr="00CC4E27" w14:paraId="395729BB" w14:textId="77777777" w:rsidTr="00AB1909">
        <w:trPr>
          <w:trHeight w:val="181"/>
        </w:trPr>
        <w:tc>
          <w:tcPr>
            <w:tcW w:w="3121" w:type="dxa"/>
            <w:vMerge/>
            <w:shd w:val="clear" w:color="auto" w:fill="auto"/>
            <w:vAlign w:val="center"/>
          </w:tcPr>
          <w:p w14:paraId="7B4F3EFA" w14:textId="77777777" w:rsidR="008F3032" w:rsidRPr="00CC4E27" w:rsidRDefault="008F3032" w:rsidP="008F3032">
            <w:pPr>
              <w:pStyle w:val="Tabletext"/>
              <w:contextualSpacing/>
            </w:pPr>
          </w:p>
        </w:tc>
        <w:tc>
          <w:tcPr>
            <w:tcW w:w="4461" w:type="dxa"/>
            <w:shd w:val="clear" w:color="auto" w:fill="auto"/>
            <w:vAlign w:val="center"/>
          </w:tcPr>
          <w:p w14:paraId="2A2FF130" w14:textId="77777777" w:rsidR="008F3032" w:rsidRPr="00CC4E27" w:rsidRDefault="008F3032" w:rsidP="008F3032">
            <w:pPr>
              <w:pStyle w:val="Tabletext"/>
              <w:contextualSpacing/>
            </w:pPr>
            <w:r w:rsidRPr="00CC4E27">
              <w:t xml:space="preserve">Upper 95% CI reported in PRAGUE-17: </w:t>
            </w:r>
            <w:r>
              <w:t>R</w:t>
            </w:r>
            <w:r w:rsidRPr="00CC4E27">
              <w:t>R = 1.06</w:t>
            </w:r>
          </w:p>
        </w:tc>
        <w:tc>
          <w:tcPr>
            <w:tcW w:w="0" w:type="auto"/>
            <w:shd w:val="clear" w:color="auto" w:fill="auto"/>
          </w:tcPr>
          <w:p w14:paraId="0C44755D" w14:textId="76C47369" w:rsidR="008F3032" w:rsidRPr="0082105F" w:rsidRDefault="008F3032" w:rsidP="008F3032">
            <w:pPr>
              <w:pStyle w:val="Tabletext"/>
              <w:contextualSpacing/>
              <w:jc w:val="center"/>
              <w:rPr>
                <w:highlight w:val="yellow"/>
              </w:rPr>
            </w:pPr>
            <w:r w:rsidRPr="00C673A8">
              <w:rPr>
                <w:rFonts w:cs="Calibri"/>
                <w:b/>
                <w:bCs/>
                <w:color w:val="000000"/>
              </w:rPr>
              <w:t>$REDACTED</w:t>
            </w:r>
          </w:p>
        </w:tc>
      </w:tr>
      <w:tr w:rsidR="008275A0" w:rsidRPr="00CC4E27" w14:paraId="0016AE80" w14:textId="77777777" w:rsidTr="008275A0">
        <w:trPr>
          <w:trHeight w:val="119"/>
        </w:trPr>
        <w:tc>
          <w:tcPr>
            <w:tcW w:w="9420" w:type="dxa"/>
            <w:gridSpan w:val="3"/>
            <w:shd w:val="clear" w:color="auto" w:fill="D9D9D9" w:themeFill="background1" w:themeFillShade="D9"/>
            <w:vAlign w:val="center"/>
          </w:tcPr>
          <w:p w14:paraId="5FE8C692" w14:textId="77777777" w:rsidR="008275A0" w:rsidRPr="00CC4E27" w:rsidRDefault="008275A0" w:rsidP="00CC5079">
            <w:pPr>
              <w:pStyle w:val="Tabletext"/>
              <w:contextualSpacing/>
            </w:pPr>
            <w:r w:rsidRPr="00CC4E27">
              <w:t>Relative risk of stroke LAAC versus NOACs</w:t>
            </w:r>
          </w:p>
        </w:tc>
      </w:tr>
      <w:tr w:rsidR="008F3032" w:rsidRPr="00CC4E27" w14:paraId="6891A302" w14:textId="77777777" w:rsidTr="00AB1909">
        <w:trPr>
          <w:trHeight w:val="119"/>
        </w:trPr>
        <w:tc>
          <w:tcPr>
            <w:tcW w:w="3121" w:type="dxa"/>
            <w:vMerge w:val="restart"/>
            <w:shd w:val="clear" w:color="auto" w:fill="auto"/>
            <w:vAlign w:val="center"/>
          </w:tcPr>
          <w:p w14:paraId="013127B7" w14:textId="77777777" w:rsidR="008F3032" w:rsidRPr="00CC4E27" w:rsidRDefault="008F3032" w:rsidP="008F3032">
            <w:pPr>
              <w:pStyle w:val="Tabletext"/>
              <w:contextualSpacing/>
            </w:pPr>
            <w:r w:rsidRPr="00CC4E27">
              <w:t>Relative treatment effect LAAC versus NOACs = 1 based on claim of non-inferior efficacy</w:t>
            </w:r>
          </w:p>
        </w:tc>
        <w:tc>
          <w:tcPr>
            <w:tcW w:w="4461" w:type="dxa"/>
            <w:shd w:val="clear" w:color="auto" w:fill="auto"/>
            <w:vAlign w:val="center"/>
          </w:tcPr>
          <w:p w14:paraId="55CD4856" w14:textId="77777777" w:rsidR="008F3032" w:rsidRPr="00CC4E27" w:rsidRDefault="008F3032" w:rsidP="008F3032">
            <w:pPr>
              <w:pStyle w:val="Tabletext"/>
              <w:contextualSpacing/>
            </w:pPr>
            <w:r w:rsidRPr="00CC4E27">
              <w:t>Lower 95% CI (RR) based on All stroke</w:t>
            </w:r>
            <w:r>
              <w:t xml:space="preserve"> ITC</w:t>
            </w:r>
            <w:r w:rsidRPr="00CC4E27">
              <w:t xml:space="preserve"> </w:t>
            </w:r>
            <w:r>
              <w:t>(PROTECT-AF only)</w:t>
            </w:r>
            <w:r w:rsidRPr="00CC4E27">
              <w:t xml:space="preserve">; </w:t>
            </w:r>
            <w:r>
              <w:t>R</w:t>
            </w:r>
            <w:r w:rsidRPr="00CC4E27">
              <w:t>R = 0.4</w:t>
            </w:r>
            <w:r>
              <w:t>38</w:t>
            </w:r>
          </w:p>
        </w:tc>
        <w:tc>
          <w:tcPr>
            <w:tcW w:w="0" w:type="auto"/>
            <w:shd w:val="clear" w:color="auto" w:fill="auto"/>
          </w:tcPr>
          <w:p w14:paraId="3F5CDCDB" w14:textId="09A5A93C" w:rsidR="008F3032" w:rsidRPr="0082105F" w:rsidRDefault="008F3032" w:rsidP="008F3032">
            <w:pPr>
              <w:pStyle w:val="Tabletext"/>
              <w:contextualSpacing/>
              <w:jc w:val="center"/>
              <w:rPr>
                <w:highlight w:val="yellow"/>
              </w:rPr>
            </w:pPr>
            <w:r w:rsidRPr="004D699C">
              <w:rPr>
                <w:rFonts w:cs="Calibri"/>
                <w:b/>
                <w:bCs/>
                <w:color w:val="000000"/>
              </w:rPr>
              <w:t>$REDACTED</w:t>
            </w:r>
          </w:p>
        </w:tc>
      </w:tr>
      <w:tr w:rsidR="008F3032" w:rsidRPr="00CC4E27" w14:paraId="463D592A" w14:textId="77777777" w:rsidTr="00AB1909">
        <w:trPr>
          <w:trHeight w:val="55"/>
        </w:trPr>
        <w:tc>
          <w:tcPr>
            <w:tcW w:w="3121" w:type="dxa"/>
            <w:vMerge/>
            <w:shd w:val="clear" w:color="auto" w:fill="auto"/>
            <w:vAlign w:val="center"/>
          </w:tcPr>
          <w:p w14:paraId="362781AF" w14:textId="77777777" w:rsidR="008F3032" w:rsidRPr="00CC4E27" w:rsidRDefault="008F3032" w:rsidP="008F3032">
            <w:pPr>
              <w:pStyle w:val="Tabletext"/>
              <w:contextualSpacing/>
            </w:pPr>
          </w:p>
        </w:tc>
        <w:tc>
          <w:tcPr>
            <w:tcW w:w="4461" w:type="dxa"/>
            <w:shd w:val="clear" w:color="auto" w:fill="auto"/>
            <w:vAlign w:val="center"/>
          </w:tcPr>
          <w:p w14:paraId="24A6D704" w14:textId="77777777" w:rsidR="008F3032" w:rsidRPr="00CC4E27" w:rsidRDefault="008F3032" w:rsidP="008F3032">
            <w:pPr>
              <w:pStyle w:val="Tabletext"/>
              <w:contextualSpacing/>
            </w:pPr>
            <w:r w:rsidRPr="00CC4E27">
              <w:t>Lower 95% CI (RR) based on All stroke</w:t>
            </w:r>
            <w:r>
              <w:t xml:space="preserve"> ITC</w:t>
            </w:r>
            <w:r w:rsidRPr="00CC4E27">
              <w:t xml:space="preserve"> </w:t>
            </w:r>
            <w:r>
              <w:t>(PROTECT-AF + PREVAIL)</w:t>
            </w:r>
            <w:r w:rsidRPr="00CC4E27">
              <w:t xml:space="preserve">; </w:t>
            </w:r>
            <w:r>
              <w:t>R</w:t>
            </w:r>
            <w:r w:rsidRPr="00CC4E27">
              <w:t>R = 0.</w:t>
            </w:r>
            <w:r>
              <w:t>507</w:t>
            </w:r>
          </w:p>
        </w:tc>
        <w:tc>
          <w:tcPr>
            <w:tcW w:w="0" w:type="auto"/>
            <w:shd w:val="clear" w:color="auto" w:fill="auto"/>
          </w:tcPr>
          <w:p w14:paraId="2F937006" w14:textId="23853C8D" w:rsidR="008F3032" w:rsidRPr="0082105F" w:rsidRDefault="008F3032" w:rsidP="008F3032">
            <w:pPr>
              <w:pStyle w:val="Tabletext"/>
              <w:contextualSpacing/>
              <w:jc w:val="center"/>
              <w:rPr>
                <w:highlight w:val="yellow"/>
              </w:rPr>
            </w:pPr>
            <w:r w:rsidRPr="004D699C">
              <w:rPr>
                <w:rFonts w:cs="Calibri"/>
                <w:b/>
                <w:bCs/>
                <w:color w:val="000000"/>
              </w:rPr>
              <w:t>$REDACTED</w:t>
            </w:r>
          </w:p>
        </w:tc>
      </w:tr>
      <w:tr w:rsidR="008F3032" w:rsidRPr="00CC4E27" w14:paraId="460E2E3C" w14:textId="77777777" w:rsidTr="00AB1909">
        <w:trPr>
          <w:trHeight w:val="18"/>
        </w:trPr>
        <w:tc>
          <w:tcPr>
            <w:tcW w:w="3121" w:type="dxa"/>
            <w:vMerge/>
            <w:shd w:val="clear" w:color="auto" w:fill="auto"/>
            <w:vAlign w:val="center"/>
          </w:tcPr>
          <w:p w14:paraId="3A9288EF" w14:textId="77777777" w:rsidR="008F3032" w:rsidRPr="00CC4E27" w:rsidRDefault="008F3032" w:rsidP="008F3032">
            <w:pPr>
              <w:pStyle w:val="Tabletext"/>
              <w:contextualSpacing/>
            </w:pPr>
          </w:p>
        </w:tc>
        <w:tc>
          <w:tcPr>
            <w:tcW w:w="4461" w:type="dxa"/>
            <w:shd w:val="clear" w:color="auto" w:fill="auto"/>
            <w:vAlign w:val="center"/>
          </w:tcPr>
          <w:p w14:paraId="229C0926" w14:textId="77777777" w:rsidR="008F3032" w:rsidRPr="00CC4E27" w:rsidRDefault="008F3032" w:rsidP="008F3032">
            <w:pPr>
              <w:pStyle w:val="Tabletext"/>
              <w:contextualSpacing/>
            </w:pPr>
            <w:r w:rsidRPr="00CC4E27">
              <w:t xml:space="preserve">Decrease RR of stroke in LAAC arm by 20%; </w:t>
            </w:r>
            <w:r>
              <w:t>R</w:t>
            </w:r>
            <w:r w:rsidRPr="00CC4E27">
              <w:t>R = 0.8</w:t>
            </w:r>
          </w:p>
        </w:tc>
        <w:tc>
          <w:tcPr>
            <w:tcW w:w="0" w:type="auto"/>
            <w:shd w:val="clear" w:color="auto" w:fill="auto"/>
          </w:tcPr>
          <w:p w14:paraId="5717C5DA" w14:textId="023074ED" w:rsidR="008F3032" w:rsidRPr="0082105F" w:rsidRDefault="008F3032" w:rsidP="008F3032">
            <w:pPr>
              <w:pStyle w:val="Tabletext"/>
              <w:contextualSpacing/>
              <w:jc w:val="center"/>
              <w:rPr>
                <w:highlight w:val="yellow"/>
              </w:rPr>
            </w:pPr>
            <w:r w:rsidRPr="004D699C">
              <w:rPr>
                <w:rFonts w:cs="Calibri"/>
                <w:b/>
                <w:bCs/>
                <w:color w:val="000000"/>
              </w:rPr>
              <w:t>$REDACTED</w:t>
            </w:r>
          </w:p>
        </w:tc>
      </w:tr>
      <w:tr w:rsidR="008F3032" w:rsidRPr="00CC4E27" w14:paraId="7741A74E" w14:textId="77777777" w:rsidTr="00AB1909">
        <w:trPr>
          <w:trHeight w:val="18"/>
        </w:trPr>
        <w:tc>
          <w:tcPr>
            <w:tcW w:w="3121" w:type="dxa"/>
            <w:vMerge/>
            <w:shd w:val="clear" w:color="auto" w:fill="auto"/>
            <w:vAlign w:val="center"/>
          </w:tcPr>
          <w:p w14:paraId="29109F2C" w14:textId="77777777" w:rsidR="008F3032" w:rsidRPr="00CC4E27" w:rsidRDefault="008F3032" w:rsidP="008F3032">
            <w:pPr>
              <w:pStyle w:val="Tabletext"/>
              <w:contextualSpacing/>
            </w:pPr>
          </w:p>
        </w:tc>
        <w:tc>
          <w:tcPr>
            <w:tcW w:w="4461" w:type="dxa"/>
            <w:shd w:val="clear" w:color="auto" w:fill="auto"/>
            <w:vAlign w:val="center"/>
          </w:tcPr>
          <w:p w14:paraId="7DB7199F" w14:textId="77777777" w:rsidR="008F3032" w:rsidRPr="00CC4E27" w:rsidRDefault="008F3032" w:rsidP="008F3032">
            <w:pPr>
              <w:pStyle w:val="Tabletext"/>
              <w:contextualSpacing/>
            </w:pPr>
            <w:r w:rsidRPr="00CC4E27">
              <w:t xml:space="preserve">Increase RR of stroke in LAAC arm by 20%; </w:t>
            </w:r>
            <w:r>
              <w:t>R</w:t>
            </w:r>
            <w:r w:rsidRPr="00CC4E27">
              <w:t>R = 1.2</w:t>
            </w:r>
          </w:p>
        </w:tc>
        <w:tc>
          <w:tcPr>
            <w:tcW w:w="0" w:type="auto"/>
            <w:shd w:val="clear" w:color="auto" w:fill="auto"/>
          </w:tcPr>
          <w:p w14:paraId="745EE344" w14:textId="2CD36FD6" w:rsidR="008F3032" w:rsidRPr="0082105F" w:rsidRDefault="008F3032" w:rsidP="008F3032">
            <w:pPr>
              <w:pStyle w:val="Tabletext"/>
              <w:contextualSpacing/>
              <w:jc w:val="center"/>
              <w:rPr>
                <w:highlight w:val="yellow"/>
              </w:rPr>
            </w:pPr>
            <w:r w:rsidRPr="004D699C">
              <w:rPr>
                <w:rFonts w:cs="Calibri"/>
                <w:b/>
                <w:bCs/>
                <w:color w:val="000000"/>
              </w:rPr>
              <w:t>$REDACTED</w:t>
            </w:r>
          </w:p>
        </w:tc>
      </w:tr>
      <w:tr w:rsidR="008F3032" w:rsidRPr="00CC4E27" w14:paraId="5508BA3F" w14:textId="77777777" w:rsidTr="00AB1909">
        <w:trPr>
          <w:trHeight w:val="36"/>
        </w:trPr>
        <w:tc>
          <w:tcPr>
            <w:tcW w:w="3121" w:type="dxa"/>
            <w:vMerge/>
            <w:shd w:val="clear" w:color="auto" w:fill="auto"/>
            <w:vAlign w:val="center"/>
          </w:tcPr>
          <w:p w14:paraId="2CBC4210" w14:textId="77777777" w:rsidR="008F3032" w:rsidRPr="00CC4E27" w:rsidRDefault="008F3032" w:rsidP="008F3032">
            <w:pPr>
              <w:pStyle w:val="Tabletext"/>
              <w:contextualSpacing/>
            </w:pPr>
          </w:p>
        </w:tc>
        <w:tc>
          <w:tcPr>
            <w:tcW w:w="4461" w:type="dxa"/>
            <w:shd w:val="clear" w:color="auto" w:fill="auto"/>
            <w:vAlign w:val="center"/>
          </w:tcPr>
          <w:p w14:paraId="4D3F3ADA" w14:textId="77777777" w:rsidR="008F3032" w:rsidRPr="00CC4E27" w:rsidRDefault="008F3032" w:rsidP="008F3032">
            <w:pPr>
              <w:pStyle w:val="Tabletext"/>
              <w:contextualSpacing/>
            </w:pPr>
            <w:r>
              <w:t>Upper</w:t>
            </w:r>
            <w:r w:rsidRPr="00CC4E27">
              <w:t xml:space="preserve"> 95% CI (RR) based on All stroke</w:t>
            </w:r>
            <w:r>
              <w:t xml:space="preserve"> ITC</w:t>
            </w:r>
            <w:r w:rsidRPr="00CC4E27">
              <w:t xml:space="preserve"> </w:t>
            </w:r>
            <w:r>
              <w:t>(PROTECT-AF only)</w:t>
            </w:r>
            <w:r w:rsidRPr="00CC4E27">
              <w:t xml:space="preserve">; </w:t>
            </w:r>
            <w:r>
              <w:t>R</w:t>
            </w:r>
            <w:r w:rsidRPr="00CC4E27">
              <w:t xml:space="preserve">R = </w:t>
            </w:r>
            <w:r>
              <w:t>1.469</w:t>
            </w:r>
          </w:p>
        </w:tc>
        <w:tc>
          <w:tcPr>
            <w:tcW w:w="0" w:type="auto"/>
            <w:shd w:val="clear" w:color="auto" w:fill="auto"/>
          </w:tcPr>
          <w:p w14:paraId="0DC18B46" w14:textId="417C899A" w:rsidR="008F3032" w:rsidRPr="0082105F" w:rsidRDefault="008F3032" w:rsidP="008F3032">
            <w:pPr>
              <w:pStyle w:val="Tabletext"/>
              <w:contextualSpacing/>
              <w:jc w:val="center"/>
              <w:rPr>
                <w:highlight w:val="yellow"/>
              </w:rPr>
            </w:pPr>
            <w:r w:rsidRPr="004D699C">
              <w:rPr>
                <w:rFonts w:cs="Calibri"/>
                <w:b/>
                <w:bCs/>
                <w:color w:val="000000"/>
              </w:rPr>
              <w:t>$REDACTED</w:t>
            </w:r>
          </w:p>
        </w:tc>
      </w:tr>
      <w:tr w:rsidR="008F3032" w:rsidRPr="00CC4E27" w14:paraId="4EE65C06" w14:textId="77777777" w:rsidTr="00AB1909">
        <w:trPr>
          <w:trHeight w:val="18"/>
        </w:trPr>
        <w:tc>
          <w:tcPr>
            <w:tcW w:w="3121" w:type="dxa"/>
            <w:vMerge/>
            <w:tcBorders>
              <w:bottom w:val="single" w:sz="4" w:space="0" w:color="auto"/>
            </w:tcBorders>
            <w:shd w:val="clear" w:color="auto" w:fill="auto"/>
            <w:vAlign w:val="center"/>
          </w:tcPr>
          <w:p w14:paraId="4ADDD71B" w14:textId="77777777" w:rsidR="008F3032" w:rsidRPr="00CC4E27" w:rsidRDefault="008F3032" w:rsidP="008F3032">
            <w:pPr>
              <w:pStyle w:val="Tabletext"/>
              <w:contextualSpacing/>
            </w:pPr>
          </w:p>
        </w:tc>
        <w:tc>
          <w:tcPr>
            <w:tcW w:w="4461" w:type="dxa"/>
            <w:tcBorders>
              <w:bottom w:val="single" w:sz="4" w:space="0" w:color="auto"/>
            </w:tcBorders>
            <w:shd w:val="clear" w:color="auto" w:fill="auto"/>
            <w:vAlign w:val="center"/>
          </w:tcPr>
          <w:p w14:paraId="3B9206F1" w14:textId="77777777" w:rsidR="008F3032" w:rsidRPr="00CC4E27" w:rsidRDefault="008F3032" w:rsidP="008F3032">
            <w:pPr>
              <w:pStyle w:val="Tabletext"/>
              <w:contextualSpacing/>
              <w:rPr>
                <w:vertAlign w:val="superscript"/>
              </w:rPr>
            </w:pPr>
            <w:r>
              <w:t>Upper</w:t>
            </w:r>
            <w:r w:rsidRPr="00CC4E27">
              <w:t xml:space="preserve"> 95% CI (RR) based on All stroke</w:t>
            </w:r>
            <w:r>
              <w:t xml:space="preserve"> ITC</w:t>
            </w:r>
            <w:r w:rsidRPr="00CC4E27">
              <w:t xml:space="preserve"> </w:t>
            </w:r>
            <w:r>
              <w:t>(PROTECT-AF + PREVAIL)</w:t>
            </w:r>
            <w:r w:rsidRPr="00CC4E27">
              <w:t xml:space="preserve">; </w:t>
            </w:r>
            <w:r>
              <w:t>R</w:t>
            </w:r>
            <w:r w:rsidRPr="00CC4E27">
              <w:t xml:space="preserve">R = </w:t>
            </w:r>
            <w:r>
              <w:t>2.358</w:t>
            </w:r>
          </w:p>
        </w:tc>
        <w:tc>
          <w:tcPr>
            <w:tcW w:w="0" w:type="auto"/>
            <w:tcBorders>
              <w:bottom w:val="single" w:sz="4" w:space="0" w:color="auto"/>
            </w:tcBorders>
            <w:shd w:val="clear" w:color="auto" w:fill="auto"/>
          </w:tcPr>
          <w:p w14:paraId="6C21271C" w14:textId="60412FF5" w:rsidR="008F3032" w:rsidRPr="0082105F" w:rsidRDefault="008F3032" w:rsidP="008F3032">
            <w:pPr>
              <w:pStyle w:val="Tabletext"/>
              <w:contextualSpacing/>
              <w:jc w:val="center"/>
              <w:rPr>
                <w:highlight w:val="yellow"/>
              </w:rPr>
            </w:pPr>
            <w:r w:rsidRPr="004D699C">
              <w:rPr>
                <w:rFonts w:cs="Calibri"/>
                <w:b/>
                <w:bCs/>
                <w:color w:val="000000"/>
              </w:rPr>
              <w:t>$REDACTED</w:t>
            </w:r>
          </w:p>
        </w:tc>
      </w:tr>
      <w:tr w:rsidR="008275A0" w:rsidRPr="00CC4E27" w14:paraId="21F555A3" w14:textId="77777777" w:rsidTr="008275A0">
        <w:trPr>
          <w:trHeight w:val="174"/>
        </w:trPr>
        <w:tc>
          <w:tcPr>
            <w:tcW w:w="3121" w:type="dxa"/>
            <w:tcBorders>
              <w:right w:val="nil"/>
            </w:tcBorders>
            <w:shd w:val="clear" w:color="auto" w:fill="D9D9D9" w:themeFill="background1" w:themeFillShade="D9"/>
            <w:vAlign w:val="center"/>
          </w:tcPr>
          <w:p w14:paraId="76653FF2" w14:textId="77777777" w:rsidR="008275A0" w:rsidRPr="00CC4E27" w:rsidRDefault="008275A0" w:rsidP="00CC5079">
            <w:pPr>
              <w:pStyle w:val="Tabletext"/>
              <w:contextualSpacing/>
            </w:pPr>
            <w:r w:rsidRPr="00CC4E27">
              <w:t>Disutility of stroke </w:t>
            </w:r>
          </w:p>
        </w:tc>
        <w:tc>
          <w:tcPr>
            <w:tcW w:w="4461" w:type="dxa"/>
            <w:tcBorders>
              <w:left w:val="nil"/>
              <w:right w:val="nil"/>
            </w:tcBorders>
            <w:shd w:val="clear" w:color="auto" w:fill="D9D9D9" w:themeFill="background1" w:themeFillShade="D9"/>
            <w:vAlign w:val="center"/>
          </w:tcPr>
          <w:p w14:paraId="25532B17" w14:textId="77777777" w:rsidR="008275A0" w:rsidRPr="00CC4E27" w:rsidRDefault="008275A0" w:rsidP="00CC5079">
            <w:pPr>
              <w:pStyle w:val="Tabletext"/>
              <w:contextualSpacing/>
            </w:pPr>
          </w:p>
        </w:tc>
        <w:tc>
          <w:tcPr>
            <w:tcW w:w="0" w:type="auto"/>
            <w:tcBorders>
              <w:left w:val="nil"/>
            </w:tcBorders>
            <w:shd w:val="clear" w:color="auto" w:fill="D9D9D9" w:themeFill="background1" w:themeFillShade="D9"/>
            <w:vAlign w:val="center"/>
          </w:tcPr>
          <w:p w14:paraId="02A8D4B8" w14:textId="77777777" w:rsidR="008275A0" w:rsidRPr="00CC4E27" w:rsidRDefault="008275A0" w:rsidP="00CC5079">
            <w:pPr>
              <w:pStyle w:val="Tabletext"/>
              <w:contextualSpacing/>
              <w:jc w:val="center"/>
            </w:pPr>
          </w:p>
        </w:tc>
      </w:tr>
      <w:tr w:rsidR="008F3032" w:rsidRPr="00CC4E27" w14:paraId="6E97A00A" w14:textId="77777777" w:rsidTr="00AB1909">
        <w:trPr>
          <w:trHeight w:val="174"/>
        </w:trPr>
        <w:tc>
          <w:tcPr>
            <w:tcW w:w="3121" w:type="dxa"/>
            <w:vMerge w:val="restart"/>
            <w:shd w:val="clear" w:color="auto" w:fill="auto"/>
            <w:vAlign w:val="center"/>
          </w:tcPr>
          <w:p w14:paraId="5BE309EF" w14:textId="77777777" w:rsidR="008F3032" w:rsidRPr="00CC4E27" w:rsidRDefault="008F3032" w:rsidP="008F3032">
            <w:pPr>
              <w:pStyle w:val="Tabletext"/>
              <w:contextualSpacing/>
            </w:pPr>
            <w:r w:rsidRPr="00CC4E27">
              <w:t>No stroke = 0.86826; Non-disabling stroke= 0.6525; Disabling stroke= 0.3393</w:t>
            </w:r>
          </w:p>
          <w:p w14:paraId="3000FDC0" w14:textId="77777777" w:rsidR="008F3032" w:rsidRPr="00CC4E27" w:rsidRDefault="008F3032" w:rsidP="008F3032">
            <w:pPr>
              <w:pStyle w:val="Tabletext"/>
              <w:contextualSpacing/>
            </w:pPr>
            <w:r w:rsidRPr="00CC4E27">
              <w:t> </w:t>
            </w:r>
          </w:p>
        </w:tc>
        <w:tc>
          <w:tcPr>
            <w:tcW w:w="4461" w:type="dxa"/>
            <w:shd w:val="clear" w:color="auto" w:fill="auto"/>
            <w:vAlign w:val="center"/>
          </w:tcPr>
          <w:p w14:paraId="3113861E" w14:textId="77777777" w:rsidR="008F3032" w:rsidRPr="00CC4E27" w:rsidRDefault="008F3032" w:rsidP="008F3032">
            <w:pPr>
              <w:pStyle w:val="Tabletext"/>
              <w:contextualSpacing/>
            </w:pPr>
            <w:r w:rsidRPr="00CC4E27">
              <w:t>Reduce disutility by 25%</w:t>
            </w:r>
            <w:r>
              <w:t xml:space="preserve">; </w:t>
            </w:r>
            <w:r w:rsidRPr="00CC4E27">
              <w:t>Non-disabling = 0.678</w:t>
            </w:r>
            <w:r>
              <w:t xml:space="preserve">; </w:t>
            </w:r>
            <w:r w:rsidRPr="00CC4E27">
              <w:t>Disabling utility = 0.443</w:t>
            </w:r>
          </w:p>
        </w:tc>
        <w:tc>
          <w:tcPr>
            <w:tcW w:w="0" w:type="auto"/>
            <w:shd w:val="clear" w:color="auto" w:fill="auto"/>
          </w:tcPr>
          <w:p w14:paraId="550CFECB" w14:textId="2DCE4368" w:rsidR="008F3032" w:rsidRPr="0082105F" w:rsidRDefault="008F3032" w:rsidP="008F3032">
            <w:pPr>
              <w:pStyle w:val="Tabletext"/>
              <w:contextualSpacing/>
              <w:jc w:val="center"/>
              <w:rPr>
                <w:highlight w:val="yellow"/>
              </w:rPr>
            </w:pPr>
            <w:r w:rsidRPr="0001427D">
              <w:rPr>
                <w:rFonts w:cs="Calibri"/>
                <w:b/>
                <w:bCs/>
                <w:color w:val="000000"/>
              </w:rPr>
              <w:t>$REDACTED</w:t>
            </w:r>
          </w:p>
        </w:tc>
      </w:tr>
      <w:tr w:rsidR="008F3032" w:rsidRPr="00CC4E27" w14:paraId="30C2B3C9" w14:textId="77777777" w:rsidTr="00AB1909">
        <w:trPr>
          <w:trHeight w:val="187"/>
        </w:trPr>
        <w:tc>
          <w:tcPr>
            <w:tcW w:w="3121" w:type="dxa"/>
            <w:vMerge/>
            <w:shd w:val="clear" w:color="auto" w:fill="auto"/>
            <w:vAlign w:val="center"/>
          </w:tcPr>
          <w:p w14:paraId="49E387DC" w14:textId="77777777" w:rsidR="008F3032" w:rsidRPr="00CC4E27" w:rsidRDefault="008F3032" w:rsidP="008F3032">
            <w:pPr>
              <w:pStyle w:val="Tabletext"/>
              <w:contextualSpacing/>
            </w:pPr>
          </w:p>
        </w:tc>
        <w:tc>
          <w:tcPr>
            <w:tcW w:w="4461" w:type="dxa"/>
            <w:shd w:val="clear" w:color="auto" w:fill="auto"/>
            <w:vAlign w:val="center"/>
          </w:tcPr>
          <w:p w14:paraId="38DFCFE0" w14:textId="77777777" w:rsidR="008F3032" w:rsidRPr="00CC4E27" w:rsidRDefault="008F3032" w:rsidP="008F3032">
            <w:pPr>
              <w:pStyle w:val="Tabletext"/>
              <w:contextualSpacing/>
            </w:pPr>
            <w:r w:rsidRPr="00CC4E27">
              <w:t>Increase disutility by 25%</w:t>
            </w:r>
            <w:r>
              <w:t xml:space="preserve">; </w:t>
            </w:r>
            <w:r w:rsidRPr="00CC4E27">
              <w:t>Non-disabling = 0.62</w:t>
            </w:r>
            <w:r>
              <w:t xml:space="preserve">; </w:t>
            </w:r>
            <w:r w:rsidRPr="00CC4E27">
              <w:t>Disabling utility = 0.235</w:t>
            </w:r>
          </w:p>
        </w:tc>
        <w:tc>
          <w:tcPr>
            <w:tcW w:w="0" w:type="auto"/>
            <w:shd w:val="clear" w:color="auto" w:fill="auto"/>
          </w:tcPr>
          <w:p w14:paraId="7D368CC1" w14:textId="6690A820" w:rsidR="008F3032" w:rsidRPr="0082105F" w:rsidRDefault="008F3032" w:rsidP="008F3032">
            <w:pPr>
              <w:pStyle w:val="Tabletext"/>
              <w:contextualSpacing/>
              <w:jc w:val="center"/>
              <w:rPr>
                <w:highlight w:val="yellow"/>
              </w:rPr>
            </w:pPr>
            <w:r w:rsidRPr="0001427D">
              <w:rPr>
                <w:rFonts w:cs="Calibri"/>
                <w:b/>
                <w:bCs/>
                <w:color w:val="000000"/>
              </w:rPr>
              <w:t>$REDACTED</w:t>
            </w:r>
          </w:p>
        </w:tc>
      </w:tr>
    </w:tbl>
    <w:p w14:paraId="3878009C" w14:textId="1CB4FD4D" w:rsidR="008275A0" w:rsidRDefault="008275A0" w:rsidP="008275A0">
      <w:pPr>
        <w:pStyle w:val="Tablenotes"/>
      </w:pPr>
      <w:r>
        <w:t>Source: Table 2, p6 of the pre-MSAC respon</w:t>
      </w:r>
      <w:r w:rsidR="00D67170">
        <w:t>s</w:t>
      </w:r>
      <w:r>
        <w:t>e</w:t>
      </w:r>
    </w:p>
    <w:p w14:paraId="04D1AE99" w14:textId="77777777" w:rsidR="00BC1364" w:rsidRPr="00F715D1" w:rsidRDefault="00BC1364" w:rsidP="00F715D1">
      <w:pPr>
        <w:pStyle w:val="Heading1"/>
      </w:pPr>
      <w:r w:rsidRPr="00F715D1">
        <w:t>Financial/budgetary impacts</w:t>
      </w:r>
    </w:p>
    <w:p w14:paraId="49B29127" w14:textId="7E52C2C3" w:rsidR="00E93186" w:rsidRPr="00B3556D" w:rsidRDefault="00E93186" w:rsidP="00B3097D">
      <w:pPr>
        <w:spacing w:after="240"/>
        <w:rPr>
          <w:lang w:val="en-US"/>
        </w:rPr>
      </w:pPr>
      <w:r w:rsidRPr="00B3556D">
        <w:t>The ADAR estimated the financial implications of Population 1 and Population 2 separately. The ADAR claimed that estimation of the combined financial implications of Population 1 and Population 2 is not necessarily the sum of the two separate estimates claiming</w:t>
      </w:r>
      <w:r>
        <w:t xml:space="preserve"> </w:t>
      </w:r>
      <w:r w:rsidRPr="00B3556D">
        <w:rPr>
          <w:iCs/>
          <w:lang w:val="en-US"/>
        </w:rPr>
        <w:t>there is likely to be overlap between the two patient populations du</w:t>
      </w:r>
      <w:r>
        <w:rPr>
          <w:iCs/>
          <w:lang w:val="en-US"/>
        </w:rPr>
        <w:t>e to patient co-morbidity.</w:t>
      </w:r>
    </w:p>
    <w:p w14:paraId="1628FC8F" w14:textId="32622174" w:rsidR="00E93186" w:rsidRDefault="00E93186" w:rsidP="00B3097D">
      <w:pPr>
        <w:spacing w:after="240"/>
      </w:pPr>
      <w:r>
        <w:t>The commentary noted t</w:t>
      </w:r>
      <w:r w:rsidRPr="004610C3">
        <w:t>here appear</w:t>
      </w:r>
      <w:r>
        <w:t>ed</w:t>
      </w:r>
      <w:r w:rsidRPr="004610C3">
        <w:t xml:space="preserve"> to be an interdependency between the two populations and their financial implications analys</w:t>
      </w:r>
      <w:r>
        <w:t>es, however the extent of this was</w:t>
      </w:r>
      <w:r w:rsidRPr="004610C3">
        <w:t xml:space="preserve"> unclear.</w:t>
      </w:r>
      <w:r>
        <w:t xml:space="preserve"> Therefore, it was </w:t>
      </w:r>
      <w:r w:rsidRPr="004610C3">
        <w:t>unclear what the total combined financial implications for both proposed revisions would be.</w:t>
      </w:r>
    </w:p>
    <w:p w14:paraId="3D6DC268" w14:textId="77777777" w:rsidR="00E93186" w:rsidRPr="004610C3" w:rsidRDefault="00E93186" w:rsidP="00B3097D">
      <w:pPr>
        <w:pStyle w:val="Heading3"/>
      </w:pPr>
      <w:r w:rsidRPr="004610C3">
        <w:t>Population 1</w:t>
      </w:r>
    </w:p>
    <w:p w14:paraId="2C5201D8" w14:textId="0482393B" w:rsidR="00E93186" w:rsidRDefault="00E93186" w:rsidP="00B3097D">
      <w:pPr>
        <w:spacing w:after="240"/>
      </w:pPr>
      <w:r>
        <w:t>A</w:t>
      </w:r>
      <w:r w:rsidRPr="004610C3">
        <w:t xml:space="preserve"> mixed market share and epidemiological </w:t>
      </w:r>
      <w:r>
        <w:t>approach</w:t>
      </w:r>
      <w:r w:rsidRPr="004610C3">
        <w:t xml:space="preserve"> </w:t>
      </w:r>
      <w:r>
        <w:t>has been used to estimate</w:t>
      </w:r>
      <w:r w:rsidRPr="004610C3">
        <w:t xml:space="preserve"> the financial implications of </w:t>
      </w:r>
      <w:r w:rsidRPr="00B3556D">
        <w:t>modify</w:t>
      </w:r>
      <w:r w:rsidR="00D357DA">
        <w:t>ing</w:t>
      </w:r>
      <w:r w:rsidRPr="00B3556D">
        <w:t xml:space="preserve"> the definition of cont</w:t>
      </w:r>
      <w:r>
        <w:t xml:space="preserve">raindication to lifelong </w:t>
      </w:r>
      <w:r w:rsidRPr="00745107">
        <w:t>anticoagulation</w:t>
      </w:r>
      <w:r>
        <w:t xml:space="preserve"> to </w:t>
      </w:r>
      <w:r w:rsidRPr="00B3556D">
        <w:t xml:space="preserve">expand the list of absolute contraindications to </w:t>
      </w:r>
      <w:r w:rsidRPr="00745107">
        <w:t>anticoagulation</w:t>
      </w:r>
      <w:r w:rsidRPr="00B3556D">
        <w:t xml:space="preserve"> (Population 1)</w:t>
      </w:r>
      <w:r>
        <w:t xml:space="preserve"> and thereby expanding the patient</w:t>
      </w:r>
      <w:r w:rsidRPr="004610C3">
        <w:t xml:space="preserve"> population </w:t>
      </w:r>
      <w:r w:rsidRPr="00B3556D">
        <w:t>eligible for MBS item 38276</w:t>
      </w:r>
      <w:r>
        <w:t>,</w:t>
      </w:r>
      <w:r w:rsidRPr="004610C3">
        <w:t xml:space="preserve"> summarised in </w:t>
      </w:r>
      <w:r w:rsidRPr="004610C3">
        <w:fldChar w:fldCharType="begin"/>
      </w:r>
      <w:r w:rsidRPr="004610C3">
        <w:instrText xml:space="preserve"> REF _Ref61286353 \h </w:instrText>
      </w:r>
      <w:r>
        <w:instrText xml:space="preserve"> \* MERGEFORMAT </w:instrText>
      </w:r>
      <w:r w:rsidRPr="004610C3">
        <w:fldChar w:fldCharType="separate"/>
      </w:r>
      <w:r w:rsidR="008275A0" w:rsidRPr="008275A0">
        <w:t xml:space="preserve">Table </w:t>
      </w:r>
      <w:r w:rsidR="008275A0" w:rsidRPr="008275A0">
        <w:rPr>
          <w:noProof/>
        </w:rPr>
        <w:t>16</w:t>
      </w:r>
      <w:r w:rsidRPr="004610C3">
        <w:fldChar w:fldCharType="end"/>
      </w:r>
      <w:r w:rsidR="00D03146">
        <w:t>.</w:t>
      </w:r>
    </w:p>
    <w:p w14:paraId="43B14F01" w14:textId="2F7CC51E" w:rsidR="00E93186" w:rsidRDefault="00E93186" w:rsidP="00B3097D">
      <w:pPr>
        <w:spacing w:after="240"/>
      </w:pPr>
      <w:r>
        <w:t>The</w:t>
      </w:r>
      <w:r w:rsidRPr="004610C3">
        <w:t xml:space="preserve"> ADAR estimated </w:t>
      </w:r>
      <w:r>
        <w:t xml:space="preserve">the </w:t>
      </w:r>
      <w:r w:rsidRPr="004610C3">
        <w:t>per patient cost to the MBS for the procedure as $1,843.35</w:t>
      </w:r>
      <w:r>
        <w:t>, and that</w:t>
      </w:r>
      <w:r w:rsidRPr="004610C3">
        <w:t xml:space="preserve"> an additional </w:t>
      </w:r>
      <w:r w:rsidR="008F3032" w:rsidRPr="008F3032">
        <w:rPr>
          <w:b/>
          <w:bCs/>
        </w:rPr>
        <w:t>REDACTED</w:t>
      </w:r>
      <w:r w:rsidR="008F3032" w:rsidRPr="008F3032">
        <w:t xml:space="preserve"> </w:t>
      </w:r>
      <w:r w:rsidRPr="004610C3">
        <w:t>patients in the first year, increasing</w:t>
      </w:r>
      <w:r>
        <w:t xml:space="preserve"> to </w:t>
      </w:r>
      <w:r w:rsidR="008F3032" w:rsidRPr="008F3032">
        <w:rPr>
          <w:b/>
          <w:bCs/>
        </w:rPr>
        <w:t>REDACTED</w:t>
      </w:r>
      <w:r w:rsidR="008F3032" w:rsidRPr="008F3032">
        <w:t xml:space="preserve"> </w:t>
      </w:r>
      <w:r>
        <w:t xml:space="preserve">patients by year five, and </w:t>
      </w:r>
      <w:r w:rsidRPr="004610C3">
        <w:t xml:space="preserve">assumed </w:t>
      </w:r>
      <w:r>
        <w:t>DOAC</w:t>
      </w:r>
      <w:r w:rsidRPr="004610C3">
        <w:t xml:space="preserve"> treatment would not be used after a patient experienced an </w:t>
      </w:r>
      <w:r>
        <w:t xml:space="preserve">absolute contraindication. </w:t>
      </w:r>
      <w:r w:rsidRPr="004610C3">
        <w:t>The estimated financial impact was $</w:t>
      </w:r>
      <w:r w:rsidR="008F3032" w:rsidRPr="008F3032">
        <w:rPr>
          <w:b/>
          <w:bCs/>
        </w:rPr>
        <w:t>REDACTED</w:t>
      </w:r>
      <w:r w:rsidR="008F3032" w:rsidRPr="008F3032">
        <w:t xml:space="preserve"> </w:t>
      </w:r>
      <w:r w:rsidRPr="004610C3">
        <w:t>in year one, increasi</w:t>
      </w:r>
      <w:r w:rsidR="00D03146">
        <w:t>ng to $</w:t>
      </w:r>
      <w:r w:rsidR="008F3032" w:rsidRPr="008F3032">
        <w:rPr>
          <w:b/>
          <w:bCs/>
        </w:rPr>
        <w:t xml:space="preserve"> REDACTED</w:t>
      </w:r>
      <w:r w:rsidR="00D03146">
        <w:t xml:space="preserve"> in year five.</w:t>
      </w:r>
    </w:p>
    <w:p w14:paraId="5CC4B323" w14:textId="2F678D87" w:rsidR="00E93186" w:rsidRPr="00FF2CC3" w:rsidRDefault="00E93186" w:rsidP="00B3097D">
      <w:pPr>
        <w:spacing w:after="240"/>
      </w:pPr>
      <w:r w:rsidRPr="004610C3">
        <w:t xml:space="preserve">The </w:t>
      </w:r>
      <w:r>
        <w:t xml:space="preserve">commentary considered the </w:t>
      </w:r>
      <w:r w:rsidRPr="004610C3">
        <w:t>approach used t</w:t>
      </w:r>
      <w:r>
        <w:t xml:space="preserve">o estimate additional patients </w:t>
      </w:r>
      <w:r w:rsidRPr="004610C3">
        <w:t>was plausible.</w:t>
      </w:r>
      <w:r>
        <w:t xml:space="preserve"> However, the commentary considered that the </w:t>
      </w:r>
      <w:r w:rsidRPr="004610C3">
        <w:t>MBS cost of the LAAC procedure was underestimated; accounting for estimated procedural resource utilisation saw this revised upwards to $</w:t>
      </w:r>
      <w:r w:rsidR="008F3032" w:rsidRPr="008F3032">
        <w:rPr>
          <w:b/>
          <w:bCs/>
        </w:rPr>
        <w:t>REDACTED</w:t>
      </w:r>
      <w:r w:rsidRPr="004610C3">
        <w:t xml:space="preserve">.  </w:t>
      </w:r>
      <w:r w:rsidRPr="00FF2CC3">
        <w:t xml:space="preserve">The commentary noted that revision to correct calculation errors </w:t>
      </w:r>
      <w:r w:rsidRPr="00FF2CC3">
        <w:lastRenderedPageBreak/>
        <w:t>resulted in the annual MBS costs increasing from $</w:t>
      </w:r>
      <w:r w:rsidR="008F3032" w:rsidRPr="008F3032">
        <w:rPr>
          <w:b/>
          <w:bCs/>
        </w:rPr>
        <w:t>REDACTED</w:t>
      </w:r>
      <w:r w:rsidR="008F3032" w:rsidRPr="008F3032">
        <w:t xml:space="preserve"> </w:t>
      </w:r>
      <w:r w:rsidRPr="00FF2CC3">
        <w:t>in year one to $</w:t>
      </w:r>
      <w:r w:rsidR="008F3032" w:rsidRPr="008F3032">
        <w:rPr>
          <w:b/>
          <w:bCs/>
        </w:rPr>
        <w:t>REDACTED</w:t>
      </w:r>
      <w:r w:rsidR="008F3032" w:rsidRPr="008F3032">
        <w:t xml:space="preserve"> </w:t>
      </w:r>
      <w:r w:rsidRPr="00FF2CC3">
        <w:t>in year five, resulting in the five-year MBS impact being revised from $</w:t>
      </w:r>
      <w:r w:rsidR="008F3032" w:rsidRPr="008F3032">
        <w:rPr>
          <w:b/>
          <w:bCs/>
        </w:rPr>
        <w:t>REDACTED</w:t>
      </w:r>
      <w:r w:rsidR="008F3032" w:rsidRPr="008F3032">
        <w:t xml:space="preserve"> </w:t>
      </w:r>
      <w:r w:rsidRPr="00FF2CC3">
        <w:t>to $</w:t>
      </w:r>
      <w:r w:rsidR="008F3032" w:rsidRPr="008F3032">
        <w:rPr>
          <w:b/>
          <w:bCs/>
        </w:rPr>
        <w:t>REDACTED</w:t>
      </w:r>
      <w:r w:rsidR="008F3032" w:rsidRPr="008F3032">
        <w:t xml:space="preserve"> </w:t>
      </w:r>
      <w:r>
        <w:t>(</w:t>
      </w:r>
      <w:r w:rsidRPr="00FF2CC3">
        <w:fldChar w:fldCharType="begin"/>
      </w:r>
      <w:r w:rsidRPr="00FF2CC3">
        <w:instrText xml:space="preserve"> REF _Ref61286353 \h </w:instrText>
      </w:r>
      <w:r>
        <w:instrText xml:space="preserve"> \* MERGEFORMAT </w:instrText>
      </w:r>
      <w:r w:rsidRPr="00FF2CC3">
        <w:fldChar w:fldCharType="separate"/>
      </w:r>
      <w:r w:rsidR="008275A0" w:rsidRPr="008275A0">
        <w:t>Table 16</w:t>
      </w:r>
      <w:r w:rsidRPr="00FF2CC3">
        <w:fldChar w:fldCharType="end"/>
      </w:r>
      <w:r>
        <w:t>)</w:t>
      </w:r>
      <w:r w:rsidRPr="00FF2CC3">
        <w:t>.</w:t>
      </w:r>
    </w:p>
    <w:p w14:paraId="01192CD2" w14:textId="1489D19C" w:rsidR="00E93186" w:rsidRPr="00C149EC" w:rsidRDefault="00E93186" w:rsidP="00E93186">
      <w:pPr>
        <w:keepNext/>
        <w:keepLines/>
        <w:widowControl w:val="0"/>
        <w:spacing w:after="120"/>
        <w:jc w:val="both"/>
        <w:outlineLvl w:val="5"/>
        <w:rPr>
          <w:rFonts w:ascii="Arial Narrow" w:hAnsi="Arial Narrow" w:cs="Tahoma"/>
          <w:b/>
          <w:bCs/>
          <w:sz w:val="20"/>
          <w:szCs w:val="22"/>
        </w:rPr>
      </w:pPr>
      <w:bookmarkStart w:id="31" w:name="_Ref61286353"/>
      <w:r w:rsidRPr="004610C3">
        <w:rPr>
          <w:rFonts w:ascii="Arial Narrow" w:hAnsi="Arial Narrow" w:cs="Tahoma"/>
          <w:b/>
          <w:bCs/>
          <w:sz w:val="20"/>
          <w:szCs w:val="22"/>
        </w:rPr>
        <w:t xml:space="preserve">Table </w:t>
      </w:r>
      <w:r w:rsidRPr="004610C3">
        <w:rPr>
          <w:rFonts w:ascii="Arial Narrow" w:hAnsi="Arial Narrow" w:cs="Tahoma"/>
          <w:b/>
          <w:bCs/>
          <w:sz w:val="20"/>
          <w:szCs w:val="22"/>
        </w:rPr>
        <w:fldChar w:fldCharType="begin"/>
      </w:r>
      <w:r w:rsidRPr="004610C3">
        <w:rPr>
          <w:rFonts w:ascii="Arial Narrow" w:hAnsi="Arial Narrow" w:cs="Tahoma"/>
          <w:b/>
          <w:bCs/>
          <w:sz w:val="20"/>
          <w:szCs w:val="22"/>
        </w:rPr>
        <w:instrText>SEQ Table \* ARABIC</w:instrText>
      </w:r>
      <w:r w:rsidRPr="004610C3">
        <w:rPr>
          <w:rFonts w:ascii="Arial Narrow" w:hAnsi="Arial Narrow" w:cs="Tahoma"/>
          <w:b/>
          <w:bCs/>
          <w:sz w:val="20"/>
          <w:szCs w:val="22"/>
        </w:rPr>
        <w:fldChar w:fldCharType="separate"/>
      </w:r>
      <w:r w:rsidR="008275A0">
        <w:rPr>
          <w:rFonts w:ascii="Arial Narrow" w:hAnsi="Arial Narrow" w:cs="Tahoma"/>
          <w:b/>
          <w:bCs/>
          <w:noProof/>
          <w:sz w:val="20"/>
          <w:szCs w:val="22"/>
        </w:rPr>
        <w:t>16</w:t>
      </w:r>
      <w:r w:rsidRPr="004610C3">
        <w:rPr>
          <w:rFonts w:ascii="Arial Narrow" w:hAnsi="Arial Narrow" w:cs="Tahoma"/>
          <w:b/>
          <w:bCs/>
          <w:sz w:val="20"/>
          <w:szCs w:val="22"/>
        </w:rPr>
        <w:fldChar w:fldCharType="end"/>
      </w:r>
      <w:bookmarkEnd w:id="31"/>
      <w:r w:rsidRPr="004610C3">
        <w:rPr>
          <w:rFonts w:ascii="Arial Narrow" w:hAnsi="Arial Narrow" w:cs="Tahoma"/>
          <w:b/>
          <w:bCs/>
          <w:sz w:val="20"/>
          <w:szCs w:val="22"/>
        </w:rPr>
        <w:tab/>
        <w:t xml:space="preserve">Financial implications for the government health budget </w:t>
      </w:r>
      <w:r>
        <w:rPr>
          <w:rFonts w:ascii="Arial Narrow" w:hAnsi="Arial Narrow" w:cs="Tahoma"/>
          <w:b/>
          <w:bCs/>
          <w:sz w:val="20"/>
          <w:szCs w:val="22"/>
        </w:rPr>
        <w:t xml:space="preserve">for the proposed expansion of the list of absolute contraindications to </w:t>
      </w:r>
      <w:r w:rsidRPr="00745107">
        <w:rPr>
          <w:rFonts w:ascii="Arial Narrow" w:hAnsi="Arial Narrow" w:cs="Tahoma"/>
          <w:b/>
          <w:bCs/>
          <w:sz w:val="20"/>
          <w:szCs w:val="22"/>
        </w:rPr>
        <w:t>anticoagulation</w:t>
      </w:r>
      <w:r>
        <w:rPr>
          <w:rFonts w:ascii="Arial Narrow" w:hAnsi="Arial Narrow" w:cs="Tahoma"/>
          <w:b/>
          <w:bCs/>
          <w:sz w:val="20"/>
          <w:szCs w:val="22"/>
        </w:rPr>
        <w:t xml:space="preserve"> for</w:t>
      </w:r>
      <w:r w:rsidRPr="004610C3">
        <w:rPr>
          <w:rFonts w:ascii="Arial Narrow" w:hAnsi="Arial Narrow" w:cs="Tahoma"/>
          <w:b/>
          <w:bCs/>
          <w:sz w:val="20"/>
          <w:szCs w:val="22"/>
        </w:rPr>
        <w:t xml:space="preserve"> LAAC</w:t>
      </w:r>
      <w:r>
        <w:rPr>
          <w:rFonts w:ascii="Arial Narrow" w:hAnsi="Arial Narrow" w:cs="Tahoma"/>
          <w:b/>
          <w:bCs/>
          <w:sz w:val="20"/>
          <w:szCs w:val="22"/>
        </w:rPr>
        <w:t xml:space="preserve"> (Population 1)</w:t>
      </w:r>
    </w:p>
    <w:tbl>
      <w:tblPr>
        <w:tblStyle w:val="OPTUMTableNormal"/>
        <w:tblW w:w="9287" w:type="dxa"/>
        <w:tblLook w:val="04A0" w:firstRow="1" w:lastRow="0" w:firstColumn="1" w:lastColumn="0" w:noHBand="0" w:noVBand="1"/>
        <w:tblDescription w:val="Financial implications for the government health budget for the proposed expansion of the list of absolute contraindications to anticoagulation for LAAC (Population 1)"/>
      </w:tblPr>
      <w:tblGrid>
        <w:gridCol w:w="2037"/>
        <w:gridCol w:w="1127"/>
        <w:gridCol w:w="1194"/>
        <w:gridCol w:w="1194"/>
        <w:gridCol w:w="1194"/>
        <w:gridCol w:w="1194"/>
        <w:gridCol w:w="1347"/>
      </w:tblGrid>
      <w:tr w:rsidR="00E93186" w:rsidRPr="00B71A7E" w14:paraId="1C7A9BD6" w14:textId="77777777" w:rsidTr="008F3032">
        <w:trPr>
          <w:cnfStyle w:val="100000000000" w:firstRow="1" w:lastRow="0" w:firstColumn="0" w:lastColumn="0" w:oddVBand="0" w:evenVBand="0" w:oddHBand="0" w:evenHBand="0" w:firstRowFirstColumn="0" w:firstRowLastColumn="0" w:lastRowFirstColumn="0" w:lastRowLastColumn="0"/>
          <w:trHeight w:val="535"/>
          <w:tblHeader/>
        </w:trPr>
        <w:tc>
          <w:tcPr>
            <w:tcW w:w="2037" w:type="dxa"/>
            <w:hideMark/>
          </w:tcPr>
          <w:p w14:paraId="3DD9255E" w14:textId="77777777" w:rsidR="00E93186" w:rsidRPr="00B71A7E" w:rsidRDefault="00E93186" w:rsidP="00E93186">
            <w:pPr>
              <w:pStyle w:val="Tabletext"/>
              <w:keepNext/>
              <w:keepLines/>
              <w:widowControl w:val="0"/>
              <w:rPr>
                <w:b/>
                <w:bCs/>
              </w:rPr>
            </w:pPr>
            <w:r w:rsidRPr="00B71A7E">
              <w:rPr>
                <w:b/>
                <w:bCs/>
              </w:rPr>
              <w:t>Parameter</w:t>
            </w:r>
            <w:r w:rsidRPr="00B71A7E">
              <w:rPr>
                <w:b/>
                <w:bCs/>
                <w:sz w:val="16"/>
                <w:szCs w:val="16"/>
              </w:rPr>
              <w:t> </w:t>
            </w:r>
          </w:p>
        </w:tc>
        <w:tc>
          <w:tcPr>
            <w:tcW w:w="1127" w:type="dxa"/>
            <w:hideMark/>
          </w:tcPr>
          <w:p w14:paraId="4E7B6004" w14:textId="77777777" w:rsidR="00E93186" w:rsidRPr="00B71A7E" w:rsidRDefault="00E93186" w:rsidP="00E93186">
            <w:pPr>
              <w:pStyle w:val="Tabletext"/>
              <w:keepNext/>
              <w:keepLines/>
              <w:widowControl w:val="0"/>
              <w:rPr>
                <w:b/>
                <w:bCs/>
              </w:rPr>
            </w:pPr>
            <w:r w:rsidRPr="00B71A7E">
              <w:rPr>
                <w:b/>
                <w:bCs/>
              </w:rPr>
              <w:t>Year 1 (2021)</w:t>
            </w:r>
          </w:p>
        </w:tc>
        <w:tc>
          <w:tcPr>
            <w:tcW w:w="0" w:type="auto"/>
            <w:hideMark/>
          </w:tcPr>
          <w:p w14:paraId="6E1F48BA" w14:textId="77777777" w:rsidR="00E93186" w:rsidRPr="00B71A7E" w:rsidRDefault="00E93186" w:rsidP="00E93186">
            <w:pPr>
              <w:pStyle w:val="Tabletext"/>
              <w:keepNext/>
              <w:keepLines/>
              <w:widowControl w:val="0"/>
              <w:rPr>
                <w:b/>
                <w:bCs/>
              </w:rPr>
            </w:pPr>
            <w:r w:rsidRPr="00B71A7E">
              <w:rPr>
                <w:b/>
                <w:bCs/>
              </w:rPr>
              <w:t>Year 2 (2021)</w:t>
            </w:r>
          </w:p>
        </w:tc>
        <w:tc>
          <w:tcPr>
            <w:tcW w:w="0" w:type="auto"/>
            <w:hideMark/>
          </w:tcPr>
          <w:p w14:paraId="4135E827" w14:textId="77777777" w:rsidR="00E93186" w:rsidRPr="00B71A7E" w:rsidRDefault="00E93186" w:rsidP="00E93186">
            <w:pPr>
              <w:pStyle w:val="Tabletext"/>
              <w:keepNext/>
              <w:keepLines/>
              <w:widowControl w:val="0"/>
              <w:rPr>
                <w:b/>
                <w:bCs/>
              </w:rPr>
            </w:pPr>
            <w:r w:rsidRPr="00B71A7E">
              <w:rPr>
                <w:b/>
                <w:bCs/>
              </w:rPr>
              <w:t>Year 3 (2023)</w:t>
            </w:r>
          </w:p>
        </w:tc>
        <w:tc>
          <w:tcPr>
            <w:tcW w:w="0" w:type="auto"/>
            <w:hideMark/>
          </w:tcPr>
          <w:p w14:paraId="4C17FF40" w14:textId="77777777" w:rsidR="00E93186" w:rsidRPr="00B71A7E" w:rsidRDefault="00E93186" w:rsidP="00E93186">
            <w:pPr>
              <w:pStyle w:val="Tabletext"/>
              <w:keepNext/>
              <w:keepLines/>
              <w:widowControl w:val="0"/>
              <w:rPr>
                <w:b/>
                <w:bCs/>
              </w:rPr>
            </w:pPr>
            <w:r w:rsidRPr="00B71A7E">
              <w:rPr>
                <w:b/>
                <w:bCs/>
              </w:rPr>
              <w:t>Year 4 (2024)</w:t>
            </w:r>
          </w:p>
        </w:tc>
        <w:tc>
          <w:tcPr>
            <w:tcW w:w="0" w:type="auto"/>
            <w:hideMark/>
          </w:tcPr>
          <w:p w14:paraId="4FA82758" w14:textId="77777777" w:rsidR="00E93186" w:rsidRPr="00B71A7E" w:rsidRDefault="00E93186" w:rsidP="00E93186">
            <w:pPr>
              <w:pStyle w:val="Tabletext"/>
              <w:keepNext/>
              <w:keepLines/>
              <w:widowControl w:val="0"/>
              <w:rPr>
                <w:b/>
                <w:bCs/>
              </w:rPr>
            </w:pPr>
            <w:r w:rsidRPr="00B71A7E">
              <w:rPr>
                <w:b/>
                <w:bCs/>
              </w:rPr>
              <w:t>Year 5 (2025)</w:t>
            </w:r>
          </w:p>
        </w:tc>
        <w:tc>
          <w:tcPr>
            <w:tcW w:w="1347" w:type="dxa"/>
            <w:hideMark/>
          </w:tcPr>
          <w:p w14:paraId="00FA46CB" w14:textId="77777777" w:rsidR="00E93186" w:rsidRPr="00B71A7E" w:rsidRDefault="00E93186" w:rsidP="00E93186">
            <w:pPr>
              <w:pStyle w:val="Tabletext"/>
              <w:keepNext/>
              <w:keepLines/>
              <w:widowControl w:val="0"/>
              <w:rPr>
                <w:b/>
                <w:bCs/>
              </w:rPr>
            </w:pPr>
            <w:r w:rsidRPr="00B71A7E">
              <w:rPr>
                <w:b/>
                <w:bCs/>
              </w:rPr>
              <w:t>Source/</w:t>
            </w:r>
            <w:r>
              <w:rPr>
                <w:b/>
                <w:bCs/>
              </w:rPr>
              <w:br/>
            </w:r>
            <w:r w:rsidRPr="00B71A7E">
              <w:rPr>
                <w:b/>
                <w:bCs/>
              </w:rPr>
              <w:t>Calculation</w:t>
            </w:r>
          </w:p>
        </w:tc>
      </w:tr>
      <w:tr w:rsidR="008F3032" w:rsidRPr="00B71A7E" w14:paraId="5824C775" w14:textId="77777777" w:rsidTr="008F3032">
        <w:trPr>
          <w:trHeight w:val="321"/>
        </w:trPr>
        <w:tc>
          <w:tcPr>
            <w:tcW w:w="2037" w:type="dxa"/>
            <w:hideMark/>
          </w:tcPr>
          <w:p w14:paraId="26B91C2A" w14:textId="77777777" w:rsidR="008F3032" w:rsidRPr="00B71A7E" w:rsidRDefault="008F3032" w:rsidP="008F3032">
            <w:pPr>
              <w:pStyle w:val="Tabletext"/>
              <w:keepNext/>
              <w:keepLines/>
              <w:widowControl w:val="0"/>
            </w:pPr>
            <w:r w:rsidRPr="00B71A7E">
              <w:t>Additional LAAC procedures reimbursed on the MBS</w:t>
            </w:r>
          </w:p>
        </w:tc>
        <w:tc>
          <w:tcPr>
            <w:tcW w:w="1127" w:type="dxa"/>
            <w:hideMark/>
          </w:tcPr>
          <w:p w14:paraId="267A37CF" w14:textId="613D9B69" w:rsidR="008F3032" w:rsidRPr="008F3032" w:rsidRDefault="008F3032" w:rsidP="008F3032">
            <w:pPr>
              <w:pStyle w:val="Tabletext"/>
              <w:keepNext/>
              <w:keepLines/>
              <w:widowControl w:val="0"/>
              <w:rPr>
                <w:b/>
                <w:bCs/>
                <w:highlight w:val="yellow"/>
              </w:rPr>
            </w:pPr>
            <w:r w:rsidRPr="008F3032">
              <w:rPr>
                <w:b/>
                <w:bCs/>
              </w:rPr>
              <w:t xml:space="preserve">REDACTED </w:t>
            </w:r>
          </w:p>
        </w:tc>
        <w:tc>
          <w:tcPr>
            <w:tcW w:w="0" w:type="auto"/>
            <w:hideMark/>
          </w:tcPr>
          <w:p w14:paraId="39BBD967" w14:textId="2C806938" w:rsidR="008F3032" w:rsidRPr="008F3032" w:rsidRDefault="008F3032" w:rsidP="008F3032">
            <w:pPr>
              <w:pStyle w:val="Tabletext"/>
              <w:keepNext/>
              <w:keepLines/>
              <w:widowControl w:val="0"/>
              <w:rPr>
                <w:b/>
                <w:bCs/>
                <w:highlight w:val="yellow"/>
              </w:rPr>
            </w:pPr>
            <w:r w:rsidRPr="008F3032">
              <w:rPr>
                <w:b/>
                <w:bCs/>
              </w:rPr>
              <w:t xml:space="preserve">REDACTED </w:t>
            </w:r>
          </w:p>
        </w:tc>
        <w:tc>
          <w:tcPr>
            <w:tcW w:w="0" w:type="auto"/>
            <w:hideMark/>
          </w:tcPr>
          <w:p w14:paraId="76901467" w14:textId="2E459486" w:rsidR="008F3032" w:rsidRPr="008F3032" w:rsidRDefault="008F3032" w:rsidP="008F3032">
            <w:pPr>
              <w:pStyle w:val="Tabletext"/>
              <w:keepNext/>
              <w:keepLines/>
              <w:widowControl w:val="0"/>
              <w:rPr>
                <w:b/>
                <w:bCs/>
                <w:highlight w:val="yellow"/>
              </w:rPr>
            </w:pPr>
            <w:r w:rsidRPr="008F3032">
              <w:rPr>
                <w:b/>
                <w:bCs/>
              </w:rPr>
              <w:t xml:space="preserve">REDACTED </w:t>
            </w:r>
          </w:p>
        </w:tc>
        <w:tc>
          <w:tcPr>
            <w:tcW w:w="0" w:type="auto"/>
            <w:hideMark/>
          </w:tcPr>
          <w:p w14:paraId="106B9C9F" w14:textId="7634024C" w:rsidR="008F3032" w:rsidRPr="008F3032" w:rsidRDefault="008F3032" w:rsidP="008F3032">
            <w:pPr>
              <w:pStyle w:val="Tabletext"/>
              <w:keepNext/>
              <w:keepLines/>
              <w:widowControl w:val="0"/>
              <w:rPr>
                <w:b/>
                <w:bCs/>
                <w:highlight w:val="yellow"/>
              </w:rPr>
            </w:pPr>
            <w:r w:rsidRPr="008F3032">
              <w:rPr>
                <w:b/>
                <w:bCs/>
              </w:rPr>
              <w:t xml:space="preserve">REDACTED </w:t>
            </w:r>
          </w:p>
        </w:tc>
        <w:tc>
          <w:tcPr>
            <w:tcW w:w="0" w:type="auto"/>
            <w:hideMark/>
          </w:tcPr>
          <w:p w14:paraId="0B643424" w14:textId="4517BA27" w:rsidR="008F3032" w:rsidRPr="008F3032" w:rsidRDefault="008F3032" w:rsidP="008F3032">
            <w:pPr>
              <w:pStyle w:val="Tabletext"/>
              <w:keepNext/>
              <w:keepLines/>
              <w:widowControl w:val="0"/>
              <w:rPr>
                <w:b/>
                <w:bCs/>
                <w:highlight w:val="yellow"/>
              </w:rPr>
            </w:pPr>
            <w:r w:rsidRPr="008F3032">
              <w:rPr>
                <w:b/>
                <w:bCs/>
              </w:rPr>
              <w:t xml:space="preserve">REDACTED </w:t>
            </w:r>
          </w:p>
        </w:tc>
        <w:tc>
          <w:tcPr>
            <w:tcW w:w="1347" w:type="dxa"/>
            <w:hideMark/>
          </w:tcPr>
          <w:p w14:paraId="1E30FB48" w14:textId="77777777" w:rsidR="008F3032" w:rsidRPr="00B71A7E" w:rsidRDefault="008F3032" w:rsidP="008F3032">
            <w:pPr>
              <w:pStyle w:val="Tabletext"/>
              <w:keepNext/>
              <w:keepLines/>
              <w:widowControl w:val="0"/>
            </w:pPr>
            <w:r>
              <w:t>Table 16</w:t>
            </w:r>
            <w:r>
              <w:fldChar w:fldCharType="begin"/>
            </w:r>
            <w:r>
              <w:instrText xml:space="preserve"> REF _Ref50549733 \h  \* MERGEFORMAT </w:instrText>
            </w:r>
            <w:r>
              <w:fldChar w:fldCharType="end"/>
            </w:r>
          </w:p>
        </w:tc>
      </w:tr>
      <w:tr w:rsidR="008F3032" w:rsidRPr="00B71A7E" w14:paraId="0AD92E22" w14:textId="77777777" w:rsidTr="008F3032">
        <w:trPr>
          <w:trHeight w:val="109"/>
        </w:trPr>
        <w:tc>
          <w:tcPr>
            <w:tcW w:w="2037" w:type="dxa"/>
            <w:hideMark/>
          </w:tcPr>
          <w:p w14:paraId="1604A63A" w14:textId="77777777" w:rsidR="008F3032" w:rsidRPr="00B71A7E" w:rsidRDefault="008F3032" w:rsidP="008F3032">
            <w:pPr>
              <w:pStyle w:val="Tabletext"/>
              <w:keepNext/>
              <w:keepLines/>
              <w:widowControl w:val="0"/>
            </w:pPr>
            <w:r w:rsidRPr="00B71A7E">
              <w:t>Total cost to the MBS</w:t>
            </w:r>
          </w:p>
        </w:tc>
        <w:tc>
          <w:tcPr>
            <w:tcW w:w="1127" w:type="dxa"/>
            <w:hideMark/>
          </w:tcPr>
          <w:p w14:paraId="3401535B" w14:textId="722BF925" w:rsidR="008F3032" w:rsidRPr="0082105F" w:rsidRDefault="008F3032" w:rsidP="008F3032">
            <w:pPr>
              <w:pStyle w:val="Tabletext"/>
              <w:keepNext/>
              <w:keepLines/>
              <w:widowControl w:val="0"/>
              <w:rPr>
                <w:highlight w:val="yellow"/>
              </w:rPr>
            </w:pPr>
            <w:r w:rsidRPr="008F3032">
              <w:rPr>
                <w:b/>
                <w:bCs/>
              </w:rPr>
              <w:t xml:space="preserve">REDACTED </w:t>
            </w:r>
          </w:p>
        </w:tc>
        <w:tc>
          <w:tcPr>
            <w:tcW w:w="0" w:type="auto"/>
            <w:hideMark/>
          </w:tcPr>
          <w:p w14:paraId="1D344F7D" w14:textId="103955CC" w:rsidR="008F3032" w:rsidRPr="0082105F" w:rsidRDefault="008F3032" w:rsidP="008F3032">
            <w:pPr>
              <w:pStyle w:val="Tabletext"/>
              <w:keepNext/>
              <w:keepLines/>
              <w:widowControl w:val="0"/>
              <w:rPr>
                <w:highlight w:val="yellow"/>
              </w:rPr>
            </w:pPr>
            <w:r w:rsidRPr="008F3032">
              <w:rPr>
                <w:b/>
                <w:bCs/>
              </w:rPr>
              <w:t xml:space="preserve">REDACTED </w:t>
            </w:r>
          </w:p>
        </w:tc>
        <w:tc>
          <w:tcPr>
            <w:tcW w:w="0" w:type="auto"/>
            <w:hideMark/>
          </w:tcPr>
          <w:p w14:paraId="2124272B" w14:textId="636228B4" w:rsidR="008F3032" w:rsidRPr="0082105F" w:rsidRDefault="008F3032" w:rsidP="008F3032">
            <w:pPr>
              <w:pStyle w:val="Tabletext"/>
              <w:keepNext/>
              <w:keepLines/>
              <w:widowControl w:val="0"/>
              <w:rPr>
                <w:highlight w:val="yellow"/>
              </w:rPr>
            </w:pPr>
            <w:r w:rsidRPr="008F3032">
              <w:rPr>
                <w:b/>
                <w:bCs/>
              </w:rPr>
              <w:t xml:space="preserve">REDACTED </w:t>
            </w:r>
          </w:p>
        </w:tc>
        <w:tc>
          <w:tcPr>
            <w:tcW w:w="0" w:type="auto"/>
            <w:hideMark/>
          </w:tcPr>
          <w:p w14:paraId="1A6281B8" w14:textId="3C448EE8" w:rsidR="008F3032" w:rsidRPr="0082105F" w:rsidRDefault="008F3032" w:rsidP="008F3032">
            <w:pPr>
              <w:pStyle w:val="Tabletext"/>
              <w:keepNext/>
              <w:keepLines/>
              <w:widowControl w:val="0"/>
              <w:rPr>
                <w:highlight w:val="yellow"/>
              </w:rPr>
            </w:pPr>
            <w:r w:rsidRPr="008F3032">
              <w:rPr>
                <w:b/>
                <w:bCs/>
              </w:rPr>
              <w:t xml:space="preserve">REDACTED </w:t>
            </w:r>
          </w:p>
        </w:tc>
        <w:tc>
          <w:tcPr>
            <w:tcW w:w="0" w:type="auto"/>
            <w:hideMark/>
          </w:tcPr>
          <w:p w14:paraId="23E39BC2" w14:textId="6D811AAC" w:rsidR="008F3032" w:rsidRPr="0082105F" w:rsidRDefault="008F3032" w:rsidP="008F3032">
            <w:pPr>
              <w:pStyle w:val="Tabletext"/>
              <w:keepNext/>
              <w:keepLines/>
              <w:widowControl w:val="0"/>
              <w:rPr>
                <w:highlight w:val="yellow"/>
              </w:rPr>
            </w:pPr>
            <w:r w:rsidRPr="008F3032">
              <w:rPr>
                <w:b/>
                <w:bCs/>
              </w:rPr>
              <w:t xml:space="preserve">REDACTED </w:t>
            </w:r>
          </w:p>
        </w:tc>
        <w:tc>
          <w:tcPr>
            <w:tcW w:w="1347" w:type="dxa"/>
            <w:hideMark/>
          </w:tcPr>
          <w:p w14:paraId="6DDB22F6" w14:textId="77777777" w:rsidR="008F3032" w:rsidRPr="00B71A7E" w:rsidRDefault="008F3032" w:rsidP="008F3032">
            <w:pPr>
              <w:pStyle w:val="Tabletext"/>
              <w:keepNext/>
              <w:keepLines/>
              <w:widowControl w:val="0"/>
            </w:pPr>
            <w:r>
              <w:fldChar w:fldCharType="begin"/>
            </w:r>
            <w:r>
              <w:instrText xml:space="preserve"> REF _Ref50549691 \h  \* MERGEFORMAT </w:instrText>
            </w:r>
            <w:r>
              <w:fldChar w:fldCharType="separate"/>
            </w:r>
            <w:r w:rsidRPr="00745107">
              <w:rPr>
                <w:bCs/>
                <w:lang w:val="en-US"/>
              </w:rPr>
              <w:t>Table 15</w:t>
            </w:r>
            <w:r>
              <w:rPr>
                <w:b/>
                <w:bCs/>
                <w:lang w:val="en-US"/>
              </w:rPr>
              <w:t>.</w:t>
            </w:r>
            <w:r>
              <w:fldChar w:fldCharType="end"/>
            </w:r>
          </w:p>
        </w:tc>
      </w:tr>
      <w:tr w:rsidR="008F3032" w:rsidRPr="00B71A7E" w14:paraId="50E5914E" w14:textId="77777777" w:rsidTr="008F3032">
        <w:trPr>
          <w:trHeight w:val="142"/>
        </w:trPr>
        <w:tc>
          <w:tcPr>
            <w:tcW w:w="2037" w:type="dxa"/>
            <w:hideMark/>
          </w:tcPr>
          <w:p w14:paraId="48CB7E15" w14:textId="77777777" w:rsidR="008F3032" w:rsidRPr="00B71A7E" w:rsidRDefault="008F3032" w:rsidP="008F3032">
            <w:pPr>
              <w:pStyle w:val="Tabletext"/>
              <w:keepNext/>
              <w:keepLines/>
              <w:widowControl w:val="0"/>
            </w:pPr>
            <w:r w:rsidRPr="00B71A7E">
              <w:t>Total cost to the PBS</w:t>
            </w:r>
          </w:p>
        </w:tc>
        <w:tc>
          <w:tcPr>
            <w:tcW w:w="1127" w:type="dxa"/>
            <w:hideMark/>
          </w:tcPr>
          <w:p w14:paraId="33E251CB" w14:textId="68E318AF" w:rsidR="008F3032" w:rsidRPr="0082105F" w:rsidRDefault="008F3032" w:rsidP="008F3032">
            <w:pPr>
              <w:pStyle w:val="Tabletext"/>
              <w:keepNext/>
              <w:keepLines/>
              <w:widowControl w:val="0"/>
              <w:rPr>
                <w:i/>
                <w:highlight w:val="yellow"/>
              </w:rPr>
            </w:pPr>
            <w:r w:rsidRPr="008F3032">
              <w:rPr>
                <w:b/>
                <w:bCs/>
              </w:rPr>
              <w:t xml:space="preserve">REDACTED </w:t>
            </w:r>
          </w:p>
        </w:tc>
        <w:tc>
          <w:tcPr>
            <w:tcW w:w="0" w:type="auto"/>
            <w:hideMark/>
          </w:tcPr>
          <w:p w14:paraId="28CB8854" w14:textId="33C6E969" w:rsidR="008F3032" w:rsidRPr="0082105F" w:rsidRDefault="008F3032" w:rsidP="008F3032">
            <w:pPr>
              <w:pStyle w:val="Tabletext"/>
              <w:keepNext/>
              <w:keepLines/>
              <w:widowControl w:val="0"/>
              <w:rPr>
                <w:i/>
                <w:highlight w:val="yellow"/>
              </w:rPr>
            </w:pPr>
            <w:r w:rsidRPr="008F3032">
              <w:rPr>
                <w:b/>
                <w:bCs/>
              </w:rPr>
              <w:t xml:space="preserve">REDACTED </w:t>
            </w:r>
          </w:p>
        </w:tc>
        <w:tc>
          <w:tcPr>
            <w:tcW w:w="0" w:type="auto"/>
            <w:hideMark/>
          </w:tcPr>
          <w:p w14:paraId="7A456E39" w14:textId="06D4160A" w:rsidR="008F3032" w:rsidRPr="0082105F" w:rsidRDefault="008F3032" w:rsidP="008F3032">
            <w:pPr>
              <w:pStyle w:val="Tabletext"/>
              <w:keepNext/>
              <w:keepLines/>
              <w:widowControl w:val="0"/>
              <w:rPr>
                <w:i/>
                <w:highlight w:val="yellow"/>
              </w:rPr>
            </w:pPr>
            <w:r w:rsidRPr="008F3032">
              <w:rPr>
                <w:b/>
                <w:bCs/>
              </w:rPr>
              <w:t xml:space="preserve">REDACTED </w:t>
            </w:r>
          </w:p>
        </w:tc>
        <w:tc>
          <w:tcPr>
            <w:tcW w:w="0" w:type="auto"/>
            <w:hideMark/>
          </w:tcPr>
          <w:p w14:paraId="78216902" w14:textId="64D6D91E" w:rsidR="008F3032" w:rsidRPr="0082105F" w:rsidRDefault="008F3032" w:rsidP="008F3032">
            <w:pPr>
              <w:pStyle w:val="Tabletext"/>
              <w:keepNext/>
              <w:keepLines/>
              <w:widowControl w:val="0"/>
              <w:rPr>
                <w:i/>
                <w:highlight w:val="yellow"/>
              </w:rPr>
            </w:pPr>
            <w:r w:rsidRPr="008F3032">
              <w:rPr>
                <w:b/>
                <w:bCs/>
              </w:rPr>
              <w:t xml:space="preserve">REDACTED </w:t>
            </w:r>
          </w:p>
        </w:tc>
        <w:tc>
          <w:tcPr>
            <w:tcW w:w="0" w:type="auto"/>
            <w:hideMark/>
          </w:tcPr>
          <w:p w14:paraId="3ABD386A" w14:textId="3A62042C" w:rsidR="008F3032" w:rsidRPr="0082105F" w:rsidRDefault="008F3032" w:rsidP="008F3032">
            <w:pPr>
              <w:pStyle w:val="Tabletext"/>
              <w:keepNext/>
              <w:keepLines/>
              <w:widowControl w:val="0"/>
              <w:rPr>
                <w:i/>
                <w:highlight w:val="yellow"/>
              </w:rPr>
            </w:pPr>
            <w:r w:rsidRPr="008F3032">
              <w:rPr>
                <w:b/>
                <w:bCs/>
              </w:rPr>
              <w:t xml:space="preserve">REDACTED </w:t>
            </w:r>
          </w:p>
        </w:tc>
        <w:tc>
          <w:tcPr>
            <w:tcW w:w="1347" w:type="dxa"/>
            <w:hideMark/>
          </w:tcPr>
          <w:p w14:paraId="082A1147" w14:textId="77777777" w:rsidR="008F3032" w:rsidRPr="00B71A7E" w:rsidRDefault="008F3032" w:rsidP="008F3032">
            <w:pPr>
              <w:pStyle w:val="Tabletext"/>
              <w:keepNext/>
              <w:keepLines/>
              <w:widowControl w:val="0"/>
            </w:pPr>
            <w:r>
              <w:fldChar w:fldCharType="begin"/>
            </w:r>
            <w:r>
              <w:instrText xml:space="preserve"> REF _Ref50549691 \h  \* MERGEFORMAT </w:instrText>
            </w:r>
            <w:r>
              <w:fldChar w:fldCharType="separate"/>
            </w:r>
            <w:r>
              <w:t>Table 15</w:t>
            </w:r>
            <w:r>
              <w:rPr>
                <w:b/>
                <w:bCs/>
                <w:lang w:val="en-US"/>
              </w:rPr>
              <w:t>.</w:t>
            </w:r>
            <w:r>
              <w:fldChar w:fldCharType="end"/>
            </w:r>
          </w:p>
        </w:tc>
      </w:tr>
      <w:tr w:rsidR="008F3032" w:rsidRPr="00B71A7E" w14:paraId="22C44DAA" w14:textId="77777777" w:rsidTr="008F3032">
        <w:trPr>
          <w:trHeight w:val="61"/>
        </w:trPr>
        <w:tc>
          <w:tcPr>
            <w:tcW w:w="2037" w:type="dxa"/>
            <w:hideMark/>
          </w:tcPr>
          <w:p w14:paraId="1204463D" w14:textId="77777777" w:rsidR="008F3032" w:rsidRPr="00B71A7E" w:rsidRDefault="008F3032" w:rsidP="008F3032">
            <w:pPr>
              <w:pStyle w:val="Tabletext"/>
              <w:keepNext/>
              <w:keepLines/>
              <w:widowControl w:val="0"/>
            </w:pPr>
            <w:r w:rsidRPr="00B71A7E">
              <w:t xml:space="preserve">Total cost to the Australian </w:t>
            </w:r>
            <w:r>
              <w:t>G</w:t>
            </w:r>
            <w:r w:rsidRPr="00B71A7E">
              <w:t>overnment</w:t>
            </w:r>
          </w:p>
        </w:tc>
        <w:tc>
          <w:tcPr>
            <w:tcW w:w="1127" w:type="dxa"/>
            <w:hideMark/>
          </w:tcPr>
          <w:p w14:paraId="38BC3C3B" w14:textId="011741EB" w:rsidR="008F3032" w:rsidRPr="0082105F" w:rsidRDefault="008F3032" w:rsidP="008F3032">
            <w:pPr>
              <w:pStyle w:val="Tabletext"/>
              <w:keepNext/>
              <w:keepLines/>
              <w:widowControl w:val="0"/>
              <w:rPr>
                <w:i/>
                <w:highlight w:val="yellow"/>
              </w:rPr>
            </w:pPr>
            <w:r w:rsidRPr="008F3032">
              <w:rPr>
                <w:b/>
                <w:bCs/>
              </w:rPr>
              <w:t xml:space="preserve">REDACTED </w:t>
            </w:r>
          </w:p>
        </w:tc>
        <w:tc>
          <w:tcPr>
            <w:tcW w:w="0" w:type="auto"/>
            <w:hideMark/>
          </w:tcPr>
          <w:p w14:paraId="70618E9A" w14:textId="1DE69DA1" w:rsidR="008F3032" w:rsidRPr="0082105F" w:rsidRDefault="008F3032" w:rsidP="008F3032">
            <w:pPr>
              <w:pStyle w:val="Tabletext"/>
              <w:keepNext/>
              <w:keepLines/>
              <w:widowControl w:val="0"/>
              <w:rPr>
                <w:i/>
                <w:highlight w:val="yellow"/>
              </w:rPr>
            </w:pPr>
            <w:r w:rsidRPr="008F3032">
              <w:rPr>
                <w:b/>
                <w:bCs/>
              </w:rPr>
              <w:t xml:space="preserve">REDACTED </w:t>
            </w:r>
          </w:p>
        </w:tc>
        <w:tc>
          <w:tcPr>
            <w:tcW w:w="0" w:type="auto"/>
            <w:hideMark/>
          </w:tcPr>
          <w:p w14:paraId="04BCDAC4" w14:textId="4E407D01" w:rsidR="008F3032" w:rsidRPr="0082105F" w:rsidRDefault="008F3032" w:rsidP="008F3032">
            <w:pPr>
              <w:pStyle w:val="Tabletext"/>
              <w:keepNext/>
              <w:keepLines/>
              <w:widowControl w:val="0"/>
              <w:rPr>
                <w:i/>
                <w:highlight w:val="yellow"/>
              </w:rPr>
            </w:pPr>
            <w:r w:rsidRPr="008F3032">
              <w:rPr>
                <w:b/>
                <w:bCs/>
              </w:rPr>
              <w:t xml:space="preserve">REDACTED </w:t>
            </w:r>
          </w:p>
        </w:tc>
        <w:tc>
          <w:tcPr>
            <w:tcW w:w="0" w:type="auto"/>
            <w:hideMark/>
          </w:tcPr>
          <w:p w14:paraId="021B46FC" w14:textId="2EA72B52" w:rsidR="008F3032" w:rsidRPr="0082105F" w:rsidRDefault="008F3032" w:rsidP="008F3032">
            <w:pPr>
              <w:pStyle w:val="Tabletext"/>
              <w:keepNext/>
              <w:keepLines/>
              <w:widowControl w:val="0"/>
              <w:rPr>
                <w:i/>
                <w:highlight w:val="yellow"/>
              </w:rPr>
            </w:pPr>
            <w:r w:rsidRPr="008F3032">
              <w:rPr>
                <w:b/>
                <w:bCs/>
              </w:rPr>
              <w:t xml:space="preserve">REDACTED </w:t>
            </w:r>
          </w:p>
        </w:tc>
        <w:tc>
          <w:tcPr>
            <w:tcW w:w="0" w:type="auto"/>
            <w:hideMark/>
          </w:tcPr>
          <w:p w14:paraId="7C675CE5" w14:textId="4CA9CC7E" w:rsidR="008F3032" w:rsidRPr="0082105F" w:rsidRDefault="008F3032" w:rsidP="008F3032">
            <w:pPr>
              <w:pStyle w:val="Tabletext"/>
              <w:keepNext/>
              <w:keepLines/>
              <w:widowControl w:val="0"/>
              <w:rPr>
                <w:i/>
                <w:highlight w:val="yellow"/>
              </w:rPr>
            </w:pPr>
            <w:r w:rsidRPr="008F3032">
              <w:rPr>
                <w:b/>
                <w:bCs/>
              </w:rPr>
              <w:t xml:space="preserve">REDACTED </w:t>
            </w:r>
          </w:p>
        </w:tc>
        <w:tc>
          <w:tcPr>
            <w:tcW w:w="1347" w:type="dxa"/>
            <w:hideMark/>
          </w:tcPr>
          <w:p w14:paraId="2463C689" w14:textId="77777777" w:rsidR="008F3032" w:rsidRPr="00B71A7E" w:rsidRDefault="008F3032" w:rsidP="008F3032">
            <w:pPr>
              <w:pStyle w:val="Tabletext"/>
              <w:keepNext/>
              <w:keepLines/>
              <w:widowControl w:val="0"/>
            </w:pPr>
            <w:r>
              <w:fldChar w:fldCharType="begin"/>
            </w:r>
            <w:r>
              <w:instrText xml:space="preserve"> REF _Ref50549691 \h  \* MERGEFORMAT </w:instrText>
            </w:r>
            <w:r>
              <w:fldChar w:fldCharType="separate"/>
            </w:r>
            <w:r>
              <w:t>Table 15</w:t>
            </w:r>
            <w:r>
              <w:rPr>
                <w:b/>
                <w:bCs/>
                <w:lang w:val="en-US"/>
              </w:rPr>
              <w:t>.</w:t>
            </w:r>
            <w:r>
              <w:fldChar w:fldCharType="end"/>
            </w:r>
          </w:p>
        </w:tc>
      </w:tr>
      <w:tr w:rsidR="008F3032" w:rsidRPr="00B71A7E" w14:paraId="7C51A894" w14:textId="77777777" w:rsidTr="008F3032">
        <w:trPr>
          <w:trHeight w:val="607"/>
        </w:trPr>
        <w:tc>
          <w:tcPr>
            <w:tcW w:w="2037" w:type="dxa"/>
            <w:hideMark/>
          </w:tcPr>
          <w:p w14:paraId="5FE428B4" w14:textId="77777777" w:rsidR="008F3032" w:rsidRPr="00B71A7E" w:rsidRDefault="008F3032" w:rsidP="008F3032">
            <w:pPr>
              <w:pStyle w:val="Tabletext"/>
              <w:keepNext/>
              <w:keepLines/>
              <w:widowControl w:val="0"/>
            </w:pPr>
            <w:r w:rsidRPr="00B71A7E">
              <w:t>Total cost to private health funds</w:t>
            </w:r>
          </w:p>
        </w:tc>
        <w:tc>
          <w:tcPr>
            <w:tcW w:w="1127" w:type="dxa"/>
            <w:hideMark/>
          </w:tcPr>
          <w:p w14:paraId="7A08845F" w14:textId="6B747E0D" w:rsidR="008F3032" w:rsidRPr="0082105F" w:rsidRDefault="008F3032" w:rsidP="008F3032">
            <w:pPr>
              <w:pStyle w:val="Tabletext"/>
              <w:keepNext/>
              <w:keepLines/>
              <w:widowControl w:val="0"/>
              <w:rPr>
                <w:i/>
                <w:highlight w:val="yellow"/>
              </w:rPr>
            </w:pPr>
            <w:r w:rsidRPr="008F3032">
              <w:rPr>
                <w:b/>
                <w:bCs/>
              </w:rPr>
              <w:t xml:space="preserve">REDACTED </w:t>
            </w:r>
          </w:p>
        </w:tc>
        <w:tc>
          <w:tcPr>
            <w:tcW w:w="0" w:type="auto"/>
            <w:hideMark/>
          </w:tcPr>
          <w:p w14:paraId="15356CF0" w14:textId="06A00986" w:rsidR="008F3032" w:rsidRPr="0082105F" w:rsidRDefault="008F3032" w:rsidP="008F3032">
            <w:pPr>
              <w:pStyle w:val="Tabletext"/>
              <w:keepNext/>
              <w:keepLines/>
              <w:widowControl w:val="0"/>
              <w:rPr>
                <w:i/>
                <w:highlight w:val="yellow"/>
              </w:rPr>
            </w:pPr>
            <w:r w:rsidRPr="008F3032">
              <w:rPr>
                <w:b/>
                <w:bCs/>
              </w:rPr>
              <w:t xml:space="preserve">REDACTED </w:t>
            </w:r>
          </w:p>
        </w:tc>
        <w:tc>
          <w:tcPr>
            <w:tcW w:w="0" w:type="auto"/>
            <w:hideMark/>
          </w:tcPr>
          <w:p w14:paraId="614AB317" w14:textId="65E33E99" w:rsidR="008F3032" w:rsidRPr="0082105F" w:rsidRDefault="008F3032" w:rsidP="008F3032">
            <w:pPr>
              <w:pStyle w:val="Tabletext"/>
              <w:keepNext/>
              <w:keepLines/>
              <w:widowControl w:val="0"/>
              <w:rPr>
                <w:i/>
                <w:highlight w:val="yellow"/>
              </w:rPr>
            </w:pPr>
            <w:r w:rsidRPr="008F3032">
              <w:rPr>
                <w:b/>
                <w:bCs/>
              </w:rPr>
              <w:t xml:space="preserve">REDACTED </w:t>
            </w:r>
          </w:p>
        </w:tc>
        <w:tc>
          <w:tcPr>
            <w:tcW w:w="0" w:type="auto"/>
            <w:hideMark/>
          </w:tcPr>
          <w:p w14:paraId="763FE6DA" w14:textId="4DE06E02" w:rsidR="008F3032" w:rsidRPr="0082105F" w:rsidRDefault="008F3032" w:rsidP="008F3032">
            <w:pPr>
              <w:pStyle w:val="Tabletext"/>
              <w:keepNext/>
              <w:keepLines/>
              <w:widowControl w:val="0"/>
              <w:rPr>
                <w:i/>
                <w:highlight w:val="yellow"/>
              </w:rPr>
            </w:pPr>
            <w:r w:rsidRPr="008F3032">
              <w:rPr>
                <w:b/>
                <w:bCs/>
              </w:rPr>
              <w:t xml:space="preserve">REDACTED </w:t>
            </w:r>
          </w:p>
        </w:tc>
        <w:tc>
          <w:tcPr>
            <w:tcW w:w="0" w:type="auto"/>
            <w:hideMark/>
          </w:tcPr>
          <w:p w14:paraId="61D526CD" w14:textId="4B94F15D" w:rsidR="008F3032" w:rsidRPr="0082105F" w:rsidRDefault="008F3032" w:rsidP="008F3032">
            <w:pPr>
              <w:pStyle w:val="Tabletext"/>
              <w:keepNext/>
              <w:keepLines/>
              <w:widowControl w:val="0"/>
              <w:rPr>
                <w:i/>
                <w:highlight w:val="yellow"/>
              </w:rPr>
            </w:pPr>
            <w:r w:rsidRPr="008F3032">
              <w:rPr>
                <w:b/>
                <w:bCs/>
              </w:rPr>
              <w:t xml:space="preserve">REDACTED </w:t>
            </w:r>
          </w:p>
        </w:tc>
        <w:tc>
          <w:tcPr>
            <w:tcW w:w="1347" w:type="dxa"/>
            <w:hideMark/>
          </w:tcPr>
          <w:p w14:paraId="493E766A" w14:textId="77777777" w:rsidR="008F3032" w:rsidRPr="00B71A7E" w:rsidRDefault="008F3032" w:rsidP="008F3032">
            <w:pPr>
              <w:pStyle w:val="Tabletext"/>
              <w:keepNext/>
              <w:keepLines/>
              <w:widowControl w:val="0"/>
            </w:pPr>
            <w:r>
              <w:fldChar w:fldCharType="begin"/>
            </w:r>
            <w:r>
              <w:instrText xml:space="preserve"> REF _Ref50549691 \h  \* MERGEFORMAT </w:instrText>
            </w:r>
            <w:r>
              <w:fldChar w:fldCharType="separate"/>
            </w:r>
            <w:r>
              <w:t>Table 15</w:t>
            </w:r>
            <w:r>
              <w:fldChar w:fldCharType="end"/>
            </w:r>
          </w:p>
        </w:tc>
      </w:tr>
    </w:tbl>
    <w:p w14:paraId="63BD416E" w14:textId="77777777" w:rsidR="00E93186" w:rsidRPr="00FF2CC3" w:rsidRDefault="00E93186" w:rsidP="00E93186">
      <w:pPr>
        <w:rPr>
          <w:rFonts w:ascii="Arial Narrow" w:hAnsi="Arial Narrow" w:cs="Tahoma"/>
          <w:i/>
          <w:sz w:val="18"/>
          <w:szCs w:val="18"/>
        </w:rPr>
      </w:pPr>
      <w:r w:rsidRPr="004610C3">
        <w:rPr>
          <w:rFonts w:ascii="Arial Narrow" w:hAnsi="Arial Narrow" w:cs="Tahoma"/>
          <w:sz w:val="18"/>
          <w:szCs w:val="18"/>
        </w:rPr>
        <w:t xml:space="preserve">Source: </w:t>
      </w:r>
      <w:r>
        <w:rPr>
          <w:rFonts w:ascii="Arial Narrow" w:hAnsi="Arial Narrow" w:cs="Tahoma"/>
          <w:sz w:val="18"/>
          <w:szCs w:val="18"/>
        </w:rPr>
        <w:t xml:space="preserve">Table 17, p34 of the ADAR Attachment 1 with commentary in </w:t>
      </w:r>
      <w:r>
        <w:rPr>
          <w:rFonts w:ascii="Arial Narrow" w:hAnsi="Arial Narrow" w:cs="Tahoma"/>
          <w:i/>
          <w:sz w:val="18"/>
          <w:szCs w:val="18"/>
        </w:rPr>
        <w:t>italics</w:t>
      </w:r>
    </w:p>
    <w:p w14:paraId="6E8408FA" w14:textId="77777777" w:rsidR="00E93186" w:rsidRPr="004610C3" w:rsidRDefault="00E93186" w:rsidP="00E93186">
      <w:pPr>
        <w:rPr>
          <w:rFonts w:ascii="Arial Narrow" w:hAnsi="Arial Narrow" w:cs="Tahoma"/>
          <w:sz w:val="18"/>
          <w:szCs w:val="18"/>
        </w:rPr>
      </w:pPr>
      <w:r>
        <w:rPr>
          <w:rFonts w:ascii="Arial Narrow" w:hAnsi="Arial Narrow" w:cs="Tahoma"/>
          <w:sz w:val="18"/>
          <w:szCs w:val="18"/>
        </w:rPr>
        <w:t xml:space="preserve">Abbreviations: </w:t>
      </w:r>
      <w:r w:rsidRPr="004610C3">
        <w:rPr>
          <w:rFonts w:ascii="Arial Narrow" w:hAnsi="Arial Narrow" w:cs="Tahoma"/>
          <w:sz w:val="18"/>
          <w:szCs w:val="18"/>
        </w:rPr>
        <w:t>LAAC</w:t>
      </w:r>
      <w:r>
        <w:rPr>
          <w:rFonts w:ascii="Arial Narrow" w:hAnsi="Arial Narrow" w:cs="Tahoma"/>
          <w:sz w:val="18"/>
          <w:szCs w:val="18"/>
        </w:rPr>
        <w:t xml:space="preserve"> =</w:t>
      </w:r>
      <w:r w:rsidRPr="004610C3">
        <w:rPr>
          <w:rFonts w:ascii="Arial Narrow" w:hAnsi="Arial Narrow" w:cs="Tahoma"/>
          <w:sz w:val="18"/>
          <w:szCs w:val="18"/>
        </w:rPr>
        <w:t xml:space="preserve"> left appendage atrial closure</w:t>
      </w:r>
      <w:r>
        <w:rPr>
          <w:rFonts w:ascii="Arial Narrow" w:hAnsi="Arial Narrow" w:cs="Tahoma"/>
          <w:sz w:val="18"/>
          <w:szCs w:val="18"/>
        </w:rPr>
        <w:t>;</w:t>
      </w:r>
      <w:r w:rsidRPr="004610C3">
        <w:rPr>
          <w:rFonts w:ascii="Arial Narrow" w:hAnsi="Arial Narrow" w:cs="Tahoma"/>
          <w:sz w:val="18"/>
          <w:szCs w:val="18"/>
        </w:rPr>
        <w:t xml:space="preserve"> MBS, Medical Benefits Schedule</w:t>
      </w:r>
      <w:r>
        <w:rPr>
          <w:rFonts w:ascii="Arial Narrow" w:hAnsi="Arial Narrow" w:cs="Tahoma"/>
          <w:sz w:val="18"/>
          <w:szCs w:val="18"/>
        </w:rPr>
        <w:t>; PBS = Pharmaceutical Benefits Scheme</w:t>
      </w:r>
    </w:p>
    <w:p w14:paraId="5A594DDD" w14:textId="77777777" w:rsidR="00E93186" w:rsidRPr="004610C3" w:rsidRDefault="00E93186" w:rsidP="00E93186">
      <w:pPr>
        <w:rPr>
          <w:rFonts w:ascii="Arial Narrow" w:hAnsi="Arial Narrow" w:cs="Tahoma"/>
          <w:sz w:val="18"/>
          <w:szCs w:val="18"/>
        </w:rPr>
      </w:pPr>
      <w:r w:rsidRPr="004610C3">
        <w:rPr>
          <w:rFonts w:ascii="Arial Narrow" w:hAnsi="Arial Narrow" w:cs="Tahoma"/>
          <w:sz w:val="18"/>
          <w:szCs w:val="18"/>
        </w:rPr>
        <w:t xml:space="preserve">Note: </w:t>
      </w:r>
    </w:p>
    <w:p w14:paraId="2F0CF89E" w14:textId="77777777" w:rsidR="00E93186" w:rsidRPr="004610C3" w:rsidRDefault="00E93186" w:rsidP="00E93186">
      <w:pPr>
        <w:numPr>
          <w:ilvl w:val="0"/>
          <w:numId w:val="35"/>
        </w:numPr>
        <w:ind w:left="426" w:hanging="357"/>
        <w:rPr>
          <w:rFonts w:ascii="Arial Narrow" w:hAnsi="Arial Narrow" w:cs="Tahoma"/>
          <w:sz w:val="18"/>
          <w:szCs w:val="18"/>
        </w:rPr>
      </w:pPr>
      <w:r w:rsidRPr="004610C3">
        <w:rPr>
          <w:rFonts w:ascii="Arial Narrow" w:hAnsi="Arial Narrow" w:cs="Tahoma"/>
          <w:sz w:val="18"/>
          <w:szCs w:val="18"/>
        </w:rPr>
        <w:t>Original table had six years of estimates.  The table above represents the relevant excerpt of the first five years.</w:t>
      </w:r>
    </w:p>
    <w:p w14:paraId="6F63DC10" w14:textId="4B7965F3" w:rsidR="00E93186" w:rsidRPr="00B3097D" w:rsidRDefault="00E93186" w:rsidP="00B3097D">
      <w:pPr>
        <w:numPr>
          <w:ilvl w:val="0"/>
          <w:numId w:val="35"/>
        </w:numPr>
        <w:spacing w:after="240"/>
        <w:ind w:left="426" w:hanging="357"/>
        <w:rPr>
          <w:rFonts w:ascii="Arial Narrow" w:hAnsi="Arial Narrow" w:cs="Tahoma"/>
          <w:sz w:val="18"/>
          <w:szCs w:val="18"/>
        </w:rPr>
      </w:pPr>
      <w:r w:rsidRPr="004610C3">
        <w:rPr>
          <w:rFonts w:ascii="Arial Narrow" w:hAnsi="Arial Narrow" w:cs="Tahoma"/>
          <w:sz w:val="18"/>
          <w:szCs w:val="18"/>
        </w:rPr>
        <w:t xml:space="preserve">Table sources refer to </w:t>
      </w:r>
      <w:r>
        <w:rPr>
          <w:rFonts w:ascii="Arial Narrow" w:hAnsi="Arial Narrow" w:cs="Tahoma"/>
          <w:sz w:val="18"/>
          <w:szCs w:val="18"/>
        </w:rPr>
        <w:t xml:space="preserve">ADAR </w:t>
      </w:r>
      <w:r w:rsidRPr="004610C3">
        <w:rPr>
          <w:rFonts w:ascii="Arial Narrow" w:hAnsi="Arial Narrow" w:cs="Tahoma"/>
          <w:sz w:val="18"/>
          <w:szCs w:val="18"/>
        </w:rPr>
        <w:t>Attachment 1.</w:t>
      </w:r>
    </w:p>
    <w:p w14:paraId="64FE4580" w14:textId="77777777" w:rsidR="00E93186" w:rsidRPr="004610C3" w:rsidRDefault="00E93186" w:rsidP="00B3097D">
      <w:pPr>
        <w:pStyle w:val="Heading3"/>
      </w:pPr>
      <w:r w:rsidRPr="004610C3">
        <w:t>Population 2</w:t>
      </w:r>
    </w:p>
    <w:p w14:paraId="391CD246" w14:textId="04152A07" w:rsidR="00E93186" w:rsidRDefault="00E93186" w:rsidP="00B3097D">
      <w:pPr>
        <w:spacing w:after="240"/>
      </w:pPr>
      <w:r>
        <w:t>An</w:t>
      </w:r>
      <w:r w:rsidRPr="004610C3">
        <w:t xml:space="preserve"> epidemiological approach </w:t>
      </w:r>
      <w:r>
        <w:t xml:space="preserve">was used to </w:t>
      </w:r>
      <w:r w:rsidRPr="004610C3">
        <w:t>estimate the</w:t>
      </w:r>
      <w:r>
        <w:t xml:space="preserve"> financial implications of modifying</w:t>
      </w:r>
      <w:r w:rsidRPr="007B6963">
        <w:t xml:space="preserve"> the definition of contraindication to lifelong </w:t>
      </w:r>
      <w:r w:rsidRPr="00745107">
        <w:t>anticoagulation</w:t>
      </w:r>
      <w:r w:rsidRPr="007B6963">
        <w:t xml:space="preserve"> to </w:t>
      </w:r>
      <w:r>
        <w:t>include relative</w:t>
      </w:r>
      <w:r w:rsidRPr="007B6963">
        <w:t xml:space="preserve"> contra</w:t>
      </w:r>
      <w:r>
        <w:t xml:space="preserve">indications to </w:t>
      </w:r>
      <w:r w:rsidRPr="00745107">
        <w:t>anticoagulation</w:t>
      </w:r>
      <w:r>
        <w:t xml:space="preserve"> (Population 2</w:t>
      </w:r>
      <w:r w:rsidRPr="007B6963">
        <w:t>) and thereby expanding the patient population eligible for MBS item 38276</w:t>
      </w:r>
      <w:r>
        <w:t>,</w:t>
      </w:r>
      <w:r w:rsidRPr="004610C3">
        <w:t xml:space="preserve"> are summarised in </w:t>
      </w:r>
      <w:r w:rsidRPr="004610C3">
        <w:rPr>
          <w:highlight w:val="cyan"/>
        </w:rPr>
        <w:fldChar w:fldCharType="begin"/>
      </w:r>
      <w:r w:rsidRPr="004610C3">
        <w:instrText xml:space="preserve"> REF _Ref404372077 \h </w:instrText>
      </w:r>
      <w:r w:rsidRPr="004610C3">
        <w:rPr>
          <w:highlight w:val="cyan"/>
        </w:rPr>
        <w:instrText xml:space="preserve"> \* MERGEFORMAT </w:instrText>
      </w:r>
      <w:r w:rsidRPr="004610C3">
        <w:rPr>
          <w:highlight w:val="cyan"/>
        </w:rPr>
      </w:r>
      <w:r w:rsidRPr="004610C3">
        <w:rPr>
          <w:highlight w:val="cyan"/>
        </w:rPr>
        <w:fldChar w:fldCharType="separate"/>
      </w:r>
      <w:r w:rsidRPr="00C11C3B">
        <w:t xml:space="preserve">Table </w:t>
      </w:r>
      <w:r>
        <w:rPr>
          <w:noProof/>
        </w:rPr>
        <w:t>15</w:t>
      </w:r>
      <w:r w:rsidRPr="004610C3">
        <w:fldChar w:fldCharType="end"/>
      </w:r>
      <w:r w:rsidRPr="004610C3">
        <w:t xml:space="preserve">.  </w:t>
      </w:r>
    </w:p>
    <w:p w14:paraId="36886158" w14:textId="21A1F29F" w:rsidR="00E93186" w:rsidRDefault="00E93186" w:rsidP="00B3097D">
      <w:pPr>
        <w:spacing w:after="240"/>
      </w:pPr>
      <w:r w:rsidRPr="004610C3">
        <w:rPr>
          <w:bCs/>
        </w:rPr>
        <w:t xml:space="preserve">The ADAR provided an estimated MBS cost of service for the LAAC procedure of </w:t>
      </w:r>
      <w:r w:rsidRPr="008F3032">
        <w:rPr>
          <w:bCs/>
        </w:rPr>
        <w:t>$</w:t>
      </w:r>
      <w:r w:rsidR="008F3032" w:rsidRPr="008F3032">
        <w:rPr>
          <w:b/>
        </w:rPr>
        <w:t>REDACTED</w:t>
      </w:r>
      <w:r w:rsidRPr="008F3032">
        <w:rPr>
          <w:bCs/>
        </w:rPr>
        <w:t>,</w:t>
      </w:r>
      <w:r w:rsidRPr="004610C3">
        <w:rPr>
          <w:bCs/>
        </w:rPr>
        <w:t xml:space="preserve"> with accumulated PBS cost offsets (over the five-year analysis period) of at minimum </w:t>
      </w:r>
      <w:r w:rsidR="008F3032" w:rsidRPr="008F3032">
        <w:rPr>
          <w:bCs/>
        </w:rPr>
        <w:t>$</w:t>
      </w:r>
      <w:r w:rsidR="008F3032" w:rsidRPr="008F3032">
        <w:rPr>
          <w:b/>
        </w:rPr>
        <w:t>REDACTED</w:t>
      </w:r>
      <w:r w:rsidRPr="004610C3">
        <w:rPr>
          <w:bCs/>
        </w:rPr>
        <w:t>.</w:t>
      </w:r>
      <w:r>
        <w:rPr>
          <w:bCs/>
        </w:rPr>
        <w:t xml:space="preserve"> </w:t>
      </w:r>
      <w:r w:rsidRPr="004610C3">
        <w:t xml:space="preserve">The ADAR </w:t>
      </w:r>
      <w:r>
        <w:t xml:space="preserve">estimated the inclusion of relative contraindications for LAAC would result in an </w:t>
      </w:r>
      <w:r w:rsidRPr="004610C3">
        <w:t xml:space="preserve">estimated additional </w:t>
      </w:r>
      <w:r w:rsidR="008F3032" w:rsidRPr="008F3032">
        <w:rPr>
          <w:b/>
        </w:rPr>
        <w:t>REDACTED</w:t>
      </w:r>
      <w:r w:rsidR="008F3032" w:rsidRPr="004610C3">
        <w:t xml:space="preserve"> </w:t>
      </w:r>
      <w:r w:rsidRPr="004610C3">
        <w:t xml:space="preserve">patients in the first year, increasing to </w:t>
      </w:r>
      <w:r w:rsidR="008F3032" w:rsidRPr="008F3032">
        <w:rPr>
          <w:b/>
        </w:rPr>
        <w:t>REDACTED</w:t>
      </w:r>
      <w:r w:rsidR="008F3032" w:rsidRPr="004610C3">
        <w:t xml:space="preserve"> </w:t>
      </w:r>
      <w:r w:rsidRPr="004610C3">
        <w:t xml:space="preserve">patients by year five. The estimated financial impact is </w:t>
      </w:r>
      <w:r w:rsidR="008F3032" w:rsidRPr="008F3032">
        <w:rPr>
          <w:bCs/>
        </w:rPr>
        <w:t>$</w:t>
      </w:r>
      <w:r w:rsidR="008F3032" w:rsidRPr="008F3032">
        <w:rPr>
          <w:b/>
        </w:rPr>
        <w:t>REDACTED</w:t>
      </w:r>
      <w:r w:rsidR="008F3032">
        <w:rPr>
          <w:bCs/>
        </w:rPr>
        <w:t xml:space="preserve"> </w:t>
      </w:r>
      <w:r w:rsidRPr="004610C3">
        <w:t>in year one, increasi</w:t>
      </w:r>
      <w:r w:rsidR="00D03146">
        <w:t xml:space="preserve">ng to </w:t>
      </w:r>
      <w:r w:rsidR="008F3032" w:rsidRPr="008F3032">
        <w:rPr>
          <w:bCs/>
        </w:rPr>
        <w:t>$</w:t>
      </w:r>
      <w:r w:rsidR="008F3032" w:rsidRPr="008F3032">
        <w:rPr>
          <w:b/>
        </w:rPr>
        <w:t>REDACTED</w:t>
      </w:r>
      <w:r w:rsidR="008F3032">
        <w:rPr>
          <w:bCs/>
        </w:rPr>
        <w:t xml:space="preserve"> </w:t>
      </w:r>
      <w:r w:rsidR="00D03146">
        <w:t>in year five.</w:t>
      </w:r>
    </w:p>
    <w:p w14:paraId="2CD6F0D8" w14:textId="5CE58E29" w:rsidR="00E93186" w:rsidRPr="004610C3" w:rsidRDefault="00E93186" w:rsidP="00B3097D">
      <w:pPr>
        <w:spacing w:after="240"/>
      </w:pPr>
      <w:r>
        <w:t>The commentary noted that a</w:t>
      </w:r>
      <w:r w:rsidRPr="004610C3">
        <w:t xml:space="preserve">fter accounting for minor revisions to assumed patient eligibility rates, assumed mortality and calculation errors, this resulted in a revised estimate of </w:t>
      </w:r>
      <w:r w:rsidR="008F3032" w:rsidRPr="008F3032">
        <w:rPr>
          <w:b/>
        </w:rPr>
        <w:t>REDACTED</w:t>
      </w:r>
      <w:r w:rsidR="008F3032" w:rsidRPr="004610C3">
        <w:t xml:space="preserve"> </w:t>
      </w:r>
      <w:r w:rsidRPr="004610C3">
        <w:t xml:space="preserve">patients forecast in year one, increasing to </w:t>
      </w:r>
      <w:r w:rsidR="008F3032" w:rsidRPr="008F3032">
        <w:rPr>
          <w:b/>
        </w:rPr>
        <w:t>REDACTED</w:t>
      </w:r>
      <w:r w:rsidR="008F3032" w:rsidRPr="004610C3">
        <w:t xml:space="preserve"> </w:t>
      </w:r>
      <w:r w:rsidRPr="004610C3">
        <w:t>patients by year five.</w:t>
      </w:r>
      <w:r>
        <w:t xml:space="preserve"> The commentary also considered that t</w:t>
      </w:r>
      <w:r w:rsidRPr="004610C3">
        <w:t xml:space="preserve">he incremental financial impact over five years was understated due to </w:t>
      </w:r>
      <w:r>
        <w:t xml:space="preserve">ADAR </w:t>
      </w:r>
      <w:r w:rsidRPr="004610C3">
        <w:t>errors in calculating the assumed total MBS costs per</w:t>
      </w:r>
      <w:r>
        <w:t xml:space="preserve"> LAAC</w:t>
      </w:r>
      <w:r w:rsidRPr="004610C3">
        <w:t xml:space="preserve"> procedure</w:t>
      </w:r>
      <w:r>
        <w:t xml:space="preserve"> (</w:t>
      </w:r>
      <w:r w:rsidRPr="004610C3">
        <w:t xml:space="preserve">revised upwards to </w:t>
      </w:r>
      <w:r w:rsidR="008F3032" w:rsidRPr="008F3032">
        <w:rPr>
          <w:bCs/>
        </w:rPr>
        <w:t>$</w:t>
      </w:r>
      <w:r w:rsidR="008F3032" w:rsidRPr="008F3032">
        <w:rPr>
          <w:b/>
        </w:rPr>
        <w:t>REDACTED</w:t>
      </w:r>
      <w:r w:rsidRPr="008F3032">
        <w:t>). Revisions to correct the MBS costs per LAAC procedure and the estimated incremental number of LA</w:t>
      </w:r>
      <w:r w:rsidRPr="004610C3">
        <w:t xml:space="preserve">AC resulted in the five-year MBS impact increasing from </w:t>
      </w:r>
      <w:r w:rsidR="008F3032" w:rsidRPr="008F3032">
        <w:rPr>
          <w:bCs/>
        </w:rPr>
        <w:t>$</w:t>
      </w:r>
      <w:r w:rsidR="008F3032" w:rsidRPr="008F3032">
        <w:rPr>
          <w:b/>
        </w:rPr>
        <w:t>REDACTED</w:t>
      </w:r>
      <w:r w:rsidR="008F3032">
        <w:rPr>
          <w:bCs/>
        </w:rPr>
        <w:t xml:space="preserve"> </w:t>
      </w:r>
      <w:r>
        <w:t xml:space="preserve">to </w:t>
      </w:r>
      <w:r w:rsidR="008F3032" w:rsidRPr="008F3032">
        <w:rPr>
          <w:bCs/>
        </w:rPr>
        <w:t>$</w:t>
      </w:r>
      <w:r w:rsidR="008F3032" w:rsidRPr="008F3032">
        <w:rPr>
          <w:b/>
        </w:rPr>
        <w:t>REDACTED</w:t>
      </w:r>
      <w:r w:rsidR="008F3032">
        <w:rPr>
          <w:bCs/>
        </w:rPr>
        <w:t xml:space="preserve"> </w:t>
      </w:r>
      <w:r>
        <w:t>(</w:t>
      </w:r>
      <w:r w:rsidRPr="00C11C3B">
        <w:fldChar w:fldCharType="begin"/>
      </w:r>
      <w:r w:rsidRPr="00C11C3B">
        <w:instrText xml:space="preserve"> REF _Ref404372077 \h </w:instrText>
      </w:r>
      <w:r>
        <w:instrText xml:space="preserve"> \* MERGEFORMAT </w:instrText>
      </w:r>
      <w:r w:rsidRPr="00C11C3B">
        <w:fldChar w:fldCharType="separate"/>
      </w:r>
      <w:r w:rsidR="008275A0" w:rsidRPr="00C11C3B">
        <w:t xml:space="preserve">Table </w:t>
      </w:r>
      <w:r w:rsidR="008275A0">
        <w:t>17</w:t>
      </w:r>
      <w:r w:rsidRPr="00C11C3B">
        <w:fldChar w:fldCharType="end"/>
      </w:r>
      <w:r w:rsidRPr="00C11C3B">
        <w:t>)</w:t>
      </w:r>
      <w:r w:rsidR="00D03146">
        <w:t>.</w:t>
      </w:r>
    </w:p>
    <w:p w14:paraId="4CE25593" w14:textId="5CBC379B" w:rsidR="00E93186" w:rsidRPr="00C11C3B" w:rsidRDefault="00E93186" w:rsidP="00511ED5">
      <w:pPr>
        <w:pStyle w:val="Caption"/>
        <w:jc w:val="left"/>
      </w:pPr>
      <w:bookmarkStart w:id="32" w:name="_Ref404372077"/>
      <w:bookmarkStart w:id="33" w:name="_Toc393197779"/>
      <w:bookmarkStart w:id="34" w:name="_Toc393378192"/>
      <w:bookmarkStart w:id="35" w:name="_Toc399251128"/>
      <w:r w:rsidRPr="00C11C3B">
        <w:lastRenderedPageBreak/>
        <w:t xml:space="preserve">Table </w:t>
      </w:r>
      <w:r w:rsidRPr="00C11C3B">
        <w:fldChar w:fldCharType="begin"/>
      </w:r>
      <w:r w:rsidRPr="00C11C3B">
        <w:instrText>SEQ Table \* ARABIC</w:instrText>
      </w:r>
      <w:r w:rsidRPr="00C11C3B">
        <w:fldChar w:fldCharType="separate"/>
      </w:r>
      <w:r w:rsidR="008275A0">
        <w:rPr>
          <w:noProof/>
        </w:rPr>
        <w:t>17</w:t>
      </w:r>
      <w:r w:rsidRPr="00C11C3B">
        <w:fldChar w:fldCharType="end"/>
      </w:r>
      <w:bookmarkEnd w:id="32"/>
      <w:r w:rsidRPr="00C11C3B">
        <w:tab/>
      </w:r>
      <w:bookmarkEnd w:id="33"/>
      <w:bookmarkEnd w:id="34"/>
      <w:bookmarkEnd w:id="35"/>
      <w:r w:rsidRPr="00C11C3B">
        <w:t xml:space="preserve">Financial implications for the government health budget </w:t>
      </w:r>
      <w:r>
        <w:rPr>
          <w:rFonts w:cs="Tahoma"/>
          <w:szCs w:val="22"/>
        </w:rPr>
        <w:t xml:space="preserve">for the proposed inclusion of relative contraindications to </w:t>
      </w:r>
      <w:r w:rsidRPr="00745107">
        <w:rPr>
          <w:rFonts w:cs="Tahoma"/>
          <w:szCs w:val="22"/>
        </w:rPr>
        <w:t>anticoagulation</w:t>
      </w:r>
      <w:r>
        <w:rPr>
          <w:rFonts w:cs="Tahoma"/>
          <w:szCs w:val="22"/>
        </w:rPr>
        <w:t xml:space="preserve"> for</w:t>
      </w:r>
      <w:r w:rsidRPr="004610C3">
        <w:rPr>
          <w:rFonts w:cs="Tahoma"/>
          <w:szCs w:val="22"/>
        </w:rPr>
        <w:t xml:space="preserve"> LAAC</w:t>
      </w:r>
      <w:r>
        <w:rPr>
          <w:rFonts w:cs="Tahoma"/>
          <w:szCs w:val="22"/>
        </w:rPr>
        <w:t xml:space="preserve"> (Population 2)</w:t>
      </w:r>
    </w:p>
    <w:tbl>
      <w:tblPr>
        <w:tblStyle w:val="OPTUMTableNormal"/>
        <w:tblW w:w="0" w:type="auto"/>
        <w:tblLook w:val="04A0" w:firstRow="1" w:lastRow="0" w:firstColumn="1" w:lastColumn="0" w:noHBand="0" w:noVBand="1"/>
        <w:tblDescription w:val="Financial implications for the government health budget for the proposed inclusion of relative contraindications to anticoagulation for LAAC (Population 2)"/>
      </w:tblPr>
      <w:tblGrid>
        <w:gridCol w:w="563"/>
        <w:gridCol w:w="1596"/>
        <w:gridCol w:w="1127"/>
        <w:gridCol w:w="1127"/>
        <w:gridCol w:w="1127"/>
        <w:gridCol w:w="1129"/>
        <w:gridCol w:w="1129"/>
        <w:gridCol w:w="1218"/>
      </w:tblGrid>
      <w:tr w:rsidR="00E93186" w:rsidRPr="007162E3" w14:paraId="6F997C65" w14:textId="77777777" w:rsidTr="008F3032">
        <w:trPr>
          <w:cnfStyle w:val="100000000000" w:firstRow="1" w:lastRow="0" w:firstColumn="0" w:lastColumn="0" w:oddVBand="0" w:evenVBand="0" w:oddHBand="0" w:evenHBand="0" w:firstRowFirstColumn="0" w:firstRowLastColumn="0" w:lastRowFirstColumn="0" w:lastRowLastColumn="0"/>
          <w:trHeight w:val="510"/>
          <w:tblHeader/>
        </w:trPr>
        <w:tc>
          <w:tcPr>
            <w:tcW w:w="563" w:type="dxa"/>
            <w:noWrap/>
            <w:hideMark/>
          </w:tcPr>
          <w:p w14:paraId="21F9D0B4" w14:textId="77777777" w:rsidR="00E93186" w:rsidRPr="007162E3" w:rsidRDefault="00E93186" w:rsidP="00E93186">
            <w:pPr>
              <w:pStyle w:val="Tabletextboldleft"/>
            </w:pPr>
            <w:r w:rsidRPr="007162E3">
              <w:t>Row</w:t>
            </w:r>
          </w:p>
        </w:tc>
        <w:tc>
          <w:tcPr>
            <w:tcW w:w="1714" w:type="dxa"/>
            <w:hideMark/>
          </w:tcPr>
          <w:p w14:paraId="07C85D3D" w14:textId="77777777" w:rsidR="00E93186" w:rsidRPr="007162E3" w:rsidRDefault="00E93186" w:rsidP="00E93186">
            <w:pPr>
              <w:pStyle w:val="Tabletextboldleft"/>
            </w:pPr>
            <w:r w:rsidRPr="007162E3">
              <w:t>Parameter</w:t>
            </w:r>
          </w:p>
        </w:tc>
        <w:tc>
          <w:tcPr>
            <w:tcW w:w="1127" w:type="dxa"/>
            <w:hideMark/>
          </w:tcPr>
          <w:p w14:paraId="2CADAA74" w14:textId="77777777" w:rsidR="00E93186" w:rsidRPr="007162E3" w:rsidRDefault="00E93186" w:rsidP="00E93186">
            <w:pPr>
              <w:pStyle w:val="Tabletextboldleft"/>
            </w:pPr>
            <w:r w:rsidRPr="007162E3">
              <w:t>Year 1 (2021)</w:t>
            </w:r>
          </w:p>
        </w:tc>
        <w:tc>
          <w:tcPr>
            <w:tcW w:w="1127" w:type="dxa"/>
            <w:hideMark/>
          </w:tcPr>
          <w:p w14:paraId="1D70EDF3" w14:textId="77777777" w:rsidR="00E93186" w:rsidRPr="007162E3" w:rsidRDefault="00E93186" w:rsidP="00E93186">
            <w:pPr>
              <w:pStyle w:val="Tabletextboldleft"/>
            </w:pPr>
            <w:r w:rsidRPr="007162E3">
              <w:t>Year 2 (2021)</w:t>
            </w:r>
          </w:p>
        </w:tc>
        <w:tc>
          <w:tcPr>
            <w:tcW w:w="1127" w:type="dxa"/>
            <w:hideMark/>
          </w:tcPr>
          <w:p w14:paraId="10653389" w14:textId="77777777" w:rsidR="00E93186" w:rsidRPr="007162E3" w:rsidRDefault="00E93186" w:rsidP="00E93186">
            <w:pPr>
              <w:pStyle w:val="Tabletextboldleft"/>
            </w:pPr>
            <w:r w:rsidRPr="007162E3">
              <w:t>Year 3 (2023)</w:t>
            </w:r>
          </w:p>
        </w:tc>
        <w:tc>
          <w:tcPr>
            <w:tcW w:w="1129" w:type="dxa"/>
            <w:hideMark/>
          </w:tcPr>
          <w:p w14:paraId="1576C159" w14:textId="77777777" w:rsidR="00E93186" w:rsidRPr="007162E3" w:rsidRDefault="00E93186" w:rsidP="00E93186">
            <w:pPr>
              <w:pStyle w:val="Tabletextboldleft"/>
            </w:pPr>
            <w:r w:rsidRPr="007162E3">
              <w:t>Year 4 (2024)</w:t>
            </w:r>
          </w:p>
        </w:tc>
        <w:tc>
          <w:tcPr>
            <w:tcW w:w="1129" w:type="dxa"/>
            <w:hideMark/>
          </w:tcPr>
          <w:p w14:paraId="07E43E1D" w14:textId="77777777" w:rsidR="00E93186" w:rsidRPr="007162E3" w:rsidRDefault="00E93186" w:rsidP="00E93186">
            <w:pPr>
              <w:pStyle w:val="Tabletextboldleft"/>
            </w:pPr>
            <w:r w:rsidRPr="007162E3">
              <w:t>Year 5 (2025)</w:t>
            </w:r>
          </w:p>
        </w:tc>
        <w:tc>
          <w:tcPr>
            <w:tcW w:w="1100" w:type="dxa"/>
            <w:hideMark/>
          </w:tcPr>
          <w:p w14:paraId="5A2F9CA6" w14:textId="77777777" w:rsidR="00E93186" w:rsidRPr="008F3032" w:rsidRDefault="00E93186" w:rsidP="00E93186">
            <w:pPr>
              <w:pStyle w:val="Tabletextboldleft"/>
            </w:pPr>
            <w:r w:rsidRPr="008F3032">
              <w:t>Source/</w:t>
            </w:r>
            <w:r w:rsidRPr="008F3032">
              <w:br/>
              <w:t>Calculation</w:t>
            </w:r>
          </w:p>
        </w:tc>
      </w:tr>
      <w:tr w:rsidR="008F3032" w:rsidRPr="007162E3" w14:paraId="6C8B347A" w14:textId="77777777" w:rsidTr="008F3032">
        <w:trPr>
          <w:trHeight w:val="300"/>
        </w:trPr>
        <w:tc>
          <w:tcPr>
            <w:tcW w:w="563" w:type="dxa"/>
            <w:noWrap/>
            <w:hideMark/>
          </w:tcPr>
          <w:p w14:paraId="6E4624B3" w14:textId="77777777" w:rsidR="008F3032" w:rsidRPr="007162E3" w:rsidRDefault="008F3032" w:rsidP="008F3032">
            <w:pPr>
              <w:pStyle w:val="TableText0"/>
            </w:pPr>
            <w:r w:rsidRPr="007162E3">
              <w:t>A</w:t>
            </w:r>
          </w:p>
        </w:tc>
        <w:tc>
          <w:tcPr>
            <w:tcW w:w="1714" w:type="dxa"/>
            <w:hideMark/>
          </w:tcPr>
          <w:p w14:paraId="13FAEA88" w14:textId="77777777" w:rsidR="008F3032" w:rsidRPr="007162E3" w:rsidRDefault="008F3032" w:rsidP="008F3032">
            <w:pPr>
              <w:pStyle w:val="TableText0"/>
            </w:pPr>
            <w:r w:rsidRPr="007162E3">
              <w:t>Additional LAAC procedures reimbursed on the MBS (RCI population)</w:t>
            </w:r>
          </w:p>
        </w:tc>
        <w:tc>
          <w:tcPr>
            <w:tcW w:w="1127" w:type="dxa"/>
            <w:hideMark/>
          </w:tcPr>
          <w:p w14:paraId="62ACBC42" w14:textId="46F073ED" w:rsidR="008F3032" w:rsidRPr="008F3032" w:rsidRDefault="008F3032" w:rsidP="008F3032">
            <w:pPr>
              <w:pStyle w:val="TableText0"/>
              <w:rPr>
                <w:b/>
                <w:bCs/>
                <w:highlight w:val="yellow"/>
              </w:rPr>
            </w:pPr>
            <w:r w:rsidRPr="008F3032">
              <w:rPr>
                <w:b/>
                <w:bCs/>
              </w:rPr>
              <w:t>REDACTED</w:t>
            </w:r>
          </w:p>
        </w:tc>
        <w:tc>
          <w:tcPr>
            <w:tcW w:w="1127" w:type="dxa"/>
            <w:hideMark/>
          </w:tcPr>
          <w:p w14:paraId="1705274F" w14:textId="3080C2FF" w:rsidR="008F3032" w:rsidRPr="008F3032" w:rsidRDefault="008F3032" w:rsidP="008F3032">
            <w:pPr>
              <w:pStyle w:val="TableText0"/>
              <w:rPr>
                <w:b/>
                <w:bCs/>
                <w:highlight w:val="yellow"/>
              </w:rPr>
            </w:pPr>
            <w:r w:rsidRPr="008F3032">
              <w:rPr>
                <w:b/>
                <w:bCs/>
              </w:rPr>
              <w:t>REDACTED</w:t>
            </w:r>
          </w:p>
        </w:tc>
        <w:tc>
          <w:tcPr>
            <w:tcW w:w="1127" w:type="dxa"/>
            <w:hideMark/>
          </w:tcPr>
          <w:p w14:paraId="10D1D6B7" w14:textId="70841CD7" w:rsidR="008F3032" w:rsidRPr="008F3032" w:rsidRDefault="008F3032" w:rsidP="008F3032">
            <w:pPr>
              <w:pStyle w:val="TableText0"/>
              <w:rPr>
                <w:b/>
                <w:bCs/>
                <w:highlight w:val="yellow"/>
              </w:rPr>
            </w:pPr>
            <w:r w:rsidRPr="008F3032">
              <w:rPr>
                <w:b/>
                <w:bCs/>
              </w:rPr>
              <w:t>REDACTED</w:t>
            </w:r>
          </w:p>
        </w:tc>
        <w:tc>
          <w:tcPr>
            <w:tcW w:w="1129" w:type="dxa"/>
            <w:hideMark/>
          </w:tcPr>
          <w:p w14:paraId="357A248F" w14:textId="710EAC8D" w:rsidR="008F3032" w:rsidRPr="008F3032" w:rsidRDefault="008F3032" w:rsidP="008F3032">
            <w:pPr>
              <w:pStyle w:val="TableText0"/>
              <w:rPr>
                <w:b/>
                <w:bCs/>
                <w:highlight w:val="yellow"/>
              </w:rPr>
            </w:pPr>
            <w:r w:rsidRPr="008F3032">
              <w:rPr>
                <w:b/>
                <w:bCs/>
              </w:rPr>
              <w:t>REDACTED</w:t>
            </w:r>
          </w:p>
        </w:tc>
        <w:tc>
          <w:tcPr>
            <w:tcW w:w="1129" w:type="dxa"/>
            <w:hideMark/>
          </w:tcPr>
          <w:p w14:paraId="10C03BC9" w14:textId="75AAC7C0" w:rsidR="008F3032" w:rsidRPr="008F3032" w:rsidRDefault="008F3032" w:rsidP="008F3032">
            <w:pPr>
              <w:pStyle w:val="TableText0"/>
              <w:rPr>
                <w:b/>
                <w:bCs/>
                <w:highlight w:val="yellow"/>
              </w:rPr>
            </w:pPr>
            <w:r w:rsidRPr="008F3032">
              <w:rPr>
                <w:b/>
                <w:bCs/>
              </w:rPr>
              <w:t>REDACTED</w:t>
            </w:r>
          </w:p>
        </w:tc>
        <w:tc>
          <w:tcPr>
            <w:tcW w:w="1100" w:type="dxa"/>
            <w:vAlign w:val="center"/>
            <w:hideMark/>
          </w:tcPr>
          <w:p w14:paraId="39C242D8" w14:textId="77777777" w:rsidR="008F3032" w:rsidRPr="008F3032" w:rsidRDefault="008F3032" w:rsidP="008F3032">
            <w:pPr>
              <w:pStyle w:val="TableText0"/>
            </w:pPr>
            <w:r w:rsidRPr="008F3032">
              <w:t>Table 148 of the ADAR</w:t>
            </w:r>
          </w:p>
        </w:tc>
      </w:tr>
      <w:tr w:rsidR="008F3032" w:rsidRPr="007162E3" w14:paraId="38AD54D9" w14:textId="77777777" w:rsidTr="008F3032">
        <w:trPr>
          <w:trHeight w:val="300"/>
        </w:trPr>
        <w:tc>
          <w:tcPr>
            <w:tcW w:w="563" w:type="dxa"/>
            <w:noWrap/>
            <w:hideMark/>
          </w:tcPr>
          <w:p w14:paraId="33692E9F" w14:textId="77777777" w:rsidR="008F3032" w:rsidRPr="007162E3" w:rsidRDefault="008F3032" w:rsidP="008F3032">
            <w:pPr>
              <w:pStyle w:val="TableText0"/>
            </w:pPr>
            <w:r w:rsidRPr="007162E3">
              <w:t>B</w:t>
            </w:r>
          </w:p>
        </w:tc>
        <w:tc>
          <w:tcPr>
            <w:tcW w:w="1714" w:type="dxa"/>
            <w:hideMark/>
          </w:tcPr>
          <w:p w14:paraId="652E5ECE" w14:textId="77777777" w:rsidR="008F3032" w:rsidRPr="007162E3" w:rsidRDefault="008F3032" w:rsidP="008F3032">
            <w:pPr>
              <w:pStyle w:val="TableText0"/>
            </w:pPr>
            <w:r w:rsidRPr="007162E3">
              <w:t>Total cost to the MBS</w:t>
            </w:r>
          </w:p>
        </w:tc>
        <w:tc>
          <w:tcPr>
            <w:tcW w:w="1127" w:type="dxa"/>
            <w:hideMark/>
          </w:tcPr>
          <w:p w14:paraId="4714F9C9" w14:textId="6148EC15" w:rsidR="008F3032" w:rsidRPr="0082105F" w:rsidRDefault="008F3032" w:rsidP="008F3032">
            <w:pPr>
              <w:pStyle w:val="TableText0"/>
              <w:rPr>
                <w:highlight w:val="yellow"/>
              </w:rPr>
            </w:pPr>
            <w:r w:rsidRPr="008F3032">
              <w:rPr>
                <w:b/>
                <w:bCs/>
              </w:rPr>
              <w:t>REDACTED</w:t>
            </w:r>
          </w:p>
        </w:tc>
        <w:tc>
          <w:tcPr>
            <w:tcW w:w="1127" w:type="dxa"/>
            <w:hideMark/>
          </w:tcPr>
          <w:p w14:paraId="6D50BDCE" w14:textId="20D1E7E4" w:rsidR="008F3032" w:rsidRPr="0082105F" w:rsidRDefault="008F3032" w:rsidP="008F3032">
            <w:pPr>
              <w:pStyle w:val="TableText0"/>
              <w:rPr>
                <w:highlight w:val="yellow"/>
              </w:rPr>
            </w:pPr>
            <w:r w:rsidRPr="008F3032">
              <w:rPr>
                <w:b/>
                <w:bCs/>
              </w:rPr>
              <w:t>REDACTED</w:t>
            </w:r>
          </w:p>
        </w:tc>
        <w:tc>
          <w:tcPr>
            <w:tcW w:w="1127" w:type="dxa"/>
            <w:hideMark/>
          </w:tcPr>
          <w:p w14:paraId="7019D88C" w14:textId="08328711" w:rsidR="008F3032" w:rsidRPr="0082105F" w:rsidRDefault="008F3032" w:rsidP="008F3032">
            <w:pPr>
              <w:pStyle w:val="TableText0"/>
              <w:rPr>
                <w:highlight w:val="yellow"/>
              </w:rPr>
            </w:pPr>
            <w:r w:rsidRPr="008F3032">
              <w:rPr>
                <w:b/>
                <w:bCs/>
              </w:rPr>
              <w:t>REDACTED</w:t>
            </w:r>
          </w:p>
        </w:tc>
        <w:tc>
          <w:tcPr>
            <w:tcW w:w="1129" w:type="dxa"/>
            <w:hideMark/>
          </w:tcPr>
          <w:p w14:paraId="401EB925" w14:textId="2BFE7C35" w:rsidR="008F3032" w:rsidRPr="0082105F" w:rsidRDefault="008F3032" w:rsidP="008F3032">
            <w:pPr>
              <w:pStyle w:val="TableText0"/>
              <w:rPr>
                <w:highlight w:val="yellow"/>
              </w:rPr>
            </w:pPr>
            <w:r w:rsidRPr="008F3032">
              <w:rPr>
                <w:b/>
                <w:bCs/>
              </w:rPr>
              <w:t>REDACTED</w:t>
            </w:r>
          </w:p>
        </w:tc>
        <w:tc>
          <w:tcPr>
            <w:tcW w:w="1129" w:type="dxa"/>
            <w:hideMark/>
          </w:tcPr>
          <w:p w14:paraId="3B9D9521" w14:textId="77DF281A" w:rsidR="008F3032" w:rsidRPr="0082105F" w:rsidRDefault="008F3032" w:rsidP="008F3032">
            <w:pPr>
              <w:pStyle w:val="TableText0"/>
              <w:rPr>
                <w:highlight w:val="yellow"/>
              </w:rPr>
            </w:pPr>
            <w:r w:rsidRPr="008F3032">
              <w:rPr>
                <w:b/>
                <w:bCs/>
              </w:rPr>
              <w:t>REDACTED</w:t>
            </w:r>
          </w:p>
        </w:tc>
        <w:tc>
          <w:tcPr>
            <w:tcW w:w="1100" w:type="dxa"/>
            <w:vAlign w:val="center"/>
            <w:hideMark/>
          </w:tcPr>
          <w:p w14:paraId="6278359B" w14:textId="7B89D15F" w:rsidR="008F3032" w:rsidRPr="008F3032" w:rsidRDefault="008F3032" w:rsidP="008F3032">
            <w:pPr>
              <w:pStyle w:val="TableText0"/>
              <w:keepLines/>
              <w:rPr>
                <w:i/>
                <w:iCs/>
                <w:szCs w:val="20"/>
              </w:rPr>
            </w:pPr>
            <w:r w:rsidRPr="008F3032">
              <w:t xml:space="preserve">A x </w:t>
            </w:r>
            <w:r w:rsidRPr="008F3032">
              <w:rPr>
                <w:b/>
                <w:bCs/>
              </w:rPr>
              <w:t>REDACTED</w:t>
            </w:r>
          </w:p>
        </w:tc>
      </w:tr>
      <w:tr w:rsidR="008F3032" w:rsidRPr="007162E3" w14:paraId="579F5B71" w14:textId="77777777" w:rsidTr="008F3032">
        <w:trPr>
          <w:trHeight w:val="300"/>
        </w:trPr>
        <w:tc>
          <w:tcPr>
            <w:tcW w:w="563" w:type="dxa"/>
            <w:noWrap/>
            <w:hideMark/>
          </w:tcPr>
          <w:p w14:paraId="6C9CE4FE" w14:textId="77777777" w:rsidR="008F3032" w:rsidRPr="007162E3" w:rsidRDefault="008F3032" w:rsidP="008F3032">
            <w:pPr>
              <w:pStyle w:val="TableText0"/>
            </w:pPr>
            <w:r w:rsidRPr="007162E3">
              <w:t>C</w:t>
            </w:r>
          </w:p>
        </w:tc>
        <w:tc>
          <w:tcPr>
            <w:tcW w:w="1714" w:type="dxa"/>
            <w:hideMark/>
          </w:tcPr>
          <w:p w14:paraId="5A09CE25" w14:textId="77777777" w:rsidR="008F3032" w:rsidRPr="007162E3" w:rsidRDefault="008F3032" w:rsidP="008F3032">
            <w:pPr>
              <w:pStyle w:val="TableText0"/>
            </w:pPr>
            <w:r w:rsidRPr="007162E3">
              <w:t>Total cost to the PBS for LAAC</w:t>
            </w:r>
          </w:p>
        </w:tc>
        <w:tc>
          <w:tcPr>
            <w:tcW w:w="1127" w:type="dxa"/>
            <w:hideMark/>
          </w:tcPr>
          <w:p w14:paraId="50589F1E" w14:textId="2A6C9AD0" w:rsidR="008F3032" w:rsidRPr="0082105F" w:rsidRDefault="008F3032" w:rsidP="008F3032">
            <w:pPr>
              <w:pStyle w:val="TableText0"/>
              <w:rPr>
                <w:i/>
                <w:highlight w:val="yellow"/>
              </w:rPr>
            </w:pPr>
            <w:r w:rsidRPr="008F3032">
              <w:rPr>
                <w:b/>
                <w:bCs/>
              </w:rPr>
              <w:t>REDACTED</w:t>
            </w:r>
          </w:p>
        </w:tc>
        <w:tc>
          <w:tcPr>
            <w:tcW w:w="1127" w:type="dxa"/>
            <w:hideMark/>
          </w:tcPr>
          <w:p w14:paraId="25A6888B" w14:textId="63483930" w:rsidR="008F3032" w:rsidRPr="0082105F" w:rsidRDefault="008F3032" w:rsidP="008F3032">
            <w:pPr>
              <w:pStyle w:val="TableText0"/>
              <w:rPr>
                <w:i/>
                <w:highlight w:val="yellow"/>
              </w:rPr>
            </w:pPr>
            <w:r w:rsidRPr="008F3032">
              <w:rPr>
                <w:b/>
                <w:bCs/>
              </w:rPr>
              <w:t>REDACTED</w:t>
            </w:r>
          </w:p>
        </w:tc>
        <w:tc>
          <w:tcPr>
            <w:tcW w:w="1127" w:type="dxa"/>
            <w:hideMark/>
          </w:tcPr>
          <w:p w14:paraId="6E13CCC7" w14:textId="38B40AFD" w:rsidR="008F3032" w:rsidRPr="0082105F" w:rsidRDefault="008F3032" w:rsidP="008F3032">
            <w:pPr>
              <w:pStyle w:val="TableText0"/>
              <w:rPr>
                <w:i/>
                <w:highlight w:val="yellow"/>
              </w:rPr>
            </w:pPr>
            <w:r w:rsidRPr="008F3032">
              <w:rPr>
                <w:b/>
                <w:bCs/>
              </w:rPr>
              <w:t>REDACTED</w:t>
            </w:r>
          </w:p>
        </w:tc>
        <w:tc>
          <w:tcPr>
            <w:tcW w:w="1129" w:type="dxa"/>
            <w:hideMark/>
          </w:tcPr>
          <w:p w14:paraId="10F93E58" w14:textId="6DF0D569" w:rsidR="008F3032" w:rsidRPr="0082105F" w:rsidRDefault="008F3032" w:rsidP="008F3032">
            <w:pPr>
              <w:pStyle w:val="TableText0"/>
              <w:rPr>
                <w:i/>
                <w:highlight w:val="yellow"/>
              </w:rPr>
            </w:pPr>
            <w:r w:rsidRPr="008F3032">
              <w:rPr>
                <w:b/>
                <w:bCs/>
              </w:rPr>
              <w:t>REDACTED</w:t>
            </w:r>
          </w:p>
        </w:tc>
        <w:tc>
          <w:tcPr>
            <w:tcW w:w="1129" w:type="dxa"/>
            <w:hideMark/>
          </w:tcPr>
          <w:p w14:paraId="6486A262" w14:textId="3E30261A" w:rsidR="008F3032" w:rsidRPr="0082105F" w:rsidRDefault="008F3032" w:rsidP="008F3032">
            <w:pPr>
              <w:pStyle w:val="TableText0"/>
              <w:rPr>
                <w:i/>
                <w:highlight w:val="yellow"/>
              </w:rPr>
            </w:pPr>
            <w:r w:rsidRPr="008F3032">
              <w:rPr>
                <w:b/>
                <w:bCs/>
              </w:rPr>
              <w:t>REDACTED</w:t>
            </w:r>
          </w:p>
        </w:tc>
        <w:tc>
          <w:tcPr>
            <w:tcW w:w="1100" w:type="dxa"/>
            <w:vAlign w:val="center"/>
            <w:hideMark/>
          </w:tcPr>
          <w:p w14:paraId="411EDA09" w14:textId="005A5688" w:rsidR="008F3032" w:rsidRPr="008F3032" w:rsidRDefault="008F3032" w:rsidP="008F3032">
            <w:pPr>
              <w:pStyle w:val="TableText0"/>
            </w:pPr>
            <w:r w:rsidRPr="008F3032">
              <w:t>A x $</w:t>
            </w:r>
            <w:r w:rsidRPr="008F3032">
              <w:rPr>
                <w:b/>
                <w:bCs/>
              </w:rPr>
              <w:t>REDACTED</w:t>
            </w:r>
          </w:p>
        </w:tc>
      </w:tr>
      <w:tr w:rsidR="008F3032" w:rsidRPr="007162E3" w14:paraId="32E10960" w14:textId="77777777" w:rsidTr="008F3032">
        <w:trPr>
          <w:trHeight w:val="300"/>
        </w:trPr>
        <w:tc>
          <w:tcPr>
            <w:tcW w:w="563" w:type="dxa"/>
            <w:noWrap/>
            <w:hideMark/>
          </w:tcPr>
          <w:p w14:paraId="1783E588" w14:textId="77777777" w:rsidR="008F3032" w:rsidRPr="007162E3" w:rsidRDefault="008F3032" w:rsidP="008F3032">
            <w:pPr>
              <w:pStyle w:val="TableText0"/>
            </w:pPr>
            <w:r w:rsidRPr="007162E3">
              <w:t>D</w:t>
            </w:r>
          </w:p>
        </w:tc>
        <w:tc>
          <w:tcPr>
            <w:tcW w:w="1714" w:type="dxa"/>
            <w:hideMark/>
          </w:tcPr>
          <w:p w14:paraId="3A093FF7" w14:textId="77777777" w:rsidR="008F3032" w:rsidRPr="007162E3" w:rsidRDefault="008F3032" w:rsidP="008F3032">
            <w:pPr>
              <w:pStyle w:val="TableText0"/>
            </w:pPr>
            <w:r>
              <w:t>Cost-offsets to the PBS for D</w:t>
            </w:r>
            <w:r w:rsidRPr="007162E3">
              <w:t xml:space="preserve">OACs </w:t>
            </w:r>
          </w:p>
        </w:tc>
        <w:tc>
          <w:tcPr>
            <w:tcW w:w="1127" w:type="dxa"/>
            <w:hideMark/>
          </w:tcPr>
          <w:p w14:paraId="459797F5" w14:textId="279C4D19" w:rsidR="008F3032" w:rsidRPr="0082105F" w:rsidRDefault="008F3032" w:rsidP="008F3032">
            <w:pPr>
              <w:pStyle w:val="TableText0"/>
              <w:rPr>
                <w:i/>
                <w:highlight w:val="yellow"/>
              </w:rPr>
            </w:pPr>
            <w:r w:rsidRPr="008F3032">
              <w:rPr>
                <w:b/>
                <w:bCs/>
              </w:rPr>
              <w:t>REDACTED</w:t>
            </w:r>
          </w:p>
        </w:tc>
        <w:tc>
          <w:tcPr>
            <w:tcW w:w="1127" w:type="dxa"/>
            <w:hideMark/>
          </w:tcPr>
          <w:p w14:paraId="0EA1D40F" w14:textId="54342C20" w:rsidR="008F3032" w:rsidRPr="0082105F" w:rsidRDefault="008F3032" w:rsidP="008F3032">
            <w:pPr>
              <w:pStyle w:val="TableText0"/>
              <w:rPr>
                <w:i/>
                <w:highlight w:val="yellow"/>
              </w:rPr>
            </w:pPr>
            <w:r w:rsidRPr="008F3032">
              <w:rPr>
                <w:b/>
                <w:bCs/>
              </w:rPr>
              <w:t>REDACTED</w:t>
            </w:r>
          </w:p>
        </w:tc>
        <w:tc>
          <w:tcPr>
            <w:tcW w:w="1127" w:type="dxa"/>
            <w:hideMark/>
          </w:tcPr>
          <w:p w14:paraId="4A852F1D" w14:textId="0812DA64" w:rsidR="008F3032" w:rsidRPr="0082105F" w:rsidRDefault="008F3032" w:rsidP="008F3032">
            <w:pPr>
              <w:pStyle w:val="TableText0"/>
              <w:rPr>
                <w:i/>
                <w:highlight w:val="yellow"/>
              </w:rPr>
            </w:pPr>
            <w:r w:rsidRPr="008F3032">
              <w:rPr>
                <w:b/>
                <w:bCs/>
              </w:rPr>
              <w:t>REDACTED</w:t>
            </w:r>
          </w:p>
        </w:tc>
        <w:tc>
          <w:tcPr>
            <w:tcW w:w="1129" w:type="dxa"/>
            <w:hideMark/>
          </w:tcPr>
          <w:p w14:paraId="65C33D45" w14:textId="7ADECBE1" w:rsidR="008F3032" w:rsidRPr="0082105F" w:rsidRDefault="008F3032" w:rsidP="008F3032">
            <w:pPr>
              <w:pStyle w:val="TableText0"/>
              <w:rPr>
                <w:i/>
                <w:highlight w:val="yellow"/>
              </w:rPr>
            </w:pPr>
            <w:r w:rsidRPr="008F3032">
              <w:rPr>
                <w:b/>
                <w:bCs/>
              </w:rPr>
              <w:t>REDACTED</w:t>
            </w:r>
          </w:p>
        </w:tc>
        <w:tc>
          <w:tcPr>
            <w:tcW w:w="1129" w:type="dxa"/>
            <w:hideMark/>
          </w:tcPr>
          <w:p w14:paraId="71BC6331" w14:textId="5476096B" w:rsidR="008F3032" w:rsidRPr="0082105F" w:rsidRDefault="008F3032" w:rsidP="008F3032">
            <w:pPr>
              <w:pStyle w:val="TableText0"/>
              <w:rPr>
                <w:i/>
                <w:highlight w:val="yellow"/>
              </w:rPr>
            </w:pPr>
            <w:r w:rsidRPr="008F3032">
              <w:rPr>
                <w:b/>
                <w:bCs/>
              </w:rPr>
              <w:t>REDACTED</w:t>
            </w:r>
          </w:p>
        </w:tc>
        <w:tc>
          <w:tcPr>
            <w:tcW w:w="1100" w:type="dxa"/>
            <w:vAlign w:val="center"/>
            <w:hideMark/>
          </w:tcPr>
          <w:p w14:paraId="63363D78" w14:textId="77777777" w:rsidR="008F3032" w:rsidRPr="008F3032" w:rsidRDefault="008F3032" w:rsidP="008F3032">
            <w:pPr>
              <w:pStyle w:val="TableText0"/>
            </w:pPr>
            <w:r w:rsidRPr="008F3032">
              <w:t>Table 149 of the ADAR</w:t>
            </w:r>
          </w:p>
        </w:tc>
      </w:tr>
      <w:tr w:rsidR="008F3032" w:rsidRPr="007162E3" w14:paraId="1B29E8CC" w14:textId="77777777" w:rsidTr="008F3032">
        <w:trPr>
          <w:trHeight w:val="300"/>
        </w:trPr>
        <w:tc>
          <w:tcPr>
            <w:tcW w:w="563" w:type="dxa"/>
            <w:noWrap/>
            <w:hideMark/>
          </w:tcPr>
          <w:p w14:paraId="7E31671C" w14:textId="77777777" w:rsidR="008F3032" w:rsidRPr="007162E3" w:rsidRDefault="008F3032" w:rsidP="008F3032">
            <w:pPr>
              <w:pStyle w:val="TableText0"/>
            </w:pPr>
            <w:r w:rsidRPr="007162E3">
              <w:t>E</w:t>
            </w:r>
          </w:p>
        </w:tc>
        <w:tc>
          <w:tcPr>
            <w:tcW w:w="1714" w:type="dxa"/>
            <w:hideMark/>
          </w:tcPr>
          <w:p w14:paraId="484DA910" w14:textId="77777777" w:rsidR="008F3032" w:rsidRPr="007162E3" w:rsidRDefault="008F3032" w:rsidP="008F3032">
            <w:pPr>
              <w:pStyle w:val="TableText0"/>
            </w:pPr>
            <w:r w:rsidRPr="007162E3">
              <w:t>Net cost to the PBS</w:t>
            </w:r>
          </w:p>
        </w:tc>
        <w:tc>
          <w:tcPr>
            <w:tcW w:w="1127" w:type="dxa"/>
            <w:hideMark/>
          </w:tcPr>
          <w:p w14:paraId="65806410" w14:textId="6A36A647" w:rsidR="008F3032" w:rsidRPr="0082105F" w:rsidRDefault="008F3032" w:rsidP="008F3032">
            <w:pPr>
              <w:pStyle w:val="TableText0"/>
              <w:rPr>
                <w:i/>
                <w:color w:val="FF0000"/>
                <w:highlight w:val="yellow"/>
              </w:rPr>
            </w:pPr>
            <w:r w:rsidRPr="008F3032">
              <w:rPr>
                <w:b/>
                <w:bCs/>
              </w:rPr>
              <w:t>REDACTED</w:t>
            </w:r>
          </w:p>
        </w:tc>
        <w:tc>
          <w:tcPr>
            <w:tcW w:w="1127" w:type="dxa"/>
            <w:hideMark/>
          </w:tcPr>
          <w:p w14:paraId="4B52F7D7" w14:textId="0BCDBCAF" w:rsidR="008F3032" w:rsidRPr="0082105F" w:rsidRDefault="008F3032" w:rsidP="008F3032">
            <w:pPr>
              <w:pStyle w:val="TableText0"/>
              <w:rPr>
                <w:i/>
                <w:color w:val="FF0000"/>
                <w:highlight w:val="yellow"/>
              </w:rPr>
            </w:pPr>
            <w:r w:rsidRPr="008F3032">
              <w:rPr>
                <w:b/>
                <w:bCs/>
              </w:rPr>
              <w:t>REDACTED</w:t>
            </w:r>
          </w:p>
        </w:tc>
        <w:tc>
          <w:tcPr>
            <w:tcW w:w="1127" w:type="dxa"/>
            <w:hideMark/>
          </w:tcPr>
          <w:p w14:paraId="5730C19F" w14:textId="2C595206" w:rsidR="008F3032" w:rsidRPr="0082105F" w:rsidRDefault="008F3032" w:rsidP="008F3032">
            <w:pPr>
              <w:pStyle w:val="TableText0"/>
              <w:rPr>
                <w:i/>
                <w:color w:val="FF0000"/>
                <w:highlight w:val="yellow"/>
              </w:rPr>
            </w:pPr>
            <w:r w:rsidRPr="008F3032">
              <w:rPr>
                <w:b/>
                <w:bCs/>
              </w:rPr>
              <w:t>REDACTED</w:t>
            </w:r>
          </w:p>
        </w:tc>
        <w:tc>
          <w:tcPr>
            <w:tcW w:w="1129" w:type="dxa"/>
            <w:hideMark/>
          </w:tcPr>
          <w:p w14:paraId="5DAF732F" w14:textId="6A743C48" w:rsidR="008F3032" w:rsidRPr="0082105F" w:rsidRDefault="008F3032" w:rsidP="008F3032">
            <w:pPr>
              <w:pStyle w:val="TableText0"/>
              <w:rPr>
                <w:i/>
                <w:color w:val="FF0000"/>
                <w:highlight w:val="yellow"/>
              </w:rPr>
            </w:pPr>
            <w:r w:rsidRPr="008F3032">
              <w:rPr>
                <w:b/>
                <w:bCs/>
              </w:rPr>
              <w:t>REDACTED</w:t>
            </w:r>
          </w:p>
        </w:tc>
        <w:tc>
          <w:tcPr>
            <w:tcW w:w="1129" w:type="dxa"/>
            <w:hideMark/>
          </w:tcPr>
          <w:p w14:paraId="490100A5" w14:textId="203F47A7" w:rsidR="008F3032" w:rsidRPr="0082105F" w:rsidRDefault="008F3032" w:rsidP="008F3032">
            <w:pPr>
              <w:pStyle w:val="TableText0"/>
              <w:rPr>
                <w:i/>
                <w:color w:val="FF0000"/>
                <w:highlight w:val="yellow"/>
              </w:rPr>
            </w:pPr>
            <w:r w:rsidRPr="008F3032">
              <w:rPr>
                <w:b/>
                <w:bCs/>
              </w:rPr>
              <w:t>REDACTED</w:t>
            </w:r>
          </w:p>
        </w:tc>
        <w:tc>
          <w:tcPr>
            <w:tcW w:w="1100" w:type="dxa"/>
            <w:vAlign w:val="center"/>
            <w:hideMark/>
          </w:tcPr>
          <w:p w14:paraId="468298BA" w14:textId="77777777" w:rsidR="008F3032" w:rsidRPr="008F3032" w:rsidRDefault="008F3032" w:rsidP="008F3032">
            <w:pPr>
              <w:pStyle w:val="TableText0"/>
            </w:pPr>
            <w:r w:rsidRPr="008F3032">
              <w:t>C – D</w:t>
            </w:r>
          </w:p>
        </w:tc>
      </w:tr>
      <w:tr w:rsidR="008F3032" w:rsidRPr="007162E3" w14:paraId="21E782B3" w14:textId="77777777" w:rsidTr="008F3032">
        <w:trPr>
          <w:trHeight w:val="300"/>
        </w:trPr>
        <w:tc>
          <w:tcPr>
            <w:tcW w:w="563" w:type="dxa"/>
            <w:noWrap/>
            <w:hideMark/>
          </w:tcPr>
          <w:p w14:paraId="31D489B1" w14:textId="77777777" w:rsidR="008F3032" w:rsidRPr="007162E3" w:rsidRDefault="008F3032" w:rsidP="008F3032">
            <w:pPr>
              <w:pStyle w:val="TableText0"/>
            </w:pPr>
            <w:r w:rsidRPr="007162E3">
              <w:t>F</w:t>
            </w:r>
          </w:p>
        </w:tc>
        <w:tc>
          <w:tcPr>
            <w:tcW w:w="1714" w:type="dxa"/>
            <w:hideMark/>
          </w:tcPr>
          <w:p w14:paraId="41B30BE4" w14:textId="77777777" w:rsidR="008F3032" w:rsidRPr="007162E3" w:rsidRDefault="008F3032" w:rsidP="008F3032">
            <w:pPr>
              <w:pStyle w:val="TableText0"/>
            </w:pPr>
            <w:r w:rsidRPr="007162E3">
              <w:t>Total cost to the Australian government</w:t>
            </w:r>
          </w:p>
        </w:tc>
        <w:tc>
          <w:tcPr>
            <w:tcW w:w="1127" w:type="dxa"/>
            <w:hideMark/>
          </w:tcPr>
          <w:p w14:paraId="6D12E4FC" w14:textId="17484267" w:rsidR="008F3032" w:rsidRPr="0082105F" w:rsidRDefault="008F3032" w:rsidP="008F3032">
            <w:pPr>
              <w:pStyle w:val="TableText0"/>
              <w:rPr>
                <w:i/>
                <w:color w:val="FF0000"/>
                <w:highlight w:val="yellow"/>
              </w:rPr>
            </w:pPr>
            <w:r w:rsidRPr="008F3032">
              <w:rPr>
                <w:b/>
                <w:bCs/>
              </w:rPr>
              <w:t>REDACTED</w:t>
            </w:r>
          </w:p>
        </w:tc>
        <w:tc>
          <w:tcPr>
            <w:tcW w:w="1127" w:type="dxa"/>
            <w:hideMark/>
          </w:tcPr>
          <w:p w14:paraId="344B99D0" w14:textId="03D1A1DD" w:rsidR="008F3032" w:rsidRPr="0082105F" w:rsidRDefault="008F3032" w:rsidP="008F3032">
            <w:pPr>
              <w:pStyle w:val="TableText0"/>
              <w:rPr>
                <w:i/>
                <w:color w:val="FF0000"/>
                <w:highlight w:val="yellow"/>
              </w:rPr>
            </w:pPr>
            <w:r w:rsidRPr="008F3032">
              <w:rPr>
                <w:b/>
                <w:bCs/>
              </w:rPr>
              <w:t>REDACTED</w:t>
            </w:r>
          </w:p>
        </w:tc>
        <w:tc>
          <w:tcPr>
            <w:tcW w:w="1127" w:type="dxa"/>
            <w:hideMark/>
          </w:tcPr>
          <w:p w14:paraId="08285E9B" w14:textId="2804BAA3" w:rsidR="008F3032" w:rsidRPr="0082105F" w:rsidRDefault="008F3032" w:rsidP="008F3032">
            <w:pPr>
              <w:pStyle w:val="TableText0"/>
              <w:rPr>
                <w:i/>
                <w:color w:val="FF0000"/>
                <w:highlight w:val="yellow"/>
              </w:rPr>
            </w:pPr>
            <w:r w:rsidRPr="008F3032">
              <w:rPr>
                <w:b/>
                <w:bCs/>
              </w:rPr>
              <w:t>REDACTED</w:t>
            </w:r>
          </w:p>
        </w:tc>
        <w:tc>
          <w:tcPr>
            <w:tcW w:w="1129" w:type="dxa"/>
            <w:hideMark/>
          </w:tcPr>
          <w:p w14:paraId="20E5D591" w14:textId="2D5FD474" w:rsidR="008F3032" w:rsidRPr="0082105F" w:rsidRDefault="008F3032" w:rsidP="008F3032">
            <w:pPr>
              <w:pStyle w:val="TableText0"/>
              <w:rPr>
                <w:i/>
                <w:color w:val="FF0000"/>
                <w:highlight w:val="yellow"/>
              </w:rPr>
            </w:pPr>
            <w:r w:rsidRPr="008F3032">
              <w:rPr>
                <w:b/>
                <w:bCs/>
              </w:rPr>
              <w:t>REDACTED</w:t>
            </w:r>
          </w:p>
        </w:tc>
        <w:tc>
          <w:tcPr>
            <w:tcW w:w="1129" w:type="dxa"/>
            <w:hideMark/>
          </w:tcPr>
          <w:p w14:paraId="053B47B1" w14:textId="78F4486E" w:rsidR="008F3032" w:rsidRPr="0082105F" w:rsidRDefault="008F3032" w:rsidP="008F3032">
            <w:pPr>
              <w:pStyle w:val="TableText0"/>
              <w:rPr>
                <w:i/>
                <w:color w:val="FF0000"/>
                <w:highlight w:val="yellow"/>
              </w:rPr>
            </w:pPr>
            <w:r w:rsidRPr="008F3032">
              <w:rPr>
                <w:b/>
                <w:bCs/>
              </w:rPr>
              <w:t>REDACTED</w:t>
            </w:r>
          </w:p>
        </w:tc>
        <w:tc>
          <w:tcPr>
            <w:tcW w:w="1100" w:type="dxa"/>
            <w:vAlign w:val="center"/>
            <w:hideMark/>
          </w:tcPr>
          <w:p w14:paraId="4E39FE8F" w14:textId="77777777" w:rsidR="008F3032" w:rsidRPr="008F3032" w:rsidRDefault="008F3032" w:rsidP="008F3032">
            <w:pPr>
              <w:pStyle w:val="TableText0"/>
            </w:pPr>
            <w:r w:rsidRPr="008F3032">
              <w:t> B - E</w:t>
            </w:r>
          </w:p>
        </w:tc>
      </w:tr>
      <w:tr w:rsidR="008F3032" w:rsidRPr="007162E3" w14:paraId="023039B0" w14:textId="77777777" w:rsidTr="008F3032">
        <w:trPr>
          <w:trHeight w:val="300"/>
        </w:trPr>
        <w:tc>
          <w:tcPr>
            <w:tcW w:w="563" w:type="dxa"/>
            <w:noWrap/>
            <w:hideMark/>
          </w:tcPr>
          <w:p w14:paraId="498DE332" w14:textId="77777777" w:rsidR="008F3032" w:rsidRPr="007162E3" w:rsidRDefault="008F3032" w:rsidP="008F3032">
            <w:pPr>
              <w:pStyle w:val="TableText0"/>
            </w:pPr>
            <w:r w:rsidRPr="007162E3">
              <w:t>G</w:t>
            </w:r>
          </w:p>
        </w:tc>
        <w:tc>
          <w:tcPr>
            <w:tcW w:w="1714" w:type="dxa"/>
            <w:hideMark/>
          </w:tcPr>
          <w:p w14:paraId="6351CAA8" w14:textId="77777777" w:rsidR="008F3032" w:rsidRPr="007162E3" w:rsidRDefault="008F3032" w:rsidP="008F3032">
            <w:pPr>
              <w:pStyle w:val="TableText0"/>
            </w:pPr>
            <w:r w:rsidRPr="007162E3">
              <w:t>Total cost to private health funds</w:t>
            </w:r>
          </w:p>
        </w:tc>
        <w:tc>
          <w:tcPr>
            <w:tcW w:w="1127" w:type="dxa"/>
            <w:hideMark/>
          </w:tcPr>
          <w:p w14:paraId="31AED400" w14:textId="5A3D5E02" w:rsidR="008F3032" w:rsidRPr="0082105F" w:rsidRDefault="008F3032" w:rsidP="008F3032">
            <w:pPr>
              <w:pStyle w:val="TableText0"/>
              <w:rPr>
                <w:i/>
                <w:highlight w:val="yellow"/>
              </w:rPr>
            </w:pPr>
            <w:r w:rsidRPr="008F3032">
              <w:rPr>
                <w:b/>
                <w:bCs/>
              </w:rPr>
              <w:t>REDACTED</w:t>
            </w:r>
          </w:p>
        </w:tc>
        <w:tc>
          <w:tcPr>
            <w:tcW w:w="1127" w:type="dxa"/>
            <w:hideMark/>
          </w:tcPr>
          <w:p w14:paraId="1896EA1D" w14:textId="304FA3C0" w:rsidR="008F3032" w:rsidRPr="0082105F" w:rsidRDefault="008F3032" w:rsidP="008F3032">
            <w:pPr>
              <w:pStyle w:val="TableText0"/>
              <w:rPr>
                <w:highlight w:val="yellow"/>
              </w:rPr>
            </w:pPr>
            <w:r w:rsidRPr="008F3032">
              <w:rPr>
                <w:b/>
                <w:bCs/>
              </w:rPr>
              <w:t>REDACTED</w:t>
            </w:r>
          </w:p>
        </w:tc>
        <w:tc>
          <w:tcPr>
            <w:tcW w:w="1127" w:type="dxa"/>
            <w:hideMark/>
          </w:tcPr>
          <w:p w14:paraId="4BD28662" w14:textId="7B5E8BAF" w:rsidR="008F3032" w:rsidRPr="0082105F" w:rsidRDefault="008F3032" w:rsidP="008F3032">
            <w:pPr>
              <w:pStyle w:val="TableText0"/>
              <w:rPr>
                <w:highlight w:val="yellow"/>
              </w:rPr>
            </w:pPr>
            <w:r w:rsidRPr="008F3032">
              <w:rPr>
                <w:b/>
                <w:bCs/>
              </w:rPr>
              <w:t>REDACTED</w:t>
            </w:r>
          </w:p>
        </w:tc>
        <w:tc>
          <w:tcPr>
            <w:tcW w:w="1129" w:type="dxa"/>
            <w:hideMark/>
          </w:tcPr>
          <w:p w14:paraId="7C769BA5" w14:textId="271F9A0C" w:rsidR="008F3032" w:rsidRPr="0082105F" w:rsidRDefault="008F3032" w:rsidP="008F3032">
            <w:pPr>
              <w:pStyle w:val="TableText0"/>
              <w:rPr>
                <w:highlight w:val="yellow"/>
              </w:rPr>
            </w:pPr>
            <w:r w:rsidRPr="008F3032">
              <w:rPr>
                <w:b/>
                <w:bCs/>
              </w:rPr>
              <w:t>REDACTED</w:t>
            </w:r>
          </w:p>
        </w:tc>
        <w:tc>
          <w:tcPr>
            <w:tcW w:w="1129" w:type="dxa"/>
            <w:hideMark/>
          </w:tcPr>
          <w:p w14:paraId="01F14B2C" w14:textId="0956EA36" w:rsidR="008F3032" w:rsidRPr="0082105F" w:rsidRDefault="008F3032" w:rsidP="008F3032">
            <w:pPr>
              <w:pStyle w:val="TableText0"/>
              <w:rPr>
                <w:highlight w:val="yellow"/>
              </w:rPr>
            </w:pPr>
            <w:r w:rsidRPr="008F3032">
              <w:rPr>
                <w:b/>
                <w:bCs/>
              </w:rPr>
              <w:t>REDACTED</w:t>
            </w:r>
          </w:p>
        </w:tc>
        <w:tc>
          <w:tcPr>
            <w:tcW w:w="1100" w:type="dxa"/>
            <w:vAlign w:val="center"/>
            <w:hideMark/>
          </w:tcPr>
          <w:p w14:paraId="6E605F2D" w14:textId="21B45122" w:rsidR="008F3032" w:rsidRPr="008F3032" w:rsidRDefault="008F3032" w:rsidP="008F3032">
            <w:pPr>
              <w:pStyle w:val="TableText0"/>
              <w:rPr>
                <w:i/>
              </w:rPr>
            </w:pPr>
            <w:r w:rsidRPr="008F3032">
              <w:t xml:space="preserve"> A x </w:t>
            </w:r>
            <w:r>
              <w:t>$</w:t>
            </w:r>
            <w:r w:rsidRPr="008F3032">
              <w:rPr>
                <w:b/>
                <w:bCs/>
              </w:rPr>
              <w:t>REDACTED</w:t>
            </w:r>
          </w:p>
        </w:tc>
      </w:tr>
    </w:tbl>
    <w:p w14:paraId="0F21BDA0" w14:textId="77777777" w:rsidR="00E93186" w:rsidRPr="004610C3" w:rsidRDefault="00E93186" w:rsidP="00E93186">
      <w:pPr>
        <w:keepNext/>
        <w:jc w:val="both"/>
        <w:rPr>
          <w:rFonts w:ascii="Arial Narrow" w:hAnsi="Arial Narrow" w:cs="Tahoma"/>
          <w:sz w:val="18"/>
          <w:szCs w:val="18"/>
        </w:rPr>
      </w:pPr>
      <w:r w:rsidRPr="004610C3">
        <w:rPr>
          <w:rFonts w:ascii="Arial Narrow" w:hAnsi="Arial Narrow" w:cs="Tahoma"/>
          <w:sz w:val="18"/>
          <w:szCs w:val="18"/>
        </w:rPr>
        <w:t xml:space="preserve">Source: </w:t>
      </w:r>
      <w:r>
        <w:rPr>
          <w:rFonts w:ascii="Arial Narrow" w:hAnsi="Arial Narrow" w:cs="Tahoma"/>
          <w:sz w:val="18"/>
          <w:szCs w:val="18"/>
        </w:rPr>
        <w:t xml:space="preserve">Table 150, p376, of the </w:t>
      </w:r>
      <w:r w:rsidRPr="004610C3">
        <w:rPr>
          <w:rFonts w:ascii="Arial Narrow" w:hAnsi="Arial Narrow" w:cs="Tahoma"/>
          <w:sz w:val="18"/>
          <w:szCs w:val="18"/>
        </w:rPr>
        <w:t xml:space="preserve">ADAR </w:t>
      </w:r>
      <w:r>
        <w:rPr>
          <w:rFonts w:ascii="Arial Narrow" w:hAnsi="Arial Narrow" w:cs="Tahoma"/>
          <w:sz w:val="18"/>
          <w:szCs w:val="18"/>
        </w:rPr>
        <w:t xml:space="preserve">with commentary in </w:t>
      </w:r>
      <w:r>
        <w:rPr>
          <w:rFonts w:ascii="Arial Narrow" w:hAnsi="Arial Narrow" w:cs="Tahoma"/>
          <w:i/>
          <w:sz w:val="18"/>
          <w:szCs w:val="18"/>
        </w:rPr>
        <w:t>italics</w:t>
      </w:r>
    </w:p>
    <w:p w14:paraId="1C746ECF" w14:textId="77777777" w:rsidR="00E93186" w:rsidRPr="004610C3" w:rsidRDefault="00E93186" w:rsidP="00E93186">
      <w:pPr>
        <w:keepNext/>
        <w:jc w:val="both"/>
        <w:rPr>
          <w:rFonts w:ascii="Arial Narrow" w:hAnsi="Arial Narrow" w:cs="Tahoma"/>
          <w:sz w:val="18"/>
          <w:szCs w:val="18"/>
        </w:rPr>
      </w:pPr>
      <w:r>
        <w:rPr>
          <w:rFonts w:ascii="Arial Narrow" w:hAnsi="Arial Narrow" w:cs="Tahoma"/>
          <w:sz w:val="18"/>
          <w:szCs w:val="18"/>
        </w:rPr>
        <w:t xml:space="preserve">Abbreviations: </w:t>
      </w:r>
      <w:r w:rsidRPr="004610C3">
        <w:rPr>
          <w:rFonts w:ascii="Arial Narrow" w:hAnsi="Arial Narrow" w:cs="Tahoma"/>
          <w:sz w:val="18"/>
          <w:szCs w:val="18"/>
        </w:rPr>
        <w:t>LAAC</w:t>
      </w:r>
      <w:r>
        <w:rPr>
          <w:rFonts w:ascii="Arial Narrow" w:hAnsi="Arial Narrow" w:cs="Tahoma"/>
          <w:sz w:val="18"/>
          <w:szCs w:val="18"/>
        </w:rPr>
        <w:t xml:space="preserve"> =</w:t>
      </w:r>
      <w:r w:rsidRPr="004610C3">
        <w:rPr>
          <w:rFonts w:ascii="Arial Narrow" w:hAnsi="Arial Narrow" w:cs="Tahoma"/>
          <w:sz w:val="18"/>
          <w:szCs w:val="18"/>
        </w:rPr>
        <w:t xml:space="preserve"> left atrial appendage closure</w:t>
      </w:r>
      <w:r>
        <w:rPr>
          <w:rFonts w:ascii="Arial Narrow" w:hAnsi="Arial Narrow" w:cs="Tahoma"/>
          <w:sz w:val="18"/>
          <w:szCs w:val="18"/>
        </w:rPr>
        <w:t>;</w:t>
      </w:r>
      <w:r w:rsidRPr="004610C3">
        <w:rPr>
          <w:rFonts w:ascii="Arial Narrow" w:hAnsi="Arial Narrow" w:cs="Tahoma"/>
          <w:sz w:val="18"/>
          <w:szCs w:val="18"/>
        </w:rPr>
        <w:t xml:space="preserve"> MBS</w:t>
      </w:r>
      <w:r>
        <w:rPr>
          <w:rFonts w:ascii="Arial Narrow" w:hAnsi="Arial Narrow" w:cs="Tahoma"/>
          <w:sz w:val="18"/>
          <w:szCs w:val="18"/>
        </w:rPr>
        <w:t xml:space="preserve"> =</w:t>
      </w:r>
      <w:r w:rsidRPr="004610C3">
        <w:rPr>
          <w:rFonts w:ascii="Arial Narrow" w:hAnsi="Arial Narrow" w:cs="Tahoma"/>
          <w:sz w:val="18"/>
          <w:szCs w:val="18"/>
        </w:rPr>
        <w:t xml:space="preserve"> Medical Benefits Schedule</w:t>
      </w:r>
      <w:r>
        <w:rPr>
          <w:rFonts w:ascii="Arial Narrow" w:hAnsi="Arial Narrow" w:cs="Tahoma"/>
          <w:sz w:val="18"/>
          <w:szCs w:val="18"/>
        </w:rPr>
        <w:t>;</w:t>
      </w:r>
      <w:r w:rsidRPr="004610C3">
        <w:rPr>
          <w:rFonts w:ascii="Arial Narrow" w:hAnsi="Arial Narrow" w:cs="Tahoma"/>
          <w:sz w:val="18"/>
          <w:szCs w:val="18"/>
        </w:rPr>
        <w:t xml:space="preserve"> RCI</w:t>
      </w:r>
      <w:r>
        <w:rPr>
          <w:rFonts w:ascii="Arial Narrow" w:hAnsi="Arial Narrow" w:cs="Tahoma"/>
          <w:sz w:val="18"/>
          <w:szCs w:val="18"/>
        </w:rPr>
        <w:t xml:space="preserve"> =</w:t>
      </w:r>
      <w:r w:rsidRPr="004610C3">
        <w:rPr>
          <w:rFonts w:ascii="Arial Narrow" w:hAnsi="Arial Narrow" w:cs="Tahoma"/>
          <w:sz w:val="18"/>
          <w:szCs w:val="18"/>
        </w:rPr>
        <w:t xml:space="preserve"> relative contraindication</w:t>
      </w:r>
    </w:p>
    <w:p w14:paraId="39CBB0D9" w14:textId="77777777" w:rsidR="00E93186" w:rsidRPr="004610C3" w:rsidRDefault="00E93186" w:rsidP="00E93186">
      <w:pPr>
        <w:keepNext/>
        <w:jc w:val="both"/>
        <w:rPr>
          <w:rFonts w:ascii="Arial Narrow" w:hAnsi="Arial Narrow" w:cs="Tahoma"/>
          <w:sz w:val="18"/>
          <w:szCs w:val="18"/>
        </w:rPr>
      </w:pPr>
      <w:r w:rsidRPr="004610C3">
        <w:rPr>
          <w:rFonts w:ascii="Arial Narrow" w:hAnsi="Arial Narrow" w:cs="Tahoma"/>
          <w:sz w:val="18"/>
          <w:szCs w:val="18"/>
        </w:rPr>
        <w:t>Note:</w:t>
      </w:r>
    </w:p>
    <w:p w14:paraId="0BDAE2DD" w14:textId="29EA5E84" w:rsidR="00E93186" w:rsidRPr="00B3097D" w:rsidRDefault="00E93186" w:rsidP="00B3097D">
      <w:pPr>
        <w:numPr>
          <w:ilvl w:val="0"/>
          <w:numId w:val="34"/>
        </w:numPr>
        <w:spacing w:after="240"/>
        <w:ind w:left="284" w:hanging="357"/>
        <w:rPr>
          <w:rFonts w:ascii="Arial Narrow" w:hAnsi="Arial Narrow" w:cs="Tahoma"/>
          <w:sz w:val="18"/>
          <w:szCs w:val="18"/>
        </w:rPr>
      </w:pPr>
      <w:r w:rsidRPr="004610C3">
        <w:rPr>
          <w:rFonts w:ascii="Arial Narrow" w:hAnsi="Arial Narrow" w:cs="Tahoma"/>
          <w:sz w:val="18"/>
          <w:szCs w:val="18"/>
        </w:rPr>
        <w:t>Original table had six years of estimates.  The table above represents the relevant excerpt of the first five years.</w:t>
      </w:r>
    </w:p>
    <w:p w14:paraId="673DEAA3" w14:textId="0E53DAE3" w:rsidR="00E93186" w:rsidRPr="004610C3" w:rsidRDefault="00E93186" w:rsidP="00D03146">
      <w:r>
        <w:t>The commentary considered the f</w:t>
      </w:r>
      <w:r w:rsidRPr="004610C3">
        <w:t xml:space="preserve">inancial implications estimates for both populations </w:t>
      </w:r>
      <w:r>
        <w:t>to be</w:t>
      </w:r>
      <w:r w:rsidRPr="004610C3">
        <w:t xml:space="preserve"> subject to uncertainty, t</w:t>
      </w:r>
      <w:r w:rsidR="00D03146">
        <w:t xml:space="preserve">he extent of which is unclear. </w:t>
      </w:r>
      <w:r>
        <w:t>The commentary recommended a</w:t>
      </w:r>
      <w:r w:rsidRPr="004610C3">
        <w:t>dditional analysis should be undertaken to consider:</w:t>
      </w:r>
    </w:p>
    <w:p w14:paraId="4D5F4B73" w14:textId="77777777" w:rsidR="00E93186" w:rsidRPr="00234EE8" w:rsidRDefault="00E93186" w:rsidP="00D03146">
      <w:pPr>
        <w:pStyle w:val="NormalBulletList"/>
        <w:spacing w:line="240" w:lineRule="auto"/>
        <w:jc w:val="left"/>
        <w:rPr>
          <w:rFonts w:ascii="Times New Roman" w:hAnsi="Times New Roman" w:cs="Times New Roman"/>
        </w:rPr>
      </w:pPr>
      <w:r w:rsidRPr="00234EE8">
        <w:rPr>
          <w:rFonts w:ascii="Times New Roman" w:hAnsi="Times New Roman" w:cs="Times New Roman"/>
        </w:rPr>
        <w:t>The potential future burden of AF in Australia.  While the ADAR acknowledges growth in AF prevalence, the exact extent may be uncertain, particularly given AF is often asymptomatic.</w:t>
      </w:r>
    </w:p>
    <w:p w14:paraId="5BDE6B9E" w14:textId="0B546115" w:rsidR="00E93186" w:rsidRPr="00234EE8" w:rsidRDefault="00E93186" w:rsidP="00D03146">
      <w:pPr>
        <w:pStyle w:val="NormalBulletList"/>
        <w:spacing w:line="240" w:lineRule="auto"/>
        <w:jc w:val="left"/>
        <w:rPr>
          <w:rFonts w:ascii="Times New Roman" w:hAnsi="Times New Roman" w:cs="Times New Roman"/>
        </w:rPr>
      </w:pPr>
      <w:r w:rsidRPr="00234EE8">
        <w:rPr>
          <w:rFonts w:ascii="Times New Roman" w:hAnsi="Times New Roman" w:cs="Times New Roman"/>
        </w:rPr>
        <w:t>The likely eligible patient populations – it is unclear what proportion of high-risk non</w:t>
      </w:r>
      <w:r w:rsidR="00D67170">
        <w:rPr>
          <w:rFonts w:ascii="Times New Roman" w:hAnsi="Times New Roman" w:cs="Times New Roman"/>
        </w:rPr>
        <w:t>-</w:t>
      </w:r>
      <w:r w:rsidRPr="00234EE8">
        <w:rPr>
          <w:rFonts w:ascii="Times New Roman" w:hAnsi="Times New Roman" w:cs="Times New Roman"/>
        </w:rPr>
        <w:t xml:space="preserve"> NVAF patients would be eligible under the respective revised eligibility criteria proposed for Populations 1 and 2 by the ADAR.  For example:</w:t>
      </w:r>
    </w:p>
    <w:p w14:paraId="7ED37B5D" w14:textId="77777777" w:rsidR="00E93186" w:rsidRPr="00234EE8" w:rsidRDefault="00E93186" w:rsidP="00D03146">
      <w:pPr>
        <w:pStyle w:val="NormalBulletList"/>
        <w:numPr>
          <w:ilvl w:val="1"/>
          <w:numId w:val="33"/>
        </w:numPr>
        <w:spacing w:line="240" w:lineRule="auto"/>
        <w:jc w:val="left"/>
        <w:rPr>
          <w:rFonts w:ascii="Times New Roman" w:hAnsi="Times New Roman" w:cs="Times New Roman"/>
        </w:rPr>
      </w:pPr>
      <w:r w:rsidRPr="00234EE8">
        <w:rPr>
          <w:rFonts w:ascii="Times New Roman" w:hAnsi="Times New Roman" w:cs="Times New Roman"/>
        </w:rPr>
        <w:t xml:space="preserve">The extent of any overlap in the proposed eligible patient populations 1 and 2 is unclear, </w:t>
      </w:r>
    </w:p>
    <w:p w14:paraId="12309F5D" w14:textId="77777777" w:rsidR="00E93186" w:rsidRPr="00234EE8" w:rsidRDefault="00E93186" w:rsidP="00D03146">
      <w:pPr>
        <w:pStyle w:val="NormalBulletList"/>
        <w:numPr>
          <w:ilvl w:val="1"/>
          <w:numId w:val="33"/>
        </w:numPr>
        <w:spacing w:line="240" w:lineRule="auto"/>
        <w:jc w:val="left"/>
        <w:rPr>
          <w:rFonts w:ascii="Times New Roman" w:hAnsi="Times New Roman" w:cs="Times New Roman"/>
        </w:rPr>
      </w:pPr>
      <w:r w:rsidRPr="00234EE8">
        <w:rPr>
          <w:rFonts w:ascii="Times New Roman" w:hAnsi="Times New Roman" w:cs="Times New Roman"/>
        </w:rPr>
        <w:t>For Population 2, the estimates of the rate of bleeding events (the proposed revised eligibility criteria by the ADAR) presented in the ADAR varied considerably.</w:t>
      </w:r>
    </w:p>
    <w:p w14:paraId="6E5E80EF" w14:textId="77777777" w:rsidR="00E93186" w:rsidRPr="00234EE8" w:rsidRDefault="00E93186" w:rsidP="00D03146">
      <w:pPr>
        <w:pStyle w:val="NormalBulletList"/>
        <w:numPr>
          <w:ilvl w:val="1"/>
          <w:numId w:val="33"/>
        </w:numPr>
        <w:spacing w:line="240" w:lineRule="auto"/>
        <w:jc w:val="left"/>
        <w:rPr>
          <w:rFonts w:ascii="Times New Roman" w:hAnsi="Times New Roman" w:cs="Times New Roman"/>
        </w:rPr>
      </w:pPr>
      <w:r w:rsidRPr="00234EE8">
        <w:rPr>
          <w:rFonts w:ascii="Times New Roman" w:hAnsi="Times New Roman" w:cs="Times New Roman"/>
        </w:rPr>
        <w:t>Further, it is unclear how the resulting proposed revision to Population 2 eligibility criteria will differ from the original proposed eligibility criteria for this population in terms of resulting patient numbers in practice.</w:t>
      </w:r>
    </w:p>
    <w:p w14:paraId="3A853BF9" w14:textId="77777777" w:rsidR="00E93186" w:rsidRPr="00234EE8" w:rsidRDefault="00E93186" w:rsidP="00D03146">
      <w:pPr>
        <w:pStyle w:val="NormalBulletList"/>
        <w:numPr>
          <w:ilvl w:val="1"/>
          <w:numId w:val="33"/>
        </w:numPr>
        <w:spacing w:line="240" w:lineRule="auto"/>
        <w:jc w:val="left"/>
        <w:rPr>
          <w:rFonts w:ascii="Times New Roman" w:hAnsi="Times New Roman" w:cs="Times New Roman"/>
        </w:rPr>
      </w:pPr>
      <w:r w:rsidRPr="00234EE8">
        <w:rPr>
          <w:rFonts w:ascii="Times New Roman" w:hAnsi="Times New Roman" w:cs="Times New Roman"/>
        </w:rPr>
        <w:t>The populations proposed by the ADAR have the potential to ‘bring forward the market’ for LAAC, as patients who would otherwise not be eligible (at least with present eligibility criteria) may now become eligible for LAAC earlier than they otherwise would, or when they otherwise may not have.</w:t>
      </w:r>
    </w:p>
    <w:p w14:paraId="245A8FB5" w14:textId="77777777" w:rsidR="00E93186" w:rsidRPr="00234EE8" w:rsidRDefault="00E93186" w:rsidP="00265004">
      <w:pPr>
        <w:pStyle w:val="NormalBulletList"/>
        <w:numPr>
          <w:ilvl w:val="1"/>
          <w:numId w:val="33"/>
        </w:numPr>
        <w:spacing w:after="480"/>
        <w:ind w:left="1434" w:hanging="357"/>
        <w:contextualSpacing w:val="0"/>
        <w:jc w:val="left"/>
        <w:rPr>
          <w:rFonts w:ascii="Times New Roman" w:hAnsi="Times New Roman" w:cs="Times New Roman"/>
        </w:rPr>
      </w:pPr>
      <w:r w:rsidRPr="00234EE8">
        <w:rPr>
          <w:rFonts w:ascii="Times New Roman" w:hAnsi="Times New Roman" w:cs="Times New Roman"/>
        </w:rPr>
        <w:t>Current rates of LAAC uptake as a proportion of DOAC treated patients.  This also makes unclear the likely incremental effects of the proposed expansions of eligibility criteria for the respective populations.</w:t>
      </w:r>
    </w:p>
    <w:p w14:paraId="4147DAD6" w14:textId="77777777" w:rsidR="00E93186" w:rsidRPr="00234EE8" w:rsidRDefault="00E93186" w:rsidP="00D03146">
      <w:pPr>
        <w:pStyle w:val="NormalBulletList"/>
        <w:spacing w:line="240" w:lineRule="auto"/>
        <w:jc w:val="left"/>
        <w:rPr>
          <w:rFonts w:ascii="Times New Roman" w:hAnsi="Times New Roman" w:cs="Times New Roman"/>
        </w:rPr>
      </w:pPr>
      <w:r w:rsidRPr="00234EE8">
        <w:rPr>
          <w:rFonts w:ascii="Times New Roman" w:hAnsi="Times New Roman" w:cs="Times New Roman"/>
        </w:rPr>
        <w:lastRenderedPageBreak/>
        <w:t>Treatment uptake:</w:t>
      </w:r>
    </w:p>
    <w:p w14:paraId="7CA3138A" w14:textId="77777777" w:rsidR="00E93186" w:rsidRPr="00234EE8" w:rsidRDefault="00E93186" w:rsidP="00D03146">
      <w:pPr>
        <w:pStyle w:val="NormalBulletList"/>
        <w:numPr>
          <w:ilvl w:val="1"/>
          <w:numId w:val="33"/>
        </w:numPr>
        <w:spacing w:line="240" w:lineRule="auto"/>
        <w:jc w:val="left"/>
        <w:rPr>
          <w:rFonts w:ascii="Times New Roman" w:hAnsi="Times New Roman" w:cs="Times New Roman"/>
        </w:rPr>
      </w:pPr>
      <w:r w:rsidRPr="00234EE8">
        <w:rPr>
          <w:rFonts w:ascii="Times New Roman" w:hAnsi="Times New Roman" w:cs="Times New Roman"/>
        </w:rPr>
        <w:t>Patient referral rates – the proportion of patients who will subsequently be referred for a conference of an interventional and non-interventional physician for a decision on LAAC treatment eligibility.</w:t>
      </w:r>
    </w:p>
    <w:p w14:paraId="17318022" w14:textId="77777777" w:rsidR="00E93186" w:rsidRPr="00234EE8" w:rsidRDefault="00E93186" w:rsidP="00D03146">
      <w:pPr>
        <w:pStyle w:val="NormalBulletList"/>
        <w:numPr>
          <w:ilvl w:val="1"/>
          <w:numId w:val="33"/>
        </w:numPr>
        <w:spacing w:line="240" w:lineRule="auto"/>
        <w:jc w:val="left"/>
        <w:rPr>
          <w:rFonts w:ascii="Times New Roman" w:hAnsi="Times New Roman" w:cs="Times New Roman"/>
        </w:rPr>
      </w:pPr>
      <w:r w:rsidRPr="00234EE8">
        <w:rPr>
          <w:rFonts w:ascii="Times New Roman" w:hAnsi="Times New Roman" w:cs="Times New Roman"/>
        </w:rPr>
        <w:t>The proportion of referred patients deemed suitable for LAAC by the physician conference.</w:t>
      </w:r>
    </w:p>
    <w:p w14:paraId="610D5A83" w14:textId="77777777" w:rsidR="00E93186" w:rsidRPr="00234EE8" w:rsidRDefault="00E93186" w:rsidP="00D03146">
      <w:pPr>
        <w:pStyle w:val="NormalBulletList"/>
        <w:numPr>
          <w:ilvl w:val="1"/>
          <w:numId w:val="33"/>
        </w:numPr>
        <w:spacing w:line="240" w:lineRule="auto"/>
        <w:jc w:val="left"/>
        <w:rPr>
          <w:rFonts w:ascii="Times New Roman" w:hAnsi="Times New Roman" w:cs="Times New Roman"/>
        </w:rPr>
      </w:pPr>
      <w:r w:rsidRPr="00234EE8">
        <w:rPr>
          <w:rFonts w:ascii="Times New Roman" w:hAnsi="Times New Roman" w:cs="Times New Roman"/>
        </w:rPr>
        <w:t>Potential health care capacity, including the number of suitable treatment facilities and available physicians trained in the procedure.</w:t>
      </w:r>
    </w:p>
    <w:p w14:paraId="58563C57" w14:textId="478FBBED" w:rsidR="00E93186" w:rsidRPr="00234EE8" w:rsidRDefault="00E93186" w:rsidP="00D03146">
      <w:pPr>
        <w:pStyle w:val="NormalBulletList"/>
        <w:numPr>
          <w:ilvl w:val="1"/>
          <w:numId w:val="33"/>
        </w:numPr>
        <w:spacing w:line="240" w:lineRule="auto"/>
        <w:jc w:val="left"/>
        <w:rPr>
          <w:rFonts w:ascii="Times New Roman" w:hAnsi="Times New Roman" w:cs="Times New Roman"/>
        </w:rPr>
      </w:pPr>
      <w:r w:rsidRPr="00234EE8">
        <w:rPr>
          <w:rFonts w:ascii="Times New Roman" w:hAnsi="Times New Roman" w:cs="Times New Roman"/>
        </w:rPr>
        <w:t xml:space="preserve">Rates of market uptake aside from capacity.  For example, ADAR analysis of population 1 assumes </w:t>
      </w:r>
      <w:r w:rsidR="008F3032" w:rsidRPr="008F3032">
        <w:rPr>
          <w:rFonts w:ascii="Times New Roman" w:hAnsi="Times New Roman" w:cs="Times New Roman"/>
          <w:b/>
          <w:bCs/>
        </w:rPr>
        <w:t>REDACTED</w:t>
      </w:r>
      <w:r w:rsidRPr="00234EE8">
        <w:rPr>
          <w:rFonts w:ascii="Times New Roman" w:hAnsi="Times New Roman" w:cs="Times New Roman"/>
        </w:rPr>
        <w:t>% uptake from year one of analysis.</w:t>
      </w:r>
    </w:p>
    <w:p w14:paraId="6D63A6F2" w14:textId="31FE5C14" w:rsidR="008275A0" w:rsidRPr="00D03146" w:rsidRDefault="00E93186" w:rsidP="00D03146">
      <w:pPr>
        <w:pStyle w:val="NormalBulletList"/>
        <w:numPr>
          <w:ilvl w:val="1"/>
          <w:numId w:val="33"/>
        </w:numPr>
        <w:spacing w:line="240" w:lineRule="auto"/>
        <w:jc w:val="left"/>
        <w:rPr>
          <w:rFonts w:ascii="Times New Roman" w:hAnsi="Times New Roman" w:cs="Times New Roman"/>
        </w:rPr>
      </w:pPr>
      <w:r w:rsidRPr="00234EE8">
        <w:rPr>
          <w:rFonts w:ascii="Times New Roman" w:hAnsi="Times New Roman" w:cs="Times New Roman"/>
        </w:rPr>
        <w:t>The proportion of LAAC patients having the procedure in a priva</w:t>
      </w:r>
      <w:r w:rsidR="00D03146">
        <w:rPr>
          <w:rFonts w:ascii="Times New Roman" w:hAnsi="Times New Roman" w:cs="Times New Roman"/>
        </w:rPr>
        <w:t xml:space="preserve">te hospital, or ‘MBS setting’. </w:t>
      </w:r>
      <w:r w:rsidRPr="00234EE8">
        <w:rPr>
          <w:rFonts w:ascii="Times New Roman" w:hAnsi="Times New Roman" w:cs="Times New Roman"/>
        </w:rPr>
        <w:t>This may be higher than that indicated by the ADAR.</w:t>
      </w:r>
    </w:p>
    <w:p w14:paraId="4F31F7E3" w14:textId="11B22A2E" w:rsidR="008275A0" w:rsidRDefault="008275A0" w:rsidP="00D03146">
      <w:r>
        <w:t>The pre-MSAC response reiterated that</w:t>
      </w:r>
      <w:r w:rsidRPr="008275A0">
        <w:t xml:space="preserve"> the expanded listing for LAAC </w:t>
      </w:r>
      <w:r>
        <w:t>is considered to represent</w:t>
      </w:r>
      <w:r w:rsidRPr="008275A0">
        <w:t xml:space="preserve"> good value for money, as demonstrated in the cost-effectiveness analyses, and addresses an unmet clinical need. </w:t>
      </w:r>
      <w:r>
        <w:t>The pre-MSAC response also presented additional</w:t>
      </w:r>
      <w:r w:rsidRPr="008275A0">
        <w:t xml:space="preserve"> sensitivity analyses </w:t>
      </w:r>
      <w:r>
        <w:t xml:space="preserve">that indicated </w:t>
      </w:r>
      <w:r w:rsidRPr="008275A0">
        <w:t xml:space="preserve">the total costs to the MBS over six years ranges from </w:t>
      </w:r>
      <w:r w:rsidR="00D03146">
        <w:br/>
      </w:r>
      <w:r w:rsidRPr="008275A0">
        <w:t>$</w:t>
      </w:r>
      <w:r w:rsidR="008F3032" w:rsidRPr="008F3032">
        <w:rPr>
          <w:b/>
          <w:bCs/>
        </w:rPr>
        <w:t>REDACTED</w:t>
      </w:r>
      <w:r w:rsidR="008F3032" w:rsidRPr="008F3032">
        <w:t xml:space="preserve"> </w:t>
      </w:r>
      <w:r w:rsidRPr="008F3032">
        <w:t>to $</w:t>
      </w:r>
      <w:r w:rsidR="008F3032" w:rsidRPr="008F3032">
        <w:rPr>
          <w:b/>
          <w:bCs/>
        </w:rPr>
        <w:t>REDACTED</w:t>
      </w:r>
      <w:r w:rsidR="008F3032" w:rsidRPr="008F3032">
        <w:t xml:space="preserve"> </w:t>
      </w:r>
      <w:r w:rsidRPr="008F3032">
        <w:t>million with corresponding net cost savings to the PBS ranging from $</w:t>
      </w:r>
      <w:r w:rsidR="008F3032" w:rsidRPr="008F3032">
        <w:rPr>
          <w:b/>
          <w:bCs/>
        </w:rPr>
        <w:t>REDACTED</w:t>
      </w:r>
      <w:r w:rsidR="008F3032" w:rsidRPr="008F3032">
        <w:t xml:space="preserve"> </w:t>
      </w:r>
      <w:r w:rsidRPr="008F3032">
        <w:t>to $</w:t>
      </w:r>
      <w:r w:rsidR="008F3032" w:rsidRPr="008F3032">
        <w:rPr>
          <w:b/>
          <w:bCs/>
        </w:rPr>
        <w:t>REDACTED</w:t>
      </w:r>
      <w:r w:rsidR="008F3032" w:rsidRPr="008F3032">
        <w:t xml:space="preserve"> </w:t>
      </w:r>
      <w:r w:rsidRPr="008F3032">
        <w:t>million (</w:t>
      </w:r>
      <w:r w:rsidRPr="008F3032">
        <w:fldChar w:fldCharType="begin"/>
      </w:r>
      <w:r w:rsidRPr="008F3032">
        <w:instrText xml:space="preserve"> REF _Ref69993945 \h </w:instrText>
      </w:r>
      <w:r w:rsidR="00D03146" w:rsidRPr="008F3032">
        <w:instrText xml:space="preserve"> \* MERGEFORMAT </w:instrText>
      </w:r>
      <w:r w:rsidRPr="008F3032">
        <w:fldChar w:fldCharType="separate"/>
      </w:r>
      <w:r w:rsidRPr="008F3032">
        <w:t xml:space="preserve">Table </w:t>
      </w:r>
      <w:r w:rsidRPr="008F3032">
        <w:rPr>
          <w:noProof/>
        </w:rPr>
        <w:t>18</w:t>
      </w:r>
      <w:r w:rsidRPr="008F3032">
        <w:fldChar w:fldCharType="end"/>
      </w:r>
      <w:r>
        <w:t>)</w:t>
      </w:r>
      <w:r w:rsidRPr="008275A0">
        <w:t xml:space="preserve">. </w:t>
      </w:r>
    </w:p>
    <w:p w14:paraId="7CB04197" w14:textId="77777777" w:rsidR="008275A0" w:rsidRDefault="008275A0" w:rsidP="00D03146">
      <w:pPr>
        <w:pStyle w:val="Caption"/>
        <w:jc w:val="left"/>
        <w:sectPr w:rsidR="008275A0" w:rsidSect="00271F18">
          <w:headerReference w:type="even" r:id="rId20"/>
          <w:headerReference w:type="default" r:id="rId21"/>
          <w:footerReference w:type="even" r:id="rId22"/>
          <w:footerReference w:type="default" r:id="rId23"/>
          <w:headerReference w:type="first" r:id="rId24"/>
          <w:footerReference w:type="first" r:id="rId25"/>
          <w:pgSz w:w="11906" w:h="16838"/>
          <w:pgMar w:top="1134" w:right="1440" w:bottom="426" w:left="1440" w:header="708" w:footer="708" w:gutter="0"/>
          <w:cols w:space="708"/>
          <w:docGrid w:linePitch="360"/>
        </w:sectPr>
      </w:pPr>
      <w:bookmarkStart w:id="36" w:name="_Ref66970823"/>
    </w:p>
    <w:p w14:paraId="020143A7" w14:textId="7180A721" w:rsidR="008275A0" w:rsidRDefault="008275A0" w:rsidP="008275A0">
      <w:pPr>
        <w:pStyle w:val="Caption"/>
      </w:pPr>
      <w:bookmarkStart w:id="37" w:name="_Ref69993945"/>
      <w:r>
        <w:lastRenderedPageBreak/>
        <w:t xml:space="preserve">Table </w:t>
      </w:r>
      <w:r w:rsidR="00FE1F6B">
        <w:fldChar w:fldCharType="begin"/>
      </w:r>
      <w:r w:rsidR="00FE1F6B">
        <w:instrText xml:space="preserve"> SEQ Table \* ARABIC </w:instrText>
      </w:r>
      <w:r w:rsidR="00FE1F6B">
        <w:fldChar w:fldCharType="separate"/>
      </w:r>
      <w:r>
        <w:rPr>
          <w:noProof/>
        </w:rPr>
        <w:t>18</w:t>
      </w:r>
      <w:r w:rsidR="00FE1F6B">
        <w:rPr>
          <w:noProof/>
        </w:rPr>
        <w:fldChar w:fldCharType="end"/>
      </w:r>
      <w:bookmarkEnd w:id="36"/>
      <w:bookmarkEnd w:id="37"/>
      <w:r>
        <w:tab/>
        <w:t>Financial implications - sensitivity analyses requested by ESC</w:t>
      </w:r>
    </w:p>
    <w:tbl>
      <w:tblPr>
        <w:tblW w:w="15459" w:type="dxa"/>
        <w:tblInd w:w="-5" w:type="dxa"/>
        <w:tblLayout w:type="fixed"/>
        <w:tblLook w:val="04A0" w:firstRow="1" w:lastRow="0" w:firstColumn="1" w:lastColumn="0" w:noHBand="0" w:noVBand="1"/>
      </w:tblPr>
      <w:tblGrid>
        <w:gridCol w:w="2126"/>
        <w:gridCol w:w="2409"/>
        <w:gridCol w:w="1559"/>
        <w:gridCol w:w="1559"/>
        <w:gridCol w:w="1701"/>
        <w:gridCol w:w="1418"/>
        <w:gridCol w:w="1559"/>
        <w:gridCol w:w="1559"/>
        <w:gridCol w:w="1560"/>
        <w:gridCol w:w="9"/>
      </w:tblGrid>
      <w:tr w:rsidR="008275A0" w:rsidRPr="001E7548" w14:paraId="2C6BED79" w14:textId="77777777" w:rsidTr="008F3032">
        <w:trPr>
          <w:trHeight w:val="228"/>
        </w:trPr>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8D1C63" w14:textId="77777777" w:rsidR="008275A0" w:rsidRPr="001E7548" w:rsidRDefault="008275A0" w:rsidP="00CC5079">
            <w:pPr>
              <w:contextualSpacing/>
              <w:jc w:val="center"/>
              <w:rPr>
                <w:rFonts w:ascii="Arial Narrow" w:hAnsi="Arial Narrow" w:cs="Calibri"/>
                <w:b/>
                <w:bCs/>
                <w:color w:val="000000"/>
                <w:sz w:val="19"/>
                <w:szCs w:val="19"/>
              </w:rPr>
            </w:pPr>
            <w:r w:rsidRPr="001E7548">
              <w:rPr>
                <w:rFonts w:ascii="Arial Narrow" w:hAnsi="Arial Narrow" w:cs="Calibri"/>
                <w:b/>
                <w:bCs/>
                <w:color w:val="000000"/>
                <w:sz w:val="19"/>
                <w:szCs w:val="19"/>
              </w:rPr>
              <w:t>Parameters</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6B6B8" w14:textId="77777777" w:rsidR="008275A0" w:rsidRPr="001E7548" w:rsidRDefault="008275A0" w:rsidP="00CC5079">
            <w:pPr>
              <w:contextualSpacing/>
              <w:jc w:val="center"/>
              <w:rPr>
                <w:rFonts w:ascii="Arial Narrow" w:hAnsi="Arial Narrow" w:cs="Calibri"/>
                <w:b/>
                <w:bCs/>
                <w:color w:val="000000"/>
                <w:sz w:val="19"/>
                <w:szCs w:val="19"/>
              </w:rPr>
            </w:pPr>
            <w:r w:rsidRPr="001E7548">
              <w:rPr>
                <w:rFonts w:ascii="Arial Narrow" w:hAnsi="Arial Narrow" w:cs="Calibri"/>
                <w:b/>
                <w:bCs/>
                <w:color w:val="000000"/>
                <w:sz w:val="19"/>
                <w:szCs w:val="19"/>
              </w:rPr>
              <w:t>Sensitivity Value</w:t>
            </w:r>
          </w:p>
        </w:tc>
        <w:tc>
          <w:tcPr>
            <w:tcW w:w="481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1C7684" w14:textId="77777777" w:rsidR="008275A0" w:rsidRPr="001E7548" w:rsidRDefault="008275A0" w:rsidP="00CC5079">
            <w:pPr>
              <w:contextualSpacing/>
              <w:jc w:val="center"/>
              <w:rPr>
                <w:rFonts w:ascii="Arial Narrow" w:hAnsi="Arial Narrow" w:cs="Calibri"/>
                <w:b/>
                <w:bCs/>
                <w:color w:val="000000"/>
                <w:sz w:val="19"/>
                <w:szCs w:val="19"/>
              </w:rPr>
            </w:pPr>
            <w:r w:rsidRPr="001E7548">
              <w:rPr>
                <w:rFonts w:ascii="Arial Narrow" w:hAnsi="Arial Narrow" w:cs="Calibri"/>
                <w:b/>
                <w:bCs/>
                <w:color w:val="000000"/>
                <w:sz w:val="19"/>
                <w:szCs w:val="19"/>
              </w:rPr>
              <w:t>Number of LAAC procedures reimbursed on the MBS</w:t>
            </w:r>
          </w:p>
        </w:tc>
        <w:tc>
          <w:tcPr>
            <w:tcW w:w="61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76FB940F" w14:textId="77777777" w:rsidR="008275A0" w:rsidRPr="001E7548" w:rsidRDefault="008275A0" w:rsidP="00CC5079">
            <w:pPr>
              <w:contextualSpacing/>
              <w:jc w:val="center"/>
              <w:rPr>
                <w:rFonts w:ascii="Arial Narrow" w:hAnsi="Arial Narrow" w:cs="Calibri"/>
                <w:b/>
                <w:bCs/>
                <w:color w:val="000000"/>
                <w:sz w:val="19"/>
                <w:szCs w:val="19"/>
              </w:rPr>
            </w:pPr>
            <w:r w:rsidRPr="001E7548">
              <w:rPr>
                <w:rFonts w:ascii="Arial Narrow" w:hAnsi="Arial Narrow" w:cs="Calibri"/>
                <w:b/>
                <w:bCs/>
                <w:color w:val="000000"/>
                <w:sz w:val="19"/>
                <w:szCs w:val="19"/>
              </w:rPr>
              <w:t>Financial implications (expanded ACI and RCI populations):  2021 to 2026</w:t>
            </w:r>
          </w:p>
        </w:tc>
      </w:tr>
      <w:tr w:rsidR="008275A0" w:rsidRPr="001E7548" w14:paraId="3292EE94" w14:textId="77777777" w:rsidTr="008F3032">
        <w:trPr>
          <w:gridAfter w:val="1"/>
          <w:wAfter w:w="9" w:type="dxa"/>
          <w:trHeight w:val="426"/>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438215B2" w14:textId="77777777" w:rsidR="008275A0" w:rsidRPr="001E7548" w:rsidRDefault="008275A0" w:rsidP="00CC5079">
            <w:pPr>
              <w:contextualSpacing/>
              <w:rPr>
                <w:rFonts w:ascii="Arial Narrow" w:hAnsi="Arial Narrow" w:cs="Calibri"/>
                <w:b/>
                <w:bCs/>
                <w:color w:val="000000"/>
                <w:sz w:val="19"/>
                <w:szCs w:val="19"/>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087263A" w14:textId="77777777" w:rsidR="008275A0" w:rsidRPr="001E7548" w:rsidRDefault="008275A0" w:rsidP="00CC5079">
            <w:pPr>
              <w:contextualSpacing/>
              <w:rPr>
                <w:rFonts w:ascii="Arial Narrow" w:hAnsi="Arial Narrow" w:cs="Calibri"/>
                <w:b/>
                <w:bCs/>
                <w:color w:val="000000"/>
                <w:sz w:val="19"/>
                <w:szCs w:val="19"/>
              </w:rPr>
            </w:pPr>
          </w:p>
        </w:tc>
        <w:tc>
          <w:tcPr>
            <w:tcW w:w="1559" w:type="dxa"/>
            <w:tcBorders>
              <w:top w:val="nil"/>
              <w:left w:val="nil"/>
              <w:bottom w:val="single" w:sz="4" w:space="0" w:color="auto"/>
              <w:right w:val="single" w:sz="4" w:space="0" w:color="auto"/>
            </w:tcBorders>
            <w:shd w:val="clear" w:color="auto" w:fill="auto"/>
            <w:vAlign w:val="center"/>
            <w:hideMark/>
          </w:tcPr>
          <w:p w14:paraId="0BD273BD" w14:textId="77777777" w:rsidR="008275A0" w:rsidRPr="001E7548" w:rsidRDefault="008275A0" w:rsidP="00CC5079">
            <w:pPr>
              <w:contextualSpacing/>
              <w:jc w:val="center"/>
              <w:rPr>
                <w:rFonts w:ascii="Arial Narrow" w:hAnsi="Arial Narrow" w:cs="Calibri"/>
                <w:b/>
                <w:bCs/>
                <w:color w:val="000000"/>
                <w:sz w:val="19"/>
                <w:szCs w:val="19"/>
              </w:rPr>
            </w:pPr>
            <w:r w:rsidRPr="001E7548">
              <w:rPr>
                <w:rFonts w:ascii="Arial Narrow" w:hAnsi="Arial Narrow" w:cs="Calibri"/>
                <w:b/>
                <w:bCs/>
                <w:color w:val="000000"/>
                <w:sz w:val="19"/>
                <w:szCs w:val="19"/>
              </w:rPr>
              <w:t>Expanded ACI population</w:t>
            </w:r>
          </w:p>
        </w:tc>
        <w:tc>
          <w:tcPr>
            <w:tcW w:w="1559" w:type="dxa"/>
            <w:tcBorders>
              <w:top w:val="nil"/>
              <w:left w:val="nil"/>
              <w:bottom w:val="single" w:sz="4" w:space="0" w:color="auto"/>
              <w:right w:val="single" w:sz="4" w:space="0" w:color="auto"/>
            </w:tcBorders>
            <w:shd w:val="clear" w:color="auto" w:fill="auto"/>
            <w:vAlign w:val="center"/>
            <w:hideMark/>
          </w:tcPr>
          <w:p w14:paraId="23AEC618" w14:textId="77777777" w:rsidR="008275A0" w:rsidRPr="001E7548" w:rsidRDefault="008275A0" w:rsidP="00CC5079">
            <w:pPr>
              <w:contextualSpacing/>
              <w:jc w:val="center"/>
              <w:rPr>
                <w:rFonts w:ascii="Arial Narrow" w:hAnsi="Arial Narrow" w:cs="Calibri"/>
                <w:b/>
                <w:bCs/>
                <w:color w:val="000000"/>
                <w:sz w:val="19"/>
                <w:szCs w:val="19"/>
              </w:rPr>
            </w:pPr>
            <w:r w:rsidRPr="001E7548">
              <w:rPr>
                <w:rFonts w:ascii="Arial Narrow" w:hAnsi="Arial Narrow" w:cs="Calibri"/>
                <w:b/>
                <w:bCs/>
                <w:color w:val="000000"/>
                <w:sz w:val="19"/>
                <w:szCs w:val="19"/>
              </w:rPr>
              <w:t xml:space="preserve">RCI population </w:t>
            </w:r>
          </w:p>
        </w:tc>
        <w:tc>
          <w:tcPr>
            <w:tcW w:w="1701" w:type="dxa"/>
            <w:tcBorders>
              <w:top w:val="nil"/>
              <w:left w:val="nil"/>
              <w:bottom w:val="single" w:sz="4" w:space="0" w:color="auto"/>
              <w:right w:val="single" w:sz="4" w:space="0" w:color="auto"/>
            </w:tcBorders>
            <w:shd w:val="clear" w:color="auto" w:fill="auto"/>
            <w:vAlign w:val="center"/>
            <w:hideMark/>
          </w:tcPr>
          <w:p w14:paraId="02F2558C" w14:textId="77777777" w:rsidR="008275A0" w:rsidRPr="001E7548" w:rsidRDefault="008275A0" w:rsidP="00CC5079">
            <w:pPr>
              <w:contextualSpacing/>
              <w:jc w:val="center"/>
              <w:rPr>
                <w:rFonts w:ascii="Arial Narrow" w:hAnsi="Arial Narrow" w:cs="Calibri"/>
                <w:b/>
                <w:bCs/>
                <w:color w:val="000000"/>
                <w:sz w:val="19"/>
                <w:szCs w:val="19"/>
                <w:vertAlign w:val="superscript"/>
              </w:rPr>
            </w:pPr>
            <w:r w:rsidRPr="001E7548">
              <w:rPr>
                <w:rFonts w:ascii="Arial Narrow" w:hAnsi="Arial Narrow" w:cs="Calibri"/>
                <w:b/>
                <w:bCs/>
                <w:color w:val="000000"/>
                <w:sz w:val="19"/>
                <w:szCs w:val="19"/>
              </w:rPr>
              <w:t>LAAC uptake as a proportion of DOAC treated patients</w:t>
            </w:r>
            <w:r>
              <w:rPr>
                <w:rFonts w:ascii="Arial Narrow" w:hAnsi="Arial Narrow" w:cs="Calibri"/>
                <w:b/>
                <w:bCs/>
                <w:color w:val="000000"/>
                <w:sz w:val="19"/>
                <w:szCs w:val="19"/>
                <w:vertAlign w:val="superscript"/>
              </w:rPr>
              <w:t>a</w:t>
            </w:r>
          </w:p>
        </w:tc>
        <w:tc>
          <w:tcPr>
            <w:tcW w:w="1418" w:type="dxa"/>
            <w:tcBorders>
              <w:top w:val="nil"/>
              <w:left w:val="nil"/>
              <w:bottom w:val="single" w:sz="4" w:space="0" w:color="auto"/>
              <w:right w:val="single" w:sz="4" w:space="0" w:color="auto"/>
            </w:tcBorders>
            <w:shd w:val="clear" w:color="auto" w:fill="auto"/>
            <w:vAlign w:val="center"/>
            <w:hideMark/>
          </w:tcPr>
          <w:p w14:paraId="25C892A2" w14:textId="77777777" w:rsidR="008275A0" w:rsidRPr="001E7548" w:rsidRDefault="008275A0" w:rsidP="00CC5079">
            <w:pPr>
              <w:contextualSpacing/>
              <w:jc w:val="center"/>
              <w:rPr>
                <w:rFonts w:ascii="Arial Narrow" w:hAnsi="Arial Narrow" w:cs="Calibri"/>
                <w:b/>
                <w:bCs/>
                <w:color w:val="000000"/>
                <w:sz w:val="19"/>
                <w:szCs w:val="19"/>
              </w:rPr>
            </w:pPr>
            <w:r>
              <w:rPr>
                <w:rFonts w:ascii="Arial Narrow" w:hAnsi="Arial Narrow" w:cs="Calibri"/>
                <w:b/>
                <w:bCs/>
                <w:color w:val="000000"/>
                <w:sz w:val="19"/>
                <w:szCs w:val="19"/>
              </w:rPr>
              <w:t>Additional</w:t>
            </w:r>
            <w:r w:rsidRPr="001E7548">
              <w:rPr>
                <w:rFonts w:ascii="Arial Narrow" w:hAnsi="Arial Narrow" w:cs="Calibri"/>
                <w:b/>
                <w:bCs/>
                <w:color w:val="000000"/>
                <w:sz w:val="19"/>
                <w:szCs w:val="19"/>
              </w:rPr>
              <w:t xml:space="preserve"> cost to the MBS</w:t>
            </w:r>
          </w:p>
        </w:tc>
        <w:tc>
          <w:tcPr>
            <w:tcW w:w="1559" w:type="dxa"/>
            <w:tcBorders>
              <w:top w:val="nil"/>
              <w:left w:val="nil"/>
              <w:bottom w:val="single" w:sz="4" w:space="0" w:color="auto"/>
              <w:right w:val="single" w:sz="4" w:space="0" w:color="auto"/>
            </w:tcBorders>
            <w:shd w:val="clear" w:color="auto" w:fill="auto"/>
            <w:vAlign w:val="center"/>
            <w:hideMark/>
          </w:tcPr>
          <w:p w14:paraId="1AAE223B" w14:textId="77777777" w:rsidR="008275A0" w:rsidRPr="001E7548" w:rsidRDefault="008275A0" w:rsidP="00CC5079">
            <w:pPr>
              <w:contextualSpacing/>
              <w:jc w:val="center"/>
              <w:rPr>
                <w:rFonts w:ascii="Arial Narrow" w:hAnsi="Arial Narrow" w:cs="Calibri"/>
                <w:b/>
                <w:bCs/>
                <w:color w:val="000000"/>
                <w:sz w:val="19"/>
                <w:szCs w:val="19"/>
              </w:rPr>
            </w:pPr>
            <w:r>
              <w:rPr>
                <w:rFonts w:ascii="Arial Narrow" w:hAnsi="Arial Narrow" w:cs="Calibri"/>
                <w:b/>
                <w:bCs/>
                <w:color w:val="000000"/>
                <w:sz w:val="19"/>
                <w:szCs w:val="19"/>
              </w:rPr>
              <w:t>Additional</w:t>
            </w:r>
            <w:r w:rsidRPr="001E7548">
              <w:rPr>
                <w:rFonts w:ascii="Arial Narrow" w:hAnsi="Arial Narrow" w:cs="Calibri"/>
                <w:b/>
                <w:bCs/>
                <w:color w:val="000000"/>
                <w:sz w:val="19"/>
                <w:szCs w:val="19"/>
              </w:rPr>
              <w:t xml:space="preserve"> cost to the PBS for LAAC</w:t>
            </w:r>
          </w:p>
        </w:tc>
        <w:tc>
          <w:tcPr>
            <w:tcW w:w="1559" w:type="dxa"/>
            <w:tcBorders>
              <w:top w:val="nil"/>
              <w:left w:val="nil"/>
              <w:bottom w:val="single" w:sz="4" w:space="0" w:color="auto"/>
              <w:right w:val="single" w:sz="4" w:space="0" w:color="auto"/>
            </w:tcBorders>
            <w:shd w:val="clear" w:color="auto" w:fill="auto"/>
            <w:vAlign w:val="center"/>
            <w:hideMark/>
          </w:tcPr>
          <w:p w14:paraId="2563DF97" w14:textId="77777777" w:rsidR="008275A0" w:rsidRPr="001E7548" w:rsidRDefault="008275A0" w:rsidP="00CC5079">
            <w:pPr>
              <w:contextualSpacing/>
              <w:jc w:val="center"/>
              <w:rPr>
                <w:rFonts w:ascii="Arial Narrow" w:hAnsi="Arial Narrow" w:cs="Calibri"/>
                <w:b/>
                <w:bCs/>
                <w:color w:val="000000"/>
                <w:sz w:val="19"/>
                <w:szCs w:val="19"/>
              </w:rPr>
            </w:pPr>
            <w:r>
              <w:rPr>
                <w:rFonts w:ascii="Arial Narrow" w:hAnsi="Arial Narrow" w:cs="Calibri"/>
                <w:b/>
                <w:bCs/>
                <w:color w:val="000000"/>
                <w:sz w:val="19"/>
                <w:szCs w:val="19"/>
              </w:rPr>
              <w:t>Additional</w:t>
            </w:r>
            <w:r w:rsidRPr="001E7548">
              <w:rPr>
                <w:rFonts w:ascii="Arial Narrow" w:hAnsi="Arial Narrow" w:cs="Calibri"/>
                <w:b/>
                <w:bCs/>
                <w:color w:val="000000"/>
                <w:sz w:val="19"/>
                <w:szCs w:val="19"/>
              </w:rPr>
              <w:t xml:space="preserve"> cost to private health funds</w:t>
            </w:r>
          </w:p>
        </w:tc>
        <w:tc>
          <w:tcPr>
            <w:tcW w:w="1560" w:type="dxa"/>
            <w:tcBorders>
              <w:top w:val="nil"/>
              <w:left w:val="nil"/>
              <w:bottom w:val="single" w:sz="4" w:space="0" w:color="auto"/>
              <w:right w:val="single" w:sz="4" w:space="0" w:color="auto"/>
            </w:tcBorders>
            <w:shd w:val="clear" w:color="auto" w:fill="auto"/>
            <w:vAlign w:val="center"/>
            <w:hideMark/>
          </w:tcPr>
          <w:p w14:paraId="03857981" w14:textId="77777777" w:rsidR="008275A0" w:rsidRPr="001E7548" w:rsidRDefault="008275A0" w:rsidP="00CC5079">
            <w:pPr>
              <w:contextualSpacing/>
              <w:jc w:val="center"/>
              <w:rPr>
                <w:rFonts w:ascii="Arial Narrow" w:hAnsi="Arial Narrow" w:cs="Calibri"/>
                <w:b/>
                <w:bCs/>
                <w:color w:val="000000"/>
                <w:sz w:val="19"/>
                <w:szCs w:val="19"/>
              </w:rPr>
            </w:pPr>
            <w:r>
              <w:rPr>
                <w:rFonts w:ascii="Arial Narrow" w:hAnsi="Arial Narrow" w:cs="Calibri"/>
                <w:b/>
                <w:bCs/>
                <w:color w:val="000000"/>
                <w:sz w:val="19"/>
                <w:szCs w:val="19"/>
              </w:rPr>
              <w:t>Additional</w:t>
            </w:r>
            <w:r w:rsidRPr="001E7548">
              <w:rPr>
                <w:rFonts w:ascii="Arial Narrow" w:hAnsi="Arial Narrow" w:cs="Calibri"/>
                <w:b/>
                <w:bCs/>
                <w:color w:val="000000"/>
                <w:sz w:val="19"/>
                <w:szCs w:val="19"/>
              </w:rPr>
              <w:t xml:space="preserve"> cost to Australian healthcare system</w:t>
            </w:r>
          </w:p>
        </w:tc>
      </w:tr>
      <w:tr w:rsidR="008F3032" w:rsidRPr="001E7548" w14:paraId="0823281E" w14:textId="77777777" w:rsidTr="008F3032">
        <w:trPr>
          <w:gridAfter w:val="1"/>
          <w:wAfter w:w="9" w:type="dxa"/>
          <w:trHeight w:val="228"/>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49D77DC1" w14:textId="77777777" w:rsidR="008F3032" w:rsidRPr="001E7548" w:rsidRDefault="008F3032" w:rsidP="008F3032">
            <w:pPr>
              <w:contextualSpacing/>
              <w:rPr>
                <w:rFonts w:ascii="Arial Narrow" w:hAnsi="Arial Narrow" w:cs="Calibri"/>
                <w:color w:val="000000"/>
                <w:sz w:val="19"/>
                <w:szCs w:val="19"/>
              </w:rPr>
            </w:pPr>
            <w:r w:rsidRPr="001E7548">
              <w:rPr>
                <w:rFonts w:ascii="Arial Narrow" w:hAnsi="Arial Narrow" w:cs="Calibri"/>
                <w:color w:val="000000"/>
                <w:sz w:val="19"/>
                <w:szCs w:val="19"/>
              </w:rPr>
              <w:t>Base case</w:t>
            </w:r>
          </w:p>
        </w:tc>
        <w:tc>
          <w:tcPr>
            <w:tcW w:w="2409" w:type="dxa"/>
            <w:tcBorders>
              <w:top w:val="nil"/>
              <w:left w:val="nil"/>
              <w:bottom w:val="single" w:sz="4" w:space="0" w:color="auto"/>
              <w:right w:val="single" w:sz="4" w:space="0" w:color="auto"/>
            </w:tcBorders>
            <w:shd w:val="clear" w:color="auto" w:fill="auto"/>
            <w:vAlign w:val="center"/>
            <w:hideMark/>
          </w:tcPr>
          <w:p w14:paraId="6B0034B8" w14:textId="77777777" w:rsidR="008F3032" w:rsidRPr="001E7548" w:rsidRDefault="008F3032" w:rsidP="008F3032">
            <w:pPr>
              <w:contextualSpacing/>
              <w:rPr>
                <w:rFonts w:ascii="Arial Narrow" w:hAnsi="Arial Narrow" w:cs="Calibri"/>
                <w:color w:val="000000"/>
                <w:sz w:val="19"/>
                <w:szCs w:val="19"/>
              </w:rPr>
            </w:pPr>
            <w:r w:rsidRPr="001E7548">
              <w:rPr>
                <w:rFonts w:ascii="Arial Narrow" w:hAnsi="Arial Narrow" w:cs="Calibri"/>
                <w:color w:val="000000"/>
                <w:sz w:val="19"/>
                <w:szCs w:val="19"/>
              </w:rPr>
              <w:t> </w:t>
            </w:r>
          </w:p>
        </w:tc>
        <w:tc>
          <w:tcPr>
            <w:tcW w:w="1559" w:type="dxa"/>
            <w:tcBorders>
              <w:top w:val="nil"/>
              <w:left w:val="nil"/>
              <w:bottom w:val="single" w:sz="4" w:space="0" w:color="auto"/>
              <w:right w:val="single" w:sz="4" w:space="0" w:color="auto"/>
            </w:tcBorders>
            <w:shd w:val="clear" w:color="auto" w:fill="auto"/>
            <w:noWrap/>
            <w:vAlign w:val="center"/>
            <w:hideMark/>
          </w:tcPr>
          <w:p w14:paraId="01F36E5C" w14:textId="5FAAE364" w:rsidR="008F3032" w:rsidRPr="008F3032" w:rsidRDefault="008F3032" w:rsidP="008F3032">
            <w:pPr>
              <w:contextualSpacing/>
              <w:jc w:val="center"/>
              <w:rPr>
                <w:rFonts w:ascii="Arial Narrow" w:hAnsi="Arial Narrow" w:cs="Calibri"/>
                <w:b/>
                <w:bCs/>
                <w:color w:val="000000"/>
                <w:sz w:val="19"/>
                <w:szCs w:val="19"/>
                <w:highlight w:val="yellow"/>
              </w:rPr>
            </w:pPr>
            <w:r w:rsidRPr="008F3032">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72DD681B" w14:textId="4BB98287" w:rsidR="008F3032" w:rsidRPr="003B7EA3" w:rsidRDefault="008F3032" w:rsidP="008F3032">
            <w:pPr>
              <w:contextualSpacing/>
              <w:jc w:val="center"/>
              <w:rPr>
                <w:rFonts w:ascii="Arial Narrow" w:hAnsi="Arial Narrow" w:cs="Calibri"/>
                <w:color w:val="000000"/>
                <w:sz w:val="19"/>
                <w:szCs w:val="19"/>
                <w:highlight w:val="yellow"/>
              </w:rPr>
            </w:pPr>
            <w:r w:rsidRPr="00111C9B">
              <w:rPr>
                <w:rFonts w:ascii="Arial Narrow" w:hAnsi="Arial Narrow" w:cs="Calibri"/>
                <w:b/>
                <w:bCs/>
                <w:color w:val="000000"/>
                <w:sz w:val="19"/>
                <w:szCs w:val="19"/>
              </w:rPr>
              <w:t>REDACTED</w:t>
            </w:r>
          </w:p>
        </w:tc>
        <w:tc>
          <w:tcPr>
            <w:tcW w:w="1701" w:type="dxa"/>
            <w:tcBorders>
              <w:top w:val="nil"/>
              <w:left w:val="nil"/>
              <w:bottom w:val="single" w:sz="4" w:space="0" w:color="auto"/>
              <w:right w:val="single" w:sz="4" w:space="0" w:color="auto"/>
            </w:tcBorders>
            <w:shd w:val="clear" w:color="auto" w:fill="auto"/>
            <w:noWrap/>
            <w:hideMark/>
          </w:tcPr>
          <w:p w14:paraId="32EFC5DA" w14:textId="49B76426" w:rsidR="008F3032" w:rsidRPr="003B7EA3" w:rsidRDefault="008F3032" w:rsidP="008F3032">
            <w:pPr>
              <w:contextualSpacing/>
              <w:jc w:val="center"/>
              <w:rPr>
                <w:rFonts w:ascii="Arial Narrow" w:hAnsi="Arial Narrow" w:cs="Calibri"/>
                <w:color w:val="000000"/>
                <w:sz w:val="19"/>
                <w:szCs w:val="19"/>
                <w:highlight w:val="yellow"/>
              </w:rPr>
            </w:pPr>
            <w:r w:rsidRPr="00111C9B">
              <w:rPr>
                <w:rFonts w:ascii="Arial Narrow" w:hAnsi="Arial Narrow" w:cs="Calibri"/>
                <w:b/>
                <w:bCs/>
                <w:color w:val="000000"/>
                <w:sz w:val="19"/>
                <w:szCs w:val="19"/>
              </w:rPr>
              <w:t>REDACTED</w:t>
            </w:r>
          </w:p>
        </w:tc>
        <w:tc>
          <w:tcPr>
            <w:tcW w:w="1418" w:type="dxa"/>
            <w:tcBorders>
              <w:top w:val="nil"/>
              <w:left w:val="nil"/>
              <w:bottom w:val="single" w:sz="4" w:space="0" w:color="auto"/>
              <w:right w:val="single" w:sz="4" w:space="0" w:color="auto"/>
            </w:tcBorders>
            <w:shd w:val="clear" w:color="auto" w:fill="auto"/>
            <w:noWrap/>
            <w:hideMark/>
          </w:tcPr>
          <w:p w14:paraId="33861849" w14:textId="13ABCABD" w:rsidR="008F3032" w:rsidRPr="003B7EA3" w:rsidRDefault="008F3032" w:rsidP="008F3032">
            <w:pPr>
              <w:contextualSpacing/>
              <w:jc w:val="center"/>
              <w:rPr>
                <w:rFonts w:ascii="Arial Narrow" w:hAnsi="Arial Narrow" w:cs="Calibri"/>
                <w:color w:val="000000"/>
                <w:sz w:val="19"/>
                <w:szCs w:val="19"/>
                <w:highlight w:val="yellow"/>
              </w:rPr>
            </w:pPr>
            <w:r w:rsidRPr="00111C9B">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3A5E6510" w14:textId="0A87E7E9" w:rsidR="008F3032" w:rsidRPr="003B7EA3" w:rsidRDefault="008F3032" w:rsidP="008F3032">
            <w:pPr>
              <w:contextualSpacing/>
              <w:jc w:val="center"/>
              <w:rPr>
                <w:rFonts w:ascii="Arial Narrow" w:hAnsi="Arial Narrow" w:cs="Calibri"/>
                <w:color w:val="000000"/>
                <w:sz w:val="19"/>
                <w:szCs w:val="19"/>
                <w:highlight w:val="yellow"/>
              </w:rPr>
            </w:pPr>
            <w:r w:rsidRPr="00111C9B">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5257E7A9" w14:textId="7F5F03F3" w:rsidR="008F3032" w:rsidRPr="003B7EA3" w:rsidRDefault="008F3032" w:rsidP="008F3032">
            <w:pPr>
              <w:contextualSpacing/>
              <w:jc w:val="center"/>
              <w:rPr>
                <w:rFonts w:ascii="Arial Narrow" w:hAnsi="Arial Narrow" w:cs="Calibri"/>
                <w:color w:val="000000"/>
                <w:sz w:val="19"/>
                <w:szCs w:val="19"/>
                <w:highlight w:val="yellow"/>
              </w:rPr>
            </w:pPr>
            <w:r w:rsidRPr="00111C9B">
              <w:rPr>
                <w:rFonts w:ascii="Arial Narrow" w:hAnsi="Arial Narrow" w:cs="Calibri"/>
                <w:b/>
                <w:bCs/>
                <w:color w:val="000000"/>
                <w:sz w:val="19"/>
                <w:szCs w:val="19"/>
              </w:rPr>
              <w:t>REDACTED</w:t>
            </w:r>
          </w:p>
        </w:tc>
        <w:tc>
          <w:tcPr>
            <w:tcW w:w="1560" w:type="dxa"/>
            <w:tcBorders>
              <w:top w:val="nil"/>
              <w:left w:val="nil"/>
              <w:bottom w:val="single" w:sz="4" w:space="0" w:color="auto"/>
              <w:right w:val="single" w:sz="4" w:space="0" w:color="auto"/>
            </w:tcBorders>
            <w:shd w:val="clear" w:color="auto" w:fill="auto"/>
            <w:noWrap/>
            <w:hideMark/>
          </w:tcPr>
          <w:p w14:paraId="115F17DD" w14:textId="3399B4B6" w:rsidR="008F3032" w:rsidRPr="003B7EA3" w:rsidRDefault="008F3032" w:rsidP="008F3032">
            <w:pPr>
              <w:contextualSpacing/>
              <w:jc w:val="center"/>
              <w:rPr>
                <w:rFonts w:ascii="Arial Narrow" w:hAnsi="Arial Narrow" w:cs="Calibri"/>
                <w:color w:val="000000"/>
                <w:sz w:val="19"/>
                <w:szCs w:val="19"/>
                <w:highlight w:val="yellow"/>
              </w:rPr>
            </w:pPr>
            <w:r w:rsidRPr="00111C9B">
              <w:rPr>
                <w:rFonts w:ascii="Arial Narrow" w:hAnsi="Arial Narrow" w:cs="Calibri"/>
                <w:b/>
                <w:bCs/>
                <w:color w:val="000000"/>
                <w:sz w:val="19"/>
                <w:szCs w:val="19"/>
              </w:rPr>
              <w:t>REDACTED</w:t>
            </w:r>
          </w:p>
        </w:tc>
      </w:tr>
      <w:tr w:rsidR="008275A0" w:rsidRPr="001E7548" w14:paraId="30EE03C2" w14:textId="77777777" w:rsidTr="008F3032">
        <w:trPr>
          <w:gridAfter w:val="1"/>
          <w:wAfter w:w="9" w:type="dxa"/>
          <w:trHeight w:val="228"/>
        </w:trPr>
        <w:tc>
          <w:tcPr>
            <w:tcW w:w="15450" w:type="dxa"/>
            <w:gridSpan w:val="9"/>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47C6CE88" w14:textId="7E1A1F13" w:rsidR="008275A0" w:rsidRPr="001E7548" w:rsidRDefault="008275A0" w:rsidP="00CC5079">
            <w:pPr>
              <w:contextualSpacing/>
              <w:rPr>
                <w:rFonts w:ascii="Arial Narrow" w:hAnsi="Arial Narrow" w:cs="Calibri"/>
                <w:color w:val="000000"/>
                <w:sz w:val="19"/>
                <w:szCs w:val="19"/>
              </w:rPr>
            </w:pPr>
            <w:r w:rsidRPr="001E7548">
              <w:rPr>
                <w:rFonts w:ascii="Arial Narrow" w:hAnsi="Arial Narrow" w:cs="Calibri"/>
                <w:b/>
                <w:bCs/>
                <w:color w:val="000000"/>
                <w:sz w:val="19"/>
                <w:szCs w:val="19"/>
              </w:rPr>
              <w:t>Eligible patient population</w:t>
            </w:r>
            <w:r w:rsidRPr="001E7548">
              <w:rPr>
                <w:rFonts w:ascii="Arial Narrow" w:hAnsi="Arial Narrow" w:cs="Calibri"/>
                <w:color w:val="000000"/>
                <w:sz w:val="19"/>
                <w:szCs w:val="19"/>
              </w:rPr>
              <w:t xml:space="preserve"> (Base Case: ACI = </w:t>
            </w:r>
            <w:r w:rsidR="008F3032" w:rsidRPr="008F3032">
              <w:rPr>
                <w:rFonts w:ascii="Arial Narrow" w:hAnsi="Arial Narrow" w:cs="Calibri"/>
                <w:b/>
                <w:bCs/>
                <w:color w:val="000000"/>
                <w:sz w:val="19"/>
                <w:szCs w:val="19"/>
              </w:rPr>
              <w:t>REDACTED</w:t>
            </w:r>
            <w:r w:rsidR="008F3032"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t xml:space="preserve">% of current LAAC market; RCI = </w:t>
            </w:r>
            <w:r w:rsidR="008F3032" w:rsidRPr="008F3032">
              <w:rPr>
                <w:rFonts w:ascii="Arial Narrow" w:hAnsi="Arial Narrow" w:cs="Calibri"/>
                <w:b/>
                <w:bCs/>
                <w:color w:val="000000"/>
                <w:sz w:val="19"/>
                <w:szCs w:val="19"/>
              </w:rPr>
              <w:t>REDACTED</w:t>
            </w:r>
            <w:r w:rsidRPr="001E7548">
              <w:rPr>
                <w:rFonts w:ascii="Arial Narrow" w:hAnsi="Arial Narrow" w:cs="Calibri"/>
                <w:color w:val="000000"/>
                <w:sz w:val="19"/>
                <w:szCs w:val="19"/>
              </w:rPr>
              <w:t>% eligibility rate in high risk NVAF patient population)</w:t>
            </w:r>
          </w:p>
        </w:tc>
      </w:tr>
      <w:tr w:rsidR="008F3032" w:rsidRPr="001E7548" w14:paraId="211C7CBE" w14:textId="77777777" w:rsidTr="00AB1909">
        <w:trPr>
          <w:gridAfter w:val="1"/>
          <w:wAfter w:w="9" w:type="dxa"/>
          <w:trHeight w:val="6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361306D7" w14:textId="77777777" w:rsidR="008F3032" w:rsidRPr="001E7548" w:rsidRDefault="008F3032" w:rsidP="008F3032">
            <w:pPr>
              <w:contextualSpacing/>
              <w:rPr>
                <w:rFonts w:ascii="Arial Narrow" w:hAnsi="Arial Narrow" w:cs="Calibri"/>
                <w:color w:val="000000"/>
                <w:sz w:val="19"/>
                <w:szCs w:val="19"/>
              </w:rPr>
            </w:pPr>
            <w:r w:rsidRPr="001E7548">
              <w:rPr>
                <w:rFonts w:ascii="Arial Narrow" w:hAnsi="Arial Narrow" w:cs="Calibri"/>
                <w:color w:val="000000"/>
                <w:sz w:val="19"/>
                <w:szCs w:val="19"/>
              </w:rPr>
              <w:t>Decrease eligibility rate in ACI and RCI population by 50%</w:t>
            </w:r>
          </w:p>
        </w:tc>
        <w:tc>
          <w:tcPr>
            <w:tcW w:w="2409" w:type="dxa"/>
            <w:tcBorders>
              <w:top w:val="nil"/>
              <w:left w:val="nil"/>
              <w:bottom w:val="single" w:sz="4" w:space="0" w:color="auto"/>
              <w:right w:val="single" w:sz="4" w:space="0" w:color="auto"/>
            </w:tcBorders>
            <w:shd w:val="clear" w:color="auto" w:fill="auto"/>
            <w:vAlign w:val="center"/>
            <w:hideMark/>
          </w:tcPr>
          <w:p w14:paraId="12FA2606" w14:textId="000D18CF" w:rsidR="008F3032" w:rsidRPr="001E7548" w:rsidRDefault="008F3032" w:rsidP="008F3032">
            <w:pPr>
              <w:contextualSpacing/>
              <w:rPr>
                <w:rFonts w:ascii="Arial Narrow" w:hAnsi="Arial Narrow" w:cs="Calibri"/>
                <w:color w:val="000000"/>
                <w:sz w:val="19"/>
                <w:szCs w:val="19"/>
              </w:rPr>
            </w:pPr>
            <w:r w:rsidRPr="001E7548">
              <w:rPr>
                <w:rFonts w:ascii="Arial Narrow" w:hAnsi="Arial Narrow" w:cs="Calibri"/>
                <w:color w:val="000000"/>
                <w:sz w:val="19"/>
                <w:szCs w:val="19"/>
              </w:rPr>
              <w:t xml:space="preserve">ACI = </w:t>
            </w:r>
            <w:r w:rsidRPr="008F3032">
              <w:rPr>
                <w:rFonts w:ascii="Arial Narrow" w:hAnsi="Arial Narrow" w:cs="Calibri"/>
                <w:b/>
                <w:bCs/>
                <w:color w:val="000000"/>
                <w:sz w:val="19"/>
                <w:szCs w:val="19"/>
              </w:rPr>
              <w:t>REDACTED</w:t>
            </w:r>
            <w:r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br/>
              <w:t>RCI</w:t>
            </w:r>
            <w:r>
              <w:rPr>
                <w:rFonts w:ascii="Arial Narrow" w:hAnsi="Arial Narrow" w:cs="Calibri"/>
                <w:color w:val="000000"/>
                <w:sz w:val="19"/>
                <w:szCs w:val="19"/>
              </w:rPr>
              <w:t xml:space="preserve"> =</w:t>
            </w:r>
            <w:r w:rsidRPr="001E7548">
              <w:rPr>
                <w:rFonts w:ascii="Arial Narrow" w:hAnsi="Arial Narrow" w:cs="Calibri"/>
                <w:color w:val="000000"/>
                <w:sz w:val="19"/>
                <w:szCs w:val="19"/>
              </w:rPr>
              <w:t xml:space="preserve"> </w:t>
            </w:r>
            <w:r w:rsidRPr="008F3032">
              <w:rPr>
                <w:rFonts w:ascii="Arial Narrow" w:hAnsi="Arial Narrow" w:cs="Calibri"/>
                <w:b/>
                <w:bCs/>
                <w:color w:val="000000"/>
                <w:sz w:val="19"/>
                <w:szCs w:val="19"/>
              </w:rPr>
              <w:t>REDACTED</w:t>
            </w:r>
            <w:r w:rsidRPr="001E7548">
              <w:rPr>
                <w:rFonts w:ascii="Arial Narrow" w:hAnsi="Arial Narrow" w:cs="Calibri"/>
                <w:color w:val="000000"/>
                <w:sz w:val="19"/>
                <w:szCs w:val="19"/>
              </w:rPr>
              <w:t>%</w:t>
            </w:r>
          </w:p>
        </w:tc>
        <w:tc>
          <w:tcPr>
            <w:tcW w:w="1559" w:type="dxa"/>
            <w:tcBorders>
              <w:top w:val="nil"/>
              <w:left w:val="nil"/>
              <w:bottom w:val="single" w:sz="4" w:space="0" w:color="auto"/>
              <w:right w:val="single" w:sz="4" w:space="0" w:color="auto"/>
            </w:tcBorders>
            <w:shd w:val="clear" w:color="auto" w:fill="auto"/>
            <w:noWrap/>
            <w:hideMark/>
          </w:tcPr>
          <w:p w14:paraId="21916556" w14:textId="63D4884E" w:rsidR="008F3032" w:rsidRPr="0082105F" w:rsidRDefault="008F3032" w:rsidP="008F3032">
            <w:pPr>
              <w:contextualSpacing/>
              <w:jc w:val="center"/>
              <w:rPr>
                <w:rFonts w:ascii="Arial Narrow" w:hAnsi="Arial Narrow" w:cs="Calibri"/>
                <w:color w:val="000000"/>
                <w:sz w:val="19"/>
                <w:szCs w:val="19"/>
                <w:highlight w:val="yellow"/>
              </w:rPr>
            </w:pPr>
            <w:r w:rsidRPr="000842A4">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61E94DB6" w14:textId="581219B9" w:rsidR="008F3032" w:rsidRPr="0082105F" w:rsidRDefault="008F3032" w:rsidP="008F3032">
            <w:pPr>
              <w:contextualSpacing/>
              <w:jc w:val="center"/>
              <w:rPr>
                <w:rFonts w:ascii="Arial Narrow" w:hAnsi="Arial Narrow" w:cs="Calibri"/>
                <w:color w:val="000000"/>
                <w:sz w:val="19"/>
                <w:szCs w:val="19"/>
                <w:highlight w:val="yellow"/>
              </w:rPr>
            </w:pPr>
            <w:r w:rsidRPr="000842A4">
              <w:rPr>
                <w:rFonts w:ascii="Arial Narrow" w:hAnsi="Arial Narrow" w:cs="Calibri"/>
                <w:b/>
                <w:bCs/>
                <w:color w:val="000000"/>
                <w:sz w:val="19"/>
                <w:szCs w:val="19"/>
              </w:rPr>
              <w:t>REDACTED</w:t>
            </w:r>
          </w:p>
        </w:tc>
        <w:tc>
          <w:tcPr>
            <w:tcW w:w="1701" w:type="dxa"/>
            <w:tcBorders>
              <w:top w:val="nil"/>
              <w:left w:val="nil"/>
              <w:bottom w:val="single" w:sz="4" w:space="0" w:color="auto"/>
              <w:right w:val="single" w:sz="4" w:space="0" w:color="auto"/>
            </w:tcBorders>
            <w:shd w:val="clear" w:color="auto" w:fill="auto"/>
            <w:noWrap/>
            <w:hideMark/>
          </w:tcPr>
          <w:p w14:paraId="4E57252B" w14:textId="460EE57E" w:rsidR="008F3032" w:rsidRPr="0082105F" w:rsidRDefault="008F3032" w:rsidP="008F3032">
            <w:pPr>
              <w:contextualSpacing/>
              <w:jc w:val="center"/>
              <w:rPr>
                <w:rFonts w:ascii="Arial Narrow" w:hAnsi="Arial Narrow" w:cs="Calibri"/>
                <w:color w:val="000000"/>
                <w:sz w:val="19"/>
                <w:szCs w:val="19"/>
                <w:highlight w:val="yellow"/>
              </w:rPr>
            </w:pPr>
            <w:r w:rsidRPr="000842A4">
              <w:rPr>
                <w:rFonts w:ascii="Arial Narrow" w:hAnsi="Arial Narrow" w:cs="Calibri"/>
                <w:b/>
                <w:bCs/>
                <w:color w:val="000000"/>
                <w:sz w:val="19"/>
                <w:szCs w:val="19"/>
              </w:rPr>
              <w:t>REDACTED</w:t>
            </w:r>
          </w:p>
        </w:tc>
        <w:tc>
          <w:tcPr>
            <w:tcW w:w="1418" w:type="dxa"/>
            <w:tcBorders>
              <w:top w:val="nil"/>
              <w:left w:val="nil"/>
              <w:bottom w:val="single" w:sz="4" w:space="0" w:color="auto"/>
              <w:right w:val="single" w:sz="4" w:space="0" w:color="auto"/>
            </w:tcBorders>
            <w:shd w:val="clear" w:color="auto" w:fill="auto"/>
            <w:noWrap/>
            <w:hideMark/>
          </w:tcPr>
          <w:p w14:paraId="0039CB9A" w14:textId="1148CBA1" w:rsidR="008F3032" w:rsidRPr="0082105F" w:rsidRDefault="008F3032" w:rsidP="008F3032">
            <w:pPr>
              <w:contextualSpacing/>
              <w:jc w:val="center"/>
              <w:rPr>
                <w:rFonts w:ascii="Arial Narrow" w:hAnsi="Arial Narrow" w:cs="Calibri"/>
                <w:color w:val="000000"/>
                <w:sz w:val="19"/>
                <w:szCs w:val="19"/>
                <w:highlight w:val="yellow"/>
              </w:rPr>
            </w:pPr>
            <w:r w:rsidRPr="000842A4">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4444726A" w14:textId="49E47BC0" w:rsidR="008F3032" w:rsidRPr="0082105F" w:rsidRDefault="008F3032" w:rsidP="008F3032">
            <w:pPr>
              <w:contextualSpacing/>
              <w:jc w:val="center"/>
              <w:rPr>
                <w:rFonts w:ascii="Arial Narrow" w:hAnsi="Arial Narrow" w:cs="Calibri"/>
                <w:color w:val="000000"/>
                <w:sz w:val="19"/>
                <w:szCs w:val="19"/>
                <w:highlight w:val="yellow"/>
              </w:rPr>
            </w:pPr>
            <w:r w:rsidRPr="000842A4">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10E63171" w14:textId="55BF8721" w:rsidR="008F3032" w:rsidRPr="0082105F" w:rsidRDefault="008F3032" w:rsidP="008F3032">
            <w:pPr>
              <w:contextualSpacing/>
              <w:jc w:val="center"/>
              <w:rPr>
                <w:rFonts w:ascii="Arial Narrow" w:hAnsi="Arial Narrow" w:cs="Calibri"/>
                <w:color w:val="000000"/>
                <w:sz w:val="19"/>
                <w:szCs w:val="19"/>
                <w:highlight w:val="yellow"/>
              </w:rPr>
            </w:pPr>
            <w:r w:rsidRPr="000842A4">
              <w:rPr>
                <w:rFonts w:ascii="Arial Narrow" w:hAnsi="Arial Narrow" w:cs="Calibri"/>
                <w:b/>
                <w:bCs/>
                <w:color w:val="000000"/>
                <w:sz w:val="19"/>
                <w:szCs w:val="19"/>
              </w:rPr>
              <w:t>REDACTED</w:t>
            </w:r>
          </w:p>
        </w:tc>
        <w:tc>
          <w:tcPr>
            <w:tcW w:w="1560" w:type="dxa"/>
            <w:tcBorders>
              <w:top w:val="nil"/>
              <w:left w:val="nil"/>
              <w:bottom w:val="single" w:sz="4" w:space="0" w:color="auto"/>
              <w:right w:val="single" w:sz="4" w:space="0" w:color="auto"/>
            </w:tcBorders>
            <w:shd w:val="clear" w:color="auto" w:fill="auto"/>
            <w:noWrap/>
            <w:hideMark/>
          </w:tcPr>
          <w:p w14:paraId="6A03713F" w14:textId="7D6F12A4" w:rsidR="008F3032" w:rsidRPr="0082105F" w:rsidRDefault="008F3032" w:rsidP="008F3032">
            <w:pPr>
              <w:contextualSpacing/>
              <w:jc w:val="center"/>
              <w:rPr>
                <w:rFonts w:ascii="Arial Narrow" w:hAnsi="Arial Narrow" w:cs="Calibri"/>
                <w:color w:val="000000"/>
                <w:sz w:val="19"/>
                <w:szCs w:val="19"/>
                <w:highlight w:val="yellow"/>
              </w:rPr>
            </w:pPr>
            <w:r w:rsidRPr="000842A4">
              <w:rPr>
                <w:rFonts w:ascii="Arial Narrow" w:hAnsi="Arial Narrow" w:cs="Calibri"/>
                <w:b/>
                <w:bCs/>
                <w:color w:val="000000"/>
                <w:sz w:val="19"/>
                <w:szCs w:val="19"/>
              </w:rPr>
              <w:t>REDACTED</w:t>
            </w:r>
          </w:p>
        </w:tc>
      </w:tr>
      <w:tr w:rsidR="008F3032" w:rsidRPr="001E7548" w14:paraId="0A0E952A" w14:textId="77777777" w:rsidTr="00AB1909">
        <w:trPr>
          <w:gridAfter w:val="1"/>
          <w:wAfter w:w="9" w:type="dxa"/>
          <w:trHeight w:val="6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5CEA4C5B" w14:textId="77777777" w:rsidR="008F3032" w:rsidRPr="001E7548" w:rsidRDefault="008F3032" w:rsidP="008F3032">
            <w:pPr>
              <w:contextualSpacing/>
              <w:rPr>
                <w:rFonts w:ascii="Arial Narrow" w:hAnsi="Arial Narrow" w:cs="Calibri"/>
                <w:color w:val="000000"/>
                <w:sz w:val="19"/>
                <w:szCs w:val="19"/>
              </w:rPr>
            </w:pPr>
            <w:r w:rsidRPr="001E7548">
              <w:rPr>
                <w:rFonts w:ascii="Arial Narrow" w:hAnsi="Arial Narrow" w:cs="Calibri"/>
                <w:color w:val="000000"/>
                <w:sz w:val="19"/>
                <w:szCs w:val="19"/>
              </w:rPr>
              <w:t>Increase eligibility rate in ACI and RCI population by 50%</w:t>
            </w:r>
          </w:p>
        </w:tc>
        <w:tc>
          <w:tcPr>
            <w:tcW w:w="2409" w:type="dxa"/>
            <w:tcBorders>
              <w:top w:val="nil"/>
              <w:left w:val="nil"/>
              <w:bottom w:val="single" w:sz="4" w:space="0" w:color="auto"/>
              <w:right w:val="single" w:sz="4" w:space="0" w:color="auto"/>
            </w:tcBorders>
            <w:shd w:val="clear" w:color="auto" w:fill="auto"/>
            <w:vAlign w:val="center"/>
            <w:hideMark/>
          </w:tcPr>
          <w:p w14:paraId="238015E7" w14:textId="1A37A5DB" w:rsidR="008F3032" w:rsidRPr="001E7548" w:rsidRDefault="008F3032" w:rsidP="008F3032">
            <w:pPr>
              <w:contextualSpacing/>
              <w:rPr>
                <w:rFonts w:ascii="Arial Narrow" w:hAnsi="Arial Narrow" w:cs="Calibri"/>
                <w:color w:val="000000"/>
                <w:sz w:val="19"/>
                <w:szCs w:val="19"/>
              </w:rPr>
            </w:pPr>
            <w:r w:rsidRPr="001E7548">
              <w:rPr>
                <w:rFonts w:ascii="Arial Narrow" w:hAnsi="Arial Narrow" w:cs="Calibri"/>
                <w:color w:val="000000"/>
                <w:sz w:val="19"/>
                <w:szCs w:val="19"/>
              </w:rPr>
              <w:t xml:space="preserve">ACI = </w:t>
            </w:r>
            <w:r w:rsidRPr="008F3032">
              <w:rPr>
                <w:rFonts w:ascii="Arial Narrow" w:hAnsi="Arial Narrow" w:cs="Calibri"/>
                <w:b/>
                <w:bCs/>
                <w:color w:val="000000"/>
                <w:sz w:val="19"/>
                <w:szCs w:val="19"/>
              </w:rPr>
              <w:t>REDACTED</w:t>
            </w:r>
            <w:r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br/>
              <w:t>RCI</w:t>
            </w:r>
            <w:r>
              <w:rPr>
                <w:rFonts w:ascii="Arial Narrow" w:hAnsi="Arial Narrow" w:cs="Calibri"/>
                <w:color w:val="000000"/>
                <w:sz w:val="19"/>
                <w:szCs w:val="19"/>
              </w:rPr>
              <w:t xml:space="preserve"> =</w:t>
            </w:r>
            <w:r w:rsidRPr="001E7548">
              <w:rPr>
                <w:rFonts w:ascii="Arial Narrow" w:hAnsi="Arial Narrow" w:cs="Calibri"/>
                <w:color w:val="000000"/>
                <w:sz w:val="19"/>
                <w:szCs w:val="19"/>
              </w:rPr>
              <w:t xml:space="preserve"> </w:t>
            </w:r>
            <w:r w:rsidRPr="008F3032">
              <w:rPr>
                <w:rFonts w:ascii="Arial Narrow" w:hAnsi="Arial Narrow" w:cs="Calibri"/>
                <w:b/>
                <w:bCs/>
                <w:color w:val="000000"/>
                <w:sz w:val="19"/>
                <w:szCs w:val="19"/>
              </w:rPr>
              <w:t>REDACTED</w:t>
            </w:r>
            <w:r w:rsidRPr="001E7548">
              <w:rPr>
                <w:rFonts w:ascii="Arial Narrow" w:hAnsi="Arial Narrow" w:cs="Calibri"/>
                <w:color w:val="000000"/>
                <w:sz w:val="19"/>
                <w:szCs w:val="19"/>
              </w:rPr>
              <w:t>%</w:t>
            </w:r>
          </w:p>
        </w:tc>
        <w:tc>
          <w:tcPr>
            <w:tcW w:w="1559" w:type="dxa"/>
            <w:tcBorders>
              <w:top w:val="nil"/>
              <w:left w:val="nil"/>
              <w:bottom w:val="single" w:sz="4" w:space="0" w:color="auto"/>
              <w:right w:val="single" w:sz="4" w:space="0" w:color="auto"/>
            </w:tcBorders>
            <w:shd w:val="clear" w:color="auto" w:fill="auto"/>
            <w:noWrap/>
            <w:hideMark/>
          </w:tcPr>
          <w:p w14:paraId="03D50667" w14:textId="5ECDFFD2" w:rsidR="008F3032" w:rsidRPr="0082105F" w:rsidRDefault="008F3032" w:rsidP="008F3032">
            <w:pPr>
              <w:contextualSpacing/>
              <w:jc w:val="center"/>
              <w:rPr>
                <w:rFonts w:ascii="Arial Narrow" w:hAnsi="Arial Narrow" w:cs="Calibri"/>
                <w:color w:val="000000"/>
                <w:sz w:val="19"/>
                <w:szCs w:val="19"/>
                <w:highlight w:val="yellow"/>
              </w:rPr>
            </w:pPr>
            <w:r w:rsidRPr="000842A4">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1E635BD6" w14:textId="2A25D091" w:rsidR="008F3032" w:rsidRPr="0082105F" w:rsidRDefault="008F3032" w:rsidP="008F3032">
            <w:pPr>
              <w:contextualSpacing/>
              <w:jc w:val="center"/>
              <w:rPr>
                <w:rFonts w:ascii="Arial Narrow" w:hAnsi="Arial Narrow" w:cs="Calibri"/>
                <w:color w:val="000000"/>
                <w:sz w:val="19"/>
                <w:szCs w:val="19"/>
                <w:highlight w:val="yellow"/>
              </w:rPr>
            </w:pPr>
            <w:r w:rsidRPr="000842A4">
              <w:rPr>
                <w:rFonts w:ascii="Arial Narrow" w:hAnsi="Arial Narrow" w:cs="Calibri"/>
                <w:b/>
                <w:bCs/>
                <w:color w:val="000000"/>
                <w:sz w:val="19"/>
                <w:szCs w:val="19"/>
              </w:rPr>
              <w:t>REDACTED</w:t>
            </w:r>
          </w:p>
        </w:tc>
        <w:tc>
          <w:tcPr>
            <w:tcW w:w="1701" w:type="dxa"/>
            <w:tcBorders>
              <w:top w:val="nil"/>
              <w:left w:val="nil"/>
              <w:bottom w:val="single" w:sz="4" w:space="0" w:color="auto"/>
              <w:right w:val="single" w:sz="4" w:space="0" w:color="auto"/>
            </w:tcBorders>
            <w:shd w:val="clear" w:color="auto" w:fill="auto"/>
            <w:noWrap/>
            <w:hideMark/>
          </w:tcPr>
          <w:p w14:paraId="64C6DFFB" w14:textId="0974BA96" w:rsidR="008F3032" w:rsidRPr="0082105F" w:rsidRDefault="008F3032" w:rsidP="008F3032">
            <w:pPr>
              <w:contextualSpacing/>
              <w:jc w:val="center"/>
              <w:rPr>
                <w:rFonts w:ascii="Arial Narrow" w:hAnsi="Arial Narrow" w:cs="Calibri"/>
                <w:color w:val="000000"/>
                <w:sz w:val="19"/>
                <w:szCs w:val="19"/>
                <w:highlight w:val="yellow"/>
              </w:rPr>
            </w:pPr>
            <w:r w:rsidRPr="000842A4">
              <w:rPr>
                <w:rFonts w:ascii="Arial Narrow" w:hAnsi="Arial Narrow" w:cs="Calibri"/>
                <w:b/>
                <w:bCs/>
                <w:color w:val="000000"/>
                <w:sz w:val="19"/>
                <w:szCs w:val="19"/>
              </w:rPr>
              <w:t>REDACTED</w:t>
            </w:r>
          </w:p>
        </w:tc>
        <w:tc>
          <w:tcPr>
            <w:tcW w:w="1418" w:type="dxa"/>
            <w:tcBorders>
              <w:top w:val="nil"/>
              <w:left w:val="nil"/>
              <w:bottom w:val="single" w:sz="4" w:space="0" w:color="auto"/>
              <w:right w:val="single" w:sz="4" w:space="0" w:color="auto"/>
            </w:tcBorders>
            <w:shd w:val="clear" w:color="auto" w:fill="auto"/>
            <w:noWrap/>
            <w:hideMark/>
          </w:tcPr>
          <w:p w14:paraId="3C8B85B6" w14:textId="346F1974" w:rsidR="008F3032" w:rsidRPr="0082105F" w:rsidRDefault="008F3032" w:rsidP="008F3032">
            <w:pPr>
              <w:contextualSpacing/>
              <w:jc w:val="center"/>
              <w:rPr>
                <w:rFonts w:ascii="Arial Narrow" w:hAnsi="Arial Narrow" w:cs="Calibri"/>
                <w:color w:val="000000"/>
                <w:sz w:val="19"/>
                <w:szCs w:val="19"/>
                <w:highlight w:val="yellow"/>
              </w:rPr>
            </w:pPr>
            <w:r w:rsidRPr="000842A4">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4F9575AD" w14:textId="216B6D5F" w:rsidR="008F3032" w:rsidRPr="0082105F" w:rsidRDefault="008F3032" w:rsidP="008F3032">
            <w:pPr>
              <w:contextualSpacing/>
              <w:jc w:val="center"/>
              <w:rPr>
                <w:rFonts w:ascii="Arial Narrow" w:hAnsi="Arial Narrow" w:cs="Calibri"/>
                <w:color w:val="000000"/>
                <w:sz w:val="19"/>
                <w:szCs w:val="19"/>
                <w:highlight w:val="yellow"/>
              </w:rPr>
            </w:pPr>
            <w:r w:rsidRPr="000842A4">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33D05087" w14:textId="09DC7D27" w:rsidR="008F3032" w:rsidRPr="0082105F" w:rsidRDefault="008F3032" w:rsidP="008F3032">
            <w:pPr>
              <w:contextualSpacing/>
              <w:jc w:val="center"/>
              <w:rPr>
                <w:rFonts w:ascii="Arial Narrow" w:hAnsi="Arial Narrow" w:cs="Calibri"/>
                <w:color w:val="000000"/>
                <w:sz w:val="19"/>
                <w:szCs w:val="19"/>
                <w:highlight w:val="yellow"/>
              </w:rPr>
            </w:pPr>
            <w:r w:rsidRPr="000842A4">
              <w:rPr>
                <w:rFonts w:ascii="Arial Narrow" w:hAnsi="Arial Narrow" w:cs="Calibri"/>
                <w:b/>
                <w:bCs/>
                <w:color w:val="000000"/>
                <w:sz w:val="19"/>
                <w:szCs w:val="19"/>
              </w:rPr>
              <w:t>REDACTED</w:t>
            </w:r>
          </w:p>
        </w:tc>
        <w:tc>
          <w:tcPr>
            <w:tcW w:w="1560" w:type="dxa"/>
            <w:tcBorders>
              <w:top w:val="nil"/>
              <w:left w:val="nil"/>
              <w:bottom w:val="single" w:sz="4" w:space="0" w:color="auto"/>
              <w:right w:val="single" w:sz="4" w:space="0" w:color="auto"/>
            </w:tcBorders>
            <w:shd w:val="clear" w:color="auto" w:fill="auto"/>
            <w:noWrap/>
            <w:hideMark/>
          </w:tcPr>
          <w:p w14:paraId="59AE2D59" w14:textId="75B51850" w:rsidR="008F3032" w:rsidRPr="0082105F" w:rsidRDefault="008F3032" w:rsidP="008F3032">
            <w:pPr>
              <w:contextualSpacing/>
              <w:jc w:val="center"/>
              <w:rPr>
                <w:rFonts w:ascii="Arial Narrow" w:hAnsi="Arial Narrow" w:cs="Calibri"/>
                <w:color w:val="000000"/>
                <w:sz w:val="19"/>
                <w:szCs w:val="19"/>
                <w:highlight w:val="yellow"/>
              </w:rPr>
            </w:pPr>
            <w:r w:rsidRPr="000842A4">
              <w:rPr>
                <w:rFonts w:ascii="Arial Narrow" w:hAnsi="Arial Narrow" w:cs="Calibri"/>
                <w:b/>
                <w:bCs/>
                <w:color w:val="000000"/>
                <w:sz w:val="19"/>
                <w:szCs w:val="19"/>
              </w:rPr>
              <w:t>REDACTED</w:t>
            </w:r>
          </w:p>
        </w:tc>
      </w:tr>
      <w:tr w:rsidR="008F3032" w:rsidRPr="001E7548" w14:paraId="1659EAEE" w14:textId="77777777" w:rsidTr="008F3032">
        <w:trPr>
          <w:gridAfter w:val="1"/>
          <w:wAfter w:w="9" w:type="dxa"/>
          <w:trHeight w:val="228"/>
        </w:trPr>
        <w:tc>
          <w:tcPr>
            <w:tcW w:w="15450" w:type="dxa"/>
            <w:gridSpan w:val="9"/>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6C7D19F6" w14:textId="62A36E19" w:rsidR="008F3032" w:rsidRPr="00AD2A06" w:rsidRDefault="008F3032" w:rsidP="008F3032">
            <w:pPr>
              <w:contextualSpacing/>
              <w:rPr>
                <w:rFonts w:ascii="Arial Narrow" w:hAnsi="Arial Narrow" w:cs="Calibri"/>
                <w:color w:val="000000"/>
                <w:sz w:val="19"/>
                <w:szCs w:val="19"/>
              </w:rPr>
            </w:pPr>
            <w:r w:rsidRPr="00AD2A06">
              <w:rPr>
                <w:rFonts w:ascii="Arial Narrow" w:hAnsi="Arial Narrow" w:cs="Calibri"/>
                <w:b/>
                <w:bCs/>
                <w:color w:val="000000"/>
                <w:sz w:val="19"/>
                <w:szCs w:val="19"/>
              </w:rPr>
              <w:t>Treatment uptake</w:t>
            </w:r>
            <w:r w:rsidRPr="00AD2A06">
              <w:rPr>
                <w:rFonts w:ascii="Arial Narrow" w:hAnsi="Arial Narrow" w:cs="Calibri"/>
                <w:color w:val="000000"/>
                <w:sz w:val="19"/>
                <w:szCs w:val="19"/>
              </w:rPr>
              <w:t xml:space="preserve"> (Base case: ACI = </w:t>
            </w:r>
            <w:r w:rsidRPr="00AD2A06">
              <w:rPr>
                <w:rFonts w:ascii="Arial Narrow" w:hAnsi="Arial Narrow" w:cs="Calibri"/>
                <w:b/>
                <w:bCs/>
                <w:color w:val="000000"/>
                <w:sz w:val="19"/>
                <w:szCs w:val="19"/>
              </w:rPr>
              <w:t>REDACTED</w:t>
            </w:r>
            <w:r w:rsidRPr="00AD2A06">
              <w:rPr>
                <w:rFonts w:ascii="Arial Narrow" w:hAnsi="Arial Narrow" w:cs="Calibri"/>
                <w:color w:val="000000"/>
                <w:sz w:val="19"/>
                <w:szCs w:val="19"/>
              </w:rPr>
              <w:t xml:space="preserve"> % year 1-6; RCI  = </w:t>
            </w:r>
            <w:r w:rsidRPr="00AD2A06">
              <w:rPr>
                <w:rFonts w:ascii="Arial Narrow" w:hAnsi="Arial Narrow" w:cs="Calibri"/>
                <w:b/>
                <w:bCs/>
                <w:color w:val="000000"/>
                <w:sz w:val="19"/>
                <w:szCs w:val="19"/>
              </w:rPr>
              <w:t>REDACTED</w:t>
            </w:r>
            <w:r w:rsidRPr="00AD2A06">
              <w:rPr>
                <w:rFonts w:ascii="Arial Narrow" w:hAnsi="Arial Narrow" w:cs="Calibri"/>
                <w:color w:val="000000"/>
                <w:sz w:val="19"/>
                <w:szCs w:val="19"/>
              </w:rPr>
              <w:t xml:space="preserve"> % year 1, </w:t>
            </w:r>
            <w:r w:rsidRPr="00AD2A06">
              <w:rPr>
                <w:rFonts w:ascii="Arial Narrow" w:hAnsi="Arial Narrow" w:cs="Calibri"/>
                <w:b/>
                <w:bCs/>
                <w:color w:val="000000"/>
                <w:sz w:val="19"/>
                <w:szCs w:val="19"/>
              </w:rPr>
              <w:t>REDACTED</w:t>
            </w:r>
            <w:r w:rsidRPr="00AD2A06">
              <w:rPr>
                <w:rFonts w:ascii="Arial Narrow" w:hAnsi="Arial Narrow" w:cs="Calibri"/>
                <w:color w:val="000000"/>
                <w:sz w:val="19"/>
                <w:szCs w:val="19"/>
              </w:rPr>
              <w:t xml:space="preserve"> % year 2, </w:t>
            </w:r>
            <w:r w:rsidRPr="00AD2A06">
              <w:rPr>
                <w:rFonts w:ascii="Arial Narrow" w:hAnsi="Arial Narrow" w:cs="Calibri"/>
                <w:b/>
                <w:bCs/>
                <w:color w:val="000000"/>
                <w:sz w:val="19"/>
                <w:szCs w:val="19"/>
              </w:rPr>
              <w:t>REDACTED</w:t>
            </w:r>
            <w:r w:rsidRPr="00AD2A06">
              <w:rPr>
                <w:rFonts w:ascii="Arial Narrow" w:hAnsi="Arial Narrow" w:cs="Calibri"/>
                <w:color w:val="000000"/>
                <w:sz w:val="19"/>
                <w:szCs w:val="19"/>
              </w:rPr>
              <w:t xml:space="preserve"> % year 3, </w:t>
            </w:r>
            <w:r w:rsidR="00AD2A06" w:rsidRPr="00AD2A06">
              <w:rPr>
                <w:rFonts w:ascii="Arial Narrow" w:hAnsi="Arial Narrow" w:cs="Calibri"/>
                <w:b/>
                <w:bCs/>
                <w:color w:val="000000"/>
                <w:sz w:val="19"/>
                <w:szCs w:val="19"/>
              </w:rPr>
              <w:t>REDACTED</w:t>
            </w:r>
            <w:r w:rsidR="00AD2A06" w:rsidRPr="00AD2A06">
              <w:rPr>
                <w:rFonts w:ascii="Arial Narrow" w:hAnsi="Arial Narrow" w:cs="Calibri"/>
                <w:color w:val="000000"/>
                <w:sz w:val="19"/>
                <w:szCs w:val="19"/>
              </w:rPr>
              <w:t xml:space="preserve"> </w:t>
            </w:r>
            <w:r w:rsidRPr="00AD2A06">
              <w:rPr>
                <w:rFonts w:ascii="Arial Narrow" w:hAnsi="Arial Narrow" w:cs="Calibri"/>
                <w:color w:val="000000"/>
                <w:sz w:val="19"/>
                <w:szCs w:val="19"/>
              </w:rPr>
              <w:t xml:space="preserve">% year 4, </w:t>
            </w:r>
            <w:r w:rsidR="00AD2A06" w:rsidRPr="00AD2A06">
              <w:rPr>
                <w:rFonts w:ascii="Arial Narrow" w:hAnsi="Arial Narrow" w:cs="Calibri"/>
                <w:b/>
                <w:bCs/>
                <w:color w:val="000000"/>
                <w:sz w:val="19"/>
                <w:szCs w:val="19"/>
              </w:rPr>
              <w:t>REDACTED</w:t>
            </w:r>
            <w:r w:rsidR="00AD2A06" w:rsidRPr="00AD2A06">
              <w:rPr>
                <w:rFonts w:ascii="Arial Narrow" w:hAnsi="Arial Narrow" w:cs="Calibri"/>
                <w:color w:val="000000"/>
                <w:sz w:val="19"/>
                <w:szCs w:val="19"/>
              </w:rPr>
              <w:t xml:space="preserve"> </w:t>
            </w:r>
            <w:r w:rsidRPr="00AD2A06">
              <w:rPr>
                <w:rFonts w:ascii="Arial Narrow" w:hAnsi="Arial Narrow" w:cs="Calibri"/>
                <w:color w:val="000000"/>
                <w:sz w:val="19"/>
                <w:szCs w:val="19"/>
              </w:rPr>
              <w:t xml:space="preserve">% year 5, </w:t>
            </w:r>
            <w:r w:rsidR="00AD2A06" w:rsidRPr="00AD2A06">
              <w:rPr>
                <w:rFonts w:ascii="Arial Narrow" w:hAnsi="Arial Narrow" w:cs="Calibri"/>
                <w:b/>
                <w:bCs/>
                <w:color w:val="000000"/>
                <w:sz w:val="19"/>
                <w:szCs w:val="19"/>
              </w:rPr>
              <w:t>REDACTED</w:t>
            </w:r>
            <w:r w:rsidR="00AD2A06" w:rsidRPr="00AD2A06">
              <w:rPr>
                <w:rFonts w:ascii="Arial Narrow" w:hAnsi="Arial Narrow" w:cs="Calibri"/>
                <w:color w:val="000000"/>
                <w:sz w:val="19"/>
                <w:szCs w:val="19"/>
              </w:rPr>
              <w:t xml:space="preserve"> </w:t>
            </w:r>
            <w:r w:rsidRPr="00AD2A06">
              <w:rPr>
                <w:rFonts w:ascii="Arial Narrow" w:hAnsi="Arial Narrow" w:cs="Calibri"/>
                <w:color w:val="000000"/>
                <w:sz w:val="19"/>
                <w:szCs w:val="19"/>
              </w:rPr>
              <w:t>% year 6)</w:t>
            </w:r>
          </w:p>
        </w:tc>
      </w:tr>
      <w:tr w:rsidR="008F3032" w:rsidRPr="001E7548" w14:paraId="63AB3A61" w14:textId="77777777" w:rsidTr="00AB1909">
        <w:trPr>
          <w:gridAfter w:val="1"/>
          <w:wAfter w:w="9" w:type="dxa"/>
          <w:trHeight w:val="6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129669FB" w14:textId="77777777" w:rsidR="008F3032" w:rsidRPr="001E7548" w:rsidRDefault="008F3032" w:rsidP="008F3032">
            <w:pPr>
              <w:contextualSpacing/>
              <w:rPr>
                <w:rFonts w:ascii="Arial Narrow" w:hAnsi="Arial Narrow" w:cs="Calibri"/>
                <w:color w:val="000000"/>
                <w:sz w:val="19"/>
                <w:szCs w:val="19"/>
              </w:rPr>
            </w:pPr>
            <w:r w:rsidRPr="001E7548">
              <w:rPr>
                <w:rFonts w:ascii="Arial Narrow" w:hAnsi="Arial Narrow" w:cs="Calibri"/>
                <w:color w:val="000000"/>
                <w:sz w:val="19"/>
                <w:szCs w:val="19"/>
              </w:rPr>
              <w:t>Decrease uptake rates in ACI and RCI population by 50%</w:t>
            </w:r>
          </w:p>
        </w:tc>
        <w:tc>
          <w:tcPr>
            <w:tcW w:w="2409" w:type="dxa"/>
            <w:tcBorders>
              <w:top w:val="nil"/>
              <w:left w:val="nil"/>
              <w:bottom w:val="single" w:sz="4" w:space="0" w:color="auto"/>
              <w:right w:val="single" w:sz="4" w:space="0" w:color="auto"/>
            </w:tcBorders>
            <w:shd w:val="clear" w:color="auto" w:fill="auto"/>
            <w:vAlign w:val="center"/>
            <w:hideMark/>
          </w:tcPr>
          <w:p w14:paraId="2F6C7A88" w14:textId="67C60C91" w:rsidR="008F3032" w:rsidRPr="001E7548" w:rsidRDefault="008F3032" w:rsidP="008F3032">
            <w:pPr>
              <w:contextualSpacing/>
              <w:rPr>
                <w:rFonts w:ascii="Arial Narrow" w:hAnsi="Arial Narrow" w:cs="Calibri"/>
                <w:color w:val="000000"/>
                <w:sz w:val="19"/>
                <w:szCs w:val="19"/>
              </w:rPr>
            </w:pPr>
            <w:r w:rsidRPr="001E7548">
              <w:rPr>
                <w:rFonts w:ascii="Arial Narrow" w:hAnsi="Arial Narrow" w:cs="Calibri"/>
                <w:color w:val="000000"/>
                <w:sz w:val="19"/>
                <w:szCs w:val="19"/>
              </w:rPr>
              <w:t>ACI =</w:t>
            </w:r>
            <w:r w:rsidRPr="008F3032">
              <w:rPr>
                <w:rFonts w:ascii="Arial Narrow" w:hAnsi="Arial Narrow" w:cs="Calibri"/>
                <w:b/>
                <w:bCs/>
                <w:color w:val="000000"/>
                <w:sz w:val="19"/>
                <w:szCs w:val="19"/>
              </w:rPr>
              <w:t xml:space="preserve"> REDACTED</w:t>
            </w:r>
            <w:r w:rsidRPr="001E7548">
              <w:rPr>
                <w:rFonts w:ascii="Arial Narrow" w:hAnsi="Arial Narrow" w:cs="Calibri"/>
                <w:color w:val="000000"/>
                <w:sz w:val="19"/>
                <w:szCs w:val="19"/>
              </w:rPr>
              <w:t xml:space="preserve"> % year 1-6</w:t>
            </w:r>
            <w:r w:rsidRPr="001E7548">
              <w:rPr>
                <w:rFonts w:ascii="Arial Narrow" w:hAnsi="Arial Narrow" w:cs="Calibri"/>
                <w:color w:val="000000"/>
                <w:sz w:val="19"/>
                <w:szCs w:val="19"/>
              </w:rPr>
              <w:br/>
              <w:t xml:space="preserve">RCI = </w:t>
            </w:r>
            <w:r w:rsidRPr="008F3032">
              <w:rPr>
                <w:rFonts w:ascii="Arial Narrow" w:hAnsi="Arial Narrow" w:cs="Calibri"/>
                <w:b/>
                <w:bCs/>
                <w:color w:val="000000"/>
                <w:sz w:val="19"/>
                <w:szCs w:val="19"/>
              </w:rPr>
              <w:t>REDACTED</w:t>
            </w:r>
            <w:r w:rsidRPr="001E7548">
              <w:rPr>
                <w:rFonts w:ascii="Arial Narrow" w:hAnsi="Arial Narrow" w:cs="Calibri"/>
                <w:color w:val="000000"/>
                <w:sz w:val="19"/>
                <w:szCs w:val="19"/>
              </w:rPr>
              <w:t xml:space="preserve"> % year 1, </w:t>
            </w:r>
            <w:r w:rsidRPr="008F3032">
              <w:rPr>
                <w:rFonts w:ascii="Arial Narrow" w:hAnsi="Arial Narrow" w:cs="Calibri"/>
                <w:b/>
                <w:bCs/>
                <w:color w:val="000000"/>
                <w:sz w:val="19"/>
                <w:szCs w:val="19"/>
              </w:rPr>
              <w:t>REDACTED</w:t>
            </w:r>
            <w:r w:rsidRPr="001E7548">
              <w:rPr>
                <w:rFonts w:ascii="Arial Narrow" w:hAnsi="Arial Narrow" w:cs="Calibri"/>
                <w:color w:val="000000"/>
                <w:sz w:val="19"/>
                <w:szCs w:val="19"/>
              </w:rPr>
              <w:t xml:space="preserve"> % year 2, </w:t>
            </w:r>
            <w:r w:rsidRPr="008F3032">
              <w:rPr>
                <w:rFonts w:ascii="Arial Narrow" w:hAnsi="Arial Narrow" w:cs="Calibri"/>
                <w:b/>
                <w:bCs/>
                <w:color w:val="000000"/>
                <w:sz w:val="19"/>
                <w:szCs w:val="19"/>
              </w:rPr>
              <w:t>REDACTED</w:t>
            </w:r>
            <w:r w:rsidRPr="001E7548">
              <w:rPr>
                <w:rFonts w:ascii="Arial Narrow" w:hAnsi="Arial Narrow" w:cs="Calibri"/>
                <w:color w:val="000000"/>
                <w:sz w:val="19"/>
                <w:szCs w:val="19"/>
              </w:rPr>
              <w:t xml:space="preserve"> % year 3, </w:t>
            </w:r>
            <w:r w:rsidRPr="008F3032">
              <w:rPr>
                <w:rFonts w:ascii="Arial Narrow" w:hAnsi="Arial Narrow" w:cs="Calibri"/>
                <w:b/>
                <w:bCs/>
                <w:color w:val="000000"/>
                <w:sz w:val="19"/>
                <w:szCs w:val="19"/>
              </w:rPr>
              <w:t>REDACTED</w:t>
            </w:r>
            <w:r w:rsidRPr="001E7548">
              <w:rPr>
                <w:rFonts w:ascii="Arial Narrow" w:hAnsi="Arial Narrow" w:cs="Calibri"/>
                <w:color w:val="000000"/>
                <w:sz w:val="19"/>
                <w:szCs w:val="19"/>
              </w:rPr>
              <w:t xml:space="preserve"> % year 4, </w:t>
            </w:r>
            <w:r w:rsidRPr="008F3032">
              <w:rPr>
                <w:rFonts w:ascii="Arial Narrow" w:hAnsi="Arial Narrow" w:cs="Calibri"/>
                <w:b/>
                <w:bCs/>
                <w:color w:val="000000"/>
                <w:sz w:val="19"/>
                <w:szCs w:val="19"/>
              </w:rPr>
              <w:t>REDACTED</w:t>
            </w:r>
            <w:r w:rsidRPr="001E7548">
              <w:rPr>
                <w:rFonts w:ascii="Arial Narrow" w:hAnsi="Arial Narrow" w:cs="Calibri"/>
                <w:color w:val="000000"/>
                <w:sz w:val="19"/>
                <w:szCs w:val="19"/>
              </w:rPr>
              <w:t xml:space="preserve"> % year 5, </w:t>
            </w:r>
            <w:r w:rsidRPr="008F3032">
              <w:rPr>
                <w:rFonts w:ascii="Arial Narrow" w:hAnsi="Arial Narrow" w:cs="Calibri"/>
                <w:b/>
                <w:bCs/>
                <w:color w:val="000000"/>
                <w:sz w:val="19"/>
                <w:szCs w:val="19"/>
              </w:rPr>
              <w:t>REDACTED</w:t>
            </w:r>
            <w:r w:rsidRPr="001E7548">
              <w:rPr>
                <w:rFonts w:ascii="Arial Narrow" w:hAnsi="Arial Narrow" w:cs="Calibri"/>
                <w:color w:val="000000"/>
                <w:sz w:val="19"/>
                <w:szCs w:val="19"/>
              </w:rPr>
              <w:t xml:space="preserve"> % year 6,</w:t>
            </w:r>
          </w:p>
        </w:tc>
        <w:tc>
          <w:tcPr>
            <w:tcW w:w="1559" w:type="dxa"/>
            <w:tcBorders>
              <w:top w:val="nil"/>
              <w:left w:val="nil"/>
              <w:bottom w:val="single" w:sz="4" w:space="0" w:color="auto"/>
              <w:right w:val="single" w:sz="4" w:space="0" w:color="auto"/>
            </w:tcBorders>
            <w:shd w:val="clear" w:color="auto" w:fill="auto"/>
            <w:noWrap/>
            <w:hideMark/>
          </w:tcPr>
          <w:p w14:paraId="6FA57DA8" w14:textId="3C3EDC19"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3AD29676" w14:textId="35C52AD1"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701" w:type="dxa"/>
            <w:tcBorders>
              <w:top w:val="nil"/>
              <w:left w:val="nil"/>
              <w:bottom w:val="single" w:sz="4" w:space="0" w:color="auto"/>
              <w:right w:val="single" w:sz="4" w:space="0" w:color="auto"/>
            </w:tcBorders>
            <w:shd w:val="clear" w:color="auto" w:fill="auto"/>
            <w:noWrap/>
            <w:hideMark/>
          </w:tcPr>
          <w:p w14:paraId="3BE2ED3B" w14:textId="51124F7E"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418" w:type="dxa"/>
            <w:tcBorders>
              <w:top w:val="nil"/>
              <w:left w:val="nil"/>
              <w:bottom w:val="single" w:sz="4" w:space="0" w:color="auto"/>
              <w:right w:val="single" w:sz="4" w:space="0" w:color="auto"/>
            </w:tcBorders>
            <w:shd w:val="clear" w:color="auto" w:fill="auto"/>
            <w:noWrap/>
            <w:hideMark/>
          </w:tcPr>
          <w:p w14:paraId="0BB3CB66" w14:textId="2270D717"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0B8ECF2A" w14:textId="0A2FC847"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00AE4033" w14:textId="7A4D93CB"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560" w:type="dxa"/>
            <w:tcBorders>
              <w:top w:val="nil"/>
              <w:left w:val="nil"/>
              <w:bottom w:val="single" w:sz="4" w:space="0" w:color="auto"/>
              <w:right w:val="single" w:sz="4" w:space="0" w:color="auto"/>
            </w:tcBorders>
            <w:shd w:val="clear" w:color="auto" w:fill="auto"/>
            <w:noWrap/>
            <w:hideMark/>
          </w:tcPr>
          <w:p w14:paraId="37E19202" w14:textId="6F185D11"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r>
      <w:tr w:rsidR="008F3032" w:rsidRPr="001E7548" w14:paraId="0015DCC3" w14:textId="77777777" w:rsidTr="00AB1909">
        <w:trPr>
          <w:gridAfter w:val="1"/>
          <w:wAfter w:w="9" w:type="dxa"/>
          <w:trHeight w:val="6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3AEB96DF" w14:textId="77777777" w:rsidR="008F3032" w:rsidRPr="001E7548" w:rsidRDefault="008F3032" w:rsidP="008F3032">
            <w:pPr>
              <w:contextualSpacing/>
              <w:rPr>
                <w:rFonts w:ascii="Arial Narrow" w:hAnsi="Arial Narrow" w:cs="Calibri"/>
                <w:color w:val="000000"/>
                <w:sz w:val="19"/>
                <w:szCs w:val="19"/>
              </w:rPr>
            </w:pPr>
            <w:r w:rsidRPr="001E7548">
              <w:rPr>
                <w:rFonts w:ascii="Arial Narrow" w:hAnsi="Arial Narrow" w:cs="Calibri"/>
                <w:color w:val="000000"/>
                <w:sz w:val="19"/>
                <w:szCs w:val="19"/>
              </w:rPr>
              <w:t>Increase uptake rates in RCI population by 50%</w:t>
            </w:r>
          </w:p>
        </w:tc>
        <w:tc>
          <w:tcPr>
            <w:tcW w:w="2409" w:type="dxa"/>
            <w:tcBorders>
              <w:top w:val="nil"/>
              <w:left w:val="nil"/>
              <w:bottom w:val="single" w:sz="4" w:space="0" w:color="auto"/>
              <w:right w:val="single" w:sz="4" w:space="0" w:color="auto"/>
            </w:tcBorders>
            <w:shd w:val="clear" w:color="auto" w:fill="auto"/>
            <w:vAlign w:val="center"/>
            <w:hideMark/>
          </w:tcPr>
          <w:p w14:paraId="7B07B79C" w14:textId="7B7692AD" w:rsidR="008F3032" w:rsidRPr="001E7548" w:rsidRDefault="008F3032" w:rsidP="008F3032">
            <w:pPr>
              <w:contextualSpacing/>
              <w:rPr>
                <w:rFonts w:ascii="Arial Narrow" w:hAnsi="Arial Narrow" w:cs="Calibri"/>
                <w:color w:val="000000"/>
                <w:sz w:val="19"/>
                <w:szCs w:val="19"/>
              </w:rPr>
            </w:pPr>
            <w:r w:rsidRPr="001E7548">
              <w:rPr>
                <w:rFonts w:ascii="Arial Narrow" w:hAnsi="Arial Narrow" w:cs="Calibri"/>
                <w:color w:val="000000"/>
                <w:sz w:val="19"/>
                <w:szCs w:val="19"/>
              </w:rPr>
              <w:t xml:space="preserve">RCI = </w:t>
            </w:r>
            <w:r w:rsidR="00AD2A06" w:rsidRPr="008F3032">
              <w:rPr>
                <w:rFonts w:ascii="Arial Narrow" w:hAnsi="Arial Narrow" w:cs="Calibri"/>
                <w:b/>
                <w:bCs/>
                <w:color w:val="000000"/>
                <w:sz w:val="19"/>
                <w:szCs w:val="19"/>
              </w:rPr>
              <w:t>REDACTED</w:t>
            </w:r>
            <w:r w:rsidR="00AD2A06"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t xml:space="preserve">% year 1, </w:t>
            </w:r>
            <w:r w:rsidR="00AD2A06" w:rsidRPr="008F3032">
              <w:rPr>
                <w:rFonts w:ascii="Arial Narrow" w:hAnsi="Arial Narrow" w:cs="Calibri"/>
                <w:b/>
                <w:bCs/>
                <w:color w:val="000000"/>
                <w:sz w:val="19"/>
                <w:szCs w:val="19"/>
              </w:rPr>
              <w:t>REDACTED</w:t>
            </w:r>
            <w:r w:rsidR="00AD2A06"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t xml:space="preserve">% year 2, </w:t>
            </w:r>
            <w:r w:rsidR="00AD2A06" w:rsidRPr="008F3032">
              <w:rPr>
                <w:rFonts w:ascii="Arial Narrow" w:hAnsi="Arial Narrow" w:cs="Calibri"/>
                <w:b/>
                <w:bCs/>
                <w:color w:val="000000"/>
                <w:sz w:val="19"/>
                <w:szCs w:val="19"/>
              </w:rPr>
              <w:t>REDACTED</w:t>
            </w:r>
            <w:r w:rsidR="00AD2A06"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t xml:space="preserve">% year 3, </w:t>
            </w:r>
            <w:r w:rsidR="00AD2A06" w:rsidRPr="008F3032">
              <w:rPr>
                <w:rFonts w:ascii="Arial Narrow" w:hAnsi="Arial Narrow" w:cs="Calibri"/>
                <w:b/>
                <w:bCs/>
                <w:color w:val="000000"/>
                <w:sz w:val="19"/>
                <w:szCs w:val="19"/>
              </w:rPr>
              <w:t>REDACTED</w:t>
            </w:r>
            <w:r w:rsidR="00AD2A06"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t xml:space="preserve">% year 4, </w:t>
            </w:r>
            <w:r w:rsidR="00AD2A06" w:rsidRPr="008F3032">
              <w:rPr>
                <w:rFonts w:ascii="Arial Narrow" w:hAnsi="Arial Narrow" w:cs="Calibri"/>
                <w:b/>
                <w:bCs/>
                <w:color w:val="000000"/>
                <w:sz w:val="19"/>
                <w:szCs w:val="19"/>
              </w:rPr>
              <w:t>REDACTED</w:t>
            </w:r>
            <w:r w:rsidR="00AD2A06"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t>% year 5</w:t>
            </w:r>
            <w:r w:rsidR="00AD2A06" w:rsidRPr="008F3032">
              <w:rPr>
                <w:rFonts w:ascii="Arial Narrow" w:hAnsi="Arial Narrow" w:cs="Calibri"/>
                <w:b/>
                <w:bCs/>
                <w:color w:val="000000"/>
                <w:sz w:val="19"/>
                <w:szCs w:val="19"/>
              </w:rPr>
              <w:t xml:space="preserve"> REDACTED</w:t>
            </w:r>
            <w:r w:rsidR="00AD2A06"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t>% year 6,</w:t>
            </w:r>
          </w:p>
        </w:tc>
        <w:tc>
          <w:tcPr>
            <w:tcW w:w="1559" w:type="dxa"/>
            <w:tcBorders>
              <w:top w:val="nil"/>
              <w:left w:val="nil"/>
              <w:bottom w:val="single" w:sz="4" w:space="0" w:color="auto"/>
              <w:right w:val="single" w:sz="4" w:space="0" w:color="auto"/>
            </w:tcBorders>
            <w:shd w:val="clear" w:color="auto" w:fill="auto"/>
            <w:noWrap/>
            <w:hideMark/>
          </w:tcPr>
          <w:p w14:paraId="721BCA43" w14:textId="3FC7CC54"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2F2B7071" w14:textId="24B89D47"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701" w:type="dxa"/>
            <w:tcBorders>
              <w:top w:val="nil"/>
              <w:left w:val="nil"/>
              <w:bottom w:val="single" w:sz="4" w:space="0" w:color="auto"/>
              <w:right w:val="single" w:sz="4" w:space="0" w:color="auto"/>
            </w:tcBorders>
            <w:shd w:val="clear" w:color="auto" w:fill="auto"/>
            <w:noWrap/>
            <w:hideMark/>
          </w:tcPr>
          <w:p w14:paraId="30855B85" w14:textId="47515805"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418" w:type="dxa"/>
            <w:tcBorders>
              <w:top w:val="nil"/>
              <w:left w:val="nil"/>
              <w:bottom w:val="single" w:sz="4" w:space="0" w:color="auto"/>
              <w:right w:val="single" w:sz="4" w:space="0" w:color="auto"/>
            </w:tcBorders>
            <w:shd w:val="clear" w:color="auto" w:fill="auto"/>
            <w:noWrap/>
            <w:hideMark/>
          </w:tcPr>
          <w:p w14:paraId="0714C733" w14:textId="1BB310D3"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432AA6C0" w14:textId="6806A778"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564BE891" w14:textId="641D9379"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560" w:type="dxa"/>
            <w:tcBorders>
              <w:top w:val="nil"/>
              <w:left w:val="nil"/>
              <w:bottom w:val="single" w:sz="4" w:space="0" w:color="auto"/>
              <w:right w:val="single" w:sz="4" w:space="0" w:color="auto"/>
            </w:tcBorders>
            <w:shd w:val="clear" w:color="auto" w:fill="auto"/>
            <w:noWrap/>
            <w:hideMark/>
          </w:tcPr>
          <w:p w14:paraId="3925F431" w14:textId="55DAD870"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r>
      <w:tr w:rsidR="008F3032" w:rsidRPr="001E7548" w14:paraId="1DF58EB1" w14:textId="77777777" w:rsidTr="00AB1909">
        <w:trPr>
          <w:gridAfter w:val="1"/>
          <w:wAfter w:w="9" w:type="dxa"/>
          <w:trHeight w:val="6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61C2D9F6" w14:textId="77777777" w:rsidR="008F3032" w:rsidRPr="001E7548" w:rsidRDefault="008F3032" w:rsidP="008F3032">
            <w:pPr>
              <w:contextualSpacing/>
              <w:rPr>
                <w:rFonts w:ascii="Arial Narrow" w:hAnsi="Arial Narrow" w:cs="Calibri"/>
                <w:color w:val="000000"/>
                <w:sz w:val="19"/>
                <w:szCs w:val="19"/>
              </w:rPr>
            </w:pPr>
            <w:r w:rsidRPr="001E7548">
              <w:rPr>
                <w:rFonts w:ascii="Arial Narrow" w:hAnsi="Arial Narrow" w:cs="Calibri"/>
                <w:color w:val="000000"/>
                <w:sz w:val="19"/>
                <w:szCs w:val="19"/>
              </w:rPr>
              <w:t>Increase uptake rates in RCI population by 100%</w:t>
            </w:r>
          </w:p>
        </w:tc>
        <w:tc>
          <w:tcPr>
            <w:tcW w:w="2409" w:type="dxa"/>
            <w:tcBorders>
              <w:top w:val="nil"/>
              <w:left w:val="nil"/>
              <w:bottom w:val="single" w:sz="4" w:space="0" w:color="auto"/>
              <w:right w:val="single" w:sz="4" w:space="0" w:color="auto"/>
            </w:tcBorders>
            <w:shd w:val="clear" w:color="auto" w:fill="auto"/>
            <w:vAlign w:val="center"/>
            <w:hideMark/>
          </w:tcPr>
          <w:p w14:paraId="0B30AA42" w14:textId="673F41E4" w:rsidR="008F3032" w:rsidRPr="001E7548" w:rsidRDefault="008F3032" w:rsidP="008F3032">
            <w:pPr>
              <w:contextualSpacing/>
              <w:rPr>
                <w:rFonts w:ascii="Arial Narrow" w:hAnsi="Arial Narrow" w:cs="Calibri"/>
                <w:color w:val="000000"/>
                <w:sz w:val="19"/>
                <w:szCs w:val="19"/>
              </w:rPr>
            </w:pPr>
            <w:r w:rsidRPr="001E7548">
              <w:rPr>
                <w:rFonts w:ascii="Arial Narrow" w:hAnsi="Arial Narrow" w:cs="Calibri"/>
                <w:color w:val="000000"/>
                <w:sz w:val="19"/>
                <w:szCs w:val="19"/>
              </w:rPr>
              <w:t xml:space="preserve">RCI = </w:t>
            </w:r>
            <w:r w:rsidR="00AD2A06" w:rsidRPr="008F3032">
              <w:rPr>
                <w:rFonts w:ascii="Arial Narrow" w:hAnsi="Arial Narrow" w:cs="Calibri"/>
                <w:b/>
                <w:bCs/>
                <w:color w:val="000000"/>
                <w:sz w:val="19"/>
                <w:szCs w:val="19"/>
              </w:rPr>
              <w:t>REDACTED</w:t>
            </w:r>
            <w:r w:rsidR="00AD2A06"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t xml:space="preserve">% year 1, </w:t>
            </w:r>
            <w:r w:rsidR="00AD2A06" w:rsidRPr="008F3032">
              <w:rPr>
                <w:rFonts w:ascii="Arial Narrow" w:hAnsi="Arial Narrow" w:cs="Calibri"/>
                <w:b/>
                <w:bCs/>
                <w:color w:val="000000"/>
                <w:sz w:val="19"/>
                <w:szCs w:val="19"/>
              </w:rPr>
              <w:t>REDACTED</w:t>
            </w:r>
            <w:r w:rsidR="00AD2A06"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t xml:space="preserve">% year 2, </w:t>
            </w:r>
            <w:r w:rsidR="00AD2A06" w:rsidRPr="008F3032">
              <w:rPr>
                <w:rFonts w:ascii="Arial Narrow" w:hAnsi="Arial Narrow" w:cs="Calibri"/>
                <w:b/>
                <w:bCs/>
                <w:color w:val="000000"/>
                <w:sz w:val="19"/>
                <w:szCs w:val="19"/>
              </w:rPr>
              <w:t>REDACTED</w:t>
            </w:r>
            <w:r w:rsidR="00AD2A06"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t xml:space="preserve">% year 3, </w:t>
            </w:r>
            <w:r w:rsidR="00AD2A06" w:rsidRPr="008F3032">
              <w:rPr>
                <w:rFonts w:ascii="Arial Narrow" w:hAnsi="Arial Narrow" w:cs="Calibri"/>
                <w:b/>
                <w:bCs/>
                <w:color w:val="000000"/>
                <w:sz w:val="19"/>
                <w:szCs w:val="19"/>
              </w:rPr>
              <w:t>REDACTED</w:t>
            </w:r>
            <w:r w:rsidR="00AD2A06"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t xml:space="preserve">% year 4, </w:t>
            </w:r>
            <w:r w:rsidR="00AD2A06" w:rsidRPr="008F3032">
              <w:rPr>
                <w:rFonts w:ascii="Arial Narrow" w:hAnsi="Arial Narrow" w:cs="Calibri"/>
                <w:b/>
                <w:bCs/>
                <w:color w:val="000000"/>
                <w:sz w:val="19"/>
                <w:szCs w:val="19"/>
              </w:rPr>
              <w:t>REDACTED</w:t>
            </w:r>
            <w:r w:rsidR="00AD2A06"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t xml:space="preserve">% year 5, </w:t>
            </w:r>
            <w:r w:rsidR="00AD2A06" w:rsidRPr="008F3032">
              <w:rPr>
                <w:rFonts w:ascii="Arial Narrow" w:hAnsi="Arial Narrow" w:cs="Calibri"/>
                <w:b/>
                <w:bCs/>
                <w:color w:val="000000"/>
                <w:sz w:val="19"/>
                <w:szCs w:val="19"/>
              </w:rPr>
              <w:t>REDACTED</w:t>
            </w:r>
            <w:r w:rsidR="00AD2A06"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t>% year 6,</w:t>
            </w:r>
          </w:p>
        </w:tc>
        <w:tc>
          <w:tcPr>
            <w:tcW w:w="1559" w:type="dxa"/>
            <w:tcBorders>
              <w:top w:val="nil"/>
              <w:left w:val="nil"/>
              <w:bottom w:val="single" w:sz="4" w:space="0" w:color="auto"/>
              <w:right w:val="single" w:sz="4" w:space="0" w:color="auto"/>
            </w:tcBorders>
            <w:shd w:val="clear" w:color="auto" w:fill="auto"/>
            <w:noWrap/>
            <w:hideMark/>
          </w:tcPr>
          <w:p w14:paraId="650058B3" w14:textId="05C09639"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5957CA1B" w14:textId="2DED8204"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701" w:type="dxa"/>
            <w:tcBorders>
              <w:top w:val="nil"/>
              <w:left w:val="nil"/>
              <w:bottom w:val="single" w:sz="4" w:space="0" w:color="auto"/>
              <w:right w:val="single" w:sz="4" w:space="0" w:color="auto"/>
            </w:tcBorders>
            <w:shd w:val="clear" w:color="auto" w:fill="auto"/>
            <w:noWrap/>
            <w:hideMark/>
          </w:tcPr>
          <w:p w14:paraId="17F14A0C" w14:textId="270A7E12"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418" w:type="dxa"/>
            <w:tcBorders>
              <w:top w:val="nil"/>
              <w:left w:val="nil"/>
              <w:bottom w:val="single" w:sz="4" w:space="0" w:color="auto"/>
              <w:right w:val="single" w:sz="4" w:space="0" w:color="auto"/>
            </w:tcBorders>
            <w:shd w:val="clear" w:color="auto" w:fill="auto"/>
            <w:noWrap/>
            <w:hideMark/>
          </w:tcPr>
          <w:p w14:paraId="1EB278D7" w14:textId="722F0D1B"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3FD298B6" w14:textId="3AFF76A4"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0D395856" w14:textId="2E650727"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c>
          <w:tcPr>
            <w:tcW w:w="1560" w:type="dxa"/>
            <w:tcBorders>
              <w:top w:val="nil"/>
              <w:left w:val="nil"/>
              <w:bottom w:val="single" w:sz="4" w:space="0" w:color="auto"/>
              <w:right w:val="single" w:sz="4" w:space="0" w:color="auto"/>
            </w:tcBorders>
            <w:shd w:val="clear" w:color="auto" w:fill="auto"/>
            <w:noWrap/>
            <w:hideMark/>
          </w:tcPr>
          <w:p w14:paraId="6BFE8307" w14:textId="7C1A2BC6" w:rsidR="008F3032" w:rsidRPr="0082105F" w:rsidRDefault="008F3032" w:rsidP="008F3032">
            <w:pPr>
              <w:contextualSpacing/>
              <w:jc w:val="center"/>
              <w:rPr>
                <w:rFonts w:ascii="Arial Narrow" w:hAnsi="Arial Narrow" w:cs="Calibri"/>
                <w:color w:val="000000"/>
                <w:sz w:val="19"/>
                <w:szCs w:val="19"/>
                <w:highlight w:val="yellow"/>
              </w:rPr>
            </w:pPr>
            <w:r w:rsidRPr="00EE7187">
              <w:rPr>
                <w:rFonts w:ascii="Arial Narrow" w:hAnsi="Arial Narrow" w:cs="Calibri"/>
                <w:b/>
                <w:bCs/>
                <w:color w:val="000000"/>
                <w:sz w:val="19"/>
                <w:szCs w:val="19"/>
              </w:rPr>
              <w:t>REDACTED</w:t>
            </w:r>
          </w:p>
        </w:tc>
      </w:tr>
      <w:tr w:rsidR="008F3032" w:rsidRPr="001E7548" w14:paraId="10D2A54F" w14:textId="77777777" w:rsidTr="008F3032">
        <w:trPr>
          <w:gridAfter w:val="1"/>
          <w:wAfter w:w="9" w:type="dxa"/>
          <w:trHeight w:val="228"/>
        </w:trPr>
        <w:tc>
          <w:tcPr>
            <w:tcW w:w="15450" w:type="dxa"/>
            <w:gridSpan w:val="9"/>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706FEC8C" w14:textId="77777777" w:rsidR="008F3032" w:rsidRPr="00AD2A06" w:rsidRDefault="008F3032" w:rsidP="008F3032">
            <w:pPr>
              <w:contextualSpacing/>
              <w:rPr>
                <w:rFonts w:ascii="Arial Narrow" w:hAnsi="Arial Narrow" w:cs="Calibri"/>
                <w:color w:val="000000"/>
                <w:sz w:val="19"/>
                <w:szCs w:val="19"/>
              </w:rPr>
            </w:pPr>
            <w:r w:rsidRPr="00AD2A06">
              <w:rPr>
                <w:rFonts w:ascii="Arial Narrow" w:hAnsi="Arial Narrow" w:cs="Calibri"/>
                <w:b/>
                <w:bCs/>
                <w:color w:val="000000"/>
                <w:sz w:val="19"/>
                <w:szCs w:val="19"/>
              </w:rPr>
              <w:t>Overlap between ACI and RCI population</w:t>
            </w:r>
            <w:r w:rsidRPr="00AD2A06">
              <w:rPr>
                <w:rFonts w:ascii="Arial Narrow" w:hAnsi="Arial Narrow" w:cs="Calibri"/>
                <w:color w:val="000000"/>
                <w:sz w:val="19"/>
                <w:szCs w:val="19"/>
              </w:rPr>
              <w:t xml:space="preserve"> (Base case presented populations separately)</w:t>
            </w:r>
          </w:p>
        </w:tc>
      </w:tr>
      <w:tr w:rsidR="008F3032" w:rsidRPr="001E7548" w14:paraId="0242F41D" w14:textId="77777777" w:rsidTr="00AB1909">
        <w:trPr>
          <w:gridAfter w:val="1"/>
          <w:wAfter w:w="9" w:type="dxa"/>
          <w:trHeight w:val="64"/>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C1C7148" w14:textId="0B8E1489" w:rsidR="008F3032" w:rsidRPr="001E7548" w:rsidRDefault="00AD2A06" w:rsidP="008F3032">
            <w:pPr>
              <w:contextualSpacing/>
              <w:rPr>
                <w:rFonts w:ascii="Arial Narrow" w:hAnsi="Arial Narrow" w:cs="Calibri"/>
                <w:color w:val="000000"/>
                <w:sz w:val="19"/>
                <w:szCs w:val="19"/>
              </w:rPr>
            </w:pPr>
            <w:r w:rsidRPr="008F3032">
              <w:rPr>
                <w:rFonts w:ascii="Arial Narrow" w:hAnsi="Arial Narrow" w:cs="Calibri"/>
                <w:b/>
                <w:bCs/>
                <w:color w:val="000000"/>
                <w:sz w:val="19"/>
                <w:szCs w:val="19"/>
              </w:rPr>
              <w:t>REDACTED</w:t>
            </w:r>
            <w:r w:rsidRPr="001E7548">
              <w:rPr>
                <w:rFonts w:ascii="Arial Narrow" w:hAnsi="Arial Narrow" w:cs="Calibri"/>
                <w:color w:val="000000"/>
                <w:sz w:val="19"/>
                <w:szCs w:val="19"/>
              </w:rPr>
              <w:t xml:space="preserve"> </w:t>
            </w:r>
            <w:r w:rsidR="008F3032" w:rsidRPr="001E7548">
              <w:rPr>
                <w:rFonts w:ascii="Arial Narrow" w:hAnsi="Arial Narrow" w:cs="Calibri"/>
                <w:color w:val="000000"/>
                <w:sz w:val="19"/>
                <w:szCs w:val="19"/>
              </w:rPr>
              <w:t>% of ACI population double counted in RCI population</w:t>
            </w:r>
          </w:p>
        </w:tc>
        <w:tc>
          <w:tcPr>
            <w:tcW w:w="2409" w:type="dxa"/>
            <w:tcBorders>
              <w:top w:val="nil"/>
              <w:left w:val="nil"/>
              <w:bottom w:val="single" w:sz="4" w:space="0" w:color="auto"/>
              <w:right w:val="single" w:sz="4" w:space="0" w:color="auto"/>
            </w:tcBorders>
            <w:shd w:val="clear" w:color="auto" w:fill="auto"/>
            <w:vAlign w:val="center"/>
            <w:hideMark/>
          </w:tcPr>
          <w:p w14:paraId="6A32D017" w14:textId="69EB7B1F" w:rsidR="008F3032" w:rsidRPr="001E7548" w:rsidRDefault="008F3032" w:rsidP="008F3032">
            <w:pPr>
              <w:contextualSpacing/>
              <w:rPr>
                <w:rFonts w:ascii="Arial Narrow" w:hAnsi="Arial Narrow" w:cs="Calibri"/>
                <w:color w:val="000000"/>
                <w:sz w:val="19"/>
                <w:szCs w:val="19"/>
              </w:rPr>
            </w:pPr>
            <w:r w:rsidRPr="001E7548">
              <w:rPr>
                <w:rFonts w:ascii="Arial Narrow" w:hAnsi="Arial Narrow" w:cs="Calibri"/>
                <w:color w:val="000000"/>
                <w:sz w:val="19"/>
                <w:szCs w:val="19"/>
              </w:rPr>
              <w:t xml:space="preserve">Reduce ACI patient numbers by </w:t>
            </w:r>
            <w:r w:rsidR="00AD2A06" w:rsidRPr="008F3032">
              <w:rPr>
                <w:rFonts w:ascii="Arial Narrow" w:hAnsi="Arial Narrow" w:cs="Calibri"/>
                <w:b/>
                <w:bCs/>
                <w:color w:val="000000"/>
                <w:sz w:val="19"/>
                <w:szCs w:val="19"/>
              </w:rPr>
              <w:t>REDACTED</w:t>
            </w:r>
            <w:r w:rsidR="00AD2A06"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t>%</w:t>
            </w:r>
          </w:p>
        </w:tc>
        <w:tc>
          <w:tcPr>
            <w:tcW w:w="1559" w:type="dxa"/>
            <w:tcBorders>
              <w:top w:val="nil"/>
              <w:left w:val="nil"/>
              <w:bottom w:val="single" w:sz="4" w:space="0" w:color="auto"/>
              <w:right w:val="single" w:sz="4" w:space="0" w:color="auto"/>
            </w:tcBorders>
            <w:shd w:val="clear" w:color="auto" w:fill="auto"/>
            <w:noWrap/>
            <w:hideMark/>
          </w:tcPr>
          <w:p w14:paraId="3A65E2CA" w14:textId="1F256396" w:rsidR="008F3032" w:rsidRPr="0082105F" w:rsidRDefault="008F3032" w:rsidP="008F3032">
            <w:pPr>
              <w:contextualSpacing/>
              <w:jc w:val="center"/>
              <w:rPr>
                <w:rFonts w:ascii="Arial Narrow" w:hAnsi="Arial Narrow" w:cs="Calibri"/>
                <w:color w:val="000000"/>
                <w:sz w:val="19"/>
                <w:szCs w:val="19"/>
                <w:highlight w:val="yellow"/>
              </w:rPr>
            </w:pPr>
            <w:r w:rsidRPr="000E536E">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71BA3074" w14:textId="02052105" w:rsidR="008F3032" w:rsidRPr="0082105F" w:rsidRDefault="008F3032" w:rsidP="008F3032">
            <w:pPr>
              <w:contextualSpacing/>
              <w:jc w:val="center"/>
              <w:rPr>
                <w:rFonts w:ascii="Arial Narrow" w:hAnsi="Arial Narrow" w:cs="Calibri"/>
                <w:color w:val="000000"/>
                <w:sz w:val="19"/>
                <w:szCs w:val="19"/>
                <w:highlight w:val="yellow"/>
              </w:rPr>
            </w:pPr>
            <w:r w:rsidRPr="000E536E">
              <w:rPr>
                <w:rFonts w:ascii="Arial Narrow" w:hAnsi="Arial Narrow" w:cs="Calibri"/>
                <w:b/>
                <w:bCs/>
                <w:color w:val="000000"/>
                <w:sz w:val="19"/>
                <w:szCs w:val="19"/>
              </w:rPr>
              <w:t>REDACTED</w:t>
            </w:r>
          </w:p>
        </w:tc>
        <w:tc>
          <w:tcPr>
            <w:tcW w:w="1701" w:type="dxa"/>
            <w:tcBorders>
              <w:top w:val="nil"/>
              <w:left w:val="nil"/>
              <w:bottom w:val="single" w:sz="4" w:space="0" w:color="auto"/>
              <w:right w:val="single" w:sz="4" w:space="0" w:color="auto"/>
            </w:tcBorders>
            <w:shd w:val="clear" w:color="auto" w:fill="auto"/>
            <w:noWrap/>
            <w:hideMark/>
          </w:tcPr>
          <w:p w14:paraId="0EE1C083" w14:textId="614C176D" w:rsidR="008F3032" w:rsidRPr="0082105F" w:rsidRDefault="008F3032" w:rsidP="008F3032">
            <w:pPr>
              <w:contextualSpacing/>
              <w:jc w:val="center"/>
              <w:rPr>
                <w:rFonts w:ascii="Arial Narrow" w:hAnsi="Arial Narrow" w:cs="Calibri"/>
                <w:color w:val="000000"/>
                <w:sz w:val="19"/>
                <w:szCs w:val="19"/>
                <w:highlight w:val="yellow"/>
              </w:rPr>
            </w:pPr>
            <w:r w:rsidRPr="000E536E">
              <w:rPr>
                <w:rFonts w:ascii="Arial Narrow" w:hAnsi="Arial Narrow" w:cs="Calibri"/>
                <w:b/>
                <w:bCs/>
                <w:color w:val="000000"/>
                <w:sz w:val="19"/>
                <w:szCs w:val="19"/>
              </w:rPr>
              <w:t>REDACTED</w:t>
            </w:r>
          </w:p>
        </w:tc>
        <w:tc>
          <w:tcPr>
            <w:tcW w:w="1418" w:type="dxa"/>
            <w:tcBorders>
              <w:top w:val="nil"/>
              <w:left w:val="nil"/>
              <w:bottom w:val="single" w:sz="4" w:space="0" w:color="auto"/>
              <w:right w:val="single" w:sz="4" w:space="0" w:color="auto"/>
            </w:tcBorders>
            <w:shd w:val="clear" w:color="auto" w:fill="auto"/>
            <w:noWrap/>
            <w:hideMark/>
          </w:tcPr>
          <w:p w14:paraId="05A32A80" w14:textId="073E2FE2" w:rsidR="008F3032" w:rsidRPr="0082105F" w:rsidRDefault="008F3032" w:rsidP="008F3032">
            <w:pPr>
              <w:contextualSpacing/>
              <w:jc w:val="center"/>
              <w:rPr>
                <w:rFonts w:ascii="Arial Narrow" w:hAnsi="Arial Narrow" w:cs="Calibri"/>
                <w:color w:val="000000"/>
                <w:sz w:val="19"/>
                <w:szCs w:val="19"/>
                <w:highlight w:val="yellow"/>
              </w:rPr>
            </w:pPr>
            <w:r w:rsidRPr="000E536E">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5FA219DC" w14:textId="716DC916" w:rsidR="008F3032" w:rsidRPr="0082105F" w:rsidRDefault="008F3032" w:rsidP="008F3032">
            <w:pPr>
              <w:contextualSpacing/>
              <w:jc w:val="center"/>
              <w:rPr>
                <w:rFonts w:ascii="Arial Narrow" w:hAnsi="Arial Narrow" w:cs="Calibri"/>
                <w:color w:val="000000"/>
                <w:sz w:val="19"/>
                <w:szCs w:val="19"/>
                <w:highlight w:val="yellow"/>
              </w:rPr>
            </w:pPr>
            <w:r w:rsidRPr="000E536E">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68C6F0F3" w14:textId="05D10ACF" w:rsidR="008F3032" w:rsidRPr="0082105F" w:rsidRDefault="008F3032" w:rsidP="008F3032">
            <w:pPr>
              <w:contextualSpacing/>
              <w:jc w:val="center"/>
              <w:rPr>
                <w:rFonts w:ascii="Arial Narrow" w:hAnsi="Arial Narrow" w:cs="Calibri"/>
                <w:color w:val="000000"/>
                <w:sz w:val="19"/>
                <w:szCs w:val="19"/>
                <w:highlight w:val="yellow"/>
              </w:rPr>
            </w:pPr>
            <w:r w:rsidRPr="000E536E">
              <w:rPr>
                <w:rFonts w:ascii="Arial Narrow" w:hAnsi="Arial Narrow" w:cs="Calibri"/>
                <w:b/>
                <w:bCs/>
                <w:color w:val="000000"/>
                <w:sz w:val="19"/>
                <w:szCs w:val="19"/>
              </w:rPr>
              <w:t>REDACTED</w:t>
            </w:r>
          </w:p>
        </w:tc>
        <w:tc>
          <w:tcPr>
            <w:tcW w:w="1560" w:type="dxa"/>
            <w:tcBorders>
              <w:top w:val="nil"/>
              <w:left w:val="nil"/>
              <w:bottom w:val="single" w:sz="4" w:space="0" w:color="auto"/>
              <w:right w:val="single" w:sz="4" w:space="0" w:color="auto"/>
            </w:tcBorders>
            <w:shd w:val="clear" w:color="auto" w:fill="auto"/>
            <w:noWrap/>
            <w:hideMark/>
          </w:tcPr>
          <w:p w14:paraId="331686ED" w14:textId="6984FFB5" w:rsidR="008F3032" w:rsidRPr="0082105F" w:rsidRDefault="008F3032" w:rsidP="008F3032">
            <w:pPr>
              <w:contextualSpacing/>
              <w:jc w:val="center"/>
              <w:rPr>
                <w:rFonts w:ascii="Arial Narrow" w:hAnsi="Arial Narrow" w:cs="Calibri"/>
                <w:color w:val="000000"/>
                <w:sz w:val="19"/>
                <w:szCs w:val="19"/>
                <w:highlight w:val="yellow"/>
              </w:rPr>
            </w:pPr>
            <w:r w:rsidRPr="000E536E">
              <w:rPr>
                <w:rFonts w:ascii="Arial Narrow" w:hAnsi="Arial Narrow" w:cs="Calibri"/>
                <w:b/>
                <w:bCs/>
                <w:color w:val="000000"/>
                <w:sz w:val="19"/>
                <w:szCs w:val="19"/>
              </w:rPr>
              <w:t>REDACTED</w:t>
            </w:r>
          </w:p>
        </w:tc>
      </w:tr>
      <w:tr w:rsidR="008F3032" w:rsidRPr="001E7548" w14:paraId="66FBCFB6" w14:textId="77777777" w:rsidTr="00AB1909">
        <w:trPr>
          <w:gridAfter w:val="1"/>
          <w:wAfter w:w="9" w:type="dxa"/>
          <w:trHeight w:val="64"/>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D9BB0FC" w14:textId="1A67C196" w:rsidR="008F3032" w:rsidRPr="001E7548" w:rsidRDefault="00AD2A06" w:rsidP="008F3032">
            <w:pPr>
              <w:contextualSpacing/>
              <w:rPr>
                <w:rFonts w:ascii="Arial Narrow" w:hAnsi="Arial Narrow" w:cs="Calibri"/>
                <w:color w:val="000000"/>
                <w:sz w:val="19"/>
                <w:szCs w:val="19"/>
              </w:rPr>
            </w:pPr>
            <w:r w:rsidRPr="008F3032">
              <w:rPr>
                <w:rFonts w:ascii="Arial Narrow" w:hAnsi="Arial Narrow" w:cs="Calibri"/>
                <w:b/>
                <w:bCs/>
                <w:color w:val="000000"/>
                <w:sz w:val="19"/>
                <w:szCs w:val="19"/>
              </w:rPr>
              <w:lastRenderedPageBreak/>
              <w:t>REDACTED</w:t>
            </w:r>
            <w:r w:rsidRPr="001E7548">
              <w:rPr>
                <w:rFonts w:ascii="Arial Narrow" w:hAnsi="Arial Narrow" w:cs="Calibri"/>
                <w:color w:val="000000"/>
                <w:sz w:val="19"/>
                <w:szCs w:val="19"/>
              </w:rPr>
              <w:t xml:space="preserve"> </w:t>
            </w:r>
            <w:r w:rsidR="008F3032" w:rsidRPr="001E7548">
              <w:rPr>
                <w:rFonts w:ascii="Arial Narrow" w:hAnsi="Arial Narrow" w:cs="Calibri"/>
                <w:color w:val="000000"/>
                <w:sz w:val="19"/>
                <w:szCs w:val="19"/>
              </w:rPr>
              <w:t>% of ACI population double counted in RCI population</w:t>
            </w:r>
          </w:p>
        </w:tc>
        <w:tc>
          <w:tcPr>
            <w:tcW w:w="2409" w:type="dxa"/>
            <w:tcBorders>
              <w:top w:val="nil"/>
              <w:left w:val="nil"/>
              <w:bottom w:val="single" w:sz="4" w:space="0" w:color="auto"/>
              <w:right w:val="single" w:sz="4" w:space="0" w:color="auto"/>
            </w:tcBorders>
            <w:shd w:val="clear" w:color="auto" w:fill="auto"/>
            <w:vAlign w:val="center"/>
            <w:hideMark/>
          </w:tcPr>
          <w:p w14:paraId="38E19315" w14:textId="5B95DD70" w:rsidR="008F3032" w:rsidRPr="001E7548" w:rsidRDefault="008F3032" w:rsidP="008F3032">
            <w:pPr>
              <w:contextualSpacing/>
              <w:rPr>
                <w:rFonts w:ascii="Arial Narrow" w:hAnsi="Arial Narrow" w:cs="Calibri"/>
                <w:color w:val="000000"/>
                <w:sz w:val="19"/>
                <w:szCs w:val="19"/>
              </w:rPr>
            </w:pPr>
            <w:r w:rsidRPr="001E7548">
              <w:rPr>
                <w:rFonts w:ascii="Arial Narrow" w:hAnsi="Arial Narrow" w:cs="Calibri"/>
                <w:color w:val="000000"/>
                <w:sz w:val="19"/>
                <w:szCs w:val="19"/>
              </w:rPr>
              <w:t xml:space="preserve">Reduce ACI patient numbers by </w:t>
            </w:r>
            <w:r w:rsidR="00AD2A06" w:rsidRPr="008F3032">
              <w:rPr>
                <w:rFonts w:ascii="Arial Narrow" w:hAnsi="Arial Narrow" w:cs="Calibri"/>
                <w:b/>
                <w:bCs/>
                <w:color w:val="000000"/>
                <w:sz w:val="19"/>
                <w:szCs w:val="19"/>
              </w:rPr>
              <w:t>REDACTED</w:t>
            </w:r>
            <w:r w:rsidR="00AD2A06" w:rsidRPr="001E7548">
              <w:rPr>
                <w:rFonts w:ascii="Arial Narrow" w:hAnsi="Arial Narrow" w:cs="Calibri"/>
                <w:color w:val="000000"/>
                <w:sz w:val="19"/>
                <w:szCs w:val="19"/>
              </w:rPr>
              <w:t xml:space="preserve"> </w:t>
            </w:r>
            <w:r w:rsidRPr="001E7548">
              <w:rPr>
                <w:rFonts w:ascii="Arial Narrow" w:hAnsi="Arial Narrow" w:cs="Calibri"/>
                <w:color w:val="000000"/>
                <w:sz w:val="19"/>
                <w:szCs w:val="19"/>
              </w:rPr>
              <w:t>%</w:t>
            </w:r>
          </w:p>
        </w:tc>
        <w:tc>
          <w:tcPr>
            <w:tcW w:w="1559" w:type="dxa"/>
            <w:tcBorders>
              <w:top w:val="nil"/>
              <w:left w:val="nil"/>
              <w:bottom w:val="single" w:sz="4" w:space="0" w:color="auto"/>
              <w:right w:val="single" w:sz="4" w:space="0" w:color="auto"/>
            </w:tcBorders>
            <w:shd w:val="clear" w:color="auto" w:fill="auto"/>
            <w:noWrap/>
            <w:hideMark/>
          </w:tcPr>
          <w:p w14:paraId="40D46DD0" w14:textId="1BCB47C0" w:rsidR="008F3032" w:rsidRPr="0082105F" w:rsidRDefault="008F3032" w:rsidP="008F3032">
            <w:pPr>
              <w:contextualSpacing/>
              <w:jc w:val="center"/>
              <w:rPr>
                <w:rFonts w:ascii="Arial Narrow" w:hAnsi="Arial Narrow" w:cs="Calibri"/>
                <w:color w:val="000000"/>
                <w:sz w:val="19"/>
                <w:szCs w:val="19"/>
                <w:highlight w:val="yellow"/>
              </w:rPr>
            </w:pPr>
            <w:r w:rsidRPr="000E536E">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30858E98" w14:textId="6C1A82CC" w:rsidR="008F3032" w:rsidRPr="0082105F" w:rsidRDefault="008F3032" w:rsidP="008F3032">
            <w:pPr>
              <w:contextualSpacing/>
              <w:jc w:val="center"/>
              <w:rPr>
                <w:rFonts w:ascii="Arial Narrow" w:hAnsi="Arial Narrow" w:cs="Calibri"/>
                <w:color w:val="000000"/>
                <w:sz w:val="19"/>
                <w:szCs w:val="19"/>
                <w:highlight w:val="yellow"/>
              </w:rPr>
            </w:pPr>
            <w:r w:rsidRPr="000E536E">
              <w:rPr>
                <w:rFonts w:ascii="Arial Narrow" w:hAnsi="Arial Narrow" w:cs="Calibri"/>
                <w:b/>
                <w:bCs/>
                <w:color w:val="000000"/>
                <w:sz w:val="19"/>
                <w:szCs w:val="19"/>
              </w:rPr>
              <w:t>REDACTED</w:t>
            </w:r>
          </w:p>
        </w:tc>
        <w:tc>
          <w:tcPr>
            <w:tcW w:w="1701" w:type="dxa"/>
            <w:tcBorders>
              <w:top w:val="nil"/>
              <w:left w:val="nil"/>
              <w:bottom w:val="single" w:sz="4" w:space="0" w:color="auto"/>
              <w:right w:val="single" w:sz="4" w:space="0" w:color="auto"/>
            </w:tcBorders>
            <w:shd w:val="clear" w:color="auto" w:fill="auto"/>
            <w:noWrap/>
            <w:hideMark/>
          </w:tcPr>
          <w:p w14:paraId="0EBC2262" w14:textId="08DA2948" w:rsidR="008F3032" w:rsidRPr="0082105F" w:rsidRDefault="008F3032" w:rsidP="008F3032">
            <w:pPr>
              <w:contextualSpacing/>
              <w:jc w:val="center"/>
              <w:rPr>
                <w:rFonts w:ascii="Arial Narrow" w:hAnsi="Arial Narrow" w:cs="Calibri"/>
                <w:color w:val="000000"/>
                <w:sz w:val="19"/>
                <w:szCs w:val="19"/>
                <w:highlight w:val="yellow"/>
              </w:rPr>
            </w:pPr>
            <w:r w:rsidRPr="000E536E">
              <w:rPr>
                <w:rFonts w:ascii="Arial Narrow" w:hAnsi="Arial Narrow" w:cs="Calibri"/>
                <w:b/>
                <w:bCs/>
                <w:color w:val="000000"/>
                <w:sz w:val="19"/>
                <w:szCs w:val="19"/>
              </w:rPr>
              <w:t>REDACTED</w:t>
            </w:r>
          </w:p>
        </w:tc>
        <w:tc>
          <w:tcPr>
            <w:tcW w:w="1418" w:type="dxa"/>
            <w:tcBorders>
              <w:top w:val="nil"/>
              <w:left w:val="nil"/>
              <w:bottom w:val="single" w:sz="4" w:space="0" w:color="auto"/>
              <w:right w:val="single" w:sz="4" w:space="0" w:color="auto"/>
            </w:tcBorders>
            <w:shd w:val="clear" w:color="auto" w:fill="auto"/>
            <w:noWrap/>
            <w:hideMark/>
          </w:tcPr>
          <w:p w14:paraId="627FAFD0" w14:textId="103E9ABD" w:rsidR="008F3032" w:rsidRPr="0082105F" w:rsidRDefault="008F3032" w:rsidP="008F3032">
            <w:pPr>
              <w:contextualSpacing/>
              <w:jc w:val="center"/>
              <w:rPr>
                <w:rFonts w:ascii="Arial Narrow" w:hAnsi="Arial Narrow" w:cs="Calibri"/>
                <w:color w:val="000000"/>
                <w:sz w:val="19"/>
                <w:szCs w:val="19"/>
                <w:highlight w:val="yellow"/>
              </w:rPr>
            </w:pPr>
            <w:r w:rsidRPr="000E536E">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5788B0D4" w14:textId="6ED43D6D" w:rsidR="008F3032" w:rsidRPr="0082105F" w:rsidRDefault="008F3032" w:rsidP="008F3032">
            <w:pPr>
              <w:contextualSpacing/>
              <w:jc w:val="center"/>
              <w:rPr>
                <w:rFonts w:ascii="Arial Narrow" w:hAnsi="Arial Narrow" w:cs="Calibri"/>
                <w:color w:val="000000"/>
                <w:sz w:val="19"/>
                <w:szCs w:val="19"/>
                <w:highlight w:val="yellow"/>
              </w:rPr>
            </w:pPr>
            <w:r w:rsidRPr="000E536E">
              <w:rPr>
                <w:rFonts w:ascii="Arial Narrow" w:hAnsi="Arial Narrow" w:cs="Calibri"/>
                <w:b/>
                <w:bCs/>
                <w:color w:val="000000"/>
                <w:sz w:val="19"/>
                <w:szCs w:val="19"/>
              </w:rPr>
              <w:t>REDACTED</w:t>
            </w:r>
          </w:p>
        </w:tc>
        <w:tc>
          <w:tcPr>
            <w:tcW w:w="1559" w:type="dxa"/>
            <w:tcBorders>
              <w:top w:val="nil"/>
              <w:left w:val="nil"/>
              <w:bottom w:val="single" w:sz="4" w:space="0" w:color="auto"/>
              <w:right w:val="single" w:sz="4" w:space="0" w:color="auto"/>
            </w:tcBorders>
            <w:shd w:val="clear" w:color="auto" w:fill="auto"/>
            <w:noWrap/>
            <w:hideMark/>
          </w:tcPr>
          <w:p w14:paraId="31F48EEE" w14:textId="550077D1" w:rsidR="008F3032" w:rsidRPr="0082105F" w:rsidRDefault="008F3032" w:rsidP="008F3032">
            <w:pPr>
              <w:contextualSpacing/>
              <w:jc w:val="center"/>
              <w:rPr>
                <w:rFonts w:ascii="Arial Narrow" w:hAnsi="Arial Narrow" w:cs="Calibri"/>
                <w:color w:val="000000"/>
                <w:sz w:val="19"/>
                <w:szCs w:val="19"/>
                <w:highlight w:val="yellow"/>
              </w:rPr>
            </w:pPr>
            <w:r w:rsidRPr="000E536E">
              <w:rPr>
                <w:rFonts w:ascii="Arial Narrow" w:hAnsi="Arial Narrow" w:cs="Calibri"/>
                <w:b/>
                <w:bCs/>
                <w:color w:val="000000"/>
                <w:sz w:val="19"/>
                <w:szCs w:val="19"/>
              </w:rPr>
              <w:t>REDACTED</w:t>
            </w:r>
          </w:p>
        </w:tc>
        <w:tc>
          <w:tcPr>
            <w:tcW w:w="1560" w:type="dxa"/>
            <w:tcBorders>
              <w:top w:val="nil"/>
              <w:left w:val="nil"/>
              <w:bottom w:val="single" w:sz="4" w:space="0" w:color="auto"/>
              <w:right w:val="single" w:sz="4" w:space="0" w:color="auto"/>
            </w:tcBorders>
            <w:shd w:val="clear" w:color="auto" w:fill="auto"/>
            <w:noWrap/>
            <w:hideMark/>
          </w:tcPr>
          <w:p w14:paraId="0E1C191B" w14:textId="32E0DE4C" w:rsidR="008F3032" w:rsidRPr="0082105F" w:rsidRDefault="008F3032" w:rsidP="008F3032">
            <w:pPr>
              <w:contextualSpacing/>
              <w:jc w:val="center"/>
              <w:rPr>
                <w:rFonts w:ascii="Arial Narrow" w:hAnsi="Arial Narrow" w:cs="Calibri"/>
                <w:color w:val="000000"/>
                <w:sz w:val="19"/>
                <w:szCs w:val="19"/>
                <w:highlight w:val="yellow"/>
              </w:rPr>
            </w:pPr>
            <w:r w:rsidRPr="000E536E">
              <w:rPr>
                <w:rFonts w:ascii="Arial Narrow" w:hAnsi="Arial Narrow" w:cs="Calibri"/>
                <w:b/>
                <w:bCs/>
                <w:color w:val="000000"/>
                <w:sz w:val="19"/>
                <w:szCs w:val="19"/>
              </w:rPr>
              <w:t>REDACTED</w:t>
            </w:r>
          </w:p>
        </w:tc>
      </w:tr>
    </w:tbl>
    <w:p w14:paraId="66984386" w14:textId="65B2B786" w:rsidR="008275A0" w:rsidRPr="008275A0" w:rsidRDefault="008275A0" w:rsidP="008275A0">
      <w:pPr>
        <w:pStyle w:val="Tablenote"/>
        <w:rPr>
          <w:rFonts w:ascii="Arial Narrow" w:hAnsi="Arial Narrow"/>
          <w:sz w:val="18"/>
          <w:szCs w:val="18"/>
        </w:rPr>
      </w:pPr>
      <w:r w:rsidRPr="008275A0">
        <w:rPr>
          <w:rFonts w:ascii="Arial Narrow" w:hAnsi="Arial Narrow"/>
          <w:sz w:val="18"/>
          <w:szCs w:val="18"/>
        </w:rPr>
        <w:t>Source: Table 3, p7 of the pre-MSAC response</w:t>
      </w:r>
    </w:p>
    <w:p w14:paraId="655C6E14" w14:textId="7D0FEA31" w:rsidR="008275A0" w:rsidRPr="008275A0" w:rsidRDefault="008275A0" w:rsidP="008275A0">
      <w:pPr>
        <w:pStyle w:val="Tablenote"/>
        <w:numPr>
          <w:ilvl w:val="0"/>
          <w:numId w:val="39"/>
        </w:numPr>
        <w:ind w:left="426"/>
        <w:rPr>
          <w:rFonts w:ascii="Arial Narrow" w:hAnsi="Arial Narrow"/>
          <w:sz w:val="18"/>
          <w:szCs w:val="18"/>
        </w:rPr>
      </w:pPr>
      <w:r w:rsidRPr="008275A0">
        <w:rPr>
          <w:rFonts w:ascii="Arial Narrow" w:hAnsi="Arial Narrow"/>
          <w:sz w:val="18"/>
          <w:szCs w:val="18"/>
        </w:rPr>
        <w:t>In these calculations LAAC procedures include all projected LAAC procedures to take place over the next six years under the current MBS listing (4,097) in addition to procedures conducted in the expanded ACI and RCI populations. The number of DOAC treated patients over the next 5 years was estimated to be 600,000 patients. This estimate is derived by factoring the prevalent NOAC treated patients reported in the 2016 DUSC review of NOAC utilisation (approx. 200,000 patients in 2015 based on 2 million scripts dispensed that year) by the annual number of scripts expected to be dispensed between 2021 and 2026 (5.3 million scripts dispensed in 202o, projected to be approximately 6 million annually between 2021 and 2026</w:t>
      </w:r>
    </w:p>
    <w:p w14:paraId="45D39C5E" w14:textId="77777777" w:rsidR="008275A0" w:rsidRDefault="008275A0" w:rsidP="008275A0">
      <w:pPr>
        <w:sectPr w:rsidR="008275A0" w:rsidSect="008275A0">
          <w:pgSz w:w="16838" w:h="11906" w:orient="landscape"/>
          <w:pgMar w:top="1440" w:right="1134" w:bottom="1440" w:left="425" w:header="709" w:footer="709" w:gutter="0"/>
          <w:cols w:space="708"/>
          <w:docGrid w:linePitch="360"/>
        </w:sectPr>
      </w:pPr>
    </w:p>
    <w:p w14:paraId="52251C3F" w14:textId="77777777" w:rsidR="00AC1DAF" w:rsidRPr="00AC1DAF" w:rsidRDefault="006A0D97" w:rsidP="00AC1DAF">
      <w:pPr>
        <w:pStyle w:val="Heading1"/>
      </w:pPr>
      <w:r w:rsidRPr="00F715D1">
        <w:lastRenderedPageBreak/>
        <w:t>Key issues from ESC for MSAC</w:t>
      </w:r>
    </w:p>
    <w:tbl>
      <w:tblPr>
        <w:tblStyle w:val="TableGrid3"/>
        <w:tblW w:w="0" w:type="auto"/>
        <w:tblLook w:val="04A0" w:firstRow="1" w:lastRow="0" w:firstColumn="1" w:lastColumn="0" w:noHBand="0" w:noVBand="1"/>
        <w:tblDescription w:val="Key issues from ESC for MSAC consideration"/>
      </w:tblPr>
      <w:tblGrid>
        <w:gridCol w:w="2802"/>
        <w:gridCol w:w="6214"/>
      </w:tblGrid>
      <w:tr w:rsidR="00AC1DAF" w:rsidRPr="00313196" w14:paraId="4DDBB8B2" w14:textId="77777777" w:rsidTr="00511ED5">
        <w:trPr>
          <w:tblHeader/>
        </w:trPr>
        <w:tc>
          <w:tcPr>
            <w:tcW w:w="2802" w:type="dxa"/>
          </w:tcPr>
          <w:p w14:paraId="74B981E3" w14:textId="77777777" w:rsidR="00AC1DAF" w:rsidRPr="00313196" w:rsidRDefault="00AC1DAF" w:rsidP="00E93186">
            <w:pPr>
              <w:spacing w:before="60" w:after="60"/>
              <w:rPr>
                <w:b/>
                <w:bCs/>
                <w:color w:val="000000"/>
                <w:sz w:val="21"/>
                <w:szCs w:val="21"/>
              </w:rPr>
            </w:pPr>
            <w:r w:rsidRPr="00313196">
              <w:rPr>
                <w:b/>
                <w:bCs/>
                <w:color w:val="000000"/>
                <w:sz w:val="21"/>
                <w:szCs w:val="21"/>
              </w:rPr>
              <w:t>ESC key issue</w:t>
            </w:r>
          </w:p>
        </w:tc>
        <w:tc>
          <w:tcPr>
            <w:tcW w:w="6214" w:type="dxa"/>
          </w:tcPr>
          <w:p w14:paraId="0BB8DBFA" w14:textId="77777777" w:rsidR="00AC1DAF" w:rsidRPr="00313196" w:rsidRDefault="00AC1DAF" w:rsidP="00E93186">
            <w:pPr>
              <w:spacing w:before="60" w:after="60"/>
              <w:rPr>
                <w:b/>
                <w:bCs/>
                <w:color w:val="000000"/>
                <w:sz w:val="21"/>
                <w:szCs w:val="21"/>
              </w:rPr>
            </w:pPr>
            <w:r w:rsidRPr="00313196">
              <w:rPr>
                <w:b/>
                <w:bCs/>
                <w:color w:val="000000"/>
                <w:sz w:val="21"/>
                <w:szCs w:val="21"/>
              </w:rPr>
              <w:t>ESC advice to MSAC</w:t>
            </w:r>
          </w:p>
        </w:tc>
      </w:tr>
      <w:tr w:rsidR="00AC1DAF" w:rsidRPr="00313196" w14:paraId="337CB877" w14:textId="77777777" w:rsidTr="00E93186">
        <w:trPr>
          <w:trHeight w:val="95"/>
        </w:trPr>
        <w:tc>
          <w:tcPr>
            <w:tcW w:w="2802" w:type="dxa"/>
          </w:tcPr>
          <w:p w14:paraId="01496B52" w14:textId="77777777" w:rsidR="00AC1DAF" w:rsidRPr="00313196" w:rsidRDefault="00AC1DAF" w:rsidP="00E93186">
            <w:pPr>
              <w:spacing w:before="60" w:after="60"/>
              <w:rPr>
                <w:color w:val="000000"/>
                <w:sz w:val="21"/>
                <w:szCs w:val="21"/>
              </w:rPr>
            </w:pPr>
            <w:r w:rsidRPr="00313196">
              <w:rPr>
                <w:color w:val="000000"/>
                <w:sz w:val="21"/>
                <w:szCs w:val="21"/>
              </w:rPr>
              <w:t>“Relative contraindication” group almost impossible to define</w:t>
            </w:r>
          </w:p>
        </w:tc>
        <w:tc>
          <w:tcPr>
            <w:tcW w:w="6214" w:type="dxa"/>
          </w:tcPr>
          <w:p w14:paraId="78A6D66B" w14:textId="77777777" w:rsidR="00AC1DAF" w:rsidRDefault="00AC1DAF" w:rsidP="00E93186">
            <w:pPr>
              <w:spacing w:before="60" w:after="60"/>
              <w:rPr>
                <w:color w:val="000000"/>
                <w:sz w:val="21"/>
                <w:szCs w:val="21"/>
              </w:rPr>
            </w:pPr>
            <w:r>
              <w:rPr>
                <w:color w:val="000000"/>
                <w:sz w:val="21"/>
                <w:szCs w:val="21"/>
              </w:rPr>
              <w:t>The relative contraindication,</w:t>
            </w:r>
            <w:r w:rsidRPr="0033113E">
              <w:rPr>
                <w:color w:val="000000"/>
                <w:sz w:val="21"/>
                <w:szCs w:val="21"/>
              </w:rPr>
              <w:t xml:space="preserve"> “previous major bleeding complication” without the requirement to be experienced while undergoing treatment with </w:t>
            </w:r>
            <w:r>
              <w:rPr>
                <w:color w:val="000000"/>
                <w:sz w:val="21"/>
                <w:szCs w:val="21"/>
              </w:rPr>
              <w:t>anticoagulation,</w:t>
            </w:r>
            <w:r w:rsidRPr="0033113E">
              <w:rPr>
                <w:color w:val="000000"/>
                <w:sz w:val="21"/>
                <w:szCs w:val="21"/>
              </w:rPr>
              <w:t xml:space="preserve"> </w:t>
            </w:r>
            <w:r>
              <w:rPr>
                <w:color w:val="000000"/>
                <w:sz w:val="21"/>
                <w:szCs w:val="21"/>
              </w:rPr>
              <w:t xml:space="preserve">would </w:t>
            </w:r>
            <w:r w:rsidRPr="0033113E">
              <w:rPr>
                <w:color w:val="000000"/>
                <w:sz w:val="21"/>
                <w:szCs w:val="21"/>
              </w:rPr>
              <w:t xml:space="preserve">be open to interpretation and poses a </w:t>
            </w:r>
            <w:r>
              <w:rPr>
                <w:color w:val="000000"/>
                <w:sz w:val="21"/>
                <w:szCs w:val="21"/>
              </w:rPr>
              <w:t xml:space="preserve">significant </w:t>
            </w:r>
            <w:r w:rsidRPr="0033113E">
              <w:rPr>
                <w:color w:val="000000"/>
                <w:sz w:val="21"/>
                <w:szCs w:val="21"/>
              </w:rPr>
              <w:t xml:space="preserve">risk for the service to be used outside of the intended </w:t>
            </w:r>
            <w:r>
              <w:rPr>
                <w:color w:val="000000"/>
                <w:sz w:val="21"/>
                <w:szCs w:val="21"/>
              </w:rPr>
              <w:t>population.</w:t>
            </w:r>
          </w:p>
        </w:tc>
      </w:tr>
      <w:tr w:rsidR="00AC1DAF" w:rsidRPr="00313196" w14:paraId="1F079299" w14:textId="77777777" w:rsidTr="00E93186">
        <w:trPr>
          <w:trHeight w:val="95"/>
        </w:trPr>
        <w:tc>
          <w:tcPr>
            <w:tcW w:w="2802" w:type="dxa"/>
          </w:tcPr>
          <w:p w14:paraId="52BD7A55" w14:textId="77777777" w:rsidR="00AC1DAF" w:rsidRPr="00313196" w:rsidRDefault="00AC1DAF" w:rsidP="00E93186">
            <w:pPr>
              <w:spacing w:before="60" w:after="60"/>
              <w:rPr>
                <w:color w:val="000000"/>
                <w:sz w:val="21"/>
                <w:szCs w:val="21"/>
              </w:rPr>
            </w:pPr>
            <w:r>
              <w:rPr>
                <w:color w:val="000000"/>
                <w:sz w:val="21"/>
                <w:szCs w:val="21"/>
              </w:rPr>
              <w:t>Whether the proposed absolute contraindications are appropriate</w:t>
            </w:r>
          </w:p>
        </w:tc>
        <w:tc>
          <w:tcPr>
            <w:tcW w:w="6214" w:type="dxa"/>
          </w:tcPr>
          <w:p w14:paraId="4A0AE532" w14:textId="77777777" w:rsidR="00AC1DAF" w:rsidRDefault="00AC1DAF" w:rsidP="00E93186">
            <w:pPr>
              <w:pStyle w:val="CommentText"/>
              <w:rPr>
                <w:color w:val="000000"/>
                <w:sz w:val="21"/>
                <w:szCs w:val="21"/>
              </w:rPr>
            </w:pPr>
            <w:r>
              <w:rPr>
                <w:color w:val="000000"/>
                <w:sz w:val="21"/>
                <w:szCs w:val="21"/>
              </w:rPr>
              <w:t xml:space="preserve">It is unclear if the proposed contraindications are in fact an </w:t>
            </w:r>
            <w:r w:rsidRPr="00336DE7">
              <w:rPr>
                <w:color w:val="000000"/>
                <w:sz w:val="21"/>
                <w:szCs w:val="21"/>
              </w:rPr>
              <w:t xml:space="preserve">absolute contraindication that would prevent a patient from commencing or recommencing lifelong </w:t>
            </w:r>
            <w:r w:rsidRPr="00745107">
              <w:rPr>
                <w:color w:val="000000"/>
                <w:sz w:val="21"/>
                <w:szCs w:val="21"/>
              </w:rPr>
              <w:t>anticoagulation</w:t>
            </w:r>
            <w:r w:rsidRPr="00336DE7">
              <w:rPr>
                <w:color w:val="000000"/>
                <w:sz w:val="21"/>
                <w:szCs w:val="21"/>
              </w:rPr>
              <w:t xml:space="preserve"> for stroke prevention</w:t>
            </w:r>
            <w:r>
              <w:rPr>
                <w:color w:val="000000"/>
                <w:sz w:val="21"/>
                <w:szCs w:val="21"/>
              </w:rPr>
              <w:t>.</w:t>
            </w:r>
            <w:r w:rsidRPr="00336DE7">
              <w:rPr>
                <w:color w:val="000000"/>
                <w:sz w:val="21"/>
                <w:szCs w:val="21"/>
              </w:rPr>
              <w:t xml:space="preserve"> </w:t>
            </w:r>
            <w:r>
              <w:rPr>
                <w:color w:val="000000"/>
                <w:sz w:val="21"/>
                <w:szCs w:val="21"/>
              </w:rPr>
              <w:t>T</w:t>
            </w:r>
            <w:r w:rsidRPr="00336DE7">
              <w:rPr>
                <w:color w:val="000000"/>
                <w:sz w:val="21"/>
                <w:szCs w:val="21"/>
              </w:rPr>
              <w:t xml:space="preserve">argeted consultation with clinical societies </w:t>
            </w:r>
            <w:r>
              <w:rPr>
                <w:color w:val="000000"/>
                <w:sz w:val="21"/>
                <w:szCs w:val="21"/>
              </w:rPr>
              <w:t xml:space="preserve">is required </w:t>
            </w:r>
            <w:r w:rsidRPr="00336DE7">
              <w:rPr>
                <w:color w:val="000000"/>
                <w:sz w:val="21"/>
                <w:szCs w:val="21"/>
              </w:rPr>
              <w:t xml:space="preserve">to seek their clinical experience on how patients with these conditions are currently managed in clinical practice when they require </w:t>
            </w:r>
            <w:r>
              <w:rPr>
                <w:color w:val="000000"/>
                <w:sz w:val="21"/>
                <w:szCs w:val="21"/>
              </w:rPr>
              <w:t>anticoagulation</w:t>
            </w:r>
            <w:r w:rsidRPr="00336DE7">
              <w:rPr>
                <w:color w:val="000000"/>
                <w:sz w:val="21"/>
                <w:szCs w:val="21"/>
              </w:rPr>
              <w:t xml:space="preserve"> for stroke prevention</w:t>
            </w:r>
            <w:r>
              <w:rPr>
                <w:color w:val="000000"/>
                <w:sz w:val="21"/>
                <w:szCs w:val="21"/>
              </w:rPr>
              <w:t>.</w:t>
            </w:r>
          </w:p>
        </w:tc>
      </w:tr>
      <w:tr w:rsidR="00AC1DAF" w:rsidRPr="00313196" w14:paraId="7256CA92" w14:textId="77777777" w:rsidTr="00E93186">
        <w:trPr>
          <w:trHeight w:val="95"/>
        </w:trPr>
        <w:tc>
          <w:tcPr>
            <w:tcW w:w="2802" w:type="dxa"/>
          </w:tcPr>
          <w:p w14:paraId="008FAC7C" w14:textId="77777777" w:rsidR="00AC1DAF" w:rsidRPr="00313196" w:rsidRDefault="00AC1DAF" w:rsidP="00E93186">
            <w:pPr>
              <w:spacing w:before="60" w:after="60"/>
              <w:rPr>
                <w:color w:val="000000"/>
                <w:sz w:val="21"/>
                <w:szCs w:val="21"/>
              </w:rPr>
            </w:pPr>
            <w:r w:rsidRPr="00313196">
              <w:rPr>
                <w:color w:val="000000"/>
                <w:sz w:val="21"/>
                <w:szCs w:val="21"/>
              </w:rPr>
              <w:t>No evidence from RCT to support superior safety</w:t>
            </w:r>
          </w:p>
        </w:tc>
        <w:tc>
          <w:tcPr>
            <w:tcW w:w="6214" w:type="dxa"/>
          </w:tcPr>
          <w:p w14:paraId="22D8CDAA" w14:textId="77777777" w:rsidR="00AC1DAF" w:rsidRPr="00313196" w:rsidRDefault="00AC1DAF" w:rsidP="00E93186">
            <w:pPr>
              <w:spacing w:before="60" w:after="60"/>
              <w:rPr>
                <w:color w:val="000000"/>
                <w:sz w:val="21"/>
                <w:szCs w:val="21"/>
              </w:rPr>
            </w:pPr>
            <w:r>
              <w:rPr>
                <w:color w:val="000000"/>
                <w:sz w:val="21"/>
                <w:szCs w:val="21"/>
              </w:rPr>
              <w:t>The one trial (PRAGUE-17) directly comparing LAAC and DOACs demonstrated no difference in the overall bleeding risk (i.e. procedural + post-procedural bleeding rates). The applicant’s clinical claim of superior safety is based on post-procedural bleeding rates only,</w:t>
            </w:r>
            <w:r w:rsidRPr="00313196">
              <w:rPr>
                <w:color w:val="000000"/>
                <w:sz w:val="21"/>
                <w:szCs w:val="21"/>
              </w:rPr>
              <w:t xml:space="preserve"> biasing in favour of the device.</w:t>
            </w:r>
          </w:p>
        </w:tc>
      </w:tr>
      <w:tr w:rsidR="00AC1DAF" w:rsidRPr="00313196" w14:paraId="76021B22" w14:textId="77777777" w:rsidTr="00E93186">
        <w:trPr>
          <w:trHeight w:val="95"/>
        </w:trPr>
        <w:tc>
          <w:tcPr>
            <w:tcW w:w="2802" w:type="dxa"/>
            <w:hideMark/>
          </w:tcPr>
          <w:p w14:paraId="06A64A40" w14:textId="77777777" w:rsidR="00AC1DAF" w:rsidRPr="00313196" w:rsidRDefault="00AC1DAF" w:rsidP="00E93186">
            <w:pPr>
              <w:spacing w:before="60" w:after="60"/>
              <w:rPr>
                <w:color w:val="000000"/>
                <w:sz w:val="21"/>
                <w:szCs w:val="21"/>
              </w:rPr>
            </w:pPr>
            <w:r w:rsidRPr="00313196">
              <w:rPr>
                <w:color w:val="000000"/>
                <w:sz w:val="21"/>
                <w:szCs w:val="21"/>
              </w:rPr>
              <w:t xml:space="preserve">No evidence </w:t>
            </w:r>
            <w:r>
              <w:rPr>
                <w:color w:val="000000"/>
                <w:sz w:val="21"/>
                <w:szCs w:val="21"/>
              </w:rPr>
              <w:t>from RCT to support non-inferior</w:t>
            </w:r>
            <w:r w:rsidRPr="00313196">
              <w:rPr>
                <w:color w:val="000000"/>
                <w:sz w:val="21"/>
                <w:szCs w:val="21"/>
              </w:rPr>
              <w:t xml:space="preserve"> efficacy </w:t>
            </w:r>
          </w:p>
        </w:tc>
        <w:tc>
          <w:tcPr>
            <w:tcW w:w="6214" w:type="dxa"/>
            <w:hideMark/>
          </w:tcPr>
          <w:p w14:paraId="347B3737" w14:textId="77777777" w:rsidR="00AC1DAF" w:rsidRPr="00313196" w:rsidRDefault="00AC1DAF" w:rsidP="00E93186">
            <w:pPr>
              <w:spacing w:before="60" w:after="60"/>
              <w:rPr>
                <w:color w:val="000000"/>
                <w:sz w:val="21"/>
                <w:szCs w:val="21"/>
              </w:rPr>
            </w:pPr>
            <w:r w:rsidRPr="00313196">
              <w:rPr>
                <w:color w:val="000000"/>
                <w:sz w:val="21"/>
                <w:szCs w:val="21"/>
              </w:rPr>
              <w:t>The</w:t>
            </w:r>
            <w:r>
              <w:rPr>
                <w:color w:val="000000"/>
                <w:sz w:val="21"/>
                <w:szCs w:val="21"/>
              </w:rPr>
              <w:t xml:space="preserve"> primary outcome of the PRAGUE-17 trial was a composite outcome of safety and efficacy endpoints that was </w:t>
            </w:r>
            <w:r w:rsidRPr="00313196">
              <w:rPr>
                <w:color w:val="000000"/>
                <w:sz w:val="21"/>
                <w:szCs w:val="21"/>
              </w:rPr>
              <w:t xml:space="preserve">underpowered for individual </w:t>
            </w:r>
            <w:r>
              <w:rPr>
                <w:color w:val="000000"/>
                <w:sz w:val="21"/>
                <w:szCs w:val="21"/>
              </w:rPr>
              <w:t xml:space="preserve">efficacy </w:t>
            </w:r>
            <w:r w:rsidRPr="00313196">
              <w:rPr>
                <w:color w:val="000000"/>
                <w:sz w:val="21"/>
                <w:szCs w:val="21"/>
              </w:rPr>
              <w:t>endpoints.</w:t>
            </w:r>
          </w:p>
        </w:tc>
      </w:tr>
      <w:tr w:rsidR="00AC1DAF" w:rsidRPr="00313196" w14:paraId="0C1B5015" w14:textId="77777777" w:rsidTr="00E93186">
        <w:trPr>
          <w:trHeight w:val="329"/>
        </w:trPr>
        <w:tc>
          <w:tcPr>
            <w:tcW w:w="2802" w:type="dxa"/>
            <w:hideMark/>
          </w:tcPr>
          <w:p w14:paraId="49D7E59B" w14:textId="77777777" w:rsidR="00AC1DAF" w:rsidRPr="00313196" w:rsidRDefault="00AC1DAF" w:rsidP="00E93186">
            <w:pPr>
              <w:spacing w:before="60" w:after="60"/>
              <w:rPr>
                <w:color w:val="000000"/>
                <w:sz w:val="21"/>
                <w:szCs w:val="21"/>
              </w:rPr>
            </w:pPr>
            <w:r w:rsidRPr="00313196">
              <w:rPr>
                <w:color w:val="000000"/>
                <w:sz w:val="21"/>
                <w:szCs w:val="21"/>
              </w:rPr>
              <w:t>Unknown long term safety profile</w:t>
            </w:r>
          </w:p>
        </w:tc>
        <w:tc>
          <w:tcPr>
            <w:tcW w:w="6214" w:type="dxa"/>
            <w:hideMark/>
          </w:tcPr>
          <w:p w14:paraId="7A9047B1" w14:textId="77777777" w:rsidR="00AC1DAF" w:rsidRPr="00313196" w:rsidRDefault="00AC1DAF" w:rsidP="00E93186">
            <w:pPr>
              <w:spacing w:before="60" w:after="60"/>
              <w:rPr>
                <w:color w:val="000000"/>
                <w:sz w:val="21"/>
                <w:szCs w:val="21"/>
              </w:rPr>
            </w:pPr>
            <w:r w:rsidRPr="00313196">
              <w:rPr>
                <w:color w:val="000000"/>
                <w:sz w:val="21"/>
                <w:szCs w:val="21"/>
              </w:rPr>
              <w:t xml:space="preserve">Extensive trial and clinical experience with </w:t>
            </w:r>
            <w:r>
              <w:rPr>
                <w:color w:val="000000"/>
                <w:sz w:val="21"/>
                <w:szCs w:val="21"/>
              </w:rPr>
              <w:t>D</w:t>
            </w:r>
            <w:r w:rsidRPr="00313196">
              <w:rPr>
                <w:color w:val="000000"/>
                <w:sz w:val="21"/>
                <w:szCs w:val="21"/>
              </w:rPr>
              <w:t xml:space="preserve">OACs and their adverse events profile is well understood; </w:t>
            </w:r>
            <w:r>
              <w:rPr>
                <w:color w:val="000000"/>
                <w:sz w:val="21"/>
                <w:szCs w:val="21"/>
              </w:rPr>
              <w:t xml:space="preserve">however, the </w:t>
            </w:r>
            <w:r w:rsidRPr="00313196">
              <w:rPr>
                <w:color w:val="000000"/>
                <w:sz w:val="21"/>
                <w:szCs w:val="21"/>
              </w:rPr>
              <w:t>long-term complications with LAAC devices are unknown.</w:t>
            </w:r>
          </w:p>
        </w:tc>
      </w:tr>
      <w:tr w:rsidR="00AC1DAF" w:rsidRPr="00313196" w14:paraId="650BA744" w14:textId="77777777" w:rsidTr="00E93186">
        <w:trPr>
          <w:trHeight w:val="852"/>
        </w:trPr>
        <w:tc>
          <w:tcPr>
            <w:tcW w:w="2802" w:type="dxa"/>
            <w:hideMark/>
          </w:tcPr>
          <w:p w14:paraId="0EDBF5FF" w14:textId="77777777" w:rsidR="00AC1DAF" w:rsidRPr="00313196" w:rsidRDefault="00AC1DAF" w:rsidP="00E93186">
            <w:pPr>
              <w:spacing w:before="60" w:after="60"/>
              <w:rPr>
                <w:color w:val="000000"/>
                <w:sz w:val="21"/>
                <w:szCs w:val="21"/>
              </w:rPr>
            </w:pPr>
            <w:r>
              <w:rPr>
                <w:color w:val="000000"/>
                <w:sz w:val="21"/>
                <w:szCs w:val="21"/>
              </w:rPr>
              <w:t>Whether</w:t>
            </w:r>
            <w:r w:rsidRPr="00313196">
              <w:rPr>
                <w:color w:val="000000"/>
                <w:sz w:val="21"/>
                <w:szCs w:val="21"/>
              </w:rPr>
              <w:t xml:space="preserve"> LAAC result</w:t>
            </w:r>
            <w:r>
              <w:rPr>
                <w:color w:val="000000"/>
                <w:sz w:val="21"/>
                <w:szCs w:val="21"/>
              </w:rPr>
              <w:t>s</w:t>
            </w:r>
            <w:r w:rsidRPr="00313196">
              <w:rPr>
                <w:color w:val="000000"/>
                <w:sz w:val="21"/>
                <w:szCs w:val="21"/>
              </w:rPr>
              <w:t xml:space="preserve"> in under</w:t>
            </w:r>
            <w:r>
              <w:rPr>
                <w:color w:val="000000"/>
                <w:sz w:val="21"/>
                <w:szCs w:val="21"/>
              </w:rPr>
              <w:t>-</w:t>
            </w:r>
            <w:r w:rsidRPr="00313196">
              <w:rPr>
                <w:color w:val="000000"/>
                <w:sz w:val="21"/>
                <w:szCs w:val="21"/>
              </w:rPr>
              <w:t xml:space="preserve">treatment of </w:t>
            </w:r>
            <w:r>
              <w:rPr>
                <w:color w:val="000000"/>
                <w:sz w:val="21"/>
                <w:szCs w:val="21"/>
              </w:rPr>
              <w:t xml:space="preserve">patients </w:t>
            </w:r>
            <w:r w:rsidRPr="00313196">
              <w:rPr>
                <w:color w:val="000000"/>
                <w:sz w:val="21"/>
                <w:szCs w:val="21"/>
              </w:rPr>
              <w:t xml:space="preserve">with relative </w:t>
            </w:r>
            <w:r>
              <w:rPr>
                <w:color w:val="000000"/>
                <w:sz w:val="21"/>
                <w:szCs w:val="21"/>
              </w:rPr>
              <w:t>contraindications</w:t>
            </w:r>
          </w:p>
        </w:tc>
        <w:tc>
          <w:tcPr>
            <w:tcW w:w="6214" w:type="dxa"/>
            <w:hideMark/>
          </w:tcPr>
          <w:p w14:paraId="2778EC3D" w14:textId="77777777" w:rsidR="00AC1DAF" w:rsidRPr="00313196" w:rsidRDefault="00AC1DAF" w:rsidP="00E93186">
            <w:pPr>
              <w:spacing w:before="60" w:after="60"/>
              <w:rPr>
                <w:color w:val="000000"/>
                <w:sz w:val="21"/>
                <w:szCs w:val="21"/>
              </w:rPr>
            </w:pPr>
            <w:r>
              <w:rPr>
                <w:color w:val="000000"/>
                <w:sz w:val="21"/>
                <w:szCs w:val="21"/>
              </w:rPr>
              <w:t>MSAC may wish to consider whether</w:t>
            </w:r>
            <w:r w:rsidRPr="00313196">
              <w:rPr>
                <w:color w:val="000000"/>
                <w:sz w:val="21"/>
                <w:szCs w:val="21"/>
              </w:rPr>
              <w:t xml:space="preserve"> the lack of anticoagulation in patients with high </w:t>
            </w:r>
            <w:r w:rsidRPr="00313196">
              <w:rPr>
                <w:color w:val="000000"/>
                <w:sz w:val="21"/>
                <w:szCs w:val="21"/>
                <w:lang w:val="en-GB"/>
              </w:rPr>
              <w:t>CHA</w:t>
            </w:r>
            <w:r w:rsidRPr="00313196">
              <w:rPr>
                <w:color w:val="000000"/>
                <w:sz w:val="21"/>
                <w:szCs w:val="21"/>
                <w:vertAlign w:val="subscript"/>
                <w:lang w:val="en-GB"/>
              </w:rPr>
              <w:t>2</w:t>
            </w:r>
            <w:r w:rsidRPr="00313196">
              <w:rPr>
                <w:color w:val="000000"/>
                <w:sz w:val="21"/>
                <w:szCs w:val="21"/>
                <w:lang w:val="en-GB"/>
              </w:rPr>
              <w:t>DS</w:t>
            </w:r>
            <w:r w:rsidRPr="00313196">
              <w:rPr>
                <w:color w:val="000000"/>
                <w:sz w:val="21"/>
                <w:szCs w:val="21"/>
                <w:vertAlign w:val="subscript"/>
                <w:lang w:val="en-GB"/>
              </w:rPr>
              <w:t>2</w:t>
            </w:r>
            <w:r w:rsidRPr="00313196">
              <w:rPr>
                <w:color w:val="000000"/>
                <w:sz w:val="21"/>
                <w:szCs w:val="21"/>
                <w:lang w:val="en-GB"/>
              </w:rPr>
              <w:t xml:space="preserve">-VASc scores </w:t>
            </w:r>
            <w:r>
              <w:rPr>
                <w:color w:val="000000"/>
                <w:sz w:val="21"/>
                <w:szCs w:val="21"/>
                <w:lang w:val="en-GB"/>
              </w:rPr>
              <w:t>may put these patients</w:t>
            </w:r>
            <w:r w:rsidRPr="00313196">
              <w:rPr>
                <w:color w:val="000000"/>
                <w:sz w:val="21"/>
                <w:szCs w:val="21"/>
                <w:lang w:val="en-GB"/>
              </w:rPr>
              <w:t xml:space="preserve"> at risk of other, non LAA ischaemic events</w:t>
            </w:r>
            <w:r>
              <w:rPr>
                <w:color w:val="000000"/>
                <w:sz w:val="21"/>
                <w:szCs w:val="21"/>
                <w:lang w:val="en-GB"/>
              </w:rPr>
              <w:t>.</w:t>
            </w:r>
          </w:p>
        </w:tc>
      </w:tr>
      <w:tr w:rsidR="00AC1DAF" w:rsidRPr="00313196" w14:paraId="0E318AE9" w14:textId="77777777" w:rsidTr="00E93186">
        <w:trPr>
          <w:trHeight w:val="70"/>
        </w:trPr>
        <w:tc>
          <w:tcPr>
            <w:tcW w:w="2802" w:type="dxa"/>
            <w:hideMark/>
          </w:tcPr>
          <w:p w14:paraId="0B1CC402" w14:textId="77777777" w:rsidR="00AC1DAF" w:rsidRPr="00313196" w:rsidRDefault="00AC1DAF" w:rsidP="00E93186">
            <w:pPr>
              <w:spacing w:before="60" w:after="60"/>
              <w:rPr>
                <w:color w:val="000000"/>
                <w:sz w:val="21"/>
                <w:szCs w:val="21"/>
              </w:rPr>
            </w:pPr>
            <w:r>
              <w:rPr>
                <w:color w:val="000000"/>
                <w:sz w:val="21"/>
                <w:szCs w:val="21"/>
              </w:rPr>
              <w:t>The economic model</w:t>
            </w:r>
            <w:r w:rsidRPr="00313196">
              <w:rPr>
                <w:color w:val="000000"/>
                <w:sz w:val="21"/>
                <w:szCs w:val="21"/>
              </w:rPr>
              <w:t xml:space="preserve"> overestimated safety of LAAC</w:t>
            </w:r>
          </w:p>
        </w:tc>
        <w:tc>
          <w:tcPr>
            <w:tcW w:w="6214" w:type="dxa"/>
            <w:hideMark/>
          </w:tcPr>
          <w:p w14:paraId="69982E35" w14:textId="77777777" w:rsidR="00AC1DAF" w:rsidRPr="004B00D7" w:rsidRDefault="00AC1DAF" w:rsidP="00E93186">
            <w:pPr>
              <w:spacing w:before="60" w:after="60"/>
              <w:rPr>
                <w:color w:val="000000"/>
                <w:sz w:val="21"/>
                <w:szCs w:val="21"/>
              </w:rPr>
            </w:pPr>
            <w:r w:rsidRPr="004B00D7">
              <w:rPr>
                <w:color w:val="000000"/>
                <w:sz w:val="21"/>
                <w:szCs w:val="21"/>
              </w:rPr>
              <w:t>The PRAGUE-17 trial showed no difference in the overall bleeding risk between LAAC and DOACs (i.e.</w:t>
            </w:r>
            <w:r>
              <w:rPr>
                <w:color w:val="000000"/>
                <w:sz w:val="21"/>
                <w:szCs w:val="21"/>
              </w:rPr>
              <w:t xml:space="preserve"> </w:t>
            </w:r>
            <w:r w:rsidRPr="004B00D7">
              <w:rPr>
                <w:color w:val="000000"/>
                <w:sz w:val="21"/>
                <w:szCs w:val="21"/>
              </w:rPr>
              <w:t>combined procedural and post-procedural bleeding) however, the model did not include the procedural bleeding events (of which one bleed led</w:t>
            </w:r>
            <w:r w:rsidRPr="004B00D7">
              <w:rPr>
                <w:sz w:val="21"/>
                <w:szCs w:val="21"/>
              </w:rPr>
              <w:t xml:space="preserve"> </w:t>
            </w:r>
            <w:r w:rsidRPr="004B00D7">
              <w:rPr>
                <w:color w:val="000000"/>
                <w:sz w:val="21"/>
                <w:szCs w:val="21"/>
              </w:rPr>
              <w:t>to a participant death in PRAGUE-17) and applied a hazard ratio of 0.53 based on post-procedural bleeding events only. The exclusion of procedural bleeding rates creates significant uncertainty in the model</w:t>
            </w:r>
          </w:p>
        </w:tc>
      </w:tr>
      <w:tr w:rsidR="00AC1DAF" w:rsidRPr="00313196" w14:paraId="00D48BA3" w14:textId="77777777" w:rsidTr="00E93186">
        <w:trPr>
          <w:trHeight w:val="70"/>
        </w:trPr>
        <w:tc>
          <w:tcPr>
            <w:tcW w:w="2802" w:type="dxa"/>
          </w:tcPr>
          <w:p w14:paraId="1DAAD674" w14:textId="77777777" w:rsidR="00AC1DAF" w:rsidRPr="00313196" w:rsidRDefault="00AC1DAF" w:rsidP="00E93186">
            <w:pPr>
              <w:spacing w:before="60" w:after="60"/>
              <w:rPr>
                <w:color w:val="000000"/>
                <w:sz w:val="21"/>
                <w:szCs w:val="21"/>
                <w:lang w:val="en-US"/>
              </w:rPr>
            </w:pPr>
            <w:r>
              <w:rPr>
                <w:color w:val="000000"/>
                <w:sz w:val="21"/>
                <w:szCs w:val="21"/>
                <w:lang w:val="en-US"/>
              </w:rPr>
              <w:t>Utility values were unrealistically high</w:t>
            </w:r>
          </w:p>
        </w:tc>
        <w:tc>
          <w:tcPr>
            <w:tcW w:w="6214" w:type="dxa"/>
          </w:tcPr>
          <w:p w14:paraId="3DF1D065" w14:textId="77777777" w:rsidR="00AC1DAF" w:rsidRPr="00313196" w:rsidRDefault="00AC1DAF" w:rsidP="00E93186">
            <w:pPr>
              <w:spacing w:before="60" w:after="60"/>
              <w:rPr>
                <w:color w:val="000000"/>
                <w:sz w:val="21"/>
                <w:szCs w:val="21"/>
              </w:rPr>
            </w:pPr>
            <w:r>
              <w:rPr>
                <w:color w:val="000000"/>
                <w:sz w:val="21"/>
                <w:szCs w:val="21"/>
              </w:rPr>
              <w:t xml:space="preserve">The utility values in the model were too high and were not weighted to the Australian population indicating the patient population in the model has a higher quality of life than the Australian population.  </w:t>
            </w:r>
          </w:p>
        </w:tc>
      </w:tr>
      <w:tr w:rsidR="00AC1DAF" w:rsidRPr="00313196" w14:paraId="55BA4349" w14:textId="77777777" w:rsidTr="00E93186">
        <w:trPr>
          <w:trHeight w:val="70"/>
        </w:trPr>
        <w:tc>
          <w:tcPr>
            <w:tcW w:w="2802" w:type="dxa"/>
            <w:hideMark/>
          </w:tcPr>
          <w:p w14:paraId="74FD90A1" w14:textId="77777777" w:rsidR="00AC1DAF" w:rsidRPr="00313196" w:rsidRDefault="00AC1DAF" w:rsidP="00E93186">
            <w:pPr>
              <w:spacing w:before="60" w:after="60"/>
              <w:rPr>
                <w:color w:val="000000"/>
                <w:sz w:val="21"/>
                <w:szCs w:val="21"/>
              </w:rPr>
            </w:pPr>
            <w:r>
              <w:rPr>
                <w:color w:val="000000"/>
                <w:sz w:val="21"/>
                <w:szCs w:val="21"/>
                <w:lang w:val="en-US"/>
              </w:rPr>
              <w:t>The ICER estimates are uncertain</w:t>
            </w:r>
            <w:r w:rsidRPr="00313196">
              <w:rPr>
                <w:color w:val="000000"/>
                <w:sz w:val="21"/>
                <w:szCs w:val="21"/>
                <w:lang w:val="en-US"/>
              </w:rPr>
              <w:t xml:space="preserve"> </w:t>
            </w:r>
          </w:p>
        </w:tc>
        <w:tc>
          <w:tcPr>
            <w:tcW w:w="6214" w:type="dxa"/>
            <w:hideMark/>
          </w:tcPr>
          <w:p w14:paraId="3EA254F8" w14:textId="77777777" w:rsidR="00AC1DAF" w:rsidRDefault="00AC1DAF" w:rsidP="00E93186">
            <w:pPr>
              <w:spacing w:before="60" w:after="60"/>
              <w:rPr>
                <w:color w:val="000000"/>
                <w:sz w:val="21"/>
                <w:szCs w:val="21"/>
              </w:rPr>
            </w:pPr>
            <w:r>
              <w:rPr>
                <w:color w:val="000000"/>
                <w:sz w:val="21"/>
                <w:szCs w:val="21"/>
              </w:rPr>
              <w:t>ESC recommends the applicant revise the economic analysis to include:</w:t>
            </w:r>
          </w:p>
          <w:p w14:paraId="74A2836F" w14:textId="77777777" w:rsidR="00AC1DAF" w:rsidRDefault="00AC1DAF" w:rsidP="00AC1DAF">
            <w:pPr>
              <w:pStyle w:val="ListParagraph"/>
              <w:numPr>
                <w:ilvl w:val="0"/>
                <w:numId w:val="26"/>
              </w:numPr>
              <w:spacing w:before="60" w:after="60"/>
              <w:rPr>
                <w:color w:val="000000"/>
                <w:sz w:val="21"/>
                <w:szCs w:val="21"/>
              </w:rPr>
            </w:pPr>
            <w:r w:rsidRPr="00B56308">
              <w:rPr>
                <w:color w:val="000000"/>
                <w:sz w:val="21"/>
                <w:szCs w:val="21"/>
              </w:rPr>
              <w:t>the risk of procedural bleeding.</w:t>
            </w:r>
          </w:p>
          <w:p w14:paraId="19993542" w14:textId="77777777" w:rsidR="00AC1DAF" w:rsidRPr="00B56308" w:rsidRDefault="00AC1DAF" w:rsidP="00AC1DAF">
            <w:pPr>
              <w:pStyle w:val="ListParagraph"/>
              <w:numPr>
                <w:ilvl w:val="0"/>
                <w:numId w:val="26"/>
              </w:numPr>
              <w:spacing w:before="60" w:after="60"/>
              <w:rPr>
                <w:color w:val="000000"/>
                <w:sz w:val="21"/>
                <w:szCs w:val="21"/>
              </w:rPr>
            </w:pPr>
            <w:r>
              <w:rPr>
                <w:color w:val="000000"/>
                <w:sz w:val="21"/>
                <w:szCs w:val="21"/>
              </w:rPr>
              <w:t>use the alternative utility values from McCaffrey 2016</w:t>
            </w:r>
          </w:p>
          <w:p w14:paraId="259CE93D" w14:textId="77777777" w:rsidR="00AC1DAF" w:rsidRDefault="00AC1DAF" w:rsidP="00E93186">
            <w:pPr>
              <w:spacing w:before="60" w:after="60"/>
              <w:rPr>
                <w:color w:val="000000"/>
                <w:sz w:val="21"/>
                <w:szCs w:val="21"/>
              </w:rPr>
            </w:pPr>
            <w:r>
              <w:rPr>
                <w:color w:val="000000"/>
                <w:sz w:val="21"/>
                <w:szCs w:val="21"/>
              </w:rPr>
              <w:t>ESC recommends the applicant conduct additional sensitivity analyses to:</w:t>
            </w:r>
          </w:p>
          <w:p w14:paraId="0FAC8ED9" w14:textId="77777777" w:rsidR="00AC1DAF" w:rsidRDefault="00AC1DAF" w:rsidP="00AC1DAF">
            <w:pPr>
              <w:pStyle w:val="ListParagraph"/>
              <w:numPr>
                <w:ilvl w:val="0"/>
                <w:numId w:val="27"/>
              </w:numPr>
              <w:spacing w:before="60" w:after="60"/>
              <w:rPr>
                <w:color w:val="000000"/>
                <w:sz w:val="21"/>
                <w:szCs w:val="21"/>
              </w:rPr>
            </w:pPr>
            <w:r w:rsidRPr="00B56308">
              <w:rPr>
                <w:color w:val="000000"/>
                <w:sz w:val="21"/>
                <w:szCs w:val="21"/>
              </w:rPr>
              <w:t xml:space="preserve">test the 95% confidence interval of the assumed rates of bleeding and stroke </w:t>
            </w:r>
          </w:p>
          <w:p w14:paraId="69F0CB75" w14:textId="77777777" w:rsidR="00AC1DAF" w:rsidRPr="00313196" w:rsidRDefault="00AC1DAF" w:rsidP="00AC1DAF">
            <w:pPr>
              <w:pStyle w:val="ListParagraph"/>
              <w:numPr>
                <w:ilvl w:val="0"/>
                <w:numId w:val="27"/>
              </w:numPr>
              <w:spacing w:before="60" w:after="60"/>
              <w:rPr>
                <w:color w:val="000000"/>
                <w:sz w:val="21"/>
                <w:szCs w:val="21"/>
              </w:rPr>
            </w:pPr>
            <w:r w:rsidRPr="00565046">
              <w:rPr>
                <w:color w:val="000000"/>
                <w:sz w:val="21"/>
                <w:szCs w:val="21"/>
              </w:rPr>
              <w:t>test a range of utility values</w:t>
            </w:r>
            <w:r>
              <w:rPr>
                <w:color w:val="000000"/>
                <w:sz w:val="21"/>
                <w:szCs w:val="21"/>
              </w:rPr>
              <w:t>.</w:t>
            </w:r>
          </w:p>
        </w:tc>
      </w:tr>
      <w:tr w:rsidR="00AC1DAF" w:rsidRPr="00313196" w14:paraId="5E6E8E2C" w14:textId="77777777" w:rsidTr="00E93186">
        <w:trPr>
          <w:trHeight w:val="141"/>
        </w:trPr>
        <w:tc>
          <w:tcPr>
            <w:tcW w:w="2802" w:type="dxa"/>
            <w:hideMark/>
          </w:tcPr>
          <w:p w14:paraId="65B4240E" w14:textId="77777777" w:rsidR="00AC1DAF" w:rsidRPr="00313196" w:rsidRDefault="00AC1DAF" w:rsidP="00E93186">
            <w:pPr>
              <w:spacing w:before="60" w:after="60"/>
              <w:rPr>
                <w:color w:val="000000"/>
                <w:sz w:val="21"/>
                <w:szCs w:val="21"/>
              </w:rPr>
            </w:pPr>
            <w:r w:rsidRPr="00313196">
              <w:rPr>
                <w:color w:val="000000"/>
                <w:sz w:val="21"/>
                <w:szCs w:val="21"/>
                <w:lang w:val="en-US"/>
              </w:rPr>
              <w:t>Financial estimate uncertainty</w:t>
            </w:r>
          </w:p>
        </w:tc>
        <w:tc>
          <w:tcPr>
            <w:tcW w:w="6214" w:type="dxa"/>
            <w:hideMark/>
          </w:tcPr>
          <w:p w14:paraId="4AD81370" w14:textId="77777777" w:rsidR="00AC1DAF" w:rsidRPr="00D60210" w:rsidRDefault="00AC1DAF" w:rsidP="00E93186">
            <w:pPr>
              <w:spacing w:before="60" w:after="60"/>
              <w:rPr>
                <w:color w:val="000000"/>
                <w:sz w:val="21"/>
                <w:szCs w:val="21"/>
              </w:rPr>
            </w:pPr>
            <w:r w:rsidRPr="00D60210">
              <w:rPr>
                <w:color w:val="000000"/>
                <w:sz w:val="21"/>
                <w:szCs w:val="21"/>
              </w:rPr>
              <w:t xml:space="preserve">The proposed amendments to the definition of </w:t>
            </w:r>
            <w:r>
              <w:rPr>
                <w:color w:val="000000"/>
                <w:sz w:val="21"/>
                <w:szCs w:val="21"/>
              </w:rPr>
              <w:t xml:space="preserve">a </w:t>
            </w:r>
            <w:r w:rsidRPr="00D60210">
              <w:rPr>
                <w:color w:val="000000"/>
                <w:sz w:val="21"/>
                <w:szCs w:val="21"/>
              </w:rPr>
              <w:t xml:space="preserve">contraindication to </w:t>
            </w:r>
            <w:r>
              <w:rPr>
                <w:color w:val="000000"/>
                <w:sz w:val="21"/>
                <w:szCs w:val="21"/>
              </w:rPr>
              <w:t>anticoagulation</w:t>
            </w:r>
            <w:r w:rsidRPr="00D60210">
              <w:rPr>
                <w:color w:val="000000"/>
                <w:sz w:val="21"/>
                <w:szCs w:val="21"/>
              </w:rPr>
              <w:t xml:space="preserve"> have the potential to grow the market for LAAC procedures. However, the financial implications for the proposed changes are highly uncertain. </w:t>
            </w:r>
            <w:r>
              <w:rPr>
                <w:color w:val="000000"/>
                <w:sz w:val="21"/>
                <w:szCs w:val="21"/>
              </w:rPr>
              <w:t xml:space="preserve">ESC suggests the applicant </w:t>
            </w:r>
            <w:r w:rsidRPr="00D60210">
              <w:rPr>
                <w:color w:val="000000"/>
                <w:sz w:val="21"/>
                <w:szCs w:val="21"/>
              </w:rPr>
              <w:t xml:space="preserve">revise </w:t>
            </w:r>
            <w:r w:rsidRPr="00D60210">
              <w:rPr>
                <w:color w:val="000000"/>
                <w:sz w:val="21"/>
                <w:szCs w:val="21"/>
              </w:rPr>
              <w:lastRenderedPageBreak/>
              <w:t>financial estimates</w:t>
            </w:r>
            <w:r>
              <w:rPr>
                <w:color w:val="000000"/>
                <w:sz w:val="21"/>
                <w:szCs w:val="21"/>
              </w:rPr>
              <w:t>,</w:t>
            </w:r>
            <w:r w:rsidRPr="00D60210">
              <w:rPr>
                <w:color w:val="000000"/>
                <w:sz w:val="21"/>
                <w:szCs w:val="21"/>
              </w:rPr>
              <w:t xml:space="preserve"> </w:t>
            </w:r>
            <w:r>
              <w:rPr>
                <w:color w:val="000000"/>
                <w:sz w:val="21"/>
                <w:szCs w:val="21"/>
              </w:rPr>
              <w:t xml:space="preserve">which </w:t>
            </w:r>
            <w:r w:rsidRPr="00D60210">
              <w:rPr>
                <w:color w:val="000000"/>
                <w:sz w:val="21"/>
                <w:szCs w:val="21"/>
              </w:rPr>
              <w:t>address</w:t>
            </w:r>
            <w:r>
              <w:rPr>
                <w:color w:val="000000"/>
                <w:sz w:val="21"/>
                <w:szCs w:val="21"/>
              </w:rPr>
              <w:t xml:space="preserve"> </w:t>
            </w:r>
            <w:r w:rsidRPr="00D60210">
              <w:rPr>
                <w:color w:val="000000"/>
                <w:sz w:val="21"/>
                <w:szCs w:val="21"/>
              </w:rPr>
              <w:t>the additional analyses recommended by the commentary</w:t>
            </w:r>
            <w:r>
              <w:rPr>
                <w:color w:val="000000"/>
                <w:sz w:val="21"/>
                <w:szCs w:val="21"/>
              </w:rPr>
              <w:t>,</w:t>
            </w:r>
            <w:r w:rsidRPr="00D60210">
              <w:rPr>
                <w:color w:val="000000"/>
                <w:sz w:val="21"/>
                <w:szCs w:val="21"/>
              </w:rPr>
              <w:t xml:space="preserve"> including consideration of: the likely eligible patient population and treatment uptake; the extent of any overlap between two populations;</w:t>
            </w:r>
            <w:r>
              <w:rPr>
                <w:color w:val="000000"/>
                <w:sz w:val="21"/>
                <w:szCs w:val="21"/>
              </w:rPr>
              <w:t xml:space="preserve"> </w:t>
            </w:r>
            <w:r w:rsidRPr="00D60210">
              <w:rPr>
                <w:color w:val="000000"/>
                <w:sz w:val="21"/>
                <w:szCs w:val="21"/>
              </w:rPr>
              <w:t>whether patient referral rates may increase; the proportion of referred patients deemed suitable for LAAC; and current rates of LAAC uptake as a proportion of DOAC treated</w:t>
            </w:r>
            <w:r>
              <w:rPr>
                <w:color w:val="000000"/>
                <w:sz w:val="21"/>
                <w:szCs w:val="21"/>
              </w:rPr>
              <w:t>.</w:t>
            </w:r>
          </w:p>
        </w:tc>
      </w:tr>
    </w:tbl>
    <w:p w14:paraId="525109B2" w14:textId="77777777" w:rsidR="00AC1DAF" w:rsidRPr="00313196" w:rsidRDefault="00AC1DAF" w:rsidP="00AC1DAF">
      <w:pPr>
        <w:keepNext/>
        <w:spacing w:before="240" w:after="240"/>
        <w:outlineLvl w:val="1"/>
        <w:rPr>
          <w:rFonts w:ascii="Arial" w:hAnsi="Arial" w:cs="Arial"/>
          <w:b/>
          <w:bCs/>
          <w:iCs/>
          <w:color w:val="000000"/>
          <w:szCs w:val="28"/>
        </w:rPr>
      </w:pPr>
      <w:r w:rsidRPr="00313196">
        <w:rPr>
          <w:rFonts w:ascii="Arial" w:hAnsi="Arial" w:cs="Arial"/>
          <w:b/>
          <w:bCs/>
          <w:iCs/>
          <w:color w:val="000000"/>
          <w:szCs w:val="28"/>
        </w:rPr>
        <w:lastRenderedPageBreak/>
        <w:t>ESC discussion</w:t>
      </w:r>
    </w:p>
    <w:p w14:paraId="09EDD818" w14:textId="38D12510" w:rsidR="00AC1DAF" w:rsidRPr="00313196" w:rsidRDefault="00AC1DAF" w:rsidP="00AC1DAF">
      <w:pPr>
        <w:spacing w:after="240"/>
        <w:rPr>
          <w:color w:val="000000"/>
        </w:rPr>
      </w:pPr>
      <w:r w:rsidRPr="00313196">
        <w:rPr>
          <w:color w:val="000000"/>
        </w:rPr>
        <w:t xml:space="preserve">ESC noted that this application </w:t>
      </w:r>
      <w:r>
        <w:rPr>
          <w:color w:val="000000"/>
        </w:rPr>
        <w:t xml:space="preserve">seeks </w:t>
      </w:r>
      <w:r w:rsidRPr="00313196">
        <w:rPr>
          <w:color w:val="000000"/>
        </w:rPr>
        <w:t xml:space="preserve">to amend </w:t>
      </w:r>
      <w:r>
        <w:rPr>
          <w:color w:val="000000"/>
        </w:rPr>
        <w:t xml:space="preserve">an </w:t>
      </w:r>
      <w:r w:rsidRPr="00313196">
        <w:rPr>
          <w:color w:val="000000"/>
        </w:rPr>
        <w:t xml:space="preserve">existing MBS item 38276, </w:t>
      </w:r>
      <w:r>
        <w:rPr>
          <w:color w:val="000000"/>
        </w:rPr>
        <w:t>for</w:t>
      </w:r>
      <w:r w:rsidRPr="00313196">
        <w:rPr>
          <w:color w:val="000000"/>
        </w:rPr>
        <w:t xml:space="preserve"> left atrial appendage closure (LAAC)</w:t>
      </w:r>
      <w:r>
        <w:rPr>
          <w:color w:val="000000"/>
        </w:rPr>
        <w:t xml:space="preserve"> for stroke prevention</w:t>
      </w:r>
      <w:r w:rsidRPr="00313196">
        <w:rPr>
          <w:color w:val="000000"/>
        </w:rPr>
        <w:t xml:space="preserve"> </w:t>
      </w:r>
      <w:r>
        <w:rPr>
          <w:color w:val="000000"/>
        </w:rPr>
        <w:t xml:space="preserve">in patients with </w:t>
      </w:r>
      <w:r w:rsidRPr="00F63553">
        <w:rPr>
          <w:color w:val="000000"/>
        </w:rPr>
        <w:t xml:space="preserve">non-valvular atrial fibrillation </w:t>
      </w:r>
      <w:r>
        <w:rPr>
          <w:color w:val="000000"/>
        </w:rPr>
        <w:t>(NVAF) who have an</w:t>
      </w:r>
      <w:r w:rsidRPr="00313196">
        <w:rPr>
          <w:color w:val="000000"/>
        </w:rPr>
        <w:t xml:space="preserve"> absolute contraindication to </w:t>
      </w:r>
      <w:r>
        <w:rPr>
          <w:color w:val="000000"/>
        </w:rPr>
        <w:t xml:space="preserve">lifelong oral </w:t>
      </w:r>
      <w:r w:rsidRPr="00313196">
        <w:rPr>
          <w:color w:val="000000"/>
        </w:rPr>
        <w:t>anticoagulation</w:t>
      </w:r>
      <w:r>
        <w:rPr>
          <w:color w:val="000000"/>
        </w:rPr>
        <w:t xml:space="preserve"> therapy. The application proposes to expand the existing definition of absolute contraindication (Population 1) and </w:t>
      </w:r>
      <w:r w:rsidRPr="00313196">
        <w:rPr>
          <w:color w:val="000000"/>
        </w:rPr>
        <w:t>to include relative contraindication</w:t>
      </w:r>
      <w:r>
        <w:rPr>
          <w:color w:val="000000"/>
        </w:rPr>
        <w:t xml:space="preserve"> (Population 2) to anticoagulation</w:t>
      </w:r>
      <w:r w:rsidRPr="00313196">
        <w:rPr>
          <w:color w:val="000000"/>
        </w:rPr>
        <w:t>, thus expand</w:t>
      </w:r>
      <w:r>
        <w:rPr>
          <w:color w:val="000000"/>
        </w:rPr>
        <w:t>ing</w:t>
      </w:r>
      <w:r w:rsidRPr="00313196">
        <w:rPr>
          <w:color w:val="000000"/>
        </w:rPr>
        <w:t xml:space="preserve"> the population eligible for the service.</w:t>
      </w:r>
      <w:r>
        <w:rPr>
          <w:color w:val="000000"/>
        </w:rPr>
        <w:t xml:space="preserve"> ESC noted that the MSAC Executive had considered a budget impact analysis for Population 1 and advised that both proposed populations should progress through the full MSAC process.</w:t>
      </w:r>
    </w:p>
    <w:p w14:paraId="0487CFD0" w14:textId="77777777" w:rsidR="00AC1DAF" w:rsidRPr="00313196" w:rsidRDefault="00AC1DAF" w:rsidP="00AC1DAF">
      <w:pPr>
        <w:spacing w:after="240"/>
        <w:rPr>
          <w:color w:val="000000"/>
        </w:rPr>
      </w:pPr>
      <w:r w:rsidRPr="00313196">
        <w:rPr>
          <w:color w:val="000000"/>
        </w:rPr>
        <w:t>ESC noted that</w:t>
      </w:r>
      <w:r>
        <w:rPr>
          <w:color w:val="000000"/>
        </w:rPr>
        <w:t xml:space="preserve"> consultation feedback from</w:t>
      </w:r>
      <w:r w:rsidRPr="00313196">
        <w:rPr>
          <w:color w:val="000000"/>
        </w:rPr>
        <w:t xml:space="preserve"> consumers </w:t>
      </w:r>
      <w:r>
        <w:rPr>
          <w:color w:val="000000"/>
        </w:rPr>
        <w:t xml:space="preserve">was supportive of the application due to concerns that maintaining adherence to anticoagulation for stroke prevention can be difficult for patients and would provide clinicians with another option when </w:t>
      </w:r>
      <w:r w:rsidRPr="00313196">
        <w:rPr>
          <w:color w:val="000000"/>
        </w:rPr>
        <w:t xml:space="preserve">managing the risk of clots </w:t>
      </w:r>
      <w:r>
        <w:rPr>
          <w:color w:val="000000"/>
        </w:rPr>
        <w:t>with the</w:t>
      </w:r>
      <w:r w:rsidRPr="00313196">
        <w:rPr>
          <w:color w:val="000000"/>
        </w:rPr>
        <w:t xml:space="preserve"> risk of bleeds</w:t>
      </w:r>
      <w:r>
        <w:rPr>
          <w:color w:val="000000"/>
        </w:rPr>
        <w:t xml:space="preserve"> in these patients</w:t>
      </w:r>
      <w:r w:rsidRPr="00313196">
        <w:rPr>
          <w:color w:val="000000"/>
        </w:rPr>
        <w:t>.</w:t>
      </w:r>
    </w:p>
    <w:p w14:paraId="693C0FCA" w14:textId="77777777" w:rsidR="00AC1DAF" w:rsidRPr="00313196" w:rsidRDefault="00AC1DAF" w:rsidP="00AC1DAF">
      <w:pPr>
        <w:spacing w:after="240"/>
        <w:rPr>
          <w:color w:val="000000"/>
        </w:rPr>
      </w:pPr>
      <w:r w:rsidRPr="00313196">
        <w:rPr>
          <w:color w:val="000000"/>
        </w:rPr>
        <w:t xml:space="preserve">ESC noted </w:t>
      </w:r>
      <w:r>
        <w:rPr>
          <w:color w:val="000000"/>
        </w:rPr>
        <w:t xml:space="preserve">that that the applicant reviewed the product information for direct oral anticoagulants (DOAC) to define the proposed expanded list of absolute contraindications (Population 1) to </w:t>
      </w:r>
      <w:r w:rsidRPr="00745107">
        <w:rPr>
          <w:color w:val="000000"/>
        </w:rPr>
        <w:t>anticoagulation</w:t>
      </w:r>
      <w:r>
        <w:rPr>
          <w:color w:val="000000"/>
        </w:rPr>
        <w:t xml:space="preserve">. ESC questioned whether some of the proposed contraindications would in fact prevent a patient from commencing or recommencing </w:t>
      </w:r>
      <w:r w:rsidRPr="00745107">
        <w:rPr>
          <w:color w:val="000000"/>
        </w:rPr>
        <w:t>anticoagulation</w:t>
      </w:r>
      <w:r>
        <w:rPr>
          <w:color w:val="000000"/>
        </w:rPr>
        <w:t xml:space="preserve"> in clinical practice. ESC also noted that the applicant </w:t>
      </w:r>
      <w:r w:rsidRPr="00313196">
        <w:rPr>
          <w:color w:val="000000"/>
        </w:rPr>
        <w:t xml:space="preserve">proposed </w:t>
      </w:r>
      <w:r>
        <w:rPr>
          <w:color w:val="000000"/>
        </w:rPr>
        <w:t xml:space="preserve">to include relative contraindications (Population 2) by </w:t>
      </w:r>
      <w:r w:rsidRPr="00313196">
        <w:rPr>
          <w:color w:val="000000"/>
        </w:rPr>
        <w:t>remov</w:t>
      </w:r>
      <w:r>
        <w:rPr>
          <w:color w:val="000000"/>
        </w:rPr>
        <w:t>ing</w:t>
      </w:r>
      <w:r w:rsidRPr="00313196">
        <w:rPr>
          <w:color w:val="000000"/>
        </w:rPr>
        <w:t xml:space="preserve"> </w:t>
      </w:r>
      <w:r>
        <w:rPr>
          <w:color w:val="000000"/>
        </w:rPr>
        <w:t xml:space="preserve">the requirement for a major bleeding event to be experienced whilst undergoing treatment with </w:t>
      </w:r>
      <w:r w:rsidRPr="00745107">
        <w:rPr>
          <w:color w:val="000000"/>
        </w:rPr>
        <w:t>anticoagulation</w:t>
      </w:r>
      <w:r>
        <w:rPr>
          <w:color w:val="000000"/>
        </w:rPr>
        <w:t xml:space="preserve">, thereby </w:t>
      </w:r>
      <w:r w:rsidRPr="00313196">
        <w:rPr>
          <w:color w:val="000000"/>
        </w:rPr>
        <w:t>effectively includ</w:t>
      </w:r>
      <w:r>
        <w:rPr>
          <w:color w:val="000000"/>
        </w:rPr>
        <w:t xml:space="preserve">ing </w:t>
      </w:r>
      <w:r w:rsidRPr="00313196">
        <w:rPr>
          <w:color w:val="000000"/>
        </w:rPr>
        <w:t xml:space="preserve">any previous bleeding event. ESC considered </w:t>
      </w:r>
      <w:r>
        <w:rPr>
          <w:color w:val="000000"/>
        </w:rPr>
        <w:t xml:space="preserve">the change to </w:t>
      </w:r>
      <w:r w:rsidRPr="00313196">
        <w:rPr>
          <w:color w:val="000000"/>
        </w:rPr>
        <w:t xml:space="preserve">a “previous major bleeding complication” </w:t>
      </w:r>
      <w:r>
        <w:rPr>
          <w:color w:val="000000"/>
        </w:rPr>
        <w:t xml:space="preserve">without the requirement to be experienced while undergoing treatment with </w:t>
      </w:r>
      <w:r w:rsidRPr="00745107">
        <w:rPr>
          <w:color w:val="000000"/>
        </w:rPr>
        <w:t>anticoagulation</w:t>
      </w:r>
      <w:r>
        <w:rPr>
          <w:color w:val="000000"/>
        </w:rPr>
        <w:t xml:space="preserve"> </w:t>
      </w:r>
      <w:r w:rsidRPr="00313196">
        <w:rPr>
          <w:color w:val="000000"/>
        </w:rPr>
        <w:t xml:space="preserve">to be open to interpretation and </w:t>
      </w:r>
      <w:r>
        <w:rPr>
          <w:color w:val="000000"/>
        </w:rPr>
        <w:t>poses a risk for the service to be used outside of the intended population</w:t>
      </w:r>
      <w:r w:rsidRPr="00313196">
        <w:rPr>
          <w:color w:val="000000"/>
        </w:rPr>
        <w:t xml:space="preserve">. ESC </w:t>
      </w:r>
      <w:r>
        <w:rPr>
          <w:color w:val="000000"/>
        </w:rPr>
        <w:t xml:space="preserve">considered that </w:t>
      </w:r>
      <w:r w:rsidRPr="00313196">
        <w:rPr>
          <w:color w:val="000000"/>
        </w:rPr>
        <w:t>“relative contraindication”</w:t>
      </w:r>
      <w:r>
        <w:rPr>
          <w:color w:val="000000"/>
        </w:rPr>
        <w:t xml:space="preserve"> to </w:t>
      </w:r>
      <w:r w:rsidRPr="00745107">
        <w:rPr>
          <w:color w:val="000000"/>
        </w:rPr>
        <w:t>anticoagulation</w:t>
      </w:r>
      <w:r>
        <w:rPr>
          <w:color w:val="000000"/>
        </w:rPr>
        <w:t xml:space="preserve"> needs to be more clearly defined</w:t>
      </w:r>
      <w:r w:rsidRPr="00313196">
        <w:rPr>
          <w:color w:val="000000"/>
        </w:rPr>
        <w:t xml:space="preserve">. ESC </w:t>
      </w:r>
      <w:r>
        <w:rPr>
          <w:color w:val="000000"/>
        </w:rPr>
        <w:t>advised that</w:t>
      </w:r>
      <w:r w:rsidRPr="00313196">
        <w:rPr>
          <w:color w:val="000000"/>
        </w:rPr>
        <w:t xml:space="preserve"> the Department </w:t>
      </w:r>
      <w:r>
        <w:rPr>
          <w:color w:val="000000"/>
        </w:rPr>
        <w:t>should undertake targeted consultation with clinical societies</w:t>
      </w:r>
      <w:r w:rsidRPr="00313196">
        <w:rPr>
          <w:color w:val="000000"/>
        </w:rPr>
        <w:t xml:space="preserve"> </w:t>
      </w:r>
      <w:r>
        <w:rPr>
          <w:color w:val="000000"/>
        </w:rPr>
        <w:t xml:space="preserve">to seek their advice on the clinical practice for managing </w:t>
      </w:r>
      <w:r w:rsidRPr="00476398">
        <w:rPr>
          <w:color w:val="000000"/>
        </w:rPr>
        <w:t>patients with these conditions when they req</w:t>
      </w:r>
      <w:r>
        <w:rPr>
          <w:color w:val="000000"/>
        </w:rPr>
        <w:t xml:space="preserve">uire </w:t>
      </w:r>
      <w:r w:rsidRPr="00745107">
        <w:rPr>
          <w:color w:val="000000"/>
        </w:rPr>
        <w:t>anticoagulation</w:t>
      </w:r>
      <w:r>
        <w:rPr>
          <w:color w:val="000000"/>
        </w:rPr>
        <w:t xml:space="preserve"> for stroke prevention</w:t>
      </w:r>
      <w:r w:rsidRPr="00313196">
        <w:rPr>
          <w:color w:val="000000"/>
        </w:rPr>
        <w:t xml:space="preserve">. </w:t>
      </w:r>
    </w:p>
    <w:p w14:paraId="40369F2F" w14:textId="77777777" w:rsidR="00AC1DAF" w:rsidRPr="00313196" w:rsidRDefault="00AC1DAF" w:rsidP="00AC1DAF">
      <w:pPr>
        <w:spacing w:after="240"/>
        <w:rPr>
          <w:color w:val="000000"/>
        </w:rPr>
      </w:pPr>
      <w:r w:rsidRPr="00313196">
        <w:rPr>
          <w:color w:val="000000"/>
        </w:rPr>
        <w:t>ESC noted that the PICO included warfarin as a</w:t>
      </w:r>
      <w:r>
        <w:rPr>
          <w:color w:val="000000"/>
        </w:rPr>
        <w:t xml:space="preserve">n alternative </w:t>
      </w:r>
      <w:r w:rsidRPr="00313196">
        <w:rPr>
          <w:color w:val="000000"/>
        </w:rPr>
        <w:t>comparator</w:t>
      </w:r>
      <w:r>
        <w:rPr>
          <w:color w:val="000000"/>
        </w:rPr>
        <w:t xml:space="preserve"> for Population 2</w:t>
      </w:r>
      <w:r w:rsidRPr="00313196">
        <w:rPr>
          <w:color w:val="000000"/>
        </w:rPr>
        <w:t xml:space="preserve">, but </w:t>
      </w:r>
      <w:r>
        <w:rPr>
          <w:color w:val="000000"/>
        </w:rPr>
        <w:t>considered DOACs to be the primary informative comparator for Population 2</w:t>
      </w:r>
      <w:r w:rsidRPr="00313196">
        <w:rPr>
          <w:color w:val="000000"/>
        </w:rPr>
        <w:t>.</w:t>
      </w:r>
    </w:p>
    <w:p w14:paraId="0A85B002" w14:textId="77777777" w:rsidR="00AC1DAF" w:rsidRPr="00313196" w:rsidRDefault="00AC1DAF" w:rsidP="00AC1DAF">
      <w:pPr>
        <w:spacing w:after="240"/>
        <w:rPr>
          <w:color w:val="000000"/>
        </w:rPr>
      </w:pPr>
      <w:r w:rsidRPr="00313196">
        <w:rPr>
          <w:color w:val="000000"/>
        </w:rPr>
        <w:t xml:space="preserve">ESC noted that the </w:t>
      </w:r>
      <w:r>
        <w:rPr>
          <w:rFonts w:eastAsia="Calibri"/>
          <w:color w:val="000000"/>
          <w:lang w:eastAsia="en-US"/>
        </w:rPr>
        <w:t>A</w:t>
      </w:r>
      <w:r w:rsidRPr="00313196">
        <w:rPr>
          <w:rFonts w:eastAsia="Calibri"/>
          <w:color w:val="000000"/>
          <w:lang w:eastAsia="en-US"/>
        </w:rPr>
        <w:t>pplicant</w:t>
      </w:r>
      <w:r>
        <w:rPr>
          <w:rFonts w:eastAsia="Calibri"/>
          <w:color w:val="000000"/>
          <w:lang w:eastAsia="en-US"/>
        </w:rPr>
        <w:t xml:space="preserve"> D</w:t>
      </w:r>
      <w:r w:rsidRPr="00313196">
        <w:rPr>
          <w:rFonts w:eastAsia="Calibri"/>
          <w:color w:val="000000"/>
          <w:lang w:eastAsia="en-US"/>
        </w:rPr>
        <w:t xml:space="preserve">eveloped </w:t>
      </w:r>
      <w:r>
        <w:rPr>
          <w:rFonts w:eastAsia="Calibri"/>
          <w:color w:val="000000"/>
          <w:lang w:eastAsia="en-US"/>
        </w:rPr>
        <w:t>A</w:t>
      </w:r>
      <w:r w:rsidRPr="00313196">
        <w:rPr>
          <w:rFonts w:eastAsia="Calibri"/>
          <w:color w:val="000000"/>
          <w:lang w:eastAsia="en-US"/>
        </w:rPr>
        <w:t xml:space="preserve">ssessment </w:t>
      </w:r>
      <w:r>
        <w:rPr>
          <w:rFonts w:eastAsia="Calibri"/>
          <w:color w:val="000000"/>
          <w:lang w:eastAsia="en-US"/>
        </w:rPr>
        <w:t>R</w:t>
      </w:r>
      <w:r w:rsidRPr="00313196">
        <w:rPr>
          <w:rFonts w:eastAsia="Calibri"/>
          <w:color w:val="000000"/>
          <w:lang w:eastAsia="en-US"/>
        </w:rPr>
        <w:t>eport</w:t>
      </w:r>
      <w:r w:rsidRPr="00313196">
        <w:rPr>
          <w:color w:val="000000"/>
        </w:rPr>
        <w:t xml:space="preserve"> (ADAR) identified only one </w:t>
      </w:r>
      <w:r>
        <w:rPr>
          <w:color w:val="000000"/>
        </w:rPr>
        <w:t>randomised, non-inferiority trial</w:t>
      </w:r>
      <w:r w:rsidRPr="00313196">
        <w:rPr>
          <w:color w:val="000000"/>
        </w:rPr>
        <w:t xml:space="preserve"> (PRAGUE-17) that directly compared LAAC to </w:t>
      </w:r>
      <w:r>
        <w:rPr>
          <w:color w:val="000000"/>
        </w:rPr>
        <w:t>D</w:t>
      </w:r>
      <w:r w:rsidRPr="00313196">
        <w:rPr>
          <w:color w:val="000000"/>
        </w:rPr>
        <w:t xml:space="preserve">OACs and specifically targeted patients with NVAF. </w:t>
      </w:r>
      <w:r>
        <w:rPr>
          <w:color w:val="000000"/>
        </w:rPr>
        <w:t>Two randomised clinical trials (RCT) comparing LAAC with warfarin and four RCT comparing DOACs with warfarin were also included in a</w:t>
      </w:r>
      <w:r w:rsidRPr="00313196">
        <w:rPr>
          <w:color w:val="000000"/>
        </w:rPr>
        <w:t xml:space="preserve">n indirect treatment comparison meta-analysis </w:t>
      </w:r>
      <w:r>
        <w:rPr>
          <w:color w:val="000000"/>
        </w:rPr>
        <w:t xml:space="preserve">that </w:t>
      </w:r>
      <w:r w:rsidRPr="00313196">
        <w:rPr>
          <w:color w:val="000000"/>
        </w:rPr>
        <w:t>was used to further inform safety and effectiveness</w:t>
      </w:r>
      <w:r>
        <w:rPr>
          <w:color w:val="000000"/>
        </w:rPr>
        <w:t xml:space="preserve"> of LAAC compared to DOACs</w:t>
      </w:r>
      <w:r w:rsidRPr="00313196">
        <w:rPr>
          <w:color w:val="000000"/>
        </w:rPr>
        <w:t>.</w:t>
      </w:r>
    </w:p>
    <w:p w14:paraId="45BDFFB6" w14:textId="77777777" w:rsidR="00AC1DAF" w:rsidRPr="00313196" w:rsidRDefault="00AC1DAF" w:rsidP="00AC1DAF">
      <w:pPr>
        <w:spacing w:after="240"/>
        <w:rPr>
          <w:color w:val="000000"/>
        </w:rPr>
      </w:pPr>
      <w:r w:rsidRPr="00313196">
        <w:rPr>
          <w:color w:val="000000"/>
        </w:rPr>
        <w:t xml:space="preserve">ESC noted that the PRAGUE-17 </w:t>
      </w:r>
      <w:r>
        <w:rPr>
          <w:color w:val="000000"/>
        </w:rPr>
        <w:t>trial</w:t>
      </w:r>
      <w:r w:rsidRPr="00313196">
        <w:rPr>
          <w:color w:val="000000"/>
        </w:rPr>
        <w:t xml:space="preserve"> primary outcome was a composite of </w:t>
      </w:r>
      <w:r>
        <w:rPr>
          <w:color w:val="000000"/>
        </w:rPr>
        <w:t>safety and efficacy outcomes</w:t>
      </w:r>
      <w:r w:rsidRPr="00313196">
        <w:rPr>
          <w:color w:val="000000"/>
        </w:rPr>
        <w:t>: stroke, transient ischaemic attack, systemic embolism, cardiovascular-</w:t>
      </w:r>
      <w:r w:rsidRPr="00313196">
        <w:rPr>
          <w:color w:val="000000"/>
        </w:rPr>
        <w:lastRenderedPageBreak/>
        <w:t xml:space="preserve">related death, bleeding or procedure/device-related complications. ESC queried whether combining benefits and harms in a composite endpoint creates a bias to the null. If so, then non-inferiority would be expected. ESC also noted that the device could be 47% worse </w:t>
      </w:r>
      <w:r>
        <w:rPr>
          <w:color w:val="000000"/>
        </w:rPr>
        <w:t xml:space="preserve">than DOACs </w:t>
      </w:r>
      <w:r w:rsidRPr="00313196">
        <w:rPr>
          <w:color w:val="000000"/>
        </w:rPr>
        <w:t>and still be considered non</w:t>
      </w:r>
      <w:r>
        <w:rPr>
          <w:color w:val="000000"/>
        </w:rPr>
        <w:t>-</w:t>
      </w:r>
      <w:r w:rsidRPr="00313196">
        <w:rPr>
          <w:color w:val="000000"/>
        </w:rPr>
        <w:t xml:space="preserve">inferior, due to the </w:t>
      </w:r>
      <w:r>
        <w:rPr>
          <w:color w:val="000000"/>
        </w:rPr>
        <w:t xml:space="preserve">trial being designed with a non-inferiority </w:t>
      </w:r>
      <w:r w:rsidRPr="00313196">
        <w:rPr>
          <w:color w:val="000000"/>
        </w:rPr>
        <w:t>margin of 1.47.</w:t>
      </w:r>
      <w:r>
        <w:rPr>
          <w:color w:val="000000"/>
        </w:rPr>
        <w:t xml:space="preserve"> ESC did not agree that the PRAGUE-17 trial had low risk of bias, noting potential selection and performance bias in the trial design, along with attrition bias with 12 patients lost to follow up in the LAAC arm compared to only 1 patient lost to follow up in the NOAC arm (due to consent). </w:t>
      </w:r>
    </w:p>
    <w:p w14:paraId="2507D1CB" w14:textId="77777777" w:rsidR="00AC1DAF" w:rsidRDefault="00AC1DAF" w:rsidP="00AC1DAF">
      <w:pPr>
        <w:spacing w:after="240"/>
        <w:rPr>
          <w:color w:val="000000"/>
        </w:rPr>
      </w:pPr>
      <w:r>
        <w:rPr>
          <w:color w:val="000000"/>
        </w:rPr>
        <w:t xml:space="preserve">In regards to comparative safety, </w:t>
      </w:r>
      <w:r w:rsidRPr="00313196">
        <w:rPr>
          <w:color w:val="000000"/>
        </w:rPr>
        <w:t xml:space="preserve">ESC noted that the PRAGUE-17 trial </w:t>
      </w:r>
      <w:r>
        <w:rPr>
          <w:color w:val="000000"/>
        </w:rPr>
        <w:t xml:space="preserve">reported nine procedural complications that included two procedural-related deaths, and 18 non-major bleeding events in the LAAC arm. In comparison, zero procedural complications and 22 non-major bleeding events were reported in the DOAC arm. ESC also noted that </w:t>
      </w:r>
      <w:r w:rsidRPr="00237D33">
        <w:rPr>
          <w:color w:val="000000"/>
        </w:rPr>
        <w:t xml:space="preserve">there is no difference in bleeding risk </w:t>
      </w:r>
      <w:r>
        <w:rPr>
          <w:color w:val="000000"/>
        </w:rPr>
        <w:t xml:space="preserve">between LAAC and DOAC </w:t>
      </w:r>
      <w:r w:rsidRPr="00237D33">
        <w:rPr>
          <w:color w:val="000000"/>
        </w:rPr>
        <w:t>when considering combined procedural and post-procedural bleeding</w:t>
      </w:r>
      <w:r>
        <w:rPr>
          <w:color w:val="000000"/>
        </w:rPr>
        <w:t xml:space="preserve">. </w:t>
      </w:r>
    </w:p>
    <w:p w14:paraId="38082912" w14:textId="77777777" w:rsidR="00AC1DAF" w:rsidRPr="00AA4617" w:rsidRDefault="00AC1DAF" w:rsidP="00AC1DAF">
      <w:pPr>
        <w:spacing w:after="240"/>
        <w:rPr>
          <w:color w:val="000000"/>
        </w:rPr>
      </w:pPr>
      <w:r>
        <w:rPr>
          <w:color w:val="000000"/>
        </w:rPr>
        <w:t xml:space="preserve">In regards to comparative efficacy, the PRAGUE-17 trail </w:t>
      </w:r>
      <w:r w:rsidRPr="00313196">
        <w:rPr>
          <w:color w:val="000000"/>
        </w:rPr>
        <w:t xml:space="preserve">showed no difference between LAAC compared with </w:t>
      </w:r>
      <w:r>
        <w:rPr>
          <w:color w:val="000000"/>
        </w:rPr>
        <w:t>D</w:t>
      </w:r>
      <w:r w:rsidRPr="00313196">
        <w:rPr>
          <w:color w:val="000000"/>
        </w:rPr>
        <w:t>OACs in the prevention of stroke, systemic embolism, cardiovascular mortality and all-cause mortality</w:t>
      </w:r>
      <w:r>
        <w:rPr>
          <w:color w:val="000000"/>
        </w:rPr>
        <w:t xml:space="preserve">. However, ESC </w:t>
      </w:r>
      <w:r w:rsidRPr="00313196">
        <w:rPr>
          <w:color w:val="000000"/>
        </w:rPr>
        <w:t xml:space="preserve">noted that the </w:t>
      </w:r>
      <w:r>
        <w:rPr>
          <w:color w:val="000000"/>
        </w:rPr>
        <w:t>trial</w:t>
      </w:r>
      <w:r w:rsidRPr="00313196">
        <w:rPr>
          <w:color w:val="000000"/>
        </w:rPr>
        <w:t xml:space="preserve"> was </w:t>
      </w:r>
      <w:r>
        <w:rPr>
          <w:color w:val="000000"/>
        </w:rPr>
        <w:t>not powered to detect differences between LAAC and DOAC for individual outcomes</w:t>
      </w:r>
      <w:r w:rsidRPr="00313196">
        <w:rPr>
          <w:color w:val="000000"/>
        </w:rPr>
        <w:t>.</w:t>
      </w:r>
      <w:r>
        <w:rPr>
          <w:color w:val="000000"/>
        </w:rPr>
        <w:t xml:space="preserve"> </w:t>
      </w:r>
      <w:r w:rsidRPr="00313196">
        <w:rPr>
          <w:color w:val="000000"/>
        </w:rPr>
        <w:t>ESC noted that the indirect meta-analysis showed no difference</w:t>
      </w:r>
      <w:r>
        <w:rPr>
          <w:color w:val="000000"/>
        </w:rPr>
        <w:t xml:space="preserve"> between LAAC and DOACs,</w:t>
      </w:r>
      <w:r w:rsidRPr="00313196">
        <w:rPr>
          <w:color w:val="000000"/>
        </w:rPr>
        <w:t xml:space="preserve"> and had wide confidence intervals.</w:t>
      </w:r>
      <w:r>
        <w:rPr>
          <w:color w:val="000000"/>
        </w:rPr>
        <w:t xml:space="preserve"> ESC also noted that e</w:t>
      </w:r>
      <w:r w:rsidRPr="00AA4617">
        <w:rPr>
          <w:color w:val="000000"/>
        </w:rPr>
        <w:t>ight LAAC patient</w:t>
      </w:r>
      <w:r>
        <w:rPr>
          <w:color w:val="000000"/>
        </w:rPr>
        <w:t xml:space="preserve">s in the PRAGUE-17 trial had a stroke during follow-up, and that in the </w:t>
      </w:r>
      <w:r w:rsidRPr="00AA4617">
        <w:rPr>
          <w:color w:val="000000"/>
        </w:rPr>
        <w:t>PREVAIL trial</w:t>
      </w:r>
      <w:r>
        <w:rPr>
          <w:color w:val="000000"/>
        </w:rPr>
        <w:t xml:space="preserve"> </w:t>
      </w:r>
      <w:r w:rsidRPr="00AA4617">
        <w:rPr>
          <w:color w:val="000000"/>
        </w:rPr>
        <w:t xml:space="preserve">LAAC did not meet </w:t>
      </w:r>
      <w:r>
        <w:rPr>
          <w:color w:val="000000"/>
        </w:rPr>
        <w:t xml:space="preserve">the predetermined non-inferiority endpoint due </w:t>
      </w:r>
      <w:r w:rsidRPr="00AA4617">
        <w:rPr>
          <w:color w:val="000000"/>
        </w:rPr>
        <w:t xml:space="preserve">higher </w:t>
      </w:r>
      <w:r>
        <w:rPr>
          <w:color w:val="000000"/>
        </w:rPr>
        <w:t xml:space="preserve">rates of strokes within the </w:t>
      </w:r>
      <w:r w:rsidRPr="00AA4617">
        <w:rPr>
          <w:color w:val="000000"/>
        </w:rPr>
        <w:t>LAAC arm</w:t>
      </w:r>
      <w:r>
        <w:rPr>
          <w:color w:val="000000"/>
        </w:rPr>
        <w:t>. ESC queried whether</w:t>
      </w:r>
      <w:r w:rsidRPr="00AA4617">
        <w:rPr>
          <w:color w:val="000000"/>
        </w:rPr>
        <w:t xml:space="preserve"> the lack of anticoagulation in patients with high CHA2DS2-VASc scores </w:t>
      </w:r>
      <w:r>
        <w:rPr>
          <w:color w:val="000000"/>
        </w:rPr>
        <w:t xml:space="preserve">may </w:t>
      </w:r>
      <w:r w:rsidRPr="00AA4617">
        <w:rPr>
          <w:color w:val="000000"/>
        </w:rPr>
        <w:t xml:space="preserve">put </w:t>
      </w:r>
      <w:r>
        <w:rPr>
          <w:color w:val="000000"/>
        </w:rPr>
        <w:t>these patients</w:t>
      </w:r>
      <w:r w:rsidRPr="00AA4617">
        <w:rPr>
          <w:color w:val="000000"/>
        </w:rPr>
        <w:t xml:space="preserve"> at risk of </w:t>
      </w:r>
      <w:r>
        <w:rPr>
          <w:color w:val="000000"/>
        </w:rPr>
        <w:t>other, non LAA ischaemic events.</w:t>
      </w:r>
    </w:p>
    <w:p w14:paraId="2C1C6697" w14:textId="77777777" w:rsidR="00AC1DAF" w:rsidRPr="00313196" w:rsidRDefault="00AC1DAF" w:rsidP="00AC1DAF">
      <w:pPr>
        <w:spacing w:after="240"/>
        <w:rPr>
          <w:color w:val="000000"/>
        </w:rPr>
      </w:pPr>
      <w:r w:rsidRPr="00313196">
        <w:rPr>
          <w:color w:val="000000"/>
        </w:rPr>
        <w:t xml:space="preserve">ESC </w:t>
      </w:r>
      <w:r>
        <w:rPr>
          <w:color w:val="000000"/>
        </w:rPr>
        <w:t xml:space="preserve">considered </w:t>
      </w:r>
      <w:r w:rsidRPr="00313196">
        <w:rPr>
          <w:color w:val="000000"/>
        </w:rPr>
        <w:t xml:space="preserve">that overall, </w:t>
      </w:r>
      <w:r>
        <w:rPr>
          <w:color w:val="000000"/>
        </w:rPr>
        <w:t>the evidence did not demonstrate that LAAC has superior safety to DOACs, and that the efficacy of LAAC compared to DOACs was</w:t>
      </w:r>
      <w:r w:rsidRPr="00313196">
        <w:rPr>
          <w:color w:val="000000"/>
        </w:rPr>
        <w:t xml:space="preserve"> uncertain as there </w:t>
      </w:r>
      <w:r>
        <w:rPr>
          <w:color w:val="000000"/>
        </w:rPr>
        <w:t>was</w:t>
      </w:r>
      <w:r w:rsidRPr="00313196">
        <w:rPr>
          <w:color w:val="000000"/>
        </w:rPr>
        <w:t xml:space="preserve"> </w:t>
      </w:r>
      <w:r>
        <w:rPr>
          <w:color w:val="000000"/>
        </w:rPr>
        <w:t>insufficient</w:t>
      </w:r>
      <w:r w:rsidRPr="00313196">
        <w:rPr>
          <w:color w:val="000000"/>
        </w:rPr>
        <w:t xml:space="preserve"> direct evidence.</w:t>
      </w:r>
    </w:p>
    <w:p w14:paraId="58987A88" w14:textId="77777777" w:rsidR="00AC1DAF" w:rsidRDefault="00AC1DAF" w:rsidP="00AC1DAF">
      <w:pPr>
        <w:spacing w:after="240"/>
        <w:rPr>
          <w:color w:val="000000"/>
        </w:rPr>
      </w:pPr>
      <w:r w:rsidRPr="00313196">
        <w:rPr>
          <w:color w:val="000000"/>
        </w:rPr>
        <w:t xml:space="preserve">ESC </w:t>
      </w:r>
      <w:r>
        <w:rPr>
          <w:color w:val="000000"/>
        </w:rPr>
        <w:t xml:space="preserve">reviewed the </w:t>
      </w:r>
      <w:r w:rsidRPr="00313196">
        <w:rPr>
          <w:color w:val="000000"/>
        </w:rPr>
        <w:t xml:space="preserve">cost-utility analysis </w:t>
      </w:r>
      <w:r>
        <w:rPr>
          <w:color w:val="000000"/>
        </w:rPr>
        <w:t xml:space="preserve">comparing the cost-effectiveness of LAAC with DOAC in patients with NVAF with relative contraindications to </w:t>
      </w:r>
      <w:r w:rsidRPr="00745107">
        <w:rPr>
          <w:color w:val="000000"/>
        </w:rPr>
        <w:t>anticoagulation</w:t>
      </w:r>
      <w:r>
        <w:rPr>
          <w:color w:val="000000"/>
        </w:rPr>
        <w:t xml:space="preserve"> (Population 2). ESC noted that the modelled treatment efficacy was based on stroke and post-procedural bleeding rates from the PRAGUE-17 trial. </w:t>
      </w:r>
    </w:p>
    <w:p w14:paraId="6CA19EC7" w14:textId="77777777" w:rsidR="00AC1DAF" w:rsidRPr="00313196" w:rsidRDefault="00AC1DAF" w:rsidP="00AC1DAF">
      <w:pPr>
        <w:spacing w:after="240"/>
        <w:rPr>
          <w:color w:val="000000"/>
        </w:rPr>
      </w:pPr>
      <w:r>
        <w:rPr>
          <w:color w:val="000000"/>
        </w:rPr>
        <w:t xml:space="preserve">ESC noted that although </w:t>
      </w:r>
      <w:r w:rsidRPr="00D448A8">
        <w:rPr>
          <w:color w:val="000000"/>
        </w:rPr>
        <w:t>the PRAGUE-17 trial showed no difference in</w:t>
      </w:r>
      <w:r>
        <w:rPr>
          <w:color w:val="000000"/>
        </w:rPr>
        <w:t xml:space="preserve"> the overall</w:t>
      </w:r>
      <w:r w:rsidRPr="00D448A8">
        <w:rPr>
          <w:color w:val="000000"/>
        </w:rPr>
        <w:t xml:space="preserve"> bleeding risk</w:t>
      </w:r>
      <w:r>
        <w:rPr>
          <w:color w:val="000000"/>
        </w:rPr>
        <w:t xml:space="preserve"> between LAAC and DOACs</w:t>
      </w:r>
      <w:r w:rsidRPr="00D448A8">
        <w:rPr>
          <w:color w:val="000000"/>
        </w:rPr>
        <w:t xml:space="preserve"> </w:t>
      </w:r>
      <w:r>
        <w:rPr>
          <w:color w:val="000000"/>
        </w:rPr>
        <w:t xml:space="preserve">(i.e. </w:t>
      </w:r>
      <w:r w:rsidRPr="00D448A8">
        <w:rPr>
          <w:color w:val="000000"/>
        </w:rPr>
        <w:t>combined procedura</w:t>
      </w:r>
      <w:r>
        <w:rPr>
          <w:color w:val="000000"/>
        </w:rPr>
        <w:t>l and post-procedural bleeding), the model did not include the procedural bleeding events and applied a hazard ratio of 0.53 based on post-procedural bleeding events only. ESC considered that the exclusion of procedural bleeding rates created significant uncertainty in the model</w:t>
      </w:r>
      <w:r w:rsidRPr="00927BB4">
        <w:rPr>
          <w:color w:val="000000"/>
        </w:rPr>
        <w:t>.</w:t>
      </w:r>
      <w:r>
        <w:rPr>
          <w:color w:val="000000"/>
        </w:rPr>
        <w:t xml:space="preserve"> ESC also noted the</w:t>
      </w:r>
      <w:r w:rsidRPr="00313196">
        <w:rPr>
          <w:color w:val="000000"/>
        </w:rPr>
        <w:t xml:space="preserve"> commentary estimated the odds ratio for procedural bleeding to be approximately 50% greater in the LAAC arm. </w:t>
      </w:r>
      <w:r>
        <w:rPr>
          <w:color w:val="000000"/>
        </w:rPr>
        <w:t>ESC acknowledged</w:t>
      </w:r>
      <w:r w:rsidRPr="00313196">
        <w:rPr>
          <w:color w:val="000000"/>
        </w:rPr>
        <w:t xml:space="preserve"> that this additional risk is only attributed in the first 7 days, and the impact of post-procedural bleeding may be greater than procedural bleeding</w:t>
      </w:r>
      <w:r>
        <w:rPr>
          <w:color w:val="000000"/>
        </w:rPr>
        <w:t xml:space="preserve">. However, ESC was uncertain whether any benefits in post-procedural bleeding were not offset by procedural bleeding. ESC agreed with the commentary that </w:t>
      </w:r>
      <w:r w:rsidRPr="00313196">
        <w:rPr>
          <w:color w:val="000000"/>
        </w:rPr>
        <w:t>th</w:t>
      </w:r>
      <w:r>
        <w:rPr>
          <w:color w:val="000000"/>
        </w:rPr>
        <w:t>e exclusion of this</w:t>
      </w:r>
      <w:r w:rsidRPr="00313196">
        <w:rPr>
          <w:color w:val="000000"/>
        </w:rPr>
        <w:t xml:space="preserve"> increased risk suggest</w:t>
      </w:r>
      <w:r>
        <w:rPr>
          <w:color w:val="000000"/>
        </w:rPr>
        <w:t>s</w:t>
      </w:r>
      <w:r w:rsidRPr="00313196">
        <w:rPr>
          <w:color w:val="000000"/>
        </w:rPr>
        <w:t xml:space="preserve"> that the model may overestimate the benefit of LAAC</w:t>
      </w:r>
      <w:r>
        <w:rPr>
          <w:color w:val="000000"/>
        </w:rPr>
        <w:t xml:space="preserve"> and that</w:t>
      </w:r>
      <w:r w:rsidRPr="00313196">
        <w:rPr>
          <w:color w:val="000000"/>
        </w:rPr>
        <w:t xml:space="preserve"> any marginal gains in incremental benefit may be questionable.</w:t>
      </w:r>
    </w:p>
    <w:p w14:paraId="0F551D4D" w14:textId="77777777" w:rsidR="00AC1DAF" w:rsidRPr="00313196" w:rsidRDefault="00AC1DAF" w:rsidP="00AC1DAF">
      <w:pPr>
        <w:spacing w:after="240"/>
        <w:rPr>
          <w:color w:val="000000"/>
        </w:rPr>
      </w:pPr>
      <w:r w:rsidRPr="00313196">
        <w:rPr>
          <w:color w:val="000000"/>
        </w:rPr>
        <w:t xml:space="preserve">ESC agreed with the commentary that </w:t>
      </w:r>
      <w:r>
        <w:rPr>
          <w:color w:val="000000"/>
        </w:rPr>
        <w:t>the utility values for the health states should be weighted to the Australian population norms. ESC disagreed with the pre-ESC response that it was inappropriate to apply utility weights from a different normative health-related quality of life (HRQoL) instrument (i.e SF-6D) to that used in the ADAR (i.e. EQ-5D)</w:t>
      </w:r>
      <w:r w:rsidRPr="00313196">
        <w:rPr>
          <w:color w:val="000000"/>
        </w:rPr>
        <w:t>.</w:t>
      </w:r>
      <w:r>
        <w:rPr>
          <w:color w:val="000000"/>
        </w:rPr>
        <w:t xml:space="preserve"> However, </w:t>
      </w:r>
      <w:r>
        <w:rPr>
          <w:color w:val="000000"/>
        </w:rPr>
        <w:lastRenderedPageBreak/>
        <w:t xml:space="preserve">ESC noted the pre-ESC response clarified that </w:t>
      </w:r>
      <w:r w:rsidRPr="00F16B5E">
        <w:rPr>
          <w:color w:val="000000"/>
        </w:rPr>
        <w:t>the average utility value of the model cohort is proportional to the percentage of patients that are in the non-disabling and disabling health states over the course of the modelled time horizon.</w:t>
      </w:r>
      <w:r>
        <w:rPr>
          <w:color w:val="000000"/>
        </w:rPr>
        <w:t xml:space="preserve"> On this basis, ESC considered that while the utility values in the ADAR are too high, the utility values proposed by the commentary may be too low. </w:t>
      </w:r>
    </w:p>
    <w:p w14:paraId="4F51C0C1" w14:textId="185F0E3E" w:rsidR="00AC1DAF" w:rsidRPr="00313196" w:rsidRDefault="00AC1DAF" w:rsidP="00AC1DAF">
      <w:pPr>
        <w:spacing w:after="240"/>
        <w:rPr>
          <w:color w:val="000000"/>
        </w:rPr>
      </w:pPr>
      <w:r w:rsidRPr="00313196">
        <w:rPr>
          <w:color w:val="000000"/>
        </w:rPr>
        <w:t xml:space="preserve">ESC noted </w:t>
      </w:r>
      <w:r>
        <w:rPr>
          <w:color w:val="000000"/>
        </w:rPr>
        <w:t xml:space="preserve">the </w:t>
      </w:r>
      <w:r w:rsidRPr="00313196">
        <w:rPr>
          <w:color w:val="000000"/>
        </w:rPr>
        <w:t>incremental cost-effectiveness ratios (ICERs</w:t>
      </w:r>
      <w:r>
        <w:rPr>
          <w:color w:val="000000"/>
        </w:rPr>
        <w:t>) in the applicant’s base case estimates and the commentary’s revised estimates ranged from $</w:t>
      </w:r>
      <w:r w:rsidR="00AD2A06" w:rsidRPr="00AD2A06">
        <w:rPr>
          <w:b/>
          <w:bCs/>
          <w:color w:val="000000"/>
        </w:rPr>
        <w:t>REDACTED</w:t>
      </w:r>
      <w:r w:rsidR="00AD2A06">
        <w:rPr>
          <w:b/>
          <w:bCs/>
          <w:color w:val="000000"/>
        </w:rPr>
        <w:t xml:space="preserve"> </w:t>
      </w:r>
      <w:r w:rsidRPr="00AD2A06">
        <w:rPr>
          <w:b/>
          <w:bCs/>
          <w:color w:val="000000"/>
        </w:rPr>
        <w:t>to</w:t>
      </w:r>
      <w:r>
        <w:rPr>
          <w:color w:val="000000"/>
        </w:rPr>
        <w:t xml:space="preserve"> </w:t>
      </w:r>
      <w:r w:rsidR="00AD2A06">
        <w:rPr>
          <w:color w:val="000000"/>
        </w:rPr>
        <w:t>$</w:t>
      </w:r>
      <w:r w:rsidR="00AD2A06" w:rsidRPr="00AD2A06">
        <w:rPr>
          <w:b/>
          <w:bCs/>
          <w:color w:val="000000"/>
        </w:rPr>
        <w:t>REDACTED</w:t>
      </w:r>
      <w:r w:rsidRPr="00AD2A06">
        <w:rPr>
          <w:color w:val="000000"/>
        </w:rPr>
        <w:t>, respectively</w:t>
      </w:r>
      <w:r>
        <w:rPr>
          <w:color w:val="000000"/>
        </w:rPr>
        <w:t xml:space="preserve">. ESC noted the pre-ESC response provided a revised estimate assuming the same bleeding rates between LAAC and DOACs (i.e. procedure + post-procedural) which estimated the ICER to be </w:t>
      </w:r>
      <w:r w:rsidR="00AD2A06">
        <w:rPr>
          <w:color w:val="000000"/>
        </w:rPr>
        <w:t>$</w:t>
      </w:r>
      <w:r w:rsidR="00AD2A06" w:rsidRPr="00AD2A06">
        <w:rPr>
          <w:b/>
          <w:bCs/>
          <w:color w:val="000000"/>
        </w:rPr>
        <w:t>REDACTED</w:t>
      </w:r>
      <w:r w:rsidRPr="00AD2A06">
        <w:rPr>
          <w:color w:val="000000"/>
        </w:rPr>
        <w:t>.</w:t>
      </w:r>
      <w:r>
        <w:rPr>
          <w:color w:val="000000"/>
        </w:rPr>
        <w:t xml:space="preserve"> </w:t>
      </w:r>
      <w:r w:rsidRPr="00E57196">
        <w:t xml:space="preserve">ESC noted that the model applied the published prices for DOACs and that when the weighted average effective price for DOACs was applied to the commentaries re-estimates the ICER increased to </w:t>
      </w:r>
      <w:r w:rsidRPr="00164D22">
        <w:t>$</w:t>
      </w:r>
      <w:r w:rsidR="00164D22" w:rsidRPr="00164D22">
        <w:rPr>
          <w:b/>
        </w:rPr>
        <w:t>redacted</w:t>
      </w:r>
      <w:r w:rsidRPr="00E57196">
        <w:rPr>
          <w:color w:val="FF0000"/>
        </w:rPr>
        <w:t>.</w:t>
      </w:r>
      <w:r>
        <w:rPr>
          <w:color w:val="000000"/>
        </w:rPr>
        <w:t xml:space="preserve"> Although, </w:t>
      </w:r>
      <w:r w:rsidRPr="00313196">
        <w:rPr>
          <w:color w:val="000000"/>
        </w:rPr>
        <w:t>ESC noted that the ICER appears to remain within acceptable cost-effectiveness thresholds</w:t>
      </w:r>
      <w:r>
        <w:rPr>
          <w:color w:val="000000"/>
        </w:rPr>
        <w:t xml:space="preserve">, </w:t>
      </w:r>
      <w:r w:rsidRPr="00AC4E06">
        <w:rPr>
          <w:color w:val="000000"/>
        </w:rPr>
        <w:t xml:space="preserve">ESC </w:t>
      </w:r>
      <w:r>
        <w:rPr>
          <w:color w:val="000000"/>
        </w:rPr>
        <w:t xml:space="preserve">also </w:t>
      </w:r>
      <w:r w:rsidRPr="00AC4E06">
        <w:rPr>
          <w:color w:val="000000"/>
        </w:rPr>
        <w:t>noted the major drivers of the model</w:t>
      </w:r>
      <w:r>
        <w:rPr>
          <w:color w:val="000000"/>
        </w:rPr>
        <w:t>,</w:t>
      </w:r>
      <w:r w:rsidRPr="00AC4E06">
        <w:rPr>
          <w:color w:val="000000"/>
        </w:rPr>
        <w:t xml:space="preserve"> </w:t>
      </w:r>
      <w:r w:rsidR="00265004" w:rsidRPr="00265004">
        <w:rPr>
          <w:b/>
          <w:bCs/>
          <w:color w:val="000000"/>
        </w:rPr>
        <w:t>REDACTED</w:t>
      </w:r>
      <w:r>
        <w:rPr>
          <w:color w:val="000000"/>
        </w:rPr>
        <w:t>, could have a significant impact on the ICER</w:t>
      </w:r>
      <w:r w:rsidRPr="00AC4E06">
        <w:rPr>
          <w:color w:val="000000"/>
        </w:rPr>
        <w:t xml:space="preserve">. </w:t>
      </w:r>
      <w:r>
        <w:rPr>
          <w:color w:val="000000"/>
        </w:rPr>
        <w:t>Overall, ESC considered the ICER to be uncertain</w:t>
      </w:r>
      <w:r w:rsidRPr="00313196">
        <w:rPr>
          <w:color w:val="000000"/>
        </w:rPr>
        <w:t xml:space="preserve">. </w:t>
      </w:r>
      <w:r>
        <w:rPr>
          <w:color w:val="000000"/>
        </w:rPr>
        <w:t>ESC advised that the applicant should provide MSAC with revised estimates</w:t>
      </w:r>
      <w:r w:rsidRPr="00AC4E06">
        <w:t xml:space="preserve"> </w:t>
      </w:r>
      <w:r>
        <w:rPr>
          <w:color w:val="000000"/>
        </w:rPr>
        <w:t>that include the</w:t>
      </w:r>
      <w:r w:rsidRPr="00AC4E06">
        <w:rPr>
          <w:color w:val="000000"/>
        </w:rPr>
        <w:t xml:space="preserve"> risk of post-procedural bleeding </w:t>
      </w:r>
      <w:r>
        <w:rPr>
          <w:color w:val="000000"/>
        </w:rPr>
        <w:t>and use the utility values from the alternative reference noted in the pre-ESC response (i.e. McCaffery 2016</w:t>
      </w:r>
      <w:r>
        <w:rPr>
          <w:rStyle w:val="FootnoteReference"/>
          <w:color w:val="000000"/>
        </w:rPr>
        <w:footnoteReference w:id="6"/>
      </w:r>
      <w:r>
        <w:rPr>
          <w:color w:val="000000"/>
        </w:rPr>
        <w:t>), along with sensitivity analyses testing a range of utility values and the assumed</w:t>
      </w:r>
      <w:r w:rsidR="00D03146">
        <w:rPr>
          <w:color w:val="000000"/>
        </w:rPr>
        <w:t xml:space="preserve"> rates for bleeding and stroke.</w:t>
      </w:r>
    </w:p>
    <w:p w14:paraId="0E5C8548" w14:textId="0109C338" w:rsidR="00AC1DAF" w:rsidRDefault="00AC1DAF" w:rsidP="00AC1DAF">
      <w:pPr>
        <w:spacing w:after="240"/>
        <w:rPr>
          <w:color w:val="000000"/>
        </w:rPr>
      </w:pPr>
      <w:r w:rsidRPr="00313196">
        <w:rPr>
          <w:color w:val="000000"/>
        </w:rPr>
        <w:t>ESC noted that</w:t>
      </w:r>
      <w:r>
        <w:rPr>
          <w:color w:val="000000"/>
        </w:rPr>
        <w:t xml:space="preserve"> the applicant presented separate financial impact estimates for Population 1 and Population 2.</w:t>
      </w:r>
      <w:r w:rsidRPr="00313196">
        <w:rPr>
          <w:color w:val="000000"/>
        </w:rPr>
        <w:t xml:space="preserve"> </w:t>
      </w:r>
      <w:r>
        <w:rPr>
          <w:color w:val="000000"/>
        </w:rPr>
        <w:t xml:space="preserve">ESC noted that for Population 1, the estimated uptake was based on current MBS data and </w:t>
      </w:r>
      <w:r w:rsidR="00AD2A06" w:rsidRPr="00AD2A06">
        <w:rPr>
          <w:b/>
          <w:bCs/>
          <w:color w:val="000000"/>
        </w:rPr>
        <w:t>REDACTED</w:t>
      </w:r>
      <w:r w:rsidRPr="00AD2A06">
        <w:rPr>
          <w:color w:val="000000"/>
        </w:rPr>
        <w:t>% eligibility</w:t>
      </w:r>
      <w:r>
        <w:rPr>
          <w:color w:val="000000"/>
        </w:rPr>
        <w:t xml:space="preserve"> expansion while assuming the same suitability and referral rates which, as noted for the previous application (MSAC 1347.1), there is some uncertainty regarding the ultimate uptake. ESC noted that based on the estimated additional utilisation for Population 1, the MBS budget impact is estimated </w:t>
      </w:r>
      <w:r w:rsidRPr="00AD2A06">
        <w:rPr>
          <w:color w:val="000000"/>
        </w:rPr>
        <w:t xml:space="preserve">to be </w:t>
      </w:r>
      <w:r w:rsidR="00AD2A06" w:rsidRPr="00AD2A06">
        <w:rPr>
          <w:color w:val="000000"/>
        </w:rPr>
        <w:t>$</w:t>
      </w:r>
      <w:r w:rsidR="00AD2A06" w:rsidRPr="00AD2A06">
        <w:rPr>
          <w:b/>
          <w:bCs/>
          <w:color w:val="000000"/>
        </w:rPr>
        <w:t>REDACTED</w:t>
      </w:r>
      <w:r w:rsidRPr="00AD2A06">
        <w:rPr>
          <w:color w:val="000000"/>
        </w:rPr>
        <w:t>.</w:t>
      </w:r>
      <w:r>
        <w:rPr>
          <w:color w:val="000000"/>
        </w:rPr>
        <w:t xml:space="preserve"> </w:t>
      </w:r>
    </w:p>
    <w:p w14:paraId="0E71D47B" w14:textId="365D6F4C" w:rsidR="00AC1DAF" w:rsidRPr="00313196" w:rsidRDefault="00AC1DAF" w:rsidP="00AC1DAF">
      <w:pPr>
        <w:spacing w:after="240"/>
        <w:rPr>
          <w:color w:val="000000"/>
        </w:rPr>
      </w:pPr>
      <w:r>
        <w:rPr>
          <w:color w:val="000000"/>
        </w:rPr>
        <w:t xml:space="preserve">For Population 2, </w:t>
      </w:r>
      <w:r w:rsidRPr="00313196">
        <w:rPr>
          <w:color w:val="000000"/>
        </w:rPr>
        <w:t xml:space="preserve">ESC noted that the </w:t>
      </w:r>
      <w:r>
        <w:rPr>
          <w:color w:val="000000"/>
        </w:rPr>
        <w:t xml:space="preserve">applicant </w:t>
      </w:r>
      <w:r w:rsidRPr="00313196">
        <w:rPr>
          <w:color w:val="000000"/>
        </w:rPr>
        <w:t xml:space="preserve">estimated the utilisation of </w:t>
      </w:r>
      <w:r>
        <w:rPr>
          <w:color w:val="000000"/>
        </w:rPr>
        <w:t>LAAC</w:t>
      </w:r>
      <w:r w:rsidRPr="00313196">
        <w:rPr>
          <w:color w:val="000000"/>
        </w:rPr>
        <w:t xml:space="preserve"> will increase approximately </w:t>
      </w:r>
      <w:r w:rsidR="00AD2A06" w:rsidRPr="00AD2A06">
        <w:rPr>
          <w:b/>
          <w:bCs/>
          <w:color w:val="000000"/>
        </w:rPr>
        <w:t>REDACTED</w:t>
      </w:r>
      <w:r w:rsidRPr="00313196">
        <w:rPr>
          <w:color w:val="000000"/>
        </w:rPr>
        <w:t xml:space="preserve">-fold with the proposed addition of the relative contraindications to </w:t>
      </w:r>
      <w:r w:rsidRPr="00745107">
        <w:rPr>
          <w:color w:val="000000"/>
        </w:rPr>
        <w:t>anticoagulation</w:t>
      </w:r>
      <w:r w:rsidRPr="00313196">
        <w:rPr>
          <w:color w:val="000000"/>
        </w:rPr>
        <w:t xml:space="preserve">. </w:t>
      </w:r>
      <w:r>
        <w:rPr>
          <w:color w:val="000000"/>
        </w:rPr>
        <w:t>ESC noted that the costs maybe under-estimated depending on whether the pre-intervention screening is conducted as an in-patient or out-patient procedure. ESC noted that these uncertainties</w:t>
      </w:r>
      <w:r w:rsidRPr="00313196">
        <w:rPr>
          <w:color w:val="000000"/>
        </w:rPr>
        <w:t xml:space="preserve"> makes utilisation and costing difficult to predict</w:t>
      </w:r>
      <w:r>
        <w:rPr>
          <w:color w:val="000000"/>
        </w:rPr>
        <w:t>. ESC considered that more r</w:t>
      </w:r>
      <w:r w:rsidRPr="00313196">
        <w:rPr>
          <w:color w:val="000000"/>
        </w:rPr>
        <w:t>obust estimates of population size with sensitivity analyses</w:t>
      </w:r>
      <w:r>
        <w:rPr>
          <w:color w:val="000000"/>
        </w:rPr>
        <w:t xml:space="preserve"> are required</w:t>
      </w:r>
      <w:r w:rsidRPr="00313196">
        <w:rPr>
          <w:color w:val="000000"/>
        </w:rPr>
        <w:t>.</w:t>
      </w:r>
    </w:p>
    <w:p w14:paraId="3FF12470" w14:textId="77777777" w:rsidR="00AC1DAF" w:rsidRPr="00313196" w:rsidRDefault="00AC1DAF" w:rsidP="00AC1DAF">
      <w:pPr>
        <w:spacing w:after="240"/>
        <w:rPr>
          <w:color w:val="000000"/>
        </w:rPr>
      </w:pPr>
      <w:r w:rsidRPr="00313196">
        <w:rPr>
          <w:color w:val="000000"/>
        </w:rPr>
        <w:t xml:space="preserve">ESC noted that the proposed LAAC listing eligibility criteria for either or both of the populations have the potential to grow the market for LAAC treatment. However, the extent of any changes in LAAC treatment numbers and resulting financial impacts that would result from the proposed revisions of either population (or both) are unclear. </w:t>
      </w:r>
      <w:r>
        <w:rPr>
          <w:color w:val="000000"/>
        </w:rPr>
        <w:t xml:space="preserve">ESC also noted that there is a potential overlap of eligible patients for Population 1 and Population 2 and therefore </w:t>
      </w:r>
      <w:r w:rsidRPr="00313196">
        <w:rPr>
          <w:color w:val="000000"/>
        </w:rPr>
        <w:t>adding the budget</w:t>
      </w:r>
      <w:r>
        <w:rPr>
          <w:color w:val="000000"/>
        </w:rPr>
        <w:t xml:space="preserve"> impact estimates for the two populations would overestimate the combined budget impact. ESC noted that the extent of this overlap is unclear and therefore the overall budget impact of expanding the absolute contraindications and including relative contraindications to </w:t>
      </w:r>
      <w:r w:rsidRPr="00745107">
        <w:rPr>
          <w:color w:val="000000"/>
        </w:rPr>
        <w:t>anticoagulation</w:t>
      </w:r>
      <w:r>
        <w:rPr>
          <w:color w:val="000000"/>
        </w:rPr>
        <w:t xml:space="preserve"> is unclear. ESC agreed with the a</w:t>
      </w:r>
      <w:r w:rsidRPr="00313196">
        <w:rPr>
          <w:color w:val="000000"/>
        </w:rPr>
        <w:t>dditional analys</w:t>
      </w:r>
      <w:r>
        <w:rPr>
          <w:color w:val="000000"/>
        </w:rPr>
        <w:t xml:space="preserve">es recommended by the commentary, including reconsideration of the financial estimates </w:t>
      </w:r>
      <w:r w:rsidRPr="00313196">
        <w:rPr>
          <w:color w:val="000000"/>
        </w:rPr>
        <w:t>to consider</w:t>
      </w:r>
      <w:r>
        <w:rPr>
          <w:color w:val="000000"/>
        </w:rPr>
        <w:t>:</w:t>
      </w:r>
      <w:r w:rsidRPr="00313196">
        <w:rPr>
          <w:color w:val="000000"/>
        </w:rPr>
        <w:t xml:space="preserve"> the likely eligible patient population and treatment uptake, </w:t>
      </w:r>
      <w:r w:rsidRPr="00B24CB6">
        <w:rPr>
          <w:color w:val="000000"/>
        </w:rPr>
        <w:t>the extent of any overlap between two populations</w:t>
      </w:r>
      <w:r>
        <w:rPr>
          <w:color w:val="000000"/>
        </w:rPr>
        <w:t>,</w:t>
      </w:r>
      <w:r w:rsidRPr="00313196">
        <w:rPr>
          <w:color w:val="000000"/>
        </w:rPr>
        <w:t xml:space="preserve"> </w:t>
      </w:r>
      <w:r>
        <w:rPr>
          <w:color w:val="000000"/>
        </w:rPr>
        <w:t>whether</w:t>
      </w:r>
      <w:r w:rsidRPr="00313196">
        <w:rPr>
          <w:color w:val="000000"/>
        </w:rPr>
        <w:t xml:space="preserve"> patient referral rates </w:t>
      </w:r>
      <w:r>
        <w:rPr>
          <w:color w:val="000000"/>
        </w:rPr>
        <w:t xml:space="preserve">may increase, the proportion of </w:t>
      </w:r>
      <w:r>
        <w:rPr>
          <w:color w:val="000000"/>
        </w:rPr>
        <w:lastRenderedPageBreak/>
        <w:t>referred patients deemed suitable for LAAC</w:t>
      </w:r>
      <w:r w:rsidRPr="00313196">
        <w:rPr>
          <w:color w:val="000000"/>
        </w:rPr>
        <w:t xml:space="preserve"> and</w:t>
      </w:r>
      <w:r>
        <w:rPr>
          <w:color w:val="000000"/>
        </w:rPr>
        <w:t xml:space="preserve"> current rates of LAAC uptake as a proportion of DOAC treated patients</w:t>
      </w:r>
      <w:r w:rsidRPr="00313196">
        <w:rPr>
          <w:color w:val="000000"/>
        </w:rPr>
        <w:t>.</w:t>
      </w:r>
    </w:p>
    <w:p w14:paraId="210FA78B" w14:textId="77777777" w:rsidR="00D90A38" w:rsidRPr="00F715D1" w:rsidRDefault="00BC1364" w:rsidP="00F715D1">
      <w:pPr>
        <w:pStyle w:val="Heading1"/>
      </w:pPr>
      <w:r w:rsidRPr="00F715D1">
        <w:t>Other significant factors</w:t>
      </w:r>
    </w:p>
    <w:p w14:paraId="5BB9ED94" w14:textId="192BDAD6" w:rsidR="00F908AB" w:rsidRPr="004610C3" w:rsidRDefault="009C4DE5" w:rsidP="009C4DE5">
      <w:pPr>
        <w:rPr>
          <w:b/>
        </w:rPr>
      </w:pPr>
      <w:r>
        <w:t>Nil.</w:t>
      </w:r>
    </w:p>
    <w:p w14:paraId="0FA2CDBE"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73BB9BC1" w14:textId="7FAF3D89" w:rsidR="00BC1364" w:rsidRPr="00265004" w:rsidRDefault="00B70F4B" w:rsidP="00F715D1">
      <w:pPr>
        <w:spacing w:after="240"/>
        <w:rPr>
          <w:szCs w:val="24"/>
        </w:rPr>
      </w:pPr>
      <w:r w:rsidRPr="00265004">
        <w:rPr>
          <w:szCs w:val="24"/>
        </w:rPr>
        <w:t xml:space="preserve">The Applicants are pleased </w:t>
      </w:r>
      <w:r w:rsidR="003B7EA3" w:rsidRPr="00265004">
        <w:rPr>
          <w:szCs w:val="24"/>
        </w:rPr>
        <w:t>with</w:t>
      </w:r>
      <w:r w:rsidRPr="00265004">
        <w:rPr>
          <w:szCs w:val="24"/>
        </w:rPr>
        <w:t xml:space="preserve"> MSAC</w:t>
      </w:r>
      <w:r w:rsidR="003B7EA3" w:rsidRPr="00265004">
        <w:rPr>
          <w:szCs w:val="24"/>
        </w:rPr>
        <w:t>’s</w:t>
      </w:r>
      <w:r w:rsidRPr="00265004">
        <w:rPr>
          <w:szCs w:val="24"/>
        </w:rPr>
        <w:t xml:space="preserve"> recommend</w:t>
      </w:r>
      <w:r w:rsidR="003B7EA3" w:rsidRPr="00265004">
        <w:rPr>
          <w:szCs w:val="24"/>
        </w:rPr>
        <w:t xml:space="preserve">ation to </w:t>
      </w:r>
      <w:r w:rsidRPr="00265004">
        <w:rPr>
          <w:szCs w:val="24"/>
        </w:rPr>
        <w:t>expan</w:t>
      </w:r>
      <w:r w:rsidR="003B7EA3" w:rsidRPr="00265004">
        <w:rPr>
          <w:szCs w:val="24"/>
        </w:rPr>
        <w:t>d</w:t>
      </w:r>
      <w:r w:rsidRPr="00265004">
        <w:rPr>
          <w:szCs w:val="24"/>
        </w:rPr>
        <w:t xml:space="preserve"> the listing of absolute contraindications to OAT </w:t>
      </w:r>
      <w:r w:rsidR="00445637" w:rsidRPr="00265004">
        <w:rPr>
          <w:szCs w:val="24"/>
        </w:rPr>
        <w:t xml:space="preserve">(population 1) </w:t>
      </w:r>
      <w:r w:rsidRPr="00265004">
        <w:rPr>
          <w:szCs w:val="24"/>
        </w:rPr>
        <w:t xml:space="preserve">allowing access to LAAC </w:t>
      </w:r>
      <w:r w:rsidR="00445637" w:rsidRPr="00265004">
        <w:rPr>
          <w:szCs w:val="24"/>
        </w:rPr>
        <w:t>in patients who currently do not meet the eligibility and hence are left untreated and at high risk of stroke. H</w:t>
      </w:r>
      <w:r w:rsidRPr="00265004">
        <w:rPr>
          <w:szCs w:val="24"/>
        </w:rPr>
        <w:t xml:space="preserve">owever, </w:t>
      </w:r>
      <w:r w:rsidR="00445637" w:rsidRPr="00265004">
        <w:rPr>
          <w:szCs w:val="24"/>
        </w:rPr>
        <w:t xml:space="preserve">the Applicants are disappointed that MSAC rejected listing of LAAC in patients with relative contraindications to OAT (population </w:t>
      </w:r>
      <w:r w:rsidR="00FE1F6B">
        <w:rPr>
          <w:szCs w:val="24"/>
        </w:rPr>
        <w:t>2</w:t>
      </w:r>
      <w:r w:rsidR="00445637" w:rsidRPr="00265004">
        <w:rPr>
          <w:szCs w:val="24"/>
        </w:rPr>
        <w:t xml:space="preserve">) and maintain that the totality of evidence support use of LAAC in these patients. Notably, MSAC did not appear to recognise the high rate of discontinuation of NOACs in Australian clinical practice, meaning any effectiveness of NOACs in clinical trial is </w:t>
      </w:r>
      <w:r w:rsidR="00AD2A06" w:rsidRPr="00265004">
        <w:rPr>
          <w:szCs w:val="24"/>
        </w:rPr>
        <w:t xml:space="preserve">likely </w:t>
      </w:r>
      <w:r w:rsidR="00445637" w:rsidRPr="00265004">
        <w:rPr>
          <w:szCs w:val="24"/>
        </w:rPr>
        <w:t>overstated relative to real world</w:t>
      </w:r>
      <w:r w:rsidR="00AD2A06" w:rsidRPr="00265004">
        <w:rPr>
          <w:szCs w:val="24"/>
        </w:rPr>
        <w:t xml:space="preserve"> usage</w:t>
      </w:r>
      <w:r w:rsidR="00445637" w:rsidRPr="00265004">
        <w:rPr>
          <w:szCs w:val="24"/>
        </w:rPr>
        <w:t xml:space="preserve">. </w:t>
      </w:r>
    </w:p>
    <w:p w14:paraId="7F5341FB" w14:textId="77777777" w:rsidR="00BC1364" w:rsidRPr="00F715D1" w:rsidRDefault="00271F18" w:rsidP="00F715D1">
      <w:pPr>
        <w:pStyle w:val="Heading1"/>
      </w:pPr>
      <w:r w:rsidRPr="00F715D1">
        <w:t>Further information on MSAC</w:t>
      </w:r>
    </w:p>
    <w:p w14:paraId="38173897"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26" w:tooltip="Link to Medical Services Advisory Committee website" w:history="1">
        <w:r w:rsidR="00BC2667" w:rsidRPr="00F715D1">
          <w:rPr>
            <w:rStyle w:val="Hyperlink"/>
            <w:szCs w:val="24"/>
          </w:rPr>
          <w:t>visit the MSAC website</w:t>
        </w:r>
      </w:hyperlink>
    </w:p>
    <w:sectPr w:rsidR="00BC1364" w:rsidRPr="00F715D1" w:rsidSect="00271F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02E7C" w14:textId="77777777" w:rsidR="00927CCF" w:rsidRDefault="00927CCF" w:rsidP="00065623">
      <w:r>
        <w:separator/>
      </w:r>
    </w:p>
    <w:p w14:paraId="2FCF7E6D" w14:textId="77777777" w:rsidR="00927CCF" w:rsidRDefault="00927CCF"/>
  </w:endnote>
  <w:endnote w:type="continuationSeparator" w:id="0">
    <w:p w14:paraId="6279D5A6" w14:textId="77777777" w:rsidR="00927CCF" w:rsidRDefault="00927CCF" w:rsidP="00065623">
      <w:r>
        <w:continuationSeparator/>
      </w:r>
    </w:p>
    <w:p w14:paraId="73B55984" w14:textId="77777777" w:rsidR="00927CCF" w:rsidRDefault="00927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28466" w14:textId="77777777" w:rsidR="00927CCF" w:rsidRDefault="00927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507969"/>
      <w:docPartObj>
        <w:docPartGallery w:val="Page Numbers (Bottom of Page)"/>
        <w:docPartUnique/>
      </w:docPartObj>
    </w:sdtPr>
    <w:sdtEndPr>
      <w:rPr>
        <w:noProof/>
      </w:rPr>
    </w:sdtEndPr>
    <w:sdtContent>
      <w:p w14:paraId="43ECA257" w14:textId="5DDD41EA" w:rsidR="00927CCF" w:rsidRDefault="00927CCF">
        <w:pPr>
          <w:pStyle w:val="Footer"/>
          <w:jc w:val="right"/>
        </w:pPr>
        <w:r>
          <w:fldChar w:fldCharType="begin"/>
        </w:r>
        <w:r>
          <w:instrText xml:space="preserve"> PAGE   \* MERGEFORMAT </w:instrText>
        </w:r>
        <w:r>
          <w:fldChar w:fldCharType="separate"/>
        </w:r>
        <w:r>
          <w:rPr>
            <w:noProof/>
          </w:rPr>
          <w:t>37</w:t>
        </w:r>
        <w:r>
          <w:rPr>
            <w:noProof/>
          </w:rPr>
          <w:fldChar w:fldCharType="end"/>
        </w:r>
      </w:p>
    </w:sdtContent>
  </w:sdt>
  <w:p w14:paraId="681CC8AE" w14:textId="77777777" w:rsidR="00927CCF" w:rsidRDefault="00927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67FD7" w14:textId="77777777" w:rsidR="00927CCF" w:rsidRDefault="00927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B4459" w14:textId="77777777" w:rsidR="00927CCF" w:rsidRDefault="00927CCF" w:rsidP="00065623">
      <w:r>
        <w:separator/>
      </w:r>
    </w:p>
    <w:p w14:paraId="1590B373" w14:textId="77777777" w:rsidR="00927CCF" w:rsidRDefault="00927CCF"/>
  </w:footnote>
  <w:footnote w:type="continuationSeparator" w:id="0">
    <w:p w14:paraId="63DFC04C" w14:textId="77777777" w:rsidR="00927CCF" w:rsidRDefault="00927CCF" w:rsidP="00065623">
      <w:r>
        <w:continuationSeparator/>
      </w:r>
    </w:p>
    <w:p w14:paraId="7A6BDF2F" w14:textId="77777777" w:rsidR="00927CCF" w:rsidRDefault="00927CCF"/>
  </w:footnote>
  <w:footnote w:id="1">
    <w:p w14:paraId="3E6AFD3E" w14:textId="77777777" w:rsidR="00927CCF" w:rsidRDefault="00927CCF" w:rsidP="00AC1DAF">
      <w:pPr>
        <w:pStyle w:val="FootnoteText"/>
      </w:pPr>
      <w:r>
        <w:rPr>
          <w:rStyle w:val="FootnoteReference"/>
        </w:rPr>
        <w:footnoteRef/>
      </w:r>
      <w:r>
        <w:t xml:space="preserve"> Population, Intervention, Comparator, Outcomes</w:t>
      </w:r>
    </w:p>
  </w:footnote>
  <w:footnote w:id="2">
    <w:p w14:paraId="67989DB1" w14:textId="77777777" w:rsidR="00927CCF" w:rsidRDefault="00927CCF" w:rsidP="00E93186">
      <w:pPr>
        <w:pStyle w:val="FootnoteText"/>
      </w:pPr>
      <w:r>
        <w:rPr>
          <w:rStyle w:val="FootnoteReference"/>
        </w:rPr>
        <w:footnoteRef/>
      </w:r>
      <w:r>
        <w:t xml:space="preserve"> Osmancik et al. (2020) </w:t>
      </w:r>
      <w:r w:rsidRPr="001A53DC">
        <w:rPr>
          <w:i/>
        </w:rPr>
        <w:t>Journal of the American College of Cardiology</w:t>
      </w:r>
      <w:r>
        <w:t>. 75(25):3122</w:t>
      </w:r>
    </w:p>
  </w:footnote>
  <w:footnote w:id="3">
    <w:p w14:paraId="68E3AED7" w14:textId="77777777" w:rsidR="00927CCF" w:rsidRDefault="00927CCF" w:rsidP="00E93186">
      <w:pPr>
        <w:pStyle w:val="FootnoteText"/>
      </w:pPr>
      <w:r>
        <w:rPr>
          <w:rStyle w:val="FootnoteReference"/>
        </w:rPr>
        <w:footnoteRef/>
      </w:r>
      <w:r>
        <w:t xml:space="preserve"> Arauz et al. (2017) </w:t>
      </w:r>
      <w:r w:rsidRPr="0014172A">
        <w:rPr>
          <w:i/>
        </w:rPr>
        <w:t>Journal of Vascular and Interventional Neurology</w:t>
      </w:r>
      <w:r>
        <w:t>. 9(6):</w:t>
      </w:r>
      <w:r w:rsidRPr="0014172A">
        <w:t>5</w:t>
      </w:r>
    </w:p>
  </w:footnote>
  <w:footnote w:id="4">
    <w:p w14:paraId="01B76000" w14:textId="77777777" w:rsidR="00927CCF" w:rsidRPr="00AF4663" w:rsidRDefault="00927CCF" w:rsidP="00E93186">
      <w:pPr>
        <w:pStyle w:val="FootnoteText"/>
      </w:pPr>
      <w:r>
        <w:rPr>
          <w:rStyle w:val="FootnoteReference"/>
        </w:rPr>
        <w:footnoteRef/>
      </w:r>
      <w:r>
        <w:t xml:space="preserve"> Gage et al. (1996) </w:t>
      </w:r>
      <w:r w:rsidRPr="00AF4663">
        <w:rPr>
          <w:i/>
        </w:rPr>
        <w:t>Archives of internal medicine</w:t>
      </w:r>
      <w:r>
        <w:t>. 156:1829</w:t>
      </w:r>
    </w:p>
  </w:footnote>
  <w:footnote w:id="5">
    <w:p w14:paraId="72EA9712" w14:textId="77777777" w:rsidR="00927CCF" w:rsidRPr="0014172A" w:rsidRDefault="00927CCF" w:rsidP="00E93186">
      <w:pPr>
        <w:pStyle w:val="FootnoteText"/>
      </w:pPr>
      <w:r>
        <w:rPr>
          <w:rStyle w:val="FootnoteReference"/>
        </w:rPr>
        <w:footnoteRef/>
      </w:r>
      <w:r>
        <w:t xml:space="preserve"> Norman et al. (2013) </w:t>
      </w:r>
      <w:r>
        <w:rPr>
          <w:i/>
        </w:rPr>
        <w:t>Australian and New Zealand journal of public health</w:t>
      </w:r>
      <w:r>
        <w:t>. 37(1):17</w:t>
      </w:r>
    </w:p>
  </w:footnote>
  <w:footnote w:id="6">
    <w:p w14:paraId="29820845" w14:textId="77777777" w:rsidR="00927CCF" w:rsidRPr="00666160" w:rsidRDefault="00927CCF" w:rsidP="00AC1DAF">
      <w:pPr>
        <w:pStyle w:val="FootnoteText"/>
      </w:pPr>
      <w:r>
        <w:rPr>
          <w:rStyle w:val="FootnoteReference"/>
        </w:rPr>
        <w:footnoteRef/>
      </w:r>
      <w:r>
        <w:t xml:space="preserve"> McCaffrey et al. (2016) </w:t>
      </w:r>
      <w:r>
        <w:rPr>
          <w:i/>
        </w:rPr>
        <w:t>Health Qual Life Outcomes</w:t>
      </w:r>
      <w:r>
        <w:t>. 14(1):133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91A70" w14:textId="77777777" w:rsidR="00927CCF" w:rsidRDefault="00927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271C3" w14:textId="77777777" w:rsidR="00927CCF" w:rsidRDefault="00927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E57B3" w14:textId="77777777" w:rsidR="00927CCF" w:rsidRDefault="00927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18C570D"/>
    <w:multiLevelType w:val="hybridMultilevel"/>
    <w:tmpl w:val="C0867E9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115980"/>
    <w:multiLevelType w:val="hybridMultilevel"/>
    <w:tmpl w:val="BC54972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290C73"/>
    <w:multiLevelType w:val="hybridMultilevel"/>
    <w:tmpl w:val="A2C6104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9" w15:restartNumberingAfterBreak="0">
    <w:nsid w:val="233D0887"/>
    <w:multiLevelType w:val="hybridMultilevel"/>
    <w:tmpl w:val="25D812FE"/>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C52D7"/>
    <w:multiLevelType w:val="hybridMultilevel"/>
    <w:tmpl w:val="B0F6605C"/>
    <w:lvl w:ilvl="0" w:tplc="F86838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177E91"/>
    <w:multiLevelType w:val="hybridMultilevel"/>
    <w:tmpl w:val="62EC52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0CF221A"/>
    <w:multiLevelType w:val="hybridMultilevel"/>
    <w:tmpl w:val="AF8AD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0F3219"/>
    <w:multiLevelType w:val="hybridMultilevel"/>
    <w:tmpl w:val="D4DA2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B76923"/>
    <w:multiLevelType w:val="hybridMultilevel"/>
    <w:tmpl w:val="436C0B9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7" w15:restartNumberingAfterBreak="0">
    <w:nsid w:val="37853563"/>
    <w:multiLevelType w:val="hybridMultilevel"/>
    <w:tmpl w:val="DCB228E6"/>
    <w:lvl w:ilvl="0" w:tplc="691E3BAE">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21"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375B4D"/>
    <w:multiLevelType w:val="hybridMultilevel"/>
    <w:tmpl w:val="2C9E32A4"/>
    <w:lvl w:ilvl="0" w:tplc="59A6CCD8">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6"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440D0B"/>
    <w:multiLevelType w:val="hybridMultilevel"/>
    <w:tmpl w:val="78A49728"/>
    <w:lvl w:ilvl="0" w:tplc="EF3EC28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15C59D2"/>
    <w:multiLevelType w:val="hybridMultilevel"/>
    <w:tmpl w:val="6FEE8D64"/>
    <w:lvl w:ilvl="0" w:tplc="A83698F2">
      <w:numFmt w:val="bullet"/>
      <w:lvlText w:val="-"/>
      <w:lvlJc w:val="left"/>
      <w:pPr>
        <w:ind w:left="454" w:hanging="360"/>
      </w:pPr>
      <w:rPr>
        <w:rFonts w:ascii="Calibri" w:eastAsia="Times New Roman" w:hAnsi="Calibri" w:cs="Calibri" w:hint="default"/>
        <w:color w:val="auto"/>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2"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4F540D"/>
    <w:multiLevelType w:val="hybridMultilevel"/>
    <w:tmpl w:val="122699E4"/>
    <w:lvl w:ilvl="0" w:tplc="0C09000F">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A847A2"/>
    <w:multiLevelType w:val="hybridMultilevel"/>
    <w:tmpl w:val="5C90638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77F0988"/>
    <w:multiLevelType w:val="hybridMultilevel"/>
    <w:tmpl w:val="05803AF6"/>
    <w:lvl w:ilvl="0" w:tplc="0C74035A">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03B30"/>
    <w:multiLevelType w:val="hybridMultilevel"/>
    <w:tmpl w:val="E656F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4"/>
  </w:num>
  <w:num w:numId="3">
    <w:abstractNumId w:val="1"/>
  </w:num>
  <w:num w:numId="4">
    <w:abstractNumId w:val="27"/>
  </w:num>
  <w:num w:numId="5">
    <w:abstractNumId w:val="19"/>
  </w:num>
  <w:num w:numId="6">
    <w:abstractNumId w:val="26"/>
  </w:num>
  <w:num w:numId="7">
    <w:abstractNumId w:val="32"/>
  </w:num>
  <w:num w:numId="8">
    <w:abstractNumId w:val="21"/>
  </w:num>
  <w:num w:numId="9">
    <w:abstractNumId w:val="43"/>
  </w:num>
  <w:num w:numId="10">
    <w:abstractNumId w:val="0"/>
  </w:num>
  <w:num w:numId="11">
    <w:abstractNumId w:val="30"/>
  </w:num>
  <w:num w:numId="12">
    <w:abstractNumId w:val="33"/>
  </w:num>
  <w:num w:numId="13">
    <w:abstractNumId w:val="6"/>
  </w:num>
  <w:num w:numId="14">
    <w:abstractNumId w:val="39"/>
  </w:num>
  <w:num w:numId="15">
    <w:abstractNumId w:val="28"/>
  </w:num>
  <w:num w:numId="16">
    <w:abstractNumId w:val="34"/>
  </w:num>
  <w:num w:numId="17">
    <w:abstractNumId w:val="22"/>
  </w:num>
  <w:num w:numId="18">
    <w:abstractNumId w:val="23"/>
  </w:num>
  <w:num w:numId="19">
    <w:abstractNumId w:val="36"/>
  </w:num>
  <w:num w:numId="20">
    <w:abstractNumId w:val="35"/>
  </w:num>
  <w:num w:numId="21">
    <w:abstractNumId w:val="3"/>
  </w:num>
  <w:num w:numId="22">
    <w:abstractNumId w:val="18"/>
  </w:num>
  <w:num w:numId="23">
    <w:abstractNumId w:val="2"/>
  </w:num>
  <w:num w:numId="24">
    <w:abstractNumId w:val="13"/>
  </w:num>
  <w:num w:numId="25">
    <w:abstractNumId w:val="7"/>
  </w:num>
  <w:num w:numId="26">
    <w:abstractNumId w:val="16"/>
  </w:num>
  <w:num w:numId="27">
    <w:abstractNumId w:val="8"/>
  </w:num>
  <w:num w:numId="28">
    <w:abstractNumId w:val="31"/>
  </w:num>
  <w:num w:numId="29">
    <w:abstractNumId w:val="11"/>
  </w:num>
  <w:num w:numId="30">
    <w:abstractNumId w:val="9"/>
  </w:num>
  <w:num w:numId="31">
    <w:abstractNumId w:val="4"/>
  </w:num>
  <w:num w:numId="32">
    <w:abstractNumId w:val="38"/>
  </w:num>
  <w:num w:numId="33">
    <w:abstractNumId w:val="20"/>
  </w:num>
  <w:num w:numId="34">
    <w:abstractNumId w:val="25"/>
  </w:num>
  <w:num w:numId="35">
    <w:abstractNumId w:val="15"/>
  </w:num>
  <w:num w:numId="36">
    <w:abstractNumId w:val="41"/>
  </w:num>
  <w:num w:numId="37">
    <w:abstractNumId w:val="5"/>
  </w:num>
  <w:num w:numId="38">
    <w:abstractNumId w:val="29"/>
  </w:num>
  <w:num w:numId="39">
    <w:abstractNumId w:val="12"/>
  </w:num>
  <w:num w:numId="40">
    <w:abstractNumId w:val="40"/>
  </w:num>
  <w:num w:numId="41">
    <w:abstractNumId w:val="37"/>
  </w:num>
  <w:num w:numId="42">
    <w:abstractNumId w:val="17"/>
  </w:num>
  <w:num w:numId="43">
    <w:abstractNumId w:val="14"/>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ailMerge>
    <w:mainDocumentType w:val="mailingLabels"/>
    <w:dataType w:val="textFile"/>
    <w:activeRecord w:val="-1"/>
  </w:mailMerge>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6950"/>
    <w:rsid w:val="00007312"/>
    <w:rsid w:val="00010E27"/>
    <w:rsid w:val="00011A36"/>
    <w:rsid w:val="00011D3F"/>
    <w:rsid w:val="000124A3"/>
    <w:rsid w:val="0001311B"/>
    <w:rsid w:val="000251F2"/>
    <w:rsid w:val="000315F9"/>
    <w:rsid w:val="000317F2"/>
    <w:rsid w:val="00032069"/>
    <w:rsid w:val="00037CF0"/>
    <w:rsid w:val="00047606"/>
    <w:rsid w:val="00047E1A"/>
    <w:rsid w:val="00064389"/>
    <w:rsid w:val="00065623"/>
    <w:rsid w:val="000663AA"/>
    <w:rsid w:val="000756B9"/>
    <w:rsid w:val="00096B67"/>
    <w:rsid w:val="00096DAF"/>
    <w:rsid w:val="000C2F47"/>
    <w:rsid w:val="000D2B9A"/>
    <w:rsid w:val="000D6C00"/>
    <w:rsid w:val="000E4E04"/>
    <w:rsid w:val="000E5CAE"/>
    <w:rsid w:val="000F14B4"/>
    <w:rsid w:val="000F75DF"/>
    <w:rsid w:val="001023DC"/>
    <w:rsid w:val="001328FA"/>
    <w:rsid w:val="00147AAF"/>
    <w:rsid w:val="001552C0"/>
    <w:rsid w:val="00161451"/>
    <w:rsid w:val="001640B1"/>
    <w:rsid w:val="00164D22"/>
    <w:rsid w:val="00174A21"/>
    <w:rsid w:val="00183995"/>
    <w:rsid w:val="0018435E"/>
    <w:rsid w:val="00186285"/>
    <w:rsid w:val="00191B96"/>
    <w:rsid w:val="00196E8B"/>
    <w:rsid w:val="001A50B7"/>
    <w:rsid w:val="001A6F51"/>
    <w:rsid w:val="001D28DC"/>
    <w:rsid w:val="001D3D7D"/>
    <w:rsid w:val="002041A1"/>
    <w:rsid w:val="002054F0"/>
    <w:rsid w:val="00220125"/>
    <w:rsid w:val="0022043C"/>
    <w:rsid w:val="00227B22"/>
    <w:rsid w:val="00230D6B"/>
    <w:rsid w:val="002314D3"/>
    <w:rsid w:val="00232068"/>
    <w:rsid w:val="002330F2"/>
    <w:rsid w:val="002369E1"/>
    <w:rsid w:val="00243D9E"/>
    <w:rsid w:val="00253B66"/>
    <w:rsid w:val="00261DF1"/>
    <w:rsid w:val="00265004"/>
    <w:rsid w:val="00271F18"/>
    <w:rsid w:val="00282779"/>
    <w:rsid w:val="0028334D"/>
    <w:rsid w:val="0029378D"/>
    <w:rsid w:val="00294B4E"/>
    <w:rsid w:val="00297378"/>
    <w:rsid w:val="002A3EBF"/>
    <w:rsid w:val="002B2204"/>
    <w:rsid w:val="002B3D18"/>
    <w:rsid w:val="002B7FFA"/>
    <w:rsid w:val="002C2BCF"/>
    <w:rsid w:val="002F09CB"/>
    <w:rsid w:val="002F279D"/>
    <w:rsid w:val="002F43B8"/>
    <w:rsid w:val="002F6E75"/>
    <w:rsid w:val="003237B4"/>
    <w:rsid w:val="003302E4"/>
    <w:rsid w:val="00331569"/>
    <w:rsid w:val="00336856"/>
    <w:rsid w:val="0034554D"/>
    <w:rsid w:val="00352224"/>
    <w:rsid w:val="003671E6"/>
    <w:rsid w:val="00373A28"/>
    <w:rsid w:val="00380C23"/>
    <w:rsid w:val="00384272"/>
    <w:rsid w:val="00386D67"/>
    <w:rsid w:val="00387E6E"/>
    <w:rsid w:val="003945B8"/>
    <w:rsid w:val="003B12DC"/>
    <w:rsid w:val="003B4E61"/>
    <w:rsid w:val="003B7EA3"/>
    <w:rsid w:val="003D3416"/>
    <w:rsid w:val="003D3C9E"/>
    <w:rsid w:val="003D44D2"/>
    <w:rsid w:val="003D7F29"/>
    <w:rsid w:val="00405A6B"/>
    <w:rsid w:val="00407B1F"/>
    <w:rsid w:val="0041184F"/>
    <w:rsid w:val="00414C57"/>
    <w:rsid w:val="004152FD"/>
    <w:rsid w:val="0041758C"/>
    <w:rsid w:val="00417B0D"/>
    <w:rsid w:val="00444971"/>
    <w:rsid w:val="00444E9B"/>
    <w:rsid w:val="00445637"/>
    <w:rsid w:val="00451358"/>
    <w:rsid w:val="004539DE"/>
    <w:rsid w:val="00454EC2"/>
    <w:rsid w:val="00490593"/>
    <w:rsid w:val="004967B0"/>
    <w:rsid w:val="004A2CF1"/>
    <w:rsid w:val="004A4CC2"/>
    <w:rsid w:val="004A4D40"/>
    <w:rsid w:val="004C1E95"/>
    <w:rsid w:val="004C3035"/>
    <w:rsid w:val="004C307F"/>
    <w:rsid w:val="004E4BA8"/>
    <w:rsid w:val="004F340F"/>
    <w:rsid w:val="004F7B7C"/>
    <w:rsid w:val="00511ED5"/>
    <w:rsid w:val="005170B0"/>
    <w:rsid w:val="0052243D"/>
    <w:rsid w:val="00532435"/>
    <w:rsid w:val="00532F79"/>
    <w:rsid w:val="00533636"/>
    <w:rsid w:val="00543307"/>
    <w:rsid w:val="00550121"/>
    <w:rsid w:val="00550354"/>
    <w:rsid w:val="00563ACB"/>
    <w:rsid w:val="00571236"/>
    <w:rsid w:val="00581B2C"/>
    <w:rsid w:val="005909BC"/>
    <w:rsid w:val="005953A1"/>
    <w:rsid w:val="005A4362"/>
    <w:rsid w:val="005B5434"/>
    <w:rsid w:val="005D0332"/>
    <w:rsid w:val="005D0A03"/>
    <w:rsid w:val="005D0D8C"/>
    <w:rsid w:val="005E2FD2"/>
    <w:rsid w:val="005E68AC"/>
    <w:rsid w:val="005F5AD8"/>
    <w:rsid w:val="00615606"/>
    <w:rsid w:val="00622B5C"/>
    <w:rsid w:val="006400A9"/>
    <w:rsid w:val="00644FA5"/>
    <w:rsid w:val="0065158D"/>
    <w:rsid w:val="006776AE"/>
    <w:rsid w:val="006A0D97"/>
    <w:rsid w:val="006B1F86"/>
    <w:rsid w:val="006C0A91"/>
    <w:rsid w:val="006C7856"/>
    <w:rsid w:val="006D00BD"/>
    <w:rsid w:val="006D66AB"/>
    <w:rsid w:val="006E0234"/>
    <w:rsid w:val="006F3B6A"/>
    <w:rsid w:val="007045BF"/>
    <w:rsid w:val="007054BB"/>
    <w:rsid w:val="00707064"/>
    <w:rsid w:val="00722BA0"/>
    <w:rsid w:val="00730683"/>
    <w:rsid w:val="00744AB5"/>
    <w:rsid w:val="00752038"/>
    <w:rsid w:val="0075261F"/>
    <w:rsid w:val="0075468E"/>
    <w:rsid w:val="007665D8"/>
    <w:rsid w:val="00766E36"/>
    <w:rsid w:val="007765F4"/>
    <w:rsid w:val="00776633"/>
    <w:rsid w:val="00783423"/>
    <w:rsid w:val="00784D53"/>
    <w:rsid w:val="00785C65"/>
    <w:rsid w:val="00790537"/>
    <w:rsid w:val="00791787"/>
    <w:rsid w:val="00793D2C"/>
    <w:rsid w:val="00797797"/>
    <w:rsid w:val="007A1CFC"/>
    <w:rsid w:val="007A5C90"/>
    <w:rsid w:val="007A63C9"/>
    <w:rsid w:val="007B222D"/>
    <w:rsid w:val="007B26A7"/>
    <w:rsid w:val="007B32D1"/>
    <w:rsid w:val="007B7095"/>
    <w:rsid w:val="007C32EC"/>
    <w:rsid w:val="007D24E1"/>
    <w:rsid w:val="007D6288"/>
    <w:rsid w:val="007D63F2"/>
    <w:rsid w:val="007E7650"/>
    <w:rsid w:val="007F0A55"/>
    <w:rsid w:val="007F4CE9"/>
    <w:rsid w:val="007F4E20"/>
    <w:rsid w:val="007F5E69"/>
    <w:rsid w:val="0082105F"/>
    <w:rsid w:val="00822C7E"/>
    <w:rsid w:val="008275A0"/>
    <w:rsid w:val="008378E4"/>
    <w:rsid w:val="008404D3"/>
    <w:rsid w:val="0084118A"/>
    <w:rsid w:val="00847060"/>
    <w:rsid w:val="00847A36"/>
    <w:rsid w:val="00851C24"/>
    <w:rsid w:val="00855BC0"/>
    <w:rsid w:val="00856A33"/>
    <w:rsid w:val="00865237"/>
    <w:rsid w:val="00885D8C"/>
    <w:rsid w:val="008914BD"/>
    <w:rsid w:val="00892620"/>
    <w:rsid w:val="008C19F9"/>
    <w:rsid w:val="008C778E"/>
    <w:rsid w:val="008C7D37"/>
    <w:rsid w:val="008D1722"/>
    <w:rsid w:val="008D5885"/>
    <w:rsid w:val="008E5047"/>
    <w:rsid w:val="008E66DD"/>
    <w:rsid w:val="008F3032"/>
    <w:rsid w:val="00921F01"/>
    <w:rsid w:val="00923FA2"/>
    <w:rsid w:val="00927CCF"/>
    <w:rsid w:val="00940C7C"/>
    <w:rsid w:val="0096060D"/>
    <w:rsid w:val="00967356"/>
    <w:rsid w:val="0096757B"/>
    <w:rsid w:val="00974A50"/>
    <w:rsid w:val="0097585A"/>
    <w:rsid w:val="009924B0"/>
    <w:rsid w:val="009942C9"/>
    <w:rsid w:val="009A587A"/>
    <w:rsid w:val="009B2E38"/>
    <w:rsid w:val="009B35C4"/>
    <w:rsid w:val="009C4DE5"/>
    <w:rsid w:val="009C4E0A"/>
    <w:rsid w:val="009C630A"/>
    <w:rsid w:val="009E0D98"/>
    <w:rsid w:val="009F6559"/>
    <w:rsid w:val="00A068A1"/>
    <w:rsid w:val="00A1207D"/>
    <w:rsid w:val="00A12FD8"/>
    <w:rsid w:val="00A145DF"/>
    <w:rsid w:val="00A31BEB"/>
    <w:rsid w:val="00A3452E"/>
    <w:rsid w:val="00A346FC"/>
    <w:rsid w:val="00A45C73"/>
    <w:rsid w:val="00A46D77"/>
    <w:rsid w:val="00A6376C"/>
    <w:rsid w:val="00A65F0E"/>
    <w:rsid w:val="00A830EF"/>
    <w:rsid w:val="00A846F2"/>
    <w:rsid w:val="00A84F93"/>
    <w:rsid w:val="00A85E35"/>
    <w:rsid w:val="00A860D8"/>
    <w:rsid w:val="00AA1C60"/>
    <w:rsid w:val="00AA5309"/>
    <w:rsid w:val="00AB1909"/>
    <w:rsid w:val="00AB1AC5"/>
    <w:rsid w:val="00AB3BFC"/>
    <w:rsid w:val="00AC1DAF"/>
    <w:rsid w:val="00AC4F2E"/>
    <w:rsid w:val="00AD0C37"/>
    <w:rsid w:val="00AD2A06"/>
    <w:rsid w:val="00AD385F"/>
    <w:rsid w:val="00AE6E2A"/>
    <w:rsid w:val="00B03EAB"/>
    <w:rsid w:val="00B20D5D"/>
    <w:rsid w:val="00B3097D"/>
    <w:rsid w:val="00B31E9C"/>
    <w:rsid w:val="00B32467"/>
    <w:rsid w:val="00B334CA"/>
    <w:rsid w:val="00B35595"/>
    <w:rsid w:val="00B47700"/>
    <w:rsid w:val="00B51C6D"/>
    <w:rsid w:val="00B51D3B"/>
    <w:rsid w:val="00B51FB4"/>
    <w:rsid w:val="00B57167"/>
    <w:rsid w:val="00B70F4B"/>
    <w:rsid w:val="00B7253A"/>
    <w:rsid w:val="00B76B57"/>
    <w:rsid w:val="00B83DD2"/>
    <w:rsid w:val="00B86D64"/>
    <w:rsid w:val="00B942B6"/>
    <w:rsid w:val="00BA4AC5"/>
    <w:rsid w:val="00BC1364"/>
    <w:rsid w:val="00BC2667"/>
    <w:rsid w:val="00BC7DE9"/>
    <w:rsid w:val="00BF33EC"/>
    <w:rsid w:val="00BF479B"/>
    <w:rsid w:val="00C02577"/>
    <w:rsid w:val="00C06B0B"/>
    <w:rsid w:val="00C14217"/>
    <w:rsid w:val="00C204FB"/>
    <w:rsid w:val="00C20BEE"/>
    <w:rsid w:val="00C2158D"/>
    <w:rsid w:val="00C253C0"/>
    <w:rsid w:val="00C2648D"/>
    <w:rsid w:val="00C3174F"/>
    <w:rsid w:val="00C64465"/>
    <w:rsid w:val="00C67DD2"/>
    <w:rsid w:val="00C725CB"/>
    <w:rsid w:val="00C76F5C"/>
    <w:rsid w:val="00C9297D"/>
    <w:rsid w:val="00C94CA3"/>
    <w:rsid w:val="00C96BAD"/>
    <w:rsid w:val="00CA3B53"/>
    <w:rsid w:val="00CA6944"/>
    <w:rsid w:val="00CB0F8E"/>
    <w:rsid w:val="00CB59F5"/>
    <w:rsid w:val="00CB7E0E"/>
    <w:rsid w:val="00CB7E7D"/>
    <w:rsid w:val="00CC2911"/>
    <w:rsid w:val="00CC5079"/>
    <w:rsid w:val="00CC769C"/>
    <w:rsid w:val="00CD092D"/>
    <w:rsid w:val="00CF0380"/>
    <w:rsid w:val="00CF0C6D"/>
    <w:rsid w:val="00CF309C"/>
    <w:rsid w:val="00CF4E81"/>
    <w:rsid w:val="00CF4FD0"/>
    <w:rsid w:val="00CF7307"/>
    <w:rsid w:val="00CF79CA"/>
    <w:rsid w:val="00CF7C68"/>
    <w:rsid w:val="00D03146"/>
    <w:rsid w:val="00D038DD"/>
    <w:rsid w:val="00D124FA"/>
    <w:rsid w:val="00D124FC"/>
    <w:rsid w:val="00D340DE"/>
    <w:rsid w:val="00D347F8"/>
    <w:rsid w:val="00D357DA"/>
    <w:rsid w:val="00D543BF"/>
    <w:rsid w:val="00D55723"/>
    <w:rsid w:val="00D600CF"/>
    <w:rsid w:val="00D62FAD"/>
    <w:rsid w:val="00D64355"/>
    <w:rsid w:val="00D67170"/>
    <w:rsid w:val="00D70450"/>
    <w:rsid w:val="00D74BE3"/>
    <w:rsid w:val="00D77296"/>
    <w:rsid w:val="00D83BFD"/>
    <w:rsid w:val="00D90A38"/>
    <w:rsid w:val="00D95739"/>
    <w:rsid w:val="00DA0515"/>
    <w:rsid w:val="00DA0D02"/>
    <w:rsid w:val="00DA171E"/>
    <w:rsid w:val="00DA2CF4"/>
    <w:rsid w:val="00DA56AA"/>
    <w:rsid w:val="00DB5833"/>
    <w:rsid w:val="00DB6DD4"/>
    <w:rsid w:val="00DC110C"/>
    <w:rsid w:val="00DD2858"/>
    <w:rsid w:val="00DF489D"/>
    <w:rsid w:val="00DF6073"/>
    <w:rsid w:val="00E03E33"/>
    <w:rsid w:val="00E059E0"/>
    <w:rsid w:val="00E3642A"/>
    <w:rsid w:val="00E37223"/>
    <w:rsid w:val="00E415C4"/>
    <w:rsid w:val="00E50016"/>
    <w:rsid w:val="00E50EAA"/>
    <w:rsid w:val="00E656D6"/>
    <w:rsid w:val="00E6683C"/>
    <w:rsid w:val="00E81885"/>
    <w:rsid w:val="00E86049"/>
    <w:rsid w:val="00E87693"/>
    <w:rsid w:val="00E93186"/>
    <w:rsid w:val="00E977EE"/>
    <w:rsid w:val="00EA00F3"/>
    <w:rsid w:val="00EA2F24"/>
    <w:rsid w:val="00EA5C0E"/>
    <w:rsid w:val="00EA67A2"/>
    <w:rsid w:val="00EB0F42"/>
    <w:rsid w:val="00EB1948"/>
    <w:rsid w:val="00EB2A33"/>
    <w:rsid w:val="00EB630F"/>
    <w:rsid w:val="00EB6B6F"/>
    <w:rsid w:val="00EC4F98"/>
    <w:rsid w:val="00ED0B61"/>
    <w:rsid w:val="00EE26EE"/>
    <w:rsid w:val="00EE5C48"/>
    <w:rsid w:val="00F12F02"/>
    <w:rsid w:val="00F2330A"/>
    <w:rsid w:val="00F31B63"/>
    <w:rsid w:val="00F32E0D"/>
    <w:rsid w:val="00F35134"/>
    <w:rsid w:val="00F35DA9"/>
    <w:rsid w:val="00F37B9C"/>
    <w:rsid w:val="00F41812"/>
    <w:rsid w:val="00F46E5A"/>
    <w:rsid w:val="00F51371"/>
    <w:rsid w:val="00F56D7F"/>
    <w:rsid w:val="00F715D1"/>
    <w:rsid w:val="00F72715"/>
    <w:rsid w:val="00F73333"/>
    <w:rsid w:val="00F85ECB"/>
    <w:rsid w:val="00F908AB"/>
    <w:rsid w:val="00F95D8F"/>
    <w:rsid w:val="00FB350A"/>
    <w:rsid w:val="00FB4C5D"/>
    <w:rsid w:val="00FE1C3F"/>
    <w:rsid w:val="00FE1F6B"/>
    <w:rsid w:val="00FE3A8A"/>
    <w:rsid w:val="00FE4383"/>
    <w:rsid w:val="00FE731D"/>
    <w:rsid w:val="00FE7349"/>
    <w:rsid w:val="00FF0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101D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183995"/>
    <w:pPr>
      <w:autoSpaceDE w:val="0"/>
      <w:autoSpaceDN w:val="0"/>
      <w:adjustRightInd w:val="0"/>
      <w:outlineLvl w:val="1"/>
    </w:pPr>
    <w:rPr>
      <w:b/>
    </w:rPr>
  </w:style>
  <w:style w:type="paragraph" w:styleId="Heading3">
    <w:name w:val="heading 3"/>
    <w:basedOn w:val="Normal"/>
    <w:next w:val="Normal"/>
    <w:link w:val="Heading3Char"/>
    <w:unhideWhenUsed/>
    <w:qFormat/>
    <w:locked/>
    <w:rsid w:val="00E93186"/>
    <w:pPr>
      <w:keepNext/>
      <w:keepLines/>
      <w:spacing w:before="40"/>
      <w:outlineLvl w:val="2"/>
    </w:pPr>
    <w:rPr>
      <w:rFonts w:eastAsiaTheme="majorEastAsia"/>
      <w:i/>
      <w:szCs w:val="24"/>
    </w:rPr>
  </w:style>
  <w:style w:type="paragraph" w:styleId="Heading4">
    <w:name w:val="heading 4"/>
    <w:basedOn w:val="Heading3"/>
    <w:next w:val="Normal"/>
    <w:link w:val="Heading4Char"/>
    <w:unhideWhenUsed/>
    <w:qFormat/>
    <w:locked/>
    <w:rsid w:val="00E93186"/>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Body Text Bullet Points,Numbered para,BulletPoints,List Paragraph1,Bullet point,List Paragraph11,Recommendation,Section heading,Footnote,ES Paragraph,PBAC ES Paragraph,PBAC normal points,Bullet Li"/>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183995"/>
    <w:rPr>
      <w:rFonts w:eastAsia="Times New Roman"/>
      <w:b/>
      <w:sz w:val="24"/>
      <w:szCs w:val="20"/>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Table Gridbeth,ASD Table,new style"/>
    <w:basedOn w:val="TableNormal"/>
    <w:uiPriority w:val="3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Body Text Bullet Points Char,Numbered para Char,BulletPoints Char,List Paragraph1 Char,Bullet point Char,List Paragraph11 Char,Recommendation Char,Section heading Char"/>
    <w:link w:val="ListParagraph"/>
    <w:uiPriority w:val="34"/>
    <w:qFormat/>
    <w:rsid w:val="00AC1DAF"/>
    <w:rPr>
      <w:rFonts w:eastAsia="Times New Roman"/>
      <w:sz w:val="24"/>
      <w:szCs w:val="20"/>
    </w:rPr>
  </w:style>
  <w:style w:type="table" w:customStyle="1" w:styleId="TableGrid3">
    <w:name w:val="Table Grid3"/>
    <w:basedOn w:val="TableNormal"/>
    <w:next w:val="TableGrid"/>
    <w:uiPriority w:val="59"/>
    <w:rsid w:val="00AC1DA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AC1DAF"/>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AC1DAF"/>
    <w:rPr>
      <w:rFonts w:ascii="Arial Narrow" w:eastAsia="Times New Roman" w:hAnsi="Arial Narrow"/>
      <w:sz w:val="20"/>
      <w:szCs w:val="24"/>
      <w:lang w:eastAsia="en-US"/>
    </w:rPr>
  </w:style>
  <w:style w:type="paragraph" w:customStyle="1" w:styleId="Tabletextboldleft">
    <w:name w:val="Table text bold left"/>
    <w:basedOn w:val="Normal"/>
    <w:link w:val="TabletextboldleftChar"/>
    <w:qFormat/>
    <w:rsid w:val="00AC1DAF"/>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AC1DAF"/>
    <w:rPr>
      <w:rFonts w:ascii="Arial Narrow" w:eastAsia="Times New Roman" w:hAnsi="Arial Narrow" w:cs="Arial"/>
      <w:b/>
      <w:sz w:val="20"/>
      <w:szCs w:val="20"/>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 Char1 Char Char Char1 Char"/>
    <w:basedOn w:val="Normal"/>
    <w:next w:val="Normal"/>
    <w:link w:val="CaptionChar"/>
    <w:uiPriority w:val="99"/>
    <w:unhideWhenUsed/>
    <w:qFormat/>
    <w:locked/>
    <w:rsid w:val="00AC1DAF"/>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AC1DAF"/>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8275A0"/>
    <w:pPr>
      <w:widowControl w:val="0"/>
      <w:spacing w:after="240"/>
      <w:ind w:firstLine="1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8275A0"/>
    <w:rPr>
      <w:rFonts w:ascii="Arial Narrow" w:eastAsia="Times New Roman" w:hAnsi="Arial Narrow" w:cs="Arial"/>
      <w:snapToGrid w:val="0"/>
      <w:sz w:val="18"/>
      <w:szCs w:val="20"/>
      <w:lang w:eastAsia="en-US"/>
    </w:rPr>
  </w:style>
  <w:style w:type="character" w:styleId="IntenseReference">
    <w:name w:val="Intense Reference"/>
    <w:basedOn w:val="DefaultParagraphFont"/>
    <w:uiPriority w:val="32"/>
    <w:qFormat/>
    <w:rsid w:val="00AC1DAF"/>
    <w:rPr>
      <w:b/>
      <w:bCs/>
      <w:i/>
      <w:smallCaps/>
      <w:color w:val="C0504D" w:themeColor="accent2"/>
      <w:spacing w:val="5"/>
      <w:u w:val="none"/>
    </w:rPr>
  </w:style>
  <w:style w:type="paragraph" w:customStyle="1" w:styleId="TableText0">
    <w:name w:val="Table Text"/>
    <w:basedOn w:val="Normal"/>
    <w:link w:val="TableTextChar0"/>
    <w:qFormat/>
    <w:rsid w:val="00E93186"/>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E93186"/>
    <w:rPr>
      <w:rFonts w:ascii="Arial Narrow" w:eastAsia="Times New Roman" w:hAnsi="Arial Narrow" w:cs="Tahoma"/>
      <w:sz w:val="20"/>
      <w:lang w:eastAsia="en-US"/>
    </w:rPr>
  </w:style>
  <w:style w:type="table" w:customStyle="1" w:styleId="OPTUMTableNormal">
    <w:name w:val="OPTUM Table Normal"/>
    <w:basedOn w:val="TableNormal"/>
    <w:rsid w:val="00E93186"/>
    <w:pPr>
      <w:spacing w:before="40" w:after="20"/>
    </w:pPr>
    <w:rPr>
      <w:rFonts w:ascii="Calibri" w:eastAsia="Times New Roman"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Heading3Char">
    <w:name w:val="Heading 3 Char"/>
    <w:basedOn w:val="DefaultParagraphFont"/>
    <w:link w:val="Heading3"/>
    <w:rsid w:val="00E93186"/>
    <w:rPr>
      <w:rFonts w:eastAsiaTheme="majorEastAsia"/>
      <w:i/>
      <w:sz w:val="24"/>
      <w:szCs w:val="24"/>
    </w:rPr>
  </w:style>
  <w:style w:type="paragraph" w:customStyle="1" w:styleId="TableHeading">
    <w:name w:val="TableHeading"/>
    <w:basedOn w:val="Normal"/>
    <w:link w:val="TableHeadingChar"/>
    <w:qFormat/>
    <w:rsid w:val="00E93186"/>
    <w:pPr>
      <w:keepNext/>
      <w:spacing w:before="40" w:after="40"/>
      <w:ind w:left="1134" w:hanging="1134"/>
    </w:pPr>
    <w:rPr>
      <w:rFonts w:ascii="Arial Narrow" w:hAnsi="Arial Narrow" w:cs="Tahoma"/>
      <w:b/>
      <w:noProof/>
      <w:sz w:val="20"/>
    </w:rPr>
  </w:style>
  <w:style w:type="character" w:customStyle="1" w:styleId="TableHeadingChar">
    <w:name w:val="TableHeading Char"/>
    <w:link w:val="TableHeading"/>
    <w:rsid w:val="00E93186"/>
    <w:rPr>
      <w:rFonts w:ascii="Arial Narrow" w:eastAsia="Times New Roman" w:hAnsi="Arial Narrow" w:cs="Tahoma"/>
      <w:b/>
      <w:noProof/>
      <w:sz w:val="20"/>
      <w:szCs w:val="20"/>
    </w:rPr>
  </w:style>
  <w:style w:type="paragraph" w:customStyle="1" w:styleId="EStext">
    <w:name w:val="ES text"/>
    <w:basedOn w:val="Normal"/>
    <w:link w:val="EStextChar"/>
    <w:qFormat/>
    <w:rsid w:val="00E93186"/>
    <w:pPr>
      <w:spacing w:after="120"/>
    </w:pPr>
    <w:rPr>
      <w:rFonts w:ascii="Calibri" w:hAnsi="Calibri" w:cs="Tahoma"/>
      <w:sz w:val="20"/>
    </w:rPr>
  </w:style>
  <w:style w:type="character" w:customStyle="1" w:styleId="EStextChar">
    <w:name w:val="ES text Char"/>
    <w:basedOn w:val="DefaultParagraphFont"/>
    <w:link w:val="EStext"/>
    <w:rsid w:val="00E93186"/>
    <w:rPr>
      <w:rFonts w:ascii="Calibri" w:eastAsia="Times New Roman" w:hAnsi="Calibri" w:cs="Tahoma"/>
      <w:sz w:val="20"/>
      <w:szCs w:val="20"/>
    </w:rPr>
  </w:style>
  <w:style w:type="paragraph" w:customStyle="1" w:styleId="TFAbbrevs18">
    <w:name w:val="TFAbbrevs+18"/>
    <w:basedOn w:val="Normal"/>
    <w:next w:val="Normal"/>
    <w:qFormat/>
    <w:rsid w:val="00E93186"/>
    <w:pPr>
      <w:keepNext/>
      <w:keepLines/>
      <w:spacing w:after="360"/>
    </w:pPr>
    <w:rPr>
      <w:rFonts w:ascii="Arial Narrow" w:hAnsi="Arial Narrow"/>
      <w:color w:val="000000"/>
      <w:sz w:val="18"/>
      <w:szCs w:val="18"/>
    </w:rPr>
  </w:style>
  <w:style w:type="character" w:customStyle="1" w:styleId="label">
    <w:name w:val="label"/>
    <w:basedOn w:val="DefaultParagraphFont"/>
    <w:rsid w:val="00E93186"/>
  </w:style>
  <w:style w:type="character" w:customStyle="1" w:styleId="cell-value">
    <w:name w:val="cell-value"/>
    <w:basedOn w:val="DefaultParagraphFont"/>
    <w:rsid w:val="00E93186"/>
  </w:style>
  <w:style w:type="character" w:customStyle="1" w:styleId="cell">
    <w:name w:val="cell"/>
    <w:basedOn w:val="DefaultParagraphFont"/>
    <w:rsid w:val="00E93186"/>
  </w:style>
  <w:style w:type="character" w:customStyle="1" w:styleId="block">
    <w:name w:val="block"/>
    <w:basedOn w:val="DefaultParagraphFont"/>
    <w:rsid w:val="00E93186"/>
  </w:style>
  <w:style w:type="character" w:styleId="Emphasis">
    <w:name w:val="Emphasis"/>
    <w:uiPriority w:val="20"/>
    <w:qFormat/>
    <w:locked/>
    <w:rsid w:val="00E93186"/>
    <w:rPr>
      <w:rFonts w:ascii="Garamond" w:eastAsia="Times New Roman" w:hAnsi="Garamond" w:cs="Times New Roman"/>
      <w:i/>
      <w:sz w:val="24"/>
      <w:szCs w:val="24"/>
    </w:rPr>
  </w:style>
  <w:style w:type="paragraph" w:customStyle="1" w:styleId="NormalBulletList">
    <w:name w:val="Normal Bullet List"/>
    <w:basedOn w:val="Normal"/>
    <w:uiPriority w:val="3"/>
    <w:qFormat/>
    <w:rsid w:val="00E93186"/>
    <w:pPr>
      <w:numPr>
        <w:numId w:val="33"/>
      </w:numPr>
      <w:spacing w:after="240" w:line="276" w:lineRule="auto"/>
      <w:contextualSpacing/>
      <w:jc w:val="both"/>
    </w:pPr>
    <w:rPr>
      <w:rFonts w:ascii="Candara" w:eastAsiaTheme="majorEastAsia" w:hAnsi="Candara" w:cstheme="majorBidi"/>
      <w:szCs w:val="22"/>
      <w:lang w:eastAsia="en-US" w:bidi="en-US"/>
    </w:rPr>
  </w:style>
  <w:style w:type="character" w:customStyle="1" w:styleId="Heading4Char">
    <w:name w:val="Heading 4 Char"/>
    <w:basedOn w:val="DefaultParagraphFont"/>
    <w:link w:val="Heading4"/>
    <w:rsid w:val="00E93186"/>
    <w:rPr>
      <w:rFonts w:eastAsiaTheme="majorEastAsia"/>
      <w:i/>
      <w:sz w:val="24"/>
      <w:szCs w:val="24"/>
      <w:u w:val="single"/>
    </w:rPr>
  </w:style>
  <w:style w:type="paragraph" w:customStyle="1" w:styleId="BulletBeforeDash">
    <w:name w:val="BulletBeforeDash"/>
    <w:basedOn w:val="Normal"/>
    <w:rsid w:val="00744AB5"/>
    <w:pPr>
      <w:numPr>
        <w:numId w:val="36"/>
      </w:numPr>
      <w:ind w:left="720"/>
    </w:pPr>
    <w:rPr>
      <w:color w:val="000000"/>
    </w:rPr>
  </w:style>
  <w:style w:type="paragraph" w:customStyle="1" w:styleId="Bullet">
    <w:name w:val="Bullet"/>
    <w:basedOn w:val="BulletBeforeDash"/>
    <w:qFormat/>
    <w:rsid w:val="00744AB5"/>
    <w:pPr>
      <w:spacing w:after="120"/>
    </w:pPr>
  </w:style>
  <w:style w:type="paragraph" w:customStyle="1" w:styleId="BulletLast">
    <w:name w:val="BulletLast"/>
    <w:basedOn w:val="Bullet"/>
    <w:qFormat/>
    <w:rsid w:val="00744AB5"/>
    <w:pPr>
      <w:spacing w:after="240"/>
    </w:pPr>
  </w:style>
  <w:style w:type="paragraph" w:customStyle="1" w:styleId="NormalBeforeBullet">
    <w:name w:val="NormalBeforeBullet"/>
    <w:basedOn w:val="Normal"/>
    <w:qFormat/>
    <w:rsid w:val="00744AB5"/>
    <w:pPr>
      <w:keepNext/>
      <w:spacing w:after="120"/>
    </w:pPr>
    <w:rPr>
      <w:color w:val="000000"/>
    </w:rPr>
  </w:style>
  <w:style w:type="paragraph" w:styleId="Revision">
    <w:name w:val="Revision"/>
    <w:hidden/>
    <w:uiPriority w:val="99"/>
    <w:semiHidden/>
    <w:rsid w:val="00940C7C"/>
    <w:rPr>
      <w:rFonts w:eastAsia="Times New Roman"/>
      <w:sz w:val="24"/>
      <w:szCs w:val="20"/>
    </w:rPr>
  </w:style>
  <w:style w:type="paragraph" w:customStyle="1" w:styleId="Tablenote">
    <w:name w:val="Table note"/>
    <w:basedOn w:val="Normal"/>
    <w:link w:val="TablenoteChar"/>
    <w:qFormat/>
    <w:rsid w:val="008275A0"/>
    <w:pPr>
      <w:contextualSpacing/>
    </w:pPr>
    <w:rPr>
      <w:rFonts w:asciiTheme="majorHAnsi" w:eastAsia="Batang" w:hAnsiTheme="majorHAnsi" w:cstheme="minorHAnsi"/>
      <w:sz w:val="16"/>
      <w:szCs w:val="16"/>
      <w:lang w:val="en-GB" w:eastAsia="en-US"/>
    </w:rPr>
  </w:style>
  <w:style w:type="character" w:customStyle="1" w:styleId="TablenoteChar">
    <w:name w:val="Table note Char"/>
    <w:basedOn w:val="DefaultParagraphFont"/>
    <w:link w:val="Tablenote"/>
    <w:rsid w:val="008275A0"/>
    <w:rPr>
      <w:rFonts w:asciiTheme="majorHAnsi" w:eastAsia="Batang" w:hAnsiTheme="majorHAnsi" w:cstheme="minorHAnsi"/>
      <w:sz w:val="16"/>
      <w:szCs w:val="16"/>
      <w:lang w:val="en-GB" w:eastAsia="en-US"/>
    </w:rPr>
  </w:style>
  <w:style w:type="paragraph" w:customStyle="1" w:styleId="Tablenotes1">
    <w:name w:val="Tablenotes 1"/>
    <w:basedOn w:val="Normal"/>
    <w:link w:val="Tablenotes1Char"/>
    <w:qFormat/>
    <w:rsid w:val="00F908AB"/>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F908AB"/>
    <w:rPr>
      <w:rFonts w:ascii="Arial Narrow" w:eastAsia="Times New Roman" w:hAnsi="Arial Narrow" w:cs="Arial"/>
      <w:snapToGrid w:val="0"/>
      <w:sz w:val="18"/>
      <w:szCs w:val="20"/>
      <w:lang w:eastAsia="en-US"/>
    </w:rPr>
  </w:style>
  <w:style w:type="paragraph" w:customStyle="1" w:styleId="Comment">
    <w:name w:val="Comment"/>
    <w:basedOn w:val="Normal"/>
    <w:link w:val="CommentChar"/>
    <w:qFormat/>
    <w:rsid w:val="00F908AB"/>
    <w:pPr>
      <w:tabs>
        <w:tab w:val="num" w:pos="720"/>
      </w:tabs>
      <w:spacing w:after="240" w:line="312" w:lineRule="auto"/>
      <w:jc w:val="both"/>
    </w:pPr>
    <w:rPr>
      <w:rFonts w:cs="Tahoma"/>
      <w:i/>
      <w:iCs/>
      <w:color w:val="000000" w:themeColor="text1"/>
      <w:sz w:val="22"/>
      <w:szCs w:val="22"/>
    </w:rPr>
  </w:style>
  <w:style w:type="character" w:customStyle="1" w:styleId="CommentChar">
    <w:name w:val="Comment Char"/>
    <w:basedOn w:val="DefaultParagraphFont"/>
    <w:link w:val="Comment"/>
    <w:rsid w:val="00F908AB"/>
    <w:rPr>
      <w:rFonts w:eastAsia="Times New Roman" w:cs="Tahoma"/>
      <w:i/>
      <w:iCs/>
      <w:color w:val="000000" w:themeColor="text1"/>
    </w:rPr>
  </w:style>
  <w:style w:type="paragraph" w:customStyle="1" w:styleId="CommentTabletext">
    <w:name w:val="Comment Table text"/>
    <w:basedOn w:val="Comment"/>
    <w:qFormat/>
    <w:rsid w:val="00F908AB"/>
    <w:pPr>
      <w:spacing w:before="40" w:after="40" w:line="240" w:lineRule="auto"/>
      <w:ind w:left="720"/>
    </w:pPr>
    <w:rPr>
      <w:rFonts w:ascii="Arial Narrow" w:hAnsi="Arial Narrow"/>
      <w:sz w:val="20"/>
      <w:szCs w:val="20"/>
    </w:rPr>
  </w:style>
  <w:style w:type="table" w:customStyle="1" w:styleId="OPTUMTableNormal1">
    <w:name w:val="OPTUM Table Normal1"/>
    <w:basedOn w:val="TableNormal"/>
    <w:rsid w:val="00F908AB"/>
    <w:pPr>
      <w:spacing w:before="40" w:after="20"/>
    </w:pPr>
    <w:rPr>
      <w:rFonts w:ascii="Calibri" w:eastAsia="Times New Roman"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41232">
      <w:bodyDiv w:val="1"/>
      <w:marLeft w:val="0"/>
      <w:marRight w:val="0"/>
      <w:marTop w:val="0"/>
      <w:marBottom w:val="0"/>
      <w:divBdr>
        <w:top w:val="none" w:sz="0" w:space="0" w:color="auto"/>
        <w:left w:val="none" w:sz="0" w:space="0" w:color="auto"/>
        <w:bottom w:val="none" w:sz="0" w:space="0" w:color="auto"/>
        <w:right w:val="none" w:sz="0" w:space="0" w:color="auto"/>
      </w:divBdr>
      <w:divsChild>
        <w:div w:id="640885105">
          <w:marLeft w:val="0"/>
          <w:marRight w:val="0"/>
          <w:marTop w:val="0"/>
          <w:marBottom w:val="0"/>
          <w:divBdr>
            <w:top w:val="none" w:sz="0" w:space="0" w:color="auto"/>
            <w:left w:val="none" w:sz="0" w:space="0" w:color="auto"/>
            <w:bottom w:val="none" w:sz="0" w:space="0" w:color="auto"/>
            <w:right w:val="none" w:sz="0" w:space="0" w:color="auto"/>
          </w:divBdr>
          <w:divsChild>
            <w:div w:id="5247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29680">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2135058410">
      <w:bodyDiv w:val="1"/>
      <w:marLeft w:val="0"/>
      <w:marRight w:val="0"/>
      <w:marTop w:val="0"/>
      <w:marBottom w:val="0"/>
      <w:divBdr>
        <w:top w:val="none" w:sz="0" w:space="0" w:color="auto"/>
        <w:left w:val="none" w:sz="0" w:space="0" w:color="auto"/>
        <w:bottom w:val="none" w:sz="0" w:space="0" w:color="auto"/>
        <w:right w:val="none" w:sz="0" w:space="0" w:color="auto"/>
      </w:divBdr>
      <w:divsChild>
        <w:div w:id="205920381">
          <w:marLeft w:val="0"/>
          <w:marRight w:val="0"/>
          <w:marTop w:val="0"/>
          <w:marBottom w:val="0"/>
          <w:divBdr>
            <w:top w:val="none" w:sz="0" w:space="0" w:color="auto"/>
            <w:left w:val="none" w:sz="0" w:space="0" w:color="auto"/>
            <w:bottom w:val="none" w:sz="0" w:space="0" w:color="auto"/>
            <w:right w:val="none" w:sz="0" w:space="0" w:color="auto"/>
          </w:divBdr>
          <w:divsChild>
            <w:div w:id="1380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bs.tga.gov.au/servlet/xmlmillr6?dbid=ebs/PublicHTML/pdfStore.nsf&amp;docid=80D27A9317A48863CA257C0D003CB5B1&amp;agid=(PrintDetailsPublic)&amp;actionid=1" TargetMode="External"/><Relationship Id="rId18" Type="http://schemas.openxmlformats.org/officeDocument/2006/relationships/hyperlink" Target="https://www.ebs.tga.gov.au/servlet/xmlmillr6?dbid=ebs/PublicHTML/pdfStore.nsf&amp;docid=C640E81C60BF7A81CA257D8F003CADE0&amp;agid=(PrintDetailsPublic)&amp;actionid=1" TargetMode="External"/><Relationship Id="rId26" Type="http://schemas.openxmlformats.org/officeDocument/2006/relationships/hyperlink" Target="http://www.msac.gov.a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bs.tga.gov.au/servlet/xmlmillr6?dbid=ebs/PublicHTML/pdfStore.nsf&amp;docid=5DAD2F08C53C7DD3CA257C0D003CB5B0&amp;agid=(PrintDetailsPublic)&amp;actionid=1" TargetMode="External"/><Relationship Id="rId17" Type="http://schemas.openxmlformats.org/officeDocument/2006/relationships/hyperlink" Target="https://www.ebs.tga.gov.au/servlet/xmlmillr6?dbid=ebs/PublicHTML/pdfStore.nsf&amp;docid=00D4D2ED240AB63ACA257D8F003CADDE&amp;agid=(PrintDetailsPublic)&amp;actionid=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bs.tga.gov.au/servlet/xmlmillr6?dbid=ebs/PublicHTML/pdfStore.nsf&amp;docid=267161C6FFCFCBF5CA2577DD0002FC2C&amp;agid=(PrintDetailsPublic)&amp;actionid=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bs.tga.gov.au/servlet/xmlmillr6?dbid=ebs/PublicHTML/pdfStore.nsf&amp;docid=83799B839C7F4370CA2585B200423A16&amp;agid=(PrintDetailsPublic)&amp;actionid=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bs.tga.gov.au/servlet/xmlmillr6?dbid=ebs/PublicHTML/pdfStore.nsf&amp;docid=8BB94740AFC91089CA257C0D003CB59D&amp;agid=(PrintDetailsPublic)&amp;actionid=1"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msac.gov.au/internet/msac/publishing.nsf/Content/1347.1-public"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www.ebs.tga.gov.au/servlet/xmlmillr6?dbid=ebs/PublicHTML/pdfStore.nsf&amp;docid=204C8DBE72AAE9EDCA258330003CA8B9&amp;agid=(PrintDetailsPublic)&amp;actionid=1"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E99BC-EBEE-4A3F-82F2-B43276D1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15295</Words>
  <Characters>89269</Characters>
  <Application>Microsoft Office Word</Application>
  <DocSecurity>0</DocSecurity>
  <Lines>8926</Lines>
  <Paragraphs>9505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2021-06-18T04:10:00Z</dcterms:created>
  <dcterms:modified xsi:type="dcterms:W3CDTF">2021-07-15T07:44:00Z</dcterms:modified>
</cp:coreProperties>
</file>